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C4A4C">
      <w:pPr>
        <w:shd w:val="clear"/>
        <w:spacing w:line="420" w:lineRule="auto"/>
        <w:jc w:val="left"/>
        <w:rPr>
          <w:rFonts w:hint="eastAsia" w:ascii="宋体" w:hAnsi="宋体" w:eastAsia="宋体" w:cs="宋体"/>
          <w:b/>
          <w:sz w:val="28"/>
          <w:szCs w:val="28"/>
          <w:lang w:val="en-US" w:eastAsia="zh-CN"/>
        </w:rPr>
      </w:pPr>
      <w:r>
        <w:rPr>
          <w:rFonts w:hint="eastAsia" w:ascii="宋体" w:hAnsi="宋体" w:eastAsia="宋体" w:cs="宋体"/>
          <w:b/>
          <w:sz w:val="28"/>
          <w:szCs w:val="28"/>
          <w:lang w:eastAsia="zh-CN"/>
        </w:rPr>
        <w:t>项目编号</w:t>
      </w:r>
      <w:r>
        <w:rPr>
          <w:rFonts w:hint="eastAsia" w:ascii="宋体" w:hAnsi="宋体" w:eastAsia="宋体" w:cs="宋体"/>
          <w:b/>
          <w:sz w:val="28"/>
          <w:szCs w:val="28"/>
        </w:rPr>
        <w:t>：</w:t>
      </w:r>
      <w:r>
        <w:rPr>
          <w:rFonts w:hint="eastAsia" w:ascii="宋体" w:hAnsi="宋体" w:eastAsia="宋体" w:cs="宋体"/>
          <w:b/>
          <w:sz w:val="28"/>
          <w:szCs w:val="28"/>
          <w:lang w:eastAsia="zh-CN"/>
        </w:rPr>
        <w:t>TZDT政采2025-010</w:t>
      </w:r>
    </w:p>
    <w:p w14:paraId="14511DA8">
      <w:pPr>
        <w:pStyle w:val="9"/>
        <w:shd w:val="clear"/>
        <w:rPr>
          <w:rFonts w:hint="eastAsia" w:ascii="宋体" w:hAnsi="宋体" w:eastAsia="宋体" w:cs="宋体"/>
          <w:sz w:val="8"/>
          <w:szCs w:val="11"/>
        </w:rPr>
      </w:pPr>
    </w:p>
    <w:p w14:paraId="6B3CE514">
      <w:pPr>
        <w:shd w:val="clear"/>
        <w:rPr>
          <w:rFonts w:hint="eastAsia" w:ascii="宋体" w:hAnsi="宋体" w:eastAsia="宋体" w:cs="宋体"/>
        </w:rPr>
      </w:pPr>
    </w:p>
    <w:p w14:paraId="3091C960">
      <w:pPr>
        <w:pStyle w:val="9"/>
        <w:shd w:val="clear"/>
        <w:rPr>
          <w:rFonts w:hint="eastAsia" w:ascii="宋体" w:hAnsi="宋体" w:eastAsia="宋体" w:cs="宋体"/>
        </w:rPr>
      </w:pPr>
    </w:p>
    <w:p w14:paraId="6DC5E8F9">
      <w:pPr>
        <w:shd w:val="clear"/>
        <w:rPr>
          <w:rFonts w:hint="eastAsia" w:ascii="宋体" w:hAnsi="宋体" w:eastAsia="宋体" w:cs="宋体"/>
        </w:rPr>
      </w:pPr>
    </w:p>
    <w:p w14:paraId="2FDA601C">
      <w:pPr>
        <w:pStyle w:val="15"/>
        <w:shd w:val="clear"/>
        <w:spacing w:line="360" w:lineRule="auto"/>
        <w:ind w:left="0" w:leftChars="0" w:firstLine="0" w:firstLineChars="0"/>
        <w:jc w:val="center"/>
        <w:rPr>
          <w:rFonts w:hint="eastAsia" w:ascii="宋体" w:hAnsi="宋体" w:eastAsia="宋体" w:cs="宋体"/>
          <w:b/>
          <w:bCs/>
          <w:color w:val="auto"/>
          <w:sz w:val="48"/>
          <w:szCs w:val="48"/>
          <w:highlight w:val="none"/>
          <w:lang w:val="en-US" w:eastAsia="zh-CN"/>
        </w:rPr>
      </w:pPr>
      <w:r>
        <w:rPr>
          <w:rFonts w:hint="eastAsia" w:ascii="宋体" w:hAnsi="宋体" w:eastAsia="宋体" w:cs="宋体"/>
          <w:b/>
          <w:bCs/>
          <w:color w:val="auto"/>
          <w:kern w:val="0"/>
          <w:sz w:val="52"/>
          <w:szCs w:val="52"/>
          <w:highlight w:val="none"/>
          <w:lang w:val="en-US" w:eastAsia="zh-CN" w:bidi="ar"/>
        </w:rPr>
        <w:t>2025年“清爽榆林”文化旅游季吴堡分会场文化旅游周系列活动项目</w:t>
      </w:r>
    </w:p>
    <w:p w14:paraId="79277386">
      <w:pPr>
        <w:shd w:val="clear"/>
        <w:spacing w:line="360" w:lineRule="auto"/>
        <w:jc w:val="center"/>
        <w:rPr>
          <w:rFonts w:hint="eastAsia" w:ascii="宋体" w:hAnsi="宋体" w:eastAsia="宋体" w:cs="宋体"/>
          <w:b/>
          <w:color w:val="000000" w:themeColor="text1"/>
          <w:spacing w:val="26"/>
          <w:sz w:val="44"/>
          <w:szCs w:val="44"/>
          <w14:textFill>
            <w14:solidFill>
              <w14:schemeClr w14:val="tx1"/>
            </w14:solidFill>
          </w14:textFill>
        </w:rPr>
      </w:pPr>
    </w:p>
    <w:p w14:paraId="337E411A">
      <w:pPr>
        <w:pStyle w:val="9"/>
        <w:shd w:val="clear"/>
        <w:rPr>
          <w:rFonts w:hint="eastAsia" w:ascii="宋体" w:hAnsi="宋体" w:eastAsia="宋体" w:cs="宋体"/>
          <w:b/>
          <w:color w:val="000000" w:themeColor="text1"/>
          <w:spacing w:val="26"/>
          <w:sz w:val="44"/>
          <w:szCs w:val="44"/>
          <w14:textFill>
            <w14:solidFill>
              <w14:schemeClr w14:val="tx1"/>
            </w14:solidFill>
          </w14:textFill>
        </w:rPr>
      </w:pPr>
    </w:p>
    <w:p w14:paraId="430758AE">
      <w:pPr>
        <w:pStyle w:val="9"/>
        <w:shd w:val="clear"/>
        <w:rPr>
          <w:rFonts w:hint="eastAsia" w:ascii="宋体" w:hAnsi="宋体" w:eastAsia="宋体" w:cs="宋体"/>
        </w:rPr>
      </w:pPr>
    </w:p>
    <w:p w14:paraId="25AC1AA0">
      <w:pPr>
        <w:shd w:val="clear"/>
        <w:rPr>
          <w:rFonts w:hint="eastAsia" w:ascii="宋体" w:hAnsi="宋体" w:eastAsia="宋体" w:cs="宋体"/>
        </w:rPr>
      </w:pPr>
    </w:p>
    <w:p w14:paraId="06672162">
      <w:pPr>
        <w:pStyle w:val="24"/>
        <w:shd w:val="clear"/>
        <w:rPr>
          <w:rFonts w:hint="eastAsia" w:ascii="宋体" w:hAnsi="宋体" w:eastAsia="宋体" w:cs="宋体"/>
        </w:rPr>
      </w:pPr>
    </w:p>
    <w:p w14:paraId="600A2DA5">
      <w:pPr>
        <w:shd w:val="clear"/>
        <w:spacing w:line="360" w:lineRule="auto"/>
        <w:jc w:val="center"/>
        <w:rPr>
          <w:rFonts w:hint="eastAsia" w:ascii="宋体" w:hAnsi="宋体" w:eastAsia="宋体" w:cs="宋体"/>
          <w:b/>
          <w:spacing w:val="26"/>
          <w:sz w:val="72"/>
          <w:szCs w:val="72"/>
        </w:rPr>
      </w:pPr>
      <w:r>
        <w:rPr>
          <w:rFonts w:hint="eastAsia" w:ascii="宋体" w:hAnsi="宋体" w:eastAsia="宋体" w:cs="宋体"/>
          <w:b/>
          <w:spacing w:val="26"/>
          <w:sz w:val="72"/>
          <w:szCs w:val="72"/>
        </w:rPr>
        <w:t>竞争性磋商文件</w:t>
      </w:r>
    </w:p>
    <w:p w14:paraId="0788B3EA">
      <w:pPr>
        <w:shd w:val="clear"/>
        <w:spacing w:line="360" w:lineRule="auto"/>
        <w:rPr>
          <w:rFonts w:hint="eastAsia" w:ascii="宋体" w:hAnsi="宋体" w:eastAsia="宋体" w:cs="宋体"/>
          <w:b/>
          <w:bCs/>
          <w:spacing w:val="26"/>
          <w:sz w:val="36"/>
          <w:szCs w:val="36"/>
        </w:rPr>
      </w:pPr>
    </w:p>
    <w:p w14:paraId="66A48A78">
      <w:pPr>
        <w:pStyle w:val="9"/>
        <w:shd w:val="clear"/>
        <w:rPr>
          <w:rFonts w:hint="eastAsia" w:ascii="宋体" w:hAnsi="宋体" w:eastAsia="宋体" w:cs="宋体"/>
        </w:rPr>
      </w:pPr>
    </w:p>
    <w:p w14:paraId="79749425">
      <w:pPr>
        <w:pStyle w:val="9"/>
        <w:shd w:val="clear"/>
        <w:rPr>
          <w:rFonts w:hint="eastAsia" w:ascii="宋体" w:hAnsi="宋体" w:eastAsia="宋体" w:cs="宋体"/>
        </w:rPr>
      </w:pPr>
    </w:p>
    <w:p w14:paraId="30860F3E">
      <w:pPr>
        <w:pStyle w:val="24"/>
        <w:shd w:val="clear"/>
        <w:rPr>
          <w:rFonts w:hint="eastAsia" w:ascii="宋体" w:hAnsi="宋体" w:eastAsia="宋体" w:cs="宋体"/>
        </w:rPr>
      </w:pPr>
    </w:p>
    <w:p w14:paraId="2C807149">
      <w:pPr>
        <w:pStyle w:val="24"/>
        <w:shd w:val="clear"/>
        <w:rPr>
          <w:rFonts w:hint="eastAsia" w:ascii="宋体" w:hAnsi="宋体" w:eastAsia="宋体" w:cs="宋体"/>
        </w:rPr>
      </w:pPr>
    </w:p>
    <w:p w14:paraId="4BD9EBFD">
      <w:pPr>
        <w:pStyle w:val="24"/>
        <w:shd w:val="clear"/>
        <w:rPr>
          <w:rFonts w:hint="eastAsia" w:ascii="宋体" w:hAnsi="宋体" w:eastAsia="宋体" w:cs="宋体"/>
        </w:rPr>
      </w:pPr>
    </w:p>
    <w:p w14:paraId="0DC5E287">
      <w:pPr>
        <w:pStyle w:val="24"/>
        <w:shd w:val="clear"/>
        <w:rPr>
          <w:rFonts w:hint="eastAsia" w:ascii="宋体" w:hAnsi="宋体" w:eastAsia="宋体" w:cs="宋体"/>
        </w:rPr>
      </w:pPr>
    </w:p>
    <w:p w14:paraId="77D4EF95">
      <w:pPr>
        <w:pStyle w:val="24"/>
        <w:shd w:val="clear"/>
        <w:rPr>
          <w:rFonts w:hint="eastAsia" w:ascii="宋体" w:hAnsi="宋体" w:eastAsia="宋体" w:cs="宋体"/>
        </w:rPr>
      </w:pPr>
    </w:p>
    <w:p w14:paraId="5E9D39F1">
      <w:pPr>
        <w:pStyle w:val="24"/>
        <w:shd w:val="clear"/>
        <w:rPr>
          <w:rFonts w:hint="eastAsia" w:ascii="宋体" w:hAnsi="宋体" w:eastAsia="宋体" w:cs="宋体"/>
        </w:rPr>
      </w:pPr>
    </w:p>
    <w:p w14:paraId="350B5CEF">
      <w:pPr>
        <w:pStyle w:val="9"/>
        <w:shd w:val="clear"/>
        <w:rPr>
          <w:rFonts w:hint="eastAsia" w:ascii="宋体" w:hAnsi="宋体" w:eastAsia="宋体" w:cs="宋体"/>
          <w:sz w:val="4"/>
          <w:szCs w:val="8"/>
        </w:rPr>
      </w:pPr>
    </w:p>
    <w:p w14:paraId="04FA5E7B">
      <w:pPr>
        <w:keepNext w:val="0"/>
        <w:keepLines w:val="0"/>
        <w:pageBreakBefore w:val="0"/>
        <w:widowControl w:val="0"/>
        <w:shd w:val="clear"/>
        <w:kinsoku/>
        <w:wordWrap/>
        <w:overflowPunct/>
        <w:topLinePunct w:val="0"/>
        <w:autoSpaceDE/>
        <w:autoSpaceDN/>
        <w:bidi w:val="0"/>
        <w:adjustRightInd w:val="0"/>
        <w:snapToGrid w:val="0"/>
        <w:spacing w:line="600" w:lineRule="auto"/>
        <w:jc w:val="center"/>
        <w:textAlignment w:val="auto"/>
        <w:rPr>
          <w:rFonts w:hint="eastAsia" w:ascii="宋体" w:hAnsi="宋体" w:eastAsia="宋体" w:cs="宋体"/>
          <w:b/>
          <w:sz w:val="32"/>
          <w:szCs w:val="32"/>
        </w:rPr>
      </w:pPr>
      <w:r>
        <w:rPr>
          <w:rFonts w:hint="eastAsia" w:ascii="宋体" w:hAnsi="宋体" w:eastAsia="宋体" w:cs="宋体"/>
          <w:b/>
          <w:spacing w:val="26"/>
          <w:sz w:val="32"/>
          <w:szCs w:val="32"/>
          <w:lang w:eastAsia="zh-CN"/>
        </w:rPr>
        <w:t>采购人</w:t>
      </w:r>
      <w:r>
        <w:rPr>
          <w:rFonts w:hint="eastAsia" w:ascii="宋体" w:hAnsi="宋体" w:eastAsia="宋体" w:cs="宋体"/>
          <w:b/>
          <w:spacing w:val="26"/>
          <w:sz w:val="32"/>
          <w:szCs w:val="32"/>
        </w:rPr>
        <w:t>：</w:t>
      </w:r>
      <w:r>
        <w:rPr>
          <w:rFonts w:hint="eastAsia" w:ascii="宋体" w:hAnsi="宋体" w:eastAsia="宋体" w:cs="宋体"/>
          <w:b/>
          <w:spacing w:val="26"/>
          <w:sz w:val="32"/>
          <w:szCs w:val="32"/>
          <w:lang w:eastAsia="zh-CN"/>
        </w:rPr>
        <w:t>吴堡县文化和旅游文物广电局</w:t>
      </w:r>
    </w:p>
    <w:p w14:paraId="7FF54AF7">
      <w:pPr>
        <w:keepNext w:val="0"/>
        <w:keepLines w:val="0"/>
        <w:pageBreakBefore w:val="0"/>
        <w:widowControl w:val="0"/>
        <w:shd w:val="clear"/>
        <w:kinsoku/>
        <w:wordWrap/>
        <w:overflowPunct/>
        <w:topLinePunct w:val="0"/>
        <w:autoSpaceDE/>
        <w:autoSpaceDN/>
        <w:bidi w:val="0"/>
        <w:adjustRightInd w:val="0"/>
        <w:snapToGrid w:val="0"/>
        <w:spacing w:line="600" w:lineRule="auto"/>
        <w:jc w:val="center"/>
        <w:textAlignment w:val="auto"/>
        <w:rPr>
          <w:rFonts w:hint="eastAsia" w:ascii="宋体" w:hAnsi="宋体" w:eastAsia="宋体" w:cs="宋体"/>
          <w:b/>
          <w:sz w:val="32"/>
          <w:szCs w:val="32"/>
          <w:lang w:eastAsia="zh-CN"/>
        </w:rPr>
      </w:pPr>
      <w:r>
        <w:rPr>
          <w:rFonts w:hint="eastAsia" w:ascii="宋体" w:hAnsi="宋体" w:eastAsia="宋体" w:cs="宋体"/>
          <w:b/>
          <w:sz w:val="32"/>
          <w:szCs w:val="32"/>
        </w:rPr>
        <w:t xml:space="preserve">  </w:t>
      </w:r>
      <w:r>
        <w:rPr>
          <w:rFonts w:hint="eastAsia" w:ascii="宋体" w:hAnsi="宋体" w:eastAsia="宋体" w:cs="宋体"/>
          <w:b/>
          <w:sz w:val="32"/>
          <w:szCs w:val="32"/>
          <w:lang w:eastAsia="zh-CN"/>
        </w:rPr>
        <w:t>采购代理机构</w:t>
      </w:r>
      <w:r>
        <w:rPr>
          <w:rFonts w:hint="eastAsia" w:ascii="宋体" w:hAnsi="宋体" w:eastAsia="宋体" w:cs="宋体"/>
          <w:b/>
          <w:sz w:val="32"/>
          <w:szCs w:val="32"/>
        </w:rPr>
        <w:t>：</w:t>
      </w:r>
      <w:r>
        <w:rPr>
          <w:rFonts w:hint="eastAsia" w:ascii="宋体" w:hAnsi="宋体" w:eastAsia="宋体" w:cs="宋体"/>
          <w:b/>
          <w:sz w:val="32"/>
          <w:szCs w:val="32"/>
          <w:lang w:eastAsia="zh-CN"/>
        </w:rPr>
        <w:t>榆林天泽鼎泰项目管理有限公司</w:t>
      </w:r>
    </w:p>
    <w:p w14:paraId="5C8A5518">
      <w:pPr>
        <w:keepNext w:val="0"/>
        <w:keepLines w:val="0"/>
        <w:pageBreakBefore w:val="0"/>
        <w:widowControl w:val="0"/>
        <w:shd w:val="clear"/>
        <w:kinsoku/>
        <w:wordWrap/>
        <w:overflowPunct/>
        <w:topLinePunct w:val="0"/>
        <w:autoSpaceDE/>
        <w:autoSpaceDN/>
        <w:bidi w:val="0"/>
        <w:adjustRightInd w:val="0"/>
        <w:snapToGrid w:val="0"/>
        <w:spacing w:line="600" w:lineRule="auto"/>
        <w:jc w:val="center"/>
        <w:textAlignment w:val="auto"/>
        <w:rPr>
          <w:rFonts w:hint="eastAsia" w:ascii="宋体" w:hAnsi="宋体" w:eastAsia="宋体" w:cs="宋体"/>
          <w:bCs/>
          <w:spacing w:val="26"/>
          <w:sz w:val="28"/>
          <w:szCs w:val="28"/>
        </w:rPr>
      </w:pPr>
      <w:r>
        <w:rPr>
          <w:rFonts w:hint="eastAsia" w:ascii="宋体" w:hAnsi="宋体" w:eastAsia="宋体" w:cs="宋体"/>
          <w:b/>
          <w:spacing w:val="26"/>
          <w:sz w:val="32"/>
          <w:szCs w:val="32"/>
        </w:rPr>
        <w:t>二零二</w:t>
      </w:r>
      <w:r>
        <w:rPr>
          <w:rFonts w:hint="eastAsia" w:ascii="宋体" w:hAnsi="宋体" w:eastAsia="宋体" w:cs="宋体"/>
          <w:b/>
          <w:spacing w:val="26"/>
          <w:sz w:val="32"/>
          <w:szCs w:val="32"/>
          <w:lang w:val="en-US" w:eastAsia="zh-CN"/>
        </w:rPr>
        <w:t>五</w:t>
      </w:r>
      <w:r>
        <w:rPr>
          <w:rFonts w:hint="eastAsia" w:ascii="宋体" w:hAnsi="宋体" w:eastAsia="宋体" w:cs="宋体"/>
          <w:b/>
          <w:spacing w:val="26"/>
          <w:sz w:val="32"/>
          <w:szCs w:val="32"/>
        </w:rPr>
        <w:t>年</w:t>
      </w:r>
      <w:r>
        <w:rPr>
          <w:rFonts w:hint="eastAsia" w:ascii="宋体" w:hAnsi="宋体" w:eastAsia="宋体" w:cs="宋体"/>
          <w:b/>
          <w:spacing w:val="26"/>
          <w:sz w:val="32"/>
          <w:szCs w:val="32"/>
          <w:u w:val="single"/>
          <w:lang w:val="en-US" w:eastAsia="zh-CN"/>
        </w:rPr>
        <w:t>七</w:t>
      </w:r>
      <w:r>
        <w:rPr>
          <w:rFonts w:hint="eastAsia" w:ascii="宋体" w:hAnsi="宋体" w:eastAsia="宋体" w:cs="宋体"/>
          <w:b/>
          <w:spacing w:val="26"/>
          <w:sz w:val="32"/>
          <w:szCs w:val="32"/>
        </w:rPr>
        <w:t>月</w:t>
      </w:r>
    </w:p>
    <w:p w14:paraId="4CA0BD25">
      <w:pPr>
        <w:shd w:val="clear"/>
        <w:jc w:val="center"/>
        <w:rPr>
          <w:rFonts w:hint="eastAsia" w:ascii="宋体" w:hAnsi="宋体" w:eastAsia="宋体" w:cs="宋体"/>
          <w:b/>
          <w:sz w:val="48"/>
          <w:szCs w:val="48"/>
        </w:rPr>
        <w:sectPr>
          <w:footerReference r:id="rId5" w:type="first"/>
          <w:headerReference r:id="rId3" w:type="default"/>
          <w:footerReference r:id="rId4" w:type="default"/>
          <w:pgSz w:w="11906" w:h="16838"/>
          <w:pgMar w:top="1440" w:right="1803" w:bottom="1440" w:left="1803" w:header="851" w:footer="992" w:gutter="0"/>
          <w:pgNumType w:fmt="decimal"/>
          <w:cols w:space="720" w:num="1"/>
          <w:docGrid w:type="lines" w:linePitch="312" w:charSpace="0"/>
        </w:sectPr>
      </w:pPr>
    </w:p>
    <w:p w14:paraId="025323A9">
      <w:pPr>
        <w:shd w:val="clear"/>
        <w:jc w:val="center"/>
        <w:rPr>
          <w:rFonts w:hint="eastAsia" w:ascii="宋体" w:hAnsi="宋体" w:eastAsia="宋体" w:cs="宋体"/>
          <w:b/>
          <w:sz w:val="48"/>
          <w:szCs w:val="48"/>
        </w:rPr>
      </w:pPr>
      <w:r>
        <w:rPr>
          <w:rFonts w:hint="eastAsia" w:ascii="宋体" w:hAnsi="宋体" w:eastAsia="宋体" w:cs="宋体"/>
          <w:b/>
          <w:sz w:val="48"/>
          <w:szCs w:val="48"/>
        </w:rPr>
        <w:t>目   录</w:t>
      </w:r>
    </w:p>
    <w:p w14:paraId="66E38DF4">
      <w:pPr>
        <w:shd w:val="clear"/>
        <w:jc w:val="center"/>
        <w:rPr>
          <w:rFonts w:hint="eastAsia" w:ascii="宋体" w:hAnsi="宋体" w:eastAsia="宋体" w:cs="宋体"/>
        </w:rPr>
      </w:pPr>
    </w:p>
    <w:p w14:paraId="745F7EBF">
      <w:pPr>
        <w:pStyle w:val="19"/>
        <w:keepNext w:val="0"/>
        <w:keepLines w:val="0"/>
        <w:pageBreakBefore w:val="0"/>
        <w:widowControl w:val="0"/>
        <w:shd w:val="clear"/>
        <w:tabs>
          <w:tab w:val="right" w:leader="dot" w:pos="8731"/>
        </w:tabs>
        <w:kinsoku/>
        <w:wordWrap/>
        <w:overflowPunct/>
        <w:topLinePunct w:val="0"/>
        <w:autoSpaceDE/>
        <w:autoSpaceDN/>
        <w:bidi w:val="0"/>
        <w:adjustRightInd w:val="0"/>
        <w:snapToGrid w:val="0"/>
        <w:spacing w:line="480" w:lineRule="auto"/>
        <w:textAlignment w:val="auto"/>
        <w:rPr>
          <w:rFonts w:hint="eastAsia" w:ascii="宋体" w:hAnsi="宋体" w:eastAsia="宋体" w:cs="宋体"/>
          <w:b/>
          <w:bCs/>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TOC \o "1-2" \h \u </w:instrText>
      </w:r>
      <w:r>
        <w:rPr>
          <w:rFonts w:hint="eastAsia" w:ascii="宋体" w:hAnsi="宋体" w:eastAsia="宋体" w:cs="宋体"/>
          <w:b/>
          <w:sz w:val="28"/>
          <w:szCs w:val="28"/>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_Toc4712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第一章 竞争性磋商公告</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_Toc4712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283CD5BC">
      <w:pPr>
        <w:pStyle w:val="19"/>
        <w:keepNext w:val="0"/>
        <w:keepLines w:val="0"/>
        <w:pageBreakBefore w:val="0"/>
        <w:widowControl w:val="0"/>
        <w:shd w:val="clear"/>
        <w:tabs>
          <w:tab w:val="right" w:leader="dot" w:pos="8731"/>
        </w:tabs>
        <w:kinsoku/>
        <w:wordWrap/>
        <w:overflowPunct/>
        <w:topLinePunct w:val="0"/>
        <w:autoSpaceDE/>
        <w:autoSpaceDN/>
        <w:bidi w:val="0"/>
        <w:adjustRightInd w:val="0"/>
        <w:snapToGrid w:val="0"/>
        <w:spacing w:line="48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_Toc28217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第二章 供应商须知前附表</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_Toc28217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7</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5D1AE6CF">
      <w:pPr>
        <w:pStyle w:val="19"/>
        <w:keepNext w:val="0"/>
        <w:keepLines w:val="0"/>
        <w:pageBreakBefore w:val="0"/>
        <w:widowControl w:val="0"/>
        <w:shd w:val="clear"/>
        <w:tabs>
          <w:tab w:val="right" w:leader="dot" w:pos="8731"/>
        </w:tabs>
        <w:kinsoku/>
        <w:wordWrap/>
        <w:overflowPunct/>
        <w:topLinePunct w:val="0"/>
        <w:autoSpaceDE/>
        <w:autoSpaceDN/>
        <w:bidi w:val="0"/>
        <w:adjustRightInd w:val="0"/>
        <w:snapToGrid w:val="0"/>
        <w:spacing w:line="48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_Toc5116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 xml:space="preserve">部分 </w:t>
      </w:r>
      <w:r>
        <w:rPr>
          <w:rFonts w:hint="eastAsia" w:ascii="宋体" w:hAnsi="宋体" w:eastAsia="宋体" w:cs="宋体"/>
          <w:b/>
          <w:bCs/>
          <w:sz w:val="28"/>
          <w:szCs w:val="28"/>
          <w:lang w:eastAsia="zh-CN"/>
        </w:rPr>
        <w:t>供应商</w:t>
      </w:r>
      <w:r>
        <w:rPr>
          <w:rFonts w:hint="eastAsia" w:ascii="宋体" w:hAnsi="宋体" w:eastAsia="宋体" w:cs="宋体"/>
          <w:b/>
          <w:bCs/>
          <w:sz w:val="28"/>
          <w:szCs w:val="28"/>
        </w:rPr>
        <w:t>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_Toc5116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17</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5B563848">
      <w:pPr>
        <w:pStyle w:val="20"/>
        <w:keepNext w:val="0"/>
        <w:keepLines w:val="0"/>
        <w:pageBreakBefore w:val="0"/>
        <w:widowControl w:val="0"/>
        <w:shd w:val="clear"/>
        <w:tabs>
          <w:tab w:val="right" w:leader="dot" w:pos="8731"/>
        </w:tabs>
        <w:kinsoku/>
        <w:wordWrap/>
        <w:overflowPunct/>
        <w:topLinePunct w:val="0"/>
        <w:autoSpaceDE/>
        <w:autoSpaceDN/>
        <w:bidi w:val="0"/>
        <w:adjustRightInd w:val="0"/>
        <w:snapToGrid w:val="0"/>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_Toc24957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A 总则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_Toc24957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1E7161E">
      <w:pPr>
        <w:pStyle w:val="20"/>
        <w:keepNext w:val="0"/>
        <w:keepLines w:val="0"/>
        <w:pageBreakBefore w:val="0"/>
        <w:widowControl w:val="0"/>
        <w:shd w:val="clear"/>
        <w:tabs>
          <w:tab w:val="right" w:leader="dot" w:pos="8731"/>
        </w:tabs>
        <w:kinsoku/>
        <w:wordWrap/>
        <w:overflowPunct/>
        <w:topLinePunct w:val="0"/>
        <w:autoSpaceDE/>
        <w:autoSpaceDN/>
        <w:bidi w:val="0"/>
        <w:adjustRightInd w:val="0"/>
        <w:snapToGrid w:val="0"/>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_Toc15696 </w:instrText>
      </w:r>
      <w:r>
        <w:rPr>
          <w:rFonts w:hint="eastAsia" w:ascii="宋体" w:hAnsi="宋体" w:eastAsia="宋体" w:cs="宋体"/>
          <w:sz w:val="28"/>
          <w:szCs w:val="28"/>
        </w:rPr>
        <w:fldChar w:fldCharType="separate"/>
      </w:r>
      <w:r>
        <w:rPr>
          <w:rFonts w:hint="eastAsia" w:ascii="宋体" w:hAnsi="宋体" w:eastAsia="宋体" w:cs="宋体"/>
          <w:bCs w:val="0"/>
          <w:sz w:val="28"/>
          <w:szCs w:val="28"/>
          <w:lang w:val="en-US" w:eastAsia="zh-CN"/>
        </w:rPr>
        <w:t xml:space="preserve">B </w:t>
      </w:r>
      <w:r>
        <w:rPr>
          <w:rFonts w:hint="eastAsia" w:ascii="宋体" w:hAnsi="宋体" w:eastAsia="宋体" w:cs="宋体"/>
          <w:bCs w:val="0"/>
          <w:sz w:val="28"/>
          <w:szCs w:val="28"/>
        </w:rPr>
        <w:t>竞争性磋商文件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_Toc15696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7115088">
      <w:pPr>
        <w:pStyle w:val="20"/>
        <w:keepNext w:val="0"/>
        <w:keepLines w:val="0"/>
        <w:pageBreakBefore w:val="0"/>
        <w:widowControl w:val="0"/>
        <w:shd w:val="clear"/>
        <w:tabs>
          <w:tab w:val="right" w:leader="dot" w:pos="8731"/>
        </w:tabs>
        <w:kinsoku/>
        <w:wordWrap/>
        <w:overflowPunct/>
        <w:topLinePunct w:val="0"/>
        <w:autoSpaceDE/>
        <w:autoSpaceDN/>
        <w:bidi w:val="0"/>
        <w:adjustRightInd w:val="0"/>
        <w:snapToGrid w:val="0"/>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_Toc6851 </w:instrText>
      </w:r>
      <w:r>
        <w:rPr>
          <w:rFonts w:hint="eastAsia" w:ascii="宋体" w:hAnsi="宋体" w:eastAsia="宋体" w:cs="宋体"/>
          <w:sz w:val="28"/>
          <w:szCs w:val="28"/>
        </w:rPr>
        <w:fldChar w:fldCharType="separate"/>
      </w:r>
      <w:r>
        <w:rPr>
          <w:rFonts w:hint="eastAsia" w:ascii="宋体" w:hAnsi="宋体" w:eastAsia="宋体" w:cs="宋体"/>
          <w:bCs w:val="0"/>
          <w:kern w:val="2"/>
          <w:sz w:val="28"/>
          <w:szCs w:val="28"/>
          <w:lang w:val="en-US" w:eastAsia="zh-CN" w:bidi="ar-SA"/>
        </w:rPr>
        <w:t>C竞争性磋商响应文件的编制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_Toc6851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706518D">
      <w:pPr>
        <w:pStyle w:val="20"/>
        <w:keepNext w:val="0"/>
        <w:keepLines w:val="0"/>
        <w:pageBreakBefore w:val="0"/>
        <w:widowControl w:val="0"/>
        <w:shd w:val="clear"/>
        <w:tabs>
          <w:tab w:val="right" w:leader="dot" w:pos="8731"/>
        </w:tabs>
        <w:kinsoku/>
        <w:wordWrap/>
        <w:overflowPunct/>
        <w:topLinePunct w:val="0"/>
        <w:autoSpaceDE/>
        <w:autoSpaceDN/>
        <w:bidi w:val="0"/>
        <w:adjustRightInd w:val="0"/>
        <w:snapToGrid w:val="0"/>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_Toc13782 </w:instrText>
      </w:r>
      <w:r>
        <w:rPr>
          <w:rFonts w:hint="eastAsia" w:ascii="宋体" w:hAnsi="宋体" w:eastAsia="宋体" w:cs="宋体"/>
          <w:sz w:val="28"/>
          <w:szCs w:val="28"/>
        </w:rPr>
        <w:fldChar w:fldCharType="separate"/>
      </w:r>
      <w:r>
        <w:rPr>
          <w:rFonts w:hint="eastAsia" w:ascii="宋体" w:hAnsi="宋体" w:eastAsia="宋体" w:cs="宋体"/>
          <w:bCs w:val="0"/>
          <w:kern w:val="2"/>
          <w:sz w:val="28"/>
          <w:szCs w:val="28"/>
          <w:lang w:val="en-US" w:eastAsia="zh-CN" w:bidi="ar-SA"/>
        </w:rPr>
        <w:t>D 竞争性磋商响应文件的提交</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_Toc13782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28DA25A">
      <w:pPr>
        <w:pStyle w:val="20"/>
        <w:keepNext w:val="0"/>
        <w:keepLines w:val="0"/>
        <w:pageBreakBefore w:val="0"/>
        <w:widowControl w:val="0"/>
        <w:shd w:val="clear"/>
        <w:tabs>
          <w:tab w:val="right" w:leader="dot" w:pos="8731"/>
        </w:tabs>
        <w:kinsoku/>
        <w:wordWrap/>
        <w:overflowPunct/>
        <w:topLinePunct w:val="0"/>
        <w:autoSpaceDE/>
        <w:autoSpaceDN/>
        <w:bidi w:val="0"/>
        <w:adjustRightInd w:val="0"/>
        <w:snapToGrid w:val="0"/>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_Toc30664 </w:instrText>
      </w:r>
      <w:r>
        <w:rPr>
          <w:rFonts w:hint="eastAsia" w:ascii="宋体" w:hAnsi="宋体" w:eastAsia="宋体" w:cs="宋体"/>
          <w:sz w:val="28"/>
          <w:szCs w:val="28"/>
        </w:rPr>
        <w:fldChar w:fldCharType="separate"/>
      </w:r>
      <w:r>
        <w:rPr>
          <w:rFonts w:hint="eastAsia" w:ascii="宋体" w:hAnsi="宋体" w:eastAsia="宋体" w:cs="宋体"/>
          <w:bCs w:val="0"/>
          <w:kern w:val="2"/>
          <w:sz w:val="28"/>
          <w:szCs w:val="28"/>
          <w:lang w:val="en-US" w:eastAsia="zh-CN" w:bidi="ar-SA"/>
        </w:rPr>
        <w:t>E 磋商与评标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_Toc30664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14FF196">
      <w:pPr>
        <w:pStyle w:val="20"/>
        <w:keepNext w:val="0"/>
        <w:keepLines w:val="0"/>
        <w:pageBreakBefore w:val="0"/>
        <w:widowControl w:val="0"/>
        <w:shd w:val="clear"/>
        <w:tabs>
          <w:tab w:val="right" w:leader="dot" w:pos="8731"/>
        </w:tabs>
        <w:kinsoku/>
        <w:wordWrap/>
        <w:overflowPunct/>
        <w:topLinePunct w:val="0"/>
        <w:autoSpaceDE/>
        <w:autoSpaceDN/>
        <w:bidi w:val="0"/>
        <w:adjustRightInd w:val="0"/>
        <w:snapToGrid w:val="0"/>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_Toc12322 </w:instrText>
      </w:r>
      <w:r>
        <w:rPr>
          <w:rFonts w:hint="eastAsia" w:ascii="宋体" w:hAnsi="宋体" w:eastAsia="宋体" w:cs="宋体"/>
          <w:sz w:val="28"/>
          <w:szCs w:val="28"/>
        </w:rPr>
        <w:fldChar w:fldCharType="separate"/>
      </w:r>
      <w:r>
        <w:rPr>
          <w:rFonts w:hint="eastAsia" w:ascii="宋体" w:hAnsi="宋体" w:eastAsia="宋体" w:cs="宋体"/>
          <w:bCs w:val="0"/>
          <w:kern w:val="2"/>
          <w:sz w:val="28"/>
          <w:szCs w:val="28"/>
          <w:lang w:val="en-US" w:eastAsia="zh-CN" w:bidi="ar-SA"/>
        </w:rPr>
        <w:t>F 合同授予</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_Toc12322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2537311">
      <w:pPr>
        <w:pStyle w:val="20"/>
        <w:keepNext w:val="0"/>
        <w:keepLines w:val="0"/>
        <w:pageBreakBefore w:val="0"/>
        <w:widowControl w:val="0"/>
        <w:shd w:val="clear"/>
        <w:tabs>
          <w:tab w:val="right" w:leader="dot" w:pos="8731"/>
        </w:tabs>
        <w:kinsoku/>
        <w:wordWrap/>
        <w:overflowPunct/>
        <w:topLinePunct w:val="0"/>
        <w:autoSpaceDE/>
        <w:autoSpaceDN/>
        <w:bidi w:val="0"/>
        <w:adjustRightInd w:val="0"/>
        <w:snapToGrid w:val="0"/>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_Toc9584 </w:instrText>
      </w:r>
      <w:r>
        <w:rPr>
          <w:rFonts w:hint="eastAsia" w:ascii="宋体" w:hAnsi="宋体" w:eastAsia="宋体" w:cs="宋体"/>
          <w:sz w:val="28"/>
          <w:szCs w:val="28"/>
        </w:rPr>
        <w:fldChar w:fldCharType="separate"/>
      </w:r>
      <w:r>
        <w:rPr>
          <w:rFonts w:hint="eastAsia" w:ascii="宋体" w:hAnsi="宋体" w:eastAsia="宋体" w:cs="宋体"/>
          <w:bCs w:val="0"/>
          <w:kern w:val="2"/>
          <w:sz w:val="28"/>
          <w:szCs w:val="28"/>
          <w:lang w:val="en-US" w:eastAsia="zh-CN" w:bidi="ar-SA"/>
        </w:rPr>
        <w:t>G 纪律和监督</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_Toc9584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6766CA0">
      <w:pPr>
        <w:pStyle w:val="20"/>
        <w:keepNext w:val="0"/>
        <w:keepLines w:val="0"/>
        <w:pageBreakBefore w:val="0"/>
        <w:widowControl w:val="0"/>
        <w:shd w:val="clear"/>
        <w:tabs>
          <w:tab w:val="right" w:leader="dot" w:pos="8731"/>
        </w:tabs>
        <w:kinsoku/>
        <w:wordWrap/>
        <w:overflowPunct/>
        <w:topLinePunct w:val="0"/>
        <w:autoSpaceDE/>
        <w:autoSpaceDN/>
        <w:bidi w:val="0"/>
        <w:adjustRightInd w:val="0"/>
        <w:snapToGrid w:val="0"/>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_Toc24484 </w:instrText>
      </w:r>
      <w:r>
        <w:rPr>
          <w:rFonts w:hint="eastAsia" w:ascii="宋体" w:hAnsi="宋体" w:eastAsia="宋体" w:cs="宋体"/>
          <w:sz w:val="28"/>
          <w:szCs w:val="28"/>
        </w:rPr>
        <w:fldChar w:fldCharType="separate"/>
      </w:r>
      <w:r>
        <w:rPr>
          <w:rFonts w:hint="eastAsia" w:ascii="宋体" w:hAnsi="宋体" w:eastAsia="宋体" w:cs="宋体"/>
          <w:bCs w:val="0"/>
          <w:kern w:val="2"/>
          <w:sz w:val="28"/>
          <w:szCs w:val="28"/>
          <w:lang w:val="en-US" w:eastAsia="zh-CN" w:bidi="ar-SA"/>
        </w:rPr>
        <w:t>H其它事项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_Toc24484 </w:instrText>
      </w:r>
      <w:r>
        <w:rPr>
          <w:rFonts w:hint="eastAsia" w:ascii="宋体" w:hAnsi="宋体" w:eastAsia="宋体" w:cs="宋体"/>
          <w:sz w:val="28"/>
          <w:szCs w:val="28"/>
        </w:rPr>
        <w:fldChar w:fldCharType="separate"/>
      </w:r>
      <w:r>
        <w:rPr>
          <w:rFonts w:hint="eastAsia"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658F438">
      <w:pPr>
        <w:pStyle w:val="19"/>
        <w:keepNext w:val="0"/>
        <w:keepLines w:val="0"/>
        <w:pageBreakBefore w:val="0"/>
        <w:widowControl w:val="0"/>
        <w:shd w:val="clear"/>
        <w:tabs>
          <w:tab w:val="right" w:leader="dot" w:pos="8731"/>
        </w:tabs>
        <w:kinsoku/>
        <w:wordWrap/>
        <w:overflowPunct/>
        <w:topLinePunct w:val="0"/>
        <w:autoSpaceDE/>
        <w:autoSpaceDN/>
        <w:bidi w:val="0"/>
        <w:adjustRightInd w:val="0"/>
        <w:snapToGrid w:val="0"/>
        <w:spacing w:line="48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_Toc17184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第四章  合同条款及格式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_Toc17184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40</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05C50F60">
      <w:pPr>
        <w:pStyle w:val="19"/>
        <w:keepNext w:val="0"/>
        <w:keepLines w:val="0"/>
        <w:pageBreakBefore w:val="0"/>
        <w:widowControl w:val="0"/>
        <w:shd w:val="clear"/>
        <w:tabs>
          <w:tab w:val="right" w:leader="dot" w:pos="8731"/>
        </w:tabs>
        <w:kinsoku/>
        <w:wordWrap/>
        <w:overflowPunct/>
        <w:topLinePunct w:val="0"/>
        <w:autoSpaceDE/>
        <w:autoSpaceDN/>
        <w:bidi w:val="0"/>
        <w:adjustRightInd w:val="0"/>
        <w:snapToGrid w:val="0"/>
        <w:spacing w:line="48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_Toc13909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第五章  采购内容及要求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_Toc13909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41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6F538983">
      <w:pPr>
        <w:pStyle w:val="19"/>
        <w:keepNext w:val="0"/>
        <w:keepLines w:val="0"/>
        <w:pageBreakBefore w:val="0"/>
        <w:widowControl w:val="0"/>
        <w:shd w:val="clear"/>
        <w:tabs>
          <w:tab w:val="right" w:leader="dot" w:pos="8731"/>
        </w:tabs>
        <w:kinsoku/>
        <w:wordWrap/>
        <w:overflowPunct/>
        <w:topLinePunct w:val="0"/>
        <w:autoSpaceDE/>
        <w:autoSpaceDN/>
        <w:bidi w:val="0"/>
        <w:adjustRightInd w:val="0"/>
        <w:snapToGrid w:val="0"/>
        <w:spacing w:line="48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_Toc3396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eastAsia="zh-CN"/>
        </w:rPr>
        <w:t>第六章  竞争性磋商响应文件格式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_Toc3396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7874E5E2">
      <w:pPr>
        <w:keepNext w:val="0"/>
        <w:keepLines w:val="0"/>
        <w:pageBreakBefore w:val="0"/>
        <w:widowControl w:val="0"/>
        <w:shd w:val="clear"/>
        <w:kinsoku/>
        <w:wordWrap/>
        <w:overflowPunct/>
        <w:topLinePunct w:val="0"/>
        <w:autoSpaceDE/>
        <w:autoSpaceDN/>
        <w:bidi w:val="0"/>
        <w:adjustRightInd w:val="0"/>
        <w:snapToGrid w:val="0"/>
        <w:spacing w:line="480" w:lineRule="auto"/>
        <w:textAlignment w:val="auto"/>
        <w:rPr>
          <w:rFonts w:hint="eastAsia" w:ascii="宋体" w:hAnsi="宋体" w:eastAsia="宋体" w:cs="宋体"/>
          <w:b/>
          <w:sz w:val="28"/>
          <w:szCs w:val="28"/>
        </w:rPr>
      </w:pPr>
      <w:r>
        <w:rPr>
          <w:rFonts w:hint="eastAsia" w:ascii="宋体" w:hAnsi="宋体" w:eastAsia="宋体" w:cs="宋体"/>
          <w:sz w:val="28"/>
          <w:szCs w:val="28"/>
        </w:rPr>
        <w:fldChar w:fldCharType="end"/>
      </w:r>
    </w:p>
    <w:p w14:paraId="525AA171">
      <w:pPr>
        <w:shd w:val="clear"/>
        <w:adjustRightInd w:val="0"/>
        <w:snapToGrid w:val="0"/>
        <w:spacing w:line="360" w:lineRule="auto"/>
        <w:rPr>
          <w:rFonts w:hint="eastAsia" w:ascii="宋体" w:hAnsi="宋体" w:eastAsia="宋体" w:cs="宋体"/>
          <w:sz w:val="32"/>
          <w:szCs w:val="32"/>
        </w:rPr>
      </w:pPr>
    </w:p>
    <w:p w14:paraId="3C6F5E99">
      <w:pPr>
        <w:shd w:val="clear"/>
        <w:jc w:val="center"/>
        <w:rPr>
          <w:rFonts w:hint="eastAsia" w:ascii="宋体" w:hAnsi="宋体" w:eastAsia="宋体" w:cs="宋体"/>
          <w:b/>
          <w:sz w:val="44"/>
        </w:rPr>
      </w:pPr>
    </w:p>
    <w:p w14:paraId="3806BFB3">
      <w:pPr>
        <w:shd w:val="clear"/>
        <w:jc w:val="center"/>
        <w:rPr>
          <w:rFonts w:hint="eastAsia" w:ascii="宋体" w:hAnsi="宋体" w:eastAsia="宋体" w:cs="宋体"/>
          <w:b/>
          <w:sz w:val="44"/>
        </w:rPr>
      </w:pPr>
    </w:p>
    <w:p w14:paraId="1AB57CDF">
      <w:pPr>
        <w:pStyle w:val="2"/>
        <w:numPr>
          <w:ilvl w:val="0"/>
          <w:numId w:val="3"/>
        </w:numPr>
        <w:shd w:val="clear"/>
        <w:rPr>
          <w:rFonts w:hint="eastAsia" w:ascii="宋体" w:hAnsi="宋体" w:eastAsia="宋体" w:cs="宋体"/>
          <w:sz w:val="36"/>
          <w:szCs w:val="36"/>
        </w:rPr>
      </w:pPr>
      <w:bookmarkStart w:id="0" w:name="_Toc504605084"/>
      <w:r>
        <w:rPr>
          <w:rFonts w:hint="eastAsia" w:ascii="宋体" w:hAnsi="宋体" w:eastAsia="宋体" w:cs="宋体"/>
          <w:sz w:val="36"/>
          <w:szCs w:val="36"/>
        </w:rPr>
        <w:t xml:space="preserve"> </w:t>
      </w:r>
      <w:bookmarkStart w:id="1" w:name="_Toc9301"/>
      <w:bookmarkStart w:id="2" w:name="_Toc4712"/>
      <w:r>
        <w:rPr>
          <w:rFonts w:hint="eastAsia" w:ascii="宋体" w:hAnsi="宋体" w:eastAsia="宋体" w:cs="宋体"/>
          <w:sz w:val="36"/>
          <w:szCs w:val="36"/>
        </w:rPr>
        <w:t>竞争性磋商公告</w:t>
      </w:r>
      <w:bookmarkEnd w:id="0"/>
      <w:bookmarkEnd w:id="1"/>
      <w:bookmarkEnd w:id="2"/>
    </w:p>
    <w:p w14:paraId="3AE0F4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29"/>
          <w:rFonts w:hint="eastAsia" w:ascii="宋体" w:hAnsi="宋体" w:eastAsia="宋体" w:cs="宋体"/>
          <w:b/>
          <w:bCs/>
          <w:i w:val="0"/>
          <w:iCs w:val="0"/>
          <w:caps w:val="0"/>
          <w:color w:val="auto"/>
          <w:spacing w:val="0"/>
          <w:sz w:val="24"/>
          <w:szCs w:val="24"/>
          <w:shd w:val="clear" w:fill="FFFFFF"/>
        </w:rPr>
        <w:t>项目概况</w:t>
      </w:r>
    </w:p>
    <w:p w14:paraId="09F11CE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2025年“清爽榆林”文化旅游季吴堡分会场文化旅游周系列活动项目采购项目的潜在供应商应在登录全国公共资源交易中心平台（陕西省）使用CA锁报名后自行下载获取采购文件，并于 2025年07月31日 13时30分 （北京时间）前提交响应文件。</w:t>
      </w:r>
    </w:p>
    <w:p w14:paraId="21F4FF2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29"/>
          <w:rFonts w:hint="eastAsia" w:ascii="宋体" w:hAnsi="宋体" w:eastAsia="宋体" w:cs="宋体"/>
          <w:b/>
          <w:bCs/>
          <w:i w:val="0"/>
          <w:iCs w:val="0"/>
          <w:caps w:val="0"/>
          <w:color w:val="auto"/>
          <w:spacing w:val="0"/>
          <w:sz w:val="24"/>
          <w:szCs w:val="24"/>
          <w:shd w:val="clear" w:fill="FFFFFF"/>
        </w:rPr>
        <w:t>一、项目基本情况</w:t>
      </w:r>
    </w:p>
    <w:p w14:paraId="75244A9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项目编号：TZDT政采2025-010</w:t>
      </w:r>
    </w:p>
    <w:p w14:paraId="5053AFC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项目名称：2025年“清爽榆林”文化旅游季吴堡分会场文化旅游周系列活动项目</w:t>
      </w:r>
    </w:p>
    <w:p w14:paraId="0B09C48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采购方式：竞争性磋商</w:t>
      </w:r>
    </w:p>
    <w:p w14:paraId="0F0702E3">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预算金额：1,050,000.00元</w:t>
      </w:r>
    </w:p>
    <w:p w14:paraId="06F6787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291A634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合同包1(2025年“清爽榆林”文化旅游季吴堡分会场文化旅游周系列活动项目):</w:t>
      </w:r>
    </w:p>
    <w:p w14:paraId="3557DCA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合同包预算金额：1,050,000.00元</w:t>
      </w:r>
    </w:p>
    <w:p w14:paraId="35A3B5D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合同包最高限价：1,050,000.00元</w:t>
      </w:r>
    </w:p>
    <w:tbl>
      <w:tblPr>
        <w:tblStyle w:val="25"/>
        <w:tblW w:w="85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7"/>
        <w:gridCol w:w="2512"/>
        <w:gridCol w:w="1748"/>
        <w:gridCol w:w="760"/>
        <w:gridCol w:w="1389"/>
        <w:gridCol w:w="1600"/>
      </w:tblGrid>
      <w:tr w14:paraId="467668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1533" w:hRule="atLeast"/>
          <w:tblHeader/>
        </w:trPr>
        <w:tc>
          <w:tcPr>
            <w:tcW w:w="615"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262C2A02">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195"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6BCFE1F0">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128"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220564C5">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79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70F40B29">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48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5F986A92">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365"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676FA2EE">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271A03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9"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4501130B">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468E7B89">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其他文化、体育、娱乐服务</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17249B4F">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服务</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4E8646C8">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09E91983">
            <w:pPr>
              <w:keepNext w:val="0"/>
              <w:keepLines w:val="0"/>
              <w:pageBreakBefore w:val="0"/>
              <w:widowControl/>
              <w:suppressLineNumbers w:val="0"/>
              <w:shd w:val="clear"/>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5BF1C703">
            <w:pPr>
              <w:keepNext w:val="0"/>
              <w:keepLines w:val="0"/>
              <w:pageBreakBefore w:val="0"/>
              <w:widowControl/>
              <w:suppressLineNumbers w:val="0"/>
              <w:shd w:val="clear"/>
              <w:kinsoku/>
              <w:wordWrap/>
              <w:overflowPunct/>
              <w:topLinePunct w:val="0"/>
              <w:autoSpaceDE/>
              <w:autoSpaceDN/>
              <w:bidi w:val="0"/>
              <w:adjustRightInd w:val="0"/>
              <w:snapToGrid w:val="0"/>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1,050,000.00</w:t>
            </w:r>
          </w:p>
        </w:tc>
      </w:tr>
    </w:tbl>
    <w:p w14:paraId="1839780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18A0E4A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合同履行期限：无</w:t>
      </w:r>
    </w:p>
    <w:p w14:paraId="4A35668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29"/>
          <w:rFonts w:hint="eastAsia" w:ascii="宋体" w:hAnsi="宋体" w:eastAsia="宋体" w:cs="宋体"/>
          <w:b/>
          <w:bCs/>
          <w:i w:val="0"/>
          <w:iCs w:val="0"/>
          <w:caps w:val="0"/>
          <w:color w:val="auto"/>
          <w:spacing w:val="0"/>
          <w:sz w:val="24"/>
          <w:szCs w:val="24"/>
          <w:shd w:val="clear" w:fill="FFFFFF"/>
        </w:rPr>
        <w:t>二、申请人的资格要求：</w:t>
      </w:r>
    </w:p>
    <w:p w14:paraId="270A710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19168E33">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039FACA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合同包1(2025年“清爽榆林”文化旅游季吴堡分会场文化旅游周系列活动项目)落实政府采购政策需满足的资格要求如下:</w:t>
      </w:r>
    </w:p>
    <w:p w14:paraId="0C12C7C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32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w:t>
      </w:r>
      <w:bookmarkStart w:id="255" w:name="_GoBack"/>
      <w:bookmarkEnd w:id="255"/>
      <w:r>
        <w:rPr>
          <w:rFonts w:hint="eastAsia" w:ascii="宋体" w:hAnsi="宋体" w:eastAsia="宋体" w:cs="宋体"/>
          <w:i w:val="0"/>
          <w:iCs w:val="0"/>
          <w:caps w:val="0"/>
          <w:color w:val="auto"/>
          <w:spacing w:val="0"/>
          <w:sz w:val="24"/>
          <w:szCs w:val="24"/>
          <w:shd w:val="clear" w:fill="FFFFFF"/>
        </w:rPr>
        <w:t>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（3）《财政部、民政部、中国残疾人联合会关于促进残疾人就业政府采购政策的通知》（财库[2017]141号）；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（5）关于在政府采购活动中查询及使用信用记录有关问题的通知》（财库〔2016〕125号）；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（7）《陕西省财政厅关于进一步加大政府采购支持中小企业力度的通知》(陕财采发〔2022〕5号)；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（8）《陕西省财政厅中国人民银行西安分行关于深入推进政府采购信用融资业务的通知》（陕财办采〔2023]5号）</w:t>
      </w:r>
    </w:p>
    <w:p w14:paraId="3A10279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139BF4D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合同包1(2025年“清爽榆林”文化旅游季吴堡分会场文化旅游周系列活动项目)特定资格要求如下:</w:t>
      </w:r>
    </w:p>
    <w:p w14:paraId="05D14EA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32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2)财务状况报告：供应商提供2024年经审计的财务报告，成立时间至提交响应文件截止时间不足一年的提供其基本账户开户银行出具的资信证明及基本账户开户许可证；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3)税收缴纳证明：提供2024年6月至今已缴纳的至少一个月的纳税证明或完税证明，依法免税的单位应提供相关证明材料；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4)社会保障资金缴纳证明：提供2024年6月至今已缴纳的至少一个月的社会保障资金凭据（专用收据或社会保险缴纳清单）；依法不需要缴纳社会保障资金的供应商应提供相关文件证明；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投标人提供在投标截止日前在信用中国网（www.creditchina.gov.cn）未被列入失信被执行人、重大税收违法案件当事人名单和在中国政府采购网（www.ccgp.gov.cn）未被列入政府采购严重违法失信行为记录名单（查询日期为从招标文件发售之日起至投标截止日前）并加盖供应商公章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6)书面声明：参加政府采购活动前三年内，在经营活动中没有重大违法、违规记录的书面声明；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7)提供具有履行合同所必需的设备和专业技术能力的证明资料或承诺书；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8)提供榆林市政府采购服务类项目供应商信用承诺书、投标信用承诺书（保证金）（格式后附）；</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9)本项目专门面向中小企业采购,供应商须提供中小企业声明函;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w:t>
      </w:r>
    </w:p>
    <w:p w14:paraId="03C7B81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29"/>
          <w:rFonts w:hint="eastAsia" w:ascii="宋体" w:hAnsi="宋体" w:eastAsia="宋体" w:cs="宋体"/>
          <w:b/>
          <w:bCs/>
          <w:i w:val="0"/>
          <w:iCs w:val="0"/>
          <w:caps w:val="0"/>
          <w:color w:val="auto"/>
          <w:spacing w:val="0"/>
          <w:sz w:val="24"/>
          <w:szCs w:val="24"/>
          <w:shd w:val="clear" w:fill="FFFFFF"/>
        </w:rPr>
        <w:t>三、获取采购文件</w:t>
      </w:r>
    </w:p>
    <w:p w14:paraId="0299D17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 2025年07月21日 至 2025年07月25日 ，每天上午 08:00:00 至 12:00:00 ，下午 12:00:00 至 17:00:00 （北京时间）</w:t>
      </w:r>
    </w:p>
    <w:p w14:paraId="127314E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14:paraId="13E1233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14:paraId="740762B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 0元</w:t>
      </w:r>
    </w:p>
    <w:p w14:paraId="434C0C3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29"/>
          <w:rFonts w:hint="eastAsia" w:ascii="宋体" w:hAnsi="宋体" w:eastAsia="宋体" w:cs="宋体"/>
          <w:b/>
          <w:bCs/>
          <w:i w:val="0"/>
          <w:iCs w:val="0"/>
          <w:caps w:val="0"/>
          <w:color w:val="auto"/>
          <w:spacing w:val="0"/>
          <w:sz w:val="24"/>
          <w:szCs w:val="24"/>
          <w:shd w:val="clear" w:fill="FFFFFF"/>
        </w:rPr>
        <w:t>四、响应文件提交</w:t>
      </w:r>
    </w:p>
    <w:p w14:paraId="47A50F2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 2025年07月31日 13时30分00秒 （北京时间）</w:t>
      </w:r>
    </w:p>
    <w:p w14:paraId="359B428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地点：登录全国公共资源交易中心平台（陕西省）使用CA锁上传投标文件</w:t>
      </w:r>
    </w:p>
    <w:p w14:paraId="3E26C58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29"/>
          <w:rFonts w:hint="eastAsia" w:ascii="宋体" w:hAnsi="宋体" w:eastAsia="宋体" w:cs="宋体"/>
          <w:b/>
          <w:bCs/>
          <w:i w:val="0"/>
          <w:iCs w:val="0"/>
          <w:caps w:val="0"/>
          <w:color w:val="auto"/>
          <w:spacing w:val="0"/>
          <w:sz w:val="24"/>
          <w:szCs w:val="24"/>
          <w:shd w:val="clear" w:fill="FFFFFF"/>
        </w:rPr>
        <w:t>五、开启</w:t>
      </w:r>
    </w:p>
    <w:p w14:paraId="6CEFD8D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 2025年07月31日 13时30分00秒 （北京时间）</w:t>
      </w:r>
    </w:p>
    <w:p w14:paraId="3198119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地点：榆林市公共资源交易中心10楼开标4室</w:t>
      </w:r>
    </w:p>
    <w:p w14:paraId="4845850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29"/>
          <w:rFonts w:hint="eastAsia" w:ascii="宋体" w:hAnsi="宋体" w:eastAsia="宋体" w:cs="宋体"/>
          <w:b/>
          <w:bCs/>
          <w:i w:val="0"/>
          <w:iCs w:val="0"/>
          <w:caps w:val="0"/>
          <w:color w:val="auto"/>
          <w:spacing w:val="0"/>
          <w:sz w:val="24"/>
          <w:szCs w:val="24"/>
          <w:shd w:val="clear" w:fill="FFFFFF"/>
        </w:rPr>
        <w:t>六、公告期限</w:t>
      </w:r>
    </w:p>
    <w:p w14:paraId="6AFCA9C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3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15E9CA7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29"/>
          <w:rFonts w:hint="eastAsia" w:ascii="宋体" w:hAnsi="宋体" w:eastAsia="宋体" w:cs="宋体"/>
          <w:b/>
          <w:bCs/>
          <w:i w:val="0"/>
          <w:iCs w:val="0"/>
          <w:caps w:val="0"/>
          <w:color w:val="auto"/>
          <w:spacing w:val="0"/>
          <w:sz w:val="24"/>
          <w:szCs w:val="24"/>
          <w:shd w:val="clear" w:fill="FFFFFF"/>
        </w:rPr>
        <w:t>七、其他补充事宜</w:t>
      </w:r>
    </w:p>
    <w:p w14:paraId="5CB421E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rPr>
      </w:pPr>
      <w:r>
        <w:rPr>
          <w:rStyle w:val="29"/>
          <w:rFonts w:hint="eastAsia" w:ascii="宋体" w:hAnsi="宋体" w:eastAsia="宋体" w:cs="宋体"/>
          <w:b/>
          <w:bCs/>
          <w:i w:val="0"/>
          <w:iCs w:val="0"/>
          <w:caps w:val="0"/>
          <w:color w:val="auto"/>
          <w:spacing w:val="0"/>
          <w:kern w:val="0"/>
          <w:sz w:val="24"/>
          <w:szCs w:val="24"/>
          <w:shd w:val="clear" w:fill="FFFFFF"/>
          <w:lang w:val="en-US" w:eastAsia="zh-CN" w:bidi="ar"/>
        </w:rPr>
        <w:t>1 、 投 标 人 登 录 全 国 公 共 资 源 交 易 中 心 平 台 （陕 西 省 • 榆 林 市 ） （http://yl.sxggzyjy.cn/）,选择“ 电子交易平台→ 陕西政府采购交易系统→ 陕西省 公共资源交易平台→投标人 ”进行登录，登录后选择“交易乙方 ”身份进入投标人界面进行报名并下载磋商文件；2、在磋商文件获取时间内请及时在 CA 锁下载电子版磋商文件，否则后果自负；3、投标人初次使用交易平台，须先完成诚信入库登记、CA 锁认证及企业信息绑定。 相关操作流程详见全国公共资源交易平台（陕西省）网站首页“服务指南 ”下载专区中的《陕西省公共资源交易中心政府采购项目投标指南》；4、本项目采用电子化不见面开标方式，供应商使用数字认证证书（CA 锁）对投标 文件进行签章、加密、上传、签到、解密。不见面开标系统的签到和投标文件解密事宜 请登录全国公共资源交易平台（陕西省˙榆林市）（http://yl.sxggzy jy.cn/），选择 “服务指南 ”，点击“下载专区 ”，点击榆林不见面开标系统操作手册（投标人）、榆 林不见面开标大厅投标人询标操作手册 V2.0，请供应商仔细阅读操作手册，了解操作 流程，熟练掌握不见面开标、不见面询标操作相关事宜，若无法正常投标，供应商自行 承担责任。电子投标文件制作软件技术支持热线：400-998-0000，CA 锁购买：榆林市市民大厦四楼窗口,联系电话：0912-3515031。</w:t>
      </w:r>
    </w:p>
    <w:p w14:paraId="15472F0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29"/>
          <w:rFonts w:hint="eastAsia" w:ascii="宋体" w:hAnsi="宋体" w:eastAsia="宋体" w:cs="宋体"/>
          <w:b/>
          <w:bCs/>
          <w:i w:val="0"/>
          <w:iCs w:val="0"/>
          <w:caps w:val="0"/>
          <w:color w:val="auto"/>
          <w:spacing w:val="0"/>
          <w:sz w:val="24"/>
          <w:szCs w:val="24"/>
          <w:shd w:val="clear" w:fill="FFFFFF"/>
        </w:rPr>
        <w:t>八、对本次招标提出询问，请按以下方式联系。</w:t>
      </w:r>
    </w:p>
    <w:p w14:paraId="213DE7F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72B64FA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名称：吴堡县文化和旅游文物广电局</w:t>
      </w:r>
    </w:p>
    <w:p w14:paraId="15C1FD5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地址：宋家川街道办新建街7号</w:t>
      </w:r>
    </w:p>
    <w:p w14:paraId="4944118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联系方式：18791258122</w:t>
      </w:r>
    </w:p>
    <w:p w14:paraId="3A7452A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252E2C6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名称：榆林天泽鼎泰项目管理有限公司</w:t>
      </w:r>
    </w:p>
    <w:p w14:paraId="7FF18E73">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地址：榆林市富康路东恒时代1103室</w:t>
      </w:r>
    </w:p>
    <w:p w14:paraId="149BC08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联系方式：15609120312</w:t>
      </w:r>
    </w:p>
    <w:p w14:paraId="30714FE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459AEC3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项目联系人：李稳兵</w:t>
      </w:r>
    </w:p>
    <w:p w14:paraId="3C1DD14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电话：15609120312</w:t>
      </w:r>
    </w:p>
    <w:p w14:paraId="38C248D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320"/>
        <w:jc w:val="righ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榆林天泽鼎泰项目管理有限公司</w:t>
      </w:r>
    </w:p>
    <w:p w14:paraId="1C82BB1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right="0" w:firstLine="320"/>
        <w:jc w:val="righ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2025年07月20日</w:t>
      </w:r>
    </w:p>
    <w:p w14:paraId="132269CB">
      <w:pPr>
        <w:keepLines w:val="0"/>
        <w:pageBreakBefore w:val="0"/>
        <w:shd w:val="clear"/>
        <w:kinsoku/>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auto"/>
          <w:spacing w:val="0"/>
          <w:sz w:val="24"/>
          <w:szCs w:val="24"/>
          <w:shd w:val="clear" w:fill="FFFFFF"/>
        </w:rPr>
      </w:pPr>
    </w:p>
    <w:p w14:paraId="17FEB28C">
      <w:pPr>
        <w:pStyle w:val="2"/>
        <w:keepLines w:val="0"/>
        <w:pageBreakBefore w:val="0"/>
        <w:shd w:val="clear"/>
        <w:kinsoku/>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auto"/>
          <w:spacing w:val="0"/>
          <w:sz w:val="24"/>
          <w:szCs w:val="24"/>
          <w:shd w:val="clear" w:fill="FFFFFF"/>
        </w:rPr>
      </w:pPr>
    </w:p>
    <w:p w14:paraId="0CC06055">
      <w:pPr>
        <w:keepLines w:val="0"/>
        <w:pageBreakBefore w:val="0"/>
        <w:shd w:val="clear"/>
        <w:kinsoku/>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auto"/>
          <w:spacing w:val="0"/>
          <w:sz w:val="24"/>
          <w:szCs w:val="24"/>
          <w:shd w:val="clear" w:fill="FFFFFF"/>
        </w:rPr>
      </w:pPr>
    </w:p>
    <w:p w14:paraId="363495BE">
      <w:pPr>
        <w:pStyle w:val="2"/>
        <w:keepLines w:val="0"/>
        <w:pageBreakBefore w:val="0"/>
        <w:shd w:val="clear"/>
        <w:kinsoku/>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auto"/>
          <w:spacing w:val="0"/>
          <w:sz w:val="24"/>
          <w:szCs w:val="24"/>
          <w:shd w:val="clear" w:fill="FFFFFF"/>
        </w:rPr>
      </w:pPr>
    </w:p>
    <w:p w14:paraId="15058832">
      <w:pPr>
        <w:keepLines w:val="0"/>
        <w:pageBreakBefore w:val="0"/>
        <w:shd w:val="clear"/>
        <w:kinsoku/>
        <w:overflowPunct/>
        <w:topLinePunct w:val="0"/>
        <w:autoSpaceDE/>
        <w:autoSpaceDN/>
        <w:bidi w:val="0"/>
        <w:adjustRightInd w:val="0"/>
        <w:snapToGrid w:val="0"/>
        <w:spacing w:line="360" w:lineRule="auto"/>
        <w:rPr>
          <w:rFonts w:hint="eastAsia" w:ascii="宋体" w:hAnsi="宋体" w:eastAsia="宋体" w:cs="宋体"/>
          <w:i w:val="0"/>
          <w:iCs w:val="0"/>
          <w:caps w:val="0"/>
          <w:color w:val="333333"/>
          <w:spacing w:val="0"/>
          <w:sz w:val="24"/>
          <w:szCs w:val="24"/>
          <w:shd w:val="clear" w:fill="FFFFFF"/>
        </w:rPr>
      </w:pPr>
    </w:p>
    <w:p w14:paraId="1952C3C8">
      <w:pPr>
        <w:pStyle w:val="2"/>
        <w:keepLines w:val="0"/>
        <w:pageBreakBefore w:val="0"/>
        <w:shd w:val="clear"/>
        <w:kinsoku/>
        <w:overflowPunct/>
        <w:topLinePunct w:val="0"/>
        <w:autoSpaceDE/>
        <w:autoSpaceDN/>
        <w:bidi w:val="0"/>
        <w:adjustRightInd w:val="0"/>
        <w:snapToGrid w:val="0"/>
        <w:spacing w:line="360" w:lineRule="auto"/>
        <w:rPr>
          <w:rFonts w:hint="eastAsia" w:ascii="宋体" w:hAnsi="宋体" w:eastAsia="宋体" w:cs="宋体"/>
          <w:i w:val="0"/>
          <w:iCs w:val="0"/>
          <w:caps w:val="0"/>
          <w:color w:val="333333"/>
          <w:spacing w:val="0"/>
          <w:sz w:val="24"/>
          <w:szCs w:val="24"/>
          <w:shd w:val="clear" w:fill="FFFFFF"/>
        </w:rPr>
      </w:pPr>
    </w:p>
    <w:p w14:paraId="6CEFFBD7">
      <w:pPr>
        <w:keepLines w:val="0"/>
        <w:pageBreakBefore w:val="0"/>
        <w:shd w:val="clear"/>
        <w:kinsoku/>
        <w:overflowPunct/>
        <w:topLinePunct w:val="0"/>
        <w:autoSpaceDE/>
        <w:autoSpaceDN/>
        <w:bidi w:val="0"/>
        <w:adjustRightInd w:val="0"/>
        <w:snapToGrid w:val="0"/>
        <w:spacing w:line="360" w:lineRule="auto"/>
        <w:rPr>
          <w:rFonts w:hint="eastAsia" w:ascii="宋体" w:hAnsi="宋体" w:eastAsia="宋体" w:cs="宋体"/>
          <w:i w:val="0"/>
          <w:iCs w:val="0"/>
          <w:caps w:val="0"/>
          <w:color w:val="333333"/>
          <w:spacing w:val="0"/>
          <w:sz w:val="24"/>
          <w:szCs w:val="24"/>
          <w:shd w:val="clear" w:fill="FFFFFF"/>
        </w:rPr>
      </w:pPr>
    </w:p>
    <w:p w14:paraId="21171C3F">
      <w:pPr>
        <w:keepLines w:val="0"/>
        <w:pageBreakBefore w:val="0"/>
        <w:shd w:val="clear"/>
        <w:kinsoku/>
        <w:overflowPunct/>
        <w:topLinePunct w:val="0"/>
        <w:autoSpaceDE/>
        <w:autoSpaceDN/>
        <w:bidi w:val="0"/>
        <w:adjustRightInd w:val="0"/>
        <w:snapToGrid w:val="0"/>
        <w:spacing w:line="360" w:lineRule="auto"/>
        <w:rPr>
          <w:rFonts w:hint="eastAsia" w:ascii="宋体" w:hAnsi="宋体" w:eastAsia="宋体" w:cs="宋体"/>
          <w:i w:val="0"/>
          <w:iCs w:val="0"/>
          <w:caps w:val="0"/>
          <w:color w:val="333333"/>
          <w:spacing w:val="0"/>
          <w:sz w:val="24"/>
          <w:szCs w:val="24"/>
          <w:shd w:val="clear" w:fill="FFFFFF"/>
        </w:rPr>
      </w:pPr>
    </w:p>
    <w:p w14:paraId="6B99A9C3">
      <w:pPr>
        <w:keepLines w:val="0"/>
        <w:pageBreakBefore w:val="0"/>
        <w:shd w:val="clear"/>
        <w:kinsoku/>
        <w:overflowPunct/>
        <w:topLinePunct w:val="0"/>
        <w:autoSpaceDE/>
        <w:autoSpaceDN/>
        <w:bidi w:val="0"/>
        <w:adjustRightInd w:val="0"/>
        <w:snapToGrid w:val="0"/>
        <w:spacing w:line="360" w:lineRule="auto"/>
        <w:rPr>
          <w:rFonts w:hint="eastAsia" w:ascii="宋体" w:hAnsi="宋体" w:eastAsia="宋体" w:cs="宋体"/>
          <w:i w:val="0"/>
          <w:iCs w:val="0"/>
          <w:caps w:val="0"/>
          <w:color w:val="333333"/>
          <w:spacing w:val="0"/>
          <w:sz w:val="24"/>
          <w:szCs w:val="24"/>
          <w:shd w:val="clear" w:fill="FFFFFF"/>
        </w:rPr>
      </w:pPr>
    </w:p>
    <w:p w14:paraId="36343DA9">
      <w:pPr>
        <w:keepLines w:val="0"/>
        <w:pageBreakBefore w:val="0"/>
        <w:shd w:val="clear"/>
        <w:kinsoku/>
        <w:overflowPunct/>
        <w:topLinePunct w:val="0"/>
        <w:autoSpaceDE/>
        <w:autoSpaceDN/>
        <w:bidi w:val="0"/>
        <w:adjustRightInd w:val="0"/>
        <w:snapToGrid w:val="0"/>
        <w:spacing w:line="360" w:lineRule="auto"/>
        <w:rPr>
          <w:rFonts w:hint="eastAsia" w:ascii="宋体" w:hAnsi="宋体" w:eastAsia="宋体" w:cs="宋体"/>
          <w:i w:val="0"/>
          <w:iCs w:val="0"/>
          <w:caps w:val="0"/>
          <w:color w:val="333333"/>
          <w:spacing w:val="0"/>
          <w:sz w:val="24"/>
          <w:szCs w:val="24"/>
          <w:shd w:val="clear" w:fill="FFFFFF"/>
        </w:rPr>
      </w:pPr>
    </w:p>
    <w:p w14:paraId="1DFE7495">
      <w:pPr>
        <w:keepLines w:val="0"/>
        <w:pageBreakBefore w:val="0"/>
        <w:shd w:val="clear"/>
        <w:kinsoku/>
        <w:overflowPunct/>
        <w:topLinePunct w:val="0"/>
        <w:autoSpaceDE/>
        <w:autoSpaceDN/>
        <w:bidi w:val="0"/>
        <w:adjustRightInd w:val="0"/>
        <w:snapToGrid w:val="0"/>
        <w:spacing w:line="360" w:lineRule="auto"/>
        <w:rPr>
          <w:rFonts w:hint="eastAsia" w:ascii="宋体" w:hAnsi="宋体" w:eastAsia="宋体" w:cs="宋体"/>
          <w:i w:val="0"/>
          <w:iCs w:val="0"/>
          <w:caps w:val="0"/>
          <w:color w:val="333333"/>
          <w:spacing w:val="0"/>
          <w:sz w:val="24"/>
          <w:szCs w:val="24"/>
          <w:shd w:val="clear" w:fill="FFFFFF"/>
        </w:rPr>
      </w:pPr>
    </w:p>
    <w:p w14:paraId="02A3CE9B">
      <w:pPr>
        <w:keepLines w:val="0"/>
        <w:pageBreakBefore w:val="0"/>
        <w:shd w:val="clear"/>
        <w:kinsoku/>
        <w:overflowPunct/>
        <w:topLinePunct w:val="0"/>
        <w:autoSpaceDE/>
        <w:autoSpaceDN/>
        <w:bidi w:val="0"/>
        <w:adjustRightInd w:val="0"/>
        <w:snapToGrid w:val="0"/>
        <w:spacing w:line="360" w:lineRule="auto"/>
        <w:rPr>
          <w:rFonts w:hint="eastAsia" w:ascii="宋体" w:hAnsi="宋体" w:eastAsia="宋体" w:cs="宋体"/>
          <w:i w:val="0"/>
          <w:iCs w:val="0"/>
          <w:caps w:val="0"/>
          <w:color w:val="333333"/>
          <w:spacing w:val="0"/>
          <w:sz w:val="24"/>
          <w:szCs w:val="24"/>
          <w:shd w:val="clear" w:fill="FFFFFF"/>
        </w:rPr>
      </w:pPr>
    </w:p>
    <w:p w14:paraId="47F529D6">
      <w:pPr>
        <w:keepLines w:val="0"/>
        <w:pageBreakBefore w:val="0"/>
        <w:shd w:val="clear"/>
        <w:kinsoku/>
        <w:overflowPunct/>
        <w:topLinePunct w:val="0"/>
        <w:autoSpaceDE/>
        <w:autoSpaceDN/>
        <w:bidi w:val="0"/>
        <w:adjustRightInd w:val="0"/>
        <w:snapToGrid w:val="0"/>
        <w:spacing w:line="360" w:lineRule="auto"/>
        <w:rPr>
          <w:rFonts w:hint="eastAsia" w:ascii="宋体" w:hAnsi="宋体" w:eastAsia="宋体" w:cs="宋体"/>
          <w:i w:val="0"/>
          <w:iCs w:val="0"/>
          <w:caps w:val="0"/>
          <w:color w:val="333333"/>
          <w:spacing w:val="0"/>
          <w:sz w:val="24"/>
          <w:szCs w:val="24"/>
          <w:shd w:val="clear" w:fill="FFFFFF"/>
        </w:rPr>
      </w:pPr>
    </w:p>
    <w:p w14:paraId="10AA2D9F">
      <w:pPr>
        <w:keepLines w:val="0"/>
        <w:pageBreakBefore w:val="0"/>
        <w:shd w:val="clear"/>
        <w:kinsoku/>
        <w:overflowPunct/>
        <w:topLinePunct w:val="0"/>
        <w:autoSpaceDE/>
        <w:autoSpaceDN/>
        <w:bidi w:val="0"/>
        <w:adjustRightInd w:val="0"/>
        <w:snapToGrid w:val="0"/>
        <w:spacing w:line="360" w:lineRule="auto"/>
        <w:rPr>
          <w:rFonts w:hint="eastAsia" w:ascii="宋体" w:hAnsi="宋体" w:eastAsia="宋体" w:cs="宋体"/>
          <w:i w:val="0"/>
          <w:iCs w:val="0"/>
          <w:caps w:val="0"/>
          <w:color w:val="333333"/>
          <w:spacing w:val="0"/>
          <w:sz w:val="24"/>
          <w:szCs w:val="24"/>
          <w:shd w:val="clear" w:fill="FFFFFF"/>
        </w:rPr>
      </w:pPr>
    </w:p>
    <w:p w14:paraId="4DA39AB2">
      <w:pPr>
        <w:keepLines w:val="0"/>
        <w:pageBreakBefore w:val="0"/>
        <w:shd w:val="clear"/>
        <w:kinsoku/>
        <w:overflowPunct/>
        <w:topLinePunct w:val="0"/>
        <w:autoSpaceDE/>
        <w:autoSpaceDN/>
        <w:bidi w:val="0"/>
        <w:adjustRightInd w:val="0"/>
        <w:snapToGrid w:val="0"/>
        <w:spacing w:line="360" w:lineRule="auto"/>
        <w:rPr>
          <w:rFonts w:hint="eastAsia" w:ascii="宋体" w:hAnsi="宋体" w:eastAsia="宋体" w:cs="宋体"/>
          <w:i w:val="0"/>
          <w:iCs w:val="0"/>
          <w:caps w:val="0"/>
          <w:color w:val="333333"/>
          <w:spacing w:val="0"/>
          <w:sz w:val="24"/>
          <w:szCs w:val="24"/>
          <w:shd w:val="clear" w:fill="FFFFFF"/>
        </w:rPr>
      </w:pPr>
    </w:p>
    <w:p w14:paraId="533E0247">
      <w:pPr>
        <w:keepLines w:val="0"/>
        <w:pageBreakBefore w:val="0"/>
        <w:shd w:val="clear"/>
        <w:kinsoku/>
        <w:overflowPunct/>
        <w:topLinePunct w:val="0"/>
        <w:autoSpaceDE/>
        <w:autoSpaceDN/>
        <w:bidi w:val="0"/>
        <w:adjustRightInd w:val="0"/>
        <w:snapToGrid w:val="0"/>
        <w:spacing w:line="360" w:lineRule="auto"/>
        <w:rPr>
          <w:rFonts w:hint="eastAsia" w:ascii="宋体" w:hAnsi="宋体" w:eastAsia="宋体" w:cs="宋体"/>
          <w:i w:val="0"/>
          <w:iCs w:val="0"/>
          <w:caps w:val="0"/>
          <w:color w:val="333333"/>
          <w:spacing w:val="0"/>
          <w:sz w:val="24"/>
          <w:szCs w:val="24"/>
          <w:shd w:val="clear" w:fill="FFFFFF"/>
        </w:rPr>
      </w:pPr>
    </w:p>
    <w:p w14:paraId="16417F6D">
      <w:pPr>
        <w:keepLines w:val="0"/>
        <w:pageBreakBefore w:val="0"/>
        <w:shd w:val="clear"/>
        <w:kinsoku/>
        <w:overflowPunct/>
        <w:topLinePunct w:val="0"/>
        <w:autoSpaceDE/>
        <w:autoSpaceDN/>
        <w:bidi w:val="0"/>
        <w:adjustRightInd w:val="0"/>
        <w:snapToGrid w:val="0"/>
        <w:spacing w:line="360" w:lineRule="auto"/>
        <w:rPr>
          <w:rFonts w:hint="eastAsia" w:ascii="宋体" w:hAnsi="宋体" w:eastAsia="宋体" w:cs="宋体"/>
          <w:i w:val="0"/>
          <w:iCs w:val="0"/>
          <w:caps w:val="0"/>
          <w:color w:val="333333"/>
          <w:spacing w:val="0"/>
          <w:sz w:val="24"/>
          <w:szCs w:val="24"/>
          <w:shd w:val="clear" w:fill="FFFFFF"/>
        </w:rPr>
      </w:pPr>
    </w:p>
    <w:p w14:paraId="74587983">
      <w:pPr>
        <w:keepLines w:val="0"/>
        <w:pageBreakBefore w:val="0"/>
        <w:shd w:val="clear"/>
        <w:kinsoku/>
        <w:overflowPunct/>
        <w:topLinePunct w:val="0"/>
        <w:autoSpaceDE/>
        <w:autoSpaceDN/>
        <w:bidi w:val="0"/>
        <w:adjustRightInd w:val="0"/>
        <w:snapToGrid w:val="0"/>
        <w:spacing w:line="360" w:lineRule="auto"/>
        <w:rPr>
          <w:rFonts w:hint="eastAsia" w:ascii="宋体" w:hAnsi="宋体" w:eastAsia="宋体" w:cs="宋体"/>
          <w:i w:val="0"/>
          <w:iCs w:val="0"/>
          <w:caps w:val="0"/>
          <w:color w:val="333333"/>
          <w:spacing w:val="0"/>
          <w:sz w:val="24"/>
          <w:szCs w:val="24"/>
          <w:shd w:val="clear" w:fill="FFFFFF"/>
        </w:rPr>
      </w:pPr>
    </w:p>
    <w:p w14:paraId="2F80444B">
      <w:pPr>
        <w:keepLines w:val="0"/>
        <w:pageBreakBefore w:val="0"/>
        <w:shd w:val="clear"/>
        <w:kinsoku/>
        <w:overflowPunct/>
        <w:topLinePunct w:val="0"/>
        <w:autoSpaceDE/>
        <w:autoSpaceDN/>
        <w:bidi w:val="0"/>
        <w:adjustRightInd w:val="0"/>
        <w:snapToGrid w:val="0"/>
        <w:spacing w:line="360" w:lineRule="auto"/>
        <w:rPr>
          <w:rFonts w:hint="eastAsia" w:ascii="宋体" w:hAnsi="宋体" w:eastAsia="宋体" w:cs="宋体"/>
          <w:i w:val="0"/>
          <w:iCs w:val="0"/>
          <w:caps w:val="0"/>
          <w:color w:val="333333"/>
          <w:spacing w:val="0"/>
          <w:sz w:val="24"/>
          <w:szCs w:val="24"/>
          <w:shd w:val="clear" w:fill="FFFFFF"/>
        </w:rPr>
      </w:pPr>
    </w:p>
    <w:p w14:paraId="73D58EE1">
      <w:pPr>
        <w:keepLines w:val="0"/>
        <w:pageBreakBefore w:val="0"/>
        <w:shd w:val="clear"/>
        <w:kinsoku/>
        <w:overflowPunct/>
        <w:topLinePunct w:val="0"/>
        <w:autoSpaceDE/>
        <w:autoSpaceDN/>
        <w:bidi w:val="0"/>
        <w:adjustRightInd w:val="0"/>
        <w:snapToGrid w:val="0"/>
        <w:spacing w:line="360" w:lineRule="auto"/>
        <w:rPr>
          <w:rFonts w:hint="eastAsia" w:ascii="宋体" w:hAnsi="宋体" w:eastAsia="宋体" w:cs="宋体"/>
          <w:i w:val="0"/>
          <w:iCs w:val="0"/>
          <w:caps w:val="0"/>
          <w:color w:val="333333"/>
          <w:spacing w:val="0"/>
          <w:sz w:val="24"/>
          <w:szCs w:val="24"/>
          <w:shd w:val="clear" w:fill="FFFFFF"/>
        </w:rPr>
      </w:pPr>
    </w:p>
    <w:p w14:paraId="39AE6370">
      <w:pPr>
        <w:keepLines w:val="0"/>
        <w:pageBreakBefore w:val="0"/>
        <w:shd w:val="clear"/>
        <w:kinsoku/>
        <w:overflowPunct/>
        <w:topLinePunct w:val="0"/>
        <w:autoSpaceDE/>
        <w:autoSpaceDN/>
        <w:bidi w:val="0"/>
        <w:adjustRightInd w:val="0"/>
        <w:snapToGrid w:val="0"/>
        <w:spacing w:line="360" w:lineRule="auto"/>
        <w:rPr>
          <w:rFonts w:hint="eastAsia" w:ascii="宋体" w:hAnsi="宋体" w:eastAsia="宋体" w:cs="宋体"/>
          <w:i w:val="0"/>
          <w:iCs w:val="0"/>
          <w:caps w:val="0"/>
          <w:color w:val="333333"/>
          <w:spacing w:val="0"/>
          <w:sz w:val="24"/>
          <w:szCs w:val="24"/>
          <w:shd w:val="clear" w:fill="FFFFFF"/>
        </w:rPr>
      </w:pPr>
    </w:p>
    <w:p w14:paraId="5E3EB76E">
      <w:pPr>
        <w:keepLines w:val="0"/>
        <w:pageBreakBefore w:val="0"/>
        <w:shd w:val="clear"/>
        <w:kinsoku/>
        <w:overflowPunct/>
        <w:topLinePunct w:val="0"/>
        <w:autoSpaceDE/>
        <w:autoSpaceDN/>
        <w:bidi w:val="0"/>
        <w:adjustRightInd w:val="0"/>
        <w:snapToGrid w:val="0"/>
        <w:spacing w:line="360" w:lineRule="auto"/>
        <w:rPr>
          <w:rFonts w:hint="eastAsia" w:ascii="宋体" w:hAnsi="宋体" w:eastAsia="宋体" w:cs="宋体"/>
          <w:i w:val="0"/>
          <w:iCs w:val="0"/>
          <w:caps w:val="0"/>
          <w:color w:val="333333"/>
          <w:spacing w:val="0"/>
          <w:sz w:val="24"/>
          <w:szCs w:val="24"/>
          <w:shd w:val="clear" w:fill="FFFFFF"/>
        </w:rPr>
      </w:pPr>
    </w:p>
    <w:p w14:paraId="428BF467">
      <w:pPr>
        <w:pStyle w:val="2"/>
        <w:keepLines w:val="0"/>
        <w:pageBreakBefore w:val="0"/>
        <w:shd w:val="clear"/>
        <w:kinsoku/>
        <w:overflowPunct/>
        <w:topLinePunct w:val="0"/>
        <w:autoSpaceDE/>
        <w:autoSpaceDN/>
        <w:bidi w:val="0"/>
        <w:adjustRightInd w:val="0"/>
        <w:snapToGrid w:val="0"/>
        <w:spacing w:line="360" w:lineRule="auto"/>
        <w:rPr>
          <w:rFonts w:hint="eastAsia" w:ascii="宋体" w:hAnsi="宋体" w:eastAsia="宋体" w:cs="宋体"/>
          <w:i w:val="0"/>
          <w:iCs w:val="0"/>
          <w:caps w:val="0"/>
          <w:color w:val="333333"/>
          <w:spacing w:val="0"/>
          <w:sz w:val="24"/>
          <w:szCs w:val="24"/>
          <w:shd w:val="clear" w:fill="FFFFFF"/>
        </w:rPr>
      </w:pPr>
    </w:p>
    <w:p w14:paraId="4DDFDBFF">
      <w:pPr>
        <w:shd w:val="clear"/>
        <w:rPr>
          <w:rFonts w:hint="eastAsia" w:ascii="宋体" w:hAnsi="宋体" w:eastAsia="宋体" w:cs="宋体"/>
          <w:i w:val="0"/>
          <w:iCs w:val="0"/>
          <w:caps w:val="0"/>
          <w:color w:val="333333"/>
          <w:spacing w:val="0"/>
          <w:sz w:val="24"/>
          <w:szCs w:val="24"/>
          <w:shd w:val="clear" w:fill="FFFFFF"/>
        </w:rPr>
      </w:pPr>
    </w:p>
    <w:p w14:paraId="01AFE615">
      <w:pPr>
        <w:pStyle w:val="2"/>
        <w:shd w:val="clear"/>
        <w:rPr>
          <w:rFonts w:hint="eastAsia" w:ascii="宋体" w:hAnsi="宋体" w:eastAsia="宋体" w:cs="宋体"/>
          <w:i w:val="0"/>
          <w:iCs w:val="0"/>
          <w:caps w:val="0"/>
          <w:color w:val="333333"/>
          <w:spacing w:val="0"/>
          <w:sz w:val="24"/>
          <w:szCs w:val="24"/>
          <w:shd w:val="clear" w:fill="FFFFFF"/>
        </w:rPr>
      </w:pPr>
    </w:p>
    <w:p w14:paraId="3528FB3F">
      <w:pPr>
        <w:shd w:val="clear"/>
        <w:rPr>
          <w:rFonts w:hint="eastAsia" w:ascii="宋体" w:hAnsi="宋体" w:eastAsia="宋体" w:cs="宋体"/>
          <w:i w:val="0"/>
          <w:iCs w:val="0"/>
          <w:caps w:val="0"/>
          <w:color w:val="333333"/>
          <w:spacing w:val="0"/>
          <w:sz w:val="24"/>
          <w:szCs w:val="24"/>
          <w:shd w:val="clear" w:fill="FFFFFF"/>
        </w:rPr>
      </w:pPr>
    </w:p>
    <w:p w14:paraId="2F6B0BA5">
      <w:pPr>
        <w:pStyle w:val="2"/>
        <w:keepNext/>
        <w:keepLines w:val="0"/>
        <w:pageBreakBefore w:val="0"/>
        <w:widowControl w:val="0"/>
        <w:shd w:val="clear"/>
        <w:kinsoku/>
        <w:wordWrap/>
        <w:overflowPunct/>
        <w:topLinePunct w:val="0"/>
        <w:autoSpaceDE/>
        <w:autoSpaceDN/>
        <w:bidi w:val="0"/>
        <w:adjustRightInd w:val="0"/>
        <w:snapToGrid w:val="0"/>
        <w:spacing w:after="313" w:afterLines="100"/>
        <w:textAlignment w:val="auto"/>
        <w:rPr>
          <w:rFonts w:hint="eastAsia" w:ascii="宋体" w:hAnsi="宋体" w:eastAsia="宋体" w:cs="宋体"/>
          <w:sz w:val="36"/>
          <w:szCs w:val="36"/>
        </w:rPr>
      </w:pPr>
      <w:bookmarkStart w:id="3" w:name="_Toc28217"/>
      <w:bookmarkStart w:id="4" w:name="_Toc504605086"/>
      <w:bookmarkStart w:id="5" w:name="_Toc504605085"/>
      <w:bookmarkStart w:id="6" w:name="_Toc504605168"/>
      <w:bookmarkStart w:id="7" w:name="_Toc1227"/>
      <w:r>
        <w:rPr>
          <w:rFonts w:hint="eastAsia" w:ascii="宋体" w:hAnsi="宋体" w:eastAsia="宋体" w:cs="宋体"/>
          <w:sz w:val="36"/>
          <w:szCs w:val="36"/>
        </w:rPr>
        <w:t>第二章 供应商须知前附表</w:t>
      </w:r>
      <w:bookmarkEnd w:id="3"/>
    </w:p>
    <w:bookmarkEnd w:id="4"/>
    <w:bookmarkEnd w:id="5"/>
    <w:bookmarkEnd w:id="6"/>
    <w:bookmarkEnd w:id="7"/>
    <w:tbl>
      <w:tblPr>
        <w:tblStyle w:val="25"/>
        <w:tblW w:w="9282" w:type="dxa"/>
        <w:jc w:val="center"/>
        <w:tblLayout w:type="fixed"/>
        <w:tblCellMar>
          <w:top w:w="0" w:type="dxa"/>
          <w:left w:w="108" w:type="dxa"/>
          <w:bottom w:w="0" w:type="dxa"/>
          <w:right w:w="108" w:type="dxa"/>
        </w:tblCellMar>
      </w:tblPr>
      <w:tblGrid>
        <w:gridCol w:w="723"/>
        <w:gridCol w:w="1962"/>
        <w:gridCol w:w="6597"/>
      </w:tblGrid>
      <w:tr w14:paraId="2F326AC9">
        <w:tblPrEx>
          <w:tblCellMar>
            <w:top w:w="0" w:type="dxa"/>
            <w:left w:w="108" w:type="dxa"/>
            <w:bottom w:w="0" w:type="dxa"/>
            <w:right w:w="108" w:type="dxa"/>
          </w:tblCellMar>
        </w:tblPrEx>
        <w:trPr>
          <w:trHeight w:val="439"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1A562D7F">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b/>
                <w:sz w:val="24"/>
                <w:szCs w:val="24"/>
              </w:rPr>
            </w:pPr>
            <w:bookmarkStart w:id="8" w:name="_Toc504605087"/>
            <w:bookmarkStart w:id="9" w:name="_Toc504605169"/>
            <w:r>
              <w:rPr>
                <w:rFonts w:hint="eastAsia" w:ascii="宋体" w:hAnsi="宋体" w:eastAsia="宋体" w:cs="宋体"/>
                <w:b/>
                <w:sz w:val="24"/>
                <w:szCs w:val="24"/>
                <w:lang w:val="zh-CN"/>
              </w:rPr>
              <w:t>序号</w:t>
            </w:r>
          </w:p>
        </w:tc>
        <w:tc>
          <w:tcPr>
            <w:tcW w:w="1962" w:type="dxa"/>
            <w:tcBorders>
              <w:top w:val="single" w:color="auto" w:sz="4" w:space="0"/>
              <w:left w:val="single" w:color="auto" w:sz="4" w:space="0"/>
              <w:bottom w:val="single" w:color="auto" w:sz="4" w:space="0"/>
              <w:right w:val="single" w:color="auto" w:sz="4" w:space="0"/>
            </w:tcBorders>
            <w:vAlign w:val="center"/>
          </w:tcPr>
          <w:p w14:paraId="1D4CE36F">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val="zh-CN"/>
              </w:rPr>
              <w:t>摘 要</w:t>
            </w:r>
          </w:p>
        </w:tc>
        <w:tc>
          <w:tcPr>
            <w:tcW w:w="6597" w:type="dxa"/>
            <w:tcBorders>
              <w:top w:val="single" w:color="auto" w:sz="4" w:space="0"/>
              <w:left w:val="single" w:color="auto" w:sz="4" w:space="0"/>
              <w:bottom w:val="single" w:color="auto" w:sz="4" w:space="0"/>
              <w:right w:val="single" w:color="auto" w:sz="4" w:space="0"/>
            </w:tcBorders>
            <w:vAlign w:val="center"/>
          </w:tcPr>
          <w:p w14:paraId="5A1B8C37">
            <w:pPr>
              <w:keepNext w:val="0"/>
              <w:keepLines w:val="0"/>
              <w:pageBreakBefore w:val="0"/>
              <w:shd w:val="clear"/>
              <w:kinsoku/>
              <w:wordWrap/>
              <w:overflowPunct/>
              <w:topLinePunct w:val="0"/>
              <w:autoSpaceDE/>
              <w:autoSpaceDN/>
              <w:bidi w:val="0"/>
              <w:adjustRightInd w:val="0"/>
              <w:snapToGrid w:val="0"/>
              <w:spacing w:line="360" w:lineRule="auto"/>
              <w:ind w:left="472" w:leftChars="24" w:hanging="422" w:hangingChars="175"/>
              <w:jc w:val="center"/>
              <w:rPr>
                <w:rFonts w:hint="eastAsia" w:ascii="宋体" w:hAnsi="宋体" w:eastAsia="宋体" w:cs="宋体"/>
                <w:b/>
                <w:sz w:val="24"/>
                <w:szCs w:val="24"/>
              </w:rPr>
            </w:pPr>
            <w:r>
              <w:rPr>
                <w:rFonts w:hint="eastAsia" w:ascii="宋体" w:hAnsi="宋体" w:eastAsia="宋体" w:cs="宋体"/>
                <w:b/>
                <w:sz w:val="24"/>
                <w:szCs w:val="24"/>
              </w:rPr>
              <w:t>编  列  内  容</w:t>
            </w:r>
          </w:p>
        </w:tc>
      </w:tr>
      <w:tr w14:paraId="31A29555">
        <w:tblPrEx>
          <w:tblCellMar>
            <w:top w:w="0" w:type="dxa"/>
            <w:left w:w="108" w:type="dxa"/>
            <w:bottom w:w="0" w:type="dxa"/>
            <w:right w:w="108" w:type="dxa"/>
          </w:tblCellMar>
        </w:tblPrEx>
        <w:trPr>
          <w:jc w:val="center"/>
        </w:trPr>
        <w:tc>
          <w:tcPr>
            <w:tcW w:w="723" w:type="dxa"/>
            <w:tcBorders>
              <w:top w:val="single" w:color="auto" w:sz="4" w:space="0"/>
              <w:left w:val="single" w:color="auto" w:sz="4" w:space="0"/>
              <w:bottom w:val="single" w:color="auto" w:sz="4" w:space="0"/>
              <w:right w:val="single" w:color="auto" w:sz="4" w:space="0"/>
            </w:tcBorders>
            <w:vAlign w:val="center"/>
          </w:tcPr>
          <w:p w14:paraId="76452116">
            <w:pPr>
              <w:keepNext w:val="0"/>
              <w:keepLines w:val="0"/>
              <w:pageBreakBefore w:val="0"/>
              <w:numPr>
                <w:ilvl w:val="0"/>
                <w:numId w:val="4"/>
              </w:numPr>
              <w:shd w:val="clear"/>
              <w:kinsoku/>
              <w:wordWrap/>
              <w:overflowPunct/>
              <w:topLinePunct w:val="0"/>
              <w:autoSpaceDE/>
              <w:autoSpaceDN/>
              <w:bidi w:val="0"/>
              <w:adjustRightInd w:val="0"/>
              <w:snapToGrid w:val="0"/>
              <w:spacing w:line="360" w:lineRule="auto"/>
              <w:ind w:left="425" w:leftChars="0" w:hanging="425" w:firstLineChars="0"/>
              <w:jc w:val="center"/>
              <w:rPr>
                <w:rFonts w:hint="eastAsia" w:ascii="宋体" w:hAnsi="宋体" w:eastAsia="宋体" w:cs="宋体"/>
                <w:sz w:val="24"/>
                <w:szCs w:val="24"/>
              </w:rPr>
            </w:pPr>
          </w:p>
        </w:tc>
        <w:tc>
          <w:tcPr>
            <w:tcW w:w="1962" w:type="dxa"/>
            <w:tcBorders>
              <w:top w:val="single" w:color="auto" w:sz="4" w:space="0"/>
              <w:left w:val="single" w:color="auto" w:sz="4" w:space="0"/>
              <w:bottom w:val="single" w:color="auto" w:sz="4" w:space="0"/>
              <w:right w:val="single" w:color="auto" w:sz="4" w:space="0"/>
            </w:tcBorders>
            <w:vAlign w:val="center"/>
          </w:tcPr>
          <w:p w14:paraId="3882BD4E">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采购人</w:t>
            </w:r>
          </w:p>
        </w:tc>
        <w:tc>
          <w:tcPr>
            <w:tcW w:w="6597" w:type="dxa"/>
            <w:tcBorders>
              <w:top w:val="single" w:color="auto" w:sz="4" w:space="0"/>
              <w:left w:val="single" w:color="auto" w:sz="4" w:space="0"/>
              <w:bottom w:val="single" w:color="auto" w:sz="4" w:space="0"/>
              <w:right w:val="single" w:color="auto" w:sz="4" w:space="0"/>
            </w:tcBorders>
            <w:vAlign w:val="center"/>
          </w:tcPr>
          <w:p w14:paraId="0DDED259">
            <w:pPr>
              <w:keepNext w:val="0"/>
              <w:keepLines w:val="0"/>
              <w:pageBreakBefore w:val="0"/>
              <w:shd w:val="clear"/>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color w:val="000000" w:themeColor="text1"/>
                <w:sz w:val="24"/>
                <w:szCs w:val="24"/>
                <w:lang w:eastAsia="zh-CN"/>
                <w14:textFill>
                  <w14:solidFill>
                    <w14:schemeClr w14:val="tx1"/>
                  </w14:solidFill>
                </w14:textFill>
              </w:rPr>
              <w:t>吴堡县文化和旅游文物广电局</w:t>
            </w:r>
          </w:p>
          <w:p w14:paraId="6DD3CE83">
            <w:pPr>
              <w:keepNext w:val="0"/>
              <w:keepLines w:val="0"/>
              <w:pageBreakBefore w:val="0"/>
              <w:shd w:val="clear"/>
              <w:kinsoku/>
              <w:wordWrap/>
              <w:overflowPunct/>
              <w:topLinePunct w:val="0"/>
              <w:autoSpaceDE/>
              <w:autoSpaceDN/>
              <w:bidi w:val="0"/>
              <w:adjustRightInd w:val="0"/>
              <w:snapToGrid w:val="0"/>
              <w:spacing w:line="360" w:lineRule="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color w:val="000000" w:themeColor="text1"/>
                <w:sz w:val="24"/>
                <w:szCs w:val="24"/>
                <w:lang w:eastAsia="zh-CN"/>
                <w14:textFill>
                  <w14:solidFill>
                    <w14:schemeClr w14:val="tx1"/>
                  </w14:solidFill>
                </w14:textFill>
              </w:rPr>
              <w:t>地址：</w:t>
            </w:r>
            <w:r>
              <w:rPr>
                <w:rFonts w:hint="eastAsia" w:ascii="宋体" w:hAnsi="宋体" w:eastAsia="宋体" w:cs="宋体"/>
                <w:i w:val="0"/>
                <w:iCs w:val="0"/>
                <w:caps w:val="0"/>
                <w:color w:val="auto"/>
                <w:spacing w:val="0"/>
                <w:sz w:val="24"/>
                <w:szCs w:val="24"/>
                <w:shd w:val="clear" w:fill="FFFFFF"/>
              </w:rPr>
              <w:t>宋家川街道办新建街7号</w:t>
            </w:r>
          </w:p>
          <w:p w14:paraId="737B630C">
            <w:pPr>
              <w:keepNext w:val="0"/>
              <w:keepLines w:val="0"/>
              <w:pageBreakBefore w:val="0"/>
              <w:shd w:val="clear"/>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t>电话：</w:t>
            </w:r>
            <w:r>
              <w:rPr>
                <w:rFonts w:hint="eastAsia" w:ascii="宋体" w:hAnsi="宋体" w:cs="宋体"/>
                <w:color w:val="000000" w:themeColor="text1"/>
                <w:sz w:val="24"/>
                <w:szCs w:val="24"/>
                <w:lang w:val="en-US" w:eastAsia="zh-CN"/>
                <w14:textFill>
                  <w14:solidFill>
                    <w14:schemeClr w14:val="tx1"/>
                  </w14:solidFill>
                </w14:textFill>
              </w:rPr>
              <w:t>18791258122</w:t>
            </w:r>
          </w:p>
        </w:tc>
      </w:tr>
      <w:tr w14:paraId="4C3F5CE5">
        <w:tblPrEx>
          <w:tblCellMar>
            <w:top w:w="0" w:type="dxa"/>
            <w:left w:w="108" w:type="dxa"/>
            <w:bottom w:w="0" w:type="dxa"/>
            <w:right w:w="108" w:type="dxa"/>
          </w:tblCellMar>
        </w:tblPrEx>
        <w:trPr>
          <w:jc w:val="center"/>
        </w:trPr>
        <w:tc>
          <w:tcPr>
            <w:tcW w:w="723" w:type="dxa"/>
            <w:tcBorders>
              <w:top w:val="single" w:color="auto" w:sz="4" w:space="0"/>
              <w:left w:val="single" w:color="auto" w:sz="4" w:space="0"/>
              <w:bottom w:val="single" w:color="auto" w:sz="4" w:space="0"/>
              <w:right w:val="single" w:color="auto" w:sz="4" w:space="0"/>
            </w:tcBorders>
            <w:vAlign w:val="center"/>
          </w:tcPr>
          <w:p w14:paraId="36ABC7EB">
            <w:pPr>
              <w:keepNext w:val="0"/>
              <w:keepLines w:val="0"/>
              <w:pageBreakBefore w:val="0"/>
              <w:numPr>
                <w:ilvl w:val="0"/>
                <w:numId w:val="4"/>
              </w:numPr>
              <w:shd w:val="clear"/>
              <w:kinsoku/>
              <w:wordWrap/>
              <w:overflowPunct/>
              <w:topLinePunct w:val="0"/>
              <w:autoSpaceDE/>
              <w:autoSpaceDN/>
              <w:bidi w:val="0"/>
              <w:adjustRightInd w:val="0"/>
              <w:snapToGrid w:val="0"/>
              <w:spacing w:line="360" w:lineRule="auto"/>
              <w:ind w:left="425" w:leftChars="0" w:hanging="425" w:firstLineChars="0"/>
              <w:jc w:val="center"/>
              <w:rPr>
                <w:rFonts w:hint="eastAsia" w:ascii="宋体" w:hAnsi="宋体" w:eastAsia="宋体" w:cs="宋体"/>
                <w:sz w:val="24"/>
                <w:szCs w:val="24"/>
              </w:rPr>
            </w:pPr>
          </w:p>
        </w:tc>
        <w:tc>
          <w:tcPr>
            <w:tcW w:w="1962" w:type="dxa"/>
            <w:tcBorders>
              <w:top w:val="single" w:color="auto" w:sz="4" w:space="0"/>
              <w:left w:val="single" w:color="auto" w:sz="4" w:space="0"/>
              <w:bottom w:val="single" w:color="auto" w:sz="4" w:space="0"/>
              <w:right w:val="single" w:color="auto" w:sz="4" w:space="0"/>
            </w:tcBorders>
            <w:vAlign w:val="center"/>
          </w:tcPr>
          <w:p w14:paraId="7A61A0D6">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采购代理机构</w:t>
            </w:r>
          </w:p>
        </w:tc>
        <w:tc>
          <w:tcPr>
            <w:tcW w:w="6597" w:type="dxa"/>
            <w:tcBorders>
              <w:top w:val="single" w:color="auto" w:sz="4" w:space="0"/>
              <w:left w:val="single" w:color="auto" w:sz="4" w:space="0"/>
              <w:bottom w:val="single" w:color="auto" w:sz="4" w:space="0"/>
              <w:right w:val="single" w:color="auto" w:sz="4" w:space="0"/>
            </w:tcBorders>
            <w:vAlign w:val="center"/>
          </w:tcPr>
          <w:p w14:paraId="7297B443">
            <w:pPr>
              <w:keepNext w:val="0"/>
              <w:keepLines w:val="0"/>
              <w:pageBreakBefore w:val="0"/>
              <w:shd w:val="clear"/>
              <w:kinsoku/>
              <w:wordWrap/>
              <w:overflowPunct/>
              <w:topLinePunct w:val="0"/>
              <w:autoSpaceDE/>
              <w:autoSpaceDN/>
              <w:bidi w:val="0"/>
              <w:adjustRightInd w:val="0"/>
              <w:snapToGrid w:val="0"/>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w:t>
            </w:r>
            <w:r>
              <w:rPr>
                <w:rFonts w:hint="eastAsia" w:ascii="宋体" w:hAnsi="宋体" w:eastAsia="宋体" w:cs="宋体"/>
                <w:color w:val="000000" w:themeColor="text1"/>
                <w:sz w:val="24"/>
                <w:szCs w:val="24"/>
                <w:lang w:eastAsia="zh-CN"/>
                <w14:textFill>
                  <w14:solidFill>
                    <w14:schemeClr w14:val="tx1"/>
                  </w14:solidFill>
                </w14:textFill>
              </w:rPr>
              <w:t>榆林天泽鼎泰项目管理有限公司</w:t>
            </w:r>
          </w:p>
          <w:p w14:paraId="39594819">
            <w:pPr>
              <w:keepNext w:val="0"/>
              <w:keepLines w:val="0"/>
              <w:pageBreakBefore w:val="0"/>
              <w:shd w:val="clear"/>
              <w:kinsoku/>
              <w:wordWrap/>
              <w:overflowPunct/>
              <w:topLinePunct w:val="0"/>
              <w:autoSpaceDE/>
              <w:autoSpaceDN/>
              <w:bidi w:val="0"/>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r>
              <w:rPr>
                <w:rFonts w:hint="eastAsia" w:ascii="宋体" w:hAnsi="宋体" w:eastAsia="宋体" w:cs="宋体"/>
                <w:color w:val="000000" w:themeColor="text1"/>
                <w:sz w:val="24"/>
                <w:szCs w:val="24"/>
                <w:lang w:val="zh-CN"/>
                <w14:textFill>
                  <w14:solidFill>
                    <w14:schemeClr w14:val="tx1"/>
                  </w14:solidFill>
                </w14:textFill>
              </w:rPr>
              <w:t>榆林市富康路东恒时代1103室</w:t>
            </w:r>
          </w:p>
          <w:p w14:paraId="58AA1C40">
            <w:pPr>
              <w:keepNext w:val="0"/>
              <w:keepLines w:val="0"/>
              <w:pageBreakBefore w:val="0"/>
              <w:shd w:val="clear"/>
              <w:kinsoku/>
              <w:wordWrap/>
              <w:overflowPunct/>
              <w:topLinePunct w:val="0"/>
              <w:autoSpaceDE/>
              <w:autoSpaceDN/>
              <w:bidi w:val="0"/>
              <w:adjustRightInd w:val="0"/>
              <w:snapToGrid w:val="0"/>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themeColor="text1"/>
                <w:sz w:val="24"/>
                <w:szCs w:val="24"/>
                <w:lang w:eastAsia="zh-CN"/>
                <w14:textFill>
                  <w14:solidFill>
                    <w14:schemeClr w14:val="tx1"/>
                  </w14:solidFill>
                </w14:textFill>
              </w:rPr>
              <w:t xml:space="preserve">李工 </w:t>
            </w:r>
          </w:p>
          <w:p w14:paraId="458D0D7C">
            <w:pPr>
              <w:pStyle w:val="44"/>
              <w:keepNext w:val="0"/>
              <w:keepLines w:val="0"/>
              <w:pageBreakBefore w:val="0"/>
              <w:shd w:val="clear"/>
              <w:kinsoku/>
              <w:wordWrap/>
              <w:overflowPunct/>
              <w:topLinePunct w:val="0"/>
              <w:autoSpaceDE/>
              <w:autoSpaceDN/>
              <w:bidi w:val="0"/>
              <w:adjustRightInd w:val="0"/>
              <w:snapToGrid w:val="0"/>
              <w:spacing w:line="360" w:lineRule="auto"/>
              <w:ind w:firstLine="0"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w:t>
            </w:r>
            <w:r>
              <w:rPr>
                <w:rFonts w:hint="eastAsia" w:ascii="宋体" w:hAnsi="宋体" w:eastAsia="宋体" w:cs="宋体"/>
                <w:color w:val="000000" w:themeColor="text1"/>
                <w:sz w:val="24"/>
                <w:szCs w:val="24"/>
                <w:lang w:eastAsia="zh-CN"/>
                <w14:textFill>
                  <w14:solidFill>
                    <w14:schemeClr w14:val="tx1"/>
                  </w14:solidFill>
                </w14:textFill>
              </w:rPr>
              <w:t>15609120312</w:t>
            </w:r>
          </w:p>
        </w:tc>
      </w:tr>
      <w:tr w14:paraId="2E1EA7E9">
        <w:tblPrEx>
          <w:tblCellMar>
            <w:top w:w="0" w:type="dxa"/>
            <w:left w:w="108" w:type="dxa"/>
            <w:bottom w:w="0" w:type="dxa"/>
            <w:right w:w="108" w:type="dxa"/>
          </w:tblCellMar>
        </w:tblPrEx>
        <w:trPr>
          <w:jc w:val="center"/>
        </w:trPr>
        <w:tc>
          <w:tcPr>
            <w:tcW w:w="723" w:type="dxa"/>
            <w:tcBorders>
              <w:top w:val="single" w:color="auto" w:sz="4" w:space="0"/>
              <w:left w:val="single" w:color="auto" w:sz="4" w:space="0"/>
              <w:bottom w:val="single" w:color="auto" w:sz="4" w:space="0"/>
              <w:right w:val="single" w:color="auto" w:sz="4" w:space="0"/>
            </w:tcBorders>
            <w:vAlign w:val="center"/>
          </w:tcPr>
          <w:p w14:paraId="452998D4">
            <w:pPr>
              <w:keepNext w:val="0"/>
              <w:keepLines w:val="0"/>
              <w:pageBreakBefore w:val="0"/>
              <w:numPr>
                <w:ilvl w:val="0"/>
                <w:numId w:val="4"/>
              </w:numPr>
              <w:shd w:val="clear"/>
              <w:kinsoku/>
              <w:wordWrap/>
              <w:overflowPunct/>
              <w:topLinePunct w:val="0"/>
              <w:autoSpaceDE/>
              <w:autoSpaceDN/>
              <w:bidi w:val="0"/>
              <w:adjustRightInd w:val="0"/>
              <w:snapToGrid w:val="0"/>
              <w:spacing w:line="360" w:lineRule="auto"/>
              <w:ind w:left="425" w:leftChars="0" w:hanging="425" w:firstLineChars="0"/>
              <w:jc w:val="center"/>
              <w:rPr>
                <w:rFonts w:hint="eastAsia" w:ascii="宋体" w:hAnsi="宋体" w:eastAsia="宋体" w:cs="宋体"/>
                <w:sz w:val="24"/>
                <w:szCs w:val="24"/>
              </w:rPr>
            </w:pPr>
          </w:p>
        </w:tc>
        <w:tc>
          <w:tcPr>
            <w:tcW w:w="1962" w:type="dxa"/>
            <w:tcBorders>
              <w:top w:val="single" w:color="auto" w:sz="4" w:space="0"/>
              <w:left w:val="single" w:color="auto" w:sz="4" w:space="0"/>
              <w:bottom w:val="single" w:color="auto" w:sz="4" w:space="0"/>
              <w:right w:val="single" w:color="auto" w:sz="4" w:space="0"/>
            </w:tcBorders>
            <w:vAlign w:val="center"/>
          </w:tcPr>
          <w:p w14:paraId="145EE36A">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597" w:type="dxa"/>
            <w:tcBorders>
              <w:top w:val="single" w:color="auto" w:sz="4" w:space="0"/>
              <w:left w:val="single" w:color="auto" w:sz="4" w:space="0"/>
              <w:bottom w:val="single" w:color="auto" w:sz="4" w:space="0"/>
              <w:right w:val="single" w:color="auto" w:sz="4" w:space="0"/>
            </w:tcBorders>
            <w:vAlign w:val="center"/>
          </w:tcPr>
          <w:p w14:paraId="092C8EB3">
            <w:pPr>
              <w:keepNext w:val="0"/>
              <w:keepLines w:val="0"/>
              <w:pageBreakBefore w:val="0"/>
              <w:shd w:val="clear"/>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t>2025年“清爽榆林”文化旅游季吴堡分会场文化旅游周系列活动项目</w:t>
            </w:r>
          </w:p>
        </w:tc>
      </w:tr>
      <w:tr w14:paraId="0CA03FEA">
        <w:tblPrEx>
          <w:tblCellMar>
            <w:top w:w="0" w:type="dxa"/>
            <w:left w:w="108" w:type="dxa"/>
            <w:bottom w:w="0" w:type="dxa"/>
            <w:right w:w="108" w:type="dxa"/>
          </w:tblCellMar>
        </w:tblPrEx>
        <w:trPr>
          <w:jc w:val="center"/>
        </w:trPr>
        <w:tc>
          <w:tcPr>
            <w:tcW w:w="723" w:type="dxa"/>
            <w:tcBorders>
              <w:top w:val="single" w:color="auto" w:sz="4" w:space="0"/>
              <w:left w:val="single" w:color="auto" w:sz="4" w:space="0"/>
              <w:bottom w:val="single" w:color="auto" w:sz="4" w:space="0"/>
              <w:right w:val="single" w:color="auto" w:sz="4" w:space="0"/>
            </w:tcBorders>
            <w:vAlign w:val="center"/>
          </w:tcPr>
          <w:p w14:paraId="055A40EC">
            <w:pPr>
              <w:keepNext w:val="0"/>
              <w:keepLines w:val="0"/>
              <w:pageBreakBefore w:val="0"/>
              <w:numPr>
                <w:ilvl w:val="0"/>
                <w:numId w:val="4"/>
              </w:numPr>
              <w:shd w:val="clear"/>
              <w:kinsoku/>
              <w:wordWrap/>
              <w:overflowPunct/>
              <w:topLinePunct w:val="0"/>
              <w:autoSpaceDE/>
              <w:autoSpaceDN/>
              <w:bidi w:val="0"/>
              <w:adjustRightInd w:val="0"/>
              <w:snapToGrid w:val="0"/>
              <w:spacing w:line="360" w:lineRule="auto"/>
              <w:ind w:left="425" w:leftChars="0" w:hanging="425" w:firstLineChars="0"/>
              <w:jc w:val="center"/>
              <w:rPr>
                <w:rFonts w:hint="eastAsia" w:ascii="宋体" w:hAnsi="宋体" w:eastAsia="宋体" w:cs="宋体"/>
                <w:sz w:val="24"/>
                <w:szCs w:val="24"/>
                <w:lang w:val="en-US" w:eastAsia="zh-CN"/>
              </w:rPr>
            </w:pPr>
          </w:p>
        </w:tc>
        <w:tc>
          <w:tcPr>
            <w:tcW w:w="1962" w:type="dxa"/>
            <w:tcBorders>
              <w:top w:val="single" w:color="auto" w:sz="4" w:space="0"/>
              <w:left w:val="single" w:color="auto" w:sz="4" w:space="0"/>
              <w:bottom w:val="single" w:color="auto" w:sz="4" w:space="0"/>
              <w:right w:val="single" w:color="auto" w:sz="4" w:space="0"/>
            </w:tcBorders>
            <w:vAlign w:val="center"/>
          </w:tcPr>
          <w:p w14:paraId="0646BA0A">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项目概况</w:t>
            </w:r>
          </w:p>
        </w:tc>
        <w:tc>
          <w:tcPr>
            <w:tcW w:w="6597" w:type="dxa"/>
            <w:tcBorders>
              <w:top w:val="single" w:color="auto" w:sz="4" w:space="0"/>
              <w:left w:val="single" w:color="auto" w:sz="4" w:space="0"/>
              <w:bottom w:val="single" w:color="auto" w:sz="4" w:space="0"/>
              <w:right w:val="single" w:color="auto" w:sz="4" w:space="0"/>
            </w:tcBorders>
            <w:vAlign w:val="center"/>
          </w:tcPr>
          <w:p w14:paraId="1F9BFFD1">
            <w:pPr>
              <w:keepNext w:val="0"/>
              <w:keepLines w:val="0"/>
              <w:pageBreakBefore w:val="0"/>
              <w:shd w:val="clear"/>
              <w:kinsoku/>
              <w:wordWrap/>
              <w:overflowPunct/>
              <w:topLinePunct w:val="0"/>
              <w:autoSpaceDE/>
              <w:autoSpaceDN/>
              <w:bidi w:val="0"/>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color w:val="000000" w:themeColor="text1"/>
                <w:sz w:val="24"/>
                <w:szCs w:val="24"/>
                <w:lang w:eastAsia="zh-CN"/>
                <w14:textFill>
                  <w14:solidFill>
                    <w14:schemeClr w14:val="tx1"/>
                  </w14:solidFill>
                </w14:textFill>
              </w:rPr>
              <w:t>2025年“清爽榆林”文化旅游季吴堡分会场文化旅游周系列活动项目（</w:t>
            </w:r>
            <w:r>
              <w:rPr>
                <w:rFonts w:hint="eastAsia" w:ascii="宋体" w:hAnsi="宋体" w:eastAsia="宋体" w:cs="宋体"/>
                <w:color w:val="auto"/>
                <w:kern w:val="0"/>
                <w:sz w:val="24"/>
                <w:szCs w:val="24"/>
                <w:highlight w:val="none"/>
                <w:lang w:bidi="ar"/>
              </w:rPr>
              <w:t>详</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竞争性</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w:t>
            </w:r>
            <w:r>
              <w:rPr>
                <w:rFonts w:hint="eastAsia" w:ascii="宋体" w:hAnsi="宋体" w:eastAsia="宋体" w:cs="宋体"/>
                <w:color w:val="000000" w:themeColor="text1"/>
                <w:sz w:val="24"/>
                <w:szCs w:val="24"/>
                <w:lang w:eastAsia="zh-CN"/>
                <w14:textFill>
                  <w14:solidFill>
                    <w14:schemeClr w14:val="tx1"/>
                  </w14:solidFill>
                </w14:textFill>
              </w:rPr>
              <w:t>）</w:t>
            </w:r>
          </w:p>
        </w:tc>
      </w:tr>
      <w:tr w14:paraId="4622D75C">
        <w:tblPrEx>
          <w:tblCellMar>
            <w:top w:w="0" w:type="dxa"/>
            <w:left w:w="108" w:type="dxa"/>
            <w:bottom w:w="0" w:type="dxa"/>
            <w:right w:w="108" w:type="dxa"/>
          </w:tblCellMar>
        </w:tblPrEx>
        <w:trPr>
          <w:jc w:val="center"/>
        </w:trPr>
        <w:tc>
          <w:tcPr>
            <w:tcW w:w="723" w:type="dxa"/>
            <w:tcBorders>
              <w:top w:val="single" w:color="auto" w:sz="4" w:space="0"/>
              <w:left w:val="single" w:color="auto" w:sz="4" w:space="0"/>
              <w:bottom w:val="single" w:color="auto" w:sz="4" w:space="0"/>
              <w:right w:val="single" w:color="auto" w:sz="4" w:space="0"/>
            </w:tcBorders>
            <w:vAlign w:val="center"/>
          </w:tcPr>
          <w:p w14:paraId="1AFA2848">
            <w:pPr>
              <w:keepNext w:val="0"/>
              <w:keepLines w:val="0"/>
              <w:pageBreakBefore w:val="0"/>
              <w:numPr>
                <w:ilvl w:val="0"/>
                <w:numId w:val="4"/>
              </w:numPr>
              <w:shd w:val="clear"/>
              <w:kinsoku/>
              <w:wordWrap/>
              <w:overflowPunct/>
              <w:topLinePunct w:val="0"/>
              <w:autoSpaceDE/>
              <w:autoSpaceDN/>
              <w:bidi w:val="0"/>
              <w:adjustRightInd w:val="0"/>
              <w:snapToGrid w:val="0"/>
              <w:spacing w:line="360" w:lineRule="auto"/>
              <w:ind w:left="425" w:leftChars="0" w:hanging="425" w:firstLineChars="0"/>
              <w:jc w:val="center"/>
              <w:rPr>
                <w:rFonts w:hint="eastAsia" w:ascii="宋体" w:hAnsi="宋体" w:eastAsia="宋体" w:cs="宋体"/>
                <w:sz w:val="24"/>
                <w:szCs w:val="24"/>
                <w:lang w:val="en-US" w:eastAsia="zh-CN"/>
              </w:rPr>
            </w:pPr>
          </w:p>
        </w:tc>
        <w:tc>
          <w:tcPr>
            <w:tcW w:w="1962" w:type="dxa"/>
            <w:tcBorders>
              <w:top w:val="single" w:color="auto" w:sz="4" w:space="0"/>
              <w:left w:val="single" w:color="auto" w:sz="4" w:space="0"/>
              <w:bottom w:val="single" w:color="auto" w:sz="4" w:space="0"/>
              <w:right w:val="single" w:color="auto" w:sz="4" w:space="0"/>
            </w:tcBorders>
            <w:vAlign w:val="center"/>
          </w:tcPr>
          <w:p w14:paraId="6ED59AB6">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采购方式</w:t>
            </w:r>
          </w:p>
        </w:tc>
        <w:tc>
          <w:tcPr>
            <w:tcW w:w="6597" w:type="dxa"/>
            <w:tcBorders>
              <w:top w:val="single" w:color="auto" w:sz="4" w:space="0"/>
              <w:left w:val="single" w:color="auto" w:sz="4" w:space="0"/>
              <w:bottom w:val="single" w:color="auto" w:sz="4" w:space="0"/>
              <w:right w:val="single" w:color="auto" w:sz="4" w:space="0"/>
            </w:tcBorders>
            <w:vAlign w:val="center"/>
          </w:tcPr>
          <w:p w14:paraId="4D34644C">
            <w:pPr>
              <w:keepNext w:val="0"/>
              <w:keepLines w:val="0"/>
              <w:pageBreakBefore w:val="0"/>
              <w:shd w:val="clear"/>
              <w:kinsoku/>
              <w:wordWrap/>
              <w:overflowPunct/>
              <w:topLinePunct w:val="0"/>
              <w:autoSpaceDE/>
              <w:autoSpaceDN/>
              <w:bidi w:val="0"/>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竞争性磋商</w:t>
            </w:r>
          </w:p>
        </w:tc>
      </w:tr>
      <w:tr w14:paraId="5059833D">
        <w:tblPrEx>
          <w:tblCellMar>
            <w:top w:w="0" w:type="dxa"/>
            <w:left w:w="108" w:type="dxa"/>
            <w:bottom w:w="0" w:type="dxa"/>
            <w:right w:w="108" w:type="dxa"/>
          </w:tblCellMar>
        </w:tblPrEx>
        <w:trPr>
          <w:jc w:val="center"/>
        </w:trPr>
        <w:tc>
          <w:tcPr>
            <w:tcW w:w="723" w:type="dxa"/>
            <w:tcBorders>
              <w:top w:val="single" w:color="auto" w:sz="4" w:space="0"/>
              <w:left w:val="single" w:color="auto" w:sz="4" w:space="0"/>
              <w:bottom w:val="single" w:color="auto" w:sz="4" w:space="0"/>
              <w:right w:val="single" w:color="auto" w:sz="4" w:space="0"/>
            </w:tcBorders>
            <w:vAlign w:val="center"/>
          </w:tcPr>
          <w:p w14:paraId="6FE4820F">
            <w:pPr>
              <w:keepNext w:val="0"/>
              <w:keepLines w:val="0"/>
              <w:pageBreakBefore w:val="0"/>
              <w:numPr>
                <w:ilvl w:val="0"/>
                <w:numId w:val="4"/>
              </w:numPr>
              <w:shd w:val="clear"/>
              <w:kinsoku/>
              <w:wordWrap/>
              <w:overflowPunct/>
              <w:topLinePunct w:val="0"/>
              <w:autoSpaceDE/>
              <w:autoSpaceDN/>
              <w:bidi w:val="0"/>
              <w:adjustRightInd w:val="0"/>
              <w:snapToGrid w:val="0"/>
              <w:spacing w:line="360" w:lineRule="auto"/>
              <w:ind w:left="425" w:leftChars="0" w:hanging="425" w:firstLineChars="0"/>
              <w:jc w:val="center"/>
              <w:rPr>
                <w:rFonts w:hint="eastAsia" w:ascii="宋体" w:hAnsi="宋体" w:eastAsia="宋体" w:cs="宋体"/>
                <w:sz w:val="24"/>
                <w:szCs w:val="24"/>
                <w:lang w:eastAsia="zh-CN"/>
              </w:rPr>
            </w:pPr>
          </w:p>
        </w:tc>
        <w:tc>
          <w:tcPr>
            <w:tcW w:w="1962" w:type="dxa"/>
            <w:tcBorders>
              <w:top w:val="single" w:color="auto" w:sz="4" w:space="0"/>
              <w:left w:val="single" w:color="auto" w:sz="4" w:space="0"/>
              <w:bottom w:val="single" w:color="auto" w:sz="4" w:space="0"/>
              <w:right w:val="single" w:color="auto" w:sz="4" w:space="0"/>
            </w:tcBorders>
            <w:vAlign w:val="center"/>
          </w:tcPr>
          <w:p w14:paraId="35210051">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预算金额</w:t>
            </w:r>
          </w:p>
        </w:tc>
        <w:tc>
          <w:tcPr>
            <w:tcW w:w="6597" w:type="dxa"/>
            <w:tcBorders>
              <w:top w:val="single" w:color="auto" w:sz="4" w:space="0"/>
              <w:left w:val="single" w:color="auto" w:sz="4" w:space="0"/>
              <w:bottom w:val="single" w:color="auto" w:sz="4" w:space="0"/>
              <w:right w:val="single" w:color="auto" w:sz="4" w:space="0"/>
            </w:tcBorders>
            <w:vAlign w:val="center"/>
          </w:tcPr>
          <w:p w14:paraId="5C2B5C2F">
            <w:pPr>
              <w:pStyle w:val="22"/>
              <w:keepNext w:val="0"/>
              <w:keepLines w:val="0"/>
              <w:pageBreakBefore w:val="0"/>
              <w:widowControl/>
              <w:suppressLineNumbers w:val="0"/>
              <w:shd w:val="clear" w:color="auto"/>
              <w:kinsoku/>
              <w:wordWrap/>
              <w:overflowPunct/>
              <w:topLinePunct w:val="0"/>
              <w:autoSpaceDE/>
              <w:autoSpaceDN/>
              <w:bidi w:val="0"/>
              <w:adjustRightInd w:val="0"/>
              <w:snapToGrid w:val="0"/>
              <w:spacing w:before="0" w:beforeAutospacing="0" w:after="0" w:afterAutospacing="0" w:line="360" w:lineRule="auto"/>
              <w:ind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预算：1050000.00元；</w:t>
            </w:r>
            <w:r>
              <w:rPr>
                <w:rFonts w:hint="eastAsia" w:ascii="宋体" w:hAnsi="宋体" w:eastAsia="宋体" w:cs="宋体"/>
                <w:sz w:val="24"/>
                <w:szCs w:val="24"/>
              </w:rPr>
              <w:t>备注：磋商报价超过预算金额的，按照无效磋商处理。</w:t>
            </w:r>
          </w:p>
        </w:tc>
      </w:tr>
      <w:tr w14:paraId="79317C9F">
        <w:tblPrEx>
          <w:tblCellMar>
            <w:top w:w="0" w:type="dxa"/>
            <w:left w:w="108" w:type="dxa"/>
            <w:bottom w:w="0" w:type="dxa"/>
            <w:right w:w="108" w:type="dxa"/>
          </w:tblCellMar>
        </w:tblPrEx>
        <w:trPr>
          <w:jc w:val="center"/>
        </w:trPr>
        <w:tc>
          <w:tcPr>
            <w:tcW w:w="723" w:type="dxa"/>
            <w:tcBorders>
              <w:top w:val="single" w:color="auto" w:sz="4" w:space="0"/>
              <w:left w:val="single" w:color="auto" w:sz="4" w:space="0"/>
              <w:bottom w:val="single" w:color="auto" w:sz="4" w:space="0"/>
              <w:right w:val="single" w:color="auto" w:sz="4" w:space="0"/>
            </w:tcBorders>
            <w:vAlign w:val="center"/>
          </w:tcPr>
          <w:p w14:paraId="5716AEB5">
            <w:pPr>
              <w:keepNext w:val="0"/>
              <w:keepLines w:val="0"/>
              <w:pageBreakBefore w:val="0"/>
              <w:numPr>
                <w:ilvl w:val="0"/>
                <w:numId w:val="4"/>
              </w:numPr>
              <w:shd w:val="clear"/>
              <w:kinsoku/>
              <w:wordWrap/>
              <w:overflowPunct/>
              <w:topLinePunct w:val="0"/>
              <w:autoSpaceDE/>
              <w:autoSpaceDN/>
              <w:bidi w:val="0"/>
              <w:adjustRightInd w:val="0"/>
              <w:snapToGrid w:val="0"/>
              <w:spacing w:line="360" w:lineRule="auto"/>
              <w:ind w:left="425" w:leftChars="0" w:hanging="425" w:firstLineChars="0"/>
              <w:jc w:val="center"/>
              <w:rPr>
                <w:rFonts w:hint="eastAsia" w:ascii="宋体" w:hAnsi="宋体" w:eastAsia="宋体" w:cs="宋体"/>
                <w:sz w:val="24"/>
                <w:szCs w:val="24"/>
                <w:lang w:eastAsia="zh-CN"/>
              </w:rPr>
            </w:pPr>
          </w:p>
        </w:tc>
        <w:tc>
          <w:tcPr>
            <w:tcW w:w="1962" w:type="dxa"/>
            <w:tcBorders>
              <w:top w:val="single" w:color="auto" w:sz="4" w:space="0"/>
              <w:left w:val="single" w:color="auto" w:sz="4" w:space="0"/>
              <w:bottom w:val="single" w:color="auto" w:sz="4" w:space="0"/>
              <w:right w:val="single" w:color="auto" w:sz="4" w:space="0"/>
            </w:tcBorders>
            <w:vAlign w:val="center"/>
          </w:tcPr>
          <w:p w14:paraId="6641ED3C">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资金落实情况</w:t>
            </w:r>
          </w:p>
        </w:tc>
        <w:tc>
          <w:tcPr>
            <w:tcW w:w="6597" w:type="dxa"/>
            <w:tcBorders>
              <w:top w:val="single" w:color="auto" w:sz="4" w:space="0"/>
              <w:left w:val="single" w:color="auto" w:sz="4" w:space="0"/>
              <w:bottom w:val="single" w:color="auto" w:sz="4" w:space="0"/>
              <w:right w:val="single" w:color="auto" w:sz="4" w:space="0"/>
            </w:tcBorders>
            <w:vAlign w:val="center"/>
          </w:tcPr>
          <w:p w14:paraId="214A0651">
            <w:pPr>
              <w:keepNext w:val="0"/>
              <w:keepLines w:val="0"/>
              <w:pageBreakBefore w:val="0"/>
              <w:shd w:val="clear"/>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已落实</w:t>
            </w:r>
          </w:p>
        </w:tc>
      </w:tr>
      <w:tr w14:paraId="24894035">
        <w:tblPrEx>
          <w:tblCellMar>
            <w:top w:w="0" w:type="dxa"/>
            <w:left w:w="108" w:type="dxa"/>
            <w:bottom w:w="0" w:type="dxa"/>
            <w:right w:w="108" w:type="dxa"/>
          </w:tblCellMar>
        </w:tblPrEx>
        <w:trPr>
          <w:jc w:val="center"/>
        </w:trPr>
        <w:tc>
          <w:tcPr>
            <w:tcW w:w="723" w:type="dxa"/>
            <w:tcBorders>
              <w:top w:val="single" w:color="auto" w:sz="4" w:space="0"/>
              <w:left w:val="single" w:color="auto" w:sz="4" w:space="0"/>
              <w:bottom w:val="single" w:color="auto" w:sz="4" w:space="0"/>
              <w:right w:val="single" w:color="auto" w:sz="4" w:space="0"/>
            </w:tcBorders>
            <w:vAlign w:val="center"/>
          </w:tcPr>
          <w:p w14:paraId="31133CFF">
            <w:pPr>
              <w:keepNext w:val="0"/>
              <w:keepLines w:val="0"/>
              <w:pageBreakBefore w:val="0"/>
              <w:numPr>
                <w:ilvl w:val="0"/>
                <w:numId w:val="4"/>
              </w:numPr>
              <w:shd w:val="clear"/>
              <w:kinsoku/>
              <w:wordWrap/>
              <w:overflowPunct/>
              <w:topLinePunct w:val="0"/>
              <w:autoSpaceDE/>
              <w:autoSpaceDN/>
              <w:bidi w:val="0"/>
              <w:adjustRightInd w:val="0"/>
              <w:snapToGrid w:val="0"/>
              <w:spacing w:line="360" w:lineRule="auto"/>
              <w:ind w:left="425" w:leftChars="0" w:hanging="425" w:firstLineChars="0"/>
              <w:jc w:val="center"/>
              <w:rPr>
                <w:rFonts w:hint="eastAsia" w:ascii="宋体" w:hAnsi="宋体" w:eastAsia="宋体" w:cs="宋体"/>
                <w:sz w:val="24"/>
                <w:szCs w:val="24"/>
                <w:lang w:eastAsia="zh-CN"/>
              </w:rPr>
            </w:pPr>
          </w:p>
        </w:tc>
        <w:tc>
          <w:tcPr>
            <w:tcW w:w="1962" w:type="dxa"/>
            <w:tcBorders>
              <w:top w:val="single" w:color="auto" w:sz="4" w:space="0"/>
              <w:left w:val="single" w:color="auto" w:sz="4" w:space="0"/>
              <w:bottom w:val="single" w:color="auto" w:sz="4" w:space="0"/>
              <w:right w:val="single" w:color="auto" w:sz="4" w:space="0"/>
            </w:tcBorders>
            <w:vAlign w:val="center"/>
          </w:tcPr>
          <w:p w14:paraId="1EE92397">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磋商报价</w:t>
            </w:r>
          </w:p>
        </w:tc>
        <w:tc>
          <w:tcPr>
            <w:tcW w:w="6597" w:type="dxa"/>
            <w:tcBorders>
              <w:top w:val="single" w:color="auto" w:sz="4" w:space="0"/>
              <w:left w:val="single" w:color="auto" w:sz="4" w:space="0"/>
              <w:bottom w:val="single" w:color="auto" w:sz="4" w:space="0"/>
              <w:right w:val="single" w:color="auto" w:sz="4" w:space="0"/>
            </w:tcBorders>
            <w:vAlign w:val="center"/>
          </w:tcPr>
          <w:p w14:paraId="1A910C0E">
            <w:pPr>
              <w:keepNext w:val="0"/>
              <w:keepLines w:val="0"/>
              <w:pageBreakBefore w:val="0"/>
              <w:shd w:val="clear"/>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包含完成本次采购所要求的货物、服务且验收合格的所有费用，产品达到正常使用条件下所包含的一切费用。</w:t>
            </w:r>
          </w:p>
        </w:tc>
      </w:tr>
      <w:tr w14:paraId="61118B78">
        <w:tblPrEx>
          <w:tblCellMar>
            <w:top w:w="0" w:type="dxa"/>
            <w:left w:w="108" w:type="dxa"/>
            <w:bottom w:w="0" w:type="dxa"/>
            <w:right w:w="108" w:type="dxa"/>
          </w:tblCellMar>
        </w:tblPrEx>
        <w:trPr>
          <w:jc w:val="center"/>
        </w:trPr>
        <w:tc>
          <w:tcPr>
            <w:tcW w:w="723" w:type="dxa"/>
            <w:tcBorders>
              <w:top w:val="single" w:color="auto" w:sz="4" w:space="0"/>
              <w:left w:val="single" w:color="auto" w:sz="4" w:space="0"/>
              <w:bottom w:val="single" w:color="auto" w:sz="4" w:space="0"/>
              <w:right w:val="single" w:color="auto" w:sz="4" w:space="0"/>
            </w:tcBorders>
            <w:vAlign w:val="center"/>
          </w:tcPr>
          <w:p w14:paraId="00568579">
            <w:pPr>
              <w:keepNext w:val="0"/>
              <w:keepLines w:val="0"/>
              <w:pageBreakBefore w:val="0"/>
              <w:numPr>
                <w:ilvl w:val="0"/>
                <w:numId w:val="4"/>
              </w:numPr>
              <w:shd w:val="clear"/>
              <w:kinsoku/>
              <w:wordWrap/>
              <w:overflowPunct/>
              <w:topLinePunct w:val="0"/>
              <w:autoSpaceDE/>
              <w:autoSpaceDN/>
              <w:bidi w:val="0"/>
              <w:adjustRightInd w:val="0"/>
              <w:snapToGrid w:val="0"/>
              <w:spacing w:line="360" w:lineRule="auto"/>
              <w:ind w:left="425" w:leftChars="0" w:hanging="425" w:firstLineChars="0"/>
              <w:jc w:val="center"/>
              <w:rPr>
                <w:rFonts w:hint="eastAsia" w:ascii="宋体" w:hAnsi="宋体" w:eastAsia="宋体" w:cs="宋体"/>
                <w:sz w:val="24"/>
                <w:szCs w:val="24"/>
                <w:lang w:val="en-US" w:eastAsia="zh-CN"/>
              </w:rPr>
            </w:pPr>
          </w:p>
        </w:tc>
        <w:tc>
          <w:tcPr>
            <w:tcW w:w="1962" w:type="dxa"/>
            <w:tcBorders>
              <w:top w:val="single" w:color="auto" w:sz="4" w:space="0"/>
              <w:left w:val="single" w:color="auto" w:sz="4" w:space="0"/>
              <w:bottom w:val="single" w:color="auto" w:sz="4" w:space="0"/>
              <w:right w:val="single" w:color="auto" w:sz="4" w:space="0"/>
            </w:tcBorders>
            <w:vAlign w:val="center"/>
          </w:tcPr>
          <w:p w14:paraId="69C74850">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供应商资质</w:t>
            </w:r>
          </w:p>
          <w:p w14:paraId="3F5116D8">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条件</w:t>
            </w:r>
          </w:p>
          <w:p w14:paraId="6034DB3D">
            <w:pPr>
              <w:pStyle w:val="15"/>
              <w:keepNext w:val="0"/>
              <w:keepLines w:val="0"/>
              <w:pageBreakBefore w:val="0"/>
              <w:shd w:val="clear"/>
              <w:kinsoku/>
              <w:wordWrap/>
              <w:overflowPunct/>
              <w:topLinePunct w:val="0"/>
              <w:autoSpaceDE/>
              <w:autoSpaceDN/>
              <w:bidi w:val="0"/>
              <w:adjustRightInd w:val="0"/>
              <w:snapToGrid w:val="0"/>
              <w:spacing w:line="360" w:lineRule="auto"/>
              <w:rPr>
                <w:rFonts w:hint="eastAsia" w:ascii="宋体" w:hAnsi="宋体" w:eastAsia="宋体" w:cs="宋体"/>
                <w:sz w:val="24"/>
                <w:szCs w:val="24"/>
              </w:rPr>
            </w:pPr>
          </w:p>
        </w:tc>
        <w:tc>
          <w:tcPr>
            <w:tcW w:w="6597" w:type="dxa"/>
            <w:tcBorders>
              <w:top w:val="single" w:color="auto" w:sz="4" w:space="0"/>
              <w:left w:val="single" w:color="auto" w:sz="4" w:space="0"/>
              <w:bottom w:val="single" w:color="auto" w:sz="4" w:space="0"/>
              <w:right w:val="single" w:color="auto" w:sz="4" w:space="0"/>
            </w:tcBorders>
            <w:vAlign w:val="center"/>
          </w:tcPr>
          <w:p w14:paraId="0C05C208">
            <w:pPr>
              <w:keepNext w:val="0"/>
              <w:keepLines w:val="0"/>
              <w:pageBreakBefore w:val="0"/>
              <w:widowControl/>
              <w:shd w:val="clear"/>
              <w:kinsoku/>
              <w:wordWrap/>
              <w:overflowPunct/>
              <w:topLinePunct w:val="0"/>
              <w:autoSpaceDE/>
              <w:autoSpaceDN/>
              <w:bidi w:val="0"/>
              <w:adjustRightInd w:val="0"/>
              <w:snapToGrid w:val="0"/>
              <w:spacing w:line="360" w:lineRule="auto"/>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（一）基本资格条件：符合《中华人民共和国政府采购法》第二十二条的规定。</w:t>
            </w:r>
          </w:p>
          <w:p w14:paraId="0E9160D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color w:val="auto"/>
                <w:sz w:val="24"/>
                <w:szCs w:val="24"/>
              </w:rPr>
              <w:t>（二）</w:t>
            </w:r>
            <w:r>
              <w:rPr>
                <w:rFonts w:hint="eastAsia" w:ascii="宋体" w:hAnsi="宋体" w:eastAsia="宋体" w:cs="宋体"/>
                <w:b/>
                <w:bCs/>
                <w:color w:val="auto"/>
                <w:sz w:val="24"/>
                <w:szCs w:val="24"/>
                <w:lang w:eastAsia="zh-CN"/>
              </w:rPr>
              <w:t>特定</w:t>
            </w:r>
            <w:r>
              <w:rPr>
                <w:rFonts w:hint="eastAsia" w:ascii="宋体" w:hAnsi="宋体" w:eastAsia="宋体" w:cs="宋体"/>
                <w:b/>
                <w:bCs/>
                <w:color w:val="auto"/>
                <w:sz w:val="24"/>
                <w:szCs w:val="24"/>
              </w:rPr>
              <w:t>资格条件</w:t>
            </w:r>
            <w:r>
              <w:rPr>
                <w:rFonts w:hint="eastAsia" w:ascii="宋体" w:hAnsi="宋体" w:eastAsia="宋体" w:cs="宋体"/>
                <w:b/>
                <w:bCs/>
                <w:i w:val="0"/>
                <w:iCs w:val="0"/>
                <w:caps w:val="0"/>
                <w:color w:val="auto"/>
                <w:spacing w:val="0"/>
                <w:sz w:val="24"/>
                <w:szCs w:val="24"/>
                <w:shd w:val="clear" w:fill="FFFFFF"/>
              </w:rPr>
              <w:t>如下:</w:t>
            </w:r>
          </w:p>
          <w:p w14:paraId="22357D2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32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2)财务状况报告：供应商提供2024年经审计的财务报告，成立时间至提交响应文件截止时间不足一年的提供其基本账户开户银行出具的资信证明及基本账户开户许可证；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3)税收缴纳证明：提供2024年6月至今已缴纳的至少一个月的纳税证明或完税证明，依法免税的单位应提供相关证明材料；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4)社会保障资金缴纳证明：提供2024年6月至今已缴纳的至少一个月的社会保障资金凭据（专用收据或社会保险缴纳清单）；依法不需要缴纳社会保障资金的供应商应提供相关文件证明；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投标人提供在投标截止日前在信用中国网（www.creditchina.gov.cn）未被列入失信被执行人、重大税收违法案件当事人名单和在中国政府采购网（www.ccgp.gov.cn）未被列入政府采购严重违法失信行为记录名单（查询日期为从招标文件发售之日起至投标截止日前）并加盖供应商公章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6)书面声明：参加政府采购活动前三年内，在经营活动中没有重大违法、违规记录的书面声明；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7)提供具有履行合同所必需的设备和专业技术能力的证明资料或承诺书；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8)提供榆林市政府采购服务类项目供应商信用承诺书、投标信用承诺书（保证金）（格式后附）；</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9)本项目专门面向中小企业采购,供应商须提供中小企业声明函;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w:t>
            </w:r>
          </w:p>
          <w:p w14:paraId="71525BD7">
            <w:pPr>
              <w:pStyle w:val="22"/>
              <w:keepNext w:val="0"/>
              <w:keepLines w:val="0"/>
              <w:pageBreakBefore w:val="0"/>
              <w:widowControl/>
              <w:numPr>
                <w:ilvl w:val="0"/>
                <w:numId w:val="0"/>
              </w:numPr>
              <w:suppressLineNumbers w:val="0"/>
              <w:shd w:val="clear" w:color="auto"/>
              <w:kinsoku/>
              <w:wordWrap/>
              <w:overflowPunct/>
              <w:topLinePunct w:val="0"/>
              <w:autoSpaceDE/>
              <w:autoSpaceDN/>
              <w:bidi w:val="0"/>
              <w:adjustRightInd w:val="0"/>
              <w:snapToGrid w:val="0"/>
              <w:spacing w:before="0" w:beforeAutospacing="0" w:after="0" w:afterAutospacing="0" w:line="360" w:lineRule="auto"/>
              <w:ind w:leftChars="0" w:right="0" w:rightChars="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有关资格要求的特别说明： </w:t>
            </w:r>
          </w:p>
          <w:p w14:paraId="0D800608">
            <w:pPr>
              <w:pStyle w:val="22"/>
              <w:keepNext w:val="0"/>
              <w:keepLines w:val="0"/>
              <w:pageBreakBefore w:val="0"/>
              <w:widowControl/>
              <w:numPr>
                <w:ilvl w:val="0"/>
                <w:numId w:val="0"/>
              </w:numPr>
              <w:suppressLineNumbers w:val="0"/>
              <w:shd w:val="clear" w:color="auto"/>
              <w:kinsoku/>
              <w:wordWrap/>
              <w:overflowPunct/>
              <w:topLinePunct w:val="0"/>
              <w:autoSpaceDE/>
              <w:autoSpaceDN/>
              <w:bidi w:val="0"/>
              <w:adjustRightInd w:val="0"/>
              <w:snapToGrid w:val="0"/>
              <w:spacing w:before="0" w:beforeAutospacing="0" w:after="0" w:afterAutospacing="0" w:line="360" w:lineRule="auto"/>
              <w:ind w:leftChars="0"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1）供应商必须对所提供的资格要求的真实性和有效性负全部法律责任，供应商名称和营业执照等相关证件完全一致。 </w:t>
            </w:r>
          </w:p>
          <w:p w14:paraId="44549663">
            <w:pPr>
              <w:pStyle w:val="22"/>
              <w:keepNext w:val="0"/>
              <w:keepLines w:val="0"/>
              <w:pageBreakBefore w:val="0"/>
              <w:widowControl/>
              <w:numPr>
                <w:ilvl w:val="0"/>
                <w:numId w:val="0"/>
              </w:numPr>
              <w:suppressLineNumbers w:val="0"/>
              <w:shd w:val="clear" w:color="auto"/>
              <w:kinsoku/>
              <w:wordWrap/>
              <w:overflowPunct/>
              <w:topLinePunct w:val="0"/>
              <w:autoSpaceDE/>
              <w:autoSpaceDN/>
              <w:bidi w:val="0"/>
              <w:adjustRightInd w:val="0"/>
              <w:snapToGrid w:val="0"/>
              <w:spacing w:before="0" w:beforeAutospacing="0" w:after="0" w:afterAutospacing="0" w:line="360" w:lineRule="auto"/>
              <w:ind w:leftChars="0" w:right="0" w:rightChars="0"/>
              <w:jc w:val="left"/>
              <w:textAlignment w:val="auto"/>
              <w:rPr>
                <w:rFonts w:hint="eastAsia" w:ascii="宋体" w:hAnsi="宋体" w:eastAsia="宋体" w:cs="宋体"/>
                <w:bCs/>
                <w:kern w:val="2"/>
                <w:sz w:val="24"/>
                <w:szCs w:val="24"/>
              </w:rPr>
            </w:pPr>
            <w:r>
              <w:rPr>
                <w:rFonts w:hint="eastAsia" w:ascii="宋体" w:hAnsi="宋体" w:eastAsia="宋体" w:cs="宋体"/>
                <w:sz w:val="24"/>
                <w:szCs w:val="24"/>
                <w:lang w:val="en-US" w:eastAsia="zh-CN"/>
              </w:rPr>
              <w:t>2)本项所列资格要求均为必备资格条件，投标人应在投标文件规定处附相关证明材料并加盖企业公章，缺项、漏项或者符合性、有效性、真实性审核不合格的，供应商自动放弃采购活动资格，投标文件视为无效。</w:t>
            </w:r>
          </w:p>
        </w:tc>
      </w:tr>
      <w:tr w14:paraId="293391F0">
        <w:tblPrEx>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1BD19C0D">
            <w:pPr>
              <w:keepNext w:val="0"/>
              <w:keepLines w:val="0"/>
              <w:pageBreakBefore w:val="0"/>
              <w:numPr>
                <w:ilvl w:val="0"/>
                <w:numId w:val="4"/>
              </w:numPr>
              <w:shd w:val="clear"/>
              <w:kinsoku/>
              <w:wordWrap/>
              <w:overflowPunct/>
              <w:topLinePunct w:val="0"/>
              <w:autoSpaceDE/>
              <w:autoSpaceDN/>
              <w:bidi w:val="0"/>
              <w:adjustRightInd w:val="0"/>
              <w:snapToGrid w:val="0"/>
              <w:spacing w:line="360" w:lineRule="auto"/>
              <w:ind w:left="425" w:leftChars="0" w:hanging="425" w:firstLineChars="0"/>
              <w:jc w:val="center"/>
              <w:rPr>
                <w:rFonts w:hint="eastAsia" w:ascii="宋体" w:hAnsi="宋体" w:eastAsia="宋体" w:cs="宋体"/>
                <w:sz w:val="24"/>
                <w:szCs w:val="24"/>
                <w:lang w:val="en-US" w:eastAsia="zh-CN"/>
              </w:rPr>
            </w:pPr>
          </w:p>
        </w:tc>
        <w:tc>
          <w:tcPr>
            <w:tcW w:w="1962" w:type="dxa"/>
            <w:tcBorders>
              <w:top w:val="single" w:color="auto" w:sz="4" w:space="0"/>
              <w:left w:val="single" w:color="auto" w:sz="4" w:space="0"/>
              <w:bottom w:val="single" w:color="auto" w:sz="4" w:space="0"/>
              <w:right w:val="single" w:color="auto" w:sz="4" w:space="0"/>
            </w:tcBorders>
            <w:vAlign w:val="center"/>
          </w:tcPr>
          <w:p w14:paraId="5983A5A1">
            <w:pPr>
              <w:keepNext w:val="0"/>
              <w:keepLines w:val="0"/>
              <w:pageBreakBefore w:val="0"/>
              <w:widowControl/>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磋商有效期</w:t>
            </w:r>
          </w:p>
        </w:tc>
        <w:tc>
          <w:tcPr>
            <w:tcW w:w="6597" w:type="dxa"/>
            <w:tcBorders>
              <w:top w:val="single" w:color="auto" w:sz="4" w:space="0"/>
              <w:left w:val="single" w:color="auto" w:sz="4" w:space="0"/>
              <w:bottom w:val="single" w:color="auto" w:sz="4" w:space="0"/>
              <w:right w:val="single" w:color="auto" w:sz="4" w:space="0"/>
            </w:tcBorders>
            <w:vAlign w:val="center"/>
          </w:tcPr>
          <w:p w14:paraId="32C42B73">
            <w:pPr>
              <w:keepNext w:val="0"/>
              <w:keepLines w:val="0"/>
              <w:pageBreakBefore w:val="0"/>
              <w:widowControl/>
              <w:shd w:val="clear"/>
              <w:tabs>
                <w:tab w:val="left" w:pos="1620"/>
              </w:tabs>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u w:val="single"/>
              </w:rPr>
            </w:pPr>
            <w:r>
              <w:rPr>
                <w:rFonts w:hint="eastAsia" w:ascii="宋体" w:hAnsi="宋体" w:eastAsia="宋体" w:cs="宋体"/>
                <w:sz w:val="24"/>
                <w:szCs w:val="24"/>
              </w:rPr>
              <w:t>磋商响应文件从磋商截止日起，磋商有效期为90天，磋商有效期短于此规定期限的响应文件，视为无效响应文件。</w:t>
            </w:r>
            <w:r>
              <w:rPr>
                <w:rFonts w:hint="eastAsia" w:ascii="宋体" w:hAnsi="宋体" w:eastAsia="宋体" w:cs="宋体"/>
                <w:sz w:val="24"/>
                <w:szCs w:val="24"/>
                <w:lang w:eastAsia="zh-CN"/>
              </w:rPr>
              <w:t>成交供应商</w:t>
            </w:r>
            <w:r>
              <w:rPr>
                <w:rFonts w:hint="eastAsia" w:ascii="宋体" w:hAnsi="宋体" w:eastAsia="宋体" w:cs="宋体"/>
                <w:sz w:val="24"/>
                <w:szCs w:val="24"/>
              </w:rPr>
              <w:t>的响应文件有效期延长至合同执行完毕。</w:t>
            </w:r>
          </w:p>
        </w:tc>
      </w:tr>
      <w:tr w14:paraId="2D704EE9">
        <w:tblPrEx>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3AFEAF3E">
            <w:pPr>
              <w:keepNext w:val="0"/>
              <w:keepLines w:val="0"/>
              <w:pageBreakBefore w:val="0"/>
              <w:numPr>
                <w:ilvl w:val="0"/>
                <w:numId w:val="4"/>
              </w:numPr>
              <w:shd w:val="clear"/>
              <w:kinsoku/>
              <w:wordWrap/>
              <w:overflowPunct/>
              <w:topLinePunct w:val="0"/>
              <w:autoSpaceDE/>
              <w:autoSpaceDN/>
              <w:bidi w:val="0"/>
              <w:adjustRightInd w:val="0"/>
              <w:snapToGrid w:val="0"/>
              <w:spacing w:line="360" w:lineRule="auto"/>
              <w:ind w:left="425" w:leftChars="0" w:hanging="425" w:firstLineChars="0"/>
              <w:jc w:val="center"/>
              <w:rPr>
                <w:rFonts w:hint="eastAsia" w:ascii="宋体" w:hAnsi="宋体" w:eastAsia="宋体" w:cs="宋体"/>
                <w:sz w:val="24"/>
                <w:szCs w:val="24"/>
                <w:lang w:val="en-US" w:eastAsia="zh-CN"/>
              </w:rPr>
            </w:pPr>
          </w:p>
        </w:tc>
        <w:tc>
          <w:tcPr>
            <w:tcW w:w="1962" w:type="dxa"/>
            <w:tcBorders>
              <w:top w:val="single" w:color="auto" w:sz="4" w:space="0"/>
              <w:left w:val="single" w:color="auto" w:sz="4" w:space="0"/>
              <w:bottom w:val="single" w:color="auto" w:sz="4" w:space="0"/>
              <w:right w:val="single" w:color="auto" w:sz="4" w:space="0"/>
            </w:tcBorders>
            <w:vAlign w:val="center"/>
          </w:tcPr>
          <w:p w14:paraId="4D31CB34">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竞争性磋商响应文件递交截止时间</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磋商时间、</w:t>
            </w:r>
            <w:r>
              <w:rPr>
                <w:rFonts w:hint="eastAsia" w:ascii="宋体" w:hAnsi="宋体" w:eastAsia="宋体" w:cs="宋体"/>
                <w:color w:val="auto"/>
                <w:sz w:val="24"/>
                <w:szCs w:val="24"/>
                <w:highlight w:val="none"/>
                <w:lang w:val="zh-CN"/>
              </w:rPr>
              <w:t>地点</w:t>
            </w:r>
          </w:p>
        </w:tc>
        <w:tc>
          <w:tcPr>
            <w:tcW w:w="6597" w:type="dxa"/>
            <w:tcBorders>
              <w:top w:val="single" w:color="auto" w:sz="4" w:space="0"/>
              <w:left w:val="single" w:color="auto" w:sz="4" w:space="0"/>
              <w:bottom w:val="single" w:color="auto" w:sz="4" w:space="0"/>
              <w:right w:val="single" w:color="auto" w:sz="4" w:space="0"/>
            </w:tcBorders>
            <w:vAlign w:val="center"/>
          </w:tcPr>
          <w:p w14:paraId="3D85600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right="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时间： 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7</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31</w:t>
            </w:r>
            <w:r>
              <w:rPr>
                <w:rFonts w:hint="eastAsia" w:ascii="宋体" w:hAnsi="宋体" w:eastAsia="宋体" w:cs="宋体"/>
                <w:i w:val="0"/>
                <w:iCs w:val="0"/>
                <w:caps w:val="0"/>
                <w:color w:val="auto"/>
                <w:spacing w:val="0"/>
                <w:sz w:val="24"/>
                <w:szCs w:val="24"/>
                <w:shd w:val="clear" w:fill="FFFFFF"/>
                <w:vertAlign w:val="baseline"/>
              </w:rPr>
              <w:t>日</w:t>
            </w:r>
            <w:r>
              <w:rPr>
                <w:rFonts w:hint="eastAsia" w:ascii="宋体" w:hAnsi="宋体" w:eastAsia="宋体" w:cs="宋体"/>
                <w:i w:val="0"/>
                <w:iCs w:val="0"/>
                <w:caps w:val="0"/>
                <w:color w:val="auto"/>
                <w:spacing w:val="0"/>
                <w:sz w:val="24"/>
                <w:szCs w:val="24"/>
                <w:shd w:val="clear" w:fill="FFFFFF"/>
                <w:vertAlign w:val="baseline"/>
                <w:lang w:val="en-US" w:eastAsia="zh-CN"/>
              </w:rPr>
              <w:t>13</w:t>
            </w:r>
            <w:r>
              <w:rPr>
                <w:rFonts w:hint="eastAsia" w:ascii="宋体" w:hAnsi="宋体" w:eastAsia="宋体" w:cs="宋体"/>
                <w:i w:val="0"/>
                <w:iCs w:val="0"/>
                <w:caps w:val="0"/>
                <w:color w:val="auto"/>
                <w:spacing w:val="0"/>
                <w:sz w:val="24"/>
                <w:szCs w:val="24"/>
                <w:shd w:val="clear" w:fill="FFFFFF"/>
                <w:vertAlign w:val="baseline"/>
              </w:rPr>
              <w:t>时30分00秒 （北京时间）</w:t>
            </w:r>
          </w:p>
          <w:p w14:paraId="2EFBC97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right="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shd w:val="clear" w:fill="FFFFFF"/>
                <w:vertAlign w:val="baseline"/>
              </w:rPr>
              <w:t>地点：榆林市公共资源交易中心十楼开标</w:t>
            </w:r>
            <w:r>
              <w:rPr>
                <w:rFonts w:hint="eastAsia" w:ascii="宋体" w:hAnsi="宋体" w:eastAsia="宋体"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rPr>
              <w:t>室</w:t>
            </w:r>
          </w:p>
        </w:tc>
      </w:tr>
      <w:tr w14:paraId="7CA180D1">
        <w:tblPrEx>
          <w:tblCellMar>
            <w:top w:w="0" w:type="dxa"/>
            <w:left w:w="108" w:type="dxa"/>
            <w:bottom w:w="0" w:type="dxa"/>
            <w:right w:w="108" w:type="dxa"/>
          </w:tblCellMar>
        </w:tblPrEx>
        <w:trPr>
          <w:trHeight w:val="456"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6515FA82">
            <w:pPr>
              <w:keepNext w:val="0"/>
              <w:keepLines w:val="0"/>
              <w:pageBreakBefore w:val="0"/>
              <w:numPr>
                <w:ilvl w:val="0"/>
                <w:numId w:val="4"/>
              </w:numPr>
              <w:shd w:val="clear"/>
              <w:kinsoku/>
              <w:wordWrap/>
              <w:overflowPunct/>
              <w:topLinePunct w:val="0"/>
              <w:autoSpaceDE/>
              <w:autoSpaceDN/>
              <w:bidi w:val="0"/>
              <w:adjustRightInd w:val="0"/>
              <w:snapToGrid w:val="0"/>
              <w:spacing w:line="360" w:lineRule="auto"/>
              <w:ind w:left="425" w:leftChars="0" w:hanging="425" w:firstLineChars="0"/>
              <w:jc w:val="center"/>
              <w:rPr>
                <w:rFonts w:hint="eastAsia" w:ascii="宋体" w:hAnsi="宋体" w:eastAsia="宋体" w:cs="宋体"/>
                <w:sz w:val="24"/>
                <w:szCs w:val="24"/>
                <w:lang w:val="en-US" w:eastAsia="zh-CN"/>
              </w:rPr>
            </w:pPr>
          </w:p>
        </w:tc>
        <w:tc>
          <w:tcPr>
            <w:tcW w:w="1962" w:type="dxa"/>
            <w:tcBorders>
              <w:top w:val="single" w:color="auto" w:sz="4" w:space="0"/>
              <w:left w:val="single" w:color="auto" w:sz="4" w:space="0"/>
              <w:bottom w:val="single" w:color="auto" w:sz="4" w:space="0"/>
              <w:right w:val="single" w:color="auto" w:sz="4" w:space="0"/>
            </w:tcBorders>
            <w:vAlign w:val="center"/>
          </w:tcPr>
          <w:p w14:paraId="4C9301F3">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磋商保证金</w:t>
            </w:r>
          </w:p>
        </w:tc>
        <w:tc>
          <w:tcPr>
            <w:tcW w:w="6597" w:type="dxa"/>
            <w:tcBorders>
              <w:top w:val="single" w:color="auto" w:sz="4" w:space="0"/>
              <w:left w:val="single" w:color="auto" w:sz="4" w:space="0"/>
              <w:bottom w:val="single" w:color="auto" w:sz="4" w:space="0"/>
              <w:right w:val="single" w:color="auto" w:sz="4" w:space="0"/>
            </w:tcBorders>
            <w:vAlign w:val="center"/>
          </w:tcPr>
          <w:p w14:paraId="4D029FA0">
            <w:pPr>
              <w:keepNext w:val="0"/>
              <w:keepLines w:val="0"/>
              <w:pageBreakBefore w:val="0"/>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本项目采用“投标信用承诺书”代替投标保证金；</w:t>
            </w:r>
          </w:p>
          <w:p w14:paraId="0B5D4F50">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highlight w:val="none"/>
                <w:lang w:val="en-US" w:eastAsia="zh-CN"/>
              </w:rPr>
              <w:t>根据榆林市财政局下发的榆政财采发【2023】8号文件规定，各投标人采用“投标信用承诺书”代替保证金。投标人须将“投标信用承诺书”按要求签字盖章后上传至信用中国（陕西榆林）进行承诺公示，将公示后的截图附在投标文件中</w:t>
            </w:r>
          </w:p>
        </w:tc>
      </w:tr>
      <w:tr w14:paraId="0751D6DB">
        <w:tblPrEx>
          <w:tblCellMar>
            <w:top w:w="0" w:type="dxa"/>
            <w:left w:w="108" w:type="dxa"/>
            <w:bottom w:w="0" w:type="dxa"/>
            <w:right w:w="108" w:type="dxa"/>
          </w:tblCellMar>
        </w:tblPrEx>
        <w:trPr>
          <w:jc w:val="center"/>
        </w:trPr>
        <w:tc>
          <w:tcPr>
            <w:tcW w:w="723" w:type="dxa"/>
            <w:tcBorders>
              <w:top w:val="single" w:color="auto" w:sz="4" w:space="0"/>
              <w:left w:val="single" w:color="auto" w:sz="4" w:space="0"/>
              <w:right w:val="single" w:color="auto" w:sz="4" w:space="0"/>
            </w:tcBorders>
            <w:vAlign w:val="center"/>
          </w:tcPr>
          <w:p w14:paraId="54393A1E">
            <w:pPr>
              <w:keepNext w:val="0"/>
              <w:keepLines w:val="0"/>
              <w:pageBreakBefore w:val="0"/>
              <w:numPr>
                <w:ilvl w:val="0"/>
                <w:numId w:val="4"/>
              </w:numPr>
              <w:shd w:val="clear"/>
              <w:kinsoku/>
              <w:wordWrap/>
              <w:overflowPunct/>
              <w:topLinePunct w:val="0"/>
              <w:autoSpaceDE/>
              <w:autoSpaceDN/>
              <w:bidi w:val="0"/>
              <w:adjustRightInd w:val="0"/>
              <w:snapToGrid w:val="0"/>
              <w:spacing w:line="360" w:lineRule="auto"/>
              <w:ind w:left="425" w:leftChars="0" w:hanging="425" w:firstLineChars="0"/>
              <w:jc w:val="center"/>
              <w:rPr>
                <w:rFonts w:hint="eastAsia" w:ascii="宋体" w:hAnsi="宋体" w:eastAsia="宋体" w:cs="宋体"/>
                <w:sz w:val="24"/>
                <w:szCs w:val="24"/>
                <w:lang w:val="en-US" w:eastAsia="zh-CN"/>
              </w:rPr>
            </w:pPr>
          </w:p>
        </w:tc>
        <w:tc>
          <w:tcPr>
            <w:tcW w:w="1962" w:type="dxa"/>
            <w:tcBorders>
              <w:top w:val="single" w:color="auto" w:sz="4" w:space="0"/>
              <w:left w:val="single" w:color="auto" w:sz="4" w:space="0"/>
              <w:right w:val="single" w:color="auto" w:sz="4" w:space="0"/>
            </w:tcBorders>
            <w:shd w:val="clear" w:color="auto" w:fill="auto"/>
            <w:vAlign w:val="center"/>
          </w:tcPr>
          <w:p w14:paraId="00409ABE">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服务期</w:t>
            </w:r>
          </w:p>
        </w:tc>
        <w:tc>
          <w:tcPr>
            <w:tcW w:w="6597" w:type="dxa"/>
            <w:tcBorders>
              <w:top w:val="single" w:color="auto" w:sz="4" w:space="0"/>
              <w:left w:val="single" w:color="auto" w:sz="4" w:space="0"/>
              <w:bottom w:val="single" w:color="auto" w:sz="4" w:space="0"/>
              <w:right w:val="single" w:color="auto" w:sz="4" w:space="0"/>
            </w:tcBorders>
            <w:shd w:val="clear" w:color="auto" w:fill="auto"/>
            <w:vAlign w:val="center"/>
          </w:tcPr>
          <w:p w14:paraId="5160DCDA">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12天</w:t>
            </w:r>
          </w:p>
        </w:tc>
      </w:tr>
      <w:tr w14:paraId="6F5B3E03">
        <w:tblPrEx>
          <w:tblCellMar>
            <w:top w:w="0" w:type="dxa"/>
            <w:left w:w="108" w:type="dxa"/>
            <w:bottom w:w="0" w:type="dxa"/>
            <w:right w:w="108" w:type="dxa"/>
          </w:tblCellMar>
        </w:tblPrEx>
        <w:trPr>
          <w:jc w:val="center"/>
        </w:trPr>
        <w:tc>
          <w:tcPr>
            <w:tcW w:w="723" w:type="dxa"/>
            <w:tcBorders>
              <w:top w:val="single" w:color="auto" w:sz="4" w:space="0"/>
              <w:left w:val="single" w:color="auto" w:sz="4" w:space="0"/>
              <w:bottom w:val="single" w:color="auto" w:sz="4" w:space="0"/>
              <w:right w:val="single" w:color="auto" w:sz="4" w:space="0"/>
            </w:tcBorders>
            <w:vAlign w:val="center"/>
          </w:tcPr>
          <w:p w14:paraId="7B042C87">
            <w:pPr>
              <w:keepNext w:val="0"/>
              <w:keepLines w:val="0"/>
              <w:pageBreakBefore w:val="0"/>
              <w:numPr>
                <w:ilvl w:val="0"/>
                <w:numId w:val="4"/>
              </w:numPr>
              <w:shd w:val="clear"/>
              <w:kinsoku/>
              <w:wordWrap/>
              <w:overflowPunct/>
              <w:topLinePunct w:val="0"/>
              <w:autoSpaceDE/>
              <w:autoSpaceDN/>
              <w:bidi w:val="0"/>
              <w:adjustRightInd w:val="0"/>
              <w:snapToGrid w:val="0"/>
              <w:spacing w:line="360" w:lineRule="auto"/>
              <w:ind w:left="425" w:leftChars="0" w:hanging="425" w:firstLineChars="0"/>
              <w:jc w:val="center"/>
              <w:rPr>
                <w:rFonts w:hint="eastAsia" w:ascii="宋体" w:hAnsi="宋体" w:eastAsia="宋体" w:cs="宋体"/>
                <w:sz w:val="24"/>
                <w:szCs w:val="24"/>
                <w:lang w:val="en-US" w:eastAsia="zh-CN"/>
              </w:rPr>
            </w:pPr>
          </w:p>
        </w:tc>
        <w:tc>
          <w:tcPr>
            <w:tcW w:w="1962" w:type="dxa"/>
            <w:tcBorders>
              <w:top w:val="single" w:color="auto" w:sz="4" w:space="0"/>
              <w:left w:val="single" w:color="auto" w:sz="4" w:space="0"/>
              <w:bottom w:val="single" w:color="auto" w:sz="4" w:space="0"/>
              <w:right w:val="single" w:color="auto" w:sz="4" w:space="0"/>
            </w:tcBorders>
            <w:vAlign w:val="center"/>
          </w:tcPr>
          <w:p w14:paraId="469F1332">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付款方式</w:t>
            </w:r>
          </w:p>
        </w:tc>
        <w:tc>
          <w:tcPr>
            <w:tcW w:w="6597" w:type="dxa"/>
            <w:tcBorders>
              <w:top w:val="single" w:color="auto" w:sz="4" w:space="0"/>
              <w:left w:val="single" w:color="auto" w:sz="4" w:space="0"/>
              <w:bottom w:val="single" w:color="auto" w:sz="4" w:space="0"/>
              <w:right w:val="single" w:color="auto" w:sz="4" w:space="0"/>
            </w:tcBorders>
            <w:vAlign w:val="center"/>
          </w:tcPr>
          <w:p w14:paraId="550F4379">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合同约定</w:t>
            </w:r>
            <w:r>
              <w:rPr>
                <w:rFonts w:hint="eastAsia" w:ascii="宋体" w:hAnsi="宋体" w:eastAsia="宋体" w:cs="宋体"/>
                <w:color w:val="auto"/>
                <w:sz w:val="24"/>
                <w:szCs w:val="24"/>
                <w:lang w:eastAsia="zh-CN"/>
              </w:rPr>
              <w:t>；</w:t>
            </w:r>
          </w:p>
        </w:tc>
      </w:tr>
      <w:tr w14:paraId="295AF22F">
        <w:tblPrEx>
          <w:tblCellMar>
            <w:top w:w="0" w:type="dxa"/>
            <w:left w:w="108" w:type="dxa"/>
            <w:bottom w:w="0" w:type="dxa"/>
            <w:right w:w="108" w:type="dxa"/>
          </w:tblCellMar>
        </w:tblPrEx>
        <w:trPr>
          <w:jc w:val="center"/>
        </w:trPr>
        <w:tc>
          <w:tcPr>
            <w:tcW w:w="723" w:type="dxa"/>
            <w:tcBorders>
              <w:top w:val="single" w:color="auto" w:sz="4" w:space="0"/>
              <w:left w:val="single" w:color="auto" w:sz="4" w:space="0"/>
              <w:bottom w:val="single" w:color="auto" w:sz="4" w:space="0"/>
              <w:right w:val="single" w:color="auto" w:sz="4" w:space="0"/>
            </w:tcBorders>
            <w:vAlign w:val="center"/>
          </w:tcPr>
          <w:p w14:paraId="0A8785FB">
            <w:pPr>
              <w:keepNext w:val="0"/>
              <w:keepLines w:val="0"/>
              <w:pageBreakBefore w:val="0"/>
              <w:numPr>
                <w:ilvl w:val="0"/>
                <w:numId w:val="4"/>
              </w:numPr>
              <w:shd w:val="clear"/>
              <w:kinsoku/>
              <w:wordWrap/>
              <w:overflowPunct/>
              <w:topLinePunct w:val="0"/>
              <w:autoSpaceDE/>
              <w:autoSpaceDN/>
              <w:bidi w:val="0"/>
              <w:adjustRightInd w:val="0"/>
              <w:snapToGrid w:val="0"/>
              <w:spacing w:line="360" w:lineRule="auto"/>
              <w:ind w:left="425" w:leftChars="0" w:hanging="425" w:firstLineChars="0"/>
              <w:jc w:val="center"/>
              <w:rPr>
                <w:rFonts w:hint="eastAsia" w:ascii="宋体" w:hAnsi="宋体" w:eastAsia="宋体" w:cs="宋体"/>
                <w:sz w:val="24"/>
                <w:szCs w:val="24"/>
                <w:lang w:val="en-US" w:eastAsia="zh-CN"/>
              </w:rPr>
            </w:pPr>
          </w:p>
        </w:tc>
        <w:tc>
          <w:tcPr>
            <w:tcW w:w="1962" w:type="dxa"/>
            <w:tcBorders>
              <w:top w:val="single" w:color="auto" w:sz="4" w:space="0"/>
              <w:left w:val="single" w:color="auto" w:sz="4" w:space="0"/>
              <w:bottom w:val="single" w:color="auto" w:sz="4" w:space="0"/>
              <w:right w:val="single" w:color="auto" w:sz="4" w:space="0"/>
            </w:tcBorders>
            <w:vAlign w:val="center"/>
          </w:tcPr>
          <w:p w14:paraId="4413E389">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服务地点</w:t>
            </w:r>
          </w:p>
        </w:tc>
        <w:tc>
          <w:tcPr>
            <w:tcW w:w="6597" w:type="dxa"/>
            <w:tcBorders>
              <w:top w:val="single" w:color="auto" w:sz="4" w:space="0"/>
              <w:left w:val="single" w:color="auto" w:sz="4" w:space="0"/>
              <w:bottom w:val="single" w:color="auto" w:sz="4" w:space="0"/>
              <w:right w:val="single" w:color="auto" w:sz="4" w:space="0"/>
            </w:tcBorders>
            <w:vAlign w:val="center"/>
          </w:tcPr>
          <w:p w14:paraId="41076895">
            <w:pPr>
              <w:keepNext w:val="0"/>
              <w:keepLines w:val="0"/>
              <w:pageBreakBefore w:val="0"/>
              <w:widowControl w:val="0"/>
              <w:shd w:val="clea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4"/>
                <w:szCs w:val="24"/>
              </w:rPr>
            </w:pPr>
            <w:r>
              <w:rPr>
                <w:rFonts w:hint="eastAsia" w:ascii="宋体" w:hAnsi="宋体" w:eastAsia="宋体" w:cs="宋体"/>
                <w:bCs/>
                <w:sz w:val="24"/>
                <w:szCs w:val="24"/>
                <w:lang w:eastAsia="zh-CN"/>
              </w:rPr>
              <w:t>采购人</w:t>
            </w:r>
            <w:r>
              <w:rPr>
                <w:rFonts w:hint="eastAsia" w:ascii="宋体" w:hAnsi="宋体" w:eastAsia="宋体" w:cs="宋体"/>
                <w:sz w:val="24"/>
                <w:szCs w:val="24"/>
              </w:rPr>
              <w:t>指定地点</w:t>
            </w:r>
          </w:p>
        </w:tc>
      </w:tr>
      <w:tr w14:paraId="55858B54">
        <w:tblPrEx>
          <w:tblCellMar>
            <w:top w:w="0" w:type="dxa"/>
            <w:left w:w="108" w:type="dxa"/>
            <w:bottom w:w="0" w:type="dxa"/>
            <w:right w:w="108" w:type="dxa"/>
          </w:tblCellMar>
        </w:tblPrEx>
        <w:trPr>
          <w:trHeight w:val="421"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2CA54901">
            <w:pPr>
              <w:keepNext w:val="0"/>
              <w:keepLines w:val="0"/>
              <w:pageBreakBefore w:val="0"/>
              <w:numPr>
                <w:ilvl w:val="0"/>
                <w:numId w:val="4"/>
              </w:numPr>
              <w:shd w:val="clear"/>
              <w:kinsoku/>
              <w:wordWrap/>
              <w:overflowPunct/>
              <w:topLinePunct w:val="0"/>
              <w:autoSpaceDE/>
              <w:autoSpaceDN/>
              <w:bidi w:val="0"/>
              <w:adjustRightInd w:val="0"/>
              <w:snapToGrid w:val="0"/>
              <w:spacing w:line="360" w:lineRule="auto"/>
              <w:ind w:left="425" w:leftChars="0" w:hanging="425" w:firstLineChars="0"/>
              <w:jc w:val="center"/>
              <w:rPr>
                <w:rFonts w:hint="eastAsia" w:ascii="宋体" w:hAnsi="宋体" w:eastAsia="宋体" w:cs="宋体"/>
                <w:sz w:val="24"/>
                <w:szCs w:val="24"/>
                <w:lang w:val="en-US" w:eastAsia="zh-CN"/>
              </w:rPr>
            </w:pPr>
          </w:p>
        </w:tc>
        <w:tc>
          <w:tcPr>
            <w:tcW w:w="1962" w:type="dxa"/>
            <w:tcBorders>
              <w:top w:val="single" w:color="auto" w:sz="4" w:space="0"/>
              <w:left w:val="single" w:color="auto" w:sz="4" w:space="0"/>
              <w:bottom w:val="single" w:color="auto" w:sz="4" w:space="0"/>
              <w:right w:val="single" w:color="auto" w:sz="4" w:space="0"/>
            </w:tcBorders>
            <w:vAlign w:val="center"/>
          </w:tcPr>
          <w:p w14:paraId="6DCB6F5D">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评审方法</w:t>
            </w:r>
          </w:p>
        </w:tc>
        <w:tc>
          <w:tcPr>
            <w:tcW w:w="6597" w:type="dxa"/>
            <w:tcBorders>
              <w:top w:val="single" w:color="auto" w:sz="4" w:space="0"/>
              <w:left w:val="single" w:color="auto" w:sz="4" w:space="0"/>
              <w:bottom w:val="single" w:color="auto" w:sz="4" w:space="0"/>
              <w:right w:val="single" w:color="auto" w:sz="4" w:space="0"/>
            </w:tcBorders>
            <w:vAlign w:val="center"/>
          </w:tcPr>
          <w:p w14:paraId="03F5FD81">
            <w:pPr>
              <w:pStyle w:val="8"/>
              <w:keepNext w:val="0"/>
              <w:keepLines w:val="0"/>
              <w:pageBreakBefore w:val="0"/>
              <w:widowControl w:val="0"/>
              <w:shd w:val="clear"/>
              <w:kinsoku/>
              <w:wordWrap/>
              <w:overflowPunct/>
              <w:topLinePunct w:val="0"/>
              <w:autoSpaceDE/>
              <w:autoSpaceDN/>
              <w:bidi w:val="0"/>
              <w:adjustRightInd w:val="0"/>
              <w:snapToGrid w:val="0"/>
              <w:spacing w:line="360" w:lineRule="auto"/>
              <w:ind w:left="470" w:leftChars="24" w:hanging="420" w:hangingChars="175"/>
              <w:jc w:val="both"/>
              <w:textAlignment w:val="auto"/>
              <w:rPr>
                <w:rFonts w:hint="eastAsia" w:ascii="宋体" w:hAnsi="宋体" w:eastAsia="宋体" w:cs="宋体"/>
                <w:sz w:val="24"/>
                <w:szCs w:val="24"/>
              </w:rPr>
            </w:pPr>
            <w:r>
              <w:rPr>
                <w:rFonts w:hint="eastAsia" w:ascii="宋体" w:hAnsi="宋体" w:eastAsia="宋体" w:cs="宋体"/>
                <w:sz w:val="24"/>
                <w:szCs w:val="24"/>
              </w:rPr>
              <w:t>综合评分法</w:t>
            </w:r>
          </w:p>
        </w:tc>
      </w:tr>
      <w:tr w14:paraId="413CADD5">
        <w:tblPrEx>
          <w:tblCellMar>
            <w:top w:w="0" w:type="dxa"/>
            <w:left w:w="108" w:type="dxa"/>
            <w:bottom w:w="0" w:type="dxa"/>
            <w:right w:w="108" w:type="dxa"/>
          </w:tblCellMar>
        </w:tblPrEx>
        <w:trPr>
          <w:trHeight w:val="421"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28FAFB31">
            <w:pPr>
              <w:keepNext w:val="0"/>
              <w:keepLines w:val="0"/>
              <w:pageBreakBefore w:val="0"/>
              <w:numPr>
                <w:ilvl w:val="0"/>
                <w:numId w:val="4"/>
              </w:numPr>
              <w:shd w:val="clear"/>
              <w:kinsoku/>
              <w:wordWrap/>
              <w:overflowPunct/>
              <w:topLinePunct w:val="0"/>
              <w:autoSpaceDE/>
              <w:autoSpaceDN/>
              <w:bidi w:val="0"/>
              <w:adjustRightInd w:val="0"/>
              <w:snapToGrid w:val="0"/>
              <w:spacing w:line="360" w:lineRule="auto"/>
              <w:ind w:left="425" w:leftChars="0" w:hanging="425" w:firstLineChars="0"/>
              <w:jc w:val="center"/>
              <w:rPr>
                <w:rFonts w:hint="eastAsia" w:ascii="宋体" w:hAnsi="宋体" w:eastAsia="宋体" w:cs="宋体"/>
                <w:sz w:val="24"/>
                <w:szCs w:val="24"/>
                <w:lang w:val="en-US" w:eastAsia="zh-CN"/>
              </w:rPr>
            </w:pPr>
          </w:p>
        </w:tc>
        <w:tc>
          <w:tcPr>
            <w:tcW w:w="1962" w:type="dxa"/>
            <w:tcBorders>
              <w:top w:val="single" w:color="auto" w:sz="4" w:space="0"/>
              <w:left w:val="single" w:color="auto" w:sz="4" w:space="0"/>
              <w:bottom w:val="single" w:color="auto" w:sz="4" w:space="0"/>
              <w:right w:val="single" w:color="auto" w:sz="4" w:space="0"/>
            </w:tcBorders>
            <w:vAlign w:val="center"/>
          </w:tcPr>
          <w:p w14:paraId="1D1DBF3C">
            <w:pPr>
              <w:keepNext w:val="0"/>
              <w:keepLines w:val="0"/>
              <w:pageBreakBefore w:val="0"/>
              <w:widowControl/>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000000"/>
                <w:sz w:val="24"/>
                <w:szCs w:val="24"/>
                <w:highlight w:val="none"/>
                <w:lang w:eastAsia="zh-CN"/>
              </w:rPr>
              <w:t>是否接受分包</w:t>
            </w:r>
          </w:p>
        </w:tc>
        <w:tc>
          <w:tcPr>
            <w:tcW w:w="6597" w:type="dxa"/>
            <w:tcBorders>
              <w:top w:val="single" w:color="auto" w:sz="4" w:space="0"/>
              <w:left w:val="single" w:color="auto" w:sz="4" w:space="0"/>
              <w:bottom w:val="single" w:color="auto" w:sz="4" w:space="0"/>
              <w:right w:val="single" w:color="auto" w:sz="4" w:space="0"/>
            </w:tcBorders>
            <w:vAlign w:val="center"/>
          </w:tcPr>
          <w:p w14:paraId="6946DF8A">
            <w:pPr>
              <w:keepNext w:val="0"/>
              <w:keepLines w:val="0"/>
              <w:pageBreakBefore w:val="0"/>
              <w:widowControl/>
              <w:shd w:val="clear"/>
              <w:kinsoku/>
              <w:wordWrap/>
              <w:overflowPunct/>
              <w:topLinePunct w:val="0"/>
              <w:autoSpaceDE/>
              <w:autoSpaceDN/>
              <w:bidi w:val="0"/>
              <w:adjustRightInd w:val="0"/>
              <w:snapToGrid w:val="0"/>
              <w:spacing w:line="360" w:lineRule="auto"/>
              <w:ind w:firstLine="480" w:firstLineChars="200"/>
              <w:textAlignment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000000"/>
                <w:sz w:val="24"/>
                <w:szCs w:val="24"/>
                <w:highlight w:val="none"/>
                <w:lang w:eastAsia="zh-CN"/>
              </w:rPr>
              <w:t>否</w:t>
            </w:r>
          </w:p>
        </w:tc>
      </w:tr>
      <w:tr w14:paraId="6652E909">
        <w:tblPrEx>
          <w:tblCellMar>
            <w:top w:w="0" w:type="dxa"/>
            <w:left w:w="108" w:type="dxa"/>
            <w:bottom w:w="0" w:type="dxa"/>
            <w:right w:w="108" w:type="dxa"/>
          </w:tblCellMar>
        </w:tblPrEx>
        <w:trPr>
          <w:trHeight w:val="421"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5C9B789A">
            <w:pPr>
              <w:keepNext w:val="0"/>
              <w:keepLines w:val="0"/>
              <w:pageBreakBefore w:val="0"/>
              <w:numPr>
                <w:ilvl w:val="0"/>
                <w:numId w:val="4"/>
              </w:numPr>
              <w:shd w:val="clear"/>
              <w:kinsoku/>
              <w:wordWrap/>
              <w:overflowPunct/>
              <w:topLinePunct w:val="0"/>
              <w:autoSpaceDE/>
              <w:autoSpaceDN/>
              <w:bidi w:val="0"/>
              <w:adjustRightInd w:val="0"/>
              <w:snapToGrid w:val="0"/>
              <w:spacing w:line="360" w:lineRule="auto"/>
              <w:ind w:left="425" w:leftChars="0" w:hanging="425" w:firstLineChars="0"/>
              <w:jc w:val="center"/>
              <w:rPr>
                <w:rFonts w:hint="eastAsia" w:ascii="宋体" w:hAnsi="宋体" w:eastAsia="宋体" w:cs="宋体"/>
                <w:sz w:val="24"/>
                <w:szCs w:val="24"/>
                <w:lang w:val="en-US" w:eastAsia="zh-CN"/>
              </w:rPr>
            </w:pPr>
          </w:p>
        </w:tc>
        <w:tc>
          <w:tcPr>
            <w:tcW w:w="1962" w:type="dxa"/>
            <w:tcBorders>
              <w:top w:val="single" w:color="auto" w:sz="4" w:space="0"/>
              <w:left w:val="single" w:color="auto" w:sz="4" w:space="0"/>
              <w:bottom w:val="single" w:color="auto" w:sz="4" w:space="0"/>
              <w:right w:val="single" w:color="auto" w:sz="4" w:space="0"/>
            </w:tcBorders>
            <w:vAlign w:val="center"/>
          </w:tcPr>
          <w:p w14:paraId="2665BB83">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是否接受</w:t>
            </w:r>
          </w:p>
          <w:p w14:paraId="45C62D33">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000000"/>
                <w:sz w:val="24"/>
                <w:szCs w:val="24"/>
                <w:highlight w:val="none"/>
              </w:rPr>
              <w:t>联合体投标</w:t>
            </w:r>
          </w:p>
        </w:tc>
        <w:tc>
          <w:tcPr>
            <w:tcW w:w="6597" w:type="dxa"/>
            <w:tcBorders>
              <w:top w:val="single" w:color="auto" w:sz="4" w:space="0"/>
              <w:left w:val="single" w:color="auto" w:sz="4" w:space="0"/>
              <w:bottom w:val="single" w:color="auto" w:sz="4" w:space="0"/>
              <w:right w:val="single" w:color="auto" w:sz="4" w:space="0"/>
            </w:tcBorders>
            <w:vAlign w:val="center"/>
          </w:tcPr>
          <w:p w14:paraId="5F0F38BF">
            <w:pPr>
              <w:keepNext w:val="0"/>
              <w:keepLines w:val="0"/>
              <w:pageBreakBefore w:val="0"/>
              <w:widowControl/>
              <w:shd w:val="clea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sz w:val="24"/>
                <w:szCs w:val="24"/>
                <w:highlight w:val="none"/>
                <w:lang w:eastAsia="zh-CN"/>
              </w:rPr>
              <w:t>否</w:t>
            </w:r>
          </w:p>
        </w:tc>
      </w:tr>
      <w:tr w14:paraId="1BCE1A7C">
        <w:tblPrEx>
          <w:tblCellMar>
            <w:top w:w="0" w:type="dxa"/>
            <w:left w:w="108" w:type="dxa"/>
            <w:bottom w:w="0" w:type="dxa"/>
            <w:right w:w="108" w:type="dxa"/>
          </w:tblCellMar>
        </w:tblPrEx>
        <w:trPr>
          <w:trHeight w:val="421"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4D1356E0">
            <w:pPr>
              <w:keepNext w:val="0"/>
              <w:keepLines w:val="0"/>
              <w:pageBreakBefore w:val="0"/>
              <w:numPr>
                <w:ilvl w:val="0"/>
                <w:numId w:val="4"/>
              </w:numPr>
              <w:shd w:val="clear"/>
              <w:kinsoku/>
              <w:wordWrap/>
              <w:overflowPunct/>
              <w:topLinePunct w:val="0"/>
              <w:autoSpaceDE/>
              <w:autoSpaceDN/>
              <w:bidi w:val="0"/>
              <w:adjustRightInd w:val="0"/>
              <w:snapToGrid w:val="0"/>
              <w:spacing w:line="360" w:lineRule="auto"/>
              <w:ind w:left="425" w:leftChars="0" w:hanging="425" w:firstLineChars="0"/>
              <w:jc w:val="center"/>
              <w:rPr>
                <w:rFonts w:hint="eastAsia" w:ascii="宋体" w:hAnsi="宋体" w:eastAsia="宋体" w:cs="宋体"/>
                <w:sz w:val="24"/>
                <w:szCs w:val="24"/>
                <w:lang w:val="en-US" w:eastAsia="zh-CN"/>
              </w:rPr>
            </w:pPr>
          </w:p>
        </w:tc>
        <w:tc>
          <w:tcPr>
            <w:tcW w:w="1962" w:type="dxa"/>
            <w:tcBorders>
              <w:top w:val="single" w:color="auto" w:sz="4" w:space="0"/>
              <w:left w:val="single" w:color="auto" w:sz="4" w:space="0"/>
              <w:bottom w:val="single" w:color="auto" w:sz="4" w:space="0"/>
              <w:right w:val="single" w:color="auto" w:sz="4" w:space="0"/>
            </w:tcBorders>
            <w:vAlign w:val="center"/>
          </w:tcPr>
          <w:p w14:paraId="7B3F78C7">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是否电子标</w:t>
            </w:r>
          </w:p>
        </w:tc>
        <w:tc>
          <w:tcPr>
            <w:tcW w:w="6597" w:type="dxa"/>
            <w:tcBorders>
              <w:top w:val="single" w:color="auto" w:sz="4" w:space="0"/>
              <w:left w:val="single" w:color="auto" w:sz="4" w:space="0"/>
              <w:bottom w:val="single" w:color="auto" w:sz="4" w:space="0"/>
              <w:right w:val="single" w:color="auto" w:sz="4" w:space="0"/>
            </w:tcBorders>
            <w:vAlign w:val="center"/>
          </w:tcPr>
          <w:p w14:paraId="0DE1E652">
            <w:pPr>
              <w:keepNext w:val="0"/>
              <w:keepLines w:val="0"/>
              <w:pageBreakBefore w:val="0"/>
              <w:widowControl/>
              <w:shd w:val="clear"/>
              <w:kinsoku/>
              <w:wordWrap/>
              <w:overflowPunct/>
              <w:topLinePunct w:val="0"/>
              <w:autoSpaceDE/>
              <w:autoSpaceDN/>
              <w:bidi w:val="0"/>
              <w:adjustRightInd w:val="0"/>
              <w:snapToGrid w:val="0"/>
              <w:spacing w:line="360" w:lineRule="auto"/>
              <w:ind w:firstLine="480" w:firstLineChars="200"/>
              <w:textAlignment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sz w:val="24"/>
                <w:szCs w:val="24"/>
                <w:highlight w:val="none"/>
                <w:lang w:eastAsia="zh-CN"/>
              </w:rPr>
              <w:t>否</w:t>
            </w:r>
          </w:p>
        </w:tc>
      </w:tr>
      <w:tr w14:paraId="58A35E23">
        <w:tblPrEx>
          <w:tblCellMar>
            <w:top w:w="0" w:type="dxa"/>
            <w:left w:w="108" w:type="dxa"/>
            <w:bottom w:w="0" w:type="dxa"/>
            <w:right w:w="108" w:type="dxa"/>
          </w:tblCellMar>
        </w:tblPrEx>
        <w:trPr>
          <w:trHeight w:val="697"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040F0860">
            <w:pPr>
              <w:keepNext w:val="0"/>
              <w:keepLines w:val="0"/>
              <w:pageBreakBefore w:val="0"/>
              <w:numPr>
                <w:ilvl w:val="0"/>
                <w:numId w:val="4"/>
              </w:numPr>
              <w:shd w:val="clear"/>
              <w:kinsoku/>
              <w:wordWrap/>
              <w:overflowPunct/>
              <w:topLinePunct w:val="0"/>
              <w:autoSpaceDE/>
              <w:autoSpaceDN/>
              <w:bidi w:val="0"/>
              <w:adjustRightInd w:val="0"/>
              <w:snapToGrid w:val="0"/>
              <w:spacing w:line="360" w:lineRule="auto"/>
              <w:ind w:left="425" w:leftChars="0" w:hanging="425" w:firstLineChars="0"/>
              <w:jc w:val="center"/>
              <w:rPr>
                <w:rFonts w:hint="eastAsia" w:ascii="宋体" w:hAnsi="宋体" w:eastAsia="宋体" w:cs="宋体"/>
                <w:kern w:val="2"/>
                <w:sz w:val="24"/>
                <w:szCs w:val="24"/>
                <w:lang w:val="en-US" w:eastAsia="zh-CN" w:bidi="ar-SA"/>
              </w:rPr>
            </w:pPr>
          </w:p>
        </w:tc>
        <w:tc>
          <w:tcPr>
            <w:tcW w:w="1962" w:type="dxa"/>
            <w:tcBorders>
              <w:top w:val="single" w:color="auto" w:sz="4" w:space="0"/>
              <w:left w:val="single" w:color="auto" w:sz="4" w:space="0"/>
              <w:bottom w:val="single" w:color="auto" w:sz="4" w:space="0"/>
              <w:right w:val="single" w:color="auto" w:sz="4" w:space="0"/>
            </w:tcBorders>
            <w:vAlign w:val="center"/>
          </w:tcPr>
          <w:p w14:paraId="04B9C303">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合同签订</w:t>
            </w:r>
          </w:p>
        </w:tc>
        <w:tc>
          <w:tcPr>
            <w:tcW w:w="6597" w:type="dxa"/>
            <w:tcBorders>
              <w:top w:val="single" w:color="auto" w:sz="4" w:space="0"/>
              <w:left w:val="single" w:color="auto" w:sz="4" w:space="0"/>
              <w:bottom w:val="single" w:color="auto" w:sz="4" w:space="0"/>
              <w:right w:val="single" w:color="auto" w:sz="4" w:space="0"/>
            </w:tcBorders>
            <w:vAlign w:val="center"/>
          </w:tcPr>
          <w:p w14:paraId="24EB758F">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成交供应商</w:t>
            </w:r>
            <w:r>
              <w:rPr>
                <w:rFonts w:hint="eastAsia" w:ascii="宋体" w:hAnsi="宋体" w:eastAsia="宋体" w:cs="宋体"/>
                <w:sz w:val="24"/>
                <w:szCs w:val="24"/>
              </w:rPr>
              <w:t>与</w:t>
            </w:r>
            <w:r>
              <w:rPr>
                <w:rFonts w:hint="eastAsia" w:ascii="宋体" w:hAnsi="宋体" w:eastAsia="宋体" w:cs="宋体"/>
                <w:sz w:val="24"/>
                <w:szCs w:val="24"/>
                <w:lang w:eastAsia="zh-CN"/>
              </w:rPr>
              <w:t>采购人</w:t>
            </w:r>
            <w:r>
              <w:rPr>
                <w:rFonts w:hint="eastAsia" w:ascii="宋体" w:hAnsi="宋体" w:eastAsia="宋体" w:cs="宋体"/>
                <w:sz w:val="24"/>
                <w:szCs w:val="24"/>
              </w:rPr>
              <w:t>签订合同。成交供应商应当按照合同约定履行义务，完成成交项目，不得将成交项目转让（转包）给他人。</w:t>
            </w:r>
          </w:p>
        </w:tc>
      </w:tr>
      <w:tr w14:paraId="2946DB64">
        <w:tblPrEx>
          <w:tblCellMar>
            <w:top w:w="0" w:type="dxa"/>
            <w:left w:w="108" w:type="dxa"/>
            <w:bottom w:w="0" w:type="dxa"/>
            <w:right w:w="108" w:type="dxa"/>
          </w:tblCellMar>
        </w:tblPrEx>
        <w:trPr>
          <w:trHeight w:val="512"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76C570F7">
            <w:pPr>
              <w:keepNext w:val="0"/>
              <w:keepLines w:val="0"/>
              <w:pageBreakBefore w:val="0"/>
              <w:numPr>
                <w:ilvl w:val="0"/>
                <w:numId w:val="4"/>
              </w:numPr>
              <w:shd w:val="clear"/>
              <w:kinsoku/>
              <w:wordWrap/>
              <w:overflowPunct/>
              <w:topLinePunct w:val="0"/>
              <w:autoSpaceDE/>
              <w:autoSpaceDN/>
              <w:bidi w:val="0"/>
              <w:adjustRightInd w:val="0"/>
              <w:snapToGrid w:val="0"/>
              <w:spacing w:line="360" w:lineRule="auto"/>
              <w:ind w:left="425" w:leftChars="0" w:hanging="425" w:firstLineChars="0"/>
              <w:jc w:val="center"/>
              <w:rPr>
                <w:rFonts w:hint="eastAsia" w:ascii="宋体" w:hAnsi="宋体" w:eastAsia="宋体" w:cs="宋体"/>
                <w:kern w:val="2"/>
                <w:sz w:val="24"/>
                <w:szCs w:val="24"/>
                <w:lang w:val="en-US" w:eastAsia="zh-CN" w:bidi="ar-SA"/>
              </w:rPr>
            </w:pPr>
          </w:p>
        </w:tc>
        <w:tc>
          <w:tcPr>
            <w:tcW w:w="1962" w:type="dxa"/>
            <w:tcBorders>
              <w:top w:val="single" w:color="auto" w:sz="4" w:space="0"/>
              <w:left w:val="single" w:color="auto" w:sz="4" w:space="0"/>
              <w:bottom w:val="single" w:color="auto" w:sz="4" w:space="0"/>
              <w:right w:val="single" w:color="auto" w:sz="4" w:space="0"/>
            </w:tcBorders>
            <w:vAlign w:val="center"/>
          </w:tcPr>
          <w:p w14:paraId="77EF6E46">
            <w:pPr>
              <w:keepNext w:val="0"/>
              <w:keepLines w:val="0"/>
              <w:pageBreakBefore w:val="0"/>
              <w:widowControl/>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highlight w:val="none"/>
                <w:lang w:eastAsia="zh-CN"/>
              </w:rPr>
              <w:t>公告期限</w:t>
            </w:r>
          </w:p>
        </w:tc>
        <w:tc>
          <w:tcPr>
            <w:tcW w:w="6597" w:type="dxa"/>
            <w:tcBorders>
              <w:top w:val="single" w:color="auto" w:sz="4" w:space="0"/>
              <w:left w:val="single" w:color="auto" w:sz="4" w:space="0"/>
              <w:bottom w:val="single" w:color="auto" w:sz="4" w:space="0"/>
              <w:right w:val="single" w:color="auto" w:sz="4" w:space="0"/>
            </w:tcBorders>
            <w:vAlign w:val="center"/>
          </w:tcPr>
          <w:p w14:paraId="6D6919FA">
            <w:pPr>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highlight w:val="none"/>
                <w:lang w:eastAsia="zh-CN"/>
              </w:rPr>
              <w:t>本竞争性</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lang w:eastAsia="zh-CN"/>
              </w:rPr>
              <w:t>公告期限为自发布之日起</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个工作日。</w:t>
            </w:r>
          </w:p>
        </w:tc>
      </w:tr>
      <w:tr w14:paraId="32D3C2C3">
        <w:tblPrEx>
          <w:tblCellMar>
            <w:top w:w="0" w:type="dxa"/>
            <w:left w:w="108" w:type="dxa"/>
            <w:bottom w:w="0" w:type="dxa"/>
            <w:right w:w="108" w:type="dxa"/>
          </w:tblCellMar>
        </w:tblPrEx>
        <w:trPr>
          <w:trHeight w:val="1768"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6C514B38">
            <w:pPr>
              <w:keepNext w:val="0"/>
              <w:keepLines w:val="0"/>
              <w:pageBreakBefore w:val="0"/>
              <w:numPr>
                <w:ilvl w:val="0"/>
                <w:numId w:val="4"/>
              </w:numPr>
              <w:shd w:val="clear"/>
              <w:kinsoku/>
              <w:wordWrap/>
              <w:overflowPunct/>
              <w:topLinePunct w:val="0"/>
              <w:autoSpaceDE/>
              <w:autoSpaceDN/>
              <w:bidi w:val="0"/>
              <w:adjustRightInd w:val="0"/>
              <w:snapToGrid w:val="0"/>
              <w:spacing w:line="360" w:lineRule="auto"/>
              <w:ind w:left="425" w:leftChars="0" w:hanging="425" w:firstLineChars="0"/>
              <w:jc w:val="center"/>
              <w:rPr>
                <w:rFonts w:hint="eastAsia" w:ascii="宋体" w:hAnsi="宋体" w:eastAsia="宋体" w:cs="宋体"/>
                <w:kern w:val="2"/>
                <w:sz w:val="24"/>
                <w:szCs w:val="24"/>
                <w:lang w:val="en-US" w:eastAsia="zh-CN" w:bidi="ar-SA"/>
              </w:rPr>
            </w:pPr>
          </w:p>
        </w:tc>
        <w:tc>
          <w:tcPr>
            <w:tcW w:w="1962" w:type="dxa"/>
            <w:tcBorders>
              <w:top w:val="single" w:color="auto" w:sz="4" w:space="0"/>
              <w:left w:val="single" w:color="auto" w:sz="4" w:space="0"/>
              <w:bottom w:val="single" w:color="auto" w:sz="4" w:space="0"/>
              <w:right w:val="single" w:color="auto" w:sz="4" w:space="0"/>
            </w:tcBorders>
            <w:vAlign w:val="center"/>
          </w:tcPr>
          <w:p w14:paraId="5E804EE0">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招标</w:t>
            </w:r>
          </w:p>
          <w:p w14:paraId="389D7426">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代理服务费</w:t>
            </w:r>
          </w:p>
        </w:tc>
        <w:tc>
          <w:tcPr>
            <w:tcW w:w="6597" w:type="dxa"/>
            <w:tcBorders>
              <w:top w:val="single" w:color="auto" w:sz="4" w:space="0"/>
              <w:left w:val="single" w:color="auto" w:sz="4" w:space="0"/>
              <w:bottom w:val="single" w:color="auto" w:sz="4" w:space="0"/>
              <w:right w:val="single" w:color="auto" w:sz="4" w:space="0"/>
            </w:tcBorders>
            <w:vAlign w:val="center"/>
          </w:tcPr>
          <w:p w14:paraId="6B170899">
            <w:pPr>
              <w:keepNext w:val="0"/>
              <w:keepLines w:val="0"/>
              <w:pageBreakBefore w:val="0"/>
              <w:numPr>
                <w:ilvl w:val="0"/>
                <w:numId w:val="5"/>
              </w:numPr>
              <w:shd w:val="clear"/>
              <w:kinsoku/>
              <w:wordWrap/>
              <w:overflowPunct/>
              <w:topLinePunct w:val="0"/>
              <w:autoSpaceDE/>
              <w:autoSpaceDN/>
              <w:bidi w:val="0"/>
              <w:adjustRightInd w:val="0"/>
              <w:snapToGrid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招标代理服务费的收取参见国家计委颁布的《招标代理服务收费管理暂行办法》（计价格[2002]1980号）和（发改办价格[2011]534号）中规定的差额定律累进法计算,</w:t>
            </w:r>
            <w:r>
              <w:rPr>
                <w:rFonts w:hint="eastAsia" w:ascii="宋体" w:hAnsi="宋体" w:eastAsia="宋体" w:cs="宋体"/>
                <w:b/>
                <w:bCs/>
                <w:kern w:val="2"/>
                <w:sz w:val="24"/>
                <w:szCs w:val="24"/>
                <w:lang w:val="en-US" w:eastAsia="zh-CN" w:bidi="ar-SA"/>
              </w:rPr>
              <w:t>向</w:t>
            </w:r>
            <w:r>
              <w:rPr>
                <w:rFonts w:hint="eastAsia" w:ascii="宋体" w:hAnsi="宋体" w:cs="宋体"/>
                <w:b/>
                <w:bCs/>
                <w:kern w:val="2"/>
                <w:sz w:val="24"/>
                <w:szCs w:val="24"/>
                <w:lang w:val="en-US" w:eastAsia="zh-CN" w:bidi="ar-SA"/>
              </w:rPr>
              <w:t>采购人</w:t>
            </w:r>
            <w:r>
              <w:rPr>
                <w:rFonts w:hint="eastAsia" w:ascii="宋体" w:hAnsi="宋体" w:eastAsia="宋体" w:cs="宋体"/>
                <w:b/>
                <w:bCs/>
                <w:kern w:val="2"/>
                <w:sz w:val="24"/>
                <w:szCs w:val="24"/>
                <w:lang w:val="en-US" w:eastAsia="zh-CN" w:bidi="ar-SA"/>
              </w:rPr>
              <w:t>收取</w:t>
            </w:r>
            <w:r>
              <w:rPr>
                <w:rFonts w:hint="eastAsia" w:ascii="宋体" w:hAnsi="宋体" w:eastAsia="宋体" w:cs="宋体"/>
                <w:kern w:val="2"/>
                <w:sz w:val="24"/>
                <w:szCs w:val="24"/>
                <w:lang w:val="en-US" w:eastAsia="zh-CN" w:bidi="ar-SA"/>
              </w:rPr>
              <w:t>。</w:t>
            </w:r>
          </w:p>
          <w:p w14:paraId="2993999C">
            <w:pPr>
              <w:keepNext w:val="0"/>
              <w:keepLines w:val="0"/>
              <w:pageBreakBefore w:val="0"/>
              <w:numPr>
                <w:ilvl w:val="0"/>
                <w:numId w:val="0"/>
              </w:numPr>
              <w:shd w:val="clear"/>
              <w:kinsoku/>
              <w:wordWrap/>
              <w:overflowPunct/>
              <w:topLinePunct w:val="0"/>
              <w:autoSpaceDE/>
              <w:autoSpaceDN/>
              <w:bidi w:val="0"/>
              <w:adjustRightInd w:val="0"/>
              <w:snapToGrid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(2)在领取成交通知书前，须向采购代理机构一次性支付招标代理服务费。</w:t>
            </w:r>
          </w:p>
          <w:tbl>
            <w:tblPr>
              <w:tblStyle w:val="25"/>
              <w:tblW w:w="5598"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38"/>
              <w:gridCol w:w="1155"/>
              <w:gridCol w:w="1138"/>
              <w:gridCol w:w="1267"/>
            </w:tblGrid>
            <w:tr w14:paraId="0C3E8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tblCellSpacing w:w="0" w:type="dxa"/>
                <w:jc w:val="center"/>
              </w:trPr>
              <w:tc>
                <w:tcPr>
                  <w:tcW w:w="2038" w:type="dxa"/>
                  <w:tcBorders>
                    <w:top w:val="single" w:color="auto" w:sz="4" w:space="0"/>
                    <w:left w:val="single" w:color="auto" w:sz="0" w:space="0"/>
                    <w:bottom w:val="single" w:color="auto" w:sz="4" w:space="0"/>
                    <w:right w:val="single" w:color="auto" w:sz="4" w:space="0"/>
                  </w:tcBorders>
                  <w:noWrap w:val="0"/>
                  <w:vAlign w:val="center"/>
                </w:tcPr>
                <w:p w14:paraId="1FDBD69A">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中标金额（万元）</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E8CBB85">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货物招标</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4373110B">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服务招标</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7F7B3482">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工程招标</w:t>
                  </w:r>
                </w:p>
              </w:tc>
            </w:tr>
            <w:tr w14:paraId="1447A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tblCellSpacing w:w="0" w:type="dxa"/>
                <w:jc w:val="center"/>
              </w:trPr>
              <w:tc>
                <w:tcPr>
                  <w:tcW w:w="2038" w:type="dxa"/>
                  <w:tcBorders>
                    <w:top w:val="single" w:color="auto" w:sz="4" w:space="0"/>
                    <w:left w:val="single" w:color="auto" w:sz="4" w:space="0"/>
                    <w:bottom w:val="single" w:color="auto" w:sz="4" w:space="0"/>
                    <w:right w:val="single" w:color="auto" w:sz="4" w:space="0"/>
                  </w:tcBorders>
                  <w:noWrap w:val="0"/>
                  <w:vAlign w:val="center"/>
                </w:tcPr>
                <w:p w14:paraId="13216498">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100以下</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CF91D34">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1.5％</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72E4479F">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1.5％</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39E147F3">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r>
            <w:tr w14:paraId="64A3A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tblCellSpacing w:w="0" w:type="dxa"/>
                <w:jc w:val="center"/>
              </w:trPr>
              <w:tc>
                <w:tcPr>
                  <w:tcW w:w="2038" w:type="dxa"/>
                  <w:tcBorders>
                    <w:top w:val="single" w:color="auto" w:sz="4" w:space="0"/>
                    <w:left w:val="single" w:color="auto" w:sz="4" w:space="0"/>
                    <w:bottom w:val="single" w:color="auto" w:sz="4" w:space="0"/>
                    <w:right w:val="single" w:color="auto" w:sz="4" w:space="0"/>
                  </w:tcBorders>
                  <w:noWrap w:val="0"/>
                  <w:vAlign w:val="center"/>
                </w:tcPr>
                <w:p w14:paraId="6527E968">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100—500</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608E00D">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1.1％</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2D608E7C">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0.8％</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734BAAF6">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0.7%</w:t>
                  </w:r>
                </w:p>
              </w:tc>
            </w:tr>
            <w:tr w14:paraId="656F9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tblCellSpacing w:w="0" w:type="dxa"/>
                <w:jc w:val="center"/>
              </w:trPr>
              <w:tc>
                <w:tcPr>
                  <w:tcW w:w="2038" w:type="dxa"/>
                  <w:tcBorders>
                    <w:top w:val="single" w:color="auto" w:sz="4" w:space="0"/>
                    <w:left w:val="single" w:color="auto" w:sz="4" w:space="0"/>
                    <w:bottom w:val="single" w:color="auto" w:sz="4" w:space="0"/>
                    <w:right w:val="single" w:color="auto" w:sz="4" w:space="0"/>
                  </w:tcBorders>
                  <w:noWrap w:val="0"/>
                  <w:vAlign w:val="center"/>
                </w:tcPr>
                <w:p w14:paraId="3ECF91F4">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500—1000</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563FE22">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0.8％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0AEA846D">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0.45％</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36A6D4EB">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0.55%</w:t>
                  </w:r>
                </w:p>
              </w:tc>
            </w:tr>
            <w:tr w14:paraId="23952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tblCellSpacing w:w="0" w:type="dxa"/>
                <w:jc w:val="center"/>
              </w:trPr>
              <w:tc>
                <w:tcPr>
                  <w:tcW w:w="2038" w:type="dxa"/>
                  <w:tcBorders>
                    <w:top w:val="single" w:color="auto" w:sz="4" w:space="0"/>
                    <w:left w:val="single" w:color="auto" w:sz="4" w:space="0"/>
                    <w:bottom w:val="single" w:color="auto" w:sz="4" w:space="0"/>
                    <w:right w:val="single" w:color="auto" w:sz="4" w:space="0"/>
                  </w:tcBorders>
                  <w:noWrap w:val="0"/>
                  <w:vAlign w:val="center"/>
                </w:tcPr>
                <w:p w14:paraId="3C0FFCAF">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1000—5000</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519AE6E">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0.5％</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2835B28D">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0.25％</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2810276E">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0.35%</w:t>
                  </w:r>
                </w:p>
              </w:tc>
            </w:tr>
          </w:tbl>
          <w:p w14:paraId="4CBC810D">
            <w:pPr>
              <w:pStyle w:val="15"/>
              <w:keepNext w:val="0"/>
              <w:keepLines w:val="0"/>
              <w:pageBreakBefore w:val="0"/>
              <w:shd w:val="clear"/>
              <w:kinsoku/>
              <w:wordWrap/>
              <w:overflowPunct/>
              <w:topLinePunct w:val="0"/>
              <w:autoSpaceDE/>
              <w:autoSpaceDN/>
              <w:bidi w:val="0"/>
              <w:adjustRightInd w:val="0"/>
              <w:snapToGrid w:val="0"/>
              <w:spacing w:line="360" w:lineRule="auto"/>
              <w:rPr>
                <w:rFonts w:hint="eastAsia" w:ascii="宋体" w:hAnsi="宋体" w:eastAsia="宋体" w:cs="宋体"/>
                <w:sz w:val="24"/>
                <w:szCs w:val="24"/>
              </w:rPr>
            </w:pPr>
          </w:p>
        </w:tc>
      </w:tr>
      <w:tr w14:paraId="2A3B026C">
        <w:tblPrEx>
          <w:tblCellMar>
            <w:top w:w="0" w:type="dxa"/>
            <w:left w:w="108" w:type="dxa"/>
            <w:bottom w:w="0" w:type="dxa"/>
            <w:right w:w="108" w:type="dxa"/>
          </w:tblCellMar>
        </w:tblPrEx>
        <w:trPr>
          <w:trHeight w:val="698"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76035004">
            <w:pPr>
              <w:keepNext w:val="0"/>
              <w:keepLines w:val="0"/>
              <w:pageBreakBefore w:val="0"/>
              <w:numPr>
                <w:ilvl w:val="0"/>
                <w:numId w:val="4"/>
              </w:numPr>
              <w:shd w:val="clear"/>
              <w:kinsoku/>
              <w:wordWrap/>
              <w:overflowPunct/>
              <w:topLinePunct w:val="0"/>
              <w:autoSpaceDE/>
              <w:autoSpaceDN/>
              <w:bidi w:val="0"/>
              <w:adjustRightInd w:val="0"/>
              <w:snapToGrid w:val="0"/>
              <w:spacing w:line="360" w:lineRule="auto"/>
              <w:ind w:left="425" w:leftChars="0" w:hanging="425" w:firstLineChars="0"/>
              <w:jc w:val="center"/>
              <w:rPr>
                <w:rFonts w:hint="eastAsia" w:ascii="宋体" w:hAnsi="宋体" w:eastAsia="宋体" w:cs="宋体"/>
                <w:kern w:val="2"/>
                <w:sz w:val="24"/>
                <w:szCs w:val="24"/>
                <w:lang w:val="en-US" w:eastAsia="zh-CN" w:bidi="ar-SA"/>
              </w:rPr>
            </w:pPr>
          </w:p>
        </w:tc>
        <w:tc>
          <w:tcPr>
            <w:tcW w:w="1962" w:type="dxa"/>
            <w:tcBorders>
              <w:top w:val="single" w:color="auto" w:sz="4" w:space="0"/>
              <w:left w:val="single" w:color="auto" w:sz="4" w:space="0"/>
              <w:bottom w:val="single" w:color="auto" w:sz="4" w:space="0"/>
              <w:right w:val="single" w:color="auto" w:sz="4" w:space="0"/>
            </w:tcBorders>
            <w:vAlign w:val="center"/>
          </w:tcPr>
          <w:p w14:paraId="59D4DC31">
            <w:pPr>
              <w:keepNext w:val="0"/>
              <w:keepLines w:val="0"/>
              <w:pageBreakBefore w:val="0"/>
              <w:shd w:val="clear"/>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rPr>
              <w:t>其他</w:t>
            </w:r>
          </w:p>
        </w:tc>
        <w:tc>
          <w:tcPr>
            <w:tcW w:w="6597" w:type="dxa"/>
            <w:tcBorders>
              <w:top w:val="single" w:color="auto" w:sz="4" w:space="0"/>
              <w:left w:val="single" w:color="auto" w:sz="4" w:space="0"/>
              <w:bottom w:val="single" w:color="auto" w:sz="4" w:space="0"/>
              <w:right w:val="single" w:color="auto" w:sz="4" w:space="0"/>
            </w:tcBorders>
            <w:vAlign w:val="center"/>
          </w:tcPr>
          <w:p w14:paraId="30987009">
            <w:pPr>
              <w:keepNext w:val="0"/>
              <w:keepLines w:val="0"/>
              <w:pageBreakBefore w:val="0"/>
              <w:shd w:val="clear"/>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供应商对磋商文件有异议的，应当在磋商截止时间2日前以书面形式提出。磋商后将不再接受对磋商文件的质疑。</w:t>
            </w:r>
          </w:p>
        </w:tc>
      </w:tr>
      <w:tr w14:paraId="0AB026F0">
        <w:tblPrEx>
          <w:tblCellMar>
            <w:top w:w="0" w:type="dxa"/>
            <w:left w:w="108" w:type="dxa"/>
            <w:bottom w:w="0" w:type="dxa"/>
            <w:right w:w="108" w:type="dxa"/>
          </w:tblCellMar>
        </w:tblPrEx>
        <w:trPr>
          <w:trHeight w:val="368"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7E52068B">
            <w:pPr>
              <w:keepNext w:val="0"/>
              <w:keepLines w:val="0"/>
              <w:pageBreakBefore w:val="0"/>
              <w:widowControl/>
              <w:numPr>
                <w:ilvl w:val="0"/>
                <w:numId w:val="4"/>
              </w:numPr>
              <w:shd w:val="clear"/>
              <w:kinsoku/>
              <w:wordWrap/>
              <w:overflowPunct/>
              <w:topLinePunct w:val="0"/>
              <w:autoSpaceDE/>
              <w:autoSpaceDN/>
              <w:bidi w:val="0"/>
              <w:adjustRightInd w:val="0"/>
              <w:snapToGrid w:val="0"/>
              <w:spacing w:line="360" w:lineRule="auto"/>
              <w:ind w:left="425" w:leftChars="0" w:hanging="425" w:firstLineChars="0"/>
              <w:jc w:val="center"/>
              <w:textAlignment w:val="center"/>
              <w:rPr>
                <w:rFonts w:hint="eastAsia" w:ascii="宋体" w:hAnsi="宋体" w:eastAsia="宋体" w:cs="宋体"/>
                <w:color w:val="000000"/>
                <w:kern w:val="2"/>
                <w:sz w:val="24"/>
                <w:szCs w:val="24"/>
                <w:highlight w:val="none"/>
                <w:lang w:val="en-US" w:eastAsia="zh-CN" w:bidi="ar-SA"/>
              </w:rPr>
            </w:pPr>
            <w:bookmarkStart w:id="10" w:name="_Toc513557026"/>
          </w:p>
        </w:tc>
        <w:tc>
          <w:tcPr>
            <w:tcW w:w="1962" w:type="dxa"/>
            <w:tcBorders>
              <w:top w:val="single" w:color="auto" w:sz="4" w:space="0"/>
              <w:left w:val="single" w:color="auto" w:sz="4" w:space="0"/>
              <w:bottom w:val="single" w:color="auto" w:sz="4" w:space="0"/>
              <w:right w:val="single" w:color="auto" w:sz="4" w:space="0"/>
            </w:tcBorders>
            <w:vAlign w:val="center"/>
          </w:tcPr>
          <w:p w14:paraId="01389B1A">
            <w:pPr>
              <w:keepNext w:val="0"/>
              <w:keepLines w:val="0"/>
              <w:pageBreakBefore w:val="0"/>
              <w:widowControl/>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是否</w:t>
            </w:r>
            <w:r>
              <w:rPr>
                <w:rFonts w:hint="eastAsia" w:ascii="宋体" w:hAnsi="宋体" w:eastAsia="宋体" w:cs="宋体"/>
                <w:sz w:val="24"/>
                <w:szCs w:val="24"/>
              </w:rPr>
              <w:t>支持中小企业发展</w:t>
            </w:r>
          </w:p>
        </w:tc>
        <w:tc>
          <w:tcPr>
            <w:tcW w:w="6597" w:type="dxa"/>
            <w:tcBorders>
              <w:top w:val="single" w:color="auto" w:sz="4" w:space="0"/>
              <w:left w:val="single" w:color="auto" w:sz="4" w:space="0"/>
              <w:bottom w:val="single" w:color="auto" w:sz="4" w:space="0"/>
              <w:right w:val="single" w:color="auto" w:sz="4" w:space="0"/>
            </w:tcBorders>
            <w:vAlign w:val="center"/>
          </w:tcPr>
          <w:p w14:paraId="73D559BE">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jc w:val="left"/>
              <w:rPr>
                <w:rFonts w:hint="eastAsia" w:ascii="宋体" w:hAnsi="宋体" w:eastAsia="宋体" w:cs="宋体"/>
                <w:b w:val="0"/>
                <w:kern w:val="2"/>
                <w:sz w:val="24"/>
                <w:szCs w:val="24"/>
                <w:lang w:val="en-US" w:eastAsia="zh-CN" w:bidi="ar-SA"/>
              </w:rPr>
            </w:pPr>
            <w:r>
              <w:rPr>
                <w:rFonts w:hint="eastAsia" w:ascii="宋体" w:hAnsi="宋体" w:eastAsia="宋体" w:cs="宋体"/>
                <w:b w:val="0"/>
                <w:color w:val="auto"/>
                <w:kern w:val="2"/>
                <w:sz w:val="24"/>
                <w:szCs w:val="24"/>
                <w:lang w:val="en-US" w:eastAsia="zh-CN" w:bidi="ar-SA"/>
              </w:rPr>
              <w:fldChar w:fldCharType="begin"/>
            </w:r>
            <w:r>
              <w:rPr>
                <w:rFonts w:hint="eastAsia" w:ascii="宋体" w:hAnsi="宋体" w:eastAsia="宋体" w:cs="宋体"/>
                <w:b w:val="0"/>
                <w:color w:val="auto"/>
                <w:kern w:val="2"/>
                <w:sz w:val="24"/>
                <w:szCs w:val="24"/>
                <w:lang w:val="en-US" w:eastAsia="zh-CN" w:bidi="ar-SA"/>
              </w:rPr>
              <w:instrText xml:space="preserve"> eq \o\ac(</w:instrText>
            </w:r>
            <w:r>
              <w:rPr>
                <w:rFonts w:hint="eastAsia" w:ascii="宋体" w:hAnsi="宋体" w:eastAsia="宋体" w:cs="宋体"/>
                <w:b w:val="0"/>
                <w:color w:val="auto"/>
                <w:kern w:val="2"/>
                <w:position w:val="-4"/>
                <w:sz w:val="36"/>
                <w:szCs w:val="24"/>
                <w:lang w:val="en-US" w:eastAsia="zh-CN" w:bidi="ar-SA"/>
              </w:rPr>
              <w:instrText xml:space="preserve">□</w:instrText>
            </w:r>
            <w:r>
              <w:rPr>
                <w:rFonts w:hint="eastAsia" w:ascii="宋体" w:hAnsi="宋体" w:eastAsia="宋体" w:cs="宋体"/>
                <w:b w:val="0"/>
                <w:color w:val="auto"/>
                <w:kern w:val="2"/>
                <w:position w:val="0"/>
                <w:sz w:val="24"/>
                <w:szCs w:val="24"/>
                <w:lang w:val="en-US" w:eastAsia="zh-CN" w:bidi="ar-SA"/>
              </w:rPr>
              <w:instrText xml:space="preserve">,√)</w:instrText>
            </w:r>
            <w:r>
              <w:rPr>
                <w:rFonts w:hint="eastAsia" w:ascii="宋体" w:hAnsi="宋体" w:eastAsia="宋体" w:cs="宋体"/>
                <w:b w:val="0"/>
                <w:color w:val="auto"/>
                <w:kern w:val="2"/>
                <w:sz w:val="24"/>
                <w:szCs w:val="24"/>
                <w:lang w:val="en-US" w:eastAsia="zh-CN" w:bidi="ar-SA"/>
              </w:rPr>
              <w:fldChar w:fldCharType="end"/>
            </w:r>
            <w:r>
              <w:rPr>
                <w:rFonts w:hint="eastAsia" w:ascii="宋体" w:hAnsi="宋体" w:eastAsia="宋体" w:cs="宋体"/>
                <w:b w:val="0"/>
                <w:color w:val="auto"/>
                <w:kern w:val="2"/>
                <w:sz w:val="24"/>
                <w:szCs w:val="24"/>
                <w:lang w:val="en-US" w:eastAsia="zh-CN" w:bidi="ar-SA"/>
              </w:rPr>
              <w:t>专门面向中小企业采购项目：</w:t>
            </w:r>
            <w:r>
              <w:rPr>
                <w:rFonts w:hint="eastAsia" w:ascii="宋体" w:hAnsi="宋体" w:eastAsia="宋体" w:cs="宋体"/>
                <w:color w:val="auto"/>
                <w:kern w:val="0"/>
                <w:sz w:val="24"/>
                <w:szCs w:val="24"/>
                <w:lang w:val="en-US" w:eastAsia="zh-CN" w:bidi="ar"/>
              </w:rPr>
              <w:t>投标</w:t>
            </w:r>
            <w:r>
              <w:rPr>
                <w:rFonts w:hint="eastAsia" w:ascii="宋体" w:hAnsi="宋体" w:eastAsia="宋体" w:cs="宋体"/>
                <w:color w:val="000000"/>
                <w:kern w:val="0"/>
                <w:sz w:val="24"/>
                <w:szCs w:val="24"/>
                <w:lang w:val="en-US" w:eastAsia="zh-CN" w:bidi="ar"/>
              </w:rPr>
              <w:t>人须填写《中小企业声明函》</w:t>
            </w:r>
          </w:p>
          <w:p w14:paraId="48281BDB">
            <w:pPr>
              <w:keepNext w:val="0"/>
              <w:keepLines w:val="0"/>
              <w:pageBreakBefore w:val="0"/>
              <w:shd w:val="clear"/>
              <w:kinsoku/>
              <w:wordWrap/>
              <w:overflowPunct/>
              <w:topLinePunct w:val="0"/>
              <w:autoSpaceDE/>
              <w:autoSpaceDN/>
              <w:bidi w:val="0"/>
              <w:adjustRightInd w:val="0"/>
              <w:snapToGrid w:val="0"/>
              <w:spacing w:line="360" w:lineRule="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本项目专门面向中小企业采购，故不参与价格扣除。</w:t>
            </w:r>
          </w:p>
          <w:p w14:paraId="0C648751">
            <w:pPr>
              <w:keepNext w:val="0"/>
              <w:keepLines w:val="0"/>
              <w:pageBreakBefore w:val="0"/>
              <w:shd w:val="clear"/>
              <w:kinsoku/>
              <w:wordWrap/>
              <w:overflowPunct/>
              <w:topLinePunct w:val="0"/>
              <w:autoSpaceDE/>
              <w:autoSpaceDN/>
              <w:bidi w:val="0"/>
              <w:adjustRightInd w:val="0"/>
              <w:snapToGrid w:val="0"/>
              <w:spacing w:line="360" w:lineRule="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fldChar w:fldCharType="begin"/>
            </w:r>
            <w:r>
              <w:rPr>
                <w:rFonts w:hint="eastAsia" w:ascii="宋体" w:hAnsi="宋体" w:eastAsia="宋体" w:cs="宋体"/>
                <w:b w:val="0"/>
                <w:kern w:val="2"/>
                <w:sz w:val="24"/>
                <w:szCs w:val="24"/>
                <w:lang w:val="en-US" w:eastAsia="zh-CN" w:bidi="ar-SA"/>
              </w:rPr>
              <w:instrText xml:space="preserve"> eq \o\ac(</w:instrText>
            </w:r>
            <w:r>
              <w:rPr>
                <w:rFonts w:hint="eastAsia" w:ascii="宋体" w:hAnsi="宋体" w:eastAsia="宋体" w:cs="宋体"/>
                <w:b w:val="0"/>
                <w:kern w:val="2"/>
                <w:position w:val="-4"/>
                <w:sz w:val="36"/>
                <w:szCs w:val="24"/>
                <w:lang w:val="en-US" w:eastAsia="zh-CN" w:bidi="ar-SA"/>
              </w:rPr>
              <w:instrText xml:space="preserve">□</w:instrText>
            </w:r>
            <w:r>
              <w:rPr>
                <w:rFonts w:hint="eastAsia" w:ascii="宋体" w:hAnsi="宋体" w:eastAsia="宋体" w:cs="宋体"/>
                <w:b w:val="0"/>
                <w:kern w:val="2"/>
                <w:position w:val="0"/>
                <w:sz w:val="24"/>
                <w:szCs w:val="24"/>
                <w:lang w:val="en-US" w:eastAsia="zh-CN" w:bidi="ar-SA"/>
              </w:rPr>
              <w:instrText xml:space="preserve">)</w:instrText>
            </w:r>
            <w:r>
              <w:rPr>
                <w:rFonts w:hint="eastAsia" w:ascii="宋体" w:hAnsi="宋体" w:eastAsia="宋体" w:cs="宋体"/>
                <w:b w:val="0"/>
                <w:kern w:val="2"/>
                <w:sz w:val="24"/>
                <w:szCs w:val="24"/>
                <w:lang w:val="en-US" w:eastAsia="zh-CN" w:bidi="ar-SA"/>
              </w:rPr>
              <w:fldChar w:fldCharType="end"/>
            </w:r>
            <w:r>
              <w:rPr>
                <w:rFonts w:hint="eastAsia" w:ascii="宋体" w:hAnsi="宋体" w:eastAsia="宋体" w:cs="宋体"/>
                <w:b w:val="0"/>
                <w:kern w:val="2"/>
                <w:sz w:val="24"/>
                <w:szCs w:val="24"/>
                <w:lang w:val="en-US" w:eastAsia="zh-CN" w:bidi="ar-SA"/>
              </w:rPr>
              <w:t>非专门面向中小企业采购项目，货物、服务类（价格扣除）：</w:t>
            </w:r>
            <w:r>
              <w:rPr>
                <w:rFonts w:hint="eastAsia" w:ascii="宋体" w:hAnsi="宋体" w:eastAsia="宋体" w:cs="宋体"/>
                <w:b w:val="0"/>
                <w:kern w:val="2"/>
                <w:sz w:val="24"/>
                <w:szCs w:val="24"/>
                <w:lang w:val="en-US" w:eastAsia="zh-CN" w:bidi="ar-SA"/>
              </w:rPr>
              <w:sym w:font="Wingdings" w:char="F081"/>
            </w:r>
            <w:r>
              <w:rPr>
                <w:rFonts w:hint="eastAsia" w:ascii="宋体" w:hAnsi="宋体" w:eastAsia="宋体" w:cs="宋体"/>
                <w:b w:val="0"/>
                <w:kern w:val="2"/>
                <w:sz w:val="24"/>
                <w:szCs w:val="24"/>
                <w:lang w:val="en-US" w:eastAsia="zh-CN" w:bidi="ar-SA"/>
              </w:rPr>
              <w:t>对小型和微型企业产品的价格给与10%~20%的扣除，用扣除后的价格参与评审。项目的扣除比例为：小型企业扣除20%，微型企业扣除20%。</w:t>
            </w:r>
          </w:p>
          <w:p w14:paraId="1D935CE8">
            <w:pPr>
              <w:keepNext w:val="0"/>
              <w:keepLines w:val="0"/>
              <w:pageBreakBefore w:val="0"/>
              <w:shd w:val="clear"/>
              <w:kinsoku/>
              <w:wordWrap/>
              <w:overflowPunct/>
              <w:topLinePunct w:val="0"/>
              <w:autoSpaceDE/>
              <w:autoSpaceDN/>
              <w:bidi w:val="0"/>
              <w:adjustRightInd w:val="0"/>
              <w:snapToGrid w:val="0"/>
              <w:spacing w:line="360" w:lineRule="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sym w:font="Wingdings" w:char="F082"/>
            </w:r>
            <w:r>
              <w:rPr>
                <w:rFonts w:hint="eastAsia" w:ascii="宋体" w:hAnsi="宋体" w:eastAsia="宋体" w:cs="宋体"/>
                <w:b w:val="0"/>
                <w:kern w:val="2"/>
                <w:sz w:val="24"/>
                <w:szCs w:val="24"/>
                <w:lang w:val="en-US" w:eastAsia="zh-CN" w:bidi="ar-SA"/>
              </w:rPr>
              <w:t>项目接收联合体投标的，若小型和微型企业的协议合同金额占到联合体协议合同金额30%以上的，可给予联合体 4% ~6%的扣除，用扣除后的价格参与评审。项目的扣除比例为：6%。</w:t>
            </w:r>
          </w:p>
          <w:p w14:paraId="6E24D181">
            <w:pPr>
              <w:keepNext w:val="0"/>
              <w:keepLines w:val="0"/>
              <w:pageBreakBefore w:val="0"/>
              <w:shd w:val="clear"/>
              <w:kinsoku/>
              <w:wordWrap/>
              <w:overflowPunct/>
              <w:topLinePunct w:val="0"/>
              <w:autoSpaceDE/>
              <w:autoSpaceDN/>
              <w:bidi w:val="0"/>
              <w:adjustRightInd w:val="0"/>
              <w:snapToGrid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b w:val="0"/>
                <w:kern w:val="2"/>
                <w:sz w:val="24"/>
                <w:szCs w:val="24"/>
                <w:lang w:val="en-US" w:eastAsia="zh-CN" w:bidi="ar-SA"/>
              </w:rPr>
              <w:fldChar w:fldCharType="begin"/>
            </w:r>
            <w:r>
              <w:rPr>
                <w:rFonts w:hint="eastAsia" w:ascii="宋体" w:hAnsi="宋体" w:eastAsia="宋体" w:cs="宋体"/>
                <w:b w:val="0"/>
                <w:kern w:val="2"/>
                <w:sz w:val="24"/>
                <w:szCs w:val="24"/>
                <w:lang w:val="en-US" w:eastAsia="zh-CN" w:bidi="ar-SA"/>
              </w:rPr>
              <w:instrText xml:space="preserve"> eq \o\ac(</w:instrText>
            </w:r>
            <w:r>
              <w:rPr>
                <w:rFonts w:hint="eastAsia" w:ascii="宋体" w:hAnsi="宋体" w:eastAsia="宋体" w:cs="宋体"/>
                <w:b w:val="0"/>
                <w:kern w:val="2"/>
                <w:position w:val="-4"/>
                <w:sz w:val="36"/>
                <w:szCs w:val="24"/>
                <w:lang w:val="en-US" w:eastAsia="zh-CN" w:bidi="ar-SA"/>
              </w:rPr>
              <w:instrText xml:space="preserve">□</w:instrText>
            </w:r>
            <w:r>
              <w:rPr>
                <w:rFonts w:hint="eastAsia" w:ascii="宋体" w:hAnsi="宋体" w:eastAsia="宋体" w:cs="宋体"/>
                <w:b w:val="0"/>
                <w:kern w:val="2"/>
                <w:position w:val="0"/>
                <w:sz w:val="24"/>
                <w:szCs w:val="24"/>
                <w:lang w:val="en-US" w:eastAsia="zh-CN" w:bidi="ar-SA"/>
              </w:rPr>
              <w:instrText xml:space="preserve">)</w:instrText>
            </w:r>
            <w:r>
              <w:rPr>
                <w:rFonts w:hint="eastAsia" w:ascii="宋体" w:hAnsi="宋体" w:eastAsia="宋体" w:cs="宋体"/>
                <w:b w:val="0"/>
                <w:kern w:val="2"/>
                <w:sz w:val="24"/>
                <w:szCs w:val="24"/>
                <w:lang w:val="en-US" w:eastAsia="zh-CN" w:bidi="ar-SA"/>
              </w:rPr>
              <w:fldChar w:fldCharType="end"/>
            </w:r>
            <w:r>
              <w:rPr>
                <w:rFonts w:hint="eastAsia" w:ascii="宋体" w:hAnsi="宋体" w:eastAsia="宋体" w:cs="宋体"/>
                <w:b w:val="0"/>
                <w:kern w:val="2"/>
                <w:sz w:val="24"/>
                <w:szCs w:val="24"/>
                <w:lang w:val="en-US" w:eastAsia="zh-CN" w:bidi="ar-SA"/>
              </w:rPr>
              <w:t>非专门面向中小企业采购项目，工程类（价格扣除）：</w:t>
            </w:r>
            <w:r>
              <w:rPr>
                <w:rFonts w:hint="eastAsia" w:ascii="宋体" w:hAnsi="宋体" w:eastAsia="宋体" w:cs="宋体"/>
                <w:b w:val="0"/>
                <w:kern w:val="2"/>
                <w:sz w:val="24"/>
                <w:szCs w:val="24"/>
                <w:lang w:val="en-US" w:eastAsia="zh-CN" w:bidi="ar-SA"/>
              </w:rPr>
              <w:sym w:font="Wingdings" w:char="F081"/>
            </w:r>
            <w:r>
              <w:rPr>
                <w:rFonts w:hint="eastAsia" w:ascii="宋体" w:hAnsi="宋体" w:eastAsia="宋体" w:cs="宋体"/>
                <w:b w:val="0"/>
                <w:kern w:val="2"/>
                <w:sz w:val="24"/>
                <w:szCs w:val="24"/>
                <w:lang w:val="en-US" w:eastAsia="zh-CN" w:bidi="ar-SA"/>
              </w:rPr>
              <w:t>对小型和微型企业投标的价格给与3%~5%的扣除，用扣除后的价格参与评审。项目的扣除比例为：小型企业扣除5%，微型企业扣除5%。</w:t>
            </w:r>
            <w:r>
              <w:rPr>
                <w:rFonts w:hint="eastAsia" w:ascii="宋体" w:hAnsi="宋体" w:eastAsia="宋体" w:cs="宋体"/>
                <w:b w:val="0"/>
                <w:kern w:val="2"/>
                <w:sz w:val="24"/>
                <w:szCs w:val="24"/>
                <w:lang w:val="en-US" w:eastAsia="zh-CN" w:bidi="ar-SA"/>
              </w:rPr>
              <w:sym w:font="Wingdings" w:char="F082"/>
            </w:r>
            <w:r>
              <w:rPr>
                <w:rFonts w:hint="eastAsia" w:ascii="宋体" w:hAnsi="宋体" w:eastAsia="宋体" w:cs="宋体"/>
                <w:b w:val="0"/>
                <w:kern w:val="2"/>
                <w:sz w:val="24"/>
                <w:szCs w:val="24"/>
                <w:lang w:val="en-US" w:eastAsia="zh-CN" w:bidi="ar-SA"/>
              </w:rPr>
              <w:t>项目接收联合体投标的，若小型和微型企业的协议合同金额占到联合体协议合同金额30%以上的，可给予联合体 1% ~2%的扣除，用扣除后的价格参与评审。项目的扣除比例为：2%。</w:t>
            </w:r>
          </w:p>
        </w:tc>
      </w:tr>
      <w:tr w14:paraId="4B359547">
        <w:tblPrEx>
          <w:tblCellMar>
            <w:top w:w="0" w:type="dxa"/>
            <w:left w:w="108" w:type="dxa"/>
            <w:bottom w:w="0" w:type="dxa"/>
            <w:right w:w="108" w:type="dxa"/>
          </w:tblCellMar>
        </w:tblPrEx>
        <w:trPr>
          <w:trHeight w:val="698"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74FD9C07">
            <w:pPr>
              <w:keepNext w:val="0"/>
              <w:keepLines w:val="0"/>
              <w:pageBreakBefore w:val="0"/>
              <w:widowControl/>
              <w:numPr>
                <w:ilvl w:val="0"/>
                <w:numId w:val="4"/>
              </w:numPr>
              <w:shd w:val="clear"/>
              <w:kinsoku/>
              <w:wordWrap/>
              <w:overflowPunct/>
              <w:topLinePunct w:val="0"/>
              <w:autoSpaceDE/>
              <w:autoSpaceDN/>
              <w:bidi w:val="0"/>
              <w:adjustRightInd w:val="0"/>
              <w:snapToGrid w:val="0"/>
              <w:spacing w:line="360" w:lineRule="auto"/>
              <w:ind w:left="425" w:leftChars="0" w:hanging="425" w:firstLineChars="0"/>
              <w:jc w:val="center"/>
              <w:textAlignment w:val="center"/>
              <w:rPr>
                <w:rFonts w:hint="eastAsia" w:ascii="宋体" w:hAnsi="宋体" w:eastAsia="宋体" w:cs="宋体"/>
                <w:color w:val="000000"/>
                <w:sz w:val="24"/>
                <w:szCs w:val="24"/>
                <w:highlight w:val="none"/>
                <w:lang w:val="en-US" w:eastAsia="zh-CN"/>
              </w:rPr>
            </w:pPr>
          </w:p>
        </w:tc>
        <w:tc>
          <w:tcPr>
            <w:tcW w:w="1962" w:type="dxa"/>
            <w:tcBorders>
              <w:top w:val="single" w:color="auto" w:sz="4" w:space="0"/>
              <w:left w:val="single" w:color="auto" w:sz="4" w:space="0"/>
              <w:bottom w:val="single" w:color="auto" w:sz="4" w:space="0"/>
              <w:right w:val="single" w:color="auto" w:sz="4" w:space="0"/>
            </w:tcBorders>
            <w:vAlign w:val="center"/>
          </w:tcPr>
          <w:p w14:paraId="484B6A36">
            <w:pPr>
              <w:keepNext w:val="0"/>
              <w:keepLines w:val="0"/>
              <w:pageBreakBefore w:val="0"/>
              <w:widowControl/>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color w:val="auto"/>
                <w:sz w:val="24"/>
                <w:szCs w:val="24"/>
                <w:u w:val="none"/>
                <w:lang w:val="en-US" w:eastAsia="zh-CN"/>
              </w:rPr>
              <w:t>本项目</w:t>
            </w:r>
            <w:r>
              <w:rPr>
                <w:rFonts w:hint="eastAsia" w:ascii="宋体" w:hAnsi="宋体" w:eastAsia="宋体" w:cs="宋体"/>
                <w:color w:val="auto"/>
                <w:sz w:val="24"/>
                <w:szCs w:val="24"/>
                <w:u w:val="none"/>
              </w:rPr>
              <w:t>所属行业</w:t>
            </w:r>
          </w:p>
        </w:tc>
        <w:tc>
          <w:tcPr>
            <w:tcW w:w="6597" w:type="dxa"/>
            <w:tcBorders>
              <w:top w:val="single" w:color="auto" w:sz="4" w:space="0"/>
              <w:left w:val="single" w:color="auto" w:sz="4" w:space="0"/>
              <w:bottom w:val="single" w:color="auto" w:sz="4" w:space="0"/>
              <w:right w:val="single" w:color="auto" w:sz="4" w:space="0"/>
            </w:tcBorders>
            <w:vAlign w:val="center"/>
          </w:tcPr>
          <w:p w14:paraId="61EDAFD4">
            <w:pPr>
              <w:keepNext w:val="0"/>
              <w:keepLines w:val="0"/>
              <w:pageBreakBefore w:val="0"/>
              <w:shd w:val="clear"/>
              <w:kinsoku/>
              <w:wordWrap/>
              <w:overflowPunct/>
              <w:topLinePunct w:val="0"/>
              <w:autoSpaceDE/>
              <w:autoSpaceDN/>
              <w:bidi w:val="0"/>
              <w:adjustRightInd w:val="0"/>
              <w:snapToGrid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u w:val="none"/>
                <w:lang w:val="en-US" w:eastAsia="zh-CN"/>
              </w:rPr>
              <w:t xml:space="preserve"> </w:t>
            </w:r>
            <w:r>
              <w:rPr>
                <w:rFonts w:hint="eastAsia" w:ascii="宋体" w:hAnsi="宋体" w:eastAsia="宋体" w:cs="宋体"/>
                <w:b w:val="0"/>
                <w:color w:val="auto"/>
                <w:kern w:val="2"/>
                <w:sz w:val="24"/>
                <w:szCs w:val="24"/>
                <w:highlight w:val="none"/>
                <w:lang w:val="en-US" w:eastAsia="zh-CN" w:bidi="ar-SA"/>
              </w:rPr>
              <w:t>其他未列明行业</w:t>
            </w:r>
          </w:p>
        </w:tc>
      </w:tr>
      <w:tr w14:paraId="742210FC">
        <w:tblPrEx>
          <w:tblCellMar>
            <w:top w:w="0" w:type="dxa"/>
            <w:left w:w="108" w:type="dxa"/>
            <w:bottom w:w="0" w:type="dxa"/>
            <w:right w:w="108" w:type="dxa"/>
          </w:tblCellMar>
        </w:tblPrEx>
        <w:trPr>
          <w:trHeight w:val="698"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2A84F802">
            <w:pPr>
              <w:keepNext w:val="0"/>
              <w:keepLines w:val="0"/>
              <w:pageBreakBefore w:val="0"/>
              <w:widowControl/>
              <w:numPr>
                <w:ilvl w:val="0"/>
                <w:numId w:val="4"/>
              </w:numPr>
              <w:shd w:val="clear"/>
              <w:kinsoku/>
              <w:wordWrap/>
              <w:overflowPunct/>
              <w:topLinePunct w:val="0"/>
              <w:autoSpaceDE/>
              <w:autoSpaceDN/>
              <w:bidi w:val="0"/>
              <w:adjustRightInd w:val="0"/>
              <w:snapToGrid w:val="0"/>
              <w:spacing w:line="360" w:lineRule="auto"/>
              <w:ind w:left="425" w:leftChars="0" w:hanging="425" w:firstLineChars="0"/>
              <w:jc w:val="center"/>
              <w:textAlignment w:val="center"/>
              <w:rPr>
                <w:rFonts w:hint="eastAsia" w:ascii="宋体" w:hAnsi="宋体" w:eastAsia="宋体" w:cs="宋体"/>
                <w:color w:val="000000"/>
                <w:sz w:val="24"/>
                <w:szCs w:val="24"/>
                <w:highlight w:val="none"/>
                <w:lang w:val="en-US" w:eastAsia="zh-CN"/>
              </w:rPr>
            </w:pPr>
          </w:p>
        </w:tc>
        <w:tc>
          <w:tcPr>
            <w:tcW w:w="1962" w:type="dxa"/>
            <w:tcBorders>
              <w:top w:val="single" w:color="auto" w:sz="4" w:space="0"/>
              <w:left w:val="single" w:color="auto" w:sz="4" w:space="0"/>
              <w:bottom w:val="single" w:color="auto" w:sz="4" w:space="0"/>
              <w:right w:val="single" w:color="auto" w:sz="4" w:space="0"/>
            </w:tcBorders>
            <w:vAlign w:val="center"/>
          </w:tcPr>
          <w:p w14:paraId="2E0AEEA8">
            <w:pPr>
              <w:keepNext w:val="0"/>
              <w:keepLines w:val="0"/>
              <w:pageBreakBefore w:val="0"/>
              <w:shd w:val="clear"/>
              <w:kinsoku/>
              <w:wordWrap/>
              <w:overflowPunct/>
              <w:topLinePunct w:val="0"/>
              <w:autoSpaceDE/>
              <w:autoSpaceDN/>
              <w:bidi w:val="0"/>
              <w:adjustRightInd w:val="0"/>
              <w:snapToGrid w:val="0"/>
              <w:spacing w:line="360" w:lineRule="auto"/>
              <w:rPr>
                <w:rFonts w:hint="eastAsia" w:ascii="宋体" w:hAnsi="宋体" w:eastAsia="宋体" w:cs="宋体"/>
                <w:b/>
                <w:bCs/>
                <w:sz w:val="24"/>
                <w:szCs w:val="24"/>
                <w:u w:val="none"/>
                <w:lang w:eastAsia="zh-CN"/>
              </w:rPr>
            </w:pPr>
            <w:r>
              <w:rPr>
                <w:rFonts w:hint="eastAsia" w:ascii="宋体" w:hAnsi="宋体" w:eastAsia="宋体" w:cs="宋体"/>
                <w:b/>
                <w:bCs/>
                <w:sz w:val="24"/>
                <w:szCs w:val="24"/>
                <w:u w:val="none"/>
              </w:rPr>
              <w:t>中小企业规模的划分标准</w:t>
            </w:r>
            <w:r>
              <w:rPr>
                <w:rFonts w:hint="eastAsia" w:ascii="宋体" w:hAnsi="宋体" w:eastAsia="宋体" w:cs="宋体"/>
                <w:b/>
                <w:bCs/>
                <w:sz w:val="24"/>
                <w:szCs w:val="24"/>
                <w:u w:val="none"/>
                <w:lang w:eastAsia="zh-CN"/>
              </w:rPr>
              <w:t>：</w:t>
            </w:r>
          </w:p>
          <w:p w14:paraId="2636D509">
            <w:pPr>
              <w:keepNext w:val="0"/>
              <w:keepLines w:val="0"/>
              <w:pageBreakBefore w:val="0"/>
              <w:widowControl/>
              <w:shd w:val="clear"/>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b w:val="0"/>
                <w:bCs w:val="0"/>
                <w:sz w:val="24"/>
                <w:szCs w:val="24"/>
                <w:lang w:val="en-US" w:eastAsia="zh-CN"/>
              </w:rPr>
            </w:pPr>
          </w:p>
        </w:tc>
        <w:tc>
          <w:tcPr>
            <w:tcW w:w="6597" w:type="dxa"/>
            <w:tcBorders>
              <w:top w:val="single" w:color="auto" w:sz="4" w:space="0"/>
              <w:left w:val="single" w:color="auto" w:sz="4" w:space="0"/>
              <w:bottom w:val="single" w:color="auto" w:sz="4" w:space="0"/>
              <w:right w:val="single" w:color="auto" w:sz="4" w:space="0"/>
            </w:tcBorders>
            <w:vAlign w:val="center"/>
          </w:tcPr>
          <w:p w14:paraId="04D99D41">
            <w:pPr>
              <w:keepNext w:val="0"/>
              <w:keepLines w:val="0"/>
              <w:pageBreakBefore w:val="0"/>
              <w:shd w:val="clear"/>
              <w:kinsoku/>
              <w:wordWrap/>
              <w:overflowPunct/>
              <w:topLinePunct w:val="0"/>
              <w:autoSpaceDE/>
              <w:autoSpaceDN/>
              <w:bidi w:val="0"/>
              <w:adjustRightInd w:val="0"/>
              <w:snapToGrid w:val="0"/>
              <w:spacing w:line="360" w:lineRule="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采购限额标准以上，</w:t>
            </w:r>
            <w:r>
              <w:rPr>
                <w:rFonts w:hint="eastAsia" w:ascii="宋体" w:hAnsi="宋体" w:eastAsia="宋体" w:cs="宋体"/>
                <w:b/>
                <w:bCs/>
                <w:kern w:val="2"/>
                <w:sz w:val="24"/>
                <w:szCs w:val="24"/>
                <w:lang w:val="en-US" w:eastAsia="zh-CN" w:bidi="ar-SA"/>
              </w:rPr>
              <w:t>200 万元以下的货物和服务采购项目、400 万元以下的工程采购项目，适宜由中小企业提供的，采购人应当专门面向中小企业采购。</w:t>
            </w:r>
          </w:p>
          <w:p w14:paraId="241AA7FD">
            <w:pPr>
              <w:keepNext w:val="0"/>
              <w:keepLines w:val="0"/>
              <w:pageBreakBefore w:val="0"/>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各行业划分标准具体为：</w:t>
            </w:r>
          </w:p>
          <w:p w14:paraId="2756B7A4">
            <w:pPr>
              <w:keepNext w:val="0"/>
              <w:keepLines w:val="0"/>
              <w:pageBreakBefore w:val="0"/>
              <w:numPr>
                <w:ilvl w:val="0"/>
                <w:numId w:val="0"/>
              </w:numPr>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1、农、林、牧、渔业。营业收入20000万元以下的为中小微型企业。其中，营业收入500万元及以上的为中型企业,营业收入50万元及以上的为小型企业，营业收入50万元以下的为微型企业。　　</w:t>
            </w:r>
          </w:p>
          <w:p w14:paraId="17400F51">
            <w:pPr>
              <w:keepNext w:val="0"/>
              <w:keepLines w:val="0"/>
              <w:pageBreakBefore w:val="0"/>
              <w:numPr>
                <w:ilvl w:val="0"/>
                <w:numId w:val="0"/>
              </w:numPr>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14:paraId="7CE6736C">
            <w:pPr>
              <w:keepNext w:val="0"/>
              <w:keepLines w:val="0"/>
              <w:pageBreakBefore w:val="0"/>
              <w:numPr>
                <w:ilvl w:val="0"/>
                <w:numId w:val="0"/>
              </w:numPr>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14:paraId="513C81E3">
            <w:pPr>
              <w:keepNext w:val="0"/>
              <w:keepLines w:val="0"/>
              <w:pageBreakBefore w:val="0"/>
              <w:numPr>
                <w:ilvl w:val="0"/>
                <w:numId w:val="0"/>
              </w:numPr>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14:paraId="322425D3">
            <w:pPr>
              <w:keepNext w:val="0"/>
              <w:keepLines w:val="0"/>
              <w:pageBreakBefore w:val="0"/>
              <w:numPr>
                <w:ilvl w:val="0"/>
                <w:numId w:val="0"/>
              </w:numPr>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14:paraId="5EB0D9B8">
            <w:pPr>
              <w:keepNext w:val="0"/>
              <w:keepLines w:val="0"/>
              <w:pageBreakBefore w:val="0"/>
              <w:numPr>
                <w:ilvl w:val="0"/>
                <w:numId w:val="0"/>
              </w:numPr>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14:paraId="6E2BD963">
            <w:pPr>
              <w:keepNext w:val="0"/>
              <w:keepLines w:val="0"/>
              <w:pageBreakBefore w:val="0"/>
              <w:numPr>
                <w:ilvl w:val="0"/>
                <w:numId w:val="0"/>
              </w:numPr>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　　</w:t>
            </w:r>
          </w:p>
          <w:p w14:paraId="44ACD93F">
            <w:pPr>
              <w:keepNext w:val="0"/>
              <w:keepLines w:val="0"/>
              <w:pageBreakBefore w:val="0"/>
              <w:numPr>
                <w:ilvl w:val="0"/>
                <w:numId w:val="0"/>
              </w:numPr>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51F852E7">
            <w:pPr>
              <w:keepNext w:val="0"/>
              <w:keepLines w:val="0"/>
              <w:pageBreakBefore w:val="0"/>
              <w:numPr>
                <w:ilvl w:val="0"/>
                <w:numId w:val="0"/>
              </w:numPr>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4AB969A3">
            <w:pPr>
              <w:keepNext w:val="0"/>
              <w:keepLines w:val="0"/>
              <w:pageBreakBefore w:val="0"/>
              <w:numPr>
                <w:ilvl w:val="0"/>
                <w:numId w:val="0"/>
              </w:numPr>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552CD196">
            <w:pPr>
              <w:keepNext w:val="0"/>
              <w:keepLines w:val="0"/>
              <w:pageBreakBefore w:val="0"/>
              <w:numPr>
                <w:ilvl w:val="0"/>
                <w:numId w:val="0"/>
              </w:numPr>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14:paraId="03B5052B">
            <w:pPr>
              <w:keepNext w:val="0"/>
              <w:keepLines w:val="0"/>
              <w:pageBreakBefore w:val="0"/>
              <w:numPr>
                <w:ilvl w:val="0"/>
                <w:numId w:val="0"/>
              </w:numPr>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14:paraId="50C9E369">
            <w:pPr>
              <w:keepNext w:val="0"/>
              <w:keepLines w:val="0"/>
              <w:pageBreakBefore w:val="0"/>
              <w:numPr>
                <w:ilvl w:val="0"/>
                <w:numId w:val="0"/>
              </w:numPr>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14:paraId="21B86933">
            <w:pPr>
              <w:keepNext w:val="0"/>
              <w:keepLines w:val="0"/>
              <w:pageBreakBefore w:val="0"/>
              <w:numPr>
                <w:ilvl w:val="0"/>
                <w:numId w:val="0"/>
              </w:numPr>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　　</w:t>
            </w:r>
          </w:p>
          <w:p w14:paraId="682B285A">
            <w:pPr>
              <w:keepNext w:val="0"/>
              <w:keepLines w:val="0"/>
              <w:pageBreakBefore w:val="0"/>
              <w:numPr>
                <w:ilvl w:val="0"/>
                <w:numId w:val="0"/>
              </w:numPr>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　　</w:t>
            </w:r>
          </w:p>
          <w:p w14:paraId="6FE6FA6B">
            <w:pPr>
              <w:pStyle w:val="9"/>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color w:val="auto"/>
                <w:kern w:val="2"/>
                <w:sz w:val="24"/>
                <w:szCs w:val="24"/>
                <w:highlight w:val="none"/>
                <w:lang w:val="en-US" w:eastAsia="zh-CN" w:bidi="ar-SA"/>
              </w:rPr>
              <w:t>16、其他未列明行业。从业人员300人以下的为中小微型企业。其中，从业人员100人及以上的为中型企业;从业人员10人及以上的为小型企业；从业人员10人以下的为微型企业。　</w:t>
            </w:r>
            <w:r>
              <w:rPr>
                <w:rFonts w:hint="eastAsia" w:ascii="宋体" w:hAnsi="宋体" w:eastAsia="宋体" w:cs="宋体"/>
                <w:b w:val="0"/>
                <w:color w:val="auto"/>
                <w:kern w:val="2"/>
                <w:sz w:val="24"/>
                <w:szCs w:val="24"/>
                <w:lang w:val="en-US" w:eastAsia="zh-CN" w:bidi="ar-SA"/>
              </w:rPr>
              <w:t>　</w:t>
            </w:r>
          </w:p>
        </w:tc>
      </w:tr>
      <w:tr w14:paraId="1E06EAF8">
        <w:tblPrEx>
          <w:tblCellMar>
            <w:top w:w="0" w:type="dxa"/>
            <w:left w:w="108" w:type="dxa"/>
            <w:bottom w:w="0" w:type="dxa"/>
            <w:right w:w="108" w:type="dxa"/>
          </w:tblCellMar>
        </w:tblPrEx>
        <w:trPr>
          <w:trHeight w:val="698"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11908361">
            <w:pPr>
              <w:keepNext w:val="0"/>
              <w:keepLines w:val="0"/>
              <w:pageBreakBefore w:val="0"/>
              <w:widowControl/>
              <w:numPr>
                <w:ilvl w:val="0"/>
                <w:numId w:val="4"/>
              </w:numPr>
              <w:shd w:val="clear"/>
              <w:kinsoku/>
              <w:wordWrap/>
              <w:overflowPunct/>
              <w:topLinePunct w:val="0"/>
              <w:autoSpaceDE/>
              <w:autoSpaceDN/>
              <w:bidi w:val="0"/>
              <w:adjustRightInd w:val="0"/>
              <w:snapToGrid w:val="0"/>
              <w:spacing w:line="360" w:lineRule="auto"/>
              <w:ind w:left="425" w:leftChars="0" w:hanging="425" w:firstLineChars="0"/>
              <w:jc w:val="center"/>
              <w:textAlignment w:val="center"/>
              <w:rPr>
                <w:rFonts w:hint="eastAsia" w:ascii="宋体" w:hAnsi="宋体" w:eastAsia="宋体" w:cs="宋体"/>
                <w:color w:val="000000"/>
                <w:sz w:val="24"/>
                <w:szCs w:val="24"/>
                <w:highlight w:val="none"/>
                <w:lang w:val="en-US" w:eastAsia="zh-CN"/>
              </w:rPr>
            </w:pPr>
          </w:p>
        </w:tc>
        <w:tc>
          <w:tcPr>
            <w:tcW w:w="1962" w:type="dxa"/>
            <w:tcBorders>
              <w:top w:val="single" w:color="auto" w:sz="4" w:space="0"/>
              <w:left w:val="single" w:color="auto" w:sz="4" w:space="0"/>
              <w:bottom w:val="single" w:color="auto" w:sz="4" w:space="0"/>
              <w:right w:val="single" w:color="auto" w:sz="4" w:space="0"/>
            </w:tcBorders>
            <w:vAlign w:val="center"/>
          </w:tcPr>
          <w:p w14:paraId="2A718DCA">
            <w:pPr>
              <w:keepNext w:val="0"/>
              <w:keepLines w:val="0"/>
              <w:widowControl/>
              <w:numPr>
                <w:ilvl w:val="0"/>
                <w:numId w:val="0"/>
              </w:numPr>
              <w:suppressLineNumbers w:val="0"/>
              <w:shd w:val="clear"/>
              <w:spacing w:before="0" w:beforeLines="0" w:beforeAutospacing="0" w:after="0" w:afterLines="0" w:afterAutospacing="0" w:line="360" w:lineRule="auto"/>
              <w:ind w:left="0" w:leftChars="0" w:right="0" w:righ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信用承诺公示要求</w:t>
            </w:r>
          </w:p>
        </w:tc>
        <w:tc>
          <w:tcPr>
            <w:tcW w:w="6597" w:type="dxa"/>
            <w:tcBorders>
              <w:top w:val="single" w:color="auto" w:sz="4" w:space="0"/>
              <w:left w:val="single" w:color="auto" w:sz="4" w:space="0"/>
              <w:bottom w:val="single" w:color="auto" w:sz="4" w:space="0"/>
              <w:right w:val="single" w:color="auto" w:sz="4" w:space="0"/>
            </w:tcBorders>
            <w:vAlign w:val="center"/>
          </w:tcPr>
          <w:p w14:paraId="57F33192">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firstLine="420"/>
              <w:jc w:val="both"/>
              <w:rPr>
                <w:rFonts w:hint="eastAsia" w:ascii="宋体" w:hAnsi="宋体" w:eastAsia="宋体" w:cs="宋体"/>
                <w:color w:val="auto"/>
                <w:kern w:val="2"/>
                <w:sz w:val="24"/>
                <w:szCs w:val="24"/>
                <w:lang w:val="en-US" w:eastAsia="zh-CN" w:bidi="ar-SA"/>
              </w:rPr>
            </w:pPr>
            <w:r>
              <w:rPr>
                <w:rFonts w:hint="eastAsia" w:ascii="宋体" w:hAnsi="宋体" w:eastAsia="宋体" w:cs="宋体"/>
                <w:kern w:val="2"/>
                <w:sz w:val="24"/>
                <w:szCs w:val="24"/>
                <w:lang w:val="en-US" w:eastAsia="zh-CN" w:bidi="ar-SA"/>
              </w:rPr>
              <w:t>为深入贯彻信用体系建设的有关精神，根据市发改委《关于在工程招投标活动中推行信用监管试点示范工作的通知》（榆政发改发〔2020〕329号）和市财政局《关于在政府采购活动中使用信用记录和信用报告以及开展承诺工作的通知》（榆政财采函〔2020〕9号）在工程建设和政府采购领域全面推行信用公开承诺制，进入公共资源交易平台的各方交易主体，均应在</w:t>
            </w:r>
            <w:r>
              <w:rPr>
                <w:rFonts w:hint="eastAsia" w:ascii="宋体" w:hAnsi="宋体" w:eastAsia="宋体" w:cs="宋体"/>
                <w:color w:val="auto"/>
                <w:kern w:val="2"/>
                <w:sz w:val="24"/>
                <w:szCs w:val="24"/>
                <w:lang w:val="en-US" w:eastAsia="zh-CN" w:bidi="ar-SA"/>
              </w:rPr>
              <w:t>“信用中国（陕西榆林）”网站进行注册、登陆，自主上报信用承诺书（网址：https://credit.yl.gov.cn/），各相关交易主体注册、登陆后根据承诺事项选择相应的模板填写《信用承诺书》，并载明承诺事由，政府采购活动中，各方交易主体的承诺事由为“公共资源交易平台的所有活动”。</w:t>
            </w:r>
          </w:p>
          <w:p w14:paraId="759F64D0">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firstLine="42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信用承诺操作相关事宜如下：</w:t>
            </w:r>
          </w:p>
          <w:p w14:paraId="76AEEA24">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firstLine="42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（1）进入信用中国“陕西榆林”页面，点击信用承诺，右上角显示主动上报，在承诺事项选择相应的承诺事项，承诺事项的名称为原纸质版的标题名称。 </w:t>
            </w:r>
          </w:p>
          <w:p w14:paraId="288757A8">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firstLine="42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（2）承诺时间为当日，承诺事由为“公共资源交易平台的所有活动、项目名称”。</w:t>
            </w:r>
          </w:p>
          <w:p w14:paraId="10F12B68">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firstLine="42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（3）供应商只需上传四项信用承诺：①投标人信用承诺；②委托代理人信用承诺。③投标人委托代理人员信用承诺书</w:t>
            </w:r>
          </w:p>
          <w:p w14:paraId="7EC2198A">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④《榆林市政府采购服务类项目供应商信用承诺书》（信用承诺书的格式 详见投标文件格式中附件）。 （4）所有账号问题在政务网中咨询或拨打 02987382893、029-87382894。 </w:t>
            </w:r>
          </w:p>
          <w:p w14:paraId="6B928239">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0"/>
              <w:jc w:val="both"/>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注：如未按照上述要求办理，信用承诺公示迟报、漏报的列入不良行为记录。 其投标将被否决，后果自负。投标人请将申报截图附在投标文件附件中，如不执行由此带来的不利后果投标人自行承担； 具体操作详见附件一：信用承诺上报操作指南。投标人请将申报截图附在投标文件中。</w:t>
            </w:r>
          </w:p>
        </w:tc>
      </w:tr>
      <w:tr w14:paraId="75B5E4D0">
        <w:tblPrEx>
          <w:tblCellMar>
            <w:top w:w="0" w:type="dxa"/>
            <w:left w:w="108" w:type="dxa"/>
            <w:bottom w:w="0" w:type="dxa"/>
            <w:right w:w="108" w:type="dxa"/>
          </w:tblCellMar>
        </w:tblPrEx>
        <w:trPr>
          <w:trHeight w:val="698"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2AB0704C">
            <w:pPr>
              <w:keepNext w:val="0"/>
              <w:keepLines w:val="0"/>
              <w:pageBreakBefore w:val="0"/>
              <w:widowControl/>
              <w:numPr>
                <w:ilvl w:val="0"/>
                <w:numId w:val="4"/>
              </w:numPr>
              <w:shd w:val="clear"/>
              <w:kinsoku/>
              <w:wordWrap/>
              <w:overflowPunct/>
              <w:topLinePunct w:val="0"/>
              <w:autoSpaceDE/>
              <w:autoSpaceDN/>
              <w:bidi w:val="0"/>
              <w:adjustRightInd w:val="0"/>
              <w:snapToGrid w:val="0"/>
              <w:spacing w:line="360" w:lineRule="auto"/>
              <w:ind w:left="425" w:leftChars="0" w:hanging="425" w:firstLineChars="0"/>
              <w:jc w:val="center"/>
              <w:textAlignment w:val="center"/>
              <w:rPr>
                <w:rFonts w:hint="eastAsia" w:ascii="宋体" w:hAnsi="宋体" w:eastAsia="宋体" w:cs="宋体"/>
                <w:color w:val="000000"/>
                <w:sz w:val="24"/>
                <w:szCs w:val="24"/>
                <w:highlight w:val="none"/>
                <w:lang w:val="en-US" w:eastAsia="zh-CN"/>
              </w:rPr>
            </w:pPr>
          </w:p>
        </w:tc>
        <w:tc>
          <w:tcPr>
            <w:tcW w:w="1962" w:type="dxa"/>
            <w:tcBorders>
              <w:top w:val="single" w:color="auto" w:sz="4" w:space="0"/>
              <w:left w:val="single" w:color="auto" w:sz="4" w:space="0"/>
              <w:bottom w:val="single" w:color="auto" w:sz="4" w:space="0"/>
              <w:right w:val="single" w:color="auto" w:sz="4" w:space="0"/>
            </w:tcBorders>
            <w:vAlign w:val="center"/>
          </w:tcPr>
          <w:p w14:paraId="3E319624">
            <w:pPr>
              <w:keepNext w:val="0"/>
              <w:keepLines w:val="0"/>
              <w:widowControl/>
              <w:numPr>
                <w:ilvl w:val="0"/>
                <w:numId w:val="0"/>
              </w:numPr>
              <w:suppressLineNumbers w:val="0"/>
              <w:shd w:val="clear"/>
              <w:spacing w:before="0" w:beforeLines="0" w:beforeAutospacing="0" w:after="0" w:afterLines="0" w:afterAutospacing="0" w:line="360" w:lineRule="auto"/>
              <w:ind w:left="0" w:leftChars="0" w:right="0" w:righ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eastAsia="zh-CN"/>
              </w:rPr>
              <w:t>特别提醒</w:t>
            </w:r>
          </w:p>
        </w:tc>
        <w:tc>
          <w:tcPr>
            <w:tcW w:w="6597" w:type="dxa"/>
            <w:tcBorders>
              <w:top w:val="single" w:color="auto" w:sz="4" w:space="0"/>
              <w:left w:val="single" w:color="auto" w:sz="4" w:space="0"/>
              <w:bottom w:val="single" w:color="auto" w:sz="4" w:space="0"/>
              <w:right w:val="single" w:color="auto" w:sz="4" w:space="0"/>
            </w:tcBorders>
            <w:vAlign w:val="center"/>
          </w:tcPr>
          <w:p w14:paraId="1EFA648C">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firstLine="42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该项目将采取“不见面”开标的形式，供应商无须到达开标现场，即可在网上直接参与开标活动。</w:t>
            </w:r>
          </w:p>
          <w:p w14:paraId="4E588CA3">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firstLine="42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相关注意事项如下：</w:t>
            </w:r>
          </w:p>
          <w:p w14:paraId="15A97970">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firstLine="42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1、开标当日，请各供应商在开标截止时间前至少提前半小时登录“不见面”开标系统登录方式有以下几种：</w:t>
            </w:r>
          </w:p>
          <w:p w14:paraId="7677DB24">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firstLine="42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1）IE浏览器输入网址：</w:t>
            </w:r>
          </w:p>
          <w:p w14:paraId="5E2E83C0">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firstLine="42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http://111.20.184.126:8081/BidOpeningHallCS/bidhall/default/login；</w:t>
            </w:r>
          </w:p>
          <w:p w14:paraId="3162F446">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firstLine="42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2）在【全国公共资源交易平台（陕西省·榆林市）】网站首页点击不见面开标模块进入；</w:t>
            </w:r>
          </w:p>
          <w:p w14:paraId="1B30A7A4">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firstLine="42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3）在【全国公共资源交易平台（陕西省）】网站首页点击不见面开标模块选择榆林市进入。</w:t>
            </w:r>
          </w:p>
          <w:p w14:paraId="3B5067C0">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firstLine="42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注：登录不见面开标系统请选择IE11浏览器</w:t>
            </w:r>
          </w:p>
          <w:p w14:paraId="477787B6">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firstLine="42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2、供应商应按要求及时签到（签到时间为投标截止时间前1小时内，如果未签到将视为放弃投标资格），评审过程中，评标委员会可能会就某些问题要求供应商进行在线澄清，请供应商保持在线直到评审结束；</w:t>
            </w:r>
          </w:p>
          <w:p w14:paraId="3207591E">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firstLine="42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开标过程中，供应商在收到工作人员“开始解密”指令后，请及时使用CA对电子投标文件进行解密。解密时所用CA应与加密投标文件时所用CA相同；注：竞争性谈判方式解密时间为30分钟在解密时间内供应商全部解密完成后，可提前进入开标下一阶段。</w:t>
            </w:r>
          </w:p>
          <w:p w14:paraId="7BC5D7DF">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firstLine="42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4、投标供应商无需提交纸质投标文件，待采购结果公告后，由成交供应商补交纸质投标文件（</w:t>
            </w:r>
            <w:r>
              <w:rPr>
                <w:rFonts w:hint="eastAsia" w:ascii="宋体" w:hAnsi="宋体" w:eastAsia="宋体" w:cs="宋体"/>
                <w:b/>
                <w:bCs/>
                <w:color w:val="auto"/>
                <w:sz w:val="24"/>
                <w:szCs w:val="24"/>
                <w:highlight w:val="none"/>
              </w:rPr>
              <w:t>正</w:t>
            </w:r>
            <w:r>
              <w:rPr>
                <w:rFonts w:hint="eastAsia" w:ascii="宋体" w:hAnsi="宋体" w:eastAsia="宋体" w:cs="宋体"/>
                <w:b/>
                <w:bCs/>
                <w:kern w:val="2"/>
                <w:sz w:val="24"/>
                <w:szCs w:val="24"/>
                <w:lang w:val="en-US" w:eastAsia="zh-CN" w:bidi="ar-SA"/>
              </w:rPr>
              <w:t>本壹份、副本贰份、电子版（word版U盘）贰份备案用 【收件信息：李工：15609120312.地址：榆林市富康路东恒时代1103室】</w:t>
            </w:r>
          </w:p>
          <w:p w14:paraId="380F67DE">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360" w:lineRule="auto"/>
              <w:ind w:left="0" w:right="0" w:firstLine="42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5、相关技术问题，请咨询软件开发商：技术支持热线：400-998-0000/400-928-0095</w:t>
            </w:r>
          </w:p>
          <w:p w14:paraId="5D15D59F">
            <w:pPr>
              <w:keepNext w:val="0"/>
              <w:keepLines w:val="0"/>
              <w:widowControl w:val="0"/>
              <w:suppressLineNumbers w:val="0"/>
              <w:shd w:val="clear"/>
              <w:spacing w:before="0" w:beforeAutospacing="0" w:after="0" w:afterAutospacing="0" w:line="360" w:lineRule="auto"/>
              <w:ind w:left="0" w:leftChars="0" w:right="0" w:rightChars="0" w:firstLine="420" w:firstLineChars="0"/>
              <w:jc w:val="both"/>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kern w:val="2"/>
                <w:sz w:val="24"/>
                <w:szCs w:val="24"/>
                <w:lang w:val="en-US" w:eastAsia="zh-CN" w:bidi="ar-SA"/>
              </w:rPr>
              <w:t>6、榆林不见面开标系统操作手册下载方式：登录【全国公共资源交易平台（陕西省·榆林市）】网站首页选择【服务指南】-【下载专区】-点击【榆林不见面开标系统操作手册（投标人）】进行下载。</w:t>
            </w:r>
          </w:p>
        </w:tc>
      </w:tr>
    </w:tbl>
    <w:p w14:paraId="4105B565">
      <w:pPr>
        <w:shd w:val="clear"/>
        <w:rPr>
          <w:rFonts w:hint="eastAsia" w:ascii="宋体" w:hAnsi="宋体" w:eastAsia="宋体" w:cs="宋体"/>
        </w:rPr>
      </w:pPr>
      <w:r>
        <w:rPr>
          <w:rFonts w:hint="eastAsia" w:ascii="宋体" w:hAnsi="宋体" w:eastAsia="宋体" w:cs="宋体"/>
        </w:rPr>
        <w:br w:type="page"/>
      </w:r>
    </w:p>
    <w:bookmarkEnd w:id="8"/>
    <w:bookmarkEnd w:id="9"/>
    <w:bookmarkEnd w:id="10"/>
    <w:p w14:paraId="7F450536">
      <w:pPr>
        <w:pStyle w:val="2"/>
        <w:shd w:val="clear"/>
        <w:spacing w:before="100" w:beforeAutospacing="1" w:after="100" w:afterAutospacing="1" w:line="240" w:lineRule="auto"/>
        <w:jc w:val="center"/>
        <w:rPr>
          <w:rFonts w:hint="eastAsia" w:ascii="宋体" w:hAnsi="宋体" w:eastAsia="宋体" w:cs="宋体"/>
          <w:color w:val="000000" w:themeColor="text1"/>
          <w:sz w:val="36"/>
          <w14:textFill>
            <w14:solidFill>
              <w14:schemeClr w14:val="tx1"/>
            </w14:solidFill>
          </w14:textFill>
        </w:rPr>
      </w:pPr>
      <w:bookmarkStart w:id="11" w:name="_Toc5116"/>
      <w:bookmarkStart w:id="12" w:name="_Toc19507"/>
      <w:bookmarkStart w:id="13" w:name="_Toc19773"/>
      <w:bookmarkStart w:id="14" w:name="_Toc19554"/>
      <w:bookmarkStart w:id="15" w:name="_Toc511146529"/>
      <w:bookmarkStart w:id="16" w:name="_Toc31487"/>
      <w:bookmarkStart w:id="17" w:name="_Toc504605093"/>
      <w:r>
        <w:rPr>
          <w:rFonts w:hint="eastAsia" w:ascii="宋体" w:hAnsi="宋体" w:eastAsia="宋体" w:cs="宋体"/>
          <w:color w:val="000000" w:themeColor="text1"/>
          <w:sz w:val="36"/>
          <w14:textFill>
            <w14:solidFill>
              <w14:schemeClr w14:val="tx1"/>
            </w14:solidFill>
          </w14:textFill>
        </w:rPr>
        <w:t>第</w:t>
      </w:r>
      <w:r>
        <w:rPr>
          <w:rFonts w:hint="eastAsia" w:ascii="宋体" w:hAnsi="宋体" w:eastAsia="宋体" w:cs="宋体"/>
          <w:color w:val="000000" w:themeColor="text1"/>
          <w:sz w:val="36"/>
          <w:lang w:val="en-US" w:eastAsia="zh-CN"/>
          <w14:textFill>
            <w14:solidFill>
              <w14:schemeClr w14:val="tx1"/>
            </w14:solidFill>
          </w14:textFill>
        </w:rPr>
        <w:t>三</w:t>
      </w:r>
      <w:r>
        <w:rPr>
          <w:rFonts w:hint="eastAsia" w:ascii="宋体" w:hAnsi="宋体" w:eastAsia="宋体" w:cs="宋体"/>
          <w:color w:val="000000" w:themeColor="text1"/>
          <w:sz w:val="36"/>
          <w14:textFill>
            <w14:solidFill>
              <w14:schemeClr w14:val="tx1"/>
            </w14:solidFill>
          </w14:textFill>
        </w:rPr>
        <w:t xml:space="preserve">部分 </w:t>
      </w:r>
      <w:r>
        <w:rPr>
          <w:rFonts w:hint="eastAsia" w:ascii="宋体" w:hAnsi="宋体" w:eastAsia="宋体" w:cs="宋体"/>
          <w:color w:val="000000" w:themeColor="text1"/>
          <w:sz w:val="36"/>
          <w:lang w:eastAsia="zh-CN"/>
          <w14:textFill>
            <w14:solidFill>
              <w14:schemeClr w14:val="tx1"/>
            </w14:solidFill>
          </w14:textFill>
        </w:rPr>
        <w:t>供应商</w:t>
      </w:r>
      <w:r>
        <w:rPr>
          <w:rFonts w:hint="eastAsia" w:ascii="宋体" w:hAnsi="宋体" w:eastAsia="宋体" w:cs="宋体"/>
          <w:color w:val="000000" w:themeColor="text1"/>
          <w:sz w:val="36"/>
          <w14:textFill>
            <w14:solidFill>
              <w14:schemeClr w14:val="tx1"/>
            </w14:solidFill>
          </w14:textFill>
        </w:rPr>
        <w:t>须知</w:t>
      </w:r>
      <w:bookmarkEnd w:id="11"/>
    </w:p>
    <w:bookmarkEnd w:id="12"/>
    <w:bookmarkEnd w:id="13"/>
    <w:bookmarkEnd w:id="14"/>
    <w:p w14:paraId="3D57D51D">
      <w:pPr>
        <w:pStyle w:val="3"/>
        <w:shd w:val="clear"/>
        <w:spacing w:before="100" w:beforeAutospacing="1" w:after="100" w:afterAutospacing="1" w:line="240" w:lineRule="auto"/>
        <w:jc w:val="center"/>
        <w:rPr>
          <w:rFonts w:hint="eastAsia" w:ascii="宋体" w:hAnsi="宋体" w:eastAsia="宋体" w:cs="宋体"/>
          <w:b/>
          <w:bCs w:val="0"/>
          <w:color w:val="000000" w:themeColor="text1"/>
          <w:sz w:val="36"/>
          <w14:textFill>
            <w14:solidFill>
              <w14:schemeClr w14:val="tx1"/>
            </w14:solidFill>
          </w14:textFill>
        </w:rPr>
      </w:pPr>
      <w:bookmarkStart w:id="18" w:name="_Toc1151"/>
      <w:bookmarkStart w:id="19" w:name="_Toc29091"/>
      <w:bookmarkStart w:id="20" w:name="_Toc24957"/>
      <w:bookmarkStart w:id="21" w:name="_Toc179632553"/>
      <w:bookmarkStart w:id="22" w:name="_Toc152042312"/>
      <w:bookmarkStart w:id="23" w:name="_Toc152045536"/>
      <w:bookmarkStart w:id="24" w:name="_Toc144974504"/>
      <w:r>
        <w:rPr>
          <w:rFonts w:hint="eastAsia" w:ascii="宋体" w:hAnsi="宋体" w:eastAsia="宋体" w:cs="宋体"/>
          <w:b/>
          <w:bCs w:val="0"/>
          <w:color w:val="000000" w:themeColor="text1"/>
          <w:sz w:val="36"/>
          <w14:textFill>
            <w14:solidFill>
              <w14:schemeClr w14:val="tx1"/>
            </w14:solidFill>
          </w14:textFill>
        </w:rPr>
        <w:t>A 总则</w:t>
      </w:r>
      <w:bookmarkEnd w:id="18"/>
      <w:bookmarkEnd w:id="19"/>
      <w:bookmarkEnd w:id="20"/>
    </w:p>
    <w:p w14:paraId="6F5156BA">
      <w:pPr>
        <w:pStyle w:val="5"/>
        <w:numPr>
          <w:ilvl w:val="0"/>
          <w:numId w:val="6"/>
        </w:numPr>
        <w:shd w:val="clear"/>
        <w:bidi w:val="0"/>
        <w:rPr>
          <w:rFonts w:hint="eastAsia" w:ascii="宋体" w:hAnsi="宋体" w:eastAsia="宋体" w:cs="宋体"/>
          <w:b/>
          <w:bCs w:val="0"/>
          <w:color w:val="000000" w:themeColor="text1"/>
          <w:sz w:val="32"/>
          <w:szCs w:val="32"/>
          <w14:textFill>
            <w14:solidFill>
              <w14:schemeClr w14:val="tx1"/>
            </w14:solidFill>
          </w14:textFill>
        </w:rPr>
      </w:pPr>
      <w:bookmarkStart w:id="25" w:name="_Toc6642"/>
      <w:bookmarkStart w:id="26" w:name="_Toc347478675"/>
      <w:bookmarkStart w:id="27" w:name="_Toc26762"/>
      <w:bookmarkStart w:id="28" w:name="_Toc462325799"/>
      <w:r>
        <w:rPr>
          <w:rFonts w:hint="eastAsia" w:ascii="宋体" w:hAnsi="宋体" w:eastAsia="宋体" w:cs="宋体"/>
          <w:b/>
          <w:bCs w:val="0"/>
          <w:color w:val="000000" w:themeColor="text1"/>
          <w:sz w:val="32"/>
          <w:szCs w:val="32"/>
          <w14:textFill>
            <w14:solidFill>
              <w14:schemeClr w14:val="tx1"/>
            </w14:solidFill>
          </w14:textFill>
        </w:rPr>
        <w:t>适用范围</w:t>
      </w:r>
      <w:bookmarkEnd w:id="25"/>
      <w:bookmarkEnd w:id="26"/>
      <w:bookmarkEnd w:id="27"/>
      <w:bookmarkEnd w:id="28"/>
    </w:p>
    <w:p w14:paraId="049A4B93">
      <w:pPr>
        <w:shd w:val="clear"/>
        <w:spacing w:before="100" w:after="10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w:t>
      </w:r>
      <w:r>
        <w:rPr>
          <w:rFonts w:hint="eastAsia" w:ascii="宋体" w:hAnsi="宋体" w:eastAsia="宋体" w:cs="宋体"/>
          <w:color w:val="000000" w:themeColor="text1"/>
          <w:sz w:val="24"/>
          <w:szCs w:val="24"/>
          <w:lang w:eastAsia="zh-CN"/>
          <w14:textFill>
            <w14:solidFill>
              <w14:schemeClr w14:val="tx1"/>
            </w14:solidFill>
          </w14:textFill>
        </w:rPr>
        <w:t>竞争性磋商文件</w:t>
      </w:r>
      <w:r>
        <w:rPr>
          <w:rFonts w:hint="eastAsia" w:ascii="宋体" w:hAnsi="宋体" w:eastAsia="宋体" w:cs="宋体"/>
          <w:color w:val="000000" w:themeColor="text1"/>
          <w:sz w:val="24"/>
          <w:szCs w:val="24"/>
          <w14:textFill>
            <w14:solidFill>
              <w14:schemeClr w14:val="tx1"/>
            </w14:solidFill>
          </w14:textFill>
        </w:rPr>
        <w:t>仅适用于本招标公告中所叙述项目的货物及服务采购。</w:t>
      </w:r>
    </w:p>
    <w:p w14:paraId="378CC857">
      <w:pPr>
        <w:pStyle w:val="5"/>
        <w:shd w:val="clear"/>
        <w:bidi w:val="0"/>
        <w:rPr>
          <w:rFonts w:hint="eastAsia" w:ascii="宋体" w:hAnsi="宋体" w:eastAsia="宋体" w:cs="宋体"/>
          <w:b/>
          <w:bCs w:val="0"/>
          <w:color w:val="000000" w:themeColor="text1"/>
          <w:sz w:val="32"/>
          <w:szCs w:val="32"/>
          <w14:textFill>
            <w14:solidFill>
              <w14:schemeClr w14:val="tx1"/>
            </w14:solidFill>
          </w14:textFill>
        </w:rPr>
      </w:pPr>
      <w:bookmarkStart w:id="29" w:name="_Toc11169"/>
      <w:bookmarkStart w:id="30" w:name="_Toc462325800"/>
      <w:bookmarkStart w:id="31" w:name="_Toc347478676"/>
      <w:bookmarkStart w:id="32" w:name="_Toc5118"/>
      <w:r>
        <w:rPr>
          <w:rFonts w:hint="eastAsia" w:ascii="宋体" w:hAnsi="宋体" w:eastAsia="宋体" w:cs="宋体"/>
          <w:b/>
          <w:bCs w:val="0"/>
          <w:color w:val="000000" w:themeColor="text1"/>
          <w:sz w:val="32"/>
          <w:szCs w:val="32"/>
          <w14:textFill>
            <w14:solidFill>
              <w14:schemeClr w14:val="tx1"/>
            </w14:solidFill>
          </w14:textFill>
        </w:rPr>
        <w:t>2. 定义</w:t>
      </w:r>
      <w:bookmarkEnd w:id="29"/>
      <w:bookmarkEnd w:id="30"/>
      <w:bookmarkEnd w:id="31"/>
      <w:bookmarkEnd w:id="32"/>
      <w:r>
        <w:rPr>
          <w:rFonts w:hint="eastAsia" w:ascii="宋体" w:hAnsi="宋体" w:eastAsia="宋体" w:cs="宋体"/>
          <w:b/>
          <w:bCs w:val="0"/>
          <w:color w:val="000000" w:themeColor="text1"/>
          <w:sz w:val="32"/>
          <w:szCs w:val="32"/>
          <w14:textFill>
            <w14:solidFill>
              <w14:schemeClr w14:val="tx1"/>
            </w14:solidFill>
          </w14:textFill>
        </w:rPr>
        <w:t xml:space="preserve"> </w:t>
      </w:r>
    </w:p>
    <w:p w14:paraId="703BF57E">
      <w:pPr>
        <w:shd w:val="clea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“采购人”系指依法进行政府采购的国家机关、事业单位、团体组织。本采购项目的采购人名称、地址、电话、联系人见</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须知前附表。</w:t>
      </w:r>
    </w:p>
    <w:p w14:paraId="4D6E650A">
      <w:pPr>
        <w:shd w:val="clea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 “采购代理机构”系指接受采购人委托，代理采购项目的集中采购机构和经财政部门认定资格的其他采购代理机构。本采购项目的采购代理机构名称、地址、电话、联系人见</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须知前附表。</w:t>
      </w:r>
    </w:p>
    <w:p w14:paraId="1F7B3286">
      <w:pPr>
        <w:shd w:val="clea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 “</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”系指响应招标、参加投标竞争的法人、其他组织或自然人。</w:t>
      </w:r>
    </w:p>
    <w:p w14:paraId="325D5964">
      <w:pPr>
        <w:shd w:val="clea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 “</w:t>
      </w:r>
      <w:r>
        <w:rPr>
          <w:rFonts w:hint="eastAsia" w:ascii="宋体" w:hAnsi="宋体" w:eastAsia="宋体" w:cs="宋体"/>
          <w:color w:val="000000" w:themeColor="text1"/>
          <w:sz w:val="24"/>
          <w:szCs w:val="24"/>
          <w:lang w:eastAsia="zh-CN"/>
          <w14:textFill>
            <w14:solidFill>
              <w14:schemeClr w14:val="tx1"/>
            </w14:solidFill>
          </w14:textFill>
        </w:rPr>
        <w:t>磋商小组</w:t>
      </w:r>
      <w:r>
        <w:rPr>
          <w:rFonts w:hint="eastAsia" w:ascii="宋体" w:hAnsi="宋体" w:eastAsia="宋体" w:cs="宋体"/>
          <w:color w:val="000000" w:themeColor="text1"/>
          <w:sz w:val="24"/>
          <w:szCs w:val="24"/>
          <w14:textFill>
            <w14:solidFill>
              <w14:schemeClr w14:val="tx1"/>
            </w14:solidFill>
          </w14:textFill>
        </w:rPr>
        <w:t>”是指依据《中华人民共和国政府采购法》和财政部《政府采购货物和服务招标投标管理办法》</w:t>
      </w:r>
      <w:r>
        <w:rPr>
          <w:rFonts w:hint="eastAsia" w:ascii="宋体" w:hAnsi="宋体" w:eastAsia="宋体" w:cs="宋体"/>
          <w:color w:val="000000" w:themeColor="text1"/>
          <w:sz w:val="24"/>
          <w:szCs w:val="24"/>
          <w:lang w:eastAsia="zh-CN"/>
          <w14:textFill>
            <w14:solidFill>
              <w14:schemeClr w14:val="tx1"/>
            </w14:solidFill>
          </w14:textFill>
        </w:rPr>
        <w:t>《</w:t>
      </w:r>
      <w:r>
        <w:rPr>
          <w:rStyle w:val="52"/>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中华人民共和国财政部令第74号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有关规定组建，依法依规履行其职责和义务的机构。</w:t>
      </w:r>
    </w:p>
    <w:p w14:paraId="4FC83F0E">
      <w:pPr>
        <w:shd w:val="clea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 “货物”系指</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按</w:t>
      </w:r>
      <w:r>
        <w:rPr>
          <w:rFonts w:hint="eastAsia" w:ascii="宋体" w:hAnsi="宋体" w:eastAsia="宋体" w:cs="宋体"/>
          <w:color w:val="000000" w:themeColor="text1"/>
          <w:sz w:val="24"/>
          <w:szCs w:val="24"/>
          <w:lang w:eastAsia="zh-CN"/>
          <w14:textFill>
            <w14:solidFill>
              <w14:schemeClr w14:val="tx1"/>
            </w14:solidFill>
          </w14:textFill>
        </w:rPr>
        <w:t>竞争性磋商文件</w:t>
      </w:r>
      <w:r>
        <w:rPr>
          <w:rFonts w:hint="eastAsia" w:ascii="宋体" w:hAnsi="宋体" w:eastAsia="宋体" w:cs="宋体"/>
          <w:color w:val="000000" w:themeColor="text1"/>
          <w:sz w:val="24"/>
          <w:szCs w:val="24"/>
          <w14:textFill>
            <w14:solidFill>
              <w14:schemeClr w14:val="tx1"/>
            </w14:solidFill>
          </w14:textFill>
        </w:rPr>
        <w:t>要求,向采购人提供的各种形态和种类的物品，包括原材料、设备、产品(包括软件)及相关的其备品备件、工具、手册及其它技术资料和材料。</w:t>
      </w:r>
    </w:p>
    <w:p w14:paraId="4965B3B8">
      <w:pPr>
        <w:shd w:val="clea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 “工程”是指建设工程，包括建筑物和构筑物的新建、改建、扩建、装修、拆除、修缮等，详见《政府采购品目分类目录》。</w:t>
      </w:r>
    </w:p>
    <w:p w14:paraId="0F35A072">
      <w:pPr>
        <w:shd w:val="clea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2.7 “服务”是政府自身需要的服务和政府向社会公众提供的服务，详见《政府采购品目分类目录》。</w:t>
      </w:r>
    </w:p>
    <w:p w14:paraId="0C7EC24E">
      <w:pPr>
        <w:shd w:val="clea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2.8 “节能产品”或者“环保产品”是指财政部发布的《节能产品政府采购清单》或者《环境标志产品政府采购清单》的产品。</w:t>
      </w:r>
    </w:p>
    <w:p w14:paraId="01ED33B3">
      <w:pPr>
        <w:shd w:val="clea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2.9 “进口产品”是指通过中国海关报关验放进入中国境内且产自关境外的产品，详见《关于政府采购进口产品管理有关问题的通知》。</w:t>
      </w:r>
    </w:p>
    <w:p w14:paraId="6F7B12D8">
      <w:pPr>
        <w:shd w:val="clea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2.10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EB7D695">
      <w:pPr>
        <w:shd w:val="clea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 “福利性企业”是为集中安置具有一定劳动能力的残疾人就业而兴办的具有社会福利性质的特殊企业。</w:t>
      </w:r>
    </w:p>
    <w:p w14:paraId="13FCD26D">
      <w:pPr>
        <w:pStyle w:val="5"/>
        <w:shd w:val="clear"/>
        <w:bidi w:val="0"/>
        <w:rPr>
          <w:rFonts w:hint="eastAsia" w:ascii="宋体" w:hAnsi="宋体" w:eastAsia="宋体" w:cs="宋体"/>
          <w:b/>
          <w:bCs w:val="0"/>
          <w:color w:val="000000" w:themeColor="text1"/>
          <w:sz w:val="32"/>
          <w:szCs w:val="32"/>
          <w:lang w:eastAsia="zh-CN"/>
          <w14:textFill>
            <w14:solidFill>
              <w14:schemeClr w14:val="tx1"/>
            </w14:solidFill>
          </w14:textFill>
        </w:rPr>
      </w:pPr>
      <w:bookmarkStart w:id="33" w:name="_Toc462325801"/>
      <w:bookmarkStart w:id="34" w:name="_Toc347478677"/>
      <w:bookmarkStart w:id="35" w:name="_Toc32103"/>
      <w:bookmarkStart w:id="36" w:name="_Toc6889"/>
      <w:r>
        <w:rPr>
          <w:rFonts w:hint="eastAsia" w:ascii="宋体" w:hAnsi="宋体" w:eastAsia="宋体" w:cs="宋体"/>
          <w:b/>
          <w:bCs w:val="0"/>
          <w:color w:val="000000" w:themeColor="text1"/>
          <w:sz w:val="32"/>
          <w:szCs w:val="32"/>
          <w14:textFill>
            <w14:solidFill>
              <w14:schemeClr w14:val="tx1"/>
            </w14:solidFill>
          </w14:textFill>
        </w:rPr>
        <w:t>3. 合格的</w:t>
      </w:r>
      <w:bookmarkEnd w:id="33"/>
      <w:bookmarkEnd w:id="34"/>
      <w:bookmarkEnd w:id="35"/>
      <w:r>
        <w:rPr>
          <w:rFonts w:hint="eastAsia" w:ascii="宋体" w:hAnsi="宋体" w:eastAsia="宋体" w:cs="宋体"/>
          <w:b/>
          <w:bCs w:val="0"/>
          <w:color w:val="000000" w:themeColor="text1"/>
          <w:sz w:val="32"/>
          <w:szCs w:val="32"/>
          <w:lang w:eastAsia="zh-CN"/>
          <w14:textFill>
            <w14:solidFill>
              <w14:schemeClr w14:val="tx1"/>
            </w14:solidFill>
          </w14:textFill>
        </w:rPr>
        <w:t>供应商</w:t>
      </w:r>
      <w:bookmarkEnd w:id="36"/>
    </w:p>
    <w:p w14:paraId="52CED0A2">
      <w:pPr>
        <w:shd w:val="clea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3.1 </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应当符合《中华人民共和国政府采购法》第二十二条第一款规定的</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基本资格条件；以及</w:t>
      </w:r>
      <w:r>
        <w:rPr>
          <w:rFonts w:hint="eastAsia" w:ascii="宋体" w:hAnsi="宋体" w:eastAsia="宋体" w:cs="宋体"/>
          <w:color w:val="000000" w:themeColor="text1"/>
          <w:sz w:val="24"/>
          <w:szCs w:val="24"/>
          <w:lang w:eastAsia="zh-CN"/>
          <w14:textFill>
            <w14:solidFill>
              <w14:schemeClr w14:val="tx1"/>
            </w14:solidFill>
          </w14:textFill>
        </w:rPr>
        <w:t>竞争性磋商文件</w:t>
      </w:r>
      <w:r>
        <w:rPr>
          <w:rFonts w:hint="eastAsia" w:ascii="宋体" w:hAnsi="宋体" w:eastAsia="宋体" w:cs="宋体"/>
          <w:color w:val="000000" w:themeColor="text1"/>
          <w:sz w:val="24"/>
          <w:szCs w:val="24"/>
          <w14:textFill>
            <w14:solidFill>
              <w14:schemeClr w14:val="tx1"/>
            </w14:solidFill>
          </w14:textFill>
        </w:rPr>
        <w:t>规定的</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特定资格条件。</w:t>
      </w:r>
    </w:p>
    <w:p w14:paraId="077E5D1D">
      <w:pPr>
        <w:shd w:val="clea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 供应商必须在招标公告载明的地点</w:t>
      </w:r>
      <w:r>
        <w:rPr>
          <w:rFonts w:hint="eastAsia" w:ascii="宋体" w:hAnsi="宋体" w:eastAsia="宋体" w:cs="宋体"/>
          <w:color w:val="000000" w:themeColor="text1"/>
          <w:sz w:val="24"/>
          <w:szCs w:val="24"/>
          <w:lang w:val="en-US" w:eastAsia="zh-CN"/>
          <w14:textFill>
            <w14:solidFill>
              <w14:schemeClr w14:val="tx1"/>
            </w14:solidFill>
          </w14:textFill>
        </w:rPr>
        <w:t>登录全国公共资源交易中心平台（陕西省）使用CA锁报名后自行下载</w:t>
      </w:r>
      <w:r>
        <w:rPr>
          <w:rFonts w:hint="eastAsia" w:ascii="宋体" w:hAnsi="宋体" w:eastAsia="宋体" w:cs="宋体"/>
          <w:color w:val="000000" w:themeColor="text1"/>
          <w:sz w:val="24"/>
          <w:szCs w:val="24"/>
          <w14:textFill>
            <w14:solidFill>
              <w14:schemeClr w14:val="tx1"/>
            </w14:solidFill>
          </w14:textFill>
        </w:rPr>
        <w:t>。</w:t>
      </w:r>
    </w:p>
    <w:p w14:paraId="6C007161">
      <w:pPr>
        <w:shd w:val="clea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3.3 </w:t>
      </w:r>
      <w:r>
        <w:rPr>
          <w:rFonts w:hint="eastAsia" w:ascii="宋体" w:hAnsi="宋体" w:eastAsia="宋体" w:cs="宋体"/>
          <w:color w:val="000000" w:themeColor="text1"/>
          <w:sz w:val="24"/>
          <w:szCs w:val="24"/>
          <w:lang w:eastAsia="zh-CN"/>
          <w14:textFill>
            <w14:solidFill>
              <w14:schemeClr w14:val="tx1"/>
            </w14:solidFill>
          </w14:textFill>
        </w:rPr>
        <w:t>法定代表人</w:t>
      </w:r>
      <w:r>
        <w:rPr>
          <w:rFonts w:hint="eastAsia" w:ascii="宋体" w:hAnsi="宋体" w:eastAsia="宋体" w:cs="宋体"/>
          <w:color w:val="000000" w:themeColor="text1"/>
          <w:sz w:val="24"/>
          <w:szCs w:val="24"/>
          <w14:textFill>
            <w14:solidFill>
              <w14:schemeClr w14:val="tx1"/>
            </w14:solidFill>
          </w14:textFill>
        </w:rPr>
        <w:t>或者负责人为同一人或者存在控股、管理关系的两个以上供应商，不得参加同一政府采购项目投标。</w:t>
      </w:r>
    </w:p>
    <w:p w14:paraId="0D96C398">
      <w:pPr>
        <w:shd w:val="clear"/>
        <w:spacing w:line="360" w:lineRule="auto"/>
        <w:ind w:firstLine="480" w:firstLineChars="200"/>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投标供应商</w:t>
      </w:r>
      <w:r>
        <w:rPr>
          <w:rFonts w:hint="eastAsia" w:ascii="宋体" w:hAnsi="宋体" w:eastAsia="宋体" w:cs="宋体"/>
          <w:color w:val="000000" w:themeColor="text1"/>
          <w:sz w:val="24"/>
          <w14:textFill>
            <w14:solidFill>
              <w14:schemeClr w14:val="tx1"/>
            </w14:solidFill>
          </w14:textFill>
        </w:rPr>
        <w:t>信用记录查询：对列入“信用</w:t>
      </w:r>
      <w:r>
        <w:rPr>
          <w:rFonts w:hint="eastAsia" w:ascii="宋体" w:hAnsi="宋体" w:eastAsia="宋体" w:cs="宋体"/>
          <w:color w:val="000000" w:themeColor="text1"/>
          <w:sz w:val="24"/>
          <w:szCs w:val="22"/>
          <w14:textFill>
            <w14:solidFill>
              <w14:schemeClr w14:val="tx1"/>
            </w14:solidFill>
          </w14:textFill>
        </w:rPr>
        <w:t>中国”网站(www.creditchina.gov.cn)“记录失信被执行人或重大税收违法案件当事人名单或政府采购严重违法失信行为”记录名单；中国政府采购网(www.ccgp.gov.cn)“政府采购严重违法失信行为信息记录”的单位，应当拒绝参与政府采购活动</w:t>
      </w:r>
      <w:r>
        <w:rPr>
          <w:rFonts w:hint="eastAsia" w:ascii="宋体" w:hAnsi="宋体" w:eastAsia="宋体" w:cs="宋体"/>
          <w:color w:val="000000" w:themeColor="text1"/>
          <w:sz w:val="24"/>
          <w:szCs w:val="22"/>
          <w:highlight w:val="none"/>
          <w14:textFill>
            <w14:solidFill>
              <w14:schemeClr w14:val="tx1"/>
            </w14:solidFill>
          </w14:textFill>
        </w:rPr>
        <w:t>（以投标截止日当天查询结果为准），</w:t>
      </w:r>
      <w:r>
        <w:rPr>
          <w:rFonts w:hint="eastAsia" w:ascii="宋体" w:hAnsi="宋体" w:eastAsia="宋体" w:cs="宋体"/>
          <w:b w:val="0"/>
          <w:bCs w:val="0"/>
          <w:color w:val="000000" w:themeColor="text1"/>
          <w:sz w:val="24"/>
          <w:szCs w:val="24"/>
          <w:highlight w:val="none"/>
          <w14:textFill>
            <w14:solidFill>
              <w14:schemeClr w14:val="tx1"/>
            </w14:solidFill>
          </w14:textFill>
        </w:rPr>
        <w:t>提供网页截图加盖投标人公章</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（鲜章）</w:t>
      </w:r>
      <w:r>
        <w:rPr>
          <w:rFonts w:hint="eastAsia" w:ascii="宋体" w:hAnsi="宋体" w:eastAsia="宋体" w:cs="宋体"/>
          <w:b w:val="0"/>
          <w:bCs w:val="0"/>
          <w:color w:val="000000" w:themeColor="text1"/>
          <w:sz w:val="24"/>
          <w:szCs w:val="24"/>
          <w:highlight w:val="none"/>
          <w14:textFill>
            <w14:solidFill>
              <w14:schemeClr w14:val="tx1"/>
            </w14:solidFill>
          </w14:textFill>
        </w:rPr>
        <w:t>为准</w:t>
      </w:r>
      <w:r>
        <w:rPr>
          <w:rFonts w:hint="eastAsia" w:ascii="宋体" w:hAnsi="宋体" w:eastAsia="宋体" w:cs="宋体"/>
          <w:color w:val="000000" w:themeColor="text1"/>
          <w:sz w:val="24"/>
          <w:szCs w:val="22"/>
          <w:highlight w:val="none"/>
          <w14:textFill>
            <w14:solidFill>
              <w14:schemeClr w14:val="tx1"/>
            </w14:solidFill>
          </w14:textFill>
        </w:rPr>
        <w:t xml:space="preserve">。 </w:t>
      </w:r>
    </w:p>
    <w:p w14:paraId="583F0F07">
      <w:pPr>
        <w:pageBreakBefore w:val="0"/>
        <w:shd w:val="clear"/>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37" w:name="_Toc462325802"/>
      <w:bookmarkStart w:id="38" w:name="_Toc347478678"/>
      <w:bookmarkStart w:id="39" w:name="_Toc21398"/>
      <w:bookmarkStart w:id="40" w:name="_Toc25969"/>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 xml:space="preserve"> 是否接受联合体投标：见投标人须知前附表。接受联合体投标的，两个以上的自然人、法人或者其他组织可以组成一个联合体，以一个供应商的身份共同参加政府采购。以联合体形式进行政府采购的，参加联合体的供应商均应当具备招标文件规定的条件，并应当向采购人提交联合协议，载明联合体各方承担的工作和义务。联合体各方应当共同与采购人签订采购合同，就</w:t>
      </w:r>
      <w:r>
        <w:rPr>
          <w:rFonts w:hint="eastAsia" w:ascii="宋体" w:hAnsi="宋体" w:eastAsia="宋体" w:cs="宋体"/>
          <w:color w:val="000000" w:themeColor="text1"/>
          <w:sz w:val="24"/>
          <w:szCs w:val="24"/>
          <w:highlight w:val="none"/>
          <w14:textFill>
            <w14:solidFill>
              <w14:schemeClr w14:val="tx1"/>
            </w14:solidFill>
          </w14:textFill>
        </w:rPr>
        <w:t>采购合同约定的事项对采购人承担连带责任。</w:t>
      </w:r>
    </w:p>
    <w:p w14:paraId="19403F90">
      <w:pPr>
        <w:pStyle w:val="5"/>
        <w:shd w:val="clear"/>
        <w:bidi w:val="0"/>
        <w:rPr>
          <w:rFonts w:hint="eastAsia" w:ascii="宋体" w:hAnsi="宋体" w:eastAsia="宋体" w:cs="宋体"/>
          <w:b/>
          <w:bCs w:val="0"/>
          <w:color w:val="000000" w:themeColor="text1"/>
          <w:sz w:val="32"/>
          <w:szCs w:val="32"/>
          <w14:textFill>
            <w14:solidFill>
              <w14:schemeClr w14:val="tx1"/>
            </w14:solidFill>
          </w14:textFill>
        </w:rPr>
      </w:pPr>
      <w:r>
        <w:rPr>
          <w:rFonts w:hint="eastAsia" w:ascii="宋体" w:hAnsi="宋体" w:eastAsia="宋体" w:cs="宋体"/>
          <w:b/>
          <w:bCs w:val="0"/>
          <w:color w:val="000000" w:themeColor="text1"/>
          <w:sz w:val="32"/>
          <w:szCs w:val="32"/>
          <w14:textFill>
            <w14:solidFill>
              <w14:schemeClr w14:val="tx1"/>
            </w14:solidFill>
          </w14:textFill>
        </w:rPr>
        <w:t>4. 费用</w:t>
      </w:r>
      <w:bookmarkEnd w:id="37"/>
      <w:bookmarkEnd w:id="38"/>
      <w:bookmarkEnd w:id="39"/>
      <w:bookmarkEnd w:id="40"/>
    </w:p>
    <w:p w14:paraId="21E77F8E">
      <w:pPr>
        <w:shd w:val="clear"/>
        <w:spacing w:line="360" w:lineRule="auto"/>
        <w:ind w:firstLine="480" w:firstLineChars="200"/>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无论</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的结果如何，</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人自行承担参加</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相关的全部费用。</w:t>
      </w:r>
    </w:p>
    <w:p w14:paraId="0A45D52A">
      <w:pPr>
        <w:pStyle w:val="5"/>
        <w:shd w:val="clear"/>
        <w:bidi w:val="0"/>
        <w:rPr>
          <w:rFonts w:hint="eastAsia" w:ascii="宋体" w:hAnsi="宋体" w:eastAsia="宋体" w:cs="宋体"/>
          <w:b/>
          <w:bCs w:val="0"/>
          <w:color w:val="000000" w:themeColor="text1"/>
          <w:sz w:val="32"/>
          <w:szCs w:val="32"/>
          <w:lang w:val="en-US" w:eastAsia="zh-CN"/>
          <w14:textFill>
            <w14:solidFill>
              <w14:schemeClr w14:val="tx1"/>
            </w14:solidFill>
          </w14:textFill>
        </w:rPr>
      </w:pPr>
      <w:r>
        <w:rPr>
          <w:rFonts w:hint="eastAsia" w:ascii="宋体" w:hAnsi="宋体" w:eastAsia="宋体" w:cs="宋体"/>
          <w:b/>
          <w:bCs w:val="0"/>
          <w:color w:val="000000" w:themeColor="text1"/>
          <w:sz w:val="32"/>
          <w:szCs w:val="32"/>
          <w:lang w:val="en-US" w:eastAsia="zh-CN"/>
          <w14:textFill>
            <w14:solidFill>
              <w14:schemeClr w14:val="tx1"/>
            </w14:solidFill>
          </w14:textFill>
        </w:rPr>
        <w:t>5、磋商内容的合格性和合法性</w:t>
      </w:r>
    </w:p>
    <w:p w14:paraId="78C1EC4B">
      <w:pPr>
        <w:shd w:val="clear"/>
        <w:tabs>
          <w:tab w:val="left" w:pos="720"/>
        </w:tabs>
        <w:spacing w:line="360" w:lineRule="auto"/>
        <w:ind w:left="479" w:leftChars="22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.1磋商内容应满足竞争性磋商文件的要求并应符合国家法律法规、行业管理部门要求的其他强制性标准。</w:t>
      </w:r>
    </w:p>
    <w:p w14:paraId="05318DB9">
      <w:pPr>
        <w:pStyle w:val="5"/>
        <w:shd w:val="clear"/>
        <w:bidi w:val="0"/>
        <w:rPr>
          <w:rFonts w:hint="eastAsia" w:ascii="宋体" w:hAnsi="宋体" w:eastAsia="宋体" w:cs="宋体"/>
          <w:b/>
          <w:bCs w:val="0"/>
          <w:color w:val="000000" w:themeColor="text1"/>
          <w:sz w:val="32"/>
          <w:szCs w:val="32"/>
          <w:lang w:val="en-US" w:eastAsia="zh-CN"/>
          <w14:textFill>
            <w14:solidFill>
              <w14:schemeClr w14:val="tx1"/>
            </w14:solidFill>
          </w14:textFill>
        </w:rPr>
      </w:pPr>
      <w:r>
        <w:rPr>
          <w:rFonts w:hint="eastAsia" w:ascii="宋体" w:hAnsi="宋体" w:eastAsia="宋体" w:cs="宋体"/>
          <w:b/>
          <w:bCs w:val="0"/>
          <w:color w:val="000000" w:themeColor="text1"/>
          <w:sz w:val="32"/>
          <w:szCs w:val="32"/>
          <w:lang w:val="en-US" w:eastAsia="zh-CN"/>
          <w14:textFill>
            <w14:solidFill>
              <w14:schemeClr w14:val="tx1"/>
            </w14:solidFill>
          </w14:textFill>
        </w:rPr>
        <w:t>6、竞争性磋商响应文件内容的真实性</w:t>
      </w:r>
    </w:p>
    <w:p w14:paraId="6C6CF1A8">
      <w:pPr>
        <w:shd w:val="clear"/>
        <w:tabs>
          <w:tab w:val="left" w:pos="720"/>
        </w:tabs>
        <w:spacing w:line="360" w:lineRule="auto"/>
        <w:ind w:left="479" w:leftChars="228"/>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6.1供应商应保证其竞争性磋商响应文件中所提供的所有磋商资料、信息是真实的，并且来源于合法的渠道。因竞争性磋商响应文件中所提供的磋商资料、信息不真实或者其来源不合法而导致的所有法律责任，由供应商自行承担。</w:t>
      </w:r>
    </w:p>
    <w:p w14:paraId="42E094F7">
      <w:pPr>
        <w:pStyle w:val="5"/>
        <w:shd w:val="clear"/>
        <w:bidi w:val="0"/>
        <w:rPr>
          <w:rFonts w:hint="eastAsia" w:ascii="宋体" w:hAnsi="宋体" w:eastAsia="宋体" w:cs="宋体"/>
          <w:b/>
          <w:bCs w:val="0"/>
          <w:color w:val="000000" w:themeColor="text1"/>
          <w:sz w:val="32"/>
          <w:szCs w:val="32"/>
          <w:lang w:val="en-US" w:eastAsia="zh-CN"/>
          <w14:textFill>
            <w14:solidFill>
              <w14:schemeClr w14:val="tx1"/>
            </w14:solidFill>
          </w14:textFill>
        </w:rPr>
      </w:pPr>
      <w:r>
        <w:rPr>
          <w:rFonts w:hint="eastAsia" w:ascii="宋体" w:hAnsi="宋体" w:eastAsia="宋体" w:cs="宋体"/>
          <w:b/>
          <w:bCs w:val="0"/>
          <w:color w:val="000000" w:themeColor="text1"/>
          <w:sz w:val="32"/>
          <w:szCs w:val="32"/>
          <w:lang w:val="en-US" w:eastAsia="zh-CN"/>
          <w14:textFill>
            <w14:solidFill>
              <w14:schemeClr w14:val="tx1"/>
            </w14:solidFill>
          </w14:textFill>
        </w:rPr>
        <w:t>7、磋商过程的监督和管理</w:t>
      </w:r>
    </w:p>
    <w:p w14:paraId="563BA241">
      <w:pPr>
        <w:shd w:val="clear"/>
        <w:tabs>
          <w:tab w:val="left" w:pos="720"/>
        </w:tabs>
        <w:spacing w:line="360" w:lineRule="auto"/>
        <w:ind w:left="479" w:leftChars="228"/>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7.1同级人民政府财政部门及有关部门依法履行对竞争性磋商过程的监督管理职责。</w:t>
      </w:r>
    </w:p>
    <w:p w14:paraId="27FCF70A">
      <w:pPr>
        <w:pStyle w:val="6"/>
        <w:shd w:val="clear"/>
        <w:rPr>
          <w:rFonts w:hint="eastAsia" w:ascii="宋体" w:hAnsi="宋体" w:eastAsia="宋体" w:cs="宋体"/>
          <w:b/>
          <w:bCs w:val="0"/>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bCs w:val="0"/>
          <w:color w:val="000000" w:themeColor="text1"/>
          <w:kern w:val="2"/>
          <w:sz w:val="32"/>
          <w:szCs w:val="32"/>
          <w:lang w:val="en-US" w:eastAsia="zh-CN" w:bidi="ar-SA"/>
          <w14:textFill>
            <w14:solidFill>
              <w14:schemeClr w14:val="tx1"/>
            </w14:solidFill>
          </w14:textFill>
        </w:rPr>
        <w:t>8、保密</w:t>
      </w:r>
      <w:bookmarkEnd w:id="21"/>
      <w:bookmarkEnd w:id="22"/>
      <w:bookmarkEnd w:id="23"/>
      <w:bookmarkEnd w:id="24"/>
    </w:p>
    <w:p w14:paraId="1775DD1C">
      <w:pPr>
        <w:shd w:val="clear"/>
        <w:adjustRightInd w:val="0"/>
        <w:snapToGrid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 xml:space="preserve">.1参与招标活动的各方应对竞争性磋商文件和竞争性磋商响应文件中的商业和技术等秘密保密，违者应对由此造成的后果承担法律责任。 </w:t>
      </w:r>
    </w:p>
    <w:p w14:paraId="58E9B054">
      <w:pPr>
        <w:pStyle w:val="3"/>
        <w:shd w:val="clear"/>
        <w:spacing w:before="100" w:beforeAutospacing="1" w:after="100" w:afterAutospacing="1" w:line="240" w:lineRule="auto"/>
        <w:jc w:val="center"/>
        <w:rPr>
          <w:rFonts w:hint="eastAsia" w:ascii="宋体" w:hAnsi="宋体" w:eastAsia="宋体" w:cs="宋体"/>
          <w:b/>
          <w:bCs w:val="0"/>
          <w:color w:val="000000" w:themeColor="text1"/>
          <w:sz w:val="36"/>
          <w14:textFill>
            <w14:solidFill>
              <w14:schemeClr w14:val="tx1"/>
            </w14:solidFill>
          </w14:textFill>
        </w:rPr>
      </w:pPr>
      <w:bookmarkStart w:id="41" w:name="_Toc16996"/>
      <w:bookmarkStart w:id="42" w:name="_Toc1428"/>
      <w:bookmarkStart w:id="43" w:name="_Toc15696"/>
      <w:bookmarkStart w:id="44" w:name="_Toc29929"/>
      <w:bookmarkStart w:id="45" w:name="_Toc13815"/>
      <w:bookmarkStart w:id="46" w:name="_Toc513557028"/>
      <w:r>
        <w:rPr>
          <w:rFonts w:hint="eastAsia" w:ascii="宋体" w:hAnsi="宋体" w:eastAsia="宋体" w:cs="宋体"/>
          <w:b/>
          <w:bCs w:val="0"/>
          <w:color w:val="000000" w:themeColor="text1"/>
          <w:sz w:val="36"/>
          <w:lang w:val="en-US" w:eastAsia="zh-CN"/>
          <w14:textFill>
            <w14:solidFill>
              <w14:schemeClr w14:val="tx1"/>
            </w14:solidFill>
          </w14:textFill>
        </w:rPr>
        <w:t xml:space="preserve">B </w:t>
      </w:r>
      <w:r>
        <w:rPr>
          <w:rFonts w:hint="eastAsia" w:ascii="宋体" w:hAnsi="宋体" w:eastAsia="宋体" w:cs="宋体"/>
          <w:b/>
          <w:bCs w:val="0"/>
          <w:color w:val="000000" w:themeColor="text1"/>
          <w:sz w:val="36"/>
          <w14:textFill>
            <w14:solidFill>
              <w14:schemeClr w14:val="tx1"/>
            </w14:solidFill>
          </w14:textFill>
        </w:rPr>
        <w:t>竞争性磋商文件</w:t>
      </w:r>
      <w:bookmarkEnd w:id="41"/>
      <w:bookmarkEnd w:id="42"/>
      <w:bookmarkEnd w:id="43"/>
      <w:bookmarkEnd w:id="44"/>
      <w:bookmarkEnd w:id="45"/>
      <w:bookmarkEnd w:id="46"/>
    </w:p>
    <w:p w14:paraId="5C67BB47">
      <w:pPr>
        <w:pStyle w:val="6"/>
        <w:shd w:val="clear"/>
        <w:rPr>
          <w:rFonts w:hint="eastAsia" w:ascii="宋体" w:hAnsi="宋体" w:eastAsia="宋体" w:cs="宋体"/>
          <w:b/>
          <w:bCs w:val="0"/>
          <w:color w:val="000000" w:themeColor="text1"/>
          <w:kern w:val="2"/>
          <w:sz w:val="32"/>
          <w:szCs w:val="32"/>
          <w:lang w:val="en-US" w:eastAsia="zh-CN" w:bidi="ar-SA"/>
          <w14:textFill>
            <w14:solidFill>
              <w14:schemeClr w14:val="tx1"/>
            </w14:solidFill>
          </w14:textFill>
        </w:rPr>
      </w:pPr>
      <w:bookmarkStart w:id="47" w:name="_Toc152042319"/>
      <w:bookmarkStart w:id="48" w:name="_Toc179632561"/>
      <w:bookmarkStart w:id="49" w:name="_Toc144974511"/>
      <w:bookmarkStart w:id="50" w:name="_Toc152045543"/>
      <w:r>
        <w:rPr>
          <w:rFonts w:hint="eastAsia" w:ascii="宋体" w:hAnsi="宋体" w:eastAsia="宋体" w:cs="宋体"/>
          <w:b/>
          <w:bCs w:val="0"/>
          <w:color w:val="000000" w:themeColor="text1"/>
          <w:kern w:val="2"/>
          <w:sz w:val="32"/>
          <w:szCs w:val="32"/>
          <w:lang w:val="en-US" w:eastAsia="zh-CN" w:bidi="ar-SA"/>
          <w14:textFill>
            <w14:solidFill>
              <w14:schemeClr w14:val="tx1"/>
            </w14:solidFill>
          </w14:textFill>
        </w:rPr>
        <w:t>9、 竞争性磋商文件的组成</w:t>
      </w:r>
      <w:bookmarkEnd w:id="47"/>
      <w:bookmarkEnd w:id="48"/>
      <w:bookmarkEnd w:id="49"/>
      <w:bookmarkEnd w:id="50"/>
    </w:p>
    <w:p w14:paraId="6196DEC8">
      <w:pPr>
        <w:shd w:val="clear"/>
        <w:adjustRightInd w:val="0"/>
        <w:snapToGrid w:val="0"/>
        <w:spacing w:line="360" w:lineRule="auto"/>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.1竞争性磋商文件包括以下内容：</w:t>
      </w:r>
    </w:p>
    <w:p w14:paraId="7AB6031E">
      <w:pPr>
        <w:shd w:val="clear"/>
        <w:adjustRightInd w:val="0"/>
        <w:snapToGrid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（1）竞争性磋商公告；</w:t>
      </w:r>
    </w:p>
    <w:p w14:paraId="3BDD573C">
      <w:pPr>
        <w:shd w:val="clear"/>
        <w:adjustRightInd w:val="0"/>
        <w:snapToGrid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（2）供应商须知前附表</w:t>
      </w:r>
    </w:p>
    <w:p w14:paraId="0DF9DB91">
      <w:pPr>
        <w:shd w:val="clear"/>
        <w:adjustRightInd w:val="0"/>
        <w:snapToGrid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）供应商须知；</w:t>
      </w:r>
    </w:p>
    <w:p w14:paraId="475962BF">
      <w:pPr>
        <w:shd w:val="clear"/>
        <w:adjustRightInd w:val="0"/>
        <w:snapToGrid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）评审办法；</w:t>
      </w:r>
    </w:p>
    <w:p w14:paraId="21B50778">
      <w:pPr>
        <w:shd w:val="clear"/>
        <w:adjustRightInd w:val="0"/>
        <w:snapToGrid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）合同条款及合同文件格式；</w:t>
      </w:r>
    </w:p>
    <w:p w14:paraId="51A0CC93">
      <w:pPr>
        <w:shd w:val="clear"/>
        <w:adjustRightInd w:val="0"/>
        <w:snapToGrid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采购内容及要求</w:t>
      </w:r>
      <w:r>
        <w:rPr>
          <w:rFonts w:hint="eastAsia" w:ascii="宋体" w:hAnsi="宋体" w:eastAsia="宋体" w:cs="宋体"/>
          <w:color w:val="000000" w:themeColor="text1"/>
          <w:sz w:val="24"/>
          <w:szCs w:val="24"/>
          <w14:textFill>
            <w14:solidFill>
              <w14:schemeClr w14:val="tx1"/>
            </w14:solidFill>
          </w14:textFill>
        </w:rPr>
        <w:t xml:space="preserve">； </w:t>
      </w:r>
    </w:p>
    <w:p w14:paraId="2B53D340">
      <w:pPr>
        <w:shd w:val="clear"/>
        <w:adjustRightInd w:val="0"/>
        <w:snapToGrid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）竞争性磋商响应文件格式。</w:t>
      </w:r>
    </w:p>
    <w:p w14:paraId="7D916C46">
      <w:pPr>
        <w:shd w:val="clear"/>
        <w:spacing w:line="360" w:lineRule="auto"/>
        <w:ind w:left="479" w:leftChars="22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.2 除</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.1内容外，</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以书面形式发出的对竞争性磋商文件的澄清或修改内容，均为竞争性磋商文件的组成部分，对</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和供应商起约束作用。</w:t>
      </w:r>
    </w:p>
    <w:p w14:paraId="3A5718AA">
      <w:pPr>
        <w:shd w:val="clear"/>
        <w:spacing w:line="360" w:lineRule="auto"/>
        <w:ind w:left="479" w:leftChars="22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.3 供应商获取竞争性磋商文件后，应仔细检查竞争性磋商文件的所有内容，如有残缺等问题应在获得竞争性磋商文件</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日内向</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提出，否则，由此引起的损失由供应商自己承担。供应商同时应认真审阅竞争性磋商文件中所有的事项、格式、条款和规范要求等，若供应商的竞争性磋商响应文件没有按竞争性磋商文件要求提交全部资料，或竞争性磋商响应文件没有对竞争性磋商文件做出实质性响应，该竞争性磋商响应文件按无效文件处理。</w:t>
      </w:r>
    </w:p>
    <w:p w14:paraId="27FE5170">
      <w:pPr>
        <w:shd w:val="clear"/>
        <w:spacing w:line="360" w:lineRule="auto"/>
        <w:ind w:left="479" w:leftChars="22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9.4</w:t>
      </w:r>
      <w:r>
        <w:rPr>
          <w:rFonts w:hint="eastAsia" w:ascii="宋体" w:hAnsi="宋体" w:eastAsia="宋体" w:cs="宋体"/>
          <w:color w:val="000000" w:themeColor="text1"/>
          <w:sz w:val="24"/>
          <w:szCs w:val="24"/>
          <w14:textFill>
            <w14:solidFill>
              <w14:schemeClr w14:val="tx1"/>
            </w14:solidFill>
          </w14:textFill>
        </w:rPr>
        <w:t xml:space="preserve">采购项目需要落实的政府采购政策：依据《中华人民共和国政府采购法》和《中华人民共和国政府采购实施条例》的有关规定，落实政府采购政策。 </w:t>
      </w:r>
    </w:p>
    <w:p w14:paraId="21B0E69E">
      <w:pPr>
        <w:shd w:val="clea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（1）《政府采购促进中小企业发展暂行办法》； </w:t>
      </w:r>
    </w:p>
    <w:p w14:paraId="2CFAF2AB">
      <w:pPr>
        <w:shd w:val="clea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（2）《财政部 司法部关于政府采购支持监狱企业发展有关问题的通知》； </w:t>
      </w:r>
    </w:p>
    <w:p w14:paraId="1EAEC8D7">
      <w:pPr>
        <w:shd w:val="clea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（3）《国务院办公厅关于建立政府强制采购节能产品制度的通知》； </w:t>
      </w:r>
    </w:p>
    <w:p w14:paraId="7FA0E604">
      <w:pPr>
        <w:shd w:val="clea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（4）《环境标志产品政府采购实施的意见》。 </w:t>
      </w:r>
    </w:p>
    <w:p w14:paraId="30775868">
      <w:pPr>
        <w:shd w:val="clea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9.5</w:t>
      </w:r>
      <w:r>
        <w:rPr>
          <w:rFonts w:hint="eastAsia" w:ascii="宋体" w:hAnsi="宋体" w:eastAsia="宋体" w:cs="宋体"/>
          <w:color w:val="000000" w:themeColor="text1"/>
          <w:sz w:val="24"/>
          <w:szCs w:val="24"/>
          <w14:textFill>
            <w14:solidFill>
              <w14:schemeClr w14:val="tx1"/>
            </w14:solidFill>
          </w14:textFill>
        </w:rPr>
        <w:t>评标的处理依据</w:t>
      </w:r>
    </w:p>
    <w:p w14:paraId="269F860D">
      <w:pPr>
        <w:shd w:val="clea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根据《中华人民共和国政府采购法》和《政府采购货物和服务招标投标管理办法》的条款，本着公开、公平、公正的原则进行处理。</w:t>
      </w:r>
    </w:p>
    <w:p w14:paraId="435E6536">
      <w:pPr>
        <w:pStyle w:val="6"/>
        <w:shd w:val="clear"/>
        <w:rPr>
          <w:rFonts w:hint="eastAsia" w:ascii="宋体" w:hAnsi="宋体" w:eastAsia="宋体" w:cs="宋体"/>
          <w:b/>
          <w:bCs w:val="0"/>
          <w:color w:val="000000" w:themeColor="text1"/>
          <w:kern w:val="2"/>
          <w:sz w:val="32"/>
          <w:szCs w:val="32"/>
          <w:lang w:val="en-US" w:eastAsia="zh-CN" w:bidi="ar-SA"/>
          <w14:textFill>
            <w14:solidFill>
              <w14:schemeClr w14:val="tx1"/>
            </w14:solidFill>
          </w14:textFill>
        </w:rPr>
      </w:pPr>
      <w:bookmarkStart w:id="51" w:name="_Toc152045544"/>
      <w:bookmarkStart w:id="52" w:name="_Toc179632562"/>
      <w:bookmarkStart w:id="53" w:name="_Toc152042320"/>
      <w:bookmarkStart w:id="54" w:name="_Toc144974512"/>
      <w:r>
        <w:rPr>
          <w:rFonts w:hint="eastAsia" w:ascii="宋体" w:hAnsi="宋体" w:eastAsia="宋体" w:cs="宋体"/>
          <w:b/>
          <w:bCs w:val="0"/>
          <w:color w:val="000000" w:themeColor="text1"/>
          <w:kern w:val="2"/>
          <w:sz w:val="32"/>
          <w:szCs w:val="32"/>
          <w:lang w:val="en-US" w:eastAsia="zh-CN" w:bidi="ar-SA"/>
          <w14:textFill>
            <w14:solidFill>
              <w14:schemeClr w14:val="tx1"/>
            </w14:solidFill>
          </w14:textFill>
        </w:rPr>
        <w:t>10、竞争性磋商文件的澄清</w:t>
      </w:r>
      <w:bookmarkEnd w:id="51"/>
      <w:bookmarkEnd w:id="52"/>
      <w:bookmarkEnd w:id="53"/>
      <w:bookmarkEnd w:id="54"/>
    </w:p>
    <w:p w14:paraId="6A8B61AB">
      <w:pPr>
        <w:shd w:val="clear"/>
        <w:spacing w:line="360" w:lineRule="auto"/>
        <w:ind w:left="17" w:leftChars="8" w:firstLine="681" w:firstLineChars="28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.1供应商若对竞争性磋商文件有任何疑问，应于</w:t>
      </w:r>
      <w:r>
        <w:rPr>
          <w:rFonts w:hint="eastAsia" w:ascii="宋体" w:hAnsi="宋体" w:eastAsia="宋体" w:cs="宋体"/>
          <w:color w:val="000000" w:themeColor="text1"/>
          <w:sz w:val="24"/>
          <w14:textFill>
            <w14:solidFill>
              <w14:schemeClr w14:val="tx1"/>
            </w14:solidFill>
          </w14:textFill>
        </w:rPr>
        <w:t>磋商截止时间2日前</w:t>
      </w:r>
      <w:r>
        <w:rPr>
          <w:rFonts w:hint="eastAsia" w:ascii="宋体" w:hAnsi="宋体" w:eastAsia="宋体" w:cs="宋体"/>
          <w:color w:val="000000" w:themeColor="text1"/>
          <w:sz w:val="24"/>
          <w:szCs w:val="24"/>
          <w14:textFill>
            <w14:solidFill>
              <w14:schemeClr w14:val="tx1"/>
            </w14:solidFill>
          </w14:textFill>
        </w:rPr>
        <w:t>以书面形式向</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提出澄清要求。无论是</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根据需要主动对竞争性磋商文件进行必要的澄清，或是根据供应商的要求对</w:t>
      </w:r>
      <w:r>
        <w:rPr>
          <w:rFonts w:hint="eastAsia" w:ascii="宋体" w:hAnsi="宋体" w:eastAsia="宋体" w:cs="宋体"/>
          <w:color w:val="000000" w:themeColor="text1"/>
          <w:sz w:val="24"/>
          <w:szCs w:val="24"/>
          <w:lang w:eastAsia="zh-CN"/>
          <w14:textFill>
            <w14:solidFill>
              <w14:schemeClr w14:val="tx1"/>
            </w14:solidFill>
          </w14:textFill>
        </w:rPr>
        <w:t>竞争性磋商文件</w:t>
      </w:r>
      <w:r>
        <w:rPr>
          <w:rFonts w:hint="eastAsia" w:ascii="宋体" w:hAnsi="宋体" w:eastAsia="宋体" w:cs="宋体"/>
          <w:color w:val="000000" w:themeColor="text1"/>
          <w:sz w:val="24"/>
          <w:szCs w:val="24"/>
          <w14:textFill>
            <w14:solidFill>
              <w14:schemeClr w14:val="tx1"/>
            </w14:solidFill>
          </w14:textFill>
        </w:rPr>
        <w:t>做出澄清，</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都将以书面形式予以澄清，但不指明澄清问题的来源。同时将书面澄清文件向所有供应商发送。供应商在收到该澄清文件后应于1日内，以书面形式给予确认，该答复作为竞争性磋商文件的组成部分，具有约束作用。</w:t>
      </w:r>
    </w:p>
    <w:p w14:paraId="0218DDCC">
      <w:pPr>
        <w:shd w:val="clear"/>
        <w:adjustRightInd w:val="0"/>
        <w:snapToGrid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.2 供应商应收到澄清和修改后并以书面形式给予确认的竞争性磋商文件，未按澄清和修改后的竞争性磋商文件编制的竞争性磋商响应文件将被磋商小组否决。</w:t>
      </w:r>
    </w:p>
    <w:p w14:paraId="2C4FE209">
      <w:pPr>
        <w:shd w:val="clea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10.3</w:t>
      </w:r>
      <w:r>
        <w:rPr>
          <w:rFonts w:hint="eastAsia" w:ascii="宋体" w:hAnsi="宋体" w:eastAsia="宋体" w:cs="宋体"/>
          <w:color w:val="000000" w:themeColor="text1"/>
          <w:sz w:val="24"/>
          <w:szCs w:val="24"/>
          <w14:textFill>
            <w14:solidFill>
              <w14:schemeClr w14:val="tx1"/>
            </w14:solidFill>
          </w14:textFill>
        </w:rPr>
        <w:t>各供应商在提交响应文件截止时间之前，应随时关注下列地址发布的变更公告，也可登录全国公共资源交易平台（陕西省）政府采购交易系统查看左上角的信息提醒，</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b/>
          <w:color w:val="000000" w:themeColor="text1"/>
          <w:sz w:val="24"/>
          <w:szCs w:val="24"/>
          <w14:textFill>
            <w14:solidFill>
              <w14:schemeClr w14:val="tx1"/>
            </w14:solidFill>
          </w14:textFill>
        </w:rPr>
        <w:t>不再单独通知，因供应商未及时关注所造成的一切后果由供应商自行承担：</w:t>
      </w:r>
    </w:p>
    <w:p w14:paraId="4EE33ADD">
      <w:pPr>
        <w:shd w:val="clea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"http://www.ccgp-shaanxi.gov.cn"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34"/>
          <w:rFonts w:hint="eastAsia" w:ascii="宋体" w:hAnsi="宋体" w:eastAsia="宋体" w:cs="宋体"/>
          <w:color w:val="000000" w:themeColor="text1"/>
          <w:sz w:val="24"/>
          <w:szCs w:val="24"/>
          <w14:textFill>
            <w14:solidFill>
              <w14:schemeClr w14:val="tx1"/>
            </w14:solidFill>
          </w14:textFill>
        </w:rPr>
        <w:t>陕西省政府采购网</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（www.ccgp-shaanxi.gov.cn）】中的〖首页·〉省级公告·〉更正公告〗；</w:t>
      </w:r>
    </w:p>
    <w:p w14:paraId="0E24A327">
      <w:pPr>
        <w:shd w:val="clea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（2）【全国公共资源交易平台（陕西省）（http://www.sxggzyjy.cn/）】中的〖首页·〉交易大厅·〉政府采购〗。</w:t>
      </w:r>
    </w:p>
    <w:p w14:paraId="1ACC1383">
      <w:pPr>
        <w:pStyle w:val="23"/>
        <w:shd w:val="clear"/>
        <w:rPr>
          <w:rFonts w:hint="eastAsia" w:ascii="宋体" w:hAnsi="宋体" w:eastAsia="宋体" w:cs="宋体"/>
          <w:color w:val="000000" w:themeColor="text1"/>
          <w:lang w:val="en-US" w:eastAsia="zh-CN"/>
          <w14:textFill>
            <w14:solidFill>
              <w14:schemeClr w14:val="tx1"/>
            </w14:solidFill>
          </w14:textFill>
        </w:rPr>
      </w:pPr>
    </w:p>
    <w:p w14:paraId="6D8D5FDF">
      <w:pPr>
        <w:pStyle w:val="6"/>
        <w:shd w:val="clear"/>
        <w:rPr>
          <w:rFonts w:hint="eastAsia" w:ascii="宋体" w:hAnsi="宋体" w:eastAsia="宋体" w:cs="宋体"/>
          <w:b/>
          <w:bCs w:val="0"/>
          <w:color w:val="000000" w:themeColor="text1"/>
          <w:kern w:val="2"/>
          <w:sz w:val="32"/>
          <w:szCs w:val="32"/>
          <w:lang w:val="en-US" w:eastAsia="zh-CN" w:bidi="ar-SA"/>
          <w14:textFill>
            <w14:solidFill>
              <w14:schemeClr w14:val="tx1"/>
            </w14:solidFill>
          </w14:textFill>
        </w:rPr>
      </w:pPr>
      <w:bookmarkStart w:id="55" w:name="_Toc144974513"/>
      <w:bookmarkStart w:id="56" w:name="_Toc179632563"/>
      <w:bookmarkStart w:id="57" w:name="_Toc152045545"/>
      <w:bookmarkStart w:id="58" w:name="_Toc152042321"/>
      <w:r>
        <w:rPr>
          <w:rFonts w:hint="eastAsia" w:ascii="宋体" w:hAnsi="宋体" w:eastAsia="宋体" w:cs="宋体"/>
          <w:b/>
          <w:bCs w:val="0"/>
          <w:color w:val="000000" w:themeColor="text1"/>
          <w:kern w:val="2"/>
          <w:sz w:val="32"/>
          <w:szCs w:val="32"/>
          <w:lang w:val="en-US" w:eastAsia="zh-CN" w:bidi="ar-SA"/>
          <w14:textFill>
            <w14:solidFill>
              <w14:schemeClr w14:val="tx1"/>
            </w14:solidFill>
          </w14:textFill>
        </w:rPr>
        <w:t>11、竞争性磋商文件的修改</w:t>
      </w:r>
      <w:bookmarkEnd w:id="55"/>
      <w:bookmarkEnd w:id="56"/>
      <w:bookmarkEnd w:id="57"/>
      <w:bookmarkEnd w:id="58"/>
    </w:p>
    <w:p w14:paraId="4E25C758">
      <w:pPr>
        <w:shd w:val="clear"/>
        <w:adjustRightInd w:val="0"/>
        <w:snapToGrid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.1在磋商截止时间3日前，</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可以修改竞争性磋商文件，并向供应商发布。如果修改竞争性磋商文件的时间距磋商截止时间不足3日时，</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 xml:space="preserve">将酌情延长磋商截止时间。 </w:t>
      </w:r>
    </w:p>
    <w:p w14:paraId="028323BB">
      <w:pPr>
        <w:shd w:val="clear"/>
        <w:adjustRightInd w:val="0"/>
        <w:snapToGrid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.2供应商应及时登录</w:t>
      </w:r>
      <w:r>
        <w:rPr>
          <w:rFonts w:hint="eastAsia" w:ascii="宋体" w:hAnsi="宋体" w:eastAsia="宋体" w:cs="宋体"/>
          <w:color w:val="000000" w:themeColor="text1"/>
          <w:sz w:val="24"/>
          <w:szCs w:val="24"/>
          <w:lang w:eastAsia="zh-CN"/>
          <w14:textFill>
            <w14:solidFill>
              <w14:schemeClr w14:val="tx1"/>
            </w14:solidFill>
          </w14:textFill>
        </w:rPr>
        <w:t>陕西省政府采购网</w:t>
      </w:r>
      <w:r>
        <w:rPr>
          <w:rFonts w:hint="eastAsia" w:ascii="宋体" w:hAnsi="宋体" w:eastAsia="宋体" w:cs="宋体"/>
          <w:color w:val="000000" w:themeColor="text1"/>
          <w:sz w:val="24"/>
          <w:szCs w:val="24"/>
          <w14:textFill>
            <w14:solidFill>
              <w14:schemeClr w14:val="tx1"/>
            </w14:solidFill>
          </w14:textFill>
        </w:rPr>
        <w:t>查看本项目的招标变更信息，否则引起的一切后果由供应商自负。</w:t>
      </w:r>
    </w:p>
    <w:p w14:paraId="2734DCCC">
      <w:pPr>
        <w:shd w:val="clear"/>
        <w:autoSpaceDE w:val="0"/>
        <w:autoSpaceDN w:val="0"/>
        <w:adjustRightInd w:val="0"/>
        <w:snapToGrid w:val="0"/>
        <w:spacing w:line="360" w:lineRule="auto"/>
        <w:ind w:firstLine="480" w:firstLineChars="200"/>
        <w:outlineLvl w:val="2"/>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11</w:t>
      </w:r>
      <w:r>
        <w:rPr>
          <w:rFonts w:hint="eastAsia" w:ascii="宋体" w:hAnsi="宋体" w:eastAsia="宋体" w:cs="宋体"/>
          <w:color w:val="000000" w:themeColor="text1"/>
          <w:kern w:val="0"/>
          <w:sz w:val="24"/>
          <w:szCs w:val="24"/>
          <w14:textFill>
            <w14:solidFill>
              <w14:schemeClr w14:val="tx1"/>
            </w14:solidFill>
          </w14:textFill>
        </w:rPr>
        <w:t>.3竞争性磋商文件、竞争性磋商文件澄清、竞争性磋商文件修改（补充）文件等内容均以书面发出的为准。当竞争性磋商文件、竞争性磋商文件澄清、竞争性磋商文件修改（补充）文件在同一内容的表述上不一致时，以</w:t>
      </w:r>
      <w:r>
        <w:rPr>
          <w:rFonts w:hint="eastAsia" w:ascii="宋体" w:hAnsi="宋体" w:eastAsia="宋体" w:cs="宋体"/>
          <w:color w:val="000000" w:themeColor="text1"/>
          <w:sz w:val="24"/>
          <w:szCs w:val="24"/>
          <w14:textFill>
            <w14:solidFill>
              <w14:schemeClr w14:val="tx1"/>
            </w14:solidFill>
          </w14:textFill>
        </w:rPr>
        <w:t>最后发出的书面文件为准</w:t>
      </w:r>
      <w:r>
        <w:rPr>
          <w:rFonts w:hint="eastAsia" w:ascii="宋体" w:hAnsi="宋体" w:eastAsia="宋体" w:cs="宋体"/>
          <w:color w:val="000000" w:themeColor="text1"/>
          <w:kern w:val="0"/>
          <w:sz w:val="24"/>
          <w:szCs w:val="24"/>
          <w14:textFill>
            <w14:solidFill>
              <w14:schemeClr w14:val="tx1"/>
            </w14:solidFill>
          </w14:textFill>
        </w:rPr>
        <w:t>。</w:t>
      </w:r>
    </w:p>
    <w:p w14:paraId="02CED261">
      <w:pPr>
        <w:pStyle w:val="45"/>
        <w:shd w:val="clear"/>
        <w:spacing w:line="360" w:lineRule="auto"/>
        <w:ind w:firstLine="723" w:firstLineChars="200"/>
        <w:outlineLvl w:val="2"/>
        <w:rPr>
          <w:rFonts w:hint="eastAsia" w:ascii="宋体" w:hAnsi="宋体" w:eastAsia="宋体" w:cs="宋体"/>
          <w:b/>
          <w:bCs w:val="0"/>
          <w:color w:val="000000" w:themeColor="text1"/>
          <w:kern w:val="2"/>
          <w:sz w:val="36"/>
          <w:szCs w:val="32"/>
          <w:lang w:val="en-US" w:eastAsia="zh-CN" w:bidi="ar-SA"/>
          <w14:textFill>
            <w14:solidFill>
              <w14:schemeClr w14:val="tx1"/>
            </w14:solidFill>
          </w14:textFill>
        </w:rPr>
      </w:pPr>
      <w:bookmarkStart w:id="59" w:name="_Toc510859688"/>
      <w:bookmarkStart w:id="60" w:name="_Toc363119280"/>
      <w:bookmarkStart w:id="61" w:name="_Toc513557029"/>
      <w:bookmarkStart w:id="62" w:name="_Toc17851"/>
      <w:bookmarkStart w:id="63" w:name="_Toc510859894"/>
      <w:bookmarkStart w:id="64" w:name="_Toc8450"/>
      <w:bookmarkStart w:id="65" w:name="_Toc30391"/>
      <w:bookmarkStart w:id="66" w:name="_Toc6851"/>
      <w:bookmarkStart w:id="67" w:name="_Toc8470"/>
      <w:r>
        <w:rPr>
          <w:rFonts w:hint="eastAsia" w:ascii="宋体" w:hAnsi="宋体" w:eastAsia="宋体" w:cs="宋体"/>
          <w:b/>
          <w:bCs w:val="0"/>
          <w:color w:val="000000" w:themeColor="text1"/>
          <w:kern w:val="2"/>
          <w:sz w:val="36"/>
          <w:szCs w:val="32"/>
          <w:lang w:val="en-US" w:eastAsia="zh-CN" w:bidi="ar-SA"/>
          <w14:textFill>
            <w14:solidFill>
              <w14:schemeClr w14:val="tx1"/>
            </w14:solidFill>
          </w14:textFill>
        </w:rPr>
        <w:t>C竞争性磋商响应文件</w:t>
      </w:r>
      <w:bookmarkEnd w:id="59"/>
      <w:bookmarkEnd w:id="60"/>
      <w:bookmarkEnd w:id="61"/>
      <w:bookmarkEnd w:id="62"/>
      <w:bookmarkEnd w:id="63"/>
      <w:r>
        <w:rPr>
          <w:rFonts w:hint="eastAsia" w:ascii="宋体" w:hAnsi="宋体" w:eastAsia="宋体" w:cs="宋体"/>
          <w:b/>
          <w:bCs w:val="0"/>
          <w:color w:val="000000" w:themeColor="text1"/>
          <w:kern w:val="2"/>
          <w:sz w:val="36"/>
          <w:szCs w:val="32"/>
          <w:lang w:val="en-US" w:eastAsia="zh-CN" w:bidi="ar-SA"/>
          <w14:textFill>
            <w14:solidFill>
              <w14:schemeClr w14:val="tx1"/>
            </w14:solidFill>
          </w14:textFill>
        </w:rPr>
        <w:t>的编制</w:t>
      </w:r>
      <w:bookmarkEnd w:id="64"/>
      <w:bookmarkEnd w:id="65"/>
      <w:bookmarkEnd w:id="66"/>
      <w:bookmarkEnd w:id="67"/>
    </w:p>
    <w:p w14:paraId="7BD19BF8">
      <w:pPr>
        <w:pStyle w:val="6"/>
        <w:shd w:val="clear"/>
        <w:rPr>
          <w:rFonts w:hint="eastAsia" w:ascii="宋体" w:hAnsi="宋体" w:eastAsia="宋体" w:cs="宋体"/>
          <w:b/>
          <w:bCs w:val="0"/>
          <w:color w:val="000000" w:themeColor="text1"/>
          <w:kern w:val="2"/>
          <w:sz w:val="32"/>
          <w:szCs w:val="32"/>
          <w:lang w:val="en-US" w:eastAsia="zh-CN" w:bidi="ar-SA"/>
          <w14:textFill>
            <w14:solidFill>
              <w14:schemeClr w14:val="tx1"/>
            </w14:solidFill>
          </w14:textFill>
        </w:rPr>
      </w:pPr>
      <w:bookmarkStart w:id="68" w:name="_Toc152042323"/>
      <w:bookmarkStart w:id="69" w:name="_Toc144974515"/>
      <w:bookmarkStart w:id="70" w:name="_Toc152045547"/>
      <w:bookmarkStart w:id="71" w:name="_Toc179632565"/>
      <w:r>
        <w:rPr>
          <w:rFonts w:hint="eastAsia" w:ascii="宋体" w:hAnsi="宋体" w:eastAsia="宋体" w:cs="宋体"/>
          <w:b/>
          <w:bCs w:val="0"/>
          <w:color w:val="000000" w:themeColor="text1"/>
          <w:kern w:val="2"/>
          <w:sz w:val="32"/>
          <w:szCs w:val="32"/>
          <w:lang w:val="en-US" w:eastAsia="zh-CN" w:bidi="ar-SA"/>
          <w14:textFill>
            <w14:solidFill>
              <w14:schemeClr w14:val="tx1"/>
            </w14:solidFill>
          </w14:textFill>
        </w:rPr>
        <w:t>12、磋商语言和磋商货币</w:t>
      </w:r>
    </w:p>
    <w:p w14:paraId="308C98BC">
      <w:pPr>
        <w:shd w:val="clear"/>
        <w:autoSpaceDE w:val="0"/>
        <w:autoSpaceDN w:val="0"/>
        <w:adjustRightInd w:val="0"/>
        <w:snapToGrid w:val="0"/>
        <w:spacing w:line="360" w:lineRule="auto"/>
        <w:ind w:firstLine="480" w:firstLineChars="200"/>
        <w:outlineLvl w:val="2"/>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12</w:t>
      </w:r>
      <w:r>
        <w:rPr>
          <w:rFonts w:hint="eastAsia" w:ascii="宋体" w:hAnsi="宋体" w:eastAsia="宋体" w:cs="宋体"/>
          <w:color w:val="000000" w:themeColor="text1"/>
          <w:kern w:val="0"/>
          <w:sz w:val="24"/>
          <w:szCs w:val="24"/>
          <w14:textFill>
            <w14:solidFill>
              <w14:schemeClr w14:val="tx1"/>
            </w14:solidFill>
          </w14:textFill>
        </w:rPr>
        <w:t>.1供应商提交的竞争性磋商响应文件以及供应商与采购代理机构就有关磋商的所有来往函电均应使用中文。</w:t>
      </w:r>
    </w:p>
    <w:p w14:paraId="72629E6C">
      <w:pPr>
        <w:shd w:val="clear"/>
        <w:autoSpaceDE w:val="0"/>
        <w:autoSpaceDN w:val="0"/>
        <w:adjustRightInd w:val="0"/>
        <w:snapToGrid w:val="0"/>
        <w:spacing w:line="360" w:lineRule="auto"/>
        <w:ind w:firstLine="480" w:firstLineChars="200"/>
        <w:outlineLvl w:val="2"/>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12</w:t>
      </w:r>
      <w:r>
        <w:rPr>
          <w:rFonts w:hint="eastAsia" w:ascii="宋体" w:hAnsi="宋体" w:eastAsia="宋体" w:cs="宋体"/>
          <w:color w:val="000000" w:themeColor="text1"/>
          <w:kern w:val="0"/>
          <w:sz w:val="24"/>
          <w:szCs w:val="24"/>
          <w14:textFill>
            <w14:solidFill>
              <w14:schemeClr w14:val="tx1"/>
            </w14:solidFill>
          </w14:textFill>
        </w:rPr>
        <w:t>.2磋商应以人民币报价。任何包含非人民币报价的磋商将按无效磋商处理。</w:t>
      </w:r>
    </w:p>
    <w:p w14:paraId="3B6D2FA8">
      <w:pPr>
        <w:pStyle w:val="6"/>
        <w:shd w:val="clear"/>
        <w:rPr>
          <w:rFonts w:hint="eastAsia" w:ascii="宋体" w:hAnsi="宋体" w:eastAsia="宋体" w:cs="宋体"/>
          <w:b/>
          <w:bCs w:val="0"/>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bCs w:val="0"/>
          <w:color w:val="000000" w:themeColor="text1"/>
          <w:kern w:val="2"/>
          <w:sz w:val="32"/>
          <w:szCs w:val="32"/>
          <w:lang w:val="en-US" w:eastAsia="zh-CN" w:bidi="ar-SA"/>
          <w14:textFill>
            <w14:solidFill>
              <w14:schemeClr w14:val="tx1"/>
            </w14:solidFill>
          </w14:textFill>
        </w:rPr>
        <w:t>13、竞争性磋商响应文件的组成</w:t>
      </w:r>
      <w:bookmarkEnd w:id="68"/>
      <w:bookmarkEnd w:id="69"/>
      <w:bookmarkEnd w:id="70"/>
      <w:bookmarkEnd w:id="71"/>
    </w:p>
    <w:p w14:paraId="6C055A88">
      <w:pPr>
        <w:shd w:val="clear"/>
        <w:tabs>
          <w:tab w:val="left" w:pos="720"/>
        </w:tabs>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bookmarkStart w:id="72" w:name="_Toc152045550"/>
      <w:bookmarkStart w:id="73" w:name="_Toc179632568"/>
      <w:bookmarkStart w:id="74" w:name="_Toc144974518"/>
      <w:bookmarkStart w:id="75" w:name="_Toc152042326"/>
      <w:r>
        <w:rPr>
          <w:rFonts w:hint="eastAsia" w:ascii="宋体" w:hAnsi="宋体" w:eastAsia="宋体" w:cs="宋体"/>
          <w:color w:val="000000" w:themeColor="text1"/>
          <w:sz w:val="24"/>
          <w:szCs w:val="24"/>
          <w:lang w:val="en-US" w:eastAsia="zh-CN"/>
          <w14:textFill>
            <w14:solidFill>
              <w14:schemeClr w14:val="tx1"/>
            </w14:solidFill>
          </w14:textFill>
        </w:rPr>
        <w:t>13.1</w:t>
      </w:r>
      <w:r>
        <w:rPr>
          <w:rFonts w:hint="eastAsia" w:ascii="宋体" w:hAnsi="宋体" w:eastAsia="宋体" w:cs="宋体"/>
          <w:color w:val="000000" w:themeColor="text1"/>
          <w:sz w:val="24"/>
          <w14:textFill>
            <w14:solidFill>
              <w14:schemeClr w14:val="tx1"/>
            </w14:solidFill>
          </w14:textFill>
        </w:rPr>
        <w:t>供应商编写的</w:t>
      </w:r>
      <w:r>
        <w:rPr>
          <w:rFonts w:hint="eastAsia" w:ascii="宋体" w:hAnsi="宋体" w:eastAsia="宋体" w:cs="宋体"/>
          <w:color w:val="000000" w:themeColor="text1"/>
          <w:sz w:val="24"/>
          <w:szCs w:val="24"/>
          <w14:textFill>
            <w14:solidFill>
              <w14:schemeClr w14:val="tx1"/>
            </w14:solidFill>
          </w14:textFill>
        </w:rPr>
        <w:t>竞争性磋商响应</w:t>
      </w:r>
      <w:r>
        <w:rPr>
          <w:rFonts w:hint="eastAsia" w:ascii="宋体" w:hAnsi="宋体" w:eastAsia="宋体" w:cs="宋体"/>
          <w:color w:val="000000" w:themeColor="text1"/>
          <w:sz w:val="24"/>
          <w14:textFill>
            <w14:solidFill>
              <w14:schemeClr w14:val="tx1"/>
            </w14:solidFill>
          </w14:textFill>
        </w:rPr>
        <w:t>文件</w:t>
      </w:r>
      <w:r>
        <w:rPr>
          <w:rFonts w:hint="eastAsia" w:ascii="宋体" w:hAnsi="宋体" w:eastAsia="宋体" w:cs="宋体"/>
          <w:color w:val="000000" w:themeColor="text1"/>
          <w:sz w:val="24"/>
          <w:lang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包括以下内容：</w:t>
      </w:r>
    </w:p>
    <w:p w14:paraId="5F023638">
      <w:pPr>
        <w:shd w:val="clear"/>
        <w:tabs>
          <w:tab w:val="left" w:pos="720"/>
        </w:tabs>
        <w:spacing w:line="360" w:lineRule="auto"/>
        <w:ind w:left="191" w:leftChars="91"/>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13.1.1</w:t>
      </w:r>
      <w:r>
        <w:rPr>
          <w:rFonts w:hint="eastAsia" w:ascii="宋体" w:hAnsi="宋体" w:eastAsia="宋体" w:cs="宋体"/>
          <w:color w:val="000000" w:themeColor="text1"/>
          <w:sz w:val="24"/>
          <w14:textFill>
            <w14:solidFill>
              <w14:schemeClr w14:val="tx1"/>
            </w14:solidFill>
          </w14:textFill>
        </w:rPr>
        <w:t>附件1—</w:t>
      </w:r>
      <w:r>
        <w:rPr>
          <w:rFonts w:hint="eastAsia" w:ascii="宋体" w:hAnsi="宋体" w:eastAsia="宋体" w:cs="宋体"/>
          <w:color w:val="000000" w:themeColor="text1"/>
          <w:sz w:val="24"/>
          <w:szCs w:val="24"/>
          <w14:textFill>
            <w14:solidFill>
              <w14:schemeClr w14:val="tx1"/>
            </w14:solidFill>
          </w14:textFill>
        </w:rPr>
        <w:t>磋商响应函</w:t>
      </w:r>
      <w:r>
        <w:rPr>
          <w:rFonts w:hint="eastAsia" w:ascii="宋体" w:hAnsi="宋体" w:eastAsia="宋体" w:cs="宋体"/>
          <w:color w:val="000000" w:themeColor="text1"/>
          <w:sz w:val="24"/>
          <w14:textFill>
            <w14:solidFill>
              <w14:schemeClr w14:val="tx1"/>
            </w14:solidFill>
          </w14:textFill>
        </w:rPr>
        <w:t>（格式）</w:t>
      </w:r>
      <w:r>
        <w:rPr>
          <w:rFonts w:hint="eastAsia" w:ascii="宋体" w:hAnsi="宋体" w:eastAsia="宋体" w:cs="宋体"/>
          <w:color w:val="000000" w:themeColor="text1"/>
          <w:sz w:val="24"/>
          <w:lang w:eastAsia="zh-CN"/>
          <w14:textFill>
            <w14:solidFill>
              <w14:schemeClr w14:val="tx1"/>
            </w14:solidFill>
          </w14:textFill>
        </w:rPr>
        <w:t>；</w:t>
      </w:r>
    </w:p>
    <w:p w14:paraId="37976DD6">
      <w:pPr>
        <w:shd w:val="clear"/>
        <w:tabs>
          <w:tab w:val="left" w:pos="720"/>
        </w:tabs>
        <w:spacing w:line="360" w:lineRule="auto"/>
        <w:ind w:left="191" w:leftChars="91"/>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13.1.2</w:t>
      </w:r>
      <w:r>
        <w:rPr>
          <w:rFonts w:hint="eastAsia" w:ascii="宋体" w:hAnsi="宋体" w:eastAsia="宋体" w:cs="宋体"/>
          <w:color w:val="000000" w:themeColor="text1"/>
          <w:sz w:val="24"/>
          <w14:textFill>
            <w14:solidFill>
              <w14:schemeClr w14:val="tx1"/>
            </w14:solidFill>
          </w14:textFill>
        </w:rPr>
        <w:t>附件2—</w:t>
      </w:r>
      <w:r>
        <w:rPr>
          <w:rFonts w:hint="eastAsia" w:ascii="宋体" w:hAnsi="宋体" w:eastAsia="宋体" w:cs="宋体"/>
          <w:color w:val="000000" w:themeColor="text1"/>
          <w:sz w:val="24"/>
          <w:szCs w:val="24"/>
          <w:lang w:eastAsia="zh-CN"/>
          <w14:textFill>
            <w14:solidFill>
              <w14:schemeClr w14:val="tx1"/>
            </w14:solidFill>
          </w14:textFill>
        </w:rPr>
        <w:t>磋商报价一览表</w:t>
      </w:r>
      <w:r>
        <w:rPr>
          <w:rFonts w:hint="eastAsia" w:ascii="宋体" w:hAnsi="宋体" w:eastAsia="宋体" w:cs="宋体"/>
          <w:color w:val="000000" w:themeColor="text1"/>
          <w:sz w:val="24"/>
          <w14:textFill>
            <w14:solidFill>
              <w14:schemeClr w14:val="tx1"/>
            </w14:solidFill>
          </w14:textFill>
        </w:rPr>
        <w:t>（格式）</w:t>
      </w:r>
      <w:r>
        <w:rPr>
          <w:rFonts w:hint="eastAsia" w:ascii="宋体" w:hAnsi="宋体" w:eastAsia="宋体" w:cs="宋体"/>
          <w:color w:val="000000" w:themeColor="text1"/>
          <w:sz w:val="24"/>
          <w:lang w:eastAsia="zh-CN"/>
          <w14:textFill>
            <w14:solidFill>
              <w14:schemeClr w14:val="tx1"/>
            </w14:solidFill>
          </w14:textFill>
        </w:rPr>
        <w:t>；</w:t>
      </w:r>
    </w:p>
    <w:p w14:paraId="5C46386A">
      <w:pPr>
        <w:shd w:val="clear"/>
        <w:spacing w:line="360" w:lineRule="auto"/>
        <w:ind w:firstLine="240" w:firstLineChars="1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13.1.3</w:t>
      </w:r>
      <w:r>
        <w:rPr>
          <w:rFonts w:hint="eastAsia" w:ascii="宋体" w:hAnsi="宋体" w:eastAsia="宋体" w:cs="宋体"/>
          <w:color w:val="000000" w:themeColor="text1"/>
          <w:sz w:val="24"/>
          <w14:textFill>
            <w14:solidFill>
              <w14:schemeClr w14:val="tx1"/>
            </w14:solidFill>
          </w14:textFill>
        </w:rPr>
        <w:t>附件所有内容。具体见竞争性</w:t>
      </w:r>
      <w:r>
        <w:rPr>
          <w:rFonts w:hint="eastAsia" w:ascii="宋体" w:hAnsi="宋体" w:eastAsia="宋体" w:cs="宋体"/>
          <w:color w:val="000000" w:themeColor="text1"/>
          <w:sz w:val="24"/>
          <w:lang w:eastAsia="zh-CN"/>
          <w14:textFill>
            <w14:solidFill>
              <w14:schemeClr w14:val="tx1"/>
            </w14:solidFill>
          </w14:textFill>
        </w:rPr>
        <w:t>磋商</w:t>
      </w:r>
      <w:r>
        <w:rPr>
          <w:rFonts w:hint="eastAsia" w:ascii="宋体" w:hAnsi="宋体" w:eastAsia="宋体" w:cs="宋体"/>
          <w:color w:val="000000" w:themeColor="text1"/>
          <w:sz w:val="24"/>
          <w14:textFill>
            <w14:solidFill>
              <w14:schemeClr w14:val="tx1"/>
            </w14:solidFill>
          </w14:textFill>
        </w:rPr>
        <w:t>响应文件格式</w:t>
      </w:r>
      <w:r>
        <w:rPr>
          <w:rFonts w:hint="eastAsia" w:ascii="宋体" w:hAnsi="宋体" w:eastAsia="宋体" w:cs="宋体"/>
          <w:color w:val="000000" w:themeColor="text1"/>
          <w:sz w:val="24"/>
          <w:lang w:eastAsia="zh-CN"/>
          <w14:textFill>
            <w14:solidFill>
              <w14:schemeClr w14:val="tx1"/>
            </w14:solidFill>
          </w14:textFill>
        </w:rPr>
        <w:t>；</w:t>
      </w:r>
    </w:p>
    <w:p w14:paraId="0457DC32">
      <w:pPr>
        <w:shd w:val="clear"/>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.2 供应商的所有资格证明文件均应当为合法、有效文件，否则将被视为该文件未递交。</w:t>
      </w:r>
    </w:p>
    <w:p w14:paraId="486371F0">
      <w:pPr>
        <w:shd w:val="clear"/>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.3 上述文件应当按照竞争性</w:t>
      </w:r>
      <w:r>
        <w:rPr>
          <w:rFonts w:hint="eastAsia" w:ascii="宋体" w:hAnsi="宋体" w:eastAsia="宋体" w:cs="宋体"/>
          <w:color w:val="000000" w:themeColor="text1"/>
          <w:sz w:val="24"/>
          <w:lang w:eastAsia="zh-CN"/>
          <w14:textFill>
            <w14:solidFill>
              <w14:schemeClr w14:val="tx1"/>
            </w14:solidFill>
          </w14:textFill>
        </w:rPr>
        <w:t>磋商</w:t>
      </w:r>
      <w:r>
        <w:rPr>
          <w:rFonts w:hint="eastAsia" w:ascii="宋体" w:hAnsi="宋体" w:eastAsia="宋体" w:cs="宋体"/>
          <w:color w:val="000000" w:themeColor="text1"/>
          <w:sz w:val="24"/>
          <w14:textFill>
            <w14:solidFill>
              <w14:schemeClr w14:val="tx1"/>
            </w14:solidFill>
          </w14:textFill>
        </w:rPr>
        <w:t>文件规定的格式填写、签署和盖章。</w:t>
      </w:r>
    </w:p>
    <w:p w14:paraId="43E76BB6">
      <w:pPr>
        <w:pStyle w:val="9"/>
        <w:shd w:val="clear"/>
        <w:rPr>
          <w:rFonts w:hint="eastAsia" w:ascii="宋体" w:hAnsi="宋体" w:eastAsia="宋体" w:cs="宋体"/>
          <w:color w:val="000000" w:themeColor="text1"/>
          <w:lang w:eastAsia="zh-CN"/>
          <w14:textFill>
            <w14:solidFill>
              <w14:schemeClr w14:val="tx1"/>
            </w14:solidFill>
          </w14:textFill>
        </w:rPr>
      </w:pPr>
    </w:p>
    <w:p w14:paraId="30E42283">
      <w:pPr>
        <w:pStyle w:val="6"/>
        <w:shd w:val="clea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、竞争性磋商响应文件格式</w:t>
      </w:r>
    </w:p>
    <w:p w14:paraId="612D9B33">
      <w:pPr>
        <w:shd w:val="clear"/>
        <w:spacing w:line="360" w:lineRule="auto"/>
        <w:ind w:left="19" w:leftChars="9" w:firstLine="458" w:firstLineChars="191"/>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.1 竞争性磋商响应</w:t>
      </w:r>
      <w:r>
        <w:rPr>
          <w:rFonts w:hint="eastAsia" w:ascii="宋体" w:hAnsi="宋体" w:eastAsia="宋体" w:cs="宋体"/>
          <w:color w:val="000000" w:themeColor="text1"/>
          <w:sz w:val="24"/>
          <w14:textFill>
            <w14:solidFill>
              <w14:schemeClr w14:val="tx1"/>
            </w14:solidFill>
          </w14:textFill>
        </w:rPr>
        <w:t>文件</w:t>
      </w:r>
      <w:r>
        <w:rPr>
          <w:rFonts w:hint="eastAsia" w:ascii="宋体" w:hAnsi="宋体" w:eastAsia="宋体" w:cs="宋体"/>
          <w:color w:val="000000" w:themeColor="text1"/>
          <w:sz w:val="24"/>
          <w:lang w:val="en-US" w:eastAsia="zh-CN"/>
          <w14:textFill>
            <w14:solidFill>
              <w14:schemeClr w14:val="tx1"/>
            </w14:solidFill>
          </w14:textFill>
        </w:rPr>
        <w:t>纸质版</w:t>
      </w:r>
      <w:r>
        <w:rPr>
          <w:rFonts w:hint="eastAsia" w:ascii="宋体" w:hAnsi="宋体" w:eastAsia="宋体" w:cs="宋体"/>
          <w:color w:val="000000" w:themeColor="text1"/>
          <w:sz w:val="24"/>
          <w:szCs w:val="24"/>
          <w14:textFill>
            <w14:solidFill>
              <w14:schemeClr w14:val="tx1"/>
            </w14:solidFill>
          </w14:textFill>
        </w:rPr>
        <w:t>包括正本壹份、副本贰份、电子版（word版U盘）</w:t>
      </w:r>
      <w:r>
        <w:rPr>
          <w:rFonts w:hint="eastAsia" w:ascii="宋体" w:hAnsi="宋体" w:eastAsia="宋体" w:cs="宋体"/>
          <w:color w:val="000000" w:themeColor="text1"/>
          <w:sz w:val="24"/>
          <w:szCs w:val="24"/>
          <w:lang w:val="en-US" w:eastAsia="zh-CN"/>
          <w14:textFill>
            <w14:solidFill>
              <w14:schemeClr w14:val="tx1"/>
            </w14:solidFill>
          </w14:textFill>
        </w:rPr>
        <w:t>贰</w:t>
      </w:r>
      <w:r>
        <w:rPr>
          <w:rFonts w:hint="eastAsia" w:ascii="宋体" w:hAnsi="宋体" w:eastAsia="宋体" w:cs="宋体"/>
          <w:color w:val="000000" w:themeColor="text1"/>
          <w:sz w:val="24"/>
          <w:szCs w:val="24"/>
          <w14:textFill>
            <w14:solidFill>
              <w14:schemeClr w14:val="tx1"/>
            </w14:solidFill>
          </w14:textFill>
        </w:rPr>
        <w:t>份，供应商提交的竞争性磋商响应</w:t>
      </w:r>
      <w:r>
        <w:rPr>
          <w:rFonts w:hint="eastAsia" w:ascii="宋体" w:hAnsi="宋体" w:eastAsia="宋体" w:cs="宋体"/>
          <w:color w:val="000000" w:themeColor="text1"/>
          <w:sz w:val="24"/>
          <w14:textFill>
            <w14:solidFill>
              <w14:schemeClr w14:val="tx1"/>
            </w14:solidFill>
          </w14:textFill>
        </w:rPr>
        <w:t>文</w:t>
      </w:r>
      <w:r>
        <w:rPr>
          <w:rFonts w:hint="eastAsia" w:ascii="宋体" w:hAnsi="宋体" w:eastAsia="宋体" w:cs="宋体"/>
          <w:color w:val="000000" w:themeColor="text1"/>
          <w:sz w:val="24"/>
          <w:szCs w:val="24"/>
          <w14:textFill>
            <w14:solidFill>
              <w14:schemeClr w14:val="tx1"/>
            </w14:solidFill>
          </w14:textFill>
        </w:rPr>
        <w:t>件应当使用竞争性磋商文件所提供的竞争性磋商响应</w:t>
      </w:r>
      <w:r>
        <w:rPr>
          <w:rFonts w:hint="eastAsia" w:ascii="宋体" w:hAnsi="宋体" w:eastAsia="宋体" w:cs="宋体"/>
          <w:color w:val="000000" w:themeColor="text1"/>
          <w:sz w:val="24"/>
          <w14:textFill>
            <w14:solidFill>
              <w14:schemeClr w14:val="tx1"/>
            </w14:solidFill>
          </w14:textFill>
        </w:rPr>
        <w:t>文件</w:t>
      </w:r>
      <w:r>
        <w:rPr>
          <w:rFonts w:hint="eastAsia" w:ascii="宋体" w:hAnsi="宋体" w:eastAsia="宋体" w:cs="宋体"/>
          <w:color w:val="000000" w:themeColor="text1"/>
          <w:sz w:val="24"/>
          <w:szCs w:val="24"/>
          <w14:textFill>
            <w14:solidFill>
              <w14:schemeClr w14:val="tx1"/>
            </w14:solidFill>
          </w14:textFill>
        </w:rPr>
        <w:t>全部格式。</w:t>
      </w:r>
      <w:r>
        <w:rPr>
          <w:rFonts w:hint="eastAsia" w:ascii="宋体" w:hAnsi="宋体" w:eastAsia="宋体" w:cs="宋体"/>
          <w:color w:val="000000" w:themeColor="text1"/>
          <w:sz w:val="24"/>
          <w:szCs w:val="24"/>
          <w:lang w:val="en-US" w:eastAsia="zh-CN"/>
          <w14:textFill>
            <w14:solidFill>
              <w14:schemeClr w14:val="tx1"/>
            </w14:solidFill>
          </w14:textFill>
        </w:rPr>
        <w:t>电子版一套，在投标文件递交截止时间前上传系统。</w:t>
      </w:r>
    </w:p>
    <w:p w14:paraId="14A8A548">
      <w:pPr>
        <w:pStyle w:val="6"/>
        <w:shd w:val="clea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、磋商报价</w:t>
      </w:r>
    </w:p>
    <w:p w14:paraId="0CAD1AF2">
      <w:pPr>
        <w:shd w:val="clea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15</w:t>
      </w:r>
      <w:r>
        <w:rPr>
          <w:rFonts w:hint="eastAsia" w:ascii="宋体" w:hAnsi="宋体" w:eastAsia="宋体" w:cs="宋体"/>
          <w:color w:val="000000" w:themeColor="text1"/>
          <w:sz w:val="24"/>
          <w14:textFill>
            <w14:solidFill>
              <w14:schemeClr w14:val="tx1"/>
            </w14:solidFill>
          </w14:textFill>
        </w:rPr>
        <w:t>.1 所有</w:t>
      </w:r>
      <w:r>
        <w:rPr>
          <w:rFonts w:hint="eastAsia" w:ascii="宋体" w:hAnsi="宋体" w:eastAsia="宋体" w:cs="宋体"/>
          <w:color w:val="000000" w:themeColor="text1"/>
          <w:sz w:val="24"/>
          <w:lang w:eastAsia="zh-CN"/>
          <w14:textFill>
            <w14:solidFill>
              <w14:schemeClr w14:val="tx1"/>
            </w14:solidFill>
          </w14:textFill>
        </w:rPr>
        <w:t>磋商</w:t>
      </w:r>
      <w:r>
        <w:rPr>
          <w:rFonts w:hint="eastAsia" w:ascii="宋体" w:hAnsi="宋体" w:eastAsia="宋体" w:cs="宋体"/>
          <w:color w:val="000000" w:themeColor="text1"/>
          <w:sz w:val="24"/>
          <w14:textFill>
            <w14:solidFill>
              <w14:schemeClr w14:val="tx1"/>
            </w14:solidFill>
          </w14:textFill>
        </w:rPr>
        <w:t>均以人民币报价。</w:t>
      </w:r>
    </w:p>
    <w:p w14:paraId="7179C805">
      <w:pPr>
        <w:shd w:val="clea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供应商依据竞争性磋商文件提供的货物及服务要求等资料并自行考虑风险因素计算磋商报价，一旦成交，磋商报价将不会因国家政策调整及市场变化因素而得到调整。</w:t>
      </w:r>
    </w:p>
    <w:p w14:paraId="14E11611">
      <w:pPr>
        <w:shd w:val="clea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 xml:space="preserve"> 供应商应对所列的所有货物、服务进行响应，不得将采购内容拆开磋商。</w:t>
      </w:r>
    </w:p>
    <w:p w14:paraId="6C8AEC76">
      <w:pPr>
        <w:shd w:val="clea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lang w:eastAsia="zh-CN"/>
          <w14:textFill>
            <w14:solidFill>
              <w14:schemeClr w14:val="tx1"/>
            </w14:solidFill>
          </w14:textFill>
        </w:rPr>
        <w:t>采购人</w:t>
      </w:r>
      <w:r>
        <w:rPr>
          <w:rFonts w:hint="eastAsia" w:ascii="宋体" w:hAnsi="宋体" w:eastAsia="宋体" w:cs="宋体"/>
          <w:color w:val="000000" w:themeColor="text1"/>
          <w:sz w:val="24"/>
          <w14:textFill>
            <w14:solidFill>
              <w14:schemeClr w14:val="tx1"/>
            </w14:solidFill>
          </w14:textFill>
        </w:rPr>
        <w:t>只接受供应商提供的唯一磋商响应方案，不接受备选方案。</w:t>
      </w:r>
    </w:p>
    <w:p w14:paraId="72BA11BD">
      <w:pPr>
        <w:shd w:val="clea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 xml:space="preserve"> 凡因供应商对竞争性磋商文件阅读不深、理解不透、误解、疏漏、或因市场行情了解不清造成的后果和风险均由各供应商自负。</w:t>
      </w:r>
    </w:p>
    <w:p w14:paraId="0D0C0055">
      <w:pPr>
        <w:pStyle w:val="6"/>
        <w:shd w:val="clea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、磋商有效期</w:t>
      </w:r>
    </w:p>
    <w:p w14:paraId="1C62A83D">
      <w:pPr>
        <w:shd w:val="clear"/>
        <w:adjustRightInd w:val="0"/>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 xml:space="preserve">.1 </w:t>
      </w:r>
      <w:r>
        <w:rPr>
          <w:rFonts w:hint="eastAsia" w:ascii="宋体" w:hAnsi="宋体" w:eastAsia="宋体" w:cs="宋体"/>
          <w:color w:val="000000" w:themeColor="text1"/>
          <w:sz w:val="24"/>
          <w:szCs w:val="24"/>
          <w14:textFill>
            <w14:solidFill>
              <w14:schemeClr w14:val="tx1"/>
            </w14:solidFill>
          </w14:textFill>
        </w:rPr>
        <w:t xml:space="preserve">本项目磋商有效期为磋商截止时间届满后 90 天（磋商有效期从提交响应文 </w:t>
      </w:r>
      <w:r>
        <w:rPr>
          <w:rFonts w:hint="eastAsia" w:ascii="宋体" w:hAnsi="宋体" w:eastAsia="宋体" w:cs="宋体"/>
          <w:color w:val="000000" w:themeColor="text1"/>
          <w:spacing w:val="-2"/>
          <w:sz w:val="24"/>
          <w:szCs w:val="24"/>
          <w14:textFill>
            <w14:solidFill>
              <w14:schemeClr w14:val="tx1"/>
            </w14:solidFill>
          </w14:textFill>
        </w:rPr>
        <w:t>件的截止之日起算</w:t>
      </w:r>
      <w:r>
        <w:rPr>
          <w:rFonts w:hint="eastAsia" w:ascii="宋体" w:hAnsi="宋体" w:eastAsia="宋体" w:cs="宋体"/>
          <w:color w:val="000000" w:themeColor="text1"/>
          <w:sz w:val="24"/>
          <w14:textFill>
            <w14:solidFill>
              <w14:schemeClr w14:val="tx1"/>
            </w14:solidFill>
          </w14:textFill>
        </w:rPr>
        <w:t>。</w:t>
      </w:r>
    </w:p>
    <w:p w14:paraId="28A06670">
      <w:pPr>
        <w:pStyle w:val="46"/>
        <w:shd w:val="clear"/>
        <w:adjustRightInd w:val="0"/>
        <w:snapToGrid w:val="0"/>
        <w:spacing w:line="360" w:lineRule="auto"/>
        <w:ind w:firstLine="48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.2 在特殊情况下，</w:t>
      </w:r>
      <w:r>
        <w:rPr>
          <w:rFonts w:hint="eastAsia" w:ascii="宋体" w:hAnsi="宋体" w:eastAsia="宋体" w:cs="宋体"/>
          <w:color w:val="000000" w:themeColor="text1"/>
          <w:lang w:eastAsia="zh-CN"/>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在原定磋商有效期内，可以根据需要以书面形式向供应商提出延长磋商有效期的要求，对此要求供应商须在2日内以书面形式予以答复。</w:t>
      </w:r>
    </w:p>
    <w:p w14:paraId="4C79BDD3">
      <w:pPr>
        <w:pStyle w:val="6"/>
        <w:shd w:val="clea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、磋商保证金</w:t>
      </w:r>
      <w:bookmarkEnd w:id="72"/>
      <w:bookmarkEnd w:id="73"/>
      <w:bookmarkEnd w:id="74"/>
      <w:bookmarkEnd w:id="75"/>
    </w:p>
    <w:p w14:paraId="05788D14">
      <w:pPr>
        <w:shd w:val="clear"/>
        <w:spacing w:before="181" w:line="466" w:lineRule="exact"/>
        <w:ind w:right="51"/>
        <w:jc w:val="left"/>
        <w:rPr>
          <w:rFonts w:hint="eastAsia" w:ascii="宋体" w:hAnsi="宋体" w:eastAsia="宋体" w:cs="宋体"/>
          <w:b w:val="0"/>
          <w:bCs/>
          <w:color w:val="000000" w:themeColor="text1"/>
          <w:kern w:val="2"/>
          <w:sz w:val="24"/>
          <w:szCs w:val="32"/>
          <w:lang w:val="en-US" w:eastAsia="zh-CN" w:bidi="ar-SA"/>
          <w14:textFill>
            <w14:solidFill>
              <w14:schemeClr w14:val="tx1"/>
            </w14:solidFill>
          </w14:textFill>
        </w:rPr>
      </w:pPr>
      <w:bookmarkStart w:id="76" w:name="_Toc144974521"/>
      <w:bookmarkStart w:id="77" w:name="_Toc152042329"/>
      <w:bookmarkStart w:id="78" w:name="_Toc179632571"/>
      <w:bookmarkStart w:id="79" w:name="_Toc152045553"/>
      <w:r>
        <w:rPr>
          <w:rFonts w:hint="eastAsia" w:ascii="宋体" w:hAnsi="宋体" w:eastAsia="宋体" w:cs="宋体"/>
          <w:color w:val="000000" w:themeColor="text1"/>
          <w:spacing w:val="-1"/>
          <w:position w:val="17"/>
          <w:sz w:val="24"/>
          <w:szCs w:val="24"/>
          <w:lang w:val="en-US" w:eastAsia="zh-CN"/>
          <w14:textFill>
            <w14:solidFill>
              <w14:schemeClr w14:val="tx1"/>
            </w14:solidFill>
          </w14:textFill>
        </w:rPr>
        <w:t xml:space="preserve">  </w:t>
      </w:r>
      <w:r>
        <w:rPr>
          <w:rFonts w:hint="eastAsia" w:ascii="宋体" w:hAnsi="宋体" w:eastAsia="宋体" w:cs="宋体"/>
          <w:b w:val="0"/>
          <w:bCs/>
          <w:color w:val="000000" w:themeColor="text1"/>
          <w:kern w:val="2"/>
          <w:sz w:val="24"/>
          <w:szCs w:val="32"/>
          <w:lang w:val="en-US" w:eastAsia="zh-CN" w:bidi="ar-SA"/>
          <w14:textFill>
            <w14:solidFill>
              <w14:schemeClr w14:val="tx1"/>
            </w14:solidFill>
          </w14:textFill>
        </w:rPr>
        <w:t xml:space="preserve">  17.1投标人投标时，必须按照磋商文件要求提交投标信用承诺书，并作为其投标的一部分。</w:t>
      </w:r>
    </w:p>
    <w:p w14:paraId="5AD3B100">
      <w:pPr>
        <w:pStyle w:val="6"/>
        <w:shd w:val="clea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 备选磋商方案</w:t>
      </w:r>
      <w:bookmarkEnd w:id="76"/>
      <w:bookmarkEnd w:id="77"/>
      <w:bookmarkEnd w:id="78"/>
      <w:bookmarkEnd w:id="79"/>
    </w:p>
    <w:p w14:paraId="5CC18FAA">
      <w:pPr>
        <w:shd w:val="clear"/>
        <w:adjustRightInd w:val="0"/>
        <w:snapToGrid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1除磋商须知前附表另有规定外，供应商不得递交备选磋商方案。</w:t>
      </w:r>
    </w:p>
    <w:p w14:paraId="0BDB96A8">
      <w:pPr>
        <w:pStyle w:val="6"/>
        <w:shd w:val="clea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、竞争性磋商响应文件的份数和签署</w:t>
      </w:r>
    </w:p>
    <w:p w14:paraId="257510F8">
      <w:pPr>
        <w:shd w:val="clea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.1 竞争性磋商响应文件应按本须知前附表规定的份数提交竞争性磋商响应文件。</w:t>
      </w:r>
    </w:p>
    <w:p w14:paraId="0B09FD3F">
      <w:pPr>
        <w:shd w:val="clea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.2 竞争性磋商响应</w:t>
      </w:r>
      <w:r>
        <w:rPr>
          <w:rFonts w:hint="eastAsia" w:ascii="宋体" w:hAnsi="宋体" w:eastAsia="宋体" w:cs="宋体"/>
          <w:color w:val="000000" w:themeColor="text1"/>
          <w:sz w:val="24"/>
          <w14:textFill>
            <w14:solidFill>
              <w14:schemeClr w14:val="tx1"/>
            </w14:solidFill>
          </w14:textFill>
        </w:rPr>
        <w:t>文件正本和所有副本均需</w:t>
      </w:r>
      <w:r>
        <w:rPr>
          <w:rFonts w:hint="eastAsia" w:ascii="宋体" w:hAnsi="宋体" w:eastAsia="宋体" w:cs="宋体"/>
          <w:color w:val="000000" w:themeColor="text1"/>
          <w:sz w:val="24"/>
          <w:szCs w:val="24"/>
          <w14:textFill>
            <w14:solidFill>
              <w14:schemeClr w14:val="tx1"/>
            </w14:solidFill>
          </w14:textFill>
        </w:rPr>
        <w:t>用A4幅面纸张</w:t>
      </w:r>
      <w:r>
        <w:rPr>
          <w:rFonts w:hint="eastAsia" w:ascii="宋体" w:hAnsi="宋体" w:eastAsia="宋体" w:cs="宋体"/>
          <w:color w:val="000000" w:themeColor="text1"/>
          <w:sz w:val="24"/>
          <w14:textFill>
            <w14:solidFill>
              <w14:schemeClr w14:val="tx1"/>
            </w14:solidFill>
          </w14:textFill>
        </w:rPr>
        <w:t>打印或用不褪色的蓝(黑)色墨水(汁)书写,并由供应商</w:t>
      </w:r>
      <w:r>
        <w:rPr>
          <w:rFonts w:hint="eastAsia" w:ascii="宋体" w:hAnsi="宋体" w:eastAsia="宋体" w:cs="宋体"/>
          <w:color w:val="000000" w:themeColor="text1"/>
          <w:sz w:val="24"/>
          <w:lang w:eastAsia="zh-CN"/>
          <w14:textFill>
            <w14:solidFill>
              <w14:schemeClr w14:val="tx1"/>
            </w14:solidFill>
          </w14:textFill>
        </w:rPr>
        <w:t>法定代表人</w:t>
      </w:r>
      <w:r>
        <w:rPr>
          <w:rFonts w:hint="eastAsia" w:ascii="宋体" w:hAnsi="宋体" w:eastAsia="宋体" w:cs="宋体"/>
          <w:color w:val="000000" w:themeColor="text1"/>
          <w:sz w:val="24"/>
          <w14:textFill>
            <w14:solidFill>
              <w14:schemeClr w14:val="tx1"/>
            </w14:solidFill>
          </w14:textFill>
        </w:rPr>
        <w:t>或经</w:t>
      </w:r>
      <w:r>
        <w:rPr>
          <w:rFonts w:hint="eastAsia" w:ascii="宋体" w:hAnsi="宋体" w:eastAsia="宋体" w:cs="宋体"/>
          <w:color w:val="000000" w:themeColor="text1"/>
          <w:sz w:val="24"/>
          <w:lang w:eastAsia="zh-CN"/>
          <w14:textFill>
            <w14:solidFill>
              <w14:schemeClr w14:val="tx1"/>
            </w14:solidFill>
          </w14:textFill>
        </w:rPr>
        <w:t>法定代表人</w:t>
      </w:r>
      <w:r>
        <w:rPr>
          <w:rFonts w:hint="eastAsia" w:ascii="宋体" w:hAnsi="宋体" w:eastAsia="宋体" w:cs="宋体"/>
          <w:color w:val="000000" w:themeColor="text1"/>
          <w:sz w:val="24"/>
          <w14:textFill>
            <w14:solidFill>
              <w14:schemeClr w14:val="tx1"/>
            </w14:solidFill>
          </w14:textFill>
        </w:rPr>
        <w:t>正式授权的代表签字。</w:t>
      </w:r>
      <w:r>
        <w:rPr>
          <w:rFonts w:hint="eastAsia" w:ascii="宋体" w:hAnsi="宋体" w:eastAsia="宋体" w:cs="宋体"/>
          <w:color w:val="000000" w:themeColor="text1"/>
          <w:sz w:val="24"/>
          <w:szCs w:val="24"/>
          <w14:textFill>
            <w14:solidFill>
              <w14:schemeClr w14:val="tx1"/>
            </w14:solidFill>
          </w14:textFill>
        </w:rPr>
        <w:t>竞争性磋商响应</w:t>
      </w:r>
      <w:r>
        <w:rPr>
          <w:rFonts w:hint="eastAsia" w:ascii="宋体" w:hAnsi="宋体" w:eastAsia="宋体" w:cs="宋体"/>
          <w:color w:val="000000" w:themeColor="text1"/>
          <w:sz w:val="24"/>
          <w14:textFill>
            <w14:solidFill>
              <w14:schemeClr w14:val="tx1"/>
            </w14:solidFill>
          </w14:textFill>
        </w:rPr>
        <w:t>文件若由授权代表签署，须按</w:t>
      </w:r>
      <w:r>
        <w:rPr>
          <w:rFonts w:hint="eastAsia" w:ascii="宋体" w:hAnsi="宋体" w:eastAsia="宋体" w:cs="宋体"/>
          <w:color w:val="000000" w:themeColor="text1"/>
          <w:sz w:val="24"/>
          <w:szCs w:val="24"/>
          <w14:textFill>
            <w14:solidFill>
              <w14:schemeClr w14:val="tx1"/>
            </w14:solidFill>
          </w14:textFill>
        </w:rPr>
        <w:t>竞争性磋商</w:t>
      </w:r>
      <w:r>
        <w:rPr>
          <w:rFonts w:hint="eastAsia" w:ascii="宋体" w:hAnsi="宋体" w:eastAsia="宋体" w:cs="宋体"/>
          <w:color w:val="000000" w:themeColor="text1"/>
          <w:sz w:val="24"/>
          <w14:textFill>
            <w14:solidFill>
              <w14:schemeClr w14:val="tx1"/>
            </w14:solidFill>
          </w14:textFill>
        </w:rPr>
        <w:t>文件规定的格式提供的“</w:t>
      </w:r>
      <w:r>
        <w:rPr>
          <w:rFonts w:hint="eastAsia" w:ascii="宋体" w:hAnsi="宋体" w:eastAsia="宋体" w:cs="宋体"/>
          <w:color w:val="000000" w:themeColor="text1"/>
          <w:sz w:val="24"/>
          <w:lang w:eastAsia="zh-CN"/>
          <w14:textFill>
            <w14:solidFill>
              <w14:schemeClr w14:val="tx1"/>
            </w14:solidFill>
          </w14:textFill>
        </w:rPr>
        <w:t>法定代表人</w:t>
      </w:r>
      <w:r>
        <w:rPr>
          <w:rFonts w:hint="eastAsia" w:ascii="宋体" w:hAnsi="宋体" w:eastAsia="宋体" w:cs="宋体"/>
          <w:color w:val="000000" w:themeColor="text1"/>
          <w:sz w:val="24"/>
          <w14:textFill>
            <w14:solidFill>
              <w14:schemeClr w14:val="tx1"/>
            </w14:solidFill>
          </w14:textFill>
        </w:rPr>
        <w:t>授权委托书”原件附在</w:t>
      </w:r>
      <w:r>
        <w:rPr>
          <w:rFonts w:hint="eastAsia" w:ascii="宋体" w:hAnsi="宋体" w:eastAsia="宋体" w:cs="宋体"/>
          <w:color w:val="000000" w:themeColor="text1"/>
          <w:sz w:val="24"/>
          <w:szCs w:val="24"/>
          <w14:textFill>
            <w14:solidFill>
              <w14:schemeClr w14:val="tx1"/>
            </w14:solidFill>
          </w14:textFill>
        </w:rPr>
        <w:t>竞争性磋商响应</w:t>
      </w:r>
      <w:r>
        <w:rPr>
          <w:rFonts w:hint="eastAsia" w:ascii="宋体" w:hAnsi="宋体" w:eastAsia="宋体" w:cs="宋体"/>
          <w:color w:val="000000" w:themeColor="text1"/>
          <w:sz w:val="24"/>
          <w14:textFill>
            <w14:solidFill>
              <w14:schemeClr w14:val="tx1"/>
            </w14:solidFill>
          </w14:textFill>
        </w:rPr>
        <w:t>文件中。所有要求签字（名）处，均须由签字（名）者本人用不褪色的蓝(黑)色墨水(汁)书写，不得用任何形式的图章代替。</w:t>
      </w:r>
      <w:r>
        <w:rPr>
          <w:rFonts w:hint="eastAsia" w:ascii="宋体" w:hAnsi="宋体" w:eastAsia="宋体" w:cs="宋体"/>
          <w:color w:val="000000" w:themeColor="text1"/>
          <w:sz w:val="24"/>
          <w:szCs w:val="24"/>
          <w14:textFill>
            <w14:solidFill>
              <w14:schemeClr w14:val="tx1"/>
            </w14:solidFill>
          </w14:textFill>
        </w:rPr>
        <w:t>竞争性磋商响应</w:t>
      </w:r>
      <w:r>
        <w:rPr>
          <w:rFonts w:hint="eastAsia" w:ascii="宋体" w:hAnsi="宋体" w:eastAsia="宋体" w:cs="宋体"/>
          <w:color w:val="000000" w:themeColor="text1"/>
          <w:sz w:val="24"/>
          <w14:textFill>
            <w14:solidFill>
              <w14:schemeClr w14:val="tx1"/>
            </w14:solidFill>
          </w14:textFill>
        </w:rPr>
        <w:t>文件正本须逐页加盖供应商公章。所有</w:t>
      </w:r>
      <w:r>
        <w:rPr>
          <w:rFonts w:hint="eastAsia" w:ascii="宋体" w:hAnsi="宋体" w:eastAsia="宋体" w:cs="宋体"/>
          <w:color w:val="000000" w:themeColor="text1"/>
          <w:sz w:val="24"/>
          <w:szCs w:val="24"/>
          <w14:textFill>
            <w14:solidFill>
              <w14:schemeClr w14:val="tx1"/>
            </w14:solidFill>
          </w14:textFill>
        </w:rPr>
        <w:t>竞争性磋商响应</w:t>
      </w:r>
      <w:r>
        <w:rPr>
          <w:rFonts w:hint="eastAsia" w:ascii="宋体" w:hAnsi="宋体" w:eastAsia="宋体" w:cs="宋体"/>
          <w:color w:val="000000" w:themeColor="text1"/>
          <w:sz w:val="24"/>
          <w14:textFill>
            <w14:solidFill>
              <w14:schemeClr w14:val="tx1"/>
            </w14:solidFill>
          </w14:textFill>
        </w:rPr>
        <w:t>文件正本和副本须按规定的顺序编排、逐页标注连续页码，并统一装订（胶装）成册。</w:t>
      </w:r>
      <w:r>
        <w:rPr>
          <w:rFonts w:hint="eastAsia" w:ascii="宋体" w:hAnsi="宋体" w:eastAsia="宋体" w:cs="宋体"/>
          <w:color w:val="000000" w:themeColor="text1"/>
          <w:sz w:val="24"/>
          <w:szCs w:val="24"/>
          <w14:textFill>
            <w14:solidFill>
              <w14:schemeClr w14:val="tx1"/>
            </w14:solidFill>
          </w14:textFill>
        </w:rPr>
        <w:t>正本和副本如有不一致之处，以正本为准，数字大写与小写不一致时，以大写为准。</w:t>
      </w:r>
    </w:p>
    <w:p w14:paraId="6ED5E0BC">
      <w:pPr>
        <w:shd w:val="clear"/>
        <w:adjustRightInd w:val="0"/>
        <w:snapToGrid w:val="0"/>
        <w:spacing w:line="360" w:lineRule="auto"/>
        <w:ind w:left="597" w:leftChars="0" w:hanging="597" w:hangingChars="24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 xml:space="preserve"> 除供应商对错处作必要修改外，</w:t>
      </w:r>
      <w:r>
        <w:rPr>
          <w:rFonts w:hint="eastAsia" w:ascii="宋体" w:hAnsi="宋体" w:eastAsia="宋体" w:cs="宋体"/>
          <w:color w:val="000000" w:themeColor="text1"/>
          <w:sz w:val="24"/>
          <w:szCs w:val="24"/>
          <w14:textFill>
            <w14:solidFill>
              <w14:schemeClr w14:val="tx1"/>
            </w14:solidFill>
          </w14:textFill>
        </w:rPr>
        <w:t>竞争性磋商响应</w:t>
      </w:r>
      <w:r>
        <w:rPr>
          <w:rFonts w:hint="eastAsia" w:ascii="宋体" w:hAnsi="宋体" w:eastAsia="宋体" w:cs="宋体"/>
          <w:color w:val="000000" w:themeColor="text1"/>
          <w:sz w:val="24"/>
          <w14:textFill>
            <w14:solidFill>
              <w14:schemeClr w14:val="tx1"/>
            </w14:solidFill>
          </w14:textFill>
        </w:rPr>
        <w:t>文件中不许有加行、涂抹或改写。若有修改须由授权代表或</w:t>
      </w:r>
      <w:r>
        <w:rPr>
          <w:rFonts w:hint="eastAsia" w:ascii="宋体" w:hAnsi="宋体" w:eastAsia="宋体" w:cs="宋体"/>
          <w:color w:val="000000" w:themeColor="text1"/>
          <w:sz w:val="24"/>
          <w:lang w:eastAsia="zh-CN"/>
          <w14:textFill>
            <w14:solidFill>
              <w14:schemeClr w14:val="tx1"/>
            </w14:solidFill>
          </w14:textFill>
        </w:rPr>
        <w:t>法定代表人</w:t>
      </w:r>
      <w:r>
        <w:rPr>
          <w:rFonts w:hint="eastAsia" w:ascii="宋体" w:hAnsi="宋体" w:eastAsia="宋体" w:cs="宋体"/>
          <w:color w:val="000000" w:themeColor="text1"/>
          <w:sz w:val="24"/>
          <w14:textFill>
            <w14:solidFill>
              <w14:schemeClr w14:val="tx1"/>
            </w14:solidFill>
          </w14:textFill>
        </w:rPr>
        <w:t>在修改处签字。</w:t>
      </w:r>
    </w:p>
    <w:p w14:paraId="446179D1">
      <w:pPr>
        <w:shd w:val="clear"/>
        <w:spacing w:line="360" w:lineRule="auto"/>
        <w:ind w:left="597" w:leftChars="0" w:hanging="597" w:hangingChars="24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供应商</w:t>
      </w:r>
      <w:r>
        <w:rPr>
          <w:rFonts w:hint="eastAsia" w:ascii="宋体" w:hAnsi="宋体" w:eastAsia="宋体" w:cs="宋体"/>
          <w:color w:val="000000" w:themeColor="text1"/>
          <w:sz w:val="24"/>
          <w:szCs w:val="22"/>
          <w14:textFill>
            <w14:solidFill>
              <w14:schemeClr w14:val="tx1"/>
            </w14:solidFill>
          </w14:textFill>
        </w:rPr>
        <w:t>名称应填写全称，</w:t>
      </w:r>
      <w:r>
        <w:rPr>
          <w:rFonts w:hint="eastAsia" w:ascii="宋体" w:hAnsi="宋体" w:eastAsia="宋体" w:cs="宋体"/>
          <w:color w:val="000000" w:themeColor="text1"/>
          <w:sz w:val="24"/>
          <w:szCs w:val="24"/>
          <w14:textFill>
            <w14:solidFill>
              <w14:schemeClr w14:val="tx1"/>
            </w14:solidFill>
          </w14:textFill>
        </w:rPr>
        <w:t>竞争性磋商响应</w:t>
      </w:r>
      <w:r>
        <w:rPr>
          <w:rFonts w:hint="eastAsia" w:ascii="宋体" w:hAnsi="宋体" w:eastAsia="宋体" w:cs="宋体"/>
          <w:color w:val="000000" w:themeColor="text1"/>
          <w:sz w:val="24"/>
          <w:szCs w:val="22"/>
          <w14:textFill>
            <w14:solidFill>
              <w14:schemeClr w14:val="tx1"/>
            </w14:solidFill>
          </w14:textFill>
        </w:rPr>
        <w:t>文件正本必须逐页加盖</w:t>
      </w:r>
      <w:r>
        <w:rPr>
          <w:rFonts w:hint="eastAsia" w:ascii="宋体" w:hAnsi="宋体" w:eastAsia="宋体" w:cs="宋体"/>
          <w:color w:val="000000" w:themeColor="text1"/>
          <w:sz w:val="24"/>
          <w14:textFill>
            <w14:solidFill>
              <w14:schemeClr w14:val="tx1"/>
            </w14:solidFill>
          </w14:textFill>
        </w:rPr>
        <w:t>供应商</w:t>
      </w:r>
      <w:r>
        <w:rPr>
          <w:rFonts w:hint="eastAsia" w:ascii="宋体" w:hAnsi="宋体" w:eastAsia="宋体" w:cs="宋体"/>
          <w:color w:val="000000" w:themeColor="text1"/>
          <w:sz w:val="24"/>
          <w:szCs w:val="22"/>
          <w14:textFill>
            <w14:solidFill>
              <w14:schemeClr w14:val="tx1"/>
            </w14:solidFill>
          </w14:textFill>
        </w:rPr>
        <w:t>公章，</w:t>
      </w:r>
      <w:r>
        <w:rPr>
          <w:rFonts w:hint="eastAsia" w:ascii="宋体" w:hAnsi="宋体" w:eastAsia="宋体" w:cs="宋体"/>
          <w:color w:val="000000" w:themeColor="text1"/>
          <w:sz w:val="24"/>
          <w:szCs w:val="24"/>
          <w14:textFill>
            <w14:solidFill>
              <w14:schemeClr w14:val="tx1"/>
            </w14:solidFill>
          </w14:textFill>
        </w:rPr>
        <w:t>竞争性磋商响应</w:t>
      </w:r>
      <w:r>
        <w:rPr>
          <w:rFonts w:hint="eastAsia" w:ascii="宋体" w:hAnsi="宋体" w:eastAsia="宋体" w:cs="宋体"/>
          <w:color w:val="000000" w:themeColor="text1"/>
          <w:sz w:val="24"/>
          <w:szCs w:val="22"/>
          <w14:textFill>
            <w14:solidFill>
              <w14:schemeClr w14:val="tx1"/>
            </w14:solidFill>
          </w14:textFill>
        </w:rPr>
        <w:t>文件需加盖骑缝章</w:t>
      </w:r>
      <w:r>
        <w:rPr>
          <w:rFonts w:hint="eastAsia" w:ascii="宋体" w:hAnsi="宋体" w:eastAsia="宋体" w:cs="宋体"/>
          <w:color w:val="000000" w:themeColor="text1"/>
          <w:sz w:val="24"/>
          <w:szCs w:val="24"/>
          <w14:textFill>
            <w14:solidFill>
              <w14:schemeClr w14:val="tx1"/>
            </w14:solidFill>
          </w14:textFill>
        </w:rPr>
        <w:t>。</w:t>
      </w:r>
    </w:p>
    <w:p w14:paraId="21A4ED91">
      <w:pPr>
        <w:pStyle w:val="45"/>
        <w:shd w:val="clear"/>
        <w:spacing w:line="360" w:lineRule="auto"/>
        <w:ind w:firstLine="723" w:firstLineChars="200"/>
        <w:outlineLvl w:val="2"/>
        <w:rPr>
          <w:rFonts w:hint="eastAsia" w:ascii="宋体" w:hAnsi="宋体" w:eastAsia="宋体" w:cs="宋体"/>
          <w:b/>
          <w:bCs w:val="0"/>
          <w:color w:val="000000" w:themeColor="text1"/>
          <w:kern w:val="2"/>
          <w:sz w:val="36"/>
          <w:szCs w:val="32"/>
          <w:lang w:val="en-US" w:eastAsia="zh-CN" w:bidi="ar-SA"/>
          <w14:textFill>
            <w14:solidFill>
              <w14:schemeClr w14:val="tx1"/>
            </w14:solidFill>
          </w14:textFill>
        </w:rPr>
      </w:pPr>
      <w:bookmarkStart w:id="80" w:name="_Toc510859689"/>
      <w:bookmarkStart w:id="81" w:name="_Toc179632573"/>
      <w:bookmarkStart w:id="82" w:name="_Toc510859895"/>
      <w:bookmarkStart w:id="83" w:name="_Toc363119281"/>
      <w:bookmarkStart w:id="84" w:name="_Toc14109"/>
      <w:bookmarkStart w:id="85" w:name="_Toc513557030"/>
      <w:bookmarkStart w:id="86" w:name="_Toc152045555"/>
      <w:bookmarkStart w:id="87" w:name="_Toc152042331"/>
      <w:bookmarkStart w:id="88" w:name="_Toc144974523"/>
      <w:bookmarkStart w:id="89" w:name="_Toc24637"/>
      <w:bookmarkStart w:id="90" w:name="_Toc4451"/>
      <w:bookmarkStart w:id="91" w:name="_Toc10897"/>
      <w:bookmarkStart w:id="92" w:name="_Toc13782"/>
      <w:r>
        <w:rPr>
          <w:rFonts w:hint="eastAsia" w:ascii="宋体" w:hAnsi="宋体" w:eastAsia="宋体" w:cs="宋体"/>
          <w:b/>
          <w:bCs w:val="0"/>
          <w:color w:val="000000" w:themeColor="text1"/>
          <w:kern w:val="2"/>
          <w:sz w:val="36"/>
          <w:szCs w:val="32"/>
          <w:lang w:val="en-US" w:eastAsia="zh-CN" w:bidi="ar-SA"/>
          <w14:textFill>
            <w14:solidFill>
              <w14:schemeClr w14:val="tx1"/>
            </w14:solidFill>
          </w14:textFill>
        </w:rPr>
        <w:t xml:space="preserve">D </w:t>
      </w:r>
      <w:bookmarkEnd w:id="80"/>
      <w:bookmarkEnd w:id="81"/>
      <w:bookmarkEnd w:id="82"/>
      <w:bookmarkEnd w:id="83"/>
      <w:bookmarkEnd w:id="84"/>
      <w:bookmarkEnd w:id="85"/>
      <w:bookmarkEnd w:id="86"/>
      <w:bookmarkEnd w:id="87"/>
      <w:bookmarkEnd w:id="88"/>
      <w:r>
        <w:rPr>
          <w:rFonts w:hint="eastAsia" w:ascii="宋体" w:hAnsi="宋体" w:eastAsia="宋体" w:cs="宋体"/>
          <w:b/>
          <w:bCs w:val="0"/>
          <w:color w:val="000000" w:themeColor="text1"/>
          <w:kern w:val="2"/>
          <w:sz w:val="36"/>
          <w:szCs w:val="32"/>
          <w:lang w:val="en-US" w:eastAsia="zh-CN" w:bidi="ar-SA"/>
          <w14:textFill>
            <w14:solidFill>
              <w14:schemeClr w14:val="tx1"/>
            </w14:solidFill>
          </w14:textFill>
        </w:rPr>
        <w:t>竞争性磋商响应文件的提交</w:t>
      </w:r>
      <w:bookmarkEnd w:id="89"/>
      <w:bookmarkEnd w:id="90"/>
      <w:bookmarkEnd w:id="91"/>
      <w:bookmarkEnd w:id="92"/>
    </w:p>
    <w:p w14:paraId="23019B91">
      <w:pPr>
        <w:pStyle w:val="6"/>
        <w:shd w:val="clear"/>
        <w:rPr>
          <w:rFonts w:hint="eastAsia" w:ascii="宋体" w:hAnsi="宋体" w:eastAsia="宋体" w:cs="宋体"/>
          <w:color w:val="000000" w:themeColor="text1"/>
          <w14:textFill>
            <w14:solidFill>
              <w14:schemeClr w14:val="tx1"/>
            </w14:solidFill>
          </w14:textFill>
        </w:rPr>
      </w:pPr>
      <w:bookmarkStart w:id="93" w:name="_Toc179632574"/>
      <w:bookmarkStart w:id="94" w:name="_Toc152045556"/>
      <w:bookmarkStart w:id="95" w:name="_Toc152042332"/>
      <w:bookmarkStart w:id="96" w:name="_Toc144974524"/>
      <w:r>
        <w:rPr>
          <w:rFonts w:hint="eastAsia" w:ascii="宋体" w:hAnsi="宋体" w:eastAsia="宋体" w:cs="宋体"/>
          <w:color w:val="000000" w:themeColor="text1"/>
          <w:lang w:val="en-US" w:eastAsia="zh-CN"/>
          <w14:textFill>
            <w14:solidFill>
              <w14:schemeClr w14:val="tx1"/>
            </w14:solidFill>
          </w14:textFill>
        </w:rPr>
        <w:t>20</w:t>
      </w:r>
      <w:r>
        <w:rPr>
          <w:rFonts w:hint="eastAsia" w:ascii="宋体" w:hAnsi="宋体" w:eastAsia="宋体" w:cs="宋体"/>
          <w:color w:val="000000" w:themeColor="text1"/>
          <w14:textFill>
            <w14:solidFill>
              <w14:schemeClr w14:val="tx1"/>
            </w14:solidFill>
          </w14:textFill>
        </w:rPr>
        <w:t>、竞争性磋商响应文件的数量、密封和标记</w:t>
      </w:r>
      <w:bookmarkEnd w:id="93"/>
      <w:bookmarkEnd w:id="94"/>
      <w:bookmarkEnd w:id="95"/>
      <w:bookmarkEnd w:id="96"/>
    </w:p>
    <w:p w14:paraId="57C80E8A">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20.1</w:t>
      </w:r>
      <w:r>
        <w:rPr>
          <w:rFonts w:hint="eastAsia" w:ascii="宋体" w:hAnsi="宋体" w:eastAsia="宋体" w:cs="宋体"/>
          <w:bCs/>
          <w:color w:val="000000" w:themeColor="text1"/>
          <w:sz w:val="24"/>
          <w14:textFill>
            <w14:solidFill>
              <w14:schemeClr w14:val="tx1"/>
            </w14:solidFill>
          </w14:textFill>
        </w:rPr>
        <w:t>供应商应提交正本壹份、副本贰份、</w:t>
      </w:r>
      <w:r>
        <w:rPr>
          <w:rFonts w:hint="eastAsia" w:ascii="宋体" w:hAnsi="宋体" w:eastAsia="宋体" w:cs="宋体"/>
          <w:color w:val="000000" w:themeColor="text1"/>
          <w:sz w:val="24"/>
          <w:highlight w:val="none"/>
          <w14:textFill>
            <w14:solidFill>
              <w14:schemeClr w14:val="tx1"/>
            </w14:solidFill>
          </w14:textFill>
        </w:rPr>
        <w:t>电子文件（</w:t>
      </w:r>
      <w:r>
        <w:rPr>
          <w:rFonts w:hint="eastAsia" w:ascii="宋体" w:hAnsi="宋体" w:eastAsia="宋体" w:cs="宋体"/>
          <w:bCs/>
          <w:color w:val="000000" w:themeColor="text1"/>
          <w:sz w:val="24"/>
          <w:szCs w:val="24"/>
          <w14:textFill>
            <w14:solidFill>
              <w14:schemeClr w14:val="tx1"/>
            </w14:solidFill>
          </w14:textFill>
        </w:rPr>
        <w:t>word文件U盘</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Cs/>
          <w:color w:val="000000" w:themeColor="text1"/>
          <w:sz w:val="24"/>
          <w:lang w:val="en-US" w:eastAsia="zh-CN"/>
          <w14:textFill>
            <w14:solidFill>
              <w14:schemeClr w14:val="tx1"/>
            </w14:solidFill>
          </w14:textFill>
        </w:rPr>
        <w:t>贰</w:t>
      </w:r>
      <w:r>
        <w:rPr>
          <w:rFonts w:hint="eastAsia" w:ascii="宋体" w:hAnsi="宋体" w:eastAsia="宋体" w:cs="宋体"/>
          <w:color w:val="000000" w:themeColor="text1"/>
          <w:sz w:val="24"/>
          <w:highlight w:val="none"/>
          <w14:textFill>
            <w14:solidFill>
              <w14:schemeClr w14:val="tx1"/>
            </w14:solidFill>
          </w14:textFill>
        </w:rPr>
        <w:t>份</w:t>
      </w:r>
      <w:r>
        <w:rPr>
          <w:rFonts w:hint="eastAsia" w:ascii="宋体" w:hAnsi="宋体" w:eastAsia="宋体" w:cs="宋体"/>
          <w:bCs/>
          <w:color w:val="000000" w:themeColor="text1"/>
          <w:sz w:val="24"/>
          <w14:textFill>
            <w14:solidFill>
              <w14:schemeClr w14:val="tx1"/>
            </w14:solidFill>
          </w14:textFill>
        </w:rPr>
        <w:t>。</w:t>
      </w:r>
    </w:p>
    <w:p w14:paraId="1BFC5F1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97" w:name="_Toc144974526"/>
      <w:bookmarkStart w:id="98" w:name="_Toc152045558"/>
      <w:bookmarkStart w:id="99" w:name="_Toc179632576"/>
      <w:bookmarkStart w:id="100" w:name="_Toc152042334"/>
      <w:r>
        <w:rPr>
          <w:rFonts w:hint="eastAsia" w:ascii="宋体" w:hAnsi="宋体" w:eastAsia="宋体" w:cs="宋体"/>
          <w:color w:val="000000" w:themeColor="text1"/>
          <w:sz w:val="24"/>
          <w:szCs w:val="24"/>
          <w:highlight w:val="none"/>
          <w:lang w:val="en-US" w:eastAsia="zh-CN"/>
          <w14:textFill>
            <w14:solidFill>
              <w14:schemeClr w14:val="tx1"/>
            </w14:solidFill>
          </w14:textFill>
        </w:rPr>
        <w:t>20.2</w:t>
      </w:r>
      <w:r>
        <w:rPr>
          <w:rFonts w:hint="eastAsia" w:ascii="宋体" w:hAnsi="宋体" w:eastAsia="宋体" w:cs="宋体"/>
          <w:color w:val="000000" w:themeColor="text1"/>
          <w:sz w:val="24"/>
          <w:szCs w:val="24"/>
          <w14:textFill>
            <w14:solidFill>
              <w14:schemeClr w14:val="tx1"/>
            </w14:solidFill>
          </w14:textFill>
        </w:rPr>
        <w:t>本项目采用电子响应文件的形式。编制电子响应文件时，应使用最新发布的电子</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文件及专用制作工具进行编制。并使用数字认证证书（CA 锁）对电子响应文件进行签章、加密、递交及开标时解密等相关招投标事宜。</w:t>
      </w:r>
    </w:p>
    <w:p w14:paraId="2D74DB4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20.1.1</w:t>
      </w:r>
      <w:r>
        <w:rPr>
          <w:rFonts w:hint="eastAsia" w:ascii="宋体" w:hAnsi="宋体" w:eastAsia="宋体" w:cs="宋体"/>
          <w:color w:val="000000" w:themeColor="text1"/>
          <w:sz w:val="24"/>
          <w:szCs w:val="24"/>
          <w14:textFill>
            <w14:solidFill>
              <w14:schemeClr w14:val="tx1"/>
            </w14:solidFill>
          </w14:textFill>
        </w:rPr>
        <w:t>电子</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文件下载。供应商登录全国公共资源交易平台（陕西省） 网站〖首页·〉电子交易平台·〉企业端〗后，在〖</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公告/出让公告〗 模块中选择项目点击“我要投标”，参与投标活动。然后即可在〖我的项 目〗中点击“项目流程&gt;交易文件下载”下载电子</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 xml:space="preserve">文件。 </w:t>
      </w:r>
    </w:p>
    <w:p w14:paraId="478E565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20.1.</w:t>
      </w:r>
      <w:r>
        <w:rPr>
          <w:rFonts w:hint="eastAsia" w:ascii="宋体" w:hAnsi="宋体" w:eastAsia="宋体" w:cs="宋体"/>
          <w:color w:val="000000" w:themeColor="text1"/>
          <w:sz w:val="24"/>
          <w:szCs w:val="24"/>
          <w14:textFill>
            <w14:solidFill>
              <w14:schemeClr w14:val="tx1"/>
            </w14:solidFill>
          </w14:textFill>
        </w:rPr>
        <w:t>2电子</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文件需要使用专用软件打开、浏览。供应商可在全国公共 资源交易平台（陕西省）网站〖首页·〉服务指南·〉下载专区〗免费下载“陕西省公共资源交易平台政府采购电子标书制作工具(V8.0.0.2)”，并 升级至最新版本，使用该客户端可以打开电子</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文件。软件操作手册详见全国公共资源交易平台（陕西省）网站〖首页·〉服务指南·〉下载专区〗中的《陕西省公共资源交易（政府采购类）响应文件制作软件操作手册》。</w:t>
      </w:r>
    </w:p>
    <w:p w14:paraId="0478D50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20.1.</w:t>
      </w:r>
      <w:r>
        <w:rPr>
          <w:rFonts w:hint="eastAsia" w:ascii="宋体" w:hAnsi="宋体" w:eastAsia="宋体" w:cs="宋体"/>
          <w:color w:val="000000" w:themeColor="text1"/>
          <w:sz w:val="24"/>
          <w:szCs w:val="24"/>
          <w14:textFill>
            <w14:solidFill>
              <w14:schemeClr w14:val="tx1"/>
            </w14:solidFill>
          </w14:textFill>
        </w:rPr>
        <w:t xml:space="preserve">3制作电子响应文件。电子响应文件同样需要使用上述软件进行编制。 在编制过程中，如有技术性问题，请先翻阅操作手册，或致电软件开发商。 </w:t>
      </w:r>
    </w:p>
    <w:p w14:paraId="0498178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技术支持热线：4009280095、4009980000 </w:t>
      </w:r>
    </w:p>
    <w:p w14:paraId="70A55DD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CA锁购买：榆林市市民大厦四楼窗口,电话：0912-3515031</w:t>
      </w:r>
    </w:p>
    <w:p w14:paraId="0D2CAB73">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21．竞争性磋商响应文件的递交</w:t>
      </w:r>
    </w:p>
    <w:p w14:paraId="476F82B0">
      <w:pPr>
        <w:keepNext w:val="0"/>
        <w:keepLines w:val="0"/>
        <w:pageBreakBefore w:val="0"/>
        <w:widowControl w:val="0"/>
        <w:shd w:val="clear"/>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21.1.</w:t>
      </w:r>
      <w:r>
        <w:rPr>
          <w:rFonts w:hint="eastAsia" w:ascii="宋体" w:hAnsi="宋体" w:eastAsia="宋体" w:cs="宋体"/>
          <w:color w:val="000000" w:themeColor="text1"/>
          <w:sz w:val="24"/>
          <w:szCs w:val="24"/>
          <w:lang w:eastAsia="zh-CN"/>
          <w14:textFill>
            <w14:solidFill>
              <w14:schemeClr w14:val="tx1"/>
            </w14:solidFill>
          </w14:textFill>
        </w:rPr>
        <w:t>纸质版</w:t>
      </w:r>
      <w:r>
        <w:rPr>
          <w:rFonts w:hint="eastAsia" w:ascii="宋体" w:hAnsi="宋体" w:eastAsia="宋体" w:cs="宋体"/>
          <w:color w:val="000000" w:themeColor="text1"/>
          <w:sz w:val="24"/>
          <w:szCs w:val="24"/>
          <w:lang w:val="en-US" w:eastAsia="zh-CN"/>
          <w14:textFill>
            <w14:solidFill>
              <w14:schemeClr w14:val="tx1"/>
            </w14:solidFill>
          </w14:textFill>
        </w:rPr>
        <w:t>投标文件的密封和递交</w:t>
      </w:r>
    </w:p>
    <w:p w14:paraId="05370B3B">
      <w:pPr>
        <w:keepNext w:val="0"/>
        <w:keepLines w:val="0"/>
        <w:pageBreakBefore w:val="0"/>
        <w:widowControl w:val="0"/>
        <w:shd w:val="clear"/>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应将</w:t>
      </w:r>
      <w:r>
        <w:rPr>
          <w:rFonts w:hint="eastAsia" w:ascii="宋体" w:hAnsi="宋体" w:eastAsia="宋体" w:cs="宋体"/>
          <w:color w:val="000000" w:themeColor="text1"/>
          <w:sz w:val="24"/>
          <w:szCs w:val="24"/>
          <w:lang w:eastAsia="zh-CN"/>
          <w14:textFill>
            <w14:solidFill>
              <w14:schemeClr w14:val="tx1"/>
            </w14:solidFill>
          </w14:textFill>
        </w:rPr>
        <w:t>投标文</w:t>
      </w:r>
      <w:r>
        <w:rPr>
          <w:rFonts w:hint="eastAsia" w:ascii="宋体" w:hAnsi="宋体" w:eastAsia="宋体" w:cs="宋体"/>
          <w:color w:val="000000" w:themeColor="text1"/>
          <w:sz w:val="24"/>
          <w:szCs w:val="24"/>
          <w14:textFill>
            <w14:solidFill>
              <w14:schemeClr w14:val="tx1"/>
            </w14:solidFill>
          </w14:textFill>
        </w:rPr>
        <w:t>件正本、所有的副本密封装在</w:t>
      </w:r>
      <w:r>
        <w:rPr>
          <w:rFonts w:hint="eastAsia" w:ascii="宋体" w:hAnsi="宋体" w:eastAsia="宋体" w:cs="宋体"/>
          <w:color w:val="000000" w:themeColor="text1"/>
          <w:sz w:val="24"/>
          <w:szCs w:val="24"/>
          <w:lang w:val="en-US" w:eastAsia="zh-CN"/>
          <w14:textFill>
            <w14:solidFill>
              <w14:schemeClr w14:val="tx1"/>
            </w14:solidFill>
          </w14:textFill>
        </w:rPr>
        <w:t>同一密</w:t>
      </w:r>
      <w:r>
        <w:rPr>
          <w:rFonts w:hint="eastAsia" w:ascii="宋体" w:hAnsi="宋体" w:eastAsia="宋体" w:cs="宋体"/>
          <w:color w:val="000000" w:themeColor="text1"/>
          <w:sz w:val="24"/>
          <w:szCs w:val="24"/>
          <w14:textFill>
            <w14:solidFill>
              <w14:schemeClr w14:val="tx1"/>
            </w14:solidFill>
          </w14:textFill>
        </w:rPr>
        <w:t>封袋中（封袋不得有破损）</w:t>
      </w:r>
      <w:r>
        <w:rPr>
          <w:rFonts w:hint="eastAsia" w:ascii="宋体" w:hAnsi="宋体" w:eastAsia="宋体" w:cs="宋体"/>
          <w:color w:val="000000" w:themeColor="text1"/>
          <w:sz w:val="24"/>
          <w:szCs w:val="24"/>
          <w:lang w:eastAsia="zh-CN"/>
          <w14:textFill>
            <w14:solidFill>
              <w14:schemeClr w14:val="tx1"/>
            </w14:solidFill>
          </w14:textFill>
        </w:rPr>
        <w:t>递交</w:t>
      </w:r>
      <w:r>
        <w:rPr>
          <w:rFonts w:hint="eastAsia" w:ascii="宋体" w:hAnsi="宋体" w:eastAsia="宋体" w:cs="宋体"/>
          <w:color w:val="000000" w:themeColor="text1"/>
          <w:sz w:val="24"/>
          <w:szCs w:val="24"/>
          <w14:textFill>
            <w14:solidFill>
              <w14:schemeClr w14:val="tx1"/>
            </w14:solidFill>
          </w14:textFill>
        </w:rPr>
        <w:t>。</w:t>
      </w:r>
    </w:p>
    <w:p w14:paraId="6585FDF5">
      <w:pPr>
        <w:keepNext w:val="0"/>
        <w:keepLines w:val="0"/>
        <w:pageBreakBefore w:val="0"/>
        <w:widowControl w:val="0"/>
        <w:shd w:val="clear"/>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21.2投标文件的递交</w:t>
      </w:r>
    </w:p>
    <w:p w14:paraId="2D4B0A57">
      <w:pPr>
        <w:keepNext w:val="0"/>
        <w:keepLines w:val="0"/>
        <w:pageBreakBefore w:val="0"/>
        <w:widowControl w:val="0"/>
        <w:shd w:val="clear"/>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21.2.1</w:t>
      </w:r>
      <w:r>
        <w:rPr>
          <w:rFonts w:hint="eastAsia" w:ascii="宋体" w:hAnsi="宋体" w:eastAsia="宋体" w:cs="宋体"/>
          <w:color w:val="000000" w:themeColor="text1"/>
          <w:sz w:val="24"/>
          <w:szCs w:val="24"/>
          <w14:textFill>
            <w14:solidFill>
              <w14:schemeClr w14:val="tx1"/>
            </w14:solidFill>
          </w14:textFill>
        </w:rPr>
        <w:t>本项目采用</w:t>
      </w:r>
      <w:r>
        <w:rPr>
          <w:rFonts w:hint="eastAsia" w:ascii="宋体" w:hAnsi="宋体" w:eastAsia="宋体" w:cs="宋体"/>
          <w:color w:val="000000" w:themeColor="text1"/>
          <w:sz w:val="24"/>
          <w:szCs w:val="24"/>
          <w:lang w:eastAsia="zh-CN"/>
          <w14:textFill>
            <w14:solidFill>
              <w14:schemeClr w14:val="tx1"/>
            </w14:solidFill>
          </w14:textFill>
        </w:rPr>
        <w:t>电子投标文件</w:t>
      </w:r>
      <w:r>
        <w:rPr>
          <w:rFonts w:hint="eastAsia" w:ascii="宋体" w:hAnsi="宋体" w:eastAsia="宋体" w:cs="宋体"/>
          <w:color w:val="000000" w:themeColor="text1"/>
          <w:sz w:val="24"/>
          <w:szCs w:val="24"/>
          <w14:textFill>
            <w14:solidFill>
              <w14:schemeClr w14:val="tx1"/>
            </w14:solidFill>
          </w14:textFill>
        </w:rPr>
        <w:t>与纸质</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并行的方式</w:t>
      </w:r>
      <w:r>
        <w:rPr>
          <w:rFonts w:hint="eastAsia" w:ascii="宋体" w:hAnsi="宋体" w:eastAsia="宋体" w:cs="宋体"/>
          <w:color w:val="000000" w:themeColor="text1"/>
          <w:sz w:val="24"/>
          <w:szCs w:val="24"/>
          <w:lang w:eastAsia="zh-CN"/>
          <w14:textFill>
            <w14:solidFill>
              <w14:schemeClr w14:val="tx1"/>
            </w14:solidFill>
          </w14:textFill>
        </w:rPr>
        <w:t>。</w:t>
      </w:r>
    </w:p>
    <w:p w14:paraId="7A7EB5AA">
      <w:pPr>
        <w:keepNext w:val="0"/>
        <w:keepLines w:val="0"/>
        <w:pageBreakBefore w:val="0"/>
        <w:widowControl w:val="0"/>
        <w:shd w:val="clear"/>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2.1.1</w:t>
      </w:r>
      <w:r>
        <w:rPr>
          <w:rFonts w:hint="eastAsia" w:ascii="宋体" w:hAnsi="宋体" w:eastAsia="宋体" w:cs="宋体"/>
          <w:color w:val="000000" w:themeColor="text1"/>
          <w:sz w:val="24"/>
          <w:szCs w:val="24"/>
          <w14:textFill>
            <w14:solidFill>
              <w14:schemeClr w14:val="tx1"/>
            </w14:solidFill>
          </w14:textFill>
        </w:rPr>
        <w:t>电子响应文件可于提交响应文件截止时间前任意时段登录全国公共资源交易平台（陕西省）网站“电子交易平台&gt;企业端”进行提交，逾期系统将拒绝接收。提交时，供应商应登录全国公共资源交易中心平台（陕西省），选择“首页&gt;电子交易平台&gt;企业端&gt;我的项目”，点击“项目流程”，在打开的“项目管理”对话框中选择“上传响应文件”，上传加密的电子响应文件。上传成功后，电子化平台将予以记录。</w:t>
      </w:r>
    </w:p>
    <w:p w14:paraId="65ADE182">
      <w:pPr>
        <w:pStyle w:val="6"/>
        <w:shd w:val="clea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22．响应文件的补充、修改和撤回</w:t>
      </w:r>
    </w:p>
    <w:p w14:paraId="3EEA047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w:t>
      </w:r>
      <w:r>
        <w:rPr>
          <w:rFonts w:hint="eastAsia" w:ascii="宋体" w:hAnsi="宋体" w:eastAsia="宋体" w:cs="宋体"/>
          <w:color w:val="000000" w:themeColor="text1"/>
          <w:sz w:val="24"/>
          <w:szCs w:val="24"/>
          <w14:textFill>
            <w14:solidFill>
              <w14:schemeClr w14:val="tx1"/>
            </w14:solidFill>
          </w14:textFill>
        </w:rPr>
        <w:t>1、供应商在递交响应文件后，且在提交响应文件截止时间前，可以对所提交的响应文件进行补充、修改或撤回。</w:t>
      </w:r>
    </w:p>
    <w:p w14:paraId="3CA13EF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22.2</w:t>
      </w:r>
      <w:r>
        <w:rPr>
          <w:rFonts w:hint="eastAsia" w:ascii="宋体" w:hAnsi="宋体" w:eastAsia="宋体" w:cs="宋体"/>
          <w:color w:val="000000" w:themeColor="text1"/>
          <w:sz w:val="24"/>
          <w:szCs w:val="24"/>
          <w14:textFill>
            <w14:solidFill>
              <w14:schemeClr w14:val="tx1"/>
            </w14:solidFill>
          </w14:textFill>
        </w:rPr>
        <w:t xml:space="preserve">对电子响应文件进行补充、修改的，应先从电子交易平台上撤回旧版，再重新提交新版。 </w:t>
      </w:r>
    </w:p>
    <w:p w14:paraId="241F806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22.3</w:t>
      </w:r>
      <w:r>
        <w:rPr>
          <w:rFonts w:hint="eastAsia" w:ascii="宋体" w:hAnsi="宋体" w:eastAsia="宋体" w:cs="宋体"/>
          <w:color w:val="000000" w:themeColor="text1"/>
          <w:sz w:val="24"/>
          <w:szCs w:val="24"/>
          <w14:textFill>
            <w14:solidFill>
              <w14:schemeClr w14:val="tx1"/>
            </w14:solidFill>
          </w14:textFill>
        </w:rPr>
        <w:t>响应文件提交截止时间后，供应商不得对其响应文件做任何修改</w:t>
      </w:r>
      <w:r>
        <w:rPr>
          <w:rFonts w:hint="eastAsia" w:ascii="宋体" w:hAnsi="宋体" w:eastAsia="宋体" w:cs="宋体"/>
          <w:color w:val="000000" w:themeColor="text1"/>
          <w:sz w:val="24"/>
          <w:szCs w:val="24"/>
          <w:lang w:eastAsia="zh-CN"/>
          <w14:textFill>
            <w14:solidFill>
              <w14:schemeClr w14:val="tx1"/>
            </w14:solidFill>
          </w14:textFill>
        </w:rPr>
        <w:t>。</w:t>
      </w:r>
    </w:p>
    <w:p w14:paraId="1F6D1060">
      <w:pPr>
        <w:pStyle w:val="6"/>
        <w:shd w:val="clea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23.供应商出现下列情况之一的，其响应文件视为无效文件：</w:t>
      </w:r>
    </w:p>
    <w:p w14:paraId="7034C1C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23.1逾期提交电子响应文件；</w:t>
      </w:r>
    </w:p>
    <w:p w14:paraId="200F82B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23.2提交的响应文件与本项目不相符；</w:t>
      </w:r>
    </w:p>
    <w:p w14:paraId="6F35183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23.3供应商拒绝对电子响应文件进行解密；</w:t>
      </w:r>
    </w:p>
    <w:p w14:paraId="2979C99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23.4因供应商自身原因（如未带CA锁、或所带CA锁与制作电子响应文件使用的CA锁不一致、或沿用旧版磋商文件编制响应文件等情形），导致在规定时间内无法解密响应文件；</w:t>
      </w:r>
    </w:p>
    <w:p w14:paraId="68C5C5C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23.5上传的电子响应文件无法打开。</w:t>
      </w:r>
    </w:p>
    <w:bookmarkEnd w:id="97"/>
    <w:bookmarkEnd w:id="98"/>
    <w:bookmarkEnd w:id="99"/>
    <w:bookmarkEnd w:id="100"/>
    <w:p w14:paraId="2D6CE01A">
      <w:pPr>
        <w:pStyle w:val="45"/>
        <w:shd w:val="clear"/>
        <w:spacing w:line="360" w:lineRule="auto"/>
        <w:ind w:firstLine="723" w:firstLineChars="200"/>
        <w:outlineLvl w:val="2"/>
        <w:rPr>
          <w:rFonts w:hint="eastAsia" w:ascii="宋体" w:hAnsi="宋体" w:eastAsia="宋体" w:cs="宋体"/>
          <w:b/>
          <w:bCs w:val="0"/>
          <w:color w:val="000000" w:themeColor="text1"/>
          <w:kern w:val="2"/>
          <w:sz w:val="36"/>
          <w:szCs w:val="32"/>
          <w:lang w:val="en-US" w:eastAsia="zh-CN" w:bidi="ar-SA"/>
          <w14:textFill>
            <w14:solidFill>
              <w14:schemeClr w14:val="tx1"/>
            </w14:solidFill>
          </w14:textFill>
        </w:rPr>
      </w:pPr>
      <w:bookmarkStart w:id="101" w:name="_Toc179632577"/>
      <w:bookmarkStart w:id="102" w:name="_Toc17633"/>
      <w:bookmarkStart w:id="103" w:name="_Toc513557031"/>
      <w:bookmarkStart w:id="104" w:name="_Toc144974527"/>
      <w:bookmarkStart w:id="105" w:name="_Toc152045559"/>
      <w:bookmarkStart w:id="106" w:name="_Toc363119282"/>
      <w:bookmarkStart w:id="107" w:name="_Toc510859690"/>
      <w:bookmarkStart w:id="108" w:name="_Toc510859896"/>
      <w:bookmarkStart w:id="109" w:name="_Toc152042335"/>
      <w:bookmarkStart w:id="110" w:name="_Toc13549"/>
      <w:bookmarkStart w:id="111" w:name="_Toc30664"/>
      <w:bookmarkStart w:id="112" w:name="_Toc27216"/>
      <w:bookmarkStart w:id="113" w:name="_Toc23404"/>
      <w:r>
        <w:rPr>
          <w:rFonts w:hint="eastAsia" w:ascii="宋体" w:hAnsi="宋体" w:eastAsia="宋体" w:cs="宋体"/>
          <w:b/>
          <w:bCs w:val="0"/>
          <w:color w:val="000000" w:themeColor="text1"/>
          <w:kern w:val="2"/>
          <w:sz w:val="36"/>
          <w:szCs w:val="32"/>
          <w:lang w:val="en-US" w:eastAsia="zh-CN" w:bidi="ar-SA"/>
          <w14:textFill>
            <w14:solidFill>
              <w14:schemeClr w14:val="tx1"/>
            </w14:solidFill>
          </w14:textFill>
        </w:rPr>
        <w:t>E 磋商</w:t>
      </w:r>
      <w:bookmarkEnd w:id="101"/>
      <w:bookmarkEnd w:id="102"/>
      <w:bookmarkEnd w:id="103"/>
      <w:bookmarkEnd w:id="104"/>
      <w:bookmarkEnd w:id="105"/>
      <w:bookmarkEnd w:id="106"/>
      <w:bookmarkEnd w:id="107"/>
      <w:bookmarkEnd w:id="108"/>
      <w:bookmarkEnd w:id="109"/>
      <w:r>
        <w:rPr>
          <w:rFonts w:hint="eastAsia" w:ascii="宋体" w:hAnsi="宋体" w:eastAsia="宋体" w:cs="宋体"/>
          <w:b/>
          <w:bCs w:val="0"/>
          <w:color w:val="000000" w:themeColor="text1"/>
          <w:kern w:val="2"/>
          <w:sz w:val="36"/>
          <w:szCs w:val="32"/>
          <w:lang w:val="en-US" w:eastAsia="zh-CN" w:bidi="ar-SA"/>
          <w14:textFill>
            <w14:solidFill>
              <w14:schemeClr w14:val="tx1"/>
            </w14:solidFill>
          </w14:textFill>
        </w:rPr>
        <w:t>与评标</w:t>
      </w:r>
      <w:bookmarkEnd w:id="110"/>
      <w:bookmarkEnd w:id="111"/>
      <w:bookmarkEnd w:id="112"/>
      <w:bookmarkEnd w:id="113"/>
    </w:p>
    <w:p w14:paraId="7E02BA0C">
      <w:pPr>
        <w:pStyle w:val="6"/>
        <w:shd w:val="clear"/>
        <w:rPr>
          <w:rFonts w:hint="eastAsia" w:ascii="宋体" w:hAnsi="宋体" w:eastAsia="宋体" w:cs="宋体"/>
          <w:color w:val="000000" w:themeColor="text1"/>
          <w14:textFill>
            <w14:solidFill>
              <w14:schemeClr w14:val="tx1"/>
            </w14:solidFill>
          </w14:textFill>
        </w:rPr>
      </w:pPr>
      <w:bookmarkStart w:id="114" w:name="_Toc144974528"/>
      <w:bookmarkStart w:id="115" w:name="_Toc152042336"/>
      <w:bookmarkStart w:id="116" w:name="_Toc152045560"/>
      <w:bookmarkStart w:id="117" w:name="_Toc179632578"/>
      <w:r>
        <w:rPr>
          <w:rFonts w:hint="eastAsia" w:ascii="宋体" w:hAnsi="宋体" w:eastAsia="宋体" w:cs="宋体"/>
          <w:color w:val="000000" w:themeColor="text1"/>
          <w:lang w:val="en-US" w:eastAsia="zh-CN"/>
          <w14:textFill>
            <w14:solidFill>
              <w14:schemeClr w14:val="tx1"/>
            </w14:solidFill>
          </w14:textFill>
        </w:rPr>
        <w:t>24</w:t>
      </w:r>
      <w:r>
        <w:rPr>
          <w:rFonts w:hint="eastAsia" w:ascii="宋体" w:hAnsi="宋体" w:eastAsia="宋体" w:cs="宋体"/>
          <w:color w:val="000000" w:themeColor="text1"/>
          <w14:textFill>
            <w14:solidFill>
              <w14:schemeClr w14:val="tx1"/>
            </w14:solidFill>
          </w14:textFill>
        </w:rPr>
        <w:t xml:space="preserve">、 </w:t>
      </w:r>
      <w:bookmarkEnd w:id="114"/>
      <w:bookmarkEnd w:id="115"/>
      <w:bookmarkEnd w:id="116"/>
      <w:bookmarkEnd w:id="117"/>
      <w:r>
        <w:rPr>
          <w:rFonts w:hint="eastAsia" w:ascii="宋体" w:hAnsi="宋体" w:eastAsia="宋体" w:cs="宋体"/>
          <w:color w:val="000000" w:themeColor="text1"/>
          <w14:textFill>
            <w14:solidFill>
              <w14:schemeClr w14:val="tx1"/>
            </w14:solidFill>
          </w14:textFill>
        </w:rPr>
        <w:t>竞争性磋商会议时间和地点</w:t>
      </w:r>
    </w:p>
    <w:p w14:paraId="1FFE27D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118" w:name="_Toc144974530"/>
      <w:bookmarkStart w:id="119" w:name="_Toc152042338"/>
      <w:bookmarkStart w:id="120" w:name="_Toc179632580"/>
      <w:bookmarkStart w:id="121" w:name="_Toc152045562"/>
      <w:r>
        <w:rPr>
          <w:rFonts w:hint="eastAsia" w:ascii="宋体" w:hAnsi="宋体" w:eastAsia="宋体" w:cs="宋体"/>
          <w:color w:val="000000" w:themeColor="text1"/>
          <w:sz w:val="24"/>
          <w:szCs w:val="24"/>
          <w:lang w:val="en-US" w:eastAsia="zh-CN"/>
          <w14:textFill>
            <w14:solidFill>
              <w14:schemeClr w14:val="tx1"/>
            </w14:solidFill>
          </w14:textFill>
        </w:rPr>
        <w:t>24.1</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组织招标、开标、评标工作，整个过程受政府采购监管机构的监督、管理。</w:t>
      </w:r>
    </w:p>
    <w:p w14:paraId="7C9FEB4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24.2</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在</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文件规定的时间和地点组织开标，供应商必须派法定代表人或授权代表参加，并签名报到。</w:t>
      </w:r>
    </w:p>
    <w:p w14:paraId="2FF4AC8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供应商不足3家的，不得开标。</w:t>
      </w:r>
    </w:p>
    <w:p w14:paraId="16A454C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24.3</w:t>
      </w:r>
      <w:r>
        <w:rPr>
          <w:rFonts w:hint="eastAsia" w:ascii="宋体" w:hAnsi="宋体" w:eastAsia="宋体" w:cs="宋体"/>
          <w:color w:val="000000" w:themeColor="text1"/>
          <w:sz w:val="24"/>
          <w:szCs w:val="24"/>
          <w14:textFill>
            <w14:solidFill>
              <w14:schemeClr w14:val="tx1"/>
            </w14:solidFill>
          </w14:textFill>
        </w:rPr>
        <w:t>开标时，供应商应在规定时间内，使用电子响应文件加密时所用的数字认证证书（CA锁）自行解密电子响应文件。</w:t>
      </w:r>
    </w:p>
    <w:p w14:paraId="6BA6BF4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24.4</w:t>
      </w:r>
      <w:r>
        <w:rPr>
          <w:rFonts w:hint="eastAsia" w:ascii="宋体" w:hAnsi="宋体" w:eastAsia="宋体" w:cs="宋体"/>
          <w:color w:val="000000" w:themeColor="text1"/>
          <w:sz w:val="24"/>
          <w:szCs w:val="24"/>
          <w14:textFill>
            <w14:solidFill>
              <w14:schemeClr w14:val="tx1"/>
            </w14:solidFill>
          </w14:textFill>
        </w:rPr>
        <w:t>开标会议记录由</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工作人员记录，开标当日，请各供应商在开标截止时间前至少提前半小时登录“不见面”开标系统</w:t>
      </w:r>
      <w:r>
        <w:rPr>
          <w:rFonts w:hint="eastAsia" w:ascii="宋体" w:hAnsi="宋体" w:eastAsia="宋体" w:cs="宋体"/>
          <w:color w:val="000000" w:themeColor="text1"/>
          <w:sz w:val="24"/>
          <w:szCs w:val="24"/>
          <w:lang w:eastAsia="zh-CN"/>
          <w14:textFill>
            <w14:solidFill>
              <w14:schemeClr w14:val="tx1"/>
            </w14:solidFill>
          </w14:textFill>
        </w:rPr>
        <w:t>并</w:t>
      </w:r>
      <w:r>
        <w:rPr>
          <w:rFonts w:hint="eastAsia" w:ascii="宋体" w:hAnsi="宋体" w:eastAsia="宋体" w:cs="宋体"/>
          <w:color w:val="000000" w:themeColor="text1"/>
          <w:sz w:val="24"/>
          <w:szCs w:val="24"/>
          <w14:textFill>
            <w14:solidFill>
              <w14:schemeClr w14:val="tx1"/>
            </w14:solidFill>
          </w14:textFill>
        </w:rPr>
        <w:t>按要求及时签到（签到时间为投标截止时间前1小时内，如果未签到将视为放弃投标资格），参加开标的采购人及</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工作人员签到，所有资料随</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文件一并存档。</w:t>
      </w:r>
    </w:p>
    <w:p w14:paraId="4852598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24.5</w:t>
      </w:r>
      <w:r>
        <w:rPr>
          <w:rFonts w:hint="eastAsia" w:ascii="宋体" w:hAnsi="宋体" w:eastAsia="宋体" w:cs="宋体"/>
          <w:color w:val="000000" w:themeColor="text1"/>
          <w:sz w:val="24"/>
          <w:szCs w:val="24"/>
          <w14:textFill>
            <w14:solidFill>
              <w14:schemeClr w14:val="tx1"/>
            </w14:solidFill>
          </w14:textFill>
        </w:rPr>
        <w:t>投标供应商对开标过程和开标记录有疑义，以及认为采购人、</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相关工作人员有需要回避情形的，应在开标大厅提出询问或回避申请，采购人、</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应当及时处理。</w:t>
      </w:r>
    </w:p>
    <w:p w14:paraId="1E73EB1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24.6</w:t>
      </w:r>
      <w:r>
        <w:rPr>
          <w:rFonts w:hint="eastAsia" w:ascii="宋体" w:hAnsi="宋体" w:eastAsia="宋体" w:cs="宋体"/>
          <w:color w:val="000000" w:themeColor="text1"/>
          <w:sz w:val="24"/>
          <w:szCs w:val="24"/>
          <w14:textFill>
            <w14:solidFill>
              <w14:schemeClr w14:val="tx1"/>
            </w14:solidFill>
          </w14:textFill>
        </w:rPr>
        <w:t>投标供应商未参加开标的，视同认可开标结果。</w:t>
      </w:r>
    </w:p>
    <w:p w14:paraId="78DA8FD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24.7</w:t>
      </w:r>
      <w:r>
        <w:rPr>
          <w:rFonts w:hint="eastAsia" w:ascii="宋体" w:hAnsi="宋体" w:eastAsia="宋体" w:cs="宋体"/>
          <w:color w:val="000000" w:themeColor="text1"/>
          <w:sz w:val="24"/>
          <w:szCs w:val="24"/>
          <w14:textFill>
            <w14:solidFill>
              <w14:schemeClr w14:val="tx1"/>
            </w14:solidFill>
          </w14:textFill>
        </w:rPr>
        <w:t>特殊情形下的应急处置：</w:t>
      </w:r>
    </w:p>
    <w:p w14:paraId="0911078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在开标、评审过程中，如因停电、断网、电子化系统故障等特殊原因导致电子化开、评标无法正常进行时，视具体情况确定是否停止开评标活动。</w:t>
      </w:r>
    </w:p>
    <w:p w14:paraId="74826175">
      <w:pPr>
        <w:pStyle w:val="6"/>
        <w:shd w:val="clea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25、评审组织及评审原则</w:t>
      </w:r>
    </w:p>
    <w:p w14:paraId="2ABCBFD4">
      <w:pPr>
        <w:shd w:val="clea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.1磋商小组</w:t>
      </w:r>
    </w:p>
    <w:p w14:paraId="28F83871">
      <w:pPr>
        <w:shd w:val="clea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按照《中华人民共和国政府采购法》、中华人民共和国财政部第</w:t>
      </w:r>
      <w:r>
        <w:rPr>
          <w:rFonts w:hint="eastAsia" w:ascii="宋体" w:hAnsi="宋体" w:eastAsia="宋体" w:cs="宋体"/>
          <w:color w:val="000000" w:themeColor="text1"/>
          <w:sz w:val="24"/>
          <w:szCs w:val="24"/>
          <w:lang w:val="en-US" w:eastAsia="zh-CN"/>
          <w14:textFill>
            <w14:solidFill>
              <w14:schemeClr w14:val="tx1"/>
            </w14:solidFill>
          </w14:textFill>
        </w:rPr>
        <w:t>87</w:t>
      </w:r>
      <w:r>
        <w:rPr>
          <w:rFonts w:hint="eastAsia" w:ascii="宋体" w:hAnsi="宋体" w:eastAsia="宋体" w:cs="宋体"/>
          <w:color w:val="000000" w:themeColor="text1"/>
          <w:sz w:val="24"/>
          <w:szCs w:val="24"/>
          <w14:textFill>
            <w14:solidFill>
              <w14:schemeClr w14:val="tx1"/>
            </w14:solidFill>
          </w14:textFill>
        </w:rPr>
        <w:t>号部长令--《政府采购货物和服务招标投标管理办法》和关于印发《政府采购竞争性磋商采购方式管理暂行办法》的通知财库【2014】214号，依法组建磋商小组。磋商小组由采购人代表和有关技术、经济等方面的专家组成，磋商小组按照竞争性磋商文件规定的评审方法独立进行评审工作。</w:t>
      </w:r>
    </w:p>
    <w:p w14:paraId="1D966918">
      <w:pPr>
        <w:shd w:val="clear"/>
        <w:adjustRightInd w:val="0"/>
        <w:snapToGrid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.1.2 磋商小组成员有下列情形之一的，应当回避，已经进入的应当更换：</w:t>
      </w:r>
    </w:p>
    <w:p w14:paraId="7AFE538D">
      <w:pPr>
        <w:shd w:val="clear"/>
        <w:adjustRightInd w:val="0"/>
        <w:snapToGrid w:val="0"/>
        <w:spacing w:line="360" w:lineRule="auto"/>
        <w:ind w:firstLine="720" w:firstLineChars="3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.1.2.1</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或供应商的主要负责人的近亲属；</w:t>
      </w:r>
    </w:p>
    <w:p w14:paraId="5F98A1C4">
      <w:pPr>
        <w:shd w:val="clear"/>
        <w:adjustRightInd w:val="0"/>
        <w:snapToGrid w:val="0"/>
        <w:spacing w:line="360" w:lineRule="auto"/>
        <w:ind w:firstLine="720" w:firstLineChars="3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.1.2.2项目主管部门或者行政监督部门的人员；</w:t>
      </w:r>
    </w:p>
    <w:p w14:paraId="1A4F997C">
      <w:pPr>
        <w:shd w:val="clear"/>
        <w:adjustRightInd w:val="0"/>
        <w:snapToGrid w:val="0"/>
        <w:spacing w:line="360" w:lineRule="auto"/>
        <w:ind w:firstLine="720" w:firstLineChars="3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.1.2.3与供应商有经济利益关系，可能影响对投标公正评审的；</w:t>
      </w:r>
    </w:p>
    <w:p w14:paraId="15436567">
      <w:pPr>
        <w:shd w:val="clear"/>
        <w:adjustRightInd w:val="0"/>
        <w:snapToGrid w:val="0"/>
        <w:spacing w:line="360" w:lineRule="auto"/>
        <w:ind w:firstLine="720" w:firstLineChars="3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.1.2.4曾因在招标、评审以及其他与采购投标有关活动中从事违法行为而受过行政处罚或刑事处罚的。</w:t>
      </w:r>
    </w:p>
    <w:p w14:paraId="43431290">
      <w:pPr>
        <w:pStyle w:val="46"/>
        <w:shd w:val="clear"/>
        <w:tabs>
          <w:tab w:val="left" w:pos="2620"/>
        </w:tabs>
        <w:adjustRightInd w:val="0"/>
        <w:snapToGrid w:val="0"/>
        <w:spacing w:line="360" w:lineRule="auto"/>
        <w:ind w:firstLine="480" w:firstLineChars="200"/>
        <w:rPr>
          <w:rFonts w:hint="eastAsia" w:ascii="宋体" w:hAnsi="宋体" w:eastAsia="宋体" w:cs="宋体"/>
          <w:bCs w:val="0"/>
          <w:color w:val="000000" w:themeColor="text1"/>
          <w:szCs w:val="24"/>
          <w14:textFill>
            <w14:solidFill>
              <w14:schemeClr w14:val="tx1"/>
            </w14:solidFill>
          </w14:textFill>
        </w:rPr>
      </w:pPr>
      <w:r>
        <w:rPr>
          <w:rFonts w:hint="eastAsia" w:ascii="宋体" w:hAnsi="宋体" w:eastAsia="宋体" w:cs="宋体"/>
          <w:bCs w:val="0"/>
          <w:color w:val="000000" w:themeColor="text1"/>
          <w:szCs w:val="24"/>
          <w14:textFill>
            <w14:solidFill>
              <w14:schemeClr w14:val="tx1"/>
            </w14:solidFill>
          </w14:textFill>
        </w:rPr>
        <w:t>2</w:t>
      </w:r>
      <w:r>
        <w:rPr>
          <w:rFonts w:hint="eastAsia" w:ascii="宋体" w:hAnsi="宋体" w:eastAsia="宋体" w:cs="宋体"/>
          <w:bCs w:val="0"/>
          <w:color w:val="000000" w:themeColor="text1"/>
          <w:szCs w:val="24"/>
          <w:lang w:val="en-US" w:eastAsia="zh-CN"/>
          <w14:textFill>
            <w14:solidFill>
              <w14:schemeClr w14:val="tx1"/>
            </w14:solidFill>
          </w14:textFill>
        </w:rPr>
        <w:t>5</w:t>
      </w:r>
      <w:r>
        <w:rPr>
          <w:rFonts w:hint="eastAsia" w:ascii="宋体" w:hAnsi="宋体" w:eastAsia="宋体" w:cs="宋体"/>
          <w:bCs w:val="0"/>
          <w:color w:val="000000" w:themeColor="text1"/>
          <w:szCs w:val="24"/>
          <w14:textFill>
            <w14:solidFill>
              <w14:schemeClr w14:val="tx1"/>
            </w14:solidFill>
          </w14:textFill>
        </w:rPr>
        <w:t>.1.3</w:t>
      </w:r>
      <w:r>
        <w:rPr>
          <w:rFonts w:hint="eastAsia" w:ascii="宋体" w:hAnsi="宋体" w:eastAsia="宋体" w:cs="宋体"/>
          <w:bCs w:val="0"/>
          <w:color w:val="000000" w:themeColor="text1"/>
          <w:szCs w:val="24"/>
          <w:lang w:eastAsia="zh-CN"/>
          <w14:textFill>
            <w14:solidFill>
              <w14:schemeClr w14:val="tx1"/>
            </w14:solidFill>
          </w14:textFill>
        </w:rPr>
        <w:t>磋商小组</w:t>
      </w:r>
      <w:r>
        <w:rPr>
          <w:rFonts w:hint="eastAsia" w:ascii="宋体" w:hAnsi="宋体" w:eastAsia="宋体" w:cs="宋体"/>
          <w:bCs w:val="0"/>
          <w:color w:val="000000" w:themeColor="text1"/>
          <w:szCs w:val="24"/>
          <w14:textFill>
            <w14:solidFill>
              <w14:schemeClr w14:val="tx1"/>
            </w14:solidFill>
          </w14:textFill>
        </w:rPr>
        <w:t>成员的名单在</w:t>
      </w:r>
      <w:r>
        <w:rPr>
          <w:rFonts w:hint="eastAsia" w:ascii="宋体" w:hAnsi="宋体" w:eastAsia="宋体" w:cs="宋体"/>
          <w:bCs w:val="0"/>
          <w:color w:val="000000" w:themeColor="text1"/>
          <w:szCs w:val="24"/>
          <w:lang w:eastAsia="zh-CN"/>
          <w14:textFill>
            <w14:solidFill>
              <w14:schemeClr w14:val="tx1"/>
            </w14:solidFill>
          </w14:textFill>
        </w:rPr>
        <w:t>成交</w:t>
      </w:r>
      <w:r>
        <w:rPr>
          <w:rFonts w:hint="eastAsia" w:ascii="宋体" w:hAnsi="宋体" w:eastAsia="宋体" w:cs="宋体"/>
          <w:bCs w:val="0"/>
          <w:color w:val="000000" w:themeColor="text1"/>
          <w:szCs w:val="24"/>
          <w14:textFill>
            <w14:solidFill>
              <w14:schemeClr w14:val="tx1"/>
            </w14:solidFill>
          </w14:textFill>
        </w:rPr>
        <w:t>结果确定前应当保密。</w:t>
      </w:r>
    </w:p>
    <w:p w14:paraId="1E94D1BA">
      <w:pPr>
        <w:shd w:val="clea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.1.4评标采用保密方式进行。</w:t>
      </w:r>
    </w:p>
    <w:p w14:paraId="486BA69A">
      <w:pPr>
        <w:pStyle w:val="46"/>
        <w:shd w:val="clear"/>
        <w:tabs>
          <w:tab w:val="left" w:pos="2620"/>
        </w:tabs>
        <w:adjustRightInd w:val="0"/>
        <w:snapToGrid w:val="0"/>
        <w:spacing w:line="360" w:lineRule="auto"/>
        <w:ind w:firstLine="482"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2</w:t>
      </w:r>
      <w:r>
        <w:rPr>
          <w:rFonts w:hint="eastAsia" w:ascii="宋体" w:hAnsi="宋体" w:eastAsia="宋体" w:cs="宋体"/>
          <w:b/>
          <w:color w:val="000000" w:themeColor="text1"/>
          <w:szCs w:val="24"/>
          <w:lang w:val="en-US" w:eastAsia="zh-CN"/>
          <w14:textFill>
            <w14:solidFill>
              <w14:schemeClr w14:val="tx1"/>
            </w14:solidFill>
          </w14:textFill>
        </w:rPr>
        <w:t>5</w:t>
      </w:r>
      <w:r>
        <w:rPr>
          <w:rFonts w:hint="eastAsia" w:ascii="宋体" w:hAnsi="宋体" w:eastAsia="宋体" w:cs="宋体"/>
          <w:b/>
          <w:color w:val="000000" w:themeColor="text1"/>
          <w:szCs w:val="24"/>
          <w14:textFill>
            <w14:solidFill>
              <w14:schemeClr w14:val="tx1"/>
            </w14:solidFill>
          </w14:textFill>
        </w:rPr>
        <w:t>.2 评审原则</w:t>
      </w:r>
      <w:r>
        <w:rPr>
          <w:rFonts w:hint="eastAsia" w:ascii="宋体" w:hAnsi="宋体" w:eastAsia="宋体" w:cs="宋体"/>
          <w:color w:val="000000" w:themeColor="text1"/>
          <w:szCs w:val="24"/>
          <w14:textFill>
            <w14:solidFill>
              <w14:schemeClr w14:val="tx1"/>
            </w14:solidFill>
          </w14:textFill>
        </w:rPr>
        <w:tab/>
      </w:r>
    </w:p>
    <w:p w14:paraId="14FF52C4">
      <w:pPr>
        <w:shd w:val="clear"/>
        <w:adjustRightInd w:val="0"/>
        <w:snapToGrid w:val="0"/>
        <w:spacing w:line="360" w:lineRule="auto"/>
        <w:ind w:firstLine="720" w:firstLineChars="3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.2.1评审活动遵循公平、公正、科学和择优的原则。</w:t>
      </w:r>
    </w:p>
    <w:p w14:paraId="34A5B99F">
      <w:pPr>
        <w:pStyle w:val="9"/>
        <w:shd w:val="clear"/>
        <w:ind w:firstLine="241" w:firstLineChars="1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w:t>
      </w:r>
      <w:r>
        <w:rPr>
          <w:rFonts w:hint="eastAsia" w:ascii="宋体" w:hAnsi="宋体" w:eastAsia="宋体" w:cs="宋体"/>
          <w:b/>
          <w:bCs/>
          <w:color w:val="000000" w:themeColor="text1"/>
          <w:sz w:val="24"/>
          <w:lang w:val="en-US" w:eastAsia="zh-CN"/>
          <w14:textFill>
            <w14:solidFill>
              <w14:schemeClr w14:val="tx1"/>
            </w14:solidFill>
          </w14:textFill>
        </w:rPr>
        <w:t>5</w:t>
      </w:r>
      <w:r>
        <w:rPr>
          <w:rFonts w:hint="eastAsia" w:ascii="宋体" w:hAnsi="宋体" w:eastAsia="宋体" w:cs="宋体"/>
          <w:b/>
          <w:bCs/>
          <w:color w:val="000000" w:themeColor="text1"/>
          <w:sz w:val="24"/>
          <w14:textFill>
            <w14:solidFill>
              <w14:schemeClr w14:val="tx1"/>
            </w14:solidFill>
          </w14:textFill>
        </w:rPr>
        <w:t>.3</w:t>
      </w:r>
      <w:r>
        <w:rPr>
          <w:rFonts w:hint="eastAsia" w:ascii="宋体" w:hAnsi="宋体" w:eastAsia="宋体" w:cs="宋体"/>
          <w:b/>
          <w:bCs/>
          <w:color w:val="000000" w:themeColor="text1"/>
          <w14:textFill>
            <w14:solidFill>
              <w14:schemeClr w14:val="tx1"/>
            </w14:solidFill>
          </w14:textFill>
        </w:rPr>
        <w:t>评审</w:t>
      </w:r>
    </w:p>
    <w:p w14:paraId="76BFF52C">
      <w:pPr>
        <w:shd w:val="clea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.3.1竞争性磋商文件和竞争性磋商响应文件是评审的依据。在评审中，不得改变竞争性磋商文件中规定的评审标准、方法和成交条件。</w:t>
      </w:r>
    </w:p>
    <w:p w14:paraId="2DAD48FB">
      <w:pPr>
        <w:shd w:val="clea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3.2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1322D268">
      <w:pPr>
        <w:shd w:val="clea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.3.3如果供应商在澄清规定期限内，未能答复或拒绝答复磋商小组提出的澄清要求，将由磋商小组根据其竞争性磋商响应文件按最大风险进行评审。</w:t>
      </w:r>
    </w:p>
    <w:p w14:paraId="4544B2AA">
      <w:pPr>
        <w:shd w:val="clea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.3.4磋商过程中的实质性变动：</w:t>
      </w:r>
    </w:p>
    <w:p w14:paraId="50A697C7">
      <w:pPr>
        <w:shd w:val="clea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.3.4.1在磋商过程中，磋商小组可以根据磋商文件和磋商情况在最终报价之前实质性变动采购需求中的技术、服务要求以及合同草案条款，但不得变动竞争性磋商文件中的其他内容。实质性变动的内容，须经</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代表确认。</w:t>
      </w:r>
    </w:p>
    <w:p w14:paraId="4AF6551A">
      <w:pPr>
        <w:shd w:val="clea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.3.4.2对竞争性磋商文件做出的实质性变动是磋商文件的有效组成部分，磋商小组应当及时以书面形式通知所有参加磋商的供应商。</w:t>
      </w:r>
    </w:p>
    <w:p w14:paraId="1D35B547">
      <w:pPr>
        <w:shd w:val="clea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.3.5竞争性磋商响应文件的符合性检查</w:t>
      </w:r>
    </w:p>
    <w:p w14:paraId="26E95C97">
      <w:pPr>
        <w:shd w:val="clea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.3.5.1磋商小组将审查竞争性磋商响应文件是否完整、资格证明文件是否齐全，磋商保证金是否合格、有无计算上的错误等。</w:t>
      </w:r>
    </w:p>
    <w:p w14:paraId="05B05007">
      <w:pPr>
        <w:shd w:val="clea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.3.5.2计算错误将按以下方法更正：若单价计算的结果与总价不一致，以单价为准修改总价；若用文字表示的数值与用数字表示的数值不一致，以文字表示的数值为准。如果“</w:t>
      </w:r>
      <w:r>
        <w:rPr>
          <w:rFonts w:hint="eastAsia" w:ascii="宋体" w:hAnsi="宋体" w:eastAsia="宋体" w:cs="宋体"/>
          <w:color w:val="000000" w:themeColor="text1"/>
          <w:sz w:val="24"/>
          <w:szCs w:val="24"/>
          <w:lang w:eastAsia="zh-CN"/>
          <w14:textFill>
            <w14:solidFill>
              <w14:schemeClr w14:val="tx1"/>
            </w14:solidFill>
          </w14:textFill>
        </w:rPr>
        <w:t>磋商报价一览表</w:t>
      </w:r>
      <w:r>
        <w:rPr>
          <w:rFonts w:hint="eastAsia" w:ascii="宋体" w:hAnsi="宋体" w:eastAsia="宋体" w:cs="宋体"/>
          <w:color w:val="000000" w:themeColor="text1"/>
          <w:sz w:val="24"/>
          <w:szCs w:val="24"/>
          <w14:textFill>
            <w14:solidFill>
              <w14:schemeClr w14:val="tx1"/>
            </w14:solidFill>
          </w14:textFill>
        </w:rPr>
        <w:t>”中的总价与磋商的其他文件中的总价不一致，以“</w:t>
      </w:r>
      <w:r>
        <w:rPr>
          <w:rFonts w:hint="eastAsia" w:ascii="宋体" w:hAnsi="宋体" w:eastAsia="宋体" w:cs="宋体"/>
          <w:color w:val="000000" w:themeColor="text1"/>
          <w:sz w:val="24"/>
          <w:szCs w:val="24"/>
          <w:lang w:eastAsia="zh-CN"/>
          <w14:textFill>
            <w14:solidFill>
              <w14:schemeClr w14:val="tx1"/>
            </w14:solidFill>
          </w14:textFill>
        </w:rPr>
        <w:t>磋商报价一览表</w:t>
      </w:r>
      <w:r>
        <w:rPr>
          <w:rFonts w:hint="eastAsia" w:ascii="宋体" w:hAnsi="宋体" w:eastAsia="宋体" w:cs="宋体"/>
          <w:color w:val="000000" w:themeColor="text1"/>
          <w:sz w:val="24"/>
          <w:szCs w:val="24"/>
          <w14:textFill>
            <w14:solidFill>
              <w14:schemeClr w14:val="tx1"/>
            </w14:solidFill>
          </w14:textFill>
        </w:rPr>
        <w:t>”中的总价为准。如果供应商不接受对其错误的更正，其磋商将被拒绝。</w:t>
      </w:r>
    </w:p>
    <w:p w14:paraId="1557A524">
      <w:pPr>
        <w:shd w:val="clea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.3.5.3对于竞争性磋商响应文件中明显的标点符号错误或不构成实质性偏差的不正规、不一致或不规则，招标方可以接受。</w:t>
      </w:r>
    </w:p>
    <w:p w14:paraId="2A9AB420">
      <w:pPr>
        <w:shd w:val="clea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3.5.4在详细评审之前，磋商小组要审查每份竞争性磋商响应文件是否实质上响应了竞争性磋商文件的要求。实质上响应的磋商应该是与竞争性磋商文件要求的全部条款、条件和规格参数相符，完全响应，不得负偏离。对关键条文的偏离、保留或反对将被认为是实质上的偏离。磋商小组决定磋商的响应性只根据磋商响应文件本身的内容，而不寻求外部的证据。</w:t>
      </w:r>
    </w:p>
    <w:p w14:paraId="3D02EE6D">
      <w:pPr>
        <w:shd w:val="clear"/>
        <w:spacing w:line="360" w:lineRule="auto"/>
        <w:ind w:firstLine="720" w:firstLineChars="3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.3.5.5实质上没有响应竞争性磋商文件要求的磋商将被按无效投标处理。供应商不得通过修正或撤销不合要求的偏离从而使其磋商成为实质性响应的磋商。</w:t>
      </w:r>
      <w:r>
        <w:rPr>
          <w:rFonts w:hint="eastAsia" w:ascii="宋体" w:hAnsi="宋体" w:eastAsia="宋体" w:cs="宋体"/>
          <w:b/>
          <w:bCs/>
          <w:color w:val="000000" w:themeColor="text1"/>
          <w:sz w:val="24"/>
          <w:szCs w:val="24"/>
          <w14:textFill>
            <w14:solidFill>
              <w14:schemeClr w14:val="tx1"/>
            </w14:solidFill>
          </w14:textFill>
        </w:rPr>
        <w:t>如发现下列情况之一的，其磋商将构成非实质性响应，按无效磋商处理，内容如下（但不限于）：</w:t>
      </w:r>
    </w:p>
    <w:p w14:paraId="2B3601BB">
      <w:pPr>
        <w:shd w:val="clea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1）没有按照竞争性磋商文件要求提供的竞争性磋商响应文件或竞争性磋商响应文件构成有重大缺项；</w:t>
      </w:r>
    </w:p>
    <w:p w14:paraId="4F8714AE">
      <w:pPr>
        <w:shd w:val="clea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2）竞争性磋商响应文件未按竞争性磋商文件要求编制、签署、盖章的；</w:t>
      </w:r>
    </w:p>
    <w:p w14:paraId="38D1D250">
      <w:pPr>
        <w:shd w:val="clea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3）供应商未提交有效的磋商保证金或金额不足的、磋商保证金的交付单位和投标单位的名称不一致的；</w:t>
      </w:r>
    </w:p>
    <w:p w14:paraId="6A0A79B6">
      <w:pPr>
        <w:shd w:val="clea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4）超出经营范围磋商的；</w:t>
      </w:r>
    </w:p>
    <w:p w14:paraId="74447DCC">
      <w:pPr>
        <w:shd w:val="clea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5）资格证明文件不全的或无效的，或不符合国家规定的；</w:t>
      </w:r>
    </w:p>
    <w:p w14:paraId="03E9C057">
      <w:pPr>
        <w:shd w:val="clea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6）竞争性磋商响应文件无供应商公章、无</w:t>
      </w:r>
      <w:r>
        <w:rPr>
          <w:rFonts w:hint="eastAsia" w:ascii="宋体" w:hAnsi="宋体" w:eastAsia="宋体" w:cs="宋体"/>
          <w:color w:val="000000" w:themeColor="text1"/>
          <w:sz w:val="24"/>
          <w:szCs w:val="24"/>
          <w:lang w:eastAsia="zh-CN"/>
          <w14:textFill>
            <w14:solidFill>
              <w14:schemeClr w14:val="tx1"/>
            </w14:solidFill>
          </w14:textFill>
        </w:rPr>
        <w:t>法定代表人</w:t>
      </w:r>
      <w:r>
        <w:rPr>
          <w:rFonts w:hint="eastAsia" w:ascii="宋体" w:hAnsi="宋体" w:eastAsia="宋体" w:cs="宋体"/>
          <w:color w:val="000000" w:themeColor="text1"/>
          <w:sz w:val="24"/>
          <w:szCs w:val="24"/>
          <w14:textFill>
            <w14:solidFill>
              <w14:schemeClr w14:val="tx1"/>
            </w14:solidFill>
          </w14:textFill>
        </w:rPr>
        <w:t>签字或签字人无</w:t>
      </w:r>
      <w:r>
        <w:rPr>
          <w:rFonts w:hint="eastAsia" w:ascii="宋体" w:hAnsi="宋体" w:eastAsia="宋体" w:cs="宋体"/>
          <w:color w:val="000000" w:themeColor="text1"/>
          <w:sz w:val="24"/>
          <w:szCs w:val="24"/>
          <w:lang w:eastAsia="zh-CN"/>
          <w14:textFill>
            <w14:solidFill>
              <w14:schemeClr w14:val="tx1"/>
            </w14:solidFill>
          </w14:textFill>
        </w:rPr>
        <w:t>法定代表人</w:t>
      </w:r>
      <w:r>
        <w:rPr>
          <w:rFonts w:hint="eastAsia" w:ascii="宋体" w:hAnsi="宋体" w:eastAsia="宋体" w:cs="宋体"/>
          <w:color w:val="000000" w:themeColor="text1"/>
          <w:sz w:val="24"/>
          <w:szCs w:val="24"/>
          <w14:textFill>
            <w14:solidFill>
              <w14:schemeClr w14:val="tx1"/>
            </w14:solidFill>
          </w14:textFill>
        </w:rPr>
        <w:t>有效委托书的；</w:t>
      </w:r>
    </w:p>
    <w:p w14:paraId="7D432B45">
      <w:pPr>
        <w:shd w:val="clea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7）无磋商有效期或有效期达不到竞争性磋商文件要求的；</w:t>
      </w:r>
    </w:p>
    <w:p w14:paraId="478FDF3E">
      <w:pPr>
        <w:shd w:val="clea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8）供应商在同一份竞争性磋商响应文件中，有两个或多个报价的；</w:t>
      </w:r>
    </w:p>
    <w:p w14:paraId="7B9A7A8C">
      <w:pPr>
        <w:shd w:val="clea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9）存在有重大缺漏项和重大偏离的；</w:t>
      </w:r>
    </w:p>
    <w:p w14:paraId="5E7D9627">
      <w:pPr>
        <w:shd w:val="clea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10）供应商有串通磋商、以他人名义磋商、行贿、提供虚假证明（包括第三方提供的虚假证明），开具虚假资质，出现虚假应答的，除按无效文件处理外，还将按照政府采购的有关规定进行处罚；</w:t>
      </w:r>
    </w:p>
    <w:p w14:paraId="68558393">
      <w:pPr>
        <w:shd w:val="clea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11）磋商总报价低于成本或者高于竞争性磋商文件公布的采购预算的。</w:t>
      </w:r>
    </w:p>
    <w:p w14:paraId="2B2C8768">
      <w:pPr>
        <w:shd w:val="clea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12）磋商人规格响应不得直接复制磋商文件。</w:t>
      </w:r>
    </w:p>
    <w:p w14:paraId="319E85EC">
      <w:pPr>
        <w:shd w:val="clea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13）商务响应不符合要求的。</w:t>
      </w:r>
    </w:p>
    <w:p w14:paraId="681C2DFA">
      <w:pPr>
        <w:shd w:val="clea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.3.6竞争性磋商响应文件的详细评审</w:t>
      </w:r>
    </w:p>
    <w:p w14:paraId="0BF0212D">
      <w:pPr>
        <w:shd w:val="clea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.3.6.1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磋商小组将只对确定为实质性响应竞争性磋商文件要求的磋商响应文件进行详细评审。</w:t>
      </w:r>
    </w:p>
    <w:p w14:paraId="35020612">
      <w:pPr>
        <w:shd w:val="clea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25</w:t>
      </w:r>
      <w:r>
        <w:rPr>
          <w:rFonts w:hint="eastAsia" w:ascii="宋体" w:hAnsi="宋体" w:eastAsia="宋体" w:cs="宋体"/>
          <w:color w:val="000000" w:themeColor="text1"/>
          <w:sz w:val="24"/>
          <w:szCs w:val="24"/>
          <w14:textFill>
            <w14:solidFill>
              <w14:schemeClr w14:val="tx1"/>
            </w14:solidFill>
          </w14:textFill>
        </w:rPr>
        <w:t>.3.7成交候选人的确定</w:t>
      </w:r>
    </w:p>
    <w:p w14:paraId="284C5C8C">
      <w:pPr>
        <w:shd w:val="clear"/>
        <w:spacing w:line="360" w:lineRule="auto"/>
        <w:ind w:firstLine="720" w:firstLineChars="3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.3.7.1磋商小组依据本磋商文件“评标方法和标准”，对竞争性磋商响应文件进行评审和比较，向</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提交书面评标报告，并推荐综合排名第一的合格供应商为成交候选人。</w:t>
      </w:r>
    </w:p>
    <w:p w14:paraId="6BE2AA5F">
      <w:pPr>
        <w:shd w:val="clear"/>
        <w:spacing w:line="360" w:lineRule="auto"/>
        <w:ind w:left="717" w:leftChars="0" w:hanging="717" w:hangingChars="29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 xml:space="preserve">.3.7.2 </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根据磋商小组提交的评标报告和推荐的成交候选人确定成交供应商。</w:t>
      </w:r>
    </w:p>
    <w:p w14:paraId="1857F4B1">
      <w:pPr>
        <w:shd w:val="clear"/>
        <w:spacing w:line="360" w:lineRule="auto"/>
        <w:ind w:left="717" w:leftChars="0" w:hanging="717" w:hangingChars="29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25.3.7.3在磋商过程中符合要求的供应商只有2家的，竞争性磋商采购活动可以继续进行。</w:t>
      </w:r>
    </w:p>
    <w:p w14:paraId="23ED72D9">
      <w:pPr>
        <w:shd w:val="clear"/>
        <w:spacing w:line="360" w:lineRule="auto"/>
        <w:ind w:left="717" w:leftChars="0" w:hanging="717" w:hangingChars="29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25.3.7.4</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磋商小组</w:t>
      </w:r>
      <w:r>
        <w:rPr>
          <w:rFonts w:hint="eastAsia" w:ascii="宋体" w:hAnsi="宋体" w:eastAsia="宋体" w:cs="宋体"/>
          <w:color w:val="000000" w:themeColor="text1"/>
          <w:sz w:val="24"/>
          <w:szCs w:val="24"/>
          <w14:textFill>
            <w14:solidFill>
              <w14:schemeClr w14:val="tx1"/>
            </w14:solidFill>
          </w14:textFill>
        </w:rPr>
        <w:t>经评审，认为有效</w:t>
      </w:r>
      <w:r>
        <w:rPr>
          <w:rFonts w:hint="eastAsia" w:ascii="宋体" w:hAnsi="宋体" w:eastAsia="宋体" w:cs="宋体"/>
          <w:color w:val="000000" w:themeColor="text1"/>
          <w:sz w:val="24"/>
          <w:szCs w:val="24"/>
          <w:lang w:eastAsia="zh-CN"/>
          <w14:textFill>
            <w14:solidFill>
              <w14:schemeClr w14:val="tx1"/>
            </w14:solidFill>
          </w14:textFill>
        </w:rPr>
        <w:t>供应商只有</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家或所有</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都不符合</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文件要求的，可以否决本次</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、投标。所有</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被否决后，招标人应当依法重新招标。</w:t>
      </w:r>
    </w:p>
    <w:p w14:paraId="0FC947F3">
      <w:pPr>
        <w:pStyle w:val="9"/>
        <w:shd w:val="clear"/>
        <w:ind w:firstLine="241" w:firstLineChars="1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25.4</w:t>
      </w:r>
      <w:r>
        <w:rPr>
          <w:rFonts w:hint="eastAsia" w:ascii="宋体" w:hAnsi="宋体" w:eastAsia="宋体" w:cs="宋体"/>
          <w:b/>
          <w:bCs/>
          <w:color w:val="000000" w:themeColor="text1"/>
          <w:sz w:val="24"/>
          <w14:textFill>
            <w14:solidFill>
              <w14:schemeClr w14:val="tx1"/>
            </w14:solidFill>
          </w14:textFill>
        </w:rPr>
        <w:t>、低于成本价磋商处理</w:t>
      </w:r>
    </w:p>
    <w:p w14:paraId="2726A02E">
      <w:pPr>
        <w:shd w:val="clear"/>
        <w:adjustRightInd w:val="0"/>
        <w:snapToGrid w:val="0"/>
        <w:spacing w:line="360" w:lineRule="auto"/>
        <w:ind w:firstLine="480" w:firstLineChars="200"/>
        <w:outlineLvl w:val="2"/>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25.4.1</w:t>
      </w:r>
      <w:r>
        <w:rPr>
          <w:rFonts w:hint="eastAsia" w:ascii="宋体" w:hAnsi="宋体" w:eastAsia="宋体" w:cs="宋体"/>
          <w:color w:val="000000" w:themeColor="text1"/>
          <w:kern w:val="0"/>
          <w:sz w:val="24"/>
          <w:szCs w:val="24"/>
          <w14:textFill>
            <w14:solidFill>
              <w14:schemeClr w14:val="tx1"/>
            </w14:solidFill>
          </w14:textFill>
        </w:rPr>
        <w:t>、磋商小组认为供应商的报价明显低于其他通过符合性审查供应商的报价， 有可能影响产品质量或者不能诚信履约的，应当要求其在评审现场合理的时间内提供书 面说明，必要时提交相关证明材料；供应商不能证明其报价合理性的，磋商小组应当将其作为无效磋商处理。</w:t>
      </w:r>
    </w:p>
    <w:p w14:paraId="297BE6CE">
      <w:pPr>
        <w:pStyle w:val="15"/>
        <w:shd w:val="clear"/>
        <w:rPr>
          <w:rFonts w:hint="eastAsia" w:ascii="宋体" w:hAnsi="宋体" w:eastAsia="宋体" w:cs="宋体"/>
          <w:color w:val="000000" w:themeColor="text1"/>
          <w14:textFill>
            <w14:solidFill>
              <w14:schemeClr w14:val="tx1"/>
            </w14:solidFill>
          </w14:textFill>
        </w:rPr>
      </w:pPr>
    </w:p>
    <w:p w14:paraId="71C3771F">
      <w:pPr>
        <w:pStyle w:val="6"/>
        <w:shd w:val="clea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26、评审过程的保密</w:t>
      </w:r>
    </w:p>
    <w:p w14:paraId="1E5BBB12">
      <w:pPr>
        <w:shd w:val="clear"/>
        <w:adjustRightInd w:val="0"/>
        <w:snapToGrid w:val="0"/>
        <w:spacing w:line="360" w:lineRule="auto"/>
        <w:ind w:firstLine="480" w:firstLineChars="200"/>
        <w:outlineLvl w:val="2"/>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（1）磋商后，直至授予成交人合同为止，凡属于对竞争性磋商响应文件的审查、补遗、评价和比较的有关资料以及成交人候选人的推荐情况等均严格保密。</w:t>
      </w:r>
    </w:p>
    <w:p w14:paraId="5CE5B5EA">
      <w:pPr>
        <w:shd w:val="clear"/>
        <w:adjustRightInd w:val="0"/>
        <w:snapToGrid w:val="0"/>
        <w:spacing w:line="360" w:lineRule="auto"/>
        <w:ind w:firstLine="480" w:firstLineChars="200"/>
        <w:outlineLvl w:val="2"/>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（2）在竞争性磋商响应文件的评审、成交人候选人推荐以及授予合同的过程中，供应商向</w:t>
      </w:r>
      <w:r>
        <w:rPr>
          <w:rFonts w:hint="eastAsia" w:ascii="宋体" w:hAnsi="宋体" w:eastAsia="宋体" w:cs="宋体"/>
          <w:color w:val="000000" w:themeColor="text1"/>
          <w:kern w:val="0"/>
          <w:sz w:val="24"/>
          <w:szCs w:val="24"/>
          <w:lang w:eastAsia="zh-CN"/>
          <w14:textFill>
            <w14:solidFill>
              <w14:schemeClr w14:val="tx1"/>
            </w14:solidFill>
          </w14:textFill>
        </w:rPr>
        <w:t>采购人</w:t>
      </w:r>
      <w:r>
        <w:rPr>
          <w:rFonts w:hint="eastAsia" w:ascii="宋体" w:hAnsi="宋体" w:eastAsia="宋体" w:cs="宋体"/>
          <w:color w:val="000000" w:themeColor="text1"/>
          <w:kern w:val="0"/>
          <w:sz w:val="24"/>
          <w:szCs w:val="24"/>
          <w14:textFill>
            <w14:solidFill>
              <w14:schemeClr w14:val="tx1"/>
            </w14:solidFill>
          </w14:textFill>
        </w:rPr>
        <w:t>和磋商小组施加影响的任何行为，都将会导致其磋商被拒绝直至取消其成交资格。</w:t>
      </w:r>
    </w:p>
    <w:p w14:paraId="35839FD6">
      <w:pPr>
        <w:shd w:val="clear"/>
        <w:adjustRightInd w:val="0"/>
        <w:snapToGrid w:val="0"/>
        <w:spacing w:line="360" w:lineRule="auto"/>
        <w:ind w:firstLine="480" w:firstLineChars="200"/>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（3）成交人确定后，</w:t>
      </w:r>
      <w:r>
        <w:rPr>
          <w:rFonts w:hint="eastAsia" w:ascii="宋体" w:hAnsi="宋体" w:eastAsia="宋体" w:cs="宋体"/>
          <w:color w:val="000000" w:themeColor="text1"/>
          <w:kern w:val="0"/>
          <w:sz w:val="24"/>
          <w:szCs w:val="24"/>
          <w:lang w:eastAsia="zh-CN"/>
          <w14:textFill>
            <w14:solidFill>
              <w14:schemeClr w14:val="tx1"/>
            </w14:solidFill>
          </w14:textFill>
        </w:rPr>
        <w:t>采购人</w:t>
      </w:r>
      <w:r>
        <w:rPr>
          <w:rFonts w:hint="eastAsia" w:ascii="宋体" w:hAnsi="宋体" w:eastAsia="宋体" w:cs="宋体"/>
          <w:color w:val="000000" w:themeColor="text1"/>
          <w:kern w:val="0"/>
          <w:sz w:val="24"/>
          <w:szCs w:val="24"/>
          <w14:textFill>
            <w14:solidFill>
              <w14:schemeClr w14:val="tx1"/>
            </w14:solidFill>
          </w14:textFill>
        </w:rPr>
        <w:t>不对未成交人就评审过程以及未能成交原因作出任何解释。未成交人不得向磋商小组组成人员或其他有关人员索问评审过程的情况和材料。</w:t>
      </w:r>
    </w:p>
    <w:p w14:paraId="180B540A">
      <w:pPr>
        <w:pStyle w:val="6"/>
        <w:shd w:val="clea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27、评审方法</w:t>
      </w:r>
    </w:p>
    <w:p w14:paraId="38D08532">
      <w:pPr>
        <w:shd w:val="clea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.1按照中华人民共和国财政部第</w:t>
      </w:r>
      <w:r>
        <w:rPr>
          <w:rFonts w:hint="eastAsia" w:ascii="宋体" w:hAnsi="宋体" w:eastAsia="宋体" w:cs="宋体"/>
          <w:color w:val="000000" w:themeColor="text1"/>
          <w:sz w:val="24"/>
          <w:szCs w:val="24"/>
          <w:lang w:val="en-US" w:eastAsia="zh-CN"/>
          <w14:textFill>
            <w14:solidFill>
              <w14:schemeClr w14:val="tx1"/>
            </w14:solidFill>
          </w14:textFill>
        </w:rPr>
        <w:t>87</w:t>
      </w:r>
      <w:r>
        <w:rPr>
          <w:rFonts w:hint="eastAsia" w:ascii="宋体" w:hAnsi="宋体" w:eastAsia="宋体" w:cs="宋体"/>
          <w:color w:val="000000" w:themeColor="text1"/>
          <w:sz w:val="24"/>
          <w:szCs w:val="24"/>
          <w14:textFill>
            <w14:solidFill>
              <w14:schemeClr w14:val="tx1"/>
            </w14:solidFill>
          </w14:textFill>
        </w:rPr>
        <w:t>号部长令--《政府采购货物和服务招标投标管理办法》、关于印发《政府采购竞争性磋商采购方式管理暂行办法》的通知财库【2014】214号，本次评审采用综合评分法，即在全部满足竞争性磋商文件实质性要求前提下，磋商小组应当根据综合评分情况，按照评审得分高低顺序推存一至三名成交候选供应商。</w:t>
      </w:r>
    </w:p>
    <w:p w14:paraId="5EE69D2B">
      <w:pPr>
        <w:pStyle w:val="6"/>
        <w:shd w:val="clea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28. 询标</w:t>
      </w:r>
    </w:p>
    <w:p w14:paraId="2286B6C2">
      <w:pPr>
        <w:pageBreakBefore w:val="0"/>
        <w:shd w:val="clear"/>
        <w:wordWrap/>
        <w:overflowPunct/>
        <w:autoSpaceDE/>
        <w:autoSpaceDN/>
        <w:bidi w:val="0"/>
        <w:adjustRightInd w:val="0"/>
        <w:snapToGrid w:val="0"/>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lang w:eastAsia="zh-CN"/>
          <w14:textFill>
            <w14:solidFill>
              <w14:schemeClr w14:val="tx1"/>
            </w14:solidFill>
          </w14:textFill>
        </w:rPr>
        <w:t>小组</w:t>
      </w:r>
      <w:r>
        <w:rPr>
          <w:rFonts w:hint="eastAsia" w:ascii="宋体" w:hAnsi="宋体" w:eastAsia="宋体" w:cs="宋体"/>
          <w:color w:val="000000" w:themeColor="text1"/>
          <w:sz w:val="24"/>
          <w:szCs w:val="24"/>
          <w14:textFill>
            <w14:solidFill>
              <w14:schemeClr w14:val="tx1"/>
            </w14:solidFill>
          </w14:textFill>
        </w:rPr>
        <w:t>对</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文件中的内容有疑问的部分，可以向</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质询并要求该</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做出书面澄清，但不得对</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文件做实质性修改，质询工作应当由全体</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lang w:eastAsia="zh-CN"/>
          <w14:textFill>
            <w14:solidFill>
              <w14:schemeClr w14:val="tx1"/>
            </w14:solidFill>
          </w14:textFill>
        </w:rPr>
        <w:t>小组</w:t>
      </w:r>
      <w:r>
        <w:rPr>
          <w:rFonts w:hint="eastAsia" w:ascii="宋体" w:hAnsi="宋体" w:eastAsia="宋体" w:cs="宋体"/>
          <w:color w:val="000000" w:themeColor="text1"/>
          <w:sz w:val="24"/>
          <w:szCs w:val="24"/>
          <w14:textFill>
            <w14:solidFill>
              <w14:schemeClr w14:val="tx1"/>
            </w14:solidFill>
          </w14:textFill>
        </w:rPr>
        <w:t>成员参加。对于实质性不符合招标文件的，</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lang w:eastAsia="zh-CN"/>
          <w14:textFill>
            <w14:solidFill>
              <w14:schemeClr w14:val="tx1"/>
            </w14:solidFill>
          </w14:textFill>
        </w:rPr>
        <w:t>小组</w:t>
      </w:r>
      <w:r>
        <w:rPr>
          <w:rFonts w:hint="eastAsia" w:ascii="宋体" w:hAnsi="宋体" w:eastAsia="宋体" w:cs="宋体"/>
          <w:color w:val="000000" w:themeColor="text1"/>
          <w:sz w:val="24"/>
          <w:szCs w:val="24"/>
          <w14:textFill>
            <w14:solidFill>
              <w14:schemeClr w14:val="tx1"/>
            </w14:solidFill>
          </w14:textFill>
        </w:rPr>
        <w:t>有权予以拒绝。质询工作应做书面记录，采购人代表、</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lang w:eastAsia="zh-CN"/>
          <w14:textFill>
            <w14:solidFill>
              <w14:schemeClr w14:val="tx1"/>
            </w14:solidFill>
          </w14:textFill>
        </w:rPr>
        <w:t>小组</w:t>
      </w:r>
      <w:r>
        <w:rPr>
          <w:rFonts w:hint="eastAsia" w:ascii="宋体" w:hAnsi="宋体" w:eastAsia="宋体" w:cs="宋体"/>
          <w:color w:val="000000" w:themeColor="text1"/>
          <w:sz w:val="24"/>
          <w:szCs w:val="24"/>
          <w14:textFill>
            <w14:solidFill>
              <w14:schemeClr w14:val="tx1"/>
            </w14:solidFill>
          </w14:textFill>
        </w:rPr>
        <w:t>及</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应在记录上签字确认。</w:t>
      </w:r>
    </w:p>
    <w:p w14:paraId="17995AF5">
      <w:pPr>
        <w:pStyle w:val="6"/>
        <w:shd w:val="clea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29、最后报价</w:t>
      </w:r>
    </w:p>
    <w:p w14:paraId="42898AFC">
      <w:pPr>
        <w:shd w:val="clear"/>
        <w:spacing w:line="360" w:lineRule="auto"/>
        <w:ind w:firstLine="480" w:firstLineChars="200"/>
        <w:rPr>
          <w:rFonts w:hint="eastAsia" w:ascii="宋体" w:hAnsi="宋体" w:eastAsia="宋体" w:cs="宋体"/>
          <w:b w:val="0"/>
          <w:bCs/>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2"/>
          <w:highlight w:val="none"/>
          <w:lang w:val="en-US" w:eastAsia="zh-CN"/>
          <w14:textFill>
            <w14:solidFill>
              <w14:schemeClr w14:val="tx1"/>
            </w14:solidFill>
          </w14:textFill>
        </w:rPr>
        <w:t>27.1文件不能详细列明采购需求的技术、服务要求，需经磋商由供应商提供最终设计方案或解决方案的，磋商结束后，</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b w:val="0"/>
          <w:bCs/>
          <w:color w:val="000000" w:themeColor="text1"/>
          <w:sz w:val="24"/>
          <w:szCs w:val="22"/>
          <w:highlight w:val="none"/>
          <w:lang w:val="en-US" w:eastAsia="zh-CN"/>
          <w14:textFill>
            <w14:solidFill>
              <w14:schemeClr w14:val="tx1"/>
            </w14:solidFill>
          </w14:textFill>
        </w:rPr>
        <w:t>小组应当按照少数服从多数的原则投票推荐3家以上供应商的设计方案或者解决方案，并要求其在规定时间内提交最后报价。</w:t>
      </w:r>
    </w:p>
    <w:p w14:paraId="70CC02C6">
      <w:pPr>
        <w:shd w:val="clear"/>
        <w:spacing w:line="360" w:lineRule="auto"/>
        <w:ind w:left="479" w:leftChars="228" w:firstLine="0" w:firstLineChars="0"/>
        <w:rPr>
          <w:rFonts w:hint="eastAsia" w:ascii="宋体" w:hAnsi="宋体" w:eastAsia="宋体" w:cs="宋体"/>
          <w:b w:val="0"/>
          <w:bCs/>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2"/>
          <w:highlight w:val="none"/>
          <w:lang w:val="en-US" w:eastAsia="zh-CN"/>
          <w14:textFill>
            <w14:solidFill>
              <w14:schemeClr w14:val="tx1"/>
            </w14:solidFill>
          </w14:textFill>
        </w:rPr>
        <w:t>27.2第二次报价（最后报价）表，供应商按照</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b w:val="0"/>
          <w:bCs/>
          <w:color w:val="000000" w:themeColor="text1"/>
          <w:sz w:val="24"/>
          <w:szCs w:val="22"/>
          <w:highlight w:val="none"/>
          <w:lang w:val="en-US" w:eastAsia="zh-CN"/>
          <w14:textFill>
            <w14:solidFill>
              <w14:schemeClr w14:val="tx1"/>
            </w14:solidFill>
          </w14:textFill>
        </w:rPr>
        <w:t>小组给定的时间进行最后报价。27.3每轮报价现场均不对供应商公布，最后一轮的报价为确定成交供应商的重要依据，在合同执行过程中不得以任何理由予以变更。</w:t>
      </w:r>
    </w:p>
    <w:p w14:paraId="10C00539">
      <w:pPr>
        <w:pStyle w:val="6"/>
        <w:shd w:val="clea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30、质疑提出与答复</w:t>
      </w:r>
    </w:p>
    <w:p w14:paraId="0647F91A">
      <w:pPr>
        <w:pStyle w:val="22"/>
        <w:keepNext w:val="0"/>
        <w:keepLines w:val="0"/>
        <w:pageBreakBefore w:val="0"/>
        <w:shd w:val="clear"/>
        <w:kinsoku/>
        <w:wordWrap/>
        <w:overflowPunct/>
        <w:topLinePunct w:val="0"/>
        <w:autoSpaceDE/>
        <w:autoSpaceDN/>
        <w:bidi w:val="0"/>
        <w:adjustRightInd w:val="0"/>
        <w:snapToGrid w:val="0"/>
        <w:spacing w:before="0" w:beforeAutospacing="0" w:after="0" w:afterAutospacing="0" w:line="360" w:lineRule="auto"/>
        <w:ind w:firstLine="360" w:firstLineChars="15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投标人认为采购文件、采购过程、中标结果使自己的权益受到损害的，可以在知道或者应知其权益受到损害之日起</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个工作日内，</w:t>
      </w:r>
      <w:r>
        <w:rPr>
          <w:rFonts w:hint="eastAsia" w:ascii="宋体" w:hAnsi="宋体" w:eastAsia="宋体" w:cs="宋体"/>
          <w:color w:val="000000" w:themeColor="text1"/>
          <w:kern w:val="2"/>
          <w:sz w:val="24"/>
          <w:szCs w:val="24"/>
          <w14:textFill>
            <w14:solidFill>
              <w14:schemeClr w14:val="tx1"/>
            </w14:solidFill>
          </w14:textFill>
        </w:rPr>
        <w:t xml:space="preserve">以书面形式向采购代理机构提出（质疑函接收联系人、联系电话和通讯地址等详见投标人须知前附表）。 </w:t>
      </w:r>
    </w:p>
    <w:p w14:paraId="4D96064D">
      <w:pPr>
        <w:pStyle w:val="22"/>
        <w:keepNext w:val="0"/>
        <w:keepLines w:val="0"/>
        <w:pageBreakBefore w:val="0"/>
        <w:shd w:val="clear"/>
        <w:kinsoku/>
        <w:wordWrap/>
        <w:overflowPunct/>
        <w:topLinePunct w:val="0"/>
        <w:autoSpaceDE/>
        <w:autoSpaceDN/>
        <w:bidi w:val="0"/>
        <w:adjustRightInd w:val="0"/>
        <w:snapToGrid w:val="0"/>
        <w:spacing w:before="0" w:beforeAutospacing="0" w:after="0" w:afterAutospacing="0" w:line="360" w:lineRule="auto"/>
        <w:ind w:firstLine="360" w:firstLineChars="15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（2）质疑投标人</w:t>
      </w:r>
      <w:r>
        <w:rPr>
          <w:rFonts w:hint="eastAsia" w:ascii="宋体" w:hAnsi="宋体" w:eastAsia="宋体" w:cs="宋体"/>
          <w:color w:val="000000" w:themeColor="text1"/>
          <w:sz w:val="24"/>
          <w:szCs w:val="24"/>
          <w:lang w:eastAsia="zh-CN"/>
          <w14:textFill>
            <w14:solidFill>
              <w14:schemeClr w14:val="tx1"/>
            </w14:solidFill>
          </w14:textFill>
        </w:rPr>
        <w:t>法定代表人</w:t>
      </w:r>
      <w:r>
        <w:rPr>
          <w:rFonts w:hint="eastAsia" w:ascii="宋体" w:hAnsi="宋体" w:eastAsia="宋体" w:cs="宋体"/>
          <w:color w:val="000000" w:themeColor="text1"/>
          <w:sz w:val="24"/>
          <w:szCs w:val="24"/>
          <w14:textFill>
            <w14:solidFill>
              <w14:schemeClr w14:val="tx1"/>
            </w14:solidFill>
          </w14:textFill>
        </w:rPr>
        <w:t>提交质疑的，须出具</w:t>
      </w:r>
      <w:r>
        <w:rPr>
          <w:rFonts w:hint="eastAsia" w:ascii="宋体" w:hAnsi="宋体" w:eastAsia="宋体" w:cs="宋体"/>
          <w:color w:val="000000" w:themeColor="text1"/>
          <w:sz w:val="24"/>
          <w:szCs w:val="24"/>
          <w:lang w:eastAsia="zh-CN"/>
          <w14:textFill>
            <w14:solidFill>
              <w14:schemeClr w14:val="tx1"/>
            </w14:solidFill>
          </w14:textFill>
        </w:rPr>
        <w:t>法定代表人</w:t>
      </w:r>
      <w:r>
        <w:rPr>
          <w:rFonts w:hint="eastAsia" w:ascii="宋体" w:hAnsi="宋体" w:eastAsia="宋体" w:cs="宋体"/>
          <w:color w:val="000000" w:themeColor="text1"/>
          <w:sz w:val="24"/>
          <w:szCs w:val="24"/>
          <w14:textFill>
            <w14:solidFill>
              <w14:schemeClr w14:val="tx1"/>
            </w14:solidFill>
          </w14:textFill>
        </w:rPr>
        <w:t>资格证明书；委托代理人提交质疑的，必须向其出具授权委托书，授权委托书应当载明代理人的姓名或者名称、代理事项、具体权限、期限和相关事项，由</w:t>
      </w:r>
      <w:r>
        <w:rPr>
          <w:rFonts w:hint="eastAsia" w:ascii="宋体" w:hAnsi="宋体" w:eastAsia="宋体" w:cs="宋体"/>
          <w:color w:val="000000" w:themeColor="text1"/>
          <w:sz w:val="24"/>
          <w:szCs w:val="24"/>
          <w:lang w:eastAsia="zh-CN"/>
          <w14:textFill>
            <w14:solidFill>
              <w14:schemeClr w14:val="tx1"/>
            </w14:solidFill>
          </w14:textFill>
        </w:rPr>
        <w:t>法定代表人</w:t>
      </w:r>
      <w:r>
        <w:rPr>
          <w:rFonts w:hint="eastAsia" w:ascii="宋体" w:hAnsi="宋体" w:eastAsia="宋体" w:cs="宋体"/>
          <w:color w:val="000000" w:themeColor="text1"/>
          <w:sz w:val="24"/>
          <w:szCs w:val="24"/>
          <w14:textFill>
            <w14:solidFill>
              <w14:schemeClr w14:val="tx1"/>
            </w14:solidFill>
          </w14:textFill>
        </w:rPr>
        <w:t>签字或者盖章，并加盖单位公章。</w:t>
      </w:r>
    </w:p>
    <w:p w14:paraId="4811F694">
      <w:pPr>
        <w:keepNext w:val="0"/>
        <w:keepLines w:val="0"/>
        <w:pageBreakBefore w:val="0"/>
        <w:shd w:val="clear"/>
        <w:kinsoku/>
        <w:wordWrap/>
        <w:overflowPunct/>
        <w:topLinePunct w:val="0"/>
        <w:autoSpaceDE/>
        <w:autoSpaceDN/>
        <w:bidi w:val="0"/>
        <w:adjustRightInd w:val="0"/>
        <w:snapToGrid w:val="0"/>
        <w:spacing w:line="360" w:lineRule="auto"/>
        <w:ind w:firstLine="600" w:firstLineChars="2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质疑函应当包括下列内容：</w:t>
      </w:r>
    </w:p>
    <w:p w14:paraId="75FC441B">
      <w:pPr>
        <w:pStyle w:val="47"/>
        <w:keepNext w:val="0"/>
        <w:keepLines w:val="0"/>
        <w:pageBreakBefore w:val="0"/>
        <w:shd w:val="clear"/>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的姓名或者名称、地址、邮编、联系人及联系电话；</w:t>
      </w:r>
    </w:p>
    <w:p w14:paraId="15C844E2">
      <w:pPr>
        <w:pStyle w:val="47"/>
        <w:keepNext w:val="0"/>
        <w:keepLines w:val="0"/>
        <w:pageBreakBefore w:val="0"/>
        <w:shd w:val="clear"/>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2、质疑项目的名称、编号；</w:t>
      </w:r>
    </w:p>
    <w:p w14:paraId="0B2C168F">
      <w:pPr>
        <w:pStyle w:val="47"/>
        <w:keepNext w:val="0"/>
        <w:keepLines w:val="0"/>
        <w:pageBreakBefore w:val="0"/>
        <w:shd w:val="clear"/>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3、具体、明确的质疑事项和与质疑事项相关的请求；</w:t>
      </w:r>
    </w:p>
    <w:p w14:paraId="49B0B63D">
      <w:pPr>
        <w:pStyle w:val="47"/>
        <w:keepNext w:val="0"/>
        <w:keepLines w:val="0"/>
        <w:pageBreakBefore w:val="0"/>
        <w:shd w:val="clear"/>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4、事实依据；</w:t>
      </w:r>
    </w:p>
    <w:p w14:paraId="70F2E698">
      <w:pPr>
        <w:pStyle w:val="47"/>
        <w:keepNext w:val="0"/>
        <w:keepLines w:val="0"/>
        <w:pageBreakBefore w:val="0"/>
        <w:shd w:val="clear"/>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5、必要的法律依据；</w:t>
      </w:r>
    </w:p>
    <w:p w14:paraId="156DD942">
      <w:pPr>
        <w:pStyle w:val="47"/>
        <w:keepNext w:val="0"/>
        <w:keepLines w:val="0"/>
        <w:pageBreakBefore w:val="0"/>
        <w:shd w:val="clear"/>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6、提出质疑的日期。 </w:t>
      </w:r>
    </w:p>
    <w:p w14:paraId="1BE650E3">
      <w:pPr>
        <w:pStyle w:val="47"/>
        <w:keepNext w:val="0"/>
        <w:keepLines w:val="0"/>
        <w:pageBreakBefore w:val="0"/>
        <w:shd w:val="clear"/>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r>
        <w:rPr>
          <w:rFonts w:hint="eastAsia" w:ascii="宋体" w:hAnsi="宋体" w:eastAsia="宋体" w:cs="宋体"/>
          <w:color w:val="000000" w:themeColor="text1"/>
          <w:sz w:val="24"/>
          <w:szCs w:val="24"/>
          <w:lang w:val="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须在法定质疑期内一次性提出针对同一采购程序环节的质疑。</w:t>
      </w:r>
    </w:p>
    <w:p w14:paraId="2FB8050E">
      <w:pPr>
        <w:keepNext w:val="0"/>
        <w:keepLines w:val="0"/>
        <w:pageBreakBefore w:val="0"/>
        <w:shd w:val="clear"/>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（3）质疑有以下情形之一的，采购代理机构不予受理：</w:t>
      </w:r>
    </w:p>
    <w:p w14:paraId="22F2EA20">
      <w:pPr>
        <w:pStyle w:val="47"/>
        <w:keepNext w:val="0"/>
        <w:keepLines w:val="0"/>
        <w:pageBreakBefore w:val="0"/>
        <w:shd w:val="clear"/>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1、未按规定程序和渠道提出质疑的；</w:t>
      </w:r>
    </w:p>
    <w:p w14:paraId="5A0C825B">
      <w:pPr>
        <w:pStyle w:val="47"/>
        <w:keepNext w:val="0"/>
        <w:keepLines w:val="0"/>
        <w:pageBreakBefore w:val="0"/>
        <w:shd w:val="clear"/>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2、超过法定质疑期限的； </w:t>
      </w:r>
    </w:p>
    <w:p w14:paraId="51ACB1F9">
      <w:pPr>
        <w:pStyle w:val="47"/>
        <w:keepNext w:val="0"/>
        <w:keepLines w:val="0"/>
        <w:pageBreakBefore w:val="0"/>
        <w:shd w:val="clear"/>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3、书面质疑的形式和内容不符合上述要求的；</w:t>
      </w:r>
    </w:p>
    <w:p w14:paraId="1F548F56">
      <w:pPr>
        <w:pStyle w:val="47"/>
        <w:keepNext w:val="0"/>
        <w:keepLines w:val="0"/>
        <w:pageBreakBefore w:val="0"/>
        <w:shd w:val="clear"/>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4、提出的质疑事项已经明确答复的； </w:t>
      </w:r>
    </w:p>
    <w:p w14:paraId="230A1A85">
      <w:pPr>
        <w:pStyle w:val="47"/>
        <w:keepNext w:val="0"/>
        <w:keepLines w:val="0"/>
        <w:pageBreakBefore w:val="0"/>
        <w:shd w:val="clear"/>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5、法律法规规定的其他不予受理的条件。</w:t>
      </w:r>
    </w:p>
    <w:p w14:paraId="6687156A">
      <w:pPr>
        <w:pStyle w:val="22"/>
        <w:keepNext w:val="0"/>
        <w:keepLines w:val="0"/>
        <w:pageBreakBefore w:val="0"/>
        <w:shd w:val="clear"/>
        <w:kinsoku/>
        <w:wordWrap/>
        <w:overflowPunct/>
        <w:topLinePunct w:val="0"/>
        <w:autoSpaceDE/>
        <w:autoSpaceDN/>
        <w:bidi w:val="0"/>
        <w:adjustRightInd w:val="0"/>
        <w:snapToGrid w:val="0"/>
        <w:spacing w:before="0" w:beforeAutospacing="0" w:after="0" w:afterAutospacing="0" w:line="360" w:lineRule="auto"/>
        <w:ind w:firstLine="360" w:firstLineChars="1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kern w:val="2"/>
          <w:sz w:val="24"/>
          <w:szCs w:val="24"/>
          <w14:textFill>
            <w14:solidFill>
              <w14:schemeClr w14:val="tx1"/>
            </w14:solidFill>
          </w14:textFill>
        </w:rPr>
        <w:t>采购代理机构应当在收到质疑函后</w:t>
      </w:r>
      <w:r>
        <w:rPr>
          <w:rFonts w:hint="eastAsia" w:ascii="宋体" w:hAnsi="宋体" w:eastAsia="宋体" w:cs="宋体"/>
          <w:color w:val="000000" w:themeColor="text1"/>
          <w:sz w:val="24"/>
          <w:szCs w:val="24"/>
          <w14:textFill>
            <w14:solidFill>
              <w14:schemeClr w14:val="tx1"/>
            </w14:solidFill>
          </w14:textFill>
        </w:rPr>
        <w:t>七个工作日内做出书面答复。答复内容同时通知与处理结果有关的投标人，但答复内容不得涉及投标人的商业秘密。</w:t>
      </w:r>
    </w:p>
    <w:p w14:paraId="5754D6EA">
      <w:pPr>
        <w:shd w:val="clear"/>
        <w:spacing w:line="360" w:lineRule="auto"/>
        <w:ind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1、联系人：</w:t>
      </w:r>
      <w:r>
        <w:rPr>
          <w:rFonts w:hint="eastAsia" w:ascii="宋体" w:hAnsi="宋体" w:cs="宋体"/>
          <w:color w:val="000000" w:themeColor="text1"/>
          <w:kern w:val="2"/>
          <w:sz w:val="24"/>
          <w:szCs w:val="24"/>
          <w:lang w:val="en-US" w:eastAsia="zh-CN" w:bidi="ar-SA"/>
          <w14:textFill>
            <w14:solidFill>
              <w14:schemeClr w14:val="tx1"/>
            </w14:solidFill>
          </w14:textFill>
        </w:rPr>
        <w:t>李稳兵</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  </w:t>
      </w:r>
    </w:p>
    <w:p w14:paraId="3442101A">
      <w:pPr>
        <w:shd w:val="clear"/>
        <w:spacing w:line="360" w:lineRule="auto"/>
        <w:ind w:firstLine="480" w:firstLineChars="200"/>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2、联系电话：</w:t>
      </w:r>
      <w:r>
        <w:rPr>
          <w:rFonts w:hint="eastAsia" w:ascii="宋体" w:hAnsi="宋体" w:cs="宋体"/>
          <w:color w:val="000000" w:themeColor="text1"/>
          <w:kern w:val="2"/>
          <w:sz w:val="24"/>
          <w:szCs w:val="24"/>
          <w:lang w:val="en-US" w:eastAsia="zh-CN" w:bidi="ar-SA"/>
          <w14:textFill>
            <w14:solidFill>
              <w14:schemeClr w14:val="tx1"/>
            </w14:solidFill>
          </w14:textFill>
        </w:rPr>
        <w:t>15609120312</w:t>
      </w:r>
    </w:p>
    <w:p w14:paraId="1289FF55">
      <w:pPr>
        <w:pStyle w:val="22"/>
        <w:shd w:val="clear"/>
        <w:adjustRightInd w:val="0"/>
        <w:snapToGrid w:val="0"/>
        <w:spacing w:before="0" w:beforeAutospacing="0" w:after="0" w:afterAutospacing="0" w:line="360" w:lineRule="auto"/>
        <w:ind w:firstLine="360" w:firstLineChars="150"/>
        <w:rPr>
          <w:rFonts w:hint="eastAsia" w:ascii="宋体" w:hAnsi="宋体" w:eastAsia="宋体" w:cs="宋体"/>
          <w:color w:val="000000" w:themeColor="text1"/>
          <w:kern w:val="2"/>
          <w:lang w:bidi="ar"/>
          <w14:textFill>
            <w14:solidFill>
              <w14:schemeClr w14:val="tx1"/>
            </w14:solidFill>
          </w14:textFill>
        </w:rPr>
      </w:pPr>
    </w:p>
    <w:bookmarkEnd w:id="118"/>
    <w:bookmarkEnd w:id="119"/>
    <w:bookmarkEnd w:id="120"/>
    <w:bookmarkEnd w:id="121"/>
    <w:p w14:paraId="636B9ED1">
      <w:pPr>
        <w:pStyle w:val="45"/>
        <w:shd w:val="clear"/>
        <w:spacing w:line="360" w:lineRule="auto"/>
        <w:ind w:firstLine="723" w:firstLineChars="200"/>
        <w:outlineLvl w:val="2"/>
        <w:rPr>
          <w:rFonts w:hint="eastAsia" w:ascii="宋体" w:hAnsi="宋体" w:eastAsia="宋体" w:cs="宋体"/>
          <w:b/>
          <w:bCs w:val="0"/>
          <w:color w:val="000000" w:themeColor="text1"/>
          <w:kern w:val="2"/>
          <w:sz w:val="36"/>
          <w:szCs w:val="32"/>
          <w:lang w:val="en-US" w:eastAsia="zh-CN" w:bidi="ar-SA"/>
          <w14:textFill>
            <w14:solidFill>
              <w14:schemeClr w14:val="tx1"/>
            </w14:solidFill>
          </w14:textFill>
        </w:rPr>
      </w:pPr>
      <w:bookmarkStart w:id="122" w:name="_Toc363119284"/>
      <w:bookmarkStart w:id="123" w:name="_Toc12322"/>
      <w:bookmarkStart w:id="124" w:name="_Toc32214"/>
      <w:bookmarkStart w:id="125" w:name="_Toc510859692"/>
      <w:bookmarkStart w:id="126" w:name="_Toc179632584"/>
      <w:bookmarkStart w:id="127" w:name="_Toc513557033"/>
      <w:bookmarkStart w:id="128" w:name="_Toc144974534"/>
      <w:bookmarkStart w:id="129" w:name="_Toc22430"/>
      <w:bookmarkStart w:id="130" w:name="_Toc152045566"/>
      <w:bookmarkStart w:id="131" w:name="_Toc23734"/>
      <w:bookmarkStart w:id="132" w:name="_Toc152042342"/>
      <w:bookmarkStart w:id="133" w:name="_Toc18105"/>
      <w:bookmarkStart w:id="134" w:name="_Toc510859898"/>
      <w:r>
        <w:rPr>
          <w:rFonts w:hint="eastAsia" w:ascii="宋体" w:hAnsi="宋体" w:eastAsia="宋体" w:cs="宋体"/>
          <w:b/>
          <w:bCs w:val="0"/>
          <w:color w:val="000000" w:themeColor="text1"/>
          <w:kern w:val="2"/>
          <w:sz w:val="36"/>
          <w:szCs w:val="32"/>
          <w:lang w:val="en-US" w:eastAsia="zh-CN" w:bidi="ar-SA"/>
          <w14:textFill>
            <w14:solidFill>
              <w14:schemeClr w14:val="tx1"/>
            </w14:solidFill>
          </w14:textFill>
        </w:rPr>
        <w:t>F 合同授予</w:t>
      </w:r>
      <w:bookmarkEnd w:id="122"/>
      <w:bookmarkEnd w:id="123"/>
      <w:bookmarkEnd w:id="124"/>
      <w:bookmarkEnd w:id="125"/>
      <w:bookmarkEnd w:id="126"/>
      <w:bookmarkEnd w:id="127"/>
      <w:bookmarkEnd w:id="128"/>
      <w:bookmarkEnd w:id="129"/>
      <w:bookmarkEnd w:id="130"/>
      <w:bookmarkEnd w:id="131"/>
      <w:bookmarkEnd w:id="132"/>
      <w:bookmarkEnd w:id="133"/>
      <w:bookmarkEnd w:id="134"/>
    </w:p>
    <w:p w14:paraId="74B8B514">
      <w:pPr>
        <w:pStyle w:val="6"/>
        <w:shd w:val="clear"/>
        <w:rPr>
          <w:rFonts w:hint="eastAsia" w:ascii="宋体" w:hAnsi="宋体" w:eastAsia="宋体" w:cs="宋体"/>
          <w:color w:val="000000" w:themeColor="text1"/>
          <w:lang w:val="en-US" w:eastAsia="zh-CN"/>
          <w14:textFill>
            <w14:solidFill>
              <w14:schemeClr w14:val="tx1"/>
            </w14:solidFill>
          </w14:textFill>
        </w:rPr>
      </w:pPr>
      <w:bookmarkStart w:id="135" w:name="_Toc152042343"/>
      <w:bookmarkStart w:id="136" w:name="_Toc179632585"/>
      <w:bookmarkStart w:id="137" w:name="_Toc152045567"/>
      <w:bookmarkStart w:id="138" w:name="_Toc144974535"/>
      <w:r>
        <w:rPr>
          <w:rFonts w:hint="eastAsia" w:ascii="宋体" w:hAnsi="宋体" w:eastAsia="宋体" w:cs="宋体"/>
          <w:color w:val="000000" w:themeColor="text1"/>
          <w:lang w:val="en-US" w:eastAsia="zh-CN"/>
          <w14:textFill>
            <w14:solidFill>
              <w14:schemeClr w14:val="tx1"/>
            </w14:solidFill>
          </w14:textFill>
        </w:rPr>
        <w:t>31、合同授予标准</w:t>
      </w:r>
    </w:p>
    <w:p w14:paraId="19A06C55">
      <w:pPr>
        <w:pStyle w:val="46"/>
        <w:shd w:val="clear"/>
        <w:adjustRightInd w:val="0"/>
        <w:snapToGrid w:val="0"/>
        <w:spacing w:line="360" w:lineRule="auto"/>
        <w:ind w:firstLine="48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30</w:t>
      </w:r>
      <w:r>
        <w:rPr>
          <w:rFonts w:hint="eastAsia" w:ascii="宋体" w:hAnsi="宋体" w:eastAsia="宋体" w:cs="宋体"/>
          <w:color w:val="000000" w:themeColor="text1"/>
          <w:szCs w:val="24"/>
          <w14:textFill>
            <w14:solidFill>
              <w14:schemeClr w14:val="tx1"/>
            </w14:solidFill>
          </w14:textFill>
        </w:rPr>
        <w:t>.1 本磋商项目合同将</w:t>
      </w:r>
      <w:r>
        <w:rPr>
          <w:rFonts w:hint="eastAsia" w:ascii="宋体" w:hAnsi="宋体" w:eastAsia="宋体" w:cs="宋体"/>
          <w:color w:val="000000" w:themeColor="text1"/>
          <w:szCs w:val="24"/>
          <w:lang w:val="en-US" w:eastAsia="zh-CN"/>
          <w14:textFill>
            <w14:solidFill>
              <w14:schemeClr w14:val="tx1"/>
            </w14:solidFill>
          </w14:textFill>
        </w:rPr>
        <w:t>与</w:t>
      </w:r>
      <w:r>
        <w:rPr>
          <w:rFonts w:hint="eastAsia" w:ascii="宋体" w:hAnsi="宋体" w:eastAsia="宋体" w:cs="宋体"/>
          <w:color w:val="000000" w:themeColor="text1"/>
          <w:szCs w:val="24"/>
          <w14:textFill>
            <w14:solidFill>
              <w14:schemeClr w14:val="tx1"/>
            </w14:solidFill>
          </w14:textFill>
        </w:rPr>
        <w:t>确定的成交供应商</w:t>
      </w:r>
      <w:r>
        <w:rPr>
          <w:rFonts w:hint="eastAsia" w:ascii="宋体" w:hAnsi="宋体" w:eastAsia="宋体" w:cs="宋体"/>
          <w:color w:val="000000" w:themeColor="text1"/>
          <w:szCs w:val="24"/>
          <w:lang w:val="en-US" w:eastAsia="zh-CN"/>
          <w14:textFill>
            <w14:solidFill>
              <w14:schemeClr w14:val="tx1"/>
            </w14:solidFill>
          </w14:textFill>
        </w:rPr>
        <w:t>签订</w:t>
      </w:r>
      <w:r>
        <w:rPr>
          <w:rFonts w:hint="eastAsia" w:ascii="宋体" w:hAnsi="宋体" w:eastAsia="宋体" w:cs="宋体"/>
          <w:color w:val="000000" w:themeColor="text1"/>
          <w:szCs w:val="24"/>
          <w14:textFill>
            <w14:solidFill>
              <w14:schemeClr w14:val="tx1"/>
            </w14:solidFill>
          </w14:textFill>
        </w:rPr>
        <w:t>。</w:t>
      </w:r>
    </w:p>
    <w:bookmarkEnd w:id="135"/>
    <w:bookmarkEnd w:id="136"/>
    <w:bookmarkEnd w:id="137"/>
    <w:bookmarkEnd w:id="138"/>
    <w:p w14:paraId="623A5353">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bookmarkStart w:id="139" w:name="_Toc179632586"/>
      <w:bookmarkStart w:id="140" w:name="_Toc152042344"/>
      <w:bookmarkStart w:id="141" w:name="_Toc152045568"/>
      <w:bookmarkStart w:id="142" w:name="_Toc144974536"/>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32、代理服务费</w:t>
      </w:r>
    </w:p>
    <w:p w14:paraId="437D0E0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32.1 </w:t>
      </w:r>
      <w:r>
        <w:rPr>
          <w:rFonts w:hint="eastAsia" w:ascii="宋体" w:hAnsi="宋体" w:eastAsia="宋体" w:cs="宋体"/>
          <w:color w:val="000000" w:themeColor="text1"/>
          <w:sz w:val="24"/>
          <w:lang w:eastAsia="zh-CN"/>
          <w14:textFill>
            <w14:solidFill>
              <w14:schemeClr w14:val="tx1"/>
            </w14:solidFill>
          </w14:textFill>
        </w:rPr>
        <w:t>代理服务费</w:t>
      </w:r>
      <w:r>
        <w:rPr>
          <w:rFonts w:hint="eastAsia" w:ascii="宋体" w:hAnsi="宋体" w:eastAsia="宋体" w:cs="宋体"/>
          <w:color w:val="000000" w:themeColor="text1"/>
          <w:sz w:val="24"/>
          <w14:textFill>
            <w14:solidFill>
              <w14:schemeClr w14:val="tx1"/>
            </w14:solidFill>
          </w14:textFill>
        </w:rPr>
        <w:t>按约定由</w:t>
      </w:r>
      <w:r>
        <w:rPr>
          <w:rFonts w:hint="eastAsia" w:ascii="宋体" w:hAnsi="宋体" w:cs="宋体"/>
          <w:color w:val="000000" w:themeColor="text1"/>
          <w:sz w:val="24"/>
          <w:lang w:val="en-US" w:eastAsia="zh-CN"/>
          <w14:textFill>
            <w14:solidFill>
              <w14:schemeClr w14:val="tx1"/>
            </w14:solidFill>
          </w14:textFill>
        </w:rPr>
        <w:t>采购人</w:t>
      </w:r>
      <w:r>
        <w:rPr>
          <w:rFonts w:hint="eastAsia" w:ascii="宋体" w:hAnsi="宋体" w:eastAsia="宋体" w:cs="宋体"/>
          <w:color w:val="000000" w:themeColor="text1"/>
          <w:sz w:val="24"/>
          <w14:textFill>
            <w14:solidFill>
              <w14:schemeClr w14:val="tx1"/>
            </w14:solidFill>
          </w14:textFill>
        </w:rPr>
        <w:t>支付</w:t>
      </w:r>
      <w:r>
        <w:rPr>
          <w:rFonts w:hint="eastAsia" w:ascii="宋体" w:hAnsi="宋体" w:eastAsia="宋体" w:cs="宋体"/>
          <w:color w:val="000000" w:themeColor="text1"/>
          <w:sz w:val="24"/>
          <w:lang w:eastAsia="zh-CN"/>
          <w14:textFill>
            <w14:solidFill>
              <w14:schemeClr w14:val="tx1"/>
            </w14:solidFill>
          </w14:textFill>
        </w:rPr>
        <w:t>。</w:t>
      </w:r>
    </w:p>
    <w:p w14:paraId="35FED81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32.2 </w:t>
      </w:r>
      <w:r>
        <w:rPr>
          <w:rFonts w:hint="eastAsia" w:ascii="宋体" w:hAnsi="宋体" w:eastAsia="宋体" w:cs="宋体"/>
          <w:color w:val="000000" w:themeColor="text1"/>
          <w:sz w:val="24"/>
          <w:lang w:eastAsia="zh-CN"/>
          <w14:textFill>
            <w14:solidFill>
              <w14:schemeClr w14:val="tx1"/>
            </w14:solidFill>
          </w14:textFill>
        </w:rPr>
        <w:t>代理服务费</w:t>
      </w:r>
      <w:r>
        <w:rPr>
          <w:rFonts w:hint="eastAsia" w:ascii="宋体" w:hAnsi="宋体" w:eastAsia="宋体" w:cs="宋体"/>
          <w:color w:val="000000" w:themeColor="text1"/>
          <w:sz w:val="24"/>
          <w14:textFill>
            <w14:solidFill>
              <w14:schemeClr w14:val="tx1"/>
            </w14:solidFill>
          </w14:textFill>
        </w:rPr>
        <w:t>按国家发展与改革委员会《招标代理服务收费暂行办法》（计价格[2002]1980号）文件规定标准计取。招标代理服务收费按差额定率累进法计算。</w:t>
      </w:r>
    </w:p>
    <w:p w14:paraId="42E35CC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32.3 </w:t>
      </w:r>
      <w:r>
        <w:rPr>
          <w:rFonts w:hint="eastAsia" w:ascii="宋体" w:hAnsi="宋体" w:eastAsia="宋体" w:cs="宋体"/>
          <w:color w:val="000000" w:themeColor="text1"/>
          <w:sz w:val="24"/>
          <w14:textFill>
            <w14:solidFill>
              <w14:schemeClr w14:val="tx1"/>
            </w14:solidFill>
          </w14:textFill>
        </w:rPr>
        <w:t>本项目代理服务费按</w:t>
      </w:r>
      <w:r>
        <w:rPr>
          <w:rFonts w:hint="eastAsia" w:ascii="宋体" w:hAnsi="宋体" w:eastAsia="宋体" w:cs="宋体"/>
          <w:color w:val="000000" w:themeColor="text1"/>
          <w:sz w:val="24"/>
          <w:lang w:val="en-US" w:eastAsia="zh-CN"/>
          <w14:textFill>
            <w14:solidFill>
              <w14:schemeClr w14:val="tx1"/>
            </w14:solidFill>
          </w14:textFill>
        </w:rPr>
        <w:t>服务</w:t>
      </w:r>
      <w:r>
        <w:rPr>
          <w:rFonts w:hint="eastAsia" w:ascii="宋体" w:hAnsi="宋体" w:eastAsia="宋体" w:cs="宋体"/>
          <w:color w:val="000000" w:themeColor="text1"/>
          <w:sz w:val="24"/>
          <w14:textFill>
            <w14:solidFill>
              <w14:schemeClr w14:val="tx1"/>
            </w14:solidFill>
          </w14:textFill>
        </w:rPr>
        <w:t>计取。</w:t>
      </w:r>
    </w:p>
    <w:p w14:paraId="57B9CAE0">
      <w:pPr>
        <w:pStyle w:val="6"/>
        <w:shd w:val="clea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33、成交通知</w:t>
      </w:r>
      <w:bookmarkEnd w:id="139"/>
      <w:bookmarkEnd w:id="140"/>
      <w:bookmarkEnd w:id="141"/>
      <w:bookmarkEnd w:id="142"/>
      <w:r>
        <w:rPr>
          <w:rFonts w:hint="eastAsia" w:ascii="宋体" w:hAnsi="宋体" w:eastAsia="宋体" w:cs="宋体"/>
          <w:color w:val="000000" w:themeColor="text1"/>
          <w:lang w:val="en-US" w:eastAsia="zh-CN"/>
          <w14:textFill>
            <w14:solidFill>
              <w14:schemeClr w14:val="tx1"/>
            </w14:solidFill>
          </w14:textFill>
        </w:rPr>
        <w:t>书</w:t>
      </w:r>
    </w:p>
    <w:p w14:paraId="18F9BF85">
      <w:pPr>
        <w:shd w:val="clear"/>
        <w:adjustRightInd w:val="0"/>
        <w:snapToGrid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33</w:t>
      </w:r>
      <w:r>
        <w:rPr>
          <w:rFonts w:hint="eastAsia" w:ascii="宋体" w:hAnsi="宋体" w:eastAsia="宋体" w:cs="宋体"/>
          <w:color w:val="000000" w:themeColor="text1"/>
          <w:sz w:val="24"/>
          <w:szCs w:val="24"/>
          <w14:textFill>
            <w14:solidFill>
              <w14:schemeClr w14:val="tx1"/>
            </w14:solidFill>
          </w14:textFill>
        </w:rPr>
        <w:t>.1在本章规定的磋商有效期内，</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将对成交供应商公示，公示期为1日。</w:t>
      </w:r>
    </w:p>
    <w:p w14:paraId="379C5EFE">
      <w:pPr>
        <w:shd w:val="clear"/>
        <w:adjustRightInd w:val="0"/>
        <w:snapToGrid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33</w:t>
      </w:r>
      <w:r>
        <w:rPr>
          <w:rFonts w:hint="eastAsia" w:ascii="宋体" w:hAnsi="宋体" w:eastAsia="宋体" w:cs="宋体"/>
          <w:color w:val="000000" w:themeColor="text1"/>
          <w:sz w:val="24"/>
          <w:szCs w:val="24"/>
          <w14:textFill>
            <w14:solidFill>
              <w14:schemeClr w14:val="tx1"/>
            </w14:solidFill>
          </w14:textFill>
        </w:rPr>
        <w:t>.2在公示期内，未接到供应商对评审结果提出异议或未接到行政监督部门通知</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在招磋商活动中有违法行为时，公示期满后，</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将向成交供应商发出</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通知书。</w:t>
      </w:r>
    </w:p>
    <w:p w14:paraId="70FCF930">
      <w:pPr>
        <w:pStyle w:val="6"/>
        <w:shd w:val="clear"/>
        <w:rPr>
          <w:rFonts w:hint="eastAsia" w:ascii="宋体" w:hAnsi="宋体" w:eastAsia="宋体" w:cs="宋体"/>
          <w:color w:val="000000" w:themeColor="text1"/>
          <w:lang w:val="en-US" w:eastAsia="zh-CN"/>
          <w14:textFill>
            <w14:solidFill>
              <w14:schemeClr w14:val="tx1"/>
            </w14:solidFill>
          </w14:textFill>
        </w:rPr>
      </w:pPr>
      <w:bookmarkStart w:id="143" w:name="_Toc152042346"/>
      <w:bookmarkStart w:id="144" w:name="_Toc152045570"/>
      <w:bookmarkStart w:id="145" w:name="_Toc144974538"/>
      <w:bookmarkStart w:id="146" w:name="_Toc179632588"/>
      <w:r>
        <w:rPr>
          <w:rFonts w:hint="eastAsia" w:ascii="宋体" w:hAnsi="宋体" w:eastAsia="宋体" w:cs="宋体"/>
          <w:color w:val="000000" w:themeColor="text1"/>
          <w:lang w:val="en-US" w:eastAsia="zh-CN"/>
          <w14:textFill>
            <w14:solidFill>
              <w14:schemeClr w14:val="tx1"/>
            </w14:solidFill>
          </w14:textFill>
        </w:rPr>
        <w:t>34、签订合同</w:t>
      </w:r>
      <w:bookmarkEnd w:id="143"/>
      <w:bookmarkEnd w:id="144"/>
      <w:bookmarkEnd w:id="145"/>
      <w:bookmarkEnd w:id="146"/>
    </w:p>
    <w:p w14:paraId="1A474A30">
      <w:pPr>
        <w:shd w:val="clear"/>
        <w:tabs>
          <w:tab w:val="left" w:pos="0"/>
        </w:tabs>
        <w:adjustRightInd w:val="0"/>
        <w:snapToGrid w:val="0"/>
        <w:spacing w:line="360" w:lineRule="auto"/>
        <w:ind w:left="19" w:leftChars="9" w:firstLine="458" w:firstLineChars="19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34</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和成交供应商应当自成交通知书发出之日起</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日内，根据竞争性磋商文件和成交供应商的竞争性磋商响应文件订立书面合同，</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和成交供应商不得再行订立背离合同实质性内容的其他协议。</w:t>
      </w:r>
    </w:p>
    <w:p w14:paraId="08841631">
      <w:pPr>
        <w:shd w:val="clear"/>
        <w:adjustRightInd w:val="0"/>
        <w:snapToGrid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34</w:t>
      </w:r>
      <w:r>
        <w:rPr>
          <w:rFonts w:hint="eastAsia" w:ascii="宋体" w:hAnsi="宋体" w:eastAsia="宋体" w:cs="宋体"/>
          <w:color w:val="000000" w:themeColor="text1"/>
          <w:sz w:val="24"/>
          <w:szCs w:val="24"/>
          <w14:textFill>
            <w14:solidFill>
              <w14:schemeClr w14:val="tx1"/>
            </w14:solidFill>
          </w14:textFill>
        </w:rPr>
        <w:t>.2成交供应商无正当理由拒签合同的，</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取消其成交资格，其磋商保证金不予退还；给</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 xml:space="preserve">造成的损失超过磋商保证金数额的，成交供应商还应当对超过部分予以赔偿。 </w:t>
      </w:r>
    </w:p>
    <w:p w14:paraId="514C680A">
      <w:pPr>
        <w:shd w:val="clear"/>
        <w:adjustRightInd w:val="0"/>
        <w:snapToGrid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34</w:t>
      </w:r>
      <w:r>
        <w:rPr>
          <w:rFonts w:hint="eastAsia" w:ascii="宋体" w:hAnsi="宋体" w:eastAsia="宋体" w:cs="宋体"/>
          <w:color w:val="000000" w:themeColor="text1"/>
          <w:sz w:val="24"/>
          <w:szCs w:val="24"/>
          <w14:textFill>
            <w14:solidFill>
              <w14:schemeClr w14:val="tx1"/>
            </w14:solidFill>
          </w14:textFill>
        </w:rPr>
        <w:t>.3 发出成交通知书后，</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无正当理由拒签合同的，</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 xml:space="preserve">向成交供应商退还磋商保证金；给成交人造成损失的，还应当赔偿损失。 </w:t>
      </w:r>
    </w:p>
    <w:p w14:paraId="68D0B4DB">
      <w:pPr>
        <w:shd w:val="clear"/>
        <w:spacing w:line="360" w:lineRule="auto"/>
        <w:ind w:left="0" w:leftChars="0" w:firstLine="420"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34</w:t>
      </w:r>
      <w:r>
        <w:rPr>
          <w:rFonts w:hint="eastAsia" w:ascii="宋体" w:hAnsi="宋体" w:eastAsia="宋体" w:cs="宋体"/>
          <w:color w:val="000000" w:themeColor="text1"/>
          <w:sz w:val="24"/>
          <w:szCs w:val="24"/>
          <w14:textFill>
            <w14:solidFill>
              <w14:schemeClr w14:val="tx1"/>
            </w14:solidFill>
          </w14:textFill>
        </w:rPr>
        <w:t>.4成交供应商应当按照合同约定履行义务，完成成交项目，不得将成交项目转让（转包）给他人。</w:t>
      </w:r>
    </w:p>
    <w:p w14:paraId="255CD835">
      <w:pPr>
        <w:pStyle w:val="6"/>
        <w:shd w:val="clear"/>
        <w:rPr>
          <w:rFonts w:hint="eastAsia" w:ascii="宋体" w:hAnsi="宋体" w:eastAsia="宋体" w:cs="宋体"/>
          <w:color w:val="000000" w:themeColor="text1"/>
          <w:lang w:val="en-US" w:eastAsia="zh-CN"/>
          <w14:textFill>
            <w14:solidFill>
              <w14:schemeClr w14:val="tx1"/>
            </w14:solidFill>
          </w14:textFill>
        </w:rPr>
      </w:pPr>
      <w:bookmarkStart w:id="147" w:name="_Toc152042348"/>
      <w:bookmarkStart w:id="148" w:name="_Toc179632590"/>
      <w:bookmarkStart w:id="149" w:name="_Toc152045572"/>
      <w:bookmarkStart w:id="150" w:name="_Toc144974540"/>
      <w:r>
        <w:rPr>
          <w:rFonts w:hint="eastAsia" w:ascii="宋体" w:hAnsi="宋体" w:eastAsia="宋体" w:cs="宋体"/>
          <w:color w:val="000000" w:themeColor="text1"/>
          <w:lang w:val="en-US" w:eastAsia="zh-CN"/>
          <w14:textFill>
            <w14:solidFill>
              <w14:schemeClr w14:val="tx1"/>
            </w14:solidFill>
          </w14:textFill>
        </w:rPr>
        <w:t>35、重新采购</w:t>
      </w:r>
      <w:bookmarkEnd w:id="147"/>
      <w:bookmarkEnd w:id="148"/>
      <w:bookmarkEnd w:id="149"/>
      <w:bookmarkEnd w:id="150"/>
    </w:p>
    <w:p w14:paraId="493277B4">
      <w:pPr>
        <w:shd w:val="clear"/>
        <w:adjustRightInd w:val="0"/>
        <w:snapToGrid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有下列情形之一的，</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将重新采购：</w:t>
      </w:r>
    </w:p>
    <w:p w14:paraId="297E1CB7">
      <w:pPr>
        <w:shd w:val="clear"/>
        <w:adjustRightInd w:val="0"/>
        <w:snapToGrid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（1）磋商截止时间止，供应商少于3</w:t>
      </w:r>
      <w:r>
        <w:rPr>
          <w:rFonts w:hint="eastAsia" w:ascii="宋体" w:hAnsi="宋体" w:eastAsia="宋体" w:cs="宋体"/>
          <w:color w:val="000000" w:themeColor="text1"/>
          <w:sz w:val="24"/>
          <w:szCs w:val="24"/>
          <w:lang w:eastAsia="zh-CN"/>
          <w14:textFill>
            <w14:solidFill>
              <w14:schemeClr w14:val="tx1"/>
            </w14:solidFill>
          </w14:textFill>
        </w:rPr>
        <w:t>家</w:t>
      </w:r>
      <w:r>
        <w:rPr>
          <w:rFonts w:hint="eastAsia" w:ascii="宋体" w:hAnsi="宋体" w:eastAsia="宋体" w:cs="宋体"/>
          <w:color w:val="000000" w:themeColor="text1"/>
          <w:sz w:val="24"/>
          <w:szCs w:val="24"/>
          <w14:textFill>
            <w14:solidFill>
              <w14:schemeClr w14:val="tx1"/>
            </w14:solidFill>
          </w14:textFill>
        </w:rPr>
        <w:t>的；</w:t>
      </w:r>
    </w:p>
    <w:p w14:paraId="6C7BDA9D">
      <w:pPr>
        <w:shd w:val="clear"/>
        <w:adjustRightInd w:val="0"/>
        <w:snapToGrid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（2）通过审查</w:t>
      </w:r>
      <w:r>
        <w:rPr>
          <w:rFonts w:hint="eastAsia" w:ascii="宋体" w:hAnsi="宋体" w:eastAsia="宋体" w:cs="宋体"/>
          <w:color w:val="000000" w:themeColor="text1"/>
          <w:sz w:val="24"/>
          <w:szCs w:val="24"/>
          <w:lang w:eastAsia="zh-CN"/>
          <w14:textFill>
            <w14:solidFill>
              <w14:schemeClr w14:val="tx1"/>
            </w14:solidFill>
          </w14:textFill>
        </w:rPr>
        <w:t>合格的供应商只有一家</w:t>
      </w:r>
      <w:r>
        <w:rPr>
          <w:rFonts w:hint="eastAsia" w:ascii="宋体" w:hAnsi="宋体" w:eastAsia="宋体" w:cs="宋体"/>
          <w:color w:val="000000" w:themeColor="text1"/>
          <w:sz w:val="24"/>
          <w:szCs w:val="24"/>
          <w14:textFill>
            <w14:solidFill>
              <w14:schemeClr w14:val="tx1"/>
            </w14:solidFill>
          </w14:textFill>
        </w:rPr>
        <w:t>的；</w:t>
      </w:r>
    </w:p>
    <w:p w14:paraId="1D83A6B3">
      <w:pPr>
        <w:shd w:val="clear"/>
        <w:adjustRightInd w:val="0"/>
        <w:snapToGrid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（3）经磋商小组评审后否决所有投标的。</w:t>
      </w:r>
    </w:p>
    <w:p w14:paraId="5F4EFAA4">
      <w:pPr>
        <w:pStyle w:val="45"/>
        <w:shd w:val="clear"/>
        <w:spacing w:line="360" w:lineRule="auto"/>
        <w:ind w:firstLine="723" w:firstLineChars="200"/>
        <w:outlineLvl w:val="2"/>
        <w:rPr>
          <w:rFonts w:hint="eastAsia" w:ascii="宋体" w:hAnsi="宋体" w:eastAsia="宋体" w:cs="宋体"/>
          <w:b/>
          <w:bCs w:val="0"/>
          <w:color w:val="000000" w:themeColor="text1"/>
          <w:kern w:val="2"/>
          <w:sz w:val="36"/>
          <w:szCs w:val="32"/>
          <w:lang w:val="en-US" w:eastAsia="zh-CN" w:bidi="ar-SA"/>
          <w14:textFill>
            <w14:solidFill>
              <w14:schemeClr w14:val="tx1"/>
            </w14:solidFill>
          </w14:textFill>
        </w:rPr>
      </w:pPr>
      <w:bookmarkStart w:id="151" w:name="_Toc144974542"/>
      <w:bookmarkStart w:id="152" w:name="_Toc510859694"/>
      <w:bookmarkStart w:id="153" w:name="_Toc179632592"/>
      <w:bookmarkStart w:id="154" w:name="_Toc510859900"/>
      <w:bookmarkStart w:id="155" w:name="_Toc9584"/>
      <w:bookmarkStart w:id="156" w:name="_Toc513557035"/>
      <w:bookmarkStart w:id="157" w:name="_Toc152045574"/>
      <w:bookmarkStart w:id="158" w:name="_Toc16351"/>
      <w:bookmarkStart w:id="159" w:name="_Toc363119286"/>
      <w:bookmarkStart w:id="160" w:name="_Toc29516"/>
      <w:bookmarkStart w:id="161" w:name="_Toc9642"/>
      <w:bookmarkStart w:id="162" w:name="_Toc6327"/>
      <w:bookmarkStart w:id="163" w:name="_Toc152042350"/>
      <w:r>
        <w:rPr>
          <w:rFonts w:hint="eastAsia" w:ascii="宋体" w:hAnsi="宋体" w:eastAsia="宋体" w:cs="宋体"/>
          <w:b/>
          <w:bCs w:val="0"/>
          <w:color w:val="000000" w:themeColor="text1"/>
          <w:kern w:val="2"/>
          <w:sz w:val="36"/>
          <w:szCs w:val="32"/>
          <w:lang w:val="en-US" w:eastAsia="zh-CN" w:bidi="ar-SA"/>
          <w14:textFill>
            <w14:solidFill>
              <w14:schemeClr w14:val="tx1"/>
            </w14:solidFill>
          </w14:textFill>
        </w:rPr>
        <w:t>G 纪律和监督</w:t>
      </w:r>
      <w:bookmarkEnd w:id="151"/>
      <w:bookmarkEnd w:id="152"/>
      <w:bookmarkEnd w:id="153"/>
      <w:bookmarkEnd w:id="154"/>
      <w:bookmarkEnd w:id="155"/>
      <w:bookmarkEnd w:id="156"/>
      <w:bookmarkEnd w:id="157"/>
      <w:bookmarkEnd w:id="158"/>
      <w:bookmarkEnd w:id="159"/>
      <w:bookmarkEnd w:id="160"/>
      <w:bookmarkEnd w:id="161"/>
      <w:bookmarkEnd w:id="162"/>
      <w:bookmarkEnd w:id="163"/>
    </w:p>
    <w:p w14:paraId="1B2AF96F">
      <w:pPr>
        <w:pStyle w:val="6"/>
        <w:shd w:val="clear"/>
        <w:rPr>
          <w:rFonts w:hint="eastAsia" w:ascii="宋体" w:hAnsi="宋体" w:eastAsia="宋体" w:cs="宋体"/>
          <w:color w:val="000000" w:themeColor="text1"/>
          <w:lang w:val="en-US" w:eastAsia="zh-CN"/>
          <w14:textFill>
            <w14:solidFill>
              <w14:schemeClr w14:val="tx1"/>
            </w14:solidFill>
          </w14:textFill>
        </w:rPr>
      </w:pPr>
      <w:bookmarkStart w:id="164" w:name="_Toc144974543"/>
      <w:bookmarkStart w:id="165" w:name="_Toc179632593"/>
      <w:bookmarkStart w:id="166" w:name="_Toc152045575"/>
      <w:bookmarkStart w:id="167" w:name="_Toc152042351"/>
      <w:r>
        <w:rPr>
          <w:rFonts w:hint="eastAsia" w:ascii="宋体" w:hAnsi="宋体" w:eastAsia="宋体" w:cs="宋体"/>
          <w:color w:val="000000" w:themeColor="text1"/>
          <w:lang w:val="en-US" w:eastAsia="zh-CN"/>
          <w14:textFill>
            <w14:solidFill>
              <w14:schemeClr w14:val="tx1"/>
            </w14:solidFill>
          </w14:textFill>
        </w:rPr>
        <w:t>36、对采购人的纪律要求</w:t>
      </w:r>
      <w:bookmarkEnd w:id="164"/>
      <w:bookmarkEnd w:id="165"/>
      <w:bookmarkEnd w:id="166"/>
      <w:bookmarkEnd w:id="167"/>
    </w:p>
    <w:p w14:paraId="5F9551A3">
      <w:pPr>
        <w:shd w:val="clear"/>
        <w:adjustRightInd w:val="0"/>
        <w:snapToGrid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不得泄漏招标投标活动中应当保密的情况和资料，不得与供应商串通损害国家利益、社会公共利益或者他人合法权益。</w:t>
      </w:r>
    </w:p>
    <w:p w14:paraId="4DD100FB">
      <w:pPr>
        <w:pStyle w:val="6"/>
        <w:shd w:val="clear"/>
        <w:rPr>
          <w:rFonts w:hint="eastAsia" w:ascii="宋体" w:hAnsi="宋体" w:eastAsia="宋体" w:cs="宋体"/>
          <w:color w:val="000000" w:themeColor="text1"/>
          <w:lang w:val="en-US" w:eastAsia="zh-CN"/>
          <w14:textFill>
            <w14:solidFill>
              <w14:schemeClr w14:val="tx1"/>
            </w14:solidFill>
          </w14:textFill>
        </w:rPr>
      </w:pPr>
      <w:bookmarkStart w:id="168" w:name="_Toc179632594"/>
      <w:bookmarkStart w:id="169" w:name="_Toc144974544"/>
      <w:bookmarkStart w:id="170" w:name="_Toc152045576"/>
      <w:bookmarkStart w:id="171" w:name="_Toc152042352"/>
      <w:r>
        <w:rPr>
          <w:rFonts w:hint="eastAsia" w:ascii="宋体" w:hAnsi="宋体" w:eastAsia="宋体" w:cs="宋体"/>
          <w:color w:val="000000" w:themeColor="text1"/>
          <w:lang w:val="en-US" w:eastAsia="zh-CN"/>
          <w14:textFill>
            <w14:solidFill>
              <w14:schemeClr w14:val="tx1"/>
            </w14:solidFill>
          </w14:textFill>
        </w:rPr>
        <w:t>37、对供应商的纪律要求</w:t>
      </w:r>
      <w:bookmarkEnd w:id="168"/>
      <w:bookmarkEnd w:id="169"/>
      <w:bookmarkEnd w:id="170"/>
      <w:bookmarkEnd w:id="171"/>
    </w:p>
    <w:p w14:paraId="5F786BCC">
      <w:pPr>
        <w:shd w:val="clear"/>
        <w:adjustRightInd w:val="0"/>
        <w:snapToGrid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供应商不得相互串通磋商或者与</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串通磋商，不得向</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或者磋商小组成员行贿谋取成交，不得以他人名义磋商或者以其他方式弄虚作假骗取成交；供应商不得以任何方式干扰、影响评审工作。</w:t>
      </w:r>
    </w:p>
    <w:p w14:paraId="428D4F82">
      <w:pPr>
        <w:pStyle w:val="6"/>
        <w:shd w:val="clear"/>
        <w:rPr>
          <w:rFonts w:hint="eastAsia" w:ascii="宋体" w:hAnsi="宋体" w:eastAsia="宋体" w:cs="宋体"/>
          <w:color w:val="000000" w:themeColor="text1"/>
          <w:lang w:val="en-US" w:eastAsia="zh-CN"/>
          <w14:textFill>
            <w14:solidFill>
              <w14:schemeClr w14:val="tx1"/>
            </w14:solidFill>
          </w14:textFill>
        </w:rPr>
      </w:pPr>
      <w:bookmarkStart w:id="172" w:name="_Toc144974545"/>
      <w:bookmarkStart w:id="173" w:name="_Toc152042353"/>
      <w:bookmarkStart w:id="174" w:name="_Toc152045577"/>
      <w:bookmarkStart w:id="175" w:name="_Toc179632595"/>
      <w:r>
        <w:rPr>
          <w:rFonts w:hint="eastAsia" w:ascii="宋体" w:hAnsi="宋体" w:eastAsia="宋体" w:cs="宋体"/>
          <w:color w:val="000000" w:themeColor="text1"/>
          <w:lang w:val="en-US" w:eastAsia="zh-CN"/>
          <w14:textFill>
            <w14:solidFill>
              <w14:schemeClr w14:val="tx1"/>
            </w14:solidFill>
          </w14:textFill>
        </w:rPr>
        <w:t>38、对磋商小组成员的纪律要求</w:t>
      </w:r>
      <w:bookmarkEnd w:id="172"/>
      <w:bookmarkEnd w:id="173"/>
      <w:bookmarkEnd w:id="174"/>
      <w:bookmarkEnd w:id="175"/>
    </w:p>
    <w:p w14:paraId="310239AA">
      <w:pPr>
        <w:shd w:val="clear"/>
        <w:adjustRightInd w:val="0"/>
        <w:snapToGrid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成员不得收受他人的财物或者其他好处，不得向他人透漏对竞争性磋商响应文件的评审和比较、成交人候选人的推荐情况以及评审有关的其他情况。在评审活动中，磋商小组成员不得擅离职守，影响评审程序正常进行，不得使用“评审办法”没有规定的评审因素和标准进行评审。</w:t>
      </w:r>
    </w:p>
    <w:p w14:paraId="7FF12F1A">
      <w:pPr>
        <w:pStyle w:val="6"/>
        <w:shd w:val="clear"/>
        <w:rPr>
          <w:rFonts w:hint="eastAsia" w:ascii="宋体" w:hAnsi="宋体" w:eastAsia="宋体" w:cs="宋体"/>
          <w:color w:val="000000" w:themeColor="text1"/>
          <w:lang w:val="en-US" w:eastAsia="zh-CN"/>
          <w14:textFill>
            <w14:solidFill>
              <w14:schemeClr w14:val="tx1"/>
            </w14:solidFill>
          </w14:textFill>
        </w:rPr>
      </w:pPr>
      <w:bookmarkStart w:id="176" w:name="_Toc179632596"/>
      <w:bookmarkStart w:id="177" w:name="_Toc152042354"/>
      <w:bookmarkStart w:id="178" w:name="_Toc152045578"/>
      <w:bookmarkStart w:id="179" w:name="_Toc144974546"/>
      <w:r>
        <w:rPr>
          <w:rFonts w:hint="eastAsia" w:ascii="宋体" w:hAnsi="宋体" w:eastAsia="宋体" w:cs="宋体"/>
          <w:color w:val="000000" w:themeColor="text1"/>
          <w:lang w:val="en-US" w:eastAsia="zh-CN"/>
          <w14:textFill>
            <w14:solidFill>
              <w14:schemeClr w14:val="tx1"/>
            </w14:solidFill>
          </w14:textFill>
        </w:rPr>
        <w:t>39、 对与评审活动有关的工作人员的纪律要求</w:t>
      </w:r>
      <w:bookmarkEnd w:id="176"/>
      <w:bookmarkEnd w:id="177"/>
      <w:bookmarkEnd w:id="178"/>
    </w:p>
    <w:p w14:paraId="28FCE243">
      <w:pPr>
        <w:shd w:val="clear"/>
        <w:adjustRightInd w:val="0"/>
        <w:snapToGrid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bookmarkStart w:id="180" w:name="_Toc152042355"/>
      <w:r>
        <w:rPr>
          <w:rFonts w:hint="eastAsia" w:ascii="宋体" w:hAnsi="宋体" w:eastAsia="宋体" w:cs="宋体"/>
          <w:color w:val="000000" w:themeColor="text1"/>
          <w:sz w:val="24"/>
          <w:szCs w:val="24"/>
          <w14:textFill>
            <w14:solidFill>
              <w14:schemeClr w14:val="tx1"/>
            </w14:solidFill>
          </w14:textFill>
        </w:rPr>
        <w:t>与评审活动有关的工作人员不得收受他人的财物或者其他好处，不得向他人透漏对竞争性磋商响应文件的评审和比较、成交人候选人的推荐情况以及评审有关的其他情况。在评审活动中，与评审活动有关的工作人员不得擅离职守，影响评审程序正常进行。</w:t>
      </w:r>
      <w:bookmarkEnd w:id="180"/>
    </w:p>
    <w:p w14:paraId="693ECD1A">
      <w:pPr>
        <w:pStyle w:val="6"/>
        <w:shd w:val="clear"/>
        <w:rPr>
          <w:rFonts w:hint="eastAsia" w:ascii="宋体" w:hAnsi="宋体" w:eastAsia="宋体" w:cs="宋体"/>
          <w:color w:val="000000" w:themeColor="text1"/>
          <w:lang w:val="en-US" w:eastAsia="zh-CN"/>
          <w14:textFill>
            <w14:solidFill>
              <w14:schemeClr w14:val="tx1"/>
            </w14:solidFill>
          </w14:textFill>
        </w:rPr>
      </w:pPr>
      <w:bookmarkStart w:id="181" w:name="_Toc152042356"/>
      <w:bookmarkStart w:id="182" w:name="_Toc179632597"/>
      <w:bookmarkStart w:id="183" w:name="_Toc152045579"/>
      <w:r>
        <w:rPr>
          <w:rFonts w:hint="eastAsia" w:ascii="宋体" w:hAnsi="宋体" w:eastAsia="宋体" w:cs="宋体"/>
          <w:color w:val="000000" w:themeColor="text1"/>
          <w:lang w:val="en-US" w:eastAsia="zh-CN"/>
          <w14:textFill>
            <w14:solidFill>
              <w14:schemeClr w14:val="tx1"/>
            </w14:solidFill>
          </w14:textFill>
        </w:rPr>
        <w:t>40、 投诉</w:t>
      </w:r>
      <w:bookmarkEnd w:id="179"/>
      <w:bookmarkEnd w:id="181"/>
      <w:bookmarkEnd w:id="182"/>
      <w:bookmarkEnd w:id="183"/>
    </w:p>
    <w:p w14:paraId="7E103B80">
      <w:pPr>
        <w:shd w:val="clear"/>
        <w:adjustRightInd w:val="0"/>
        <w:snapToGrid w:val="0"/>
        <w:spacing w:line="360" w:lineRule="auto"/>
        <w:ind w:firstLine="480" w:firstLineChars="200"/>
        <w:outlineLvl w:val="2"/>
        <w:rPr>
          <w:rFonts w:hint="eastAsia" w:ascii="宋体" w:hAnsi="宋体" w:eastAsia="宋体" w:cs="宋体"/>
          <w:bCs/>
          <w:color w:val="000000" w:themeColor="text1"/>
          <w:kern w:val="44"/>
          <w:szCs w:val="4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供应商和其他利害关系人认为本次招标活动违反法律、法规和规章规定的，有权向有关行政监督部门投诉。</w:t>
      </w:r>
    </w:p>
    <w:p w14:paraId="6099257A">
      <w:pPr>
        <w:pStyle w:val="6"/>
        <w:keepNext/>
        <w:keepLines/>
        <w:pageBreakBefore w:val="0"/>
        <w:widowControl w:val="0"/>
        <w:shd w:val="clear"/>
        <w:kinsoku/>
        <w:wordWrap/>
        <w:overflowPunct/>
        <w:topLinePunct w:val="0"/>
        <w:autoSpaceDE/>
        <w:autoSpaceDN/>
        <w:bidi w:val="0"/>
        <w:adjustRightInd/>
        <w:snapToGrid/>
        <w:spacing w:after="20" w:line="360" w:lineRule="auto"/>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41、其他</w:t>
      </w:r>
    </w:p>
    <w:p w14:paraId="5133D79C">
      <w:pPr>
        <w:shd w:val="clea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依据陕财办采资〔2018〕26号文件的规定，采用竞争性磋商采购方式的货物、服务项目，参加采购活动或符合采购需求的供应商只有一家，经磋商小组审核认为竞争性磋商文件没有倾向性、歧视性条款，采购人不改变采购需求，且同意转为单一来源方式采购，可以现场自行决定采用，不再进行公示。</w:t>
      </w:r>
    </w:p>
    <w:p w14:paraId="4DDCF95E">
      <w:pPr>
        <w:shd w:val="clea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2、转变为单一来源采购方式后，实行多轮报价，磋商报价为一次报价，如采购需求没有实质性变化，供应商报价应逐次降低，本次报价超过上次报价为无效报价，出现相同报价的，可再次报价。</w:t>
      </w:r>
    </w:p>
    <w:p w14:paraId="5E9D572D">
      <w:pPr>
        <w:shd w:val="clea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w:t>
      </w:r>
      <w:r>
        <w:rPr>
          <w:rFonts w:hint="eastAsia" w:ascii="宋体" w:hAnsi="宋体" w:eastAsia="宋体" w:cs="宋体"/>
          <w:color w:val="000000" w:themeColor="text1"/>
          <w:sz w:val="24"/>
          <w:lang w:val="en-US" w:eastAsia="zh-CN"/>
          <w14:textFill>
            <w14:solidFill>
              <w14:schemeClr w14:val="tx1"/>
            </w14:solidFill>
          </w14:textFill>
        </w:rPr>
        <w:t>管理</w:t>
      </w:r>
      <w:r>
        <w:rPr>
          <w:rFonts w:hint="eastAsia" w:ascii="宋体" w:hAnsi="宋体" w:eastAsia="宋体" w:cs="宋体"/>
          <w:color w:val="000000" w:themeColor="text1"/>
          <w:sz w:val="24"/>
          <w14:textFill>
            <w14:solidFill>
              <w14:schemeClr w14:val="tx1"/>
            </w14:solidFill>
          </w14:textFill>
        </w:rPr>
        <w:t>办法》（财库〔20</w:t>
      </w:r>
      <w:r>
        <w:rPr>
          <w:rFonts w:hint="eastAsia" w:ascii="宋体" w:hAnsi="宋体" w:eastAsia="宋体" w:cs="宋体"/>
          <w:color w:val="000000" w:themeColor="text1"/>
          <w:sz w:val="24"/>
          <w:lang w:val="en-US" w:eastAsia="zh-CN"/>
          <w14:textFill>
            <w14:solidFill>
              <w14:schemeClr w14:val="tx1"/>
            </w14:solidFill>
          </w14:textFill>
        </w:rPr>
        <w:t>20</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46</w:t>
      </w:r>
      <w:r>
        <w:rPr>
          <w:rFonts w:hint="eastAsia" w:ascii="宋体" w:hAnsi="宋体" w:eastAsia="宋体" w:cs="宋体"/>
          <w:color w:val="000000" w:themeColor="text1"/>
          <w:sz w:val="24"/>
          <w14:textFill>
            <w14:solidFill>
              <w14:schemeClr w14:val="tx1"/>
            </w14:solidFill>
          </w14:textFill>
        </w:rPr>
        <w:t>号）、《陕西省中小企业政府采购信用融资办法》（陕财办采[2018]23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http://www.ccgp-shaanxi.gov.cn/zcdservice/zcd/shanxi/）在线申请，依法参加政府采购信用融资活动。</w:t>
      </w:r>
    </w:p>
    <w:p w14:paraId="636DC2B7">
      <w:pPr>
        <w:shd w:val="clear"/>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目前的合作银行有：北京银行、中国建设银行、中信银行、中国平安银行、中国光大银行、浦发银行、兴业银行、中国工商银行、秦农银行、浙商银行、中国银行、西安银行、中国农业银行、中国邮政储蓄银行（排名不分先后）。</w:t>
      </w:r>
    </w:p>
    <w:p w14:paraId="37CD8CB1">
      <w:pPr>
        <w:pStyle w:val="15"/>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kern w:val="2"/>
          <w:sz w:val="24"/>
          <w:lang w:val="en-US" w:eastAsia="zh-CN" w:bidi="ar-SA"/>
          <w14:textFill>
            <w14:solidFill>
              <w14:schemeClr w14:val="tx1"/>
            </w14:solidFill>
          </w14:textFill>
        </w:rPr>
      </w:pPr>
      <w:r>
        <w:rPr>
          <w:rFonts w:hint="eastAsia" w:ascii="宋体" w:hAnsi="宋体" w:eastAsia="宋体" w:cs="宋体"/>
          <w:color w:val="000000" w:themeColor="text1"/>
          <w:kern w:val="2"/>
          <w:sz w:val="24"/>
          <w:lang w:val="en-US" w:eastAsia="zh-CN" w:bidi="ar-SA"/>
          <w14:textFill>
            <w14:solidFill>
              <w14:schemeClr w14:val="tx1"/>
            </w14:solidFill>
          </w14:textFill>
        </w:rPr>
        <w:t>4、根据榆政财采函(2021]14号  榆林市财政局关于优化营商环境推进政府采购公开透明有关注意事项的通知  市级各部门各单位、市级政府采购中心、各政府采购代理机构:</w:t>
      </w:r>
    </w:p>
    <w:p w14:paraId="4240ADF1">
      <w:pPr>
        <w:pStyle w:val="15"/>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kern w:val="2"/>
          <w:sz w:val="24"/>
          <w:lang w:val="en-US" w:eastAsia="zh-CN" w:bidi="ar-SA"/>
          <w14:textFill>
            <w14:solidFill>
              <w14:schemeClr w14:val="tx1"/>
            </w14:solidFill>
          </w14:textFill>
        </w:rPr>
      </w:pPr>
      <w:r>
        <w:rPr>
          <w:rFonts w:hint="eastAsia" w:ascii="宋体" w:hAnsi="宋体" w:eastAsia="宋体" w:cs="宋体"/>
          <w:color w:val="000000" w:themeColor="text1"/>
          <w:kern w:val="2"/>
          <w:sz w:val="24"/>
          <w:lang w:val="en-US" w:eastAsia="zh-CN" w:bidi="ar-SA"/>
          <w14:textFill>
            <w14:solidFill>
              <w14:schemeClr w14:val="tx1"/>
            </w14:solidFill>
          </w14:textFill>
        </w:rPr>
        <w:t>为了进一步强化公平公正，营造良好的市场竞争环境，根据《中共榆林市委办公室榆林市人民政府办公室关于印发〈榆林市“审批不见面、办事不求人”专项行动方案〉的通知》(榆办发〔2021]6号)精神，现将优化营商环境推进政府采购公开透明有关注意事项通知如下:</w:t>
      </w:r>
    </w:p>
    <w:p w14:paraId="0B62FE64">
      <w:pPr>
        <w:pStyle w:val="15"/>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kern w:val="2"/>
          <w:sz w:val="24"/>
          <w:lang w:val="en-US" w:eastAsia="zh-CN" w:bidi="ar-SA"/>
          <w14:textFill>
            <w14:solidFill>
              <w14:schemeClr w14:val="tx1"/>
            </w14:solidFill>
          </w14:textFill>
        </w:rPr>
      </w:pPr>
      <w:r>
        <w:rPr>
          <w:rFonts w:hint="eastAsia" w:ascii="宋体" w:hAnsi="宋体" w:eastAsia="宋体" w:cs="宋体"/>
          <w:color w:val="000000" w:themeColor="text1"/>
          <w:kern w:val="2"/>
          <w:sz w:val="24"/>
          <w:lang w:val="en-US" w:eastAsia="zh-CN" w:bidi="ar-SA"/>
          <w14:textFill>
            <w14:solidFill>
              <w14:schemeClr w14:val="tx1"/>
            </w14:solidFill>
          </w14:textFill>
        </w:rPr>
        <w:t>一、提升政府采购的效率，探索推行中标结束后十天内签署合同等举措。</w:t>
      </w:r>
    </w:p>
    <w:p w14:paraId="60371D76">
      <w:pPr>
        <w:pStyle w:val="15"/>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kern w:val="2"/>
          <w:sz w:val="24"/>
          <w:lang w:val="en-US" w:eastAsia="zh-CN" w:bidi="ar-SA"/>
          <w14:textFill>
            <w14:solidFill>
              <w14:schemeClr w14:val="tx1"/>
            </w14:solidFill>
          </w14:textFill>
        </w:rPr>
      </w:pPr>
      <w:r>
        <w:rPr>
          <w:rFonts w:hint="eastAsia" w:ascii="宋体" w:hAnsi="宋体" w:eastAsia="宋体" w:cs="宋体"/>
          <w:color w:val="000000" w:themeColor="text1"/>
          <w:kern w:val="2"/>
          <w:sz w:val="24"/>
          <w:lang w:val="en-US" w:eastAsia="zh-CN" w:bidi="ar-SA"/>
          <w14:textFill>
            <w14:solidFill>
              <w14:schemeClr w14:val="tx1"/>
            </w14:solidFill>
          </w14:textFill>
        </w:rPr>
        <w:t>二、提升政府采购的透明度，向未中标企业书面告知原因。</w:t>
      </w:r>
    </w:p>
    <w:p w14:paraId="714B1EF2">
      <w:pPr>
        <w:pStyle w:val="15"/>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kern w:val="2"/>
          <w:sz w:val="24"/>
          <w:lang w:val="en-US" w:eastAsia="zh-CN" w:bidi="ar-SA"/>
          <w14:textFill>
            <w14:solidFill>
              <w14:schemeClr w14:val="tx1"/>
            </w14:solidFill>
          </w14:textFill>
        </w:rPr>
      </w:pPr>
      <w:r>
        <w:rPr>
          <w:rFonts w:hint="eastAsia" w:ascii="宋体" w:hAnsi="宋体" w:eastAsia="宋体" w:cs="宋体"/>
          <w:color w:val="000000" w:themeColor="text1"/>
          <w:kern w:val="2"/>
          <w:sz w:val="24"/>
          <w:lang w:val="en-US" w:eastAsia="zh-CN" w:bidi="ar-SA"/>
          <w14:textFill>
            <w14:solidFill>
              <w14:schemeClr w14:val="tx1"/>
            </w14:solidFill>
          </w14:textFill>
        </w:rPr>
        <w:t>三、加强政府采购领域对中小微企业支持力度，加大价格评审优惠力度，明确对非专门面向中小微企业采购的项目，对小型和微型企业产品的价格按照上限标准的10%给予扣除。</w:t>
      </w:r>
    </w:p>
    <w:p w14:paraId="2E1164F0">
      <w:pPr>
        <w:pStyle w:val="15"/>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kern w:val="2"/>
          <w:sz w:val="24"/>
          <w:lang w:val="en-US" w:eastAsia="zh-CN" w:bidi="ar-SA"/>
          <w14:textFill>
            <w14:solidFill>
              <w14:schemeClr w14:val="tx1"/>
            </w14:solidFill>
          </w14:textFill>
        </w:rPr>
      </w:pPr>
      <w:r>
        <w:rPr>
          <w:rFonts w:hint="eastAsia" w:ascii="宋体" w:hAnsi="宋体" w:eastAsia="宋体" w:cs="宋体"/>
          <w:color w:val="000000" w:themeColor="text1"/>
          <w:kern w:val="2"/>
          <w:sz w:val="24"/>
          <w:lang w:val="en-US" w:eastAsia="zh-CN" w:bidi="ar-SA"/>
          <w14:textFill>
            <w14:solidFill>
              <w14:schemeClr w14:val="tx1"/>
            </w14:solidFill>
          </w14:textFill>
        </w:rPr>
        <w:t>四、合理精简供应商证明材料，对于可通过互联网或者相关信息系统查询的信息，供应商无须提供证明材料;对于供应商依照规定提交各类声明函、承诺函的，不得要求再提供相关部门出具的证明文件。</w:t>
      </w:r>
    </w:p>
    <w:p w14:paraId="038A08B4">
      <w:pPr>
        <w:pStyle w:val="15"/>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kern w:val="2"/>
          <w:sz w:val="24"/>
          <w:lang w:val="en-US" w:eastAsia="zh-CN" w:bidi="ar-SA"/>
          <w14:textFill>
            <w14:solidFill>
              <w14:schemeClr w14:val="tx1"/>
            </w14:solidFill>
          </w14:textFill>
        </w:rPr>
      </w:pPr>
      <w:r>
        <w:rPr>
          <w:rFonts w:hint="eastAsia" w:ascii="宋体" w:hAnsi="宋体" w:eastAsia="宋体" w:cs="宋体"/>
          <w:color w:val="000000" w:themeColor="text1"/>
          <w:kern w:val="2"/>
          <w:sz w:val="24"/>
          <w:lang w:val="en-US" w:eastAsia="zh-CN" w:bidi="ar-SA"/>
          <w14:textFill>
            <w14:solidFill>
              <w14:schemeClr w14:val="tx1"/>
            </w14:solidFill>
          </w14:textFill>
        </w:rPr>
        <w:t>五、减轻供应商资金压力，采购人不得收取没有法律法规依据的保证金,优化投标保证金收取及退还，鼓励采购人免收、少收投标保证金。</w:t>
      </w:r>
    </w:p>
    <w:p w14:paraId="63ADF4CD">
      <w:pPr>
        <w:pStyle w:val="15"/>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kern w:val="2"/>
          <w:sz w:val="24"/>
          <w:lang w:val="en-US" w:eastAsia="zh-CN" w:bidi="ar-SA"/>
          <w14:textFill>
            <w14:solidFill>
              <w14:schemeClr w14:val="tx1"/>
            </w14:solidFill>
          </w14:textFill>
        </w:rPr>
      </w:pPr>
      <w:r>
        <w:rPr>
          <w:rFonts w:hint="eastAsia" w:ascii="宋体" w:hAnsi="宋体" w:eastAsia="宋体" w:cs="宋体"/>
          <w:color w:val="000000" w:themeColor="text1"/>
          <w:kern w:val="2"/>
          <w:sz w:val="24"/>
          <w:lang w:val="en-US" w:eastAsia="zh-CN" w:bidi="ar-SA"/>
          <w14:textFill>
            <w14:solidFill>
              <w14:schemeClr w14:val="tx1"/>
            </w14:solidFill>
          </w14:textFill>
        </w:rPr>
        <w:t>六、支持供应商以金融机构、担保机构出具的保函代替履约保证金，减少供应商资金占用。</w:t>
      </w:r>
    </w:p>
    <w:p w14:paraId="69F6A341">
      <w:pPr>
        <w:pStyle w:val="15"/>
        <w:shd w:val="clear"/>
        <w:rPr>
          <w:rFonts w:hint="eastAsia" w:ascii="宋体" w:hAnsi="宋体" w:eastAsia="宋体" w:cs="宋体"/>
          <w:color w:val="000000" w:themeColor="text1"/>
          <w:lang w:val="en-US" w:eastAsia="zh-CN"/>
          <w14:textFill>
            <w14:solidFill>
              <w14:schemeClr w14:val="tx1"/>
            </w14:solidFill>
          </w14:textFill>
        </w:rPr>
      </w:pPr>
    </w:p>
    <w:p w14:paraId="069F8984">
      <w:pPr>
        <w:pStyle w:val="4"/>
        <w:shd w:val="clear"/>
        <w:rPr>
          <w:rFonts w:hint="eastAsia" w:ascii="宋体" w:hAnsi="宋体" w:eastAsia="宋体" w:cs="宋体"/>
          <w:color w:val="000000" w:themeColor="text1"/>
          <w:lang w:val="en-US" w:eastAsia="zh-CN"/>
          <w14:textFill>
            <w14:solidFill>
              <w14:schemeClr w14:val="tx1"/>
            </w14:solidFill>
          </w14:textFill>
        </w:rPr>
      </w:pPr>
    </w:p>
    <w:p w14:paraId="53031D27">
      <w:pPr>
        <w:pStyle w:val="45"/>
        <w:keepNext/>
        <w:keepLines/>
        <w:pageBreakBefore w:val="0"/>
        <w:widowControl w:val="0"/>
        <w:shd w:val="clear"/>
        <w:kinsoku/>
        <w:wordWrap/>
        <w:overflowPunct/>
        <w:topLinePunct w:val="0"/>
        <w:autoSpaceDE/>
        <w:autoSpaceDN/>
        <w:bidi w:val="0"/>
        <w:adjustRightInd w:val="0"/>
        <w:snapToGrid w:val="0"/>
        <w:spacing w:before="0" w:line="360" w:lineRule="auto"/>
        <w:ind w:firstLine="723" w:firstLineChars="200"/>
        <w:textAlignment w:val="auto"/>
        <w:outlineLvl w:val="2"/>
        <w:rPr>
          <w:rFonts w:hint="eastAsia" w:ascii="宋体" w:hAnsi="宋体" w:eastAsia="宋体" w:cs="宋体"/>
          <w:b/>
          <w:bCs w:val="0"/>
          <w:color w:val="000000" w:themeColor="text1"/>
          <w:kern w:val="2"/>
          <w:sz w:val="36"/>
          <w:szCs w:val="32"/>
          <w:lang w:val="en-US" w:eastAsia="zh-CN" w:bidi="ar-SA"/>
          <w14:textFill>
            <w14:solidFill>
              <w14:schemeClr w14:val="tx1"/>
            </w14:solidFill>
          </w14:textFill>
        </w:rPr>
      </w:pPr>
      <w:bookmarkStart w:id="184" w:name="_Toc24484"/>
      <w:r>
        <w:rPr>
          <w:rFonts w:hint="eastAsia" w:ascii="宋体" w:hAnsi="宋体" w:eastAsia="宋体" w:cs="宋体"/>
          <w:b/>
          <w:bCs w:val="0"/>
          <w:color w:val="000000" w:themeColor="text1"/>
          <w:kern w:val="2"/>
          <w:sz w:val="36"/>
          <w:szCs w:val="32"/>
          <w:lang w:val="en-US" w:eastAsia="zh-CN" w:bidi="ar-SA"/>
          <w14:textFill>
            <w14:solidFill>
              <w14:schemeClr w14:val="tx1"/>
            </w14:solidFill>
          </w14:textFill>
        </w:rPr>
        <w:t>H其它事项</w:t>
      </w:r>
      <w:bookmarkEnd w:id="184"/>
    </w:p>
    <w:p w14:paraId="5EB1D982">
      <w:pPr>
        <w:shd w:val="clea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磋商步骤为：第一次报价---初步评审---分别磋商---第二次报价---综合评审推荐成交候选人。（以供应商递交的磋商响应文件中的总报价为第一次报价。分别磋商后，供应商现场填报的磋商响应总报价为第二次报价）</w:t>
      </w:r>
    </w:p>
    <w:p w14:paraId="3BF32436">
      <w:pPr>
        <w:shd w:val="clea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4F68C848">
      <w:pPr>
        <w:shd w:val="clea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采用竞争性磋商采购方式采购的政府购买服务项目（含政府和社会资本合作项目），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3B6801A1">
      <w:pPr>
        <w:shd w:val="clea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p>
    <w:p w14:paraId="3C1D34CC">
      <w:pPr>
        <w:shd w:val="clea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7F108434">
      <w:pPr>
        <w:shd w:val="clea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5EBC5D3D">
      <w:pPr>
        <w:shd w:val="clea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42FF3EEF">
      <w:pPr>
        <w:shd w:val="clea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15F71DFA">
      <w:pPr>
        <w:shd w:val="clea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668F037D">
      <w:pPr>
        <w:shd w:val="clea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5E11EA9C">
      <w:pPr>
        <w:shd w:val="clea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1CE641E5">
      <w:pPr>
        <w:shd w:val="clea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2CC5E066">
      <w:pPr>
        <w:shd w:val="clear"/>
        <w:rPr>
          <w:rFonts w:hint="eastAsia" w:ascii="宋体" w:hAnsi="宋体" w:eastAsia="宋体" w:cs="宋体"/>
          <w:sz w:val="24"/>
        </w:rPr>
      </w:pPr>
    </w:p>
    <w:p w14:paraId="61F43951">
      <w:pPr>
        <w:pStyle w:val="2"/>
        <w:shd w:val="clear"/>
        <w:rPr>
          <w:rFonts w:hint="eastAsia" w:ascii="宋体" w:hAnsi="宋体" w:eastAsia="宋体" w:cs="宋体"/>
          <w:sz w:val="24"/>
        </w:rPr>
      </w:pPr>
    </w:p>
    <w:p w14:paraId="3BEC9291">
      <w:pPr>
        <w:shd w:val="clear"/>
        <w:rPr>
          <w:rFonts w:hint="eastAsia" w:ascii="宋体" w:hAnsi="宋体" w:eastAsia="宋体" w:cs="宋体"/>
          <w:sz w:val="24"/>
        </w:rPr>
      </w:pPr>
    </w:p>
    <w:p w14:paraId="367145A1">
      <w:pPr>
        <w:pStyle w:val="2"/>
        <w:shd w:val="clear"/>
        <w:rPr>
          <w:rFonts w:hint="eastAsia" w:ascii="宋体" w:hAnsi="宋体" w:eastAsia="宋体" w:cs="宋体"/>
          <w:sz w:val="24"/>
        </w:rPr>
      </w:pPr>
    </w:p>
    <w:p w14:paraId="4301919B">
      <w:pPr>
        <w:shd w:val="clear"/>
        <w:rPr>
          <w:rFonts w:hint="eastAsia" w:ascii="宋体" w:hAnsi="宋体" w:eastAsia="宋体" w:cs="宋体"/>
          <w:sz w:val="24"/>
        </w:rPr>
      </w:pPr>
    </w:p>
    <w:p w14:paraId="32E44BAC">
      <w:pPr>
        <w:pStyle w:val="2"/>
        <w:shd w:val="clear"/>
        <w:rPr>
          <w:rFonts w:hint="eastAsia" w:ascii="宋体" w:hAnsi="宋体" w:eastAsia="宋体" w:cs="宋体"/>
        </w:rPr>
      </w:pPr>
    </w:p>
    <w:p w14:paraId="6202C756">
      <w:pPr>
        <w:shd w:val="clear"/>
        <w:rPr>
          <w:rFonts w:hint="eastAsia" w:ascii="宋体" w:hAnsi="宋体" w:eastAsia="宋体" w:cs="宋体"/>
        </w:rPr>
      </w:pPr>
    </w:p>
    <w:p w14:paraId="61FFC397">
      <w:pPr>
        <w:pStyle w:val="15"/>
        <w:shd w:val="clear"/>
        <w:rPr>
          <w:rFonts w:hint="eastAsia" w:ascii="宋体" w:hAnsi="宋体" w:eastAsia="宋体" w:cs="宋体"/>
        </w:rPr>
      </w:pPr>
    </w:p>
    <w:p w14:paraId="44A618D7">
      <w:pPr>
        <w:pStyle w:val="16"/>
        <w:numPr>
          <w:ilvl w:val="2"/>
          <w:numId w:val="0"/>
        </w:numPr>
        <w:shd w:val="clear"/>
        <w:ind w:left="200" w:leftChars="0"/>
        <w:rPr>
          <w:rFonts w:hint="eastAsia" w:ascii="宋体" w:hAnsi="宋体" w:eastAsia="宋体" w:cs="宋体"/>
        </w:rPr>
      </w:pPr>
    </w:p>
    <w:p w14:paraId="6658C84F">
      <w:pPr>
        <w:pStyle w:val="16"/>
        <w:numPr>
          <w:ilvl w:val="2"/>
          <w:numId w:val="0"/>
        </w:numPr>
        <w:shd w:val="clear"/>
        <w:ind w:left="200" w:leftChars="0"/>
        <w:rPr>
          <w:rFonts w:hint="eastAsia" w:ascii="宋体" w:hAnsi="宋体" w:eastAsia="宋体" w:cs="宋体"/>
        </w:rPr>
      </w:pPr>
    </w:p>
    <w:p w14:paraId="20A05906">
      <w:pPr>
        <w:shd w:val="clear"/>
        <w:spacing w:line="360" w:lineRule="auto"/>
        <w:ind w:firstLine="480" w:firstLineChars="200"/>
        <w:rPr>
          <w:rFonts w:hint="eastAsia" w:ascii="宋体" w:hAnsi="宋体" w:eastAsia="宋体" w:cs="宋体"/>
          <w:sz w:val="24"/>
        </w:rPr>
      </w:pPr>
    </w:p>
    <w:p w14:paraId="7BF0AEFD">
      <w:pPr>
        <w:shd w:val="clear"/>
        <w:spacing w:line="360" w:lineRule="auto"/>
        <w:jc w:val="center"/>
        <w:rPr>
          <w:rFonts w:hint="eastAsia" w:ascii="宋体" w:hAnsi="宋体" w:eastAsia="宋体" w:cs="宋体"/>
          <w:b/>
          <w:bCs/>
          <w:sz w:val="40"/>
          <w:szCs w:val="18"/>
        </w:rPr>
      </w:pPr>
      <w:r>
        <w:rPr>
          <w:rFonts w:hint="eastAsia" w:ascii="宋体" w:hAnsi="宋体" w:eastAsia="宋体" w:cs="宋体"/>
          <w:b/>
          <w:bCs/>
          <w:sz w:val="40"/>
          <w:szCs w:val="18"/>
        </w:rPr>
        <w:t>第三章  评标方法和标准</w:t>
      </w:r>
    </w:p>
    <w:p w14:paraId="256B542A">
      <w:pPr>
        <w:numPr>
          <w:ilvl w:val="0"/>
          <w:numId w:val="7"/>
        </w:numPr>
        <w:shd w:val="clear"/>
        <w:spacing w:line="360" w:lineRule="auto"/>
        <w:ind w:left="287"/>
        <w:jc w:val="left"/>
        <w:rPr>
          <w:rFonts w:hint="eastAsia" w:ascii="宋体" w:hAnsi="宋体" w:eastAsia="宋体" w:cs="宋体"/>
        </w:rPr>
      </w:pPr>
      <w:r>
        <w:rPr>
          <w:rFonts w:hint="eastAsia" w:ascii="宋体" w:hAnsi="宋体" w:eastAsia="宋体" w:cs="宋体"/>
          <w:sz w:val="24"/>
        </w:rPr>
        <w:t>本项目采用综合评分法进行评审，总分为</w:t>
      </w:r>
      <w:r>
        <w:rPr>
          <w:rFonts w:hint="eastAsia" w:ascii="宋体" w:hAnsi="宋体" w:eastAsia="宋体" w:cs="宋体"/>
          <w:sz w:val="24"/>
          <w:u w:val="single"/>
        </w:rPr>
        <w:t>100</w:t>
      </w:r>
      <w:r>
        <w:rPr>
          <w:rFonts w:hint="eastAsia" w:ascii="宋体" w:hAnsi="宋体" w:eastAsia="宋体" w:cs="宋体"/>
          <w:sz w:val="24"/>
        </w:rPr>
        <w:t>分。</w:t>
      </w:r>
    </w:p>
    <w:p w14:paraId="0F14B3B6">
      <w:pPr>
        <w:numPr>
          <w:ilvl w:val="0"/>
          <w:numId w:val="7"/>
        </w:numPr>
        <w:shd w:val="clear"/>
        <w:spacing w:line="360" w:lineRule="auto"/>
        <w:ind w:left="287"/>
        <w:jc w:val="left"/>
        <w:rPr>
          <w:rFonts w:hint="eastAsia" w:ascii="宋体" w:hAnsi="宋体" w:eastAsia="宋体" w:cs="宋体"/>
        </w:rPr>
      </w:pPr>
      <w:r>
        <w:rPr>
          <w:rFonts w:hint="eastAsia" w:ascii="宋体" w:hAnsi="宋体" w:eastAsia="宋体" w:cs="宋体"/>
          <w:sz w:val="24"/>
        </w:rPr>
        <w:t>磋商小组将对实质上响应磋商文件要求的竞争性磋商响应文件按照磋商文件中规定的各项因素进行综合评审，评审总得分最高的供应商作为成交候选人。</w:t>
      </w:r>
    </w:p>
    <w:p w14:paraId="74074769">
      <w:pPr>
        <w:numPr>
          <w:ilvl w:val="0"/>
          <w:numId w:val="7"/>
        </w:numPr>
        <w:shd w:val="clear"/>
        <w:spacing w:line="360" w:lineRule="auto"/>
        <w:ind w:left="287"/>
        <w:jc w:val="left"/>
        <w:rPr>
          <w:rFonts w:hint="eastAsia" w:ascii="宋体" w:hAnsi="宋体" w:eastAsia="宋体" w:cs="宋体"/>
          <w:sz w:val="24"/>
        </w:rPr>
      </w:pPr>
      <w:r>
        <w:rPr>
          <w:rFonts w:hint="eastAsia" w:ascii="宋体" w:hAnsi="宋体" w:eastAsia="宋体" w:cs="宋体"/>
          <w:bCs/>
          <w:sz w:val="24"/>
        </w:rPr>
        <w:t>评审分值：</w:t>
      </w:r>
    </w:p>
    <w:tbl>
      <w:tblPr>
        <w:tblStyle w:val="25"/>
        <w:tblpPr w:leftFromText="180" w:rightFromText="180" w:vertAnchor="text" w:horzAnchor="page" w:tblpX="1810" w:tblpY="454"/>
        <w:tblOverlap w:val="never"/>
        <w:tblW w:w="8719" w:type="dxa"/>
        <w:tblInd w:w="0" w:type="dxa"/>
        <w:tblLayout w:type="fixed"/>
        <w:tblCellMar>
          <w:top w:w="15" w:type="dxa"/>
          <w:left w:w="15" w:type="dxa"/>
          <w:bottom w:w="15" w:type="dxa"/>
          <w:right w:w="15" w:type="dxa"/>
        </w:tblCellMar>
      </w:tblPr>
      <w:tblGrid>
        <w:gridCol w:w="1112"/>
        <w:gridCol w:w="7607"/>
      </w:tblGrid>
      <w:tr w14:paraId="321532E2">
        <w:tblPrEx>
          <w:tblCellMar>
            <w:top w:w="15" w:type="dxa"/>
            <w:left w:w="15" w:type="dxa"/>
            <w:bottom w:w="15" w:type="dxa"/>
            <w:right w:w="15" w:type="dxa"/>
          </w:tblCellMar>
        </w:tblPrEx>
        <w:trPr>
          <w:trHeight w:val="739" w:hRule="atLeast"/>
        </w:trPr>
        <w:tc>
          <w:tcPr>
            <w:tcW w:w="1112" w:type="dxa"/>
            <w:tcBorders>
              <w:top w:val="single" w:color="000000" w:sz="4" w:space="0"/>
              <w:left w:val="single" w:color="000000" w:sz="4" w:space="0"/>
              <w:bottom w:val="single" w:color="000000" w:sz="4" w:space="0"/>
              <w:right w:val="single" w:color="000000" w:sz="4" w:space="0"/>
            </w:tcBorders>
            <w:noWrap w:val="0"/>
            <w:vAlign w:val="center"/>
          </w:tcPr>
          <w:p w14:paraId="4B40037E">
            <w:pPr>
              <w:widowControl/>
              <w:shd w:val="clear"/>
              <w:adjustRightInd w:val="0"/>
              <w:snapToGrid w:val="0"/>
              <w:spacing w:line="360" w:lineRule="auto"/>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评分项</w:t>
            </w:r>
          </w:p>
        </w:tc>
        <w:tc>
          <w:tcPr>
            <w:tcW w:w="7607" w:type="dxa"/>
            <w:tcBorders>
              <w:top w:val="single" w:color="000000" w:sz="4" w:space="0"/>
              <w:left w:val="single" w:color="000000" w:sz="4" w:space="0"/>
              <w:bottom w:val="single" w:color="000000" w:sz="4" w:space="0"/>
              <w:right w:val="single" w:color="000000" w:sz="4" w:space="0"/>
            </w:tcBorders>
            <w:noWrap w:val="0"/>
            <w:vAlign w:val="center"/>
          </w:tcPr>
          <w:p w14:paraId="1996055A">
            <w:pPr>
              <w:widowControl/>
              <w:shd w:val="clear"/>
              <w:adjustRightInd w:val="0"/>
              <w:snapToGrid w:val="0"/>
              <w:spacing w:line="360" w:lineRule="auto"/>
              <w:jc w:val="center"/>
              <w:textAlignment w:val="center"/>
              <w:rPr>
                <w:rFonts w:hint="eastAsia" w:ascii="宋体" w:hAnsi="宋体" w:eastAsia="宋体" w:cs="宋体"/>
                <w:sz w:val="24"/>
                <w:szCs w:val="24"/>
              </w:rPr>
            </w:pPr>
            <w:r>
              <w:rPr>
                <w:rFonts w:hint="eastAsia" w:ascii="宋体" w:hAnsi="宋体" w:eastAsia="宋体" w:cs="宋体"/>
                <w:b/>
                <w:bCs/>
                <w:sz w:val="24"/>
                <w:szCs w:val="24"/>
              </w:rPr>
              <w:t>评分标准</w:t>
            </w:r>
          </w:p>
        </w:tc>
      </w:tr>
      <w:tr w14:paraId="01CCA985">
        <w:tblPrEx>
          <w:tblCellMar>
            <w:top w:w="15" w:type="dxa"/>
            <w:left w:w="15" w:type="dxa"/>
            <w:bottom w:w="15" w:type="dxa"/>
            <w:right w:w="15" w:type="dxa"/>
          </w:tblCellMar>
        </w:tblPrEx>
        <w:trPr>
          <w:trHeight w:val="1856" w:hRule="atLeast"/>
        </w:trPr>
        <w:tc>
          <w:tcPr>
            <w:tcW w:w="1112" w:type="dxa"/>
            <w:tcBorders>
              <w:top w:val="single" w:color="000000" w:sz="4" w:space="0"/>
              <w:left w:val="single" w:color="000000" w:sz="4" w:space="0"/>
              <w:bottom w:val="single" w:color="auto" w:sz="4" w:space="0"/>
              <w:right w:val="single" w:color="000000" w:sz="4" w:space="0"/>
            </w:tcBorders>
            <w:noWrap w:val="0"/>
            <w:vAlign w:val="center"/>
          </w:tcPr>
          <w:p w14:paraId="7E0BE901">
            <w:pPr>
              <w:shd w:val="clear"/>
              <w:adjustRightInd w:val="0"/>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投标报价</w:t>
            </w:r>
          </w:p>
          <w:p w14:paraId="210EDEEA">
            <w:pPr>
              <w:shd w:val="clear"/>
              <w:adjustRightInd w:val="0"/>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（分）</w:t>
            </w:r>
          </w:p>
        </w:tc>
        <w:tc>
          <w:tcPr>
            <w:tcW w:w="7607" w:type="dxa"/>
            <w:tcBorders>
              <w:top w:val="single" w:color="000000" w:sz="4" w:space="0"/>
              <w:left w:val="single" w:color="000000" w:sz="4" w:space="0"/>
              <w:bottom w:val="single" w:color="auto" w:sz="4" w:space="0"/>
              <w:right w:val="single" w:color="000000" w:sz="4" w:space="0"/>
            </w:tcBorders>
            <w:noWrap w:val="0"/>
            <w:vAlign w:val="center"/>
          </w:tcPr>
          <w:p w14:paraId="444235EB">
            <w:pPr>
              <w:shd w:val="clea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本次招标价格分采用低价优先法计算，即满足招标文件要求且投标报价最低的投标报价为评标基准价，其价格分为满分。其他投标人的价格分统一按照下列公式计算：投标报价得分=（评标基准价/投标报价）×报价分权值×100</w:t>
            </w:r>
            <w:r>
              <w:rPr>
                <w:rFonts w:hint="eastAsia" w:ascii="宋体" w:hAnsi="宋体" w:eastAsia="宋体" w:cs="宋体"/>
                <w:sz w:val="24"/>
                <w:szCs w:val="24"/>
                <w:lang w:val="en-US" w:eastAsia="zh-CN"/>
              </w:rPr>
              <w:t xml:space="preserve"> </w:t>
            </w:r>
          </w:p>
        </w:tc>
      </w:tr>
      <w:tr w14:paraId="5977886C">
        <w:tblPrEx>
          <w:tblCellMar>
            <w:top w:w="15" w:type="dxa"/>
            <w:left w:w="15" w:type="dxa"/>
            <w:bottom w:w="15" w:type="dxa"/>
            <w:right w:w="15" w:type="dxa"/>
          </w:tblCellMar>
        </w:tblPrEx>
        <w:trPr>
          <w:trHeight w:val="1156" w:hRule="atLeast"/>
        </w:trPr>
        <w:tc>
          <w:tcPr>
            <w:tcW w:w="1112" w:type="dxa"/>
            <w:tcBorders>
              <w:top w:val="single" w:color="auto" w:sz="4" w:space="0"/>
              <w:left w:val="single" w:color="auto" w:sz="4" w:space="0"/>
              <w:bottom w:val="single" w:color="auto" w:sz="4" w:space="0"/>
              <w:right w:val="single" w:color="auto" w:sz="4" w:space="0"/>
            </w:tcBorders>
            <w:noWrap w:val="0"/>
            <w:vAlign w:val="center"/>
          </w:tcPr>
          <w:p w14:paraId="193B428C">
            <w:pPr>
              <w:shd w:val="clear"/>
              <w:adjustRightInd w:val="0"/>
              <w:snapToGrid w:val="0"/>
              <w:spacing w:line="360" w:lineRule="auto"/>
              <w:ind w:right="69" w:rightChars="33" w:hanging="10"/>
              <w:jc w:val="center"/>
              <w:rPr>
                <w:rFonts w:hint="eastAsia" w:ascii="宋体" w:hAnsi="宋体" w:eastAsia="宋体" w:cs="宋体"/>
                <w:b/>
                <w:bCs/>
                <w:sz w:val="24"/>
                <w:szCs w:val="24"/>
              </w:rPr>
            </w:pPr>
            <w:r>
              <w:rPr>
                <w:rFonts w:hint="eastAsia" w:ascii="宋体" w:hAnsi="宋体" w:eastAsia="宋体" w:cs="宋体"/>
                <w:b/>
                <w:bCs/>
                <w:sz w:val="24"/>
                <w:szCs w:val="24"/>
              </w:rPr>
              <w:t>类</w:t>
            </w:r>
            <w:r>
              <w:rPr>
                <w:rFonts w:hint="eastAsia" w:ascii="宋体" w:hAnsi="宋体" w:eastAsia="宋体" w:cs="宋体"/>
                <w:b/>
                <w:bCs/>
                <w:spacing w:val="-8"/>
                <w:sz w:val="24"/>
                <w:szCs w:val="24"/>
              </w:rPr>
              <w:t>似业绩（</w:t>
            </w:r>
            <w:r>
              <w:rPr>
                <w:rFonts w:hint="eastAsia" w:ascii="宋体" w:hAnsi="宋体" w:eastAsia="宋体" w:cs="宋体"/>
                <w:b/>
                <w:bCs/>
                <w:spacing w:val="-8"/>
                <w:sz w:val="24"/>
                <w:szCs w:val="24"/>
                <w:lang w:val="en-US" w:eastAsia="zh-CN"/>
              </w:rPr>
              <w:t>10</w:t>
            </w:r>
            <w:r>
              <w:rPr>
                <w:rFonts w:hint="eastAsia" w:ascii="宋体" w:hAnsi="宋体" w:eastAsia="宋体" w:cs="宋体"/>
                <w:b/>
                <w:bCs/>
                <w:spacing w:val="-8"/>
                <w:sz w:val="24"/>
                <w:szCs w:val="24"/>
              </w:rPr>
              <w:t>分）</w:t>
            </w:r>
          </w:p>
        </w:tc>
        <w:tc>
          <w:tcPr>
            <w:tcW w:w="7607" w:type="dxa"/>
            <w:tcBorders>
              <w:top w:val="single" w:color="auto" w:sz="4" w:space="0"/>
              <w:left w:val="single" w:color="auto" w:sz="4" w:space="0"/>
              <w:bottom w:val="single" w:color="auto" w:sz="4" w:space="0"/>
              <w:right w:val="single" w:color="auto" w:sz="4" w:space="0"/>
            </w:tcBorders>
            <w:noWrap w:val="0"/>
            <w:vAlign w:val="center"/>
          </w:tcPr>
          <w:p w14:paraId="79E2E68F">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提供近三年类似项目合同证明文件。每提供一份得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分，最高不超过</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分。（以提供合同复印件加盖公章为准</w:t>
            </w:r>
            <w:r>
              <w:rPr>
                <w:rFonts w:hint="eastAsia" w:ascii="宋体" w:hAnsi="宋体" w:eastAsia="宋体" w:cs="宋体"/>
                <w:color w:val="000000"/>
                <w:sz w:val="24"/>
                <w:szCs w:val="24"/>
                <w:lang w:val="en-US" w:eastAsia="zh-CN"/>
              </w:rPr>
              <w:t>附在响应文件中</w:t>
            </w:r>
            <w:r>
              <w:rPr>
                <w:rFonts w:hint="eastAsia" w:ascii="宋体" w:hAnsi="宋体" w:eastAsia="宋体" w:cs="宋体"/>
                <w:color w:val="000000"/>
                <w:sz w:val="24"/>
                <w:szCs w:val="24"/>
              </w:rPr>
              <w:t>）</w:t>
            </w:r>
          </w:p>
        </w:tc>
      </w:tr>
      <w:tr w14:paraId="69E65528">
        <w:tblPrEx>
          <w:tblCellMar>
            <w:top w:w="15" w:type="dxa"/>
            <w:left w:w="15" w:type="dxa"/>
            <w:bottom w:w="15" w:type="dxa"/>
            <w:right w:w="15" w:type="dxa"/>
          </w:tblCellMar>
        </w:tblPrEx>
        <w:trPr>
          <w:trHeight w:val="1156" w:hRule="atLeast"/>
        </w:trPr>
        <w:tc>
          <w:tcPr>
            <w:tcW w:w="11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68D0C4">
            <w:pPr>
              <w:shd w:val="clear"/>
              <w:autoSpaceDE w:val="0"/>
              <w:autoSpaceDN w:val="0"/>
              <w:adjustRightInd w:val="0"/>
              <w:snapToGrid w:val="0"/>
              <w:spacing w:line="360" w:lineRule="auto"/>
              <w:ind w:right="71" w:rightChars="34"/>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项目服务团队人员</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5分</w:t>
            </w:r>
            <w:r>
              <w:rPr>
                <w:rFonts w:hint="eastAsia" w:ascii="宋体" w:hAnsi="宋体" w:eastAsia="宋体" w:cs="宋体"/>
                <w:b/>
                <w:bCs/>
                <w:sz w:val="24"/>
                <w:szCs w:val="24"/>
                <w:lang w:eastAsia="zh-CN"/>
              </w:rPr>
              <w:t>）</w:t>
            </w:r>
          </w:p>
        </w:tc>
        <w:tc>
          <w:tcPr>
            <w:tcW w:w="7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5E4FA7">
            <w:pPr>
              <w:shd w:val="clea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(1)拟投入本项目的服务团队人员数量充足，专业完善，完全满足或高于项目需求，得</w:t>
            </w:r>
            <w:r>
              <w:rPr>
                <w:rFonts w:hint="eastAsia" w:ascii="宋体" w:hAnsi="宋体" w:eastAsia="宋体" w:cs="宋体"/>
                <w:color w:val="auto"/>
                <w:sz w:val="24"/>
                <w:szCs w:val="24"/>
                <w:lang w:val="en-US" w:eastAsia="zh-CN"/>
              </w:rPr>
              <w:t>2.1-5</w:t>
            </w:r>
            <w:r>
              <w:rPr>
                <w:rFonts w:hint="eastAsia" w:ascii="宋体" w:hAnsi="宋体" w:eastAsia="宋体" w:cs="宋体"/>
                <w:color w:val="auto"/>
                <w:sz w:val="24"/>
                <w:szCs w:val="24"/>
              </w:rPr>
              <w:t>分;</w:t>
            </w:r>
          </w:p>
          <w:p w14:paraId="5A11329A">
            <w:pPr>
              <w:shd w:val="clea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)拟投入本项目的服务团队人员数量基本充足，专业基本完善，能满足项目需求，得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w:t>
            </w:r>
          </w:p>
        </w:tc>
      </w:tr>
      <w:tr w14:paraId="6F8EB29F">
        <w:tblPrEx>
          <w:tblCellMar>
            <w:top w:w="15" w:type="dxa"/>
            <w:left w:w="15" w:type="dxa"/>
            <w:bottom w:w="15" w:type="dxa"/>
            <w:right w:w="15" w:type="dxa"/>
          </w:tblCellMar>
        </w:tblPrEx>
        <w:trPr>
          <w:trHeight w:val="1156" w:hRule="atLeast"/>
        </w:trPr>
        <w:tc>
          <w:tcPr>
            <w:tcW w:w="1112" w:type="dxa"/>
            <w:tcBorders>
              <w:top w:val="single" w:color="auto" w:sz="4" w:space="0"/>
              <w:left w:val="single" w:color="auto" w:sz="4" w:space="0"/>
              <w:bottom w:val="single" w:color="auto" w:sz="4" w:space="0"/>
              <w:right w:val="single" w:color="auto" w:sz="4" w:space="0"/>
            </w:tcBorders>
            <w:noWrap w:val="0"/>
            <w:vAlign w:val="center"/>
          </w:tcPr>
          <w:p w14:paraId="68E3736D">
            <w:pPr>
              <w:shd w:val="clear"/>
              <w:adjustRightInd w:val="0"/>
              <w:snapToGrid w:val="0"/>
              <w:spacing w:line="360" w:lineRule="auto"/>
              <w:ind w:right="69" w:rightChars="33" w:hanging="10"/>
              <w:jc w:val="center"/>
              <w:rPr>
                <w:rFonts w:hint="eastAsia" w:ascii="宋体" w:hAnsi="宋体" w:eastAsia="宋体" w:cs="宋体"/>
                <w:b/>
                <w:bCs/>
                <w:sz w:val="24"/>
                <w:szCs w:val="24"/>
                <w:lang w:eastAsia="zh-CN"/>
              </w:rPr>
            </w:pPr>
            <w:r>
              <w:rPr>
                <w:rFonts w:hint="eastAsia" w:ascii="宋体" w:hAnsi="宋体" w:eastAsia="宋体" w:cs="宋体"/>
                <w:b/>
                <w:bCs/>
                <w:sz w:val="24"/>
                <w:szCs w:val="24"/>
              </w:rPr>
              <w:t>整体策划方案</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25分</w:t>
            </w:r>
            <w:r>
              <w:rPr>
                <w:rFonts w:hint="eastAsia" w:ascii="宋体" w:hAnsi="宋体" w:eastAsia="宋体" w:cs="宋体"/>
                <w:b/>
                <w:bCs/>
                <w:sz w:val="24"/>
                <w:szCs w:val="24"/>
                <w:lang w:eastAsia="zh-CN"/>
              </w:rPr>
              <w:t>）</w:t>
            </w:r>
          </w:p>
        </w:tc>
        <w:tc>
          <w:tcPr>
            <w:tcW w:w="7607" w:type="dxa"/>
            <w:tcBorders>
              <w:top w:val="single" w:color="auto" w:sz="4" w:space="0"/>
              <w:left w:val="single" w:color="auto" w:sz="4" w:space="0"/>
              <w:bottom w:val="single" w:color="auto" w:sz="4" w:space="0"/>
              <w:right w:val="single" w:color="auto" w:sz="4" w:space="0"/>
            </w:tcBorders>
            <w:noWrap w:val="0"/>
            <w:vAlign w:val="center"/>
          </w:tcPr>
          <w:p w14:paraId="21205008">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对投标人提供的整体策划方案进行综合评价。</w:t>
            </w:r>
          </w:p>
          <w:p w14:paraId="4C2BA8AC">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(1)投标人整体策划方案完整贴合项日实际、具有针对性、运行及反馈机制、服务承诺完善、可操作性强得</w:t>
            </w:r>
            <w:r>
              <w:rPr>
                <w:rFonts w:hint="eastAsia" w:ascii="宋体" w:hAnsi="宋体" w:eastAsia="宋体" w:cs="宋体"/>
                <w:color w:val="000000"/>
                <w:sz w:val="24"/>
                <w:szCs w:val="24"/>
                <w:lang w:val="en-US" w:eastAsia="zh-CN"/>
              </w:rPr>
              <w:t>16.1-25</w:t>
            </w:r>
            <w:r>
              <w:rPr>
                <w:rFonts w:hint="eastAsia" w:ascii="宋体" w:hAnsi="宋体" w:eastAsia="宋体" w:cs="宋体"/>
                <w:color w:val="000000"/>
                <w:sz w:val="24"/>
                <w:szCs w:val="24"/>
              </w:rPr>
              <w:t>分;</w:t>
            </w:r>
          </w:p>
          <w:p w14:paraId="72320659">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(2)投标人整体策划方案基本完整，运行及反馈机制、服务承诺基本完善、具有可操作性，得</w:t>
            </w:r>
            <w:r>
              <w:rPr>
                <w:rFonts w:hint="eastAsia" w:ascii="宋体" w:hAnsi="宋体" w:eastAsia="宋体" w:cs="宋体"/>
                <w:color w:val="000000"/>
                <w:sz w:val="24"/>
                <w:szCs w:val="24"/>
                <w:lang w:val="en-US" w:eastAsia="zh-CN"/>
              </w:rPr>
              <w:t>8.1-16</w:t>
            </w:r>
            <w:r>
              <w:rPr>
                <w:rFonts w:hint="eastAsia" w:ascii="宋体" w:hAnsi="宋体" w:eastAsia="宋体" w:cs="宋体"/>
                <w:color w:val="000000"/>
                <w:sz w:val="24"/>
                <w:szCs w:val="24"/>
              </w:rPr>
              <w:t>分:</w:t>
            </w:r>
          </w:p>
          <w:p w14:paraId="2D445414">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(3)投标人整体策划方案不完整，运行及反馈机制服务承诺不完善、部分具有可操作性，得</w:t>
            </w:r>
            <w:r>
              <w:rPr>
                <w:rFonts w:hint="eastAsia" w:ascii="宋体" w:hAnsi="宋体" w:eastAsia="宋体" w:cs="宋体"/>
                <w:color w:val="000000"/>
                <w:sz w:val="24"/>
                <w:szCs w:val="24"/>
                <w:lang w:val="en-US" w:eastAsia="zh-CN"/>
              </w:rPr>
              <w:t>1-8</w:t>
            </w:r>
            <w:r>
              <w:rPr>
                <w:rFonts w:hint="eastAsia" w:ascii="宋体" w:hAnsi="宋体" w:eastAsia="宋体" w:cs="宋体"/>
                <w:color w:val="000000"/>
                <w:sz w:val="24"/>
                <w:szCs w:val="24"/>
              </w:rPr>
              <w:t>分;</w:t>
            </w:r>
          </w:p>
        </w:tc>
      </w:tr>
      <w:tr w14:paraId="3CB21888">
        <w:tblPrEx>
          <w:tblCellMar>
            <w:top w:w="15" w:type="dxa"/>
            <w:left w:w="15" w:type="dxa"/>
            <w:bottom w:w="15" w:type="dxa"/>
            <w:right w:w="15" w:type="dxa"/>
          </w:tblCellMar>
        </w:tblPrEx>
        <w:trPr>
          <w:trHeight w:val="591" w:hRule="atLeast"/>
        </w:trPr>
        <w:tc>
          <w:tcPr>
            <w:tcW w:w="1112" w:type="dxa"/>
            <w:tcBorders>
              <w:top w:val="single" w:color="auto" w:sz="4" w:space="0"/>
              <w:left w:val="single" w:color="auto" w:sz="4" w:space="0"/>
              <w:bottom w:val="single" w:color="auto" w:sz="4" w:space="0"/>
              <w:right w:val="single" w:color="auto" w:sz="4" w:space="0"/>
            </w:tcBorders>
            <w:noWrap w:val="0"/>
            <w:vAlign w:val="center"/>
          </w:tcPr>
          <w:p w14:paraId="5AC8764C">
            <w:pPr>
              <w:shd w:val="clear"/>
              <w:autoSpaceDE w:val="0"/>
              <w:autoSpaceDN w:val="0"/>
              <w:adjustRightInd w:val="0"/>
              <w:snapToGrid w:val="0"/>
              <w:spacing w:line="360" w:lineRule="auto"/>
              <w:ind w:right="71" w:rightChars="34"/>
              <w:jc w:val="center"/>
              <w:rPr>
                <w:rFonts w:hint="eastAsia" w:ascii="宋体" w:hAnsi="宋体" w:eastAsia="宋体" w:cs="宋体"/>
                <w:b/>
                <w:bCs/>
                <w:sz w:val="24"/>
                <w:szCs w:val="24"/>
              </w:rPr>
            </w:pPr>
            <w:r>
              <w:rPr>
                <w:rFonts w:hint="eastAsia" w:ascii="宋体" w:hAnsi="宋体" w:eastAsia="宋体" w:cs="宋体"/>
                <w:b/>
                <w:bCs/>
                <w:sz w:val="24"/>
                <w:szCs w:val="24"/>
              </w:rPr>
              <w:t>项目重点、难点的理解</w:t>
            </w:r>
          </w:p>
          <w:p w14:paraId="7EC0122D">
            <w:pPr>
              <w:shd w:val="clear"/>
              <w:autoSpaceDE w:val="0"/>
              <w:autoSpaceDN w:val="0"/>
              <w:adjustRightInd w:val="0"/>
              <w:snapToGrid w:val="0"/>
              <w:spacing w:line="360" w:lineRule="auto"/>
              <w:ind w:right="71" w:rightChars="34"/>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10分</w:t>
            </w:r>
            <w:r>
              <w:rPr>
                <w:rFonts w:hint="eastAsia" w:ascii="宋体" w:hAnsi="宋体" w:eastAsia="宋体" w:cs="宋体"/>
                <w:b/>
                <w:bCs/>
                <w:sz w:val="24"/>
                <w:szCs w:val="24"/>
                <w:lang w:eastAsia="zh-CN"/>
              </w:rPr>
              <w:t>）</w:t>
            </w:r>
          </w:p>
        </w:tc>
        <w:tc>
          <w:tcPr>
            <w:tcW w:w="7607" w:type="dxa"/>
            <w:tcBorders>
              <w:top w:val="single" w:color="auto" w:sz="4" w:space="0"/>
              <w:left w:val="single" w:color="auto" w:sz="4" w:space="0"/>
              <w:bottom w:val="single" w:color="auto" w:sz="4" w:space="0"/>
              <w:right w:val="single" w:color="auto" w:sz="4" w:space="0"/>
            </w:tcBorders>
            <w:noWrap w:val="0"/>
            <w:vAlign w:val="center"/>
          </w:tcPr>
          <w:p w14:paraId="526D0DF1">
            <w:pPr>
              <w:shd w:val="clea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对投标人提供的项目重点、难点的理解进行综合评价。</w:t>
            </w:r>
          </w:p>
          <w:p w14:paraId="5D799EB9">
            <w:pPr>
              <w:numPr>
                <w:ilvl w:val="0"/>
                <w:numId w:val="8"/>
              </w:numPr>
              <w:shd w:val="clea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项目重点、难点合理、完善，针对性强，得</w:t>
            </w:r>
            <w:r>
              <w:rPr>
                <w:rFonts w:hint="eastAsia" w:ascii="宋体" w:hAnsi="宋体" w:eastAsia="宋体" w:cs="宋体"/>
                <w:color w:val="auto"/>
                <w:sz w:val="24"/>
                <w:szCs w:val="24"/>
                <w:lang w:val="en-US" w:eastAsia="zh-CN"/>
              </w:rPr>
              <w:t>6.1-</w:t>
            </w:r>
            <w:r>
              <w:rPr>
                <w:rFonts w:hint="eastAsia" w:ascii="宋体" w:hAnsi="宋体" w:eastAsia="宋体" w:cs="宋体"/>
                <w:color w:val="auto"/>
                <w:sz w:val="24"/>
                <w:szCs w:val="24"/>
              </w:rPr>
              <w:t>10分:</w:t>
            </w:r>
          </w:p>
          <w:p w14:paraId="4C2AB80F">
            <w:pPr>
              <w:numPr>
                <w:ilvl w:val="0"/>
                <w:numId w:val="0"/>
              </w:numPr>
              <w:shd w:val="clea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(2)项目重点、难点基本完善、具有一定针对性，得</w:t>
            </w: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6分;</w:t>
            </w:r>
          </w:p>
          <w:p w14:paraId="3CB7B714">
            <w:pPr>
              <w:shd w:val="clear"/>
              <w:spacing w:line="360" w:lineRule="auto"/>
              <w:rPr>
                <w:rFonts w:hint="eastAsia" w:ascii="宋体" w:hAnsi="宋体" w:eastAsia="宋体" w:cs="宋体"/>
                <w:bCs/>
                <w:sz w:val="24"/>
                <w:szCs w:val="24"/>
              </w:rPr>
            </w:pPr>
            <w:r>
              <w:rPr>
                <w:rFonts w:hint="eastAsia" w:ascii="宋体" w:hAnsi="宋体" w:eastAsia="宋体" w:cs="宋体"/>
                <w:color w:val="auto"/>
                <w:sz w:val="24"/>
                <w:szCs w:val="24"/>
              </w:rPr>
              <w:t>(3)项目重点、难点不完善、缺乏针对性，得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3分;</w:t>
            </w:r>
          </w:p>
        </w:tc>
      </w:tr>
      <w:tr w14:paraId="1EE0CF2D">
        <w:tblPrEx>
          <w:tblCellMar>
            <w:top w:w="15" w:type="dxa"/>
            <w:left w:w="15" w:type="dxa"/>
            <w:bottom w:w="15" w:type="dxa"/>
            <w:right w:w="15" w:type="dxa"/>
          </w:tblCellMar>
        </w:tblPrEx>
        <w:trPr>
          <w:trHeight w:val="956" w:hRule="atLeast"/>
        </w:trPr>
        <w:tc>
          <w:tcPr>
            <w:tcW w:w="1112" w:type="dxa"/>
            <w:tcBorders>
              <w:top w:val="single" w:color="auto" w:sz="4" w:space="0"/>
              <w:left w:val="single" w:color="auto" w:sz="4" w:space="0"/>
              <w:bottom w:val="single" w:color="auto" w:sz="4" w:space="0"/>
              <w:right w:val="single" w:color="auto" w:sz="4" w:space="0"/>
            </w:tcBorders>
            <w:noWrap w:val="0"/>
            <w:vAlign w:val="center"/>
          </w:tcPr>
          <w:p w14:paraId="5E7B4001">
            <w:pPr>
              <w:shd w:val="clear"/>
              <w:autoSpaceDE w:val="0"/>
              <w:autoSpaceDN w:val="0"/>
              <w:adjustRightInd w:val="0"/>
              <w:snapToGrid w:val="0"/>
              <w:spacing w:line="360" w:lineRule="auto"/>
              <w:ind w:right="71" w:rightChars="34"/>
              <w:jc w:val="center"/>
              <w:rPr>
                <w:rFonts w:hint="eastAsia" w:ascii="宋体" w:hAnsi="宋体" w:eastAsia="宋体" w:cs="宋体"/>
                <w:b/>
                <w:bCs/>
                <w:sz w:val="24"/>
                <w:szCs w:val="24"/>
                <w:lang w:eastAsia="zh-CN"/>
              </w:rPr>
            </w:pPr>
            <w:r>
              <w:rPr>
                <w:rFonts w:hint="eastAsia" w:ascii="宋体" w:hAnsi="宋体" w:eastAsia="宋体" w:cs="宋体"/>
                <w:b/>
                <w:bCs/>
                <w:sz w:val="24"/>
                <w:szCs w:val="24"/>
              </w:rPr>
              <w:t>进度保障措施</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15分</w:t>
            </w:r>
            <w:r>
              <w:rPr>
                <w:rFonts w:hint="eastAsia" w:ascii="宋体" w:hAnsi="宋体" w:eastAsia="宋体" w:cs="宋体"/>
                <w:b/>
                <w:bCs/>
                <w:sz w:val="24"/>
                <w:szCs w:val="24"/>
                <w:lang w:eastAsia="zh-CN"/>
              </w:rPr>
              <w:t>）</w:t>
            </w:r>
          </w:p>
        </w:tc>
        <w:tc>
          <w:tcPr>
            <w:tcW w:w="7607" w:type="dxa"/>
            <w:tcBorders>
              <w:top w:val="single" w:color="auto" w:sz="4" w:space="0"/>
              <w:left w:val="single" w:color="auto" w:sz="4" w:space="0"/>
              <w:bottom w:val="single" w:color="auto" w:sz="4" w:space="0"/>
              <w:right w:val="single" w:color="auto" w:sz="4" w:space="0"/>
            </w:tcBorders>
            <w:noWrap w:val="0"/>
            <w:vAlign w:val="center"/>
          </w:tcPr>
          <w:p w14:paraId="538C2E89">
            <w:pPr>
              <w:shd w:val="clea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综合考虑供应商提供的本项目时间进度安排对服务需求的响应程度。</w:t>
            </w:r>
          </w:p>
          <w:p w14:paraId="638A9162">
            <w:pPr>
              <w:shd w:val="clea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(1)时间安排科学合理、有详细、完善的时间进度安排，充分考虑了项目执行过程风险，方案具有响应时效性，完全满足项目实际需要得</w:t>
            </w:r>
            <w:r>
              <w:rPr>
                <w:rFonts w:hint="eastAsia" w:ascii="宋体" w:hAnsi="宋体" w:eastAsia="宋体" w:cs="宋体"/>
                <w:color w:val="auto"/>
                <w:sz w:val="24"/>
                <w:szCs w:val="24"/>
                <w:lang w:val="en-US" w:eastAsia="zh-CN"/>
              </w:rPr>
              <w:t>10.1-</w:t>
            </w:r>
            <w:r>
              <w:rPr>
                <w:rFonts w:hint="eastAsia" w:ascii="宋体" w:hAnsi="宋体" w:eastAsia="宋体" w:cs="宋体"/>
                <w:color w:val="auto"/>
                <w:sz w:val="24"/>
                <w:szCs w:val="24"/>
              </w:rPr>
              <w:t>15分;</w:t>
            </w:r>
          </w:p>
          <w:p w14:paraId="6299619B">
            <w:pPr>
              <w:shd w:val="clea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(2)时间安排基本合理、有明确的时间进度安排，基本考虑了项目执行过程风险，方案基本具有响应时效性，基本满足项目实际需要得</w:t>
            </w:r>
            <w:r>
              <w:rPr>
                <w:rFonts w:hint="eastAsia" w:ascii="宋体" w:hAnsi="宋体" w:eastAsia="宋体" w:cs="宋体"/>
                <w:color w:val="auto"/>
                <w:sz w:val="24"/>
                <w:szCs w:val="24"/>
                <w:lang w:val="en-US" w:eastAsia="zh-CN"/>
              </w:rPr>
              <w:t>5.1-</w:t>
            </w:r>
            <w:r>
              <w:rPr>
                <w:rFonts w:hint="eastAsia" w:ascii="宋体" w:hAnsi="宋体" w:eastAsia="宋体" w:cs="宋体"/>
                <w:color w:val="auto"/>
                <w:sz w:val="24"/>
                <w:szCs w:val="24"/>
              </w:rPr>
              <w:t>10分;</w:t>
            </w:r>
          </w:p>
          <w:p w14:paraId="38AD4BB3">
            <w:pPr>
              <w:shd w:val="clea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(3)时间安排不够合理，时间进度安排有缺失，对项目执行过程中的风险考虑不全面，不具有响应时效性与项目实际需求存在偏差得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5分;</w:t>
            </w:r>
          </w:p>
        </w:tc>
      </w:tr>
      <w:tr w14:paraId="0D5B99D0">
        <w:tblPrEx>
          <w:tblCellMar>
            <w:top w:w="15" w:type="dxa"/>
            <w:left w:w="15" w:type="dxa"/>
            <w:bottom w:w="15" w:type="dxa"/>
            <w:right w:w="15" w:type="dxa"/>
          </w:tblCellMar>
        </w:tblPrEx>
        <w:trPr>
          <w:trHeight w:val="956" w:hRule="atLeast"/>
        </w:trPr>
        <w:tc>
          <w:tcPr>
            <w:tcW w:w="1112" w:type="dxa"/>
            <w:tcBorders>
              <w:top w:val="single" w:color="auto" w:sz="4" w:space="0"/>
              <w:left w:val="single" w:color="auto" w:sz="4" w:space="0"/>
              <w:bottom w:val="single" w:color="auto" w:sz="4" w:space="0"/>
              <w:right w:val="single" w:color="auto" w:sz="4" w:space="0"/>
            </w:tcBorders>
            <w:noWrap w:val="0"/>
            <w:vAlign w:val="center"/>
          </w:tcPr>
          <w:p w14:paraId="6415F569">
            <w:pPr>
              <w:shd w:val="clear"/>
              <w:autoSpaceDE w:val="0"/>
              <w:autoSpaceDN w:val="0"/>
              <w:adjustRightInd w:val="0"/>
              <w:snapToGrid w:val="0"/>
              <w:spacing w:line="360" w:lineRule="auto"/>
              <w:ind w:right="71" w:rightChars="34"/>
              <w:jc w:val="center"/>
              <w:rPr>
                <w:rFonts w:hint="eastAsia" w:ascii="宋体" w:hAnsi="宋体" w:eastAsia="宋体" w:cs="宋体"/>
                <w:b/>
                <w:bCs/>
                <w:sz w:val="24"/>
                <w:szCs w:val="24"/>
                <w:lang w:eastAsia="zh-CN"/>
              </w:rPr>
            </w:pPr>
            <w:r>
              <w:rPr>
                <w:rFonts w:hint="eastAsia" w:ascii="宋体" w:hAnsi="宋体" w:eastAsia="宋体" w:cs="宋体"/>
                <w:b/>
                <w:bCs/>
                <w:sz w:val="24"/>
                <w:szCs w:val="24"/>
              </w:rPr>
              <w:t>应急处置预案</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15分</w:t>
            </w:r>
            <w:r>
              <w:rPr>
                <w:rFonts w:hint="eastAsia" w:ascii="宋体" w:hAnsi="宋体" w:eastAsia="宋体" w:cs="宋体"/>
                <w:b/>
                <w:bCs/>
                <w:sz w:val="24"/>
                <w:szCs w:val="24"/>
                <w:lang w:eastAsia="zh-CN"/>
              </w:rPr>
              <w:t>）</w:t>
            </w:r>
          </w:p>
        </w:tc>
        <w:tc>
          <w:tcPr>
            <w:tcW w:w="7607" w:type="dxa"/>
            <w:tcBorders>
              <w:top w:val="single" w:color="auto" w:sz="4" w:space="0"/>
              <w:left w:val="single" w:color="auto" w:sz="4" w:space="0"/>
              <w:bottom w:val="single" w:color="auto" w:sz="4" w:space="0"/>
              <w:right w:val="single" w:color="auto" w:sz="4" w:space="0"/>
            </w:tcBorders>
            <w:noWrap w:val="0"/>
            <w:vAlign w:val="center"/>
          </w:tcPr>
          <w:p w14:paraId="2AE58933">
            <w:pPr>
              <w:shd w:val="clea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对项目执行过程中的突发情况进行处置。</w:t>
            </w:r>
          </w:p>
          <w:p w14:paraId="2ED1899B">
            <w:pPr>
              <w:shd w:val="clea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(1)方案全面、详细、有针对性、可操作性和实施性强，有相应的人力、物力投入安排且完全满足采购需求得 </w:t>
            </w:r>
            <w:r>
              <w:rPr>
                <w:rFonts w:hint="eastAsia" w:ascii="宋体" w:hAnsi="宋体" w:eastAsia="宋体" w:cs="宋体"/>
                <w:color w:val="auto"/>
                <w:sz w:val="24"/>
                <w:szCs w:val="24"/>
                <w:lang w:val="en-US" w:eastAsia="zh-CN"/>
              </w:rPr>
              <w:t>10.1-</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分。</w:t>
            </w:r>
          </w:p>
          <w:p w14:paraId="4BF8AC6F">
            <w:pPr>
              <w:shd w:val="clea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(2)方案内容较全面，具有一定的可操作性和实施性，基本满足采购需求得</w:t>
            </w:r>
            <w:r>
              <w:rPr>
                <w:rFonts w:hint="eastAsia" w:ascii="宋体" w:hAnsi="宋体" w:eastAsia="宋体" w:cs="宋体"/>
                <w:color w:val="auto"/>
                <w:sz w:val="24"/>
                <w:szCs w:val="24"/>
                <w:lang w:val="en-US" w:eastAsia="zh-CN"/>
              </w:rPr>
              <w:t>5.1-10</w:t>
            </w:r>
            <w:r>
              <w:rPr>
                <w:rFonts w:hint="eastAsia" w:ascii="宋体" w:hAnsi="宋体" w:eastAsia="宋体" w:cs="宋体"/>
                <w:color w:val="auto"/>
                <w:sz w:val="24"/>
                <w:szCs w:val="24"/>
              </w:rPr>
              <w:t>分;</w:t>
            </w:r>
          </w:p>
          <w:p w14:paraId="5F6CD648">
            <w:pPr>
              <w:shd w:val="clea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(3)方案内容简单，不具备可操作性和实施性，未完全贴合项目实际情况或与采购需求存在偏差得</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r>
      <w:tr w14:paraId="70F7FB59">
        <w:tblPrEx>
          <w:tblCellMar>
            <w:top w:w="15" w:type="dxa"/>
            <w:left w:w="15" w:type="dxa"/>
            <w:bottom w:w="15" w:type="dxa"/>
            <w:right w:w="15" w:type="dxa"/>
          </w:tblCellMar>
        </w:tblPrEx>
        <w:trPr>
          <w:trHeight w:val="956" w:hRule="atLeast"/>
        </w:trPr>
        <w:tc>
          <w:tcPr>
            <w:tcW w:w="1112" w:type="dxa"/>
            <w:tcBorders>
              <w:top w:val="single" w:color="auto" w:sz="4" w:space="0"/>
              <w:left w:val="single" w:color="auto" w:sz="4" w:space="0"/>
              <w:bottom w:val="single" w:color="auto" w:sz="4" w:space="0"/>
              <w:right w:val="single" w:color="auto" w:sz="4" w:space="0"/>
            </w:tcBorders>
            <w:noWrap w:val="0"/>
            <w:vAlign w:val="center"/>
          </w:tcPr>
          <w:p w14:paraId="2C658204">
            <w:pPr>
              <w:shd w:val="clear"/>
              <w:autoSpaceDE w:val="0"/>
              <w:autoSpaceDN w:val="0"/>
              <w:adjustRightInd w:val="0"/>
              <w:snapToGrid w:val="0"/>
              <w:spacing w:line="360" w:lineRule="auto"/>
              <w:ind w:right="71" w:rightChars="34"/>
              <w:jc w:val="center"/>
              <w:rPr>
                <w:rFonts w:hint="eastAsia" w:ascii="宋体" w:hAnsi="宋体" w:eastAsia="宋体" w:cs="宋体"/>
                <w:b/>
                <w:bCs/>
                <w:sz w:val="24"/>
                <w:szCs w:val="24"/>
                <w:lang w:eastAsia="zh-CN"/>
              </w:rPr>
            </w:pPr>
            <w:r>
              <w:rPr>
                <w:rFonts w:hint="eastAsia" w:ascii="宋体" w:hAnsi="宋体" w:eastAsia="宋体" w:cs="宋体"/>
                <w:b/>
                <w:bCs/>
                <w:sz w:val="24"/>
                <w:szCs w:val="24"/>
              </w:rPr>
              <w:t>安全保障方案</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10分</w:t>
            </w:r>
            <w:r>
              <w:rPr>
                <w:rFonts w:hint="eastAsia" w:ascii="宋体" w:hAnsi="宋体" w:eastAsia="宋体" w:cs="宋体"/>
                <w:b/>
                <w:bCs/>
                <w:sz w:val="24"/>
                <w:szCs w:val="24"/>
                <w:lang w:eastAsia="zh-CN"/>
              </w:rPr>
              <w:t>）</w:t>
            </w:r>
          </w:p>
        </w:tc>
        <w:tc>
          <w:tcPr>
            <w:tcW w:w="7607" w:type="dxa"/>
            <w:tcBorders>
              <w:top w:val="single" w:color="auto" w:sz="4" w:space="0"/>
              <w:left w:val="single" w:color="auto" w:sz="4" w:space="0"/>
              <w:bottom w:val="single" w:color="auto" w:sz="4" w:space="0"/>
              <w:right w:val="single" w:color="auto" w:sz="4" w:space="0"/>
            </w:tcBorders>
            <w:noWrap w:val="0"/>
            <w:vAlign w:val="center"/>
          </w:tcPr>
          <w:p w14:paraId="25AB9450">
            <w:pPr>
              <w:shd w:val="clea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在充分理解采购需求得基础上，提出具有针对性的服务、</w:t>
            </w:r>
            <w:r>
              <w:rPr>
                <w:rFonts w:hint="eastAsia" w:ascii="宋体" w:hAnsi="宋体" w:eastAsia="宋体" w:cs="宋体"/>
                <w:color w:val="auto"/>
                <w:sz w:val="24"/>
                <w:szCs w:val="24"/>
                <w:lang w:val="en-US" w:eastAsia="zh-CN"/>
              </w:rPr>
              <w:t>安全</w:t>
            </w:r>
            <w:r>
              <w:rPr>
                <w:rFonts w:hint="eastAsia" w:ascii="宋体" w:hAnsi="宋体" w:eastAsia="宋体" w:cs="宋体"/>
                <w:color w:val="auto"/>
                <w:sz w:val="24"/>
                <w:szCs w:val="24"/>
              </w:rPr>
              <w:t>保障方案，演出期间的服务保障、安全措施及服务承诺。</w:t>
            </w:r>
          </w:p>
          <w:p w14:paraId="6A9AE0C2">
            <w:pPr>
              <w:shd w:val="clea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(1)方案全面、详细、条理清晰、可操作性和实施性强且完全满足采购需求得 </w:t>
            </w:r>
            <w:r>
              <w:rPr>
                <w:rFonts w:hint="eastAsia" w:ascii="宋体" w:hAnsi="宋体" w:eastAsia="宋体" w:cs="宋体"/>
                <w:color w:val="auto"/>
                <w:sz w:val="24"/>
                <w:szCs w:val="24"/>
                <w:lang w:val="en-US" w:eastAsia="zh-CN"/>
              </w:rPr>
              <w:t>6.1-</w:t>
            </w:r>
            <w:r>
              <w:rPr>
                <w:rFonts w:hint="eastAsia" w:ascii="宋体" w:hAnsi="宋体" w:eastAsia="宋体" w:cs="宋体"/>
                <w:color w:val="auto"/>
                <w:sz w:val="24"/>
                <w:szCs w:val="24"/>
              </w:rPr>
              <w:t>10分。</w:t>
            </w:r>
          </w:p>
          <w:p w14:paraId="2481E8DD">
            <w:pPr>
              <w:shd w:val="clea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(2)方案内容基本全面，具有一定的可操作性和实施性，基本满足采购需求得</w:t>
            </w: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6分;</w:t>
            </w:r>
          </w:p>
          <w:p w14:paraId="6A4184E3">
            <w:pPr>
              <w:shd w:val="clea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(3)方案内容不完整，不具备可操作性和实施性，未完全贴合项目实际情况或与采购需求存在偏差得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3分;</w:t>
            </w:r>
          </w:p>
        </w:tc>
      </w:tr>
    </w:tbl>
    <w:p w14:paraId="391BF497">
      <w:pPr>
        <w:numPr>
          <w:ilvl w:val="0"/>
          <w:numId w:val="0"/>
        </w:numPr>
        <w:shd w:val="clear"/>
        <w:spacing w:line="360" w:lineRule="auto"/>
        <w:jc w:val="left"/>
        <w:rPr>
          <w:rFonts w:hint="eastAsia" w:ascii="宋体" w:hAnsi="宋体" w:eastAsia="宋体" w:cs="宋体"/>
          <w:sz w:val="24"/>
        </w:rPr>
      </w:pPr>
    </w:p>
    <w:bookmarkEnd w:id="15"/>
    <w:bookmarkEnd w:id="16"/>
    <w:p w14:paraId="48F8F6FA">
      <w:pPr>
        <w:shd w:val="clea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四、本次评审采用综合评估法。磋商小组对满足竞争性磋商文件实质性要求的竞争性磋商响应文件，按照本章规定的评分方法和标准进行打分，并按得分由高到低顺序推荐成交候选人。</w:t>
      </w:r>
    </w:p>
    <w:p w14:paraId="2BE6268E">
      <w:pPr>
        <w:shd w:val="clear"/>
        <w:spacing w:line="360" w:lineRule="auto"/>
        <w:jc w:val="left"/>
        <w:rPr>
          <w:rFonts w:hint="eastAsia" w:ascii="宋体" w:hAnsi="宋体" w:eastAsia="宋体" w:cs="宋体"/>
          <w:sz w:val="24"/>
        </w:rPr>
      </w:pPr>
      <w:r>
        <w:rPr>
          <w:rFonts w:hint="eastAsia" w:ascii="宋体" w:hAnsi="宋体" w:eastAsia="宋体" w:cs="宋体"/>
          <w:sz w:val="24"/>
          <w:lang w:val="en-US" w:eastAsia="zh-CN"/>
        </w:rPr>
        <w:t>五</w:t>
      </w:r>
      <w:r>
        <w:rPr>
          <w:rFonts w:hint="eastAsia" w:ascii="宋体" w:hAnsi="宋体" w:eastAsia="宋体" w:cs="宋体"/>
          <w:sz w:val="24"/>
        </w:rPr>
        <w:t>、特殊情况：</w:t>
      </w:r>
    </w:p>
    <w:p w14:paraId="2EA1EAEB">
      <w:pPr>
        <w:numPr>
          <w:ilvl w:val="0"/>
          <w:numId w:val="9"/>
        </w:numPr>
        <w:shd w:val="clear"/>
        <w:tabs>
          <w:tab w:val="left" w:pos="1080"/>
        </w:tabs>
        <w:spacing w:after="120" w:afterLines="50" w:line="360" w:lineRule="auto"/>
        <w:ind w:left="0" w:firstLine="480" w:firstLineChars="200"/>
        <w:rPr>
          <w:rFonts w:hint="eastAsia" w:ascii="宋体" w:hAnsi="宋体" w:eastAsia="宋体" w:cs="宋体"/>
          <w:sz w:val="24"/>
        </w:rPr>
      </w:pPr>
      <w:r>
        <w:rPr>
          <w:rFonts w:hint="eastAsia" w:ascii="宋体" w:hAnsi="宋体" w:eastAsia="宋体" w:cs="宋体"/>
          <w:sz w:val="24"/>
        </w:rPr>
        <w:t>磋商小组认为投标供应商的报价明显低于其他通过符合性审查投标人的报价，有可能影响工程质量或者不能诚信履约的，应当要求其在评标现场合理的时间内提供书面说明，必要时提交相关证明材料；投标人不能证明其报价合理性的，</w:t>
      </w:r>
      <w:r>
        <w:rPr>
          <w:rFonts w:hint="eastAsia" w:ascii="宋体" w:hAnsi="宋体" w:eastAsia="宋体" w:cs="宋体"/>
          <w:sz w:val="24"/>
          <w:lang w:eastAsia="zh-CN"/>
        </w:rPr>
        <w:t>磋商小组</w:t>
      </w:r>
      <w:r>
        <w:rPr>
          <w:rFonts w:hint="eastAsia" w:ascii="宋体" w:hAnsi="宋体" w:eastAsia="宋体" w:cs="宋体"/>
          <w:sz w:val="24"/>
        </w:rPr>
        <w:t>应当将其作为无效投标处理。</w:t>
      </w:r>
    </w:p>
    <w:p w14:paraId="11FC0838">
      <w:pPr>
        <w:shd w:val="clear"/>
        <w:tabs>
          <w:tab w:val="left" w:pos="1080"/>
        </w:tabs>
        <w:spacing w:after="120" w:afterLines="50" w:line="360" w:lineRule="auto"/>
        <w:ind w:left="480"/>
        <w:rPr>
          <w:rFonts w:hint="eastAsia" w:ascii="宋体" w:hAnsi="宋体" w:eastAsia="宋体" w:cs="宋体"/>
          <w:sz w:val="24"/>
        </w:rPr>
      </w:pPr>
      <w:r>
        <w:rPr>
          <w:rFonts w:hint="eastAsia" w:ascii="宋体" w:hAnsi="宋体" w:eastAsia="宋体" w:cs="宋体"/>
          <w:sz w:val="24"/>
        </w:rPr>
        <w:t>2、得分相同的，按投标报价由低到高顺序排列。</w:t>
      </w:r>
    </w:p>
    <w:p w14:paraId="09D08792">
      <w:pPr>
        <w:shd w:val="clear"/>
        <w:tabs>
          <w:tab w:val="left" w:pos="1080"/>
        </w:tabs>
        <w:spacing w:after="120" w:afterLines="50" w:line="360" w:lineRule="auto"/>
        <w:rPr>
          <w:rFonts w:hint="eastAsia" w:ascii="宋体" w:hAnsi="宋体" w:eastAsia="宋体" w:cs="宋体"/>
          <w:sz w:val="24"/>
        </w:rPr>
      </w:pPr>
      <w:r>
        <w:rPr>
          <w:rFonts w:hint="eastAsia" w:ascii="宋体" w:hAnsi="宋体" w:eastAsia="宋体" w:cs="宋体"/>
          <w:sz w:val="24"/>
        </w:rPr>
        <w:t xml:space="preserve">    3、得分且投标报价相同的，比较技术得分，此技术得分高者排在前。</w:t>
      </w:r>
    </w:p>
    <w:p w14:paraId="1FFCDD8B">
      <w:pPr>
        <w:widowControl/>
        <w:shd w:val="clea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4、评委评分超过得分界限或未按照本办法规定时，该评委的该项评分作废，不计入汇总。</w:t>
      </w:r>
    </w:p>
    <w:p w14:paraId="68F8AD5A">
      <w:pPr>
        <w:shd w:val="clear"/>
        <w:tabs>
          <w:tab w:val="left" w:pos="1080"/>
        </w:tabs>
        <w:spacing w:after="120" w:afterLines="50" w:line="360" w:lineRule="auto"/>
        <w:ind w:firstLine="465"/>
        <w:rPr>
          <w:rFonts w:hint="eastAsia" w:ascii="宋体" w:hAnsi="宋体" w:eastAsia="宋体" w:cs="宋体"/>
          <w:sz w:val="24"/>
        </w:rPr>
      </w:pPr>
      <w:r>
        <w:rPr>
          <w:rFonts w:hint="eastAsia" w:ascii="宋体" w:hAnsi="宋体" w:eastAsia="宋体" w:cs="宋体"/>
          <w:sz w:val="24"/>
        </w:rPr>
        <w:t>5、计算采用插入法，数字均保留二位小数，第三位“四舍五入”。</w:t>
      </w:r>
    </w:p>
    <w:p w14:paraId="0824646E">
      <w:pPr>
        <w:numPr>
          <w:ilvl w:val="0"/>
          <w:numId w:val="0"/>
        </w:numPr>
        <w:shd w:val="clear"/>
        <w:tabs>
          <w:tab w:val="left" w:pos="1080"/>
        </w:tabs>
        <w:spacing w:after="120" w:afterLines="50" w:line="360" w:lineRule="auto"/>
        <w:ind w:left="465" w:leftChars="0"/>
        <w:rPr>
          <w:rFonts w:hint="eastAsia" w:ascii="宋体" w:hAnsi="宋体" w:eastAsia="宋体" w:cs="宋体"/>
          <w:sz w:val="24"/>
        </w:rPr>
      </w:pPr>
      <w:r>
        <w:rPr>
          <w:rFonts w:hint="eastAsia" w:ascii="宋体" w:hAnsi="宋体" w:eastAsia="宋体" w:cs="宋体"/>
          <w:sz w:val="24"/>
          <w:lang w:eastAsia="zh-CN"/>
        </w:rPr>
        <w:t>七、</w:t>
      </w:r>
      <w:r>
        <w:rPr>
          <w:rFonts w:hint="eastAsia" w:ascii="宋体" w:hAnsi="宋体" w:eastAsia="宋体" w:cs="宋体"/>
          <w:sz w:val="24"/>
        </w:rPr>
        <w:t>定标</w:t>
      </w:r>
    </w:p>
    <w:p w14:paraId="38BE0C57">
      <w:pPr>
        <w:shd w:val="clear"/>
        <w:spacing w:line="360" w:lineRule="auto"/>
        <w:ind w:left="288" w:leftChars="137" w:firstLine="240" w:firstLineChars="100"/>
        <w:jc w:val="left"/>
        <w:rPr>
          <w:rFonts w:hint="eastAsia" w:ascii="宋体" w:hAnsi="宋体" w:eastAsia="宋体" w:cs="宋体"/>
          <w:sz w:val="24"/>
        </w:rPr>
      </w:pPr>
      <w:r>
        <w:rPr>
          <w:rFonts w:hint="eastAsia" w:ascii="宋体" w:hAnsi="宋体" w:eastAsia="宋体" w:cs="宋体"/>
          <w:sz w:val="24"/>
        </w:rPr>
        <w:t>1、汇总得分: 磋商小组各评委独立评分，按评审后综合得分由高到低顺序排列，推荐1～3名中标候选人。</w:t>
      </w:r>
    </w:p>
    <w:p w14:paraId="58205770">
      <w:pPr>
        <w:shd w:val="clear"/>
        <w:spacing w:line="360" w:lineRule="auto"/>
        <w:ind w:firstLine="480" w:firstLineChars="200"/>
        <w:rPr>
          <w:rFonts w:hint="eastAsia" w:ascii="宋体" w:hAnsi="宋体" w:eastAsia="宋体" w:cs="宋体"/>
          <w:spacing w:val="4"/>
          <w:sz w:val="24"/>
          <w:szCs w:val="24"/>
        </w:rPr>
      </w:pPr>
      <w:r>
        <w:rPr>
          <w:rFonts w:hint="eastAsia" w:ascii="宋体" w:hAnsi="宋体" w:eastAsia="宋体" w:cs="宋体"/>
          <w:sz w:val="24"/>
        </w:rPr>
        <w:t>2、</w:t>
      </w:r>
      <w:r>
        <w:rPr>
          <w:rFonts w:hint="eastAsia" w:ascii="宋体" w:hAnsi="宋体" w:eastAsia="宋体" w:cs="宋体"/>
          <w:spacing w:val="4"/>
          <w:sz w:val="24"/>
          <w:szCs w:val="24"/>
        </w:rPr>
        <w:t>评标结果由全体</w:t>
      </w:r>
      <w:r>
        <w:rPr>
          <w:rFonts w:hint="eastAsia" w:ascii="宋体" w:hAnsi="宋体" w:eastAsia="宋体" w:cs="宋体"/>
          <w:sz w:val="24"/>
          <w:szCs w:val="24"/>
        </w:rPr>
        <w:t>磋商小组成员</w:t>
      </w:r>
      <w:r>
        <w:rPr>
          <w:rFonts w:hint="eastAsia" w:ascii="宋体" w:hAnsi="宋体" w:eastAsia="宋体" w:cs="宋体"/>
          <w:spacing w:val="4"/>
          <w:sz w:val="24"/>
          <w:szCs w:val="24"/>
        </w:rPr>
        <w:t>签字确认。</w:t>
      </w:r>
    </w:p>
    <w:p w14:paraId="2DFFF065">
      <w:pPr>
        <w:shd w:val="clear"/>
        <w:spacing w:line="360" w:lineRule="auto"/>
        <w:ind w:left="744" w:leftChars="236" w:hanging="248" w:hangingChars="100"/>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rPr>
        <w:t>3、</w:t>
      </w:r>
      <w:r>
        <w:rPr>
          <w:rFonts w:hint="eastAsia" w:ascii="宋体" w:hAnsi="宋体" w:eastAsia="宋体" w:cs="宋体"/>
          <w:spacing w:val="4"/>
          <w:sz w:val="24"/>
          <w:szCs w:val="24"/>
          <w:lang w:val="en-US" w:eastAsia="zh-CN"/>
        </w:rPr>
        <w:t>最低报价不作为中标的唯一因素。</w:t>
      </w:r>
    </w:p>
    <w:p w14:paraId="2AC8C0E9">
      <w:pPr>
        <w:shd w:val="clear"/>
        <w:spacing w:line="360" w:lineRule="auto"/>
        <w:ind w:left="736" w:leftChars="236" w:hanging="240" w:hangingChars="100"/>
        <w:rPr>
          <w:rFonts w:hint="eastAsia" w:ascii="宋体" w:hAnsi="宋体" w:eastAsia="宋体" w:cs="宋体"/>
          <w:spacing w:val="4"/>
          <w:sz w:val="24"/>
          <w:szCs w:val="24"/>
        </w:rPr>
      </w:pPr>
      <w:r>
        <w:rPr>
          <w:rFonts w:hint="eastAsia" w:ascii="宋体" w:hAnsi="宋体" w:eastAsia="宋体" w:cs="宋体"/>
          <w:sz w:val="24"/>
          <w:lang w:val="en-US" w:eastAsia="zh-CN"/>
        </w:rPr>
        <w:t>4、</w:t>
      </w:r>
      <w:r>
        <w:rPr>
          <w:rFonts w:hint="eastAsia" w:ascii="宋体" w:hAnsi="宋体" w:eastAsia="宋体" w:cs="宋体"/>
          <w:sz w:val="24"/>
          <w:lang w:eastAsia="zh-CN"/>
        </w:rPr>
        <w:t>采购人</w:t>
      </w:r>
      <w:r>
        <w:rPr>
          <w:rFonts w:hint="eastAsia" w:ascii="宋体" w:hAnsi="宋体" w:eastAsia="宋体" w:cs="宋体"/>
          <w:spacing w:val="4"/>
          <w:sz w:val="24"/>
          <w:szCs w:val="24"/>
        </w:rPr>
        <w:t>根据评标报告中推荐的成交候选人排列顺序确定成交供应商，以成交供应商复函通知</w:t>
      </w:r>
      <w:r>
        <w:rPr>
          <w:rFonts w:hint="eastAsia" w:ascii="宋体" w:hAnsi="宋体" w:eastAsia="宋体" w:cs="宋体"/>
          <w:spacing w:val="4"/>
          <w:sz w:val="24"/>
          <w:szCs w:val="24"/>
          <w:lang w:eastAsia="zh-CN"/>
        </w:rPr>
        <w:t>采购代理机构</w:t>
      </w:r>
      <w:r>
        <w:rPr>
          <w:rFonts w:hint="eastAsia" w:ascii="宋体" w:hAnsi="宋体" w:eastAsia="宋体" w:cs="宋体"/>
          <w:spacing w:val="4"/>
          <w:sz w:val="24"/>
          <w:szCs w:val="24"/>
        </w:rPr>
        <w:t>。</w:t>
      </w:r>
    </w:p>
    <w:p w14:paraId="4F6CBC9C">
      <w:pPr>
        <w:shd w:val="clear"/>
        <w:spacing w:line="360" w:lineRule="auto"/>
        <w:ind w:firstLine="434" w:firstLineChars="200"/>
        <w:rPr>
          <w:rFonts w:hint="eastAsia" w:ascii="宋体" w:hAnsi="宋体" w:eastAsia="宋体" w:cs="宋体"/>
          <w:b/>
          <w:spacing w:val="-12"/>
          <w:sz w:val="24"/>
          <w:szCs w:val="24"/>
        </w:rPr>
      </w:pPr>
    </w:p>
    <w:bookmarkEnd w:id="17"/>
    <w:p w14:paraId="2B0FCC0E">
      <w:pPr>
        <w:pStyle w:val="2"/>
        <w:shd w:val="clear"/>
        <w:jc w:val="center"/>
        <w:rPr>
          <w:rFonts w:hint="eastAsia" w:ascii="宋体" w:hAnsi="宋体" w:eastAsia="宋体" w:cs="宋体"/>
          <w:b/>
          <w:sz w:val="36"/>
          <w:szCs w:val="36"/>
        </w:rPr>
      </w:pPr>
      <w:bookmarkStart w:id="185" w:name="_Toc2619"/>
      <w:bookmarkStart w:id="186" w:name="_Toc557"/>
      <w:r>
        <w:rPr>
          <w:rFonts w:hint="eastAsia" w:ascii="宋体" w:hAnsi="宋体" w:eastAsia="宋体" w:cs="宋体"/>
          <w:bCs/>
          <w:szCs w:val="44"/>
        </w:rPr>
        <w:br w:type="page"/>
      </w:r>
      <w:bookmarkStart w:id="187" w:name="_Toc17184"/>
      <w:bookmarkStart w:id="188" w:name="_Toc14711"/>
      <w:r>
        <w:rPr>
          <w:rFonts w:hint="eastAsia" w:ascii="宋体" w:hAnsi="宋体" w:eastAsia="宋体" w:cs="宋体"/>
          <w:b/>
          <w:sz w:val="36"/>
          <w:szCs w:val="36"/>
        </w:rPr>
        <w:t>第四章  合同条款及格式</w:t>
      </w:r>
      <w:bookmarkEnd w:id="187"/>
    </w:p>
    <w:p w14:paraId="2E1CA12D">
      <w:pPr>
        <w:pStyle w:val="3"/>
        <w:shd w:val="clear"/>
        <w:rPr>
          <w:rFonts w:hint="eastAsia" w:ascii="宋体" w:hAnsi="宋体" w:eastAsia="宋体" w:cs="宋体"/>
        </w:rPr>
      </w:pPr>
      <w:bookmarkStart w:id="189" w:name="_Toc13903"/>
      <w:bookmarkStart w:id="190" w:name="_Toc1347"/>
      <w:bookmarkStart w:id="191" w:name="_Toc30760"/>
      <w:bookmarkStart w:id="192" w:name="_Toc276"/>
      <w:r>
        <w:rPr>
          <w:rFonts w:hint="eastAsia" w:ascii="宋体" w:hAnsi="宋体" w:eastAsia="宋体" w:cs="宋体"/>
        </w:rPr>
        <w:t>合同条款及格式前附表</w:t>
      </w:r>
      <w:bookmarkEnd w:id="189"/>
      <w:bookmarkEnd w:id="190"/>
      <w:bookmarkEnd w:id="191"/>
      <w:bookmarkEnd w:id="192"/>
    </w:p>
    <w:p w14:paraId="6843A62F">
      <w:pPr>
        <w:shd w:val="clea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本表是对合同条款的具体补充和修改，如有矛盾，应以本资料表为准。</w:t>
      </w:r>
    </w:p>
    <w:tbl>
      <w:tblPr>
        <w:tblStyle w:val="25"/>
        <w:tblW w:w="92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02"/>
        <w:gridCol w:w="8177"/>
      </w:tblGrid>
      <w:tr w14:paraId="3AE3EF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jc w:val="center"/>
        </w:trPr>
        <w:tc>
          <w:tcPr>
            <w:tcW w:w="1102" w:type="dxa"/>
            <w:vAlign w:val="center"/>
          </w:tcPr>
          <w:p w14:paraId="1B965E3B">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8177" w:type="dxa"/>
            <w:vAlign w:val="center"/>
          </w:tcPr>
          <w:p w14:paraId="0D805D09">
            <w:pPr>
              <w:shd w:val="clea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内      容</w:t>
            </w:r>
          </w:p>
        </w:tc>
      </w:tr>
      <w:tr w14:paraId="43B0D6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39" w:hRule="atLeast"/>
          <w:jc w:val="center"/>
        </w:trPr>
        <w:tc>
          <w:tcPr>
            <w:tcW w:w="1102" w:type="dxa"/>
            <w:vAlign w:val="center"/>
          </w:tcPr>
          <w:p w14:paraId="2BF78E41">
            <w:pPr>
              <w:shd w:val="clear"/>
              <w:jc w:val="center"/>
              <w:rPr>
                <w:rFonts w:hint="eastAsia" w:ascii="宋体" w:hAnsi="宋体" w:eastAsia="宋体" w:cs="宋体"/>
                <w:sz w:val="24"/>
                <w:szCs w:val="24"/>
              </w:rPr>
            </w:pPr>
            <w:r>
              <w:rPr>
                <w:rFonts w:hint="eastAsia" w:ascii="宋体" w:hAnsi="宋体" w:eastAsia="宋体" w:cs="宋体"/>
                <w:sz w:val="24"/>
                <w:szCs w:val="24"/>
              </w:rPr>
              <w:t>1</w:t>
            </w:r>
          </w:p>
        </w:tc>
        <w:tc>
          <w:tcPr>
            <w:tcW w:w="8177" w:type="dxa"/>
            <w:vAlign w:val="center"/>
          </w:tcPr>
          <w:p w14:paraId="0D1E32D4">
            <w:pPr>
              <w:shd w:val="clea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采购人名称：</w:t>
            </w:r>
            <w:r>
              <w:rPr>
                <w:rFonts w:hint="eastAsia" w:ascii="宋体" w:hAnsi="宋体" w:eastAsia="宋体" w:cs="宋体"/>
                <w:color w:val="000000" w:themeColor="text1"/>
                <w:sz w:val="24"/>
                <w:szCs w:val="24"/>
                <w:lang w:eastAsia="zh-CN"/>
                <w14:textFill>
                  <w14:solidFill>
                    <w14:schemeClr w14:val="tx1"/>
                  </w14:solidFill>
                </w14:textFill>
              </w:rPr>
              <w:t>吴堡县文化和旅游文物广电局</w:t>
            </w:r>
          </w:p>
          <w:p w14:paraId="6ED9AF2E">
            <w:pPr>
              <w:shd w:val="clea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eastAsia="宋体" w:cs="宋体"/>
                <w:i w:val="0"/>
                <w:iCs w:val="0"/>
                <w:caps w:val="0"/>
                <w:color w:val="auto"/>
                <w:spacing w:val="0"/>
                <w:sz w:val="24"/>
                <w:szCs w:val="24"/>
                <w:shd w:val="clear" w:fill="FFFFFF"/>
              </w:rPr>
              <w:t>宋家川街道办新建街7号</w:t>
            </w:r>
          </w:p>
          <w:p w14:paraId="63EAACE8">
            <w:pPr>
              <w:shd w:val="clea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lang w:eastAsia="zh-CN"/>
                <w14:textFill>
                  <w14:solidFill>
                    <w14:schemeClr w14:val="tx1"/>
                  </w14:solidFill>
                </w14:textFill>
              </w:rPr>
              <w:t>2025年“清爽榆林”文化旅游季吴堡分会场文化旅游周系列活动项目项目</w:t>
            </w:r>
          </w:p>
          <w:p w14:paraId="61C87B6E">
            <w:pPr>
              <w:shd w:val="clear"/>
              <w:spacing w:line="360" w:lineRule="auto"/>
              <w:rPr>
                <w:rFonts w:hint="eastAsia" w:ascii="宋体" w:hAnsi="宋体" w:eastAsia="宋体" w:cs="宋体"/>
                <w:sz w:val="24"/>
                <w:szCs w:val="24"/>
              </w:rPr>
            </w:pPr>
            <w:r>
              <w:rPr>
                <w:rFonts w:hint="eastAsia" w:ascii="宋体" w:hAnsi="宋体" w:eastAsia="宋体" w:cs="宋体"/>
                <w:sz w:val="24"/>
                <w:szCs w:val="24"/>
              </w:rPr>
              <w:t>资金来源：</w:t>
            </w:r>
            <w:r>
              <w:rPr>
                <w:rFonts w:hint="eastAsia" w:ascii="宋体" w:hAnsi="宋体" w:eastAsia="宋体" w:cs="宋体"/>
                <w:sz w:val="24"/>
                <w:szCs w:val="24"/>
                <w:lang w:eastAsia="zh-CN"/>
              </w:rPr>
              <w:t>财政</w:t>
            </w:r>
            <w:r>
              <w:rPr>
                <w:rFonts w:hint="eastAsia" w:ascii="宋体" w:hAnsi="宋体" w:eastAsia="宋体" w:cs="宋体"/>
                <w:sz w:val="24"/>
                <w:szCs w:val="24"/>
              </w:rPr>
              <w:t>资金</w:t>
            </w:r>
          </w:p>
        </w:tc>
      </w:tr>
      <w:tr w14:paraId="2786A2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9" w:hRule="atLeast"/>
          <w:jc w:val="center"/>
        </w:trPr>
        <w:tc>
          <w:tcPr>
            <w:tcW w:w="1102" w:type="dxa"/>
            <w:vAlign w:val="center"/>
          </w:tcPr>
          <w:p w14:paraId="4CFD9E24">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8177" w:type="dxa"/>
            <w:vAlign w:val="center"/>
          </w:tcPr>
          <w:p w14:paraId="2110D7B7">
            <w:pPr>
              <w:shd w:val="clea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服务地点</w:t>
            </w:r>
            <w:r>
              <w:rPr>
                <w:rFonts w:hint="eastAsia" w:ascii="宋体" w:hAnsi="宋体" w:eastAsia="宋体" w:cs="宋体"/>
                <w:sz w:val="24"/>
                <w:szCs w:val="24"/>
              </w:rPr>
              <w:t>：</w:t>
            </w:r>
            <w:r>
              <w:rPr>
                <w:rFonts w:hint="eastAsia" w:ascii="宋体" w:hAnsi="宋体" w:eastAsia="宋体" w:cs="宋体"/>
                <w:color w:val="000000"/>
                <w:sz w:val="24"/>
                <w:lang w:eastAsia="zh-CN"/>
              </w:rPr>
              <w:t>采购人</w:t>
            </w:r>
            <w:r>
              <w:rPr>
                <w:rFonts w:hint="eastAsia" w:ascii="宋体" w:hAnsi="宋体" w:eastAsia="宋体" w:cs="宋体"/>
                <w:color w:val="000000"/>
                <w:sz w:val="24"/>
              </w:rPr>
              <w:t>指定地点</w:t>
            </w:r>
          </w:p>
        </w:tc>
      </w:tr>
      <w:tr w14:paraId="320E0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6" w:hRule="atLeast"/>
          <w:jc w:val="center"/>
        </w:trPr>
        <w:tc>
          <w:tcPr>
            <w:tcW w:w="1102" w:type="dxa"/>
            <w:vAlign w:val="center"/>
          </w:tcPr>
          <w:p w14:paraId="3CEF7FAC">
            <w:pPr>
              <w:shd w:val="clea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8177" w:type="dxa"/>
            <w:vAlign w:val="center"/>
          </w:tcPr>
          <w:p w14:paraId="616ED711">
            <w:pPr>
              <w:shd w:val="clea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服务期： </w:t>
            </w:r>
            <w:r>
              <w:rPr>
                <w:rFonts w:hint="eastAsia" w:ascii="宋体" w:hAnsi="宋体" w:eastAsia="宋体" w:cs="宋体"/>
                <w:color w:val="auto"/>
                <w:sz w:val="24"/>
                <w:szCs w:val="24"/>
                <w:highlight w:val="none"/>
                <w:lang w:val="en-US" w:eastAsia="zh-CN"/>
              </w:rPr>
              <w:t>12天</w:t>
            </w:r>
          </w:p>
        </w:tc>
      </w:tr>
      <w:tr w14:paraId="2CF781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1102" w:type="dxa"/>
            <w:vAlign w:val="center"/>
          </w:tcPr>
          <w:p w14:paraId="2C67873B">
            <w:pPr>
              <w:shd w:val="clea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8177" w:type="dxa"/>
            <w:vAlign w:val="center"/>
          </w:tcPr>
          <w:p w14:paraId="22476A5C">
            <w:pPr>
              <w:shd w:val="clea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付款方式：</w:t>
            </w:r>
            <w:r>
              <w:rPr>
                <w:rFonts w:hint="eastAsia" w:ascii="宋体" w:hAnsi="宋体" w:eastAsia="宋体" w:cs="宋体"/>
                <w:color w:val="auto"/>
                <w:sz w:val="24"/>
                <w:szCs w:val="22"/>
                <w:lang w:val="en-US" w:eastAsia="zh-CN"/>
              </w:rPr>
              <w:t>合同约定</w:t>
            </w:r>
            <w:r>
              <w:rPr>
                <w:rFonts w:hint="eastAsia" w:ascii="宋体" w:hAnsi="宋体" w:eastAsia="宋体" w:cs="宋体"/>
                <w:color w:val="auto"/>
                <w:sz w:val="24"/>
                <w:szCs w:val="24"/>
              </w:rPr>
              <w:t>。</w:t>
            </w:r>
          </w:p>
        </w:tc>
      </w:tr>
      <w:tr w14:paraId="5E83E0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14" w:hRule="atLeast"/>
          <w:jc w:val="center"/>
        </w:trPr>
        <w:tc>
          <w:tcPr>
            <w:tcW w:w="1102" w:type="dxa"/>
            <w:vAlign w:val="center"/>
          </w:tcPr>
          <w:p w14:paraId="283B0837">
            <w:pPr>
              <w:shd w:val="clea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lang w:val="en-US" w:eastAsia="zh-CN"/>
              </w:rPr>
              <w:t>5</w:t>
            </w:r>
          </w:p>
        </w:tc>
        <w:tc>
          <w:tcPr>
            <w:tcW w:w="8177" w:type="dxa"/>
            <w:vAlign w:val="center"/>
          </w:tcPr>
          <w:p w14:paraId="3A53E7B4">
            <w:pPr>
              <w:shd w:val="clea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sz w:val="24"/>
                <w:szCs w:val="24"/>
              </w:rPr>
              <w:t>投标</w:t>
            </w:r>
            <w:r>
              <w:rPr>
                <w:rFonts w:hint="eastAsia" w:ascii="宋体" w:hAnsi="宋体" w:eastAsia="宋体" w:cs="宋体"/>
                <w:color w:val="auto"/>
                <w:sz w:val="24"/>
                <w:szCs w:val="24"/>
                <w:highlight w:val="none"/>
              </w:rPr>
              <w:t>报价应为本</w:t>
            </w:r>
            <w:r>
              <w:rPr>
                <w:rFonts w:hint="eastAsia" w:ascii="宋体" w:hAnsi="宋体" w:eastAsia="宋体" w:cs="宋体"/>
                <w:color w:val="auto"/>
                <w:sz w:val="24"/>
                <w:szCs w:val="24"/>
                <w:highlight w:val="none"/>
                <w:lang w:eastAsia="zh-CN"/>
              </w:rPr>
              <w:t>次</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中所</w:t>
            </w:r>
            <w:r>
              <w:rPr>
                <w:rFonts w:hint="eastAsia" w:ascii="宋体" w:hAnsi="宋体" w:eastAsia="宋体" w:cs="宋体"/>
                <w:color w:val="auto"/>
                <w:sz w:val="24"/>
                <w:szCs w:val="24"/>
                <w:highlight w:val="none"/>
              </w:rPr>
              <w:t>包含的一切相关费用</w:t>
            </w:r>
            <w:r>
              <w:rPr>
                <w:rFonts w:hint="eastAsia" w:ascii="宋体" w:hAnsi="宋体" w:eastAsia="宋体" w:cs="宋体"/>
                <w:color w:val="auto"/>
                <w:sz w:val="24"/>
                <w:szCs w:val="24"/>
              </w:rPr>
              <w:t>。</w:t>
            </w:r>
          </w:p>
          <w:p w14:paraId="5D1D633D">
            <w:pPr>
              <w:shd w:val="clea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2、合同总价一次包死，不受市场价变化或实际工作量变化的影响。</w:t>
            </w:r>
          </w:p>
          <w:p w14:paraId="118D10FD">
            <w:pPr>
              <w:shd w:val="clea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3、付款方式：</w:t>
            </w:r>
            <w:r>
              <w:rPr>
                <w:rFonts w:hint="eastAsia" w:ascii="宋体" w:hAnsi="宋体" w:eastAsia="宋体" w:cs="宋体"/>
                <w:color w:val="auto"/>
                <w:sz w:val="24"/>
                <w:szCs w:val="24"/>
                <w:lang w:val="en-US" w:eastAsia="zh-CN"/>
              </w:rPr>
              <w:t>合同约定</w:t>
            </w:r>
          </w:p>
          <w:p w14:paraId="31975982">
            <w:pPr>
              <w:shd w:val="clear"/>
              <w:spacing w:line="360" w:lineRule="auto"/>
              <w:rPr>
                <w:rFonts w:hint="eastAsia" w:ascii="宋体" w:hAnsi="宋体" w:eastAsia="宋体" w:cs="宋体"/>
                <w:sz w:val="24"/>
                <w:szCs w:val="24"/>
              </w:rPr>
            </w:pPr>
            <w:r>
              <w:rPr>
                <w:rFonts w:hint="eastAsia" w:ascii="宋体" w:hAnsi="宋体" w:eastAsia="宋体" w:cs="宋体"/>
                <w:color w:val="auto"/>
                <w:sz w:val="24"/>
                <w:szCs w:val="24"/>
              </w:rPr>
              <w:t>4、结算方式：按照国库集中支付有关规定执行，发票开采购人。</w:t>
            </w:r>
          </w:p>
        </w:tc>
      </w:tr>
      <w:tr w14:paraId="12012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41" w:hRule="atLeast"/>
          <w:jc w:val="center"/>
        </w:trPr>
        <w:tc>
          <w:tcPr>
            <w:tcW w:w="1102" w:type="dxa"/>
            <w:vAlign w:val="center"/>
          </w:tcPr>
          <w:p w14:paraId="77E9FA41">
            <w:pPr>
              <w:pStyle w:val="13"/>
              <w:shd w:val="clear"/>
              <w:spacing w:line="360" w:lineRule="auto"/>
              <w:jc w:val="center"/>
              <w:rPr>
                <w:rFonts w:hint="eastAsia" w:ascii="宋体" w:hAnsi="宋体" w:eastAsia="宋体" w:cs="宋体"/>
                <w:sz w:val="24"/>
                <w:szCs w:val="24"/>
              </w:rPr>
            </w:pPr>
            <w:r>
              <w:rPr>
                <w:rFonts w:hint="eastAsia" w:ascii="宋体" w:hAnsi="宋体" w:eastAsia="宋体" w:cs="宋体"/>
                <w:color w:val="auto"/>
                <w:szCs w:val="24"/>
                <w:lang w:val="en-US" w:eastAsia="zh-CN"/>
              </w:rPr>
              <w:t>6</w:t>
            </w:r>
          </w:p>
        </w:tc>
        <w:tc>
          <w:tcPr>
            <w:tcW w:w="8177" w:type="dxa"/>
            <w:vAlign w:val="center"/>
          </w:tcPr>
          <w:p w14:paraId="7636DA62">
            <w:pPr>
              <w:shd w:val="clea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违约责任：</w:t>
            </w:r>
          </w:p>
          <w:p w14:paraId="4F9A6A93">
            <w:pPr>
              <w:shd w:val="clea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按《</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》中的相关条款执行。</w:t>
            </w:r>
          </w:p>
          <w:p w14:paraId="06527A03">
            <w:pPr>
              <w:shd w:val="clear"/>
              <w:tabs>
                <w:tab w:val="left" w:pos="152"/>
              </w:tabs>
              <w:spacing w:line="360" w:lineRule="auto"/>
              <w:rPr>
                <w:rFonts w:hint="eastAsia" w:ascii="宋体" w:hAnsi="宋体" w:eastAsia="宋体" w:cs="宋体"/>
                <w:kern w:val="0"/>
                <w:sz w:val="24"/>
                <w:szCs w:val="24"/>
              </w:rPr>
            </w:pPr>
            <w:r>
              <w:rPr>
                <w:rFonts w:hint="eastAsia" w:ascii="宋体" w:hAnsi="宋体" w:eastAsia="宋体" w:cs="宋体"/>
                <w:color w:val="auto"/>
                <w:sz w:val="24"/>
                <w:szCs w:val="24"/>
              </w:rPr>
              <w:t>未按合同或招标文件要求提货物或供应的货物质量不能满足采购人技术要求，采购单位有权单方终止合同，甚至对供应商违约行为进行追究。</w:t>
            </w:r>
          </w:p>
        </w:tc>
      </w:tr>
    </w:tbl>
    <w:p w14:paraId="1124F838">
      <w:pPr>
        <w:pStyle w:val="9"/>
        <w:shd w:val="clear"/>
        <w:rPr>
          <w:rFonts w:hint="eastAsia" w:ascii="宋体" w:hAnsi="宋体" w:eastAsia="宋体" w:cs="宋体"/>
        </w:rPr>
      </w:pPr>
    </w:p>
    <w:p w14:paraId="2B24B5FE">
      <w:pPr>
        <w:pStyle w:val="2"/>
        <w:shd w:val="clear"/>
        <w:rPr>
          <w:rFonts w:hint="eastAsia" w:ascii="宋体" w:hAnsi="宋体" w:eastAsia="宋体" w:cs="宋体"/>
          <w:bCs/>
          <w:szCs w:val="44"/>
        </w:rPr>
      </w:pPr>
    </w:p>
    <w:p w14:paraId="31F035A5">
      <w:pPr>
        <w:pStyle w:val="2"/>
        <w:shd w:val="clear"/>
        <w:rPr>
          <w:rFonts w:hint="eastAsia" w:ascii="宋体" w:hAnsi="宋体" w:eastAsia="宋体" w:cs="宋体"/>
          <w:bCs/>
          <w:szCs w:val="44"/>
        </w:rPr>
      </w:pPr>
    </w:p>
    <w:bookmarkEnd w:id="185"/>
    <w:bookmarkEnd w:id="186"/>
    <w:bookmarkEnd w:id="188"/>
    <w:p w14:paraId="5999AFF4">
      <w:pPr>
        <w:shd w:val="clear"/>
        <w:rPr>
          <w:rFonts w:hint="eastAsia" w:ascii="宋体" w:hAnsi="宋体" w:eastAsia="宋体" w:cs="宋体"/>
          <w:b/>
          <w:bCs/>
          <w:sz w:val="28"/>
          <w:szCs w:val="28"/>
        </w:rPr>
      </w:pPr>
    </w:p>
    <w:p w14:paraId="62424856">
      <w:pPr>
        <w:pStyle w:val="2"/>
        <w:keepNext/>
        <w:keepLines w:val="0"/>
        <w:pageBreakBefore w:val="0"/>
        <w:widowControl w:val="0"/>
        <w:shd w:val="clear"/>
        <w:kinsoku/>
        <w:wordWrap/>
        <w:overflowPunct/>
        <w:topLinePunct w:val="0"/>
        <w:autoSpaceDE/>
        <w:autoSpaceDN/>
        <w:bidi w:val="0"/>
        <w:adjustRightInd w:val="0"/>
        <w:snapToGrid w:val="0"/>
        <w:spacing w:after="313" w:afterLines="100" w:line="480" w:lineRule="exact"/>
        <w:ind w:right="0" w:rightChars="0"/>
        <w:textAlignment w:val="auto"/>
        <w:rPr>
          <w:rFonts w:hint="eastAsia" w:ascii="宋体" w:hAnsi="宋体" w:eastAsia="宋体" w:cs="宋体"/>
          <w:color w:val="auto"/>
          <w:lang w:val="en-US" w:eastAsia="zh-CN"/>
        </w:rPr>
      </w:pPr>
      <w:bookmarkStart w:id="193" w:name="_Toc21951"/>
      <w:bookmarkStart w:id="194" w:name="_Toc29168"/>
      <w:bookmarkStart w:id="195" w:name="_Toc24096"/>
      <w:bookmarkStart w:id="196" w:name="_Toc6072"/>
      <w:bookmarkStart w:id="197" w:name="_Toc474770760"/>
      <w:bookmarkStart w:id="198" w:name="_Toc510859905"/>
      <w:bookmarkStart w:id="199" w:name="_Toc504605199"/>
      <w:r>
        <w:rPr>
          <w:rFonts w:hint="eastAsia" w:ascii="宋体" w:hAnsi="宋体" w:eastAsia="宋体" w:cs="宋体"/>
          <w:color w:val="auto"/>
        </w:rPr>
        <w:t xml:space="preserve"> 合同</w:t>
      </w:r>
      <w:r>
        <w:rPr>
          <w:rFonts w:hint="eastAsia" w:ascii="宋体" w:hAnsi="宋体" w:eastAsia="宋体" w:cs="宋体"/>
          <w:color w:val="auto"/>
          <w:lang w:val="en-US" w:eastAsia="zh-CN"/>
        </w:rPr>
        <w:t>主要条款</w:t>
      </w:r>
      <w:bookmarkEnd w:id="193"/>
      <w:bookmarkEnd w:id="194"/>
      <w:bookmarkEnd w:id="195"/>
      <w:r>
        <w:rPr>
          <w:rFonts w:hint="eastAsia" w:ascii="宋体" w:hAnsi="宋体" w:eastAsia="宋体" w:cs="宋体"/>
          <w:color w:val="auto"/>
          <w:lang w:val="en-US" w:eastAsia="zh-CN"/>
        </w:rPr>
        <w:t>（参考格式）</w:t>
      </w:r>
    </w:p>
    <w:p w14:paraId="74E37E3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sz w:val="44"/>
          <w:szCs w:val="44"/>
          <w:lang w:val="en-US" w:eastAsia="zh-CN"/>
        </w:rPr>
      </w:pPr>
      <w:bookmarkStart w:id="200" w:name="_Toc13909"/>
      <w:r>
        <w:rPr>
          <w:rFonts w:hint="eastAsia" w:ascii="宋体" w:hAnsi="宋体" w:eastAsia="宋体" w:cs="宋体"/>
          <w:b/>
          <w:sz w:val="44"/>
          <w:szCs w:val="44"/>
          <w:lang w:val="en-US" w:eastAsia="zh-CN"/>
        </w:rPr>
        <w:t>文化旅游周系列活动</w:t>
      </w:r>
    </w:p>
    <w:p w14:paraId="2653251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sz w:val="44"/>
          <w:szCs w:val="44"/>
        </w:rPr>
      </w:pPr>
      <w:r>
        <w:rPr>
          <w:rFonts w:hint="eastAsia" w:ascii="宋体" w:hAnsi="宋体" w:eastAsia="宋体" w:cs="宋体"/>
          <w:b/>
          <w:sz w:val="44"/>
          <w:szCs w:val="44"/>
          <w:lang w:val="en-US" w:eastAsia="zh-CN"/>
        </w:rPr>
        <w:t>服务</w:t>
      </w:r>
      <w:r>
        <w:rPr>
          <w:rFonts w:hint="eastAsia" w:ascii="宋体" w:hAnsi="宋体" w:eastAsia="宋体" w:cs="宋体"/>
          <w:b/>
          <w:sz w:val="44"/>
          <w:szCs w:val="44"/>
        </w:rPr>
        <w:t>合同</w:t>
      </w:r>
    </w:p>
    <w:p w14:paraId="2D5F244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sz w:val="44"/>
          <w:szCs w:val="44"/>
        </w:rPr>
      </w:pPr>
    </w:p>
    <w:p w14:paraId="6E8BFC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甲方：</w:t>
      </w:r>
      <w:r>
        <w:rPr>
          <w:rFonts w:hint="eastAsia" w:ascii="宋体" w:hAnsi="宋体" w:eastAsia="宋体" w:cs="宋体"/>
          <w:sz w:val="24"/>
          <w:szCs w:val="24"/>
          <w:lang w:val="en-US" w:eastAsia="zh-CN"/>
        </w:rPr>
        <w:t xml:space="preserve"> </w:t>
      </w:r>
    </w:p>
    <w:p w14:paraId="476E26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乙方：</w:t>
      </w:r>
    </w:p>
    <w:p w14:paraId="7589F4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经甲、乙双方友好协商，并根据《中华人民共和国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》及相关规定，签</w:t>
      </w:r>
      <w:r>
        <w:rPr>
          <w:rFonts w:hint="eastAsia" w:ascii="宋体" w:hAnsi="宋体" w:eastAsia="宋体" w:cs="宋体"/>
          <w:sz w:val="24"/>
          <w:szCs w:val="24"/>
          <w:lang w:val="en-US" w:eastAsia="zh-CN"/>
        </w:rPr>
        <w:t>订</w:t>
      </w:r>
      <w:r>
        <w:rPr>
          <w:rFonts w:hint="eastAsia" w:ascii="宋体" w:hAnsi="宋体" w:eastAsia="宋体" w:cs="宋体"/>
          <w:sz w:val="24"/>
          <w:szCs w:val="24"/>
        </w:rPr>
        <w:t>本次</w:t>
      </w:r>
      <w:r>
        <w:rPr>
          <w:rFonts w:hint="eastAsia" w:ascii="宋体" w:hAnsi="宋体" w:eastAsia="宋体" w:cs="宋体"/>
          <w:sz w:val="24"/>
          <w:szCs w:val="24"/>
          <w:lang w:val="en-US" w:eastAsia="zh-CN"/>
        </w:rPr>
        <w:t>活动包括：策划、执行、文艺演出、音响、灯光、舞台设计、搭建，LED大屏搭建、现场及活动全部区域布置（气氛营造）、美食游乐设施招商等服务</w:t>
      </w:r>
      <w:r>
        <w:rPr>
          <w:rFonts w:hint="eastAsia" w:ascii="宋体" w:hAnsi="宋体" w:eastAsia="宋体" w:cs="宋体"/>
          <w:sz w:val="24"/>
          <w:szCs w:val="24"/>
        </w:rPr>
        <w:t xml:space="preserve">合同，具体条款如下：  </w:t>
      </w:r>
    </w:p>
    <w:p w14:paraId="69496CD8">
      <w:pPr>
        <w:keepNext w:val="0"/>
        <w:keepLines w:val="0"/>
        <w:pageBreakBefore w:val="0"/>
        <w:widowControl w:val="0"/>
        <w:kinsoku/>
        <w:wordWrap/>
        <w:overflowPunct/>
        <w:topLinePunct w:val="0"/>
        <w:autoSpaceDE/>
        <w:autoSpaceDN/>
        <w:bidi w:val="0"/>
        <w:adjustRightInd w:val="0"/>
        <w:snapToGrid w:val="0"/>
        <w:spacing w:line="360" w:lineRule="auto"/>
        <w:ind w:left="2246" w:leftChars="266" w:hanging="1687" w:hangingChars="700"/>
        <w:textAlignment w:val="auto"/>
        <w:rPr>
          <w:rFonts w:hint="eastAsia" w:ascii="宋体" w:hAnsi="宋体" w:eastAsia="宋体" w:cs="宋体"/>
          <w:b/>
          <w:sz w:val="24"/>
          <w:szCs w:val="24"/>
        </w:rPr>
      </w:pPr>
      <w:r>
        <w:rPr>
          <w:rFonts w:hint="eastAsia" w:ascii="宋体" w:hAnsi="宋体" w:eastAsia="宋体" w:cs="宋体"/>
          <w:b/>
          <w:sz w:val="24"/>
          <w:szCs w:val="24"/>
        </w:rPr>
        <w:t>一、</w:t>
      </w:r>
      <w:r>
        <w:rPr>
          <w:rFonts w:hint="eastAsia" w:ascii="宋体" w:hAnsi="宋体" w:eastAsia="宋体" w:cs="宋体"/>
          <w:sz w:val="24"/>
          <w:szCs w:val="24"/>
        </w:rPr>
        <w:t xml:space="preserve">活动项目：2025年“清爽榆林”文化旅游季吴堡分会场暨吴堡县“黄河之滨·魅力吴堡”第二届文化旅游周系列活动                            </w:t>
      </w:r>
    </w:p>
    <w:p w14:paraId="26930451">
      <w:pPr>
        <w:keepNext w:val="0"/>
        <w:keepLines w:val="0"/>
        <w:pageBreakBefore w:val="0"/>
        <w:widowControl w:val="0"/>
        <w:kinsoku/>
        <w:wordWrap/>
        <w:overflowPunct/>
        <w:topLinePunct w:val="0"/>
        <w:autoSpaceDE/>
        <w:autoSpaceDN/>
        <w:bidi w:val="0"/>
        <w:adjustRightInd w:val="0"/>
        <w:snapToGrid w:val="0"/>
        <w:spacing w:line="360" w:lineRule="auto"/>
        <w:ind w:left="525"/>
        <w:textAlignment w:val="auto"/>
        <w:rPr>
          <w:rFonts w:hint="eastAsia" w:ascii="宋体" w:hAnsi="宋体" w:eastAsia="宋体" w:cs="宋体"/>
          <w:sz w:val="24"/>
          <w:szCs w:val="24"/>
        </w:rPr>
      </w:pPr>
      <w:r>
        <w:rPr>
          <w:rFonts w:hint="eastAsia" w:ascii="宋体" w:hAnsi="宋体" w:eastAsia="宋体" w:cs="宋体"/>
          <w:b/>
          <w:sz w:val="24"/>
          <w:szCs w:val="24"/>
        </w:rPr>
        <w:t>二、</w:t>
      </w:r>
      <w:r>
        <w:rPr>
          <w:rFonts w:hint="eastAsia" w:ascii="宋体" w:hAnsi="宋体" w:eastAsia="宋体" w:cs="宋体"/>
          <w:sz w:val="24"/>
          <w:szCs w:val="24"/>
        </w:rPr>
        <w:t>活动地点：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18AB69B5">
      <w:pPr>
        <w:keepNext w:val="0"/>
        <w:keepLines w:val="0"/>
        <w:pageBreakBefore w:val="0"/>
        <w:widowControl w:val="0"/>
        <w:kinsoku/>
        <w:wordWrap/>
        <w:overflowPunct/>
        <w:topLinePunct w:val="0"/>
        <w:autoSpaceDE/>
        <w:autoSpaceDN/>
        <w:bidi w:val="0"/>
        <w:adjustRightInd w:val="0"/>
        <w:snapToGrid w:val="0"/>
        <w:spacing w:line="360" w:lineRule="auto"/>
        <w:ind w:left="525"/>
        <w:textAlignment w:val="auto"/>
        <w:rPr>
          <w:rFonts w:hint="eastAsia" w:ascii="宋体" w:hAnsi="宋体" w:eastAsia="宋体" w:cs="宋体"/>
          <w:sz w:val="24"/>
          <w:szCs w:val="24"/>
        </w:rPr>
      </w:pPr>
      <w:r>
        <w:rPr>
          <w:rFonts w:hint="eastAsia" w:ascii="宋体" w:hAnsi="宋体" w:eastAsia="宋体" w:cs="宋体"/>
          <w:b/>
          <w:sz w:val="24"/>
          <w:szCs w:val="24"/>
        </w:rPr>
        <w:t>三、</w:t>
      </w:r>
      <w:r>
        <w:rPr>
          <w:rFonts w:hint="eastAsia" w:ascii="宋体" w:hAnsi="宋体" w:eastAsia="宋体" w:cs="宋体"/>
          <w:sz w:val="24"/>
          <w:szCs w:val="24"/>
        </w:rPr>
        <w:t>活动时间：</w:t>
      </w:r>
      <w:r>
        <w:rPr>
          <w:rFonts w:hint="eastAsia" w:ascii="宋体" w:hAnsi="宋体" w:eastAsia="宋体" w:cs="宋体"/>
          <w:sz w:val="24"/>
          <w:szCs w:val="24"/>
          <w:lang w:val="en-US" w:eastAsia="zh-CN"/>
        </w:rPr>
        <w:t xml:space="preserve">   年  月   日--       日</w:t>
      </w:r>
      <w:r>
        <w:rPr>
          <w:rFonts w:hint="eastAsia" w:ascii="宋体" w:hAnsi="宋体" w:eastAsia="宋体" w:cs="宋体"/>
          <w:sz w:val="24"/>
          <w:szCs w:val="24"/>
        </w:rPr>
        <w:t xml:space="preserve">                         </w:t>
      </w:r>
    </w:p>
    <w:p w14:paraId="2DE80647">
      <w:pPr>
        <w:keepNext w:val="0"/>
        <w:keepLines w:val="0"/>
        <w:pageBreakBefore w:val="0"/>
        <w:widowControl w:val="0"/>
        <w:kinsoku/>
        <w:wordWrap/>
        <w:overflowPunct/>
        <w:topLinePunct w:val="0"/>
        <w:autoSpaceDE/>
        <w:autoSpaceDN/>
        <w:bidi w:val="0"/>
        <w:adjustRightInd w:val="0"/>
        <w:snapToGrid w:val="0"/>
        <w:spacing w:line="360" w:lineRule="auto"/>
        <w:ind w:left="1007" w:leftChars="250" w:hanging="482" w:hangingChars="200"/>
        <w:textAlignment w:val="auto"/>
        <w:rPr>
          <w:rFonts w:hint="eastAsia" w:ascii="宋体" w:hAnsi="宋体" w:eastAsia="宋体" w:cs="宋体"/>
          <w:sz w:val="24"/>
          <w:szCs w:val="24"/>
        </w:rPr>
      </w:pPr>
      <w:r>
        <w:rPr>
          <w:rFonts w:hint="eastAsia" w:ascii="宋体" w:hAnsi="宋体" w:eastAsia="宋体" w:cs="宋体"/>
          <w:b/>
          <w:bCs w:val="0"/>
          <w:sz w:val="24"/>
          <w:szCs w:val="24"/>
        </w:rPr>
        <w:t>四、</w:t>
      </w:r>
      <w:r>
        <w:rPr>
          <w:rFonts w:hint="eastAsia" w:ascii="宋体" w:hAnsi="宋体" w:eastAsia="宋体" w:cs="宋体"/>
          <w:b w:val="0"/>
          <w:bCs/>
          <w:sz w:val="24"/>
          <w:szCs w:val="24"/>
          <w:lang w:val="en-US" w:eastAsia="zh-CN"/>
        </w:rPr>
        <w:t>活动策划、执行、文艺演出、音响、灯光、舞台设计、搭建，LED大屏搭建、现场及活动全部区域布置（气氛营造）、美食游乐设施招商等</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w:t>
      </w:r>
    </w:p>
    <w:p w14:paraId="4288CE16">
      <w:pPr>
        <w:keepNext w:val="0"/>
        <w:keepLines w:val="0"/>
        <w:pageBreakBefore w:val="0"/>
        <w:widowControl w:val="0"/>
        <w:kinsoku/>
        <w:wordWrap/>
        <w:overflowPunct/>
        <w:topLinePunct w:val="0"/>
        <w:autoSpaceDE/>
        <w:autoSpaceDN/>
        <w:bidi w:val="0"/>
        <w:adjustRightInd w:val="0"/>
        <w:snapToGrid w:val="0"/>
        <w:spacing w:line="360" w:lineRule="auto"/>
        <w:ind w:left="1007" w:leftChars="250" w:hanging="482" w:hangingChars="200"/>
        <w:textAlignment w:val="auto"/>
        <w:rPr>
          <w:rFonts w:hint="eastAsia" w:ascii="宋体" w:hAnsi="宋体" w:eastAsia="宋体" w:cs="宋体"/>
          <w:b/>
          <w:sz w:val="24"/>
          <w:szCs w:val="24"/>
          <w:u w:val="single"/>
        </w:rPr>
      </w:pPr>
      <w:r>
        <w:rPr>
          <w:rFonts w:hint="eastAsia" w:ascii="宋体" w:hAnsi="宋体" w:eastAsia="宋体" w:cs="宋体"/>
          <w:b/>
          <w:sz w:val="24"/>
          <w:szCs w:val="24"/>
        </w:rPr>
        <w:t>五、</w:t>
      </w:r>
      <w:r>
        <w:rPr>
          <w:rFonts w:hint="eastAsia" w:ascii="宋体" w:hAnsi="宋体" w:eastAsia="宋体" w:cs="宋体"/>
          <w:b w:val="0"/>
          <w:bCs/>
          <w:sz w:val="24"/>
          <w:szCs w:val="24"/>
          <w:lang w:val="en-US" w:eastAsia="zh-CN"/>
        </w:rPr>
        <w:t>活动策划、执行、文艺演出、音响、灯光、舞台设计、搭建，LED大屏搭建、现场及活动全部区域布置（气氛营造）、美食游乐设施招商等</w:t>
      </w:r>
      <w:r>
        <w:rPr>
          <w:rFonts w:hint="eastAsia" w:ascii="宋体" w:hAnsi="宋体" w:eastAsia="宋体" w:cs="宋体"/>
          <w:sz w:val="24"/>
          <w:szCs w:val="24"/>
          <w:lang w:val="en-US" w:eastAsia="zh-CN"/>
        </w:rPr>
        <w:t>。</w:t>
      </w:r>
      <w:r>
        <w:rPr>
          <w:rFonts w:hint="eastAsia" w:ascii="宋体" w:hAnsi="宋体" w:eastAsia="宋体" w:cs="宋体"/>
          <w:b w:val="0"/>
          <w:bCs/>
          <w:sz w:val="24"/>
          <w:szCs w:val="24"/>
          <w:lang w:val="en-US" w:eastAsia="zh-CN"/>
        </w:rPr>
        <w:t>全部服务</w:t>
      </w:r>
      <w:r>
        <w:rPr>
          <w:rFonts w:hint="eastAsia" w:ascii="宋体" w:hAnsi="宋体" w:eastAsia="宋体" w:cs="宋体"/>
          <w:b w:val="0"/>
          <w:bCs/>
          <w:sz w:val="24"/>
          <w:szCs w:val="24"/>
        </w:rPr>
        <w:t>合同额为RMB￥</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元（人民币大写：</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元整）。具体项目如下：道具类、服装类，</w:t>
      </w:r>
      <w:r>
        <w:rPr>
          <w:rFonts w:hint="eastAsia" w:ascii="宋体" w:hAnsi="宋体" w:eastAsia="宋体" w:cs="宋体"/>
          <w:b w:val="0"/>
          <w:bCs/>
          <w:sz w:val="24"/>
          <w:szCs w:val="24"/>
          <w:lang w:val="en-US" w:eastAsia="zh-CN"/>
        </w:rPr>
        <w:t>化妆、</w:t>
      </w:r>
      <w:r>
        <w:rPr>
          <w:rFonts w:hint="eastAsia" w:ascii="宋体" w:hAnsi="宋体" w:eastAsia="宋体" w:cs="宋体"/>
          <w:b w:val="0"/>
          <w:bCs/>
          <w:sz w:val="24"/>
          <w:szCs w:val="24"/>
        </w:rPr>
        <w:t>演员（工作人员）</w:t>
      </w:r>
      <w:r>
        <w:rPr>
          <w:rFonts w:hint="eastAsia" w:ascii="宋体" w:hAnsi="宋体" w:eastAsia="宋体" w:cs="宋体"/>
          <w:b w:val="0"/>
          <w:bCs/>
          <w:sz w:val="24"/>
          <w:szCs w:val="24"/>
          <w:lang w:val="en-US" w:eastAsia="zh-CN"/>
        </w:rPr>
        <w:t>的</w:t>
      </w:r>
      <w:r>
        <w:rPr>
          <w:rFonts w:hint="eastAsia" w:ascii="宋体" w:hAnsi="宋体" w:eastAsia="宋体" w:cs="宋体"/>
          <w:b w:val="0"/>
          <w:bCs/>
          <w:sz w:val="24"/>
          <w:szCs w:val="24"/>
        </w:rPr>
        <w:t>就餐、</w:t>
      </w:r>
      <w:r>
        <w:rPr>
          <w:rFonts w:hint="eastAsia" w:ascii="宋体" w:hAnsi="宋体" w:eastAsia="宋体" w:cs="宋体"/>
          <w:b w:val="0"/>
          <w:bCs/>
          <w:sz w:val="24"/>
          <w:szCs w:val="24"/>
          <w:lang w:val="en-US" w:eastAsia="zh-CN"/>
        </w:rPr>
        <w:t>往返交通、</w:t>
      </w:r>
      <w:r>
        <w:rPr>
          <w:rFonts w:hint="eastAsia" w:ascii="宋体" w:hAnsi="宋体" w:eastAsia="宋体" w:cs="宋体"/>
          <w:b w:val="0"/>
          <w:bCs/>
          <w:sz w:val="24"/>
          <w:szCs w:val="24"/>
        </w:rPr>
        <w:t>演出补助</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策划、</w:t>
      </w:r>
      <w:r>
        <w:rPr>
          <w:rFonts w:hint="eastAsia" w:ascii="宋体" w:hAnsi="宋体" w:eastAsia="宋体" w:cs="宋体"/>
          <w:b w:val="0"/>
          <w:bCs/>
          <w:sz w:val="24"/>
          <w:szCs w:val="24"/>
          <w:lang w:val="en-US" w:eastAsia="zh-CN"/>
        </w:rPr>
        <w:t>导演、撰稿、</w:t>
      </w:r>
      <w:r>
        <w:rPr>
          <w:rFonts w:hint="eastAsia" w:ascii="宋体" w:hAnsi="宋体" w:eastAsia="宋体" w:cs="宋体"/>
          <w:b w:val="0"/>
          <w:bCs/>
          <w:sz w:val="24"/>
          <w:szCs w:val="24"/>
        </w:rPr>
        <w:t>组织排练和演出、</w:t>
      </w:r>
      <w:r>
        <w:rPr>
          <w:rFonts w:hint="eastAsia" w:ascii="宋体" w:hAnsi="宋体" w:eastAsia="宋体" w:cs="宋体"/>
          <w:b w:val="0"/>
          <w:bCs/>
          <w:sz w:val="24"/>
          <w:szCs w:val="24"/>
          <w:lang w:val="en-US" w:eastAsia="zh-CN"/>
        </w:rPr>
        <w:t>舞美设计、</w:t>
      </w:r>
      <w:r>
        <w:rPr>
          <w:rFonts w:hint="eastAsia" w:ascii="宋体" w:hAnsi="宋体" w:eastAsia="宋体" w:cs="宋体"/>
          <w:b w:val="0"/>
          <w:bCs/>
          <w:sz w:val="24"/>
          <w:szCs w:val="24"/>
        </w:rPr>
        <w:t>舞台搭建、音响、</w:t>
      </w:r>
      <w:r>
        <w:rPr>
          <w:rFonts w:hint="eastAsia" w:ascii="宋体" w:hAnsi="宋体" w:eastAsia="宋体" w:cs="宋体"/>
          <w:b w:val="0"/>
          <w:bCs/>
          <w:sz w:val="24"/>
          <w:szCs w:val="24"/>
          <w:lang w:val="en-US" w:eastAsia="zh-CN"/>
        </w:rPr>
        <w:t>灯光、LED大屏租赁及技术保障、现场执行、现场布置</w:t>
      </w:r>
      <w:r>
        <w:rPr>
          <w:rFonts w:hint="eastAsia" w:ascii="宋体" w:hAnsi="宋体" w:eastAsia="宋体" w:cs="宋体"/>
          <w:b w:val="0"/>
          <w:bCs/>
          <w:sz w:val="24"/>
          <w:szCs w:val="24"/>
        </w:rPr>
        <w:t>等。</w:t>
      </w:r>
      <w:r>
        <w:rPr>
          <w:rFonts w:hint="eastAsia" w:ascii="宋体" w:hAnsi="宋体" w:eastAsia="宋体" w:cs="宋体"/>
          <w:b/>
          <w:sz w:val="24"/>
          <w:szCs w:val="24"/>
        </w:rPr>
        <w:t xml:space="preserve">              </w:t>
      </w:r>
    </w:p>
    <w:p w14:paraId="74A7D55B">
      <w:pPr>
        <w:keepNext w:val="0"/>
        <w:keepLines w:val="0"/>
        <w:pageBreakBefore w:val="0"/>
        <w:widowControl w:val="0"/>
        <w:kinsoku/>
        <w:wordWrap/>
        <w:overflowPunct/>
        <w:topLinePunct w:val="0"/>
        <w:autoSpaceDE/>
        <w:autoSpaceDN/>
        <w:bidi w:val="0"/>
        <w:adjustRightInd w:val="0"/>
        <w:snapToGrid w:val="0"/>
        <w:spacing w:line="360" w:lineRule="auto"/>
        <w:ind w:left="525"/>
        <w:textAlignment w:val="auto"/>
        <w:rPr>
          <w:rFonts w:hint="eastAsia" w:ascii="宋体" w:hAnsi="宋体" w:eastAsia="宋体" w:cs="宋体"/>
          <w:sz w:val="24"/>
          <w:szCs w:val="24"/>
        </w:rPr>
      </w:pPr>
      <w:r>
        <w:rPr>
          <w:rFonts w:hint="eastAsia" w:ascii="宋体" w:hAnsi="宋体" w:eastAsia="宋体" w:cs="宋体"/>
          <w:b/>
          <w:sz w:val="24"/>
          <w:szCs w:val="24"/>
        </w:rPr>
        <w:t>六、</w:t>
      </w:r>
      <w:r>
        <w:rPr>
          <w:rFonts w:hint="eastAsia" w:ascii="宋体" w:hAnsi="宋体" w:eastAsia="宋体" w:cs="宋体"/>
          <w:b w:val="0"/>
          <w:bCs/>
          <w:sz w:val="24"/>
          <w:szCs w:val="24"/>
        </w:rPr>
        <w:t>付款方式：活动完毕后，乙方出具发票</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甲方全额结清。</w:t>
      </w:r>
      <w:r>
        <w:rPr>
          <w:rFonts w:hint="eastAsia" w:ascii="宋体" w:hAnsi="宋体" w:eastAsia="宋体" w:cs="宋体"/>
          <w:b/>
          <w:sz w:val="24"/>
          <w:szCs w:val="24"/>
        </w:rPr>
        <w:t xml:space="preserve"> </w:t>
      </w:r>
      <w:r>
        <w:rPr>
          <w:rFonts w:hint="eastAsia" w:ascii="宋体" w:hAnsi="宋体" w:eastAsia="宋体" w:cs="宋体"/>
          <w:sz w:val="24"/>
          <w:szCs w:val="24"/>
        </w:rPr>
        <w:t xml:space="preserve"> </w:t>
      </w:r>
    </w:p>
    <w:p w14:paraId="2425FA39">
      <w:pPr>
        <w:keepNext w:val="0"/>
        <w:keepLines w:val="0"/>
        <w:pageBreakBefore w:val="0"/>
        <w:widowControl w:val="0"/>
        <w:kinsoku/>
        <w:wordWrap/>
        <w:overflowPunct/>
        <w:topLinePunct w:val="0"/>
        <w:autoSpaceDE/>
        <w:autoSpaceDN/>
        <w:bidi w:val="0"/>
        <w:adjustRightInd w:val="0"/>
        <w:snapToGrid w:val="0"/>
        <w:spacing w:line="360" w:lineRule="auto"/>
        <w:ind w:left="525" w:leftChars="25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七、</w:t>
      </w:r>
      <w:r>
        <w:rPr>
          <w:rFonts w:hint="eastAsia" w:ascii="宋体" w:hAnsi="宋体" w:eastAsia="宋体" w:cs="宋体"/>
          <w:b w:val="0"/>
          <w:bCs/>
          <w:sz w:val="24"/>
          <w:szCs w:val="24"/>
          <w:lang w:val="en-US" w:eastAsia="zh-CN"/>
        </w:rPr>
        <w:t>甲方责任和义务：</w:t>
      </w:r>
    </w:p>
    <w:p w14:paraId="713C3F6A">
      <w:pPr>
        <w:keepNext w:val="0"/>
        <w:keepLines w:val="0"/>
        <w:pageBreakBefore w:val="0"/>
        <w:widowControl w:val="0"/>
        <w:kinsoku/>
        <w:wordWrap/>
        <w:overflowPunct/>
        <w:topLinePunct w:val="0"/>
        <w:autoSpaceDE/>
        <w:autoSpaceDN/>
        <w:bidi w:val="0"/>
        <w:adjustRightInd w:val="0"/>
        <w:snapToGrid w:val="0"/>
        <w:spacing w:line="360" w:lineRule="auto"/>
        <w:ind w:left="525" w:leftChars="25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1、甲方需在正式确定活动时间5天前，告知乙方开始策划、编排节目、准备服装道具、场地布置，舞美设计、撰稿、方案起草等。</w:t>
      </w:r>
    </w:p>
    <w:p w14:paraId="12BAC454">
      <w:pPr>
        <w:keepNext w:val="0"/>
        <w:keepLines w:val="0"/>
        <w:pageBreakBefore w:val="0"/>
        <w:widowControl w:val="0"/>
        <w:kinsoku/>
        <w:wordWrap/>
        <w:overflowPunct/>
        <w:topLinePunct w:val="0"/>
        <w:autoSpaceDE/>
        <w:autoSpaceDN/>
        <w:bidi w:val="0"/>
        <w:adjustRightInd w:val="0"/>
        <w:snapToGrid w:val="0"/>
        <w:spacing w:line="360" w:lineRule="auto"/>
        <w:ind w:left="525" w:leftChars="25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2、甲方需提前告知乙方排练和演出、舞台搭建、场地布置等的具体要求（主题、艺术形式、服装道具、人数，舞美、演出设备要求等），并积极配合乙方开始排练和演出、布置场地等。 </w:t>
      </w:r>
    </w:p>
    <w:p w14:paraId="1C1DEF05">
      <w:pPr>
        <w:keepNext w:val="0"/>
        <w:keepLines w:val="0"/>
        <w:pageBreakBefore w:val="0"/>
        <w:widowControl w:val="0"/>
        <w:kinsoku/>
        <w:wordWrap/>
        <w:overflowPunct/>
        <w:topLinePunct w:val="0"/>
        <w:autoSpaceDE/>
        <w:autoSpaceDN/>
        <w:bidi w:val="0"/>
        <w:adjustRightInd w:val="0"/>
        <w:snapToGrid w:val="0"/>
        <w:spacing w:line="360" w:lineRule="auto"/>
        <w:ind w:left="525" w:leftChars="25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3、甲方提前告知乙方施工场地的具体要求，双方应一致确定安全的施工方式。 甲方须提供专人，就现场供电、场地占用、群众演员的调度，现场的布置等具体情况进行沟通，以配合乙方正常的施工进度。乙方进场后，若甲方临时改变施工地点、变更施工方式或增加演员、设备数量等，甲方应与乙方沟通，并作出相应补偿给乙方。</w:t>
      </w:r>
    </w:p>
    <w:p w14:paraId="58BB1165">
      <w:pPr>
        <w:keepNext w:val="0"/>
        <w:keepLines w:val="0"/>
        <w:pageBreakBefore w:val="0"/>
        <w:widowControl w:val="0"/>
        <w:kinsoku/>
        <w:wordWrap/>
        <w:overflowPunct/>
        <w:topLinePunct w:val="0"/>
        <w:autoSpaceDE/>
        <w:autoSpaceDN/>
        <w:bidi w:val="0"/>
        <w:adjustRightInd w:val="0"/>
        <w:snapToGrid w:val="0"/>
        <w:spacing w:line="360" w:lineRule="auto"/>
        <w:ind w:left="525" w:leftChars="25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八、乙方责任和义务：</w:t>
      </w:r>
    </w:p>
    <w:p w14:paraId="4E64FBD4">
      <w:pPr>
        <w:keepNext w:val="0"/>
        <w:keepLines w:val="0"/>
        <w:pageBreakBefore w:val="0"/>
        <w:widowControl w:val="0"/>
        <w:kinsoku/>
        <w:wordWrap/>
        <w:overflowPunct/>
        <w:topLinePunct w:val="0"/>
        <w:autoSpaceDE/>
        <w:autoSpaceDN/>
        <w:bidi w:val="0"/>
        <w:adjustRightInd w:val="0"/>
        <w:snapToGrid w:val="0"/>
        <w:spacing w:line="360" w:lineRule="auto"/>
        <w:ind w:left="525" w:leftChars="25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乙方必须服从甲方负责人、工作人员的要求和统一调度安排，以最佳的状态排练和演出及舞台搭建、场地的布置等。乙方不得借故拖延出场时间和缩短演出时间和内容、压缩服装道具、减少演出。演出中，除特殊情况以外，不得迟到早退等。</w:t>
      </w:r>
    </w:p>
    <w:p w14:paraId="4F99593C">
      <w:pPr>
        <w:keepNext w:val="0"/>
        <w:keepLines w:val="0"/>
        <w:pageBreakBefore w:val="0"/>
        <w:widowControl w:val="0"/>
        <w:kinsoku/>
        <w:wordWrap/>
        <w:overflowPunct/>
        <w:topLinePunct w:val="0"/>
        <w:autoSpaceDE/>
        <w:autoSpaceDN/>
        <w:bidi w:val="0"/>
        <w:adjustRightInd w:val="0"/>
        <w:snapToGrid w:val="0"/>
        <w:spacing w:line="360" w:lineRule="auto"/>
        <w:ind w:left="525" w:leftChars="25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2、乙方全权负责自身（人身）、财产安全及演出（排练）、舞台搭建期间的身体健康保证。</w:t>
      </w:r>
    </w:p>
    <w:p w14:paraId="3CB7B862">
      <w:pPr>
        <w:keepNext w:val="0"/>
        <w:keepLines w:val="0"/>
        <w:pageBreakBefore w:val="0"/>
        <w:widowControl w:val="0"/>
        <w:kinsoku/>
        <w:wordWrap/>
        <w:overflowPunct/>
        <w:topLinePunct w:val="0"/>
        <w:autoSpaceDE/>
        <w:autoSpaceDN/>
        <w:bidi w:val="0"/>
        <w:adjustRightInd w:val="0"/>
        <w:snapToGrid w:val="0"/>
        <w:spacing w:line="360" w:lineRule="auto"/>
        <w:ind w:left="525" w:leftChars="25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3、乙方需要绝对按照甲方的安排参加排练，试装，彩排、演出及舞美设计和搭建、场地布置等。</w:t>
      </w:r>
    </w:p>
    <w:p w14:paraId="7CF12EE2">
      <w:pPr>
        <w:keepNext w:val="0"/>
        <w:keepLines w:val="0"/>
        <w:pageBreakBefore w:val="0"/>
        <w:widowControl w:val="0"/>
        <w:kinsoku/>
        <w:wordWrap/>
        <w:overflowPunct/>
        <w:topLinePunct w:val="0"/>
        <w:autoSpaceDE/>
        <w:autoSpaceDN/>
        <w:bidi w:val="0"/>
        <w:adjustRightInd w:val="0"/>
        <w:snapToGrid w:val="0"/>
        <w:spacing w:line="360" w:lineRule="auto"/>
        <w:ind w:left="525" w:leftChars="25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4、乙方需要绝对服从甲方的统一安排进行舞美设计、舞台搭建、节目排练、彩排、演出、现场布置，并服从相关管理部门的安排及爱护演出场所的设施设备和演出所用的服装、道具等。</w:t>
      </w:r>
      <w:r>
        <w:rPr>
          <w:rFonts w:hint="eastAsia" w:ascii="宋体" w:hAnsi="宋体" w:eastAsia="宋体" w:cs="宋体"/>
          <w:b w:val="0"/>
          <w:bCs/>
          <w:sz w:val="24"/>
          <w:szCs w:val="24"/>
          <w:lang w:val="en-US" w:eastAsia="zh-CN"/>
        </w:rPr>
        <w:tab/>
      </w:r>
    </w:p>
    <w:p w14:paraId="2AD0936C">
      <w:pPr>
        <w:keepNext w:val="0"/>
        <w:keepLines w:val="0"/>
        <w:pageBreakBefore w:val="0"/>
        <w:widowControl w:val="0"/>
        <w:kinsoku/>
        <w:wordWrap/>
        <w:overflowPunct/>
        <w:topLinePunct w:val="0"/>
        <w:autoSpaceDE/>
        <w:autoSpaceDN/>
        <w:bidi w:val="0"/>
        <w:adjustRightInd w:val="0"/>
        <w:snapToGrid w:val="0"/>
        <w:spacing w:line="360" w:lineRule="auto"/>
        <w:ind w:left="525" w:leftChars="25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5、乙方在舞台搭建中，设备进场后，由乙方负责设备保管工作及撤场工作。 演出活动器材的运输、安装、搭建、调试、拆卸等由乙方全权负责。在乙方施工过程中乙方须确保施工人员正确安全施工。现场因施工问题，因乙方搭建的设备造成人员人身伤害等问题，相关责任和后果由乙方自行全权负责。  </w:t>
      </w:r>
    </w:p>
    <w:p w14:paraId="600968F1">
      <w:pPr>
        <w:keepNext w:val="0"/>
        <w:keepLines w:val="0"/>
        <w:pageBreakBefore w:val="0"/>
        <w:widowControl w:val="0"/>
        <w:kinsoku/>
        <w:wordWrap/>
        <w:overflowPunct/>
        <w:topLinePunct w:val="0"/>
        <w:autoSpaceDE/>
        <w:autoSpaceDN/>
        <w:bidi w:val="0"/>
        <w:adjustRightInd w:val="0"/>
        <w:snapToGrid w:val="0"/>
        <w:spacing w:line="360" w:lineRule="auto"/>
        <w:ind w:left="525" w:leftChars="25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6、乙方技术人员及设备操作人员应提前到位，对演出器材进行全面的检验、调试，以确保器材设备能正常使用，保证活动的顺利完成。</w:t>
      </w:r>
    </w:p>
    <w:p w14:paraId="101CDCDE">
      <w:pPr>
        <w:keepNext w:val="0"/>
        <w:keepLines w:val="0"/>
        <w:pageBreakBefore w:val="0"/>
        <w:widowControl w:val="0"/>
        <w:kinsoku/>
        <w:wordWrap/>
        <w:overflowPunct/>
        <w:topLinePunct w:val="0"/>
        <w:autoSpaceDE/>
        <w:autoSpaceDN/>
        <w:bidi w:val="0"/>
        <w:adjustRightInd w:val="0"/>
        <w:snapToGrid w:val="0"/>
        <w:spacing w:line="360" w:lineRule="auto"/>
        <w:ind w:left="525" w:leftChars="25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7、乙方要有大局意识、团队精神，以紧密协作，认真负责的态度，完成好演出及相关事宜。</w:t>
      </w:r>
    </w:p>
    <w:p w14:paraId="18E8A84E">
      <w:pPr>
        <w:keepNext w:val="0"/>
        <w:keepLines w:val="0"/>
        <w:pageBreakBefore w:val="0"/>
        <w:widowControl w:val="0"/>
        <w:kinsoku/>
        <w:wordWrap/>
        <w:overflowPunct/>
        <w:topLinePunct w:val="0"/>
        <w:autoSpaceDE/>
        <w:autoSpaceDN/>
        <w:bidi w:val="0"/>
        <w:adjustRightInd w:val="0"/>
        <w:snapToGrid w:val="0"/>
        <w:spacing w:line="360" w:lineRule="auto"/>
        <w:ind w:left="525" w:leftChars="25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w:t>
      </w:r>
    </w:p>
    <w:p w14:paraId="38C5A5B9">
      <w:pPr>
        <w:keepNext w:val="0"/>
        <w:keepLines w:val="0"/>
        <w:pageBreakBefore w:val="0"/>
        <w:widowControl w:val="0"/>
        <w:kinsoku/>
        <w:wordWrap/>
        <w:overflowPunct/>
        <w:topLinePunct w:val="0"/>
        <w:autoSpaceDE/>
        <w:autoSpaceDN/>
        <w:bidi w:val="0"/>
        <w:adjustRightInd w:val="0"/>
        <w:snapToGrid w:val="0"/>
        <w:spacing w:line="360" w:lineRule="auto"/>
        <w:ind w:left="525"/>
        <w:textAlignment w:val="auto"/>
        <w:rPr>
          <w:rFonts w:hint="eastAsia" w:ascii="宋体" w:hAnsi="宋体" w:eastAsia="宋体" w:cs="宋体"/>
          <w:b w:val="0"/>
          <w:bCs/>
          <w:sz w:val="24"/>
          <w:szCs w:val="24"/>
          <w:lang w:val="en-US" w:eastAsia="zh-CN"/>
        </w:rPr>
      </w:pPr>
      <w:r>
        <w:rPr>
          <w:rFonts w:hint="eastAsia" w:ascii="宋体" w:hAnsi="宋体" w:eastAsia="宋体" w:cs="宋体"/>
          <w:b/>
          <w:bCs w:val="0"/>
          <w:sz w:val="24"/>
          <w:szCs w:val="24"/>
          <w:lang w:val="en-US" w:eastAsia="zh-CN"/>
        </w:rPr>
        <w:t>九、双方责任：</w:t>
      </w:r>
    </w:p>
    <w:p w14:paraId="58F8F772">
      <w:pPr>
        <w:keepNext w:val="0"/>
        <w:keepLines w:val="0"/>
        <w:pageBreakBefore w:val="0"/>
        <w:widowControl w:val="0"/>
        <w:kinsoku/>
        <w:wordWrap/>
        <w:overflowPunct/>
        <w:topLinePunct w:val="0"/>
        <w:autoSpaceDE/>
        <w:autoSpaceDN/>
        <w:bidi w:val="0"/>
        <w:adjustRightInd w:val="0"/>
        <w:snapToGrid w:val="0"/>
        <w:spacing w:line="360" w:lineRule="auto"/>
        <w:ind w:left="525"/>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1、如乙方违反协议规定｛如演员不能到场演出，除不可抗拒原因外｝而令活动无法进行的，乙方负全责。活动执行现场乙方工作人员需全力配合甲方工作作业时间及作业要求，若因乙方施工进度（除人力不可抗拒的问题）造成活动不能按时交台、彩排、活动不能按时如期举行，相关后果由乙方全权承担。   </w:t>
      </w:r>
    </w:p>
    <w:p w14:paraId="30B9A329">
      <w:pPr>
        <w:keepNext w:val="0"/>
        <w:keepLines w:val="0"/>
        <w:pageBreakBefore w:val="0"/>
        <w:widowControl w:val="0"/>
        <w:kinsoku/>
        <w:wordWrap/>
        <w:overflowPunct/>
        <w:topLinePunct w:val="0"/>
        <w:autoSpaceDE/>
        <w:autoSpaceDN/>
        <w:bidi w:val="0"/>
        <w:adjustRightInd w:val="0"/>
        <w:snapToGrid w:val="0"/>
        <w:spacing w:line="360" w:lineRule="auto"/>
        <w:ind w:left="525"/>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2、活动现场的安全秩序由甲方全权负责，由于甲方现场安保措施不力造成乙方演员、工作人员身体伤害及设备丢失、损坏，甲方必须负责赔偿乙方损失。 如遇不可抗拒之因素，包括但不限于天灾、水灾、地震等，甲方有权作最后的安排决定，乙方不得异议。    </w:t>
      </w:r>
    </w:p>
    <w:p w14:paraId="66B8958D">
      <w:pPr>
        <w:keepNext w:val="0"/>
        <w:keepLines w:val="0"/>
        <w:pageBreakBefore w:val="0"/>
        <w:widowControl w:val="0"/>
        <w:kinsoku/>
        <w:wordWrap/>
        <w:overflowPunct/>
        <w:topLinePunct w:val="0"/>
        <w:autoSpaceDE/>
        <w:autoSpaceDN/>
        <w:bidi w:val="0"/>
        <w:adjustRightInd w:val="0"/>
        <w:snapToGrid w:val="0"/>
        <w:spacing w:line="360" w:lineRule="auto"/>
        <w:ind w:left="525"/>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3、以上条款内容甲乙双方共同遵守，此服务合同书一式俩份，甲乙双方各执一份为凭，签署及盖章即产生法律效应，任何修改必须经过双方协商后签字认可。   </w:t>
      </w:r>
    </w:p>
    <w:p w14:paraId="0B1D60B3">
      <w:pPr>
        <w:keepNext w:val="0"/>
        <w:keepLines w:val="0"/>
        <w:pageBreakBefore w:val="0"/>
        <w:widowControl w:val="0"/>
        <w:kinsoku/>
        <w:wordWrap/>
        <w:overflowPunct/>
        <w:topLinePunct w:val="0"/>
        <w:autoSpaceDE/>
        <w:autoSpaceDN/>
        <w:bidi w:val="0"/>
        <w:adjustRightInd w:val="0"/>
        <w:snapToGrid w:val="0"/>
        <w:spacing w:line="360" w:lineRule="auto"/>
        <w:ind w:left="525"/>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4、除甲、乙双方同意，甲乙双方不得转让任何本合同书之权利及责任。      </w:t>
      </w:r>
    </w:p>
    <w:p w14:paraId="6E642789">
      <w:pPr>
        <w:keepNext w:val="0"/>
        <w:keepLines w:val="0"/>
        <w:pageBreakBefore w:val="0"/>
        <w:widowControl w:val="0"/>
        <w:kinsoku/>
        <w:wordWrap/>
        <w:overflowPunct/>
        <w:topLinePunct w:val="0"/>
        <w:autoSpaceDE/>
        <w:autoSpaceDN/>
        <w:bidi w:val="0"/>
        <w:adjustRightInd w:val="0"/>
        <w:snapToGrid w:val="0"/>
        <w:spacing w:line="360" w:lineRule="auto"/>
        <w:ind w:left="561" w:leftChars="267"/>
        <w:textAlignment w:val="auto"/>
        <w:rPr>
          <w:rFonts w:hint="eastAsia" w:ascii="宋体" w:hAnsi="宋体" w:eastAsia="宋体" w:cs="宋体"/>
          <w:b w:val="0"/>
          <w:bCs/>
          <w:sz w:val="24"/>
          <w:szCs w:val="24"/>
        </w:rPr>
      </w:pPr>
      <w:r>
        <w:rPr>
          <w:rFonts w:hint="eastAsia" w:ascii="宋体" w:hAnsi="宋体" w:eastAsia="宋体" w:cs="宋体"/>
          <w:b/>
          <w:sz w:val="24"/>
          <w:szCs w:val="24"/>
        </w:rPr>
        <w:t>十、</w:t>
      </w:r>
      <w:r>
        <w:rPr>
          <w:rFonts w:hint="eastAsia" w:ascii="宋体" w:hAnsi="宋体" w:eastAsia="宋体" w:cs="宋体"/>
          <w:b w:val="0"/>
          <w:bCs/>
          <w:sz w:val="24"/>
          <w:szCs w:val="24"/>
        </w:rPr>
        <w:t>本协议未尽事宜，双方本着友好协商的原则解决。本协议一式两份，双方盖章签字即生效。</w:t>
      </w:r>
    </w:p>
    <w:p w14:paraId="54248E6E">
      <w:pPr>
        <w:keepNext w:val="0"/>
        <w:keepLines w:val="0"/>
        <w:pageBreakBefore w:val="0"/>
        <w:widowControl w:val="0"/>
        <w:kinsoku/>
        <w:wordWrap/>
        <w:overflowPunct/>
        <w:topLinePunct w:val="0"/>
        <w:autoSpaceDE/>
        <w:autoSpaceDN/>
        <w:bidi w:val="0"/>
        <w:adjustRightInd w:val="0"/>
        <w:snapToGrid w:val="0"/>
        <w:spacing w:line="360" w:lineRule="auto"/>
        <w:ind w:left="141" w:leftChars="67" w:firstLine="477" w:firstLineChars="199"/>
        <w:textAlignment w:val="auto"/>
        <w:rPr>
          <w:rFonts w:hint="eastAsia" w:ascii="宋体" w:hAnsi="宋体" w:eastAsia="宋体" w:cs="宋体"/>
          <w:sz w:val="24"/>
          <w:szCs w:val="24"/>
        </w:rPr>
      </w:pPr>
      <w:r>
        <w:rPr>
          <w:rFonts w:hint="eastAsia" w:ascii="宋体" w:hAnsi="宋体" w:eastAsia="宋体" w:cs="宋体"/>
          <w:sz w:val="24"/>
          <w:szCs w:val="24"/>
        </w:rPr>
        <w:t>甲方：                         乙方：</w:t>
      </w:r>
    </w:p>
    <w:p w14:paraId="0C6CCB47">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 xml:space="preserve">代表人（签字）：                代表人（签字）：                         </w:t>
      </w:r>
    </w:p>
    <w:p w14:paraId="112E3743">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盖  章（公章）：                盖  章（公章）：</w:t>
      </w:r>
    </w:p>
    <w:p w14:paraId="26B53C54">
      <w:pPr>
        <w:keepNext w:val="0"/>
        <w:keepLines w:val="0"/>
        <w:pageBreakBefore w:val="0"/>
        <w:widowControl w:val="0"/>
        <w:kinsoku/>
        <w:wordWrap/>
        <w:overflowPunct/>
        <w:topLinePunct w:val="0"/>
        <w:autoSpaceDE/>
        <w:autoSpaceDN/>
        <w:bidi w:val="0"/>
        <w:adjustRightInd w:val="0"/>
        <w:snapToGrid w:val="0"/>
        <w:spacing w:line="360" w:lineRule="auto"/>
        <w:ind w:firstLine="3120" w:firstLineChars="1300"/>
        <w:textAlignment w:val="auto"/>
        <w:rPr>
          <w:rFonts w:hint="eastAsia" w:ascii="宋体" w:hAnsi="宋体" w:eastAsia="宋体" w:cs="宋体"/>
          <w:sz w:val="24"/>
          <w:szCs w:val="24"/>
        </w:rPr>
      </w:pPr>
      <w:r>
        <w:rPr>
          <w:rFonts w:hint="eastAsia" w:ascii="宋体" w:hAnsi="宋体" w:eastAsia="宋体" w:cs="宋体"/>
          <w:sz w:val="24"/>
          <w:szCs w:val="24"/>
        </w:rPr>
        <w:t>签约日期：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3B3168C4">
      <w:pPr>
        <w:pStyle w:val="2"/>
        <w:keepNext/>
        <w:keepLines w:val="0"/>
        <w:pageBreakBefore w:val="0"/>
        <w:widowControl w:val="0"/>
        <w:shd w:val="clear"/>
        <w:kinsoku/>
        <w:wordWrap/>
        <w:overflowPunct/>
        <w:topLinePunct w:val="0"/>
        <w:autoSpaceDE/>
        <w:autoSpaceDN/>
        <w:bidi w:val="0"/>
        <w:adjustRightInd w:val="0"/>
        <w:snapToGrid w:val="0"/>
        <w:spacing w:after="313" w:afterLines="100" w:line="312" w:lineRule="auto"/>
        <w:jc w:val="center"/>
        <w:textAlignment w:val="auto"/>
        <w:rPr>
          <w:rFonts w:hint="eastAsia" w:ascii="宋体" w:hAnsi="宋体" w:eastAsia="宋体" w:cs="宋体"/>
          <w:sz w:val="24"/>
          <w:szCs w:val="24"/>
        </w:rPr>
      </w:pPr>
    </w:p>
    <w:p w14:paraId="0AB9FD23">
      <w:pPr>
        <w:shd w:val="clear"/>
        <w:rPr>
          <w:rFonts w:hint="eastAsia" w:ascii="宋体" w:hAnsi="宋体" w:eastAsia="宋体" w:cs="宋体"/>
          <w:sz w:val="24"/>
          <w:szCs w:val="24"/>
        </w:rPr>
      </w:pPr>
    </w:p>
    <w:p w14:paraId="161C3BDD">
      <w:pPr>
        <w:shd w:val="clear"/>
        <w:rPr>
          <w:rFonts w:hint="eastAsia" w:ascii="宋体" w:hAnsi="宋体" w:eastAsia="宋体" w:cs="宋体"/>
          <w:sz w:val="24"/>
          <w:szCs w:val="24"/>
        </w:rPr>
      </w:pPr>
    </w:p>
    <w:p w14:paraId="5E8D1F0D">
      <w:pPr>
        <w:shd w:val="clear"/>
        <w:rPr>
          <w:rFonts w:hint="eastAsia" w:ascii="宋体" w:hAnsi="宋体" w:eastAsia="宋体" w:cs="宋体"/>
          <w:sz w:val="24"/>
          <w:szCs w:val="24"/>
        </w:rPr>
      </w:pPr>
    </w:p>
    <w:p w14:paraId="203C5A06">
      <w:pPr>
        <w:shd w:val="clear"/>
        <w:rPr>
          <w:rFonts w:hint="eastAsia" w:ascii="宋体" w:hAnsi="宋体" w:eastAsia="宋体" w:cs="宋体"/>
          <w:sz w:val="24"/>
          <w:szCs w:val="24"/>
        </w:rPr>
      </w:pPr>
    </w:p>
    <w:p w14:paraId="0A9FEA5F">
      <w:pPr>
        <w:shd w:val="clear"/>
        <w:rPr>
          <w:rFonts w:hint="eastAsia" w:ascii="宋体" w:hAnsi="宋体" w:eastAsia="宋体" w:cs="宋体"/>
          <w:sz w:val="36"/>
          <w:szCs w:val="36"/>
        </w:rPr>
      </w:pPr>
    </w:p>
    <w:p w14:paraId="4F5DE9ED">
      <w:pPr>
        <w:shd w:val="clear"/>
        <w:rPr>
          <w:rFonts w:hint="eastAsia" w:ascii="宋体" w:hAnsi="宋体" w:eastAsia="宋体" w:cs="宋体"/>
          <w:sz w:val="36"/>
          <w:szCs w:val="36"/>
        </w:rPr>
      </w:pPr>
    </w:p>
    <w:p w14:paraId="4D32BB53">
      <w:pPr>
        <w:shd w:val="clear"/>
        <w:rPr>
          <w:rFonts w:hint="eastAsia" w:ascii="宋体" w:hAnsi="宋体" w:eastAsia="宋体" w:cs="宋体"/>
          <w:sz w:val="36"/>
          <w:szCs w:val="36"/>
        </w:rPr>
      </w:pPr>
    </w:p>
    <w:bookmarkEnd w:id="196"/>
    <w:bookmarkEnd w:id="197"/>
    <w:bookmarkEnd w:id="198"/>
    <w:bookmarkEnd w:id="200"/>
    <w:p w14:paraId="34B6E6A7">
      <w:pPr>
        <w:pStyle w:val="2"/>
        <w:keepNext/>
        <w:keepLines w:val="0"/>
        <w:pageBreakBefore w:val="0"/>
        <w:widowControl w:val="0"/>
        <w:numPr>
          <w:ilvl w:val="0"/>
          <w:numId w:val="10"/>
        </w:numPr>
        <w:shd w:val="clear"/>
        <w:kinsoku/>
        <w:wordWrap/>
        <w:overflowPunct/>
        <w:topLinePunct w:val="0"/>
        <w:autoSpaceDE/>
        <w:autoSpaceDN/>
        <w:bidi w:val="0"/>
        <w:adjustRightInd w:val="0"/>
        <w:snapToGrid w:val="0"/>
        <w:spacing w:after="313" w:afterLines="100" w:line="312" w:lineRule="auto"/>
        <w:jc w:val="center"/>
        <w:textAlignment w:val="auto"/>
        <w:rPr>
          <w:rFonts w:hint="eastAsia" w:ascii="宋体" w:hAnsi="宋体" w:eastAsia="宋体" w:cs="宋体"/>
          <w:sz w:val="36"/>
          <w:szCs w:val="36"/>
        </w:rPr>
      </w:pPr>
      <w:bookmarkStart w:id="201" w:name="_Toc513557045"/>
      <w:bookmarkStart w:id="202" w:name="_Toc21629"/>
      <w:r>
        <w:rPr>
          <w:rFonts w:hint="eastAsia" w:ascii="宋体" w:hAnsi="宋体" w:eastAsia="宋体" w:cs="宋体"/>
          <w:sz w:val="36"/>
          <w:szCs w:val="36"/>
        </w:rPr>
        <w:t xml:space="preserve"> 采购内容及要求</w:t>
      </w:r>
    </w:p>
    <w:p w14:paraId="52409F6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8"/>
          <w:szCs w:val="28"/>
        </w:rPr>
      </w:pPr>
      <w:r>
        <w:rPr>
          <w:rFonts w:hint="eastAsia" w:ascii="宋体" w:hAnsi="宋体" w:eastAsia="宋体" w:cs="宋体"/>
          <w:b/>
          <w:bCs/>
          <w:sz w:val="32"/>
          <w:szCs w:val="32"/>
          <w:lang w:eastAsia="zh-CN"/>
        </w:rPr>
        <w:t>采购清单及要求</w:t>
      </w:r>
    </w:p>
    <w:tbl>
      <w:tblPr>
        <w:tblStyle w:val="26"/>
        <w:tblW w:w="8768"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5037"/>
        <w:gridCol w:w="1830"/>
        <w:gridCol w:w="891"/>
      </w:tblGrid>
      <w:tr w14:paraId="429A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10" w:type="dxa"/>
          </w:tcPr>
          <w:p w14:paraId="39E994C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5037" w:type="dxa"/>
          </w:tcPr>
          <w:p w14:paraId="50DCFF1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内容</w:t>
            </w:r>
          </w:p>
        </w:tc>
        <w:tc>
          <w:tcPr>
            <w:tcW w:w="1830" w:type="dxa"/>
          </w:tcPr>
          <w:p w14:paraId="2C38636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天数</w:t>
            </w:r>
          </w:p>
        </w:tc>
        <w:tc>
          <w:tcPr>
            <w:tcW w:w="891" w:type="dxa"/>
          </w:tcPr>
          <w:p w14:paraId="77AA778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14:paraId="1FB0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10" w:type="dxa"/>
            <w:vAlign w:val="center"/>
          </w:tcPr>
          <w:p w14:paraId="5A6CA97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5037" w:type="dxa"/>
            <w:vAlign w:val="center"/>
          </w:tcPr>
          <w:p w14:paraId="740F6BA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活动设备租赁</w:t>
            </w:r>
          </w:p>
          <w:p w14:paraId="0D1CD90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（灯光、音响、大屏含运输搭建）</w:t>
            </w:r>
          </w:p>
        </w:tc>
        <w:tc>
          <w:tcPr>
            <w:tcW w:w="1830" w:type="dxa"/>
            <w:vAlign w:val="center"/>
          </w:tcPr>
          <w:p w14:paraId="5A5B20C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12</w:t>
            </w:r>
          </w:p>
        </w:tc>
        <w:tc>
          <w:tcPr>
            <w:tcW w:w="891" w:type="dxa"/>
            <w:vAlign w:val="center"/>
          </w:tcPr>
          <w:p w14:paraId="0B8E6BD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8"/>
                <w:szCs w:val="28"/>
                <w:vertAlign w:val="baseline"/>
                <w:lang w:val="en-US" w:eastAsia="zh-CN"/>
              </w:rPr>
            </w:pPr>
          </w:p>
        </w:tc>
      </w:tr>
      <w:tr w14:paraId="660E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10" w:type="dxa"/>
            <w:vAlign w:val="center"/>
          </w:tcPr>
          <w:p w14:paraId="63B8928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5037" w:type="dxa"/>
            <w:vAlign w:val="center"/>
          </w:tcPr>
          <w:p w14:paraId="653667B1">
            <w:pPr>
              <w:keepNext w:val="0"/>
              <w:keepLines w:val="0"/>
              <w:pageBreakBefore w:val="0"/>
              <w:widowControl w:val="0"/>
              <w:numPr>
                <w:ilvl w:val="0"/>
                <w:numId w:val="0"/>
              </w:numPr>
              <w:tabs>
                <w:tab w:val="left" w:pos="1092"/>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舞台搭建</w:t>
            </w:r>
          </w:p>
        </w:tc>
        <w:tc>
          <w:tcPr>
            <w:tcW w:w="1830" w:type="dxa"/>
            <w:vAlign w:val="center"/>
          </w:tcPr>
          <w:p w14:paraId="2F90935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12</w:t>
            </w:r>
          </w:p>
        </w:tc>
        <w:tc>
          <w:tcPr>
            <w:tcW w:w="891" w:type="dxa"/>
            <w:vAlign w:val="center"/>
          </w:tcPr>
          <w:p w14:paraId="1580518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8"/>
                <w:szCs w:val="28"/>
                <w:vertAlign w:val="baseline"/>
                <w:lang w:val="en-US" w:eastAsia="zh-CN"/>
              </w:rPr>
            </w:pPr>
          </w:p>
        </w:tc>
      </w:tr>
      <w:tr w14:paraId="617B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10" w:type="dxa"/>
            <w:vAlign w:val="center"/>
          </w:tcPr>
          <w:p w14:paraId="243C3E4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w:t>
            </w:r>
          </w:p>
        </w:tc>
        <w:tc>
          <w:tcPr>
            <w:tcW w:w="5037" w:type="dxa"/>
            <w:vAlign w:val="center"/>
          </w:tcPr>
          <w:p w14:paraId="47C16B6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演出活动</w:t>
            </w:r>
          </w:p>
        </w:tc>
        <w:tc>
          <w:tcPr>
            <w:tcW w:w="1830" w:type="dxa"/>
            <w:vAlign w:val="center"/>
          </w:tcPr>
          <w:p w14:paraId="20CB5B3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6场</w:t>
            </w:r>
          </w:p>
        </w:tc>
        <w:tc>
          <w:tcPr>
            <w:tcW w:w="891" w:type="dxa"/>
            <w:vAlign w:val="center"/>
          </w:tcPr>
          <w:p w14:paraId="7EA7463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8"/>
                <w:szCs w:val="28"/>
                <w:vertAlign w:val="baseline"/>
                <w:lang w:val="en-US" w:eastAsia="zh-CN"/>
              </w:rPr>
            </w:pPr>
          </w:p>
        </w:tc>
      </w:tr>
      <w:tr w14:paraId="1B42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10" w:type="dxa"/>
            <w:vAlign w:val="center"/>
          </w:tcPr>
          <w:p w14:paraId="60F36C8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w:t>
            </w:r>
          </w:p>
        </w:tc>
        <w:tc>
          <w:tcPr>
            <w:tcW w:w="5037" w:type="dxa"/>
            <w:vAlign w:val="center"/>
          </w:tcPr>
          <w:p w14:paraId="0F7D47D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活动区域布置</w:t>
            </w:r>
          </w:p>
        </w:tc>
        <w:tc>
          <w:tcPr>
            <w:tcW w:w="1830" w:type="dxa"/>
            <w:vAlign w:val="center"/>
          </w:tcPr>
          <w:p w14:paraId="6E6AB12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12</w:t>
            </w:r>
          </w:p>
        </w:tc>
        <w:tc>
          <w:tcPr>
            <w:tcW w:w="891" w:type="dxa"/>
            <w:vAlign w:val="center"/>
          </w:tcPr>
          <w:p w14:paraId="51AFDD5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8"/>
                <w:szCs w:val="28"/>
                <w:vertAlign w:val="baseline"/>
                <w:lang w:val="en-US" w:eastAsia="zh-CN"/>
              </w:rPr>
            </w:pPr>
          </w:p>
        </w:tc>
      </w:tr>
      <w:tr w14:paraId="19F6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10" w:type="dxa"/>
            <w:vAlign w:val="center"/>
          </w:tcPr>
          <w:p w14:paraId="410E7BA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w:t>
            </w:r>
          </w:p>
        </w:tc>
        <w:tc>
          <w:tcPr>
            <w:tcW w:w="5037" w:type="dxa"/>
            <w:vAlign w:val="center"/>
          </w:tcPr>
          <w:p w14:paraId="45E1C45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其他保障</w:t>
            </w:r>
          </w:p>
        </w:tc>
        <w:tc>
          <w:tcPr>
            <w:tcW w:w="1830" w:type="dxa"/>
            <w:vAlign w:val="center"/>
          </w:tcPr>
          <w:p w14:paraId="496DA3B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8"/>
                <w:szCs w:val="28"/>
                <w:vertAlign w:val="baseline"/>
                <w:lang w:val="en-US" w:eastAsia="zh-CN"/>
              </w:rPr>
            </w:pPr>
          </w:p>
        </w:tc>
        <w:tc>
          <w:tcPr>
            <w:tcW w:w="891" w:type="dxa"/>
            <w:vAlign w:val="center"/>
          </w:tcPr>
          <w:p w14:paraId="5AD61DA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8"/>
                <w:szCs w:val="28"/>
                <w:vertAlign w:val="baseline"/>
                <w:lang w:val="en-US" w:eastAsia="zh-CN"/>
              </w:rPr>
            </w:pPr>
          </w:p>
        </w:tc>
      </w:tr>
    </w:tbl>
    <w:p w14:paraId="24B2A8F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8"/>
          <w:szCs w:val="28"/>
          <w:lang w:val="en-US" w:eastAsia="zh-CN"/>
        </w:rPr>
      </w:pPr>
    </w:p>
    <w:tbl>
      <w:tblPr>
        <w:tblStyle w:val="25"/>
        <w:tblW w:w="8872" w:type="dxa"/>
        <w:tblInd w:w="-2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7"/>
        <w:gridCol w:w="2481"/>
        <w:gridCol w:w="2467"/>
        <w:gridCol w:w="789"/>
        <w:gridCol w:w="1054"/>
        <w:gridCol w:w="884"/>
      </w:tblGrid>
      <w:tr w14:paraId="0D538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595959"/>
            <w:noWrap/>
            <w:vAlign w:val="center"/>
          </w:tcPr>
          <w:p w14:paraId="532286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FFFFFF"/>
                <w:sz w:val="24"/>
                <w:szCs w:val="24"/>
                <w:u w:val="none"/>
              </w:rPr>
            </w:pPr>
            <w:r>
              <w:rPr>
                <w:rFonts w:hint="eastAsia" w:ascii="微软雅黑" w:hAnsi="微软雅黑" w:eastAsia="微软雅黑" w:cs="微软雅黑"/>
                <w:b/>
                <w:bCs/>
                <w:i w:val="0"/>
                <w:iCs w:val="0"/>
                <w:color w:val="FFFFFF"/>
                <w:kern w:val="0"/>
                <w:sz w:val="24"/>
                <w:szCs w:val="24"/>
                <w:u w:val="none"/>
                <w:lang w:val="en-US" w:eastAsia="zh-CN" w:bidi="ar"/>
              </w:rPr>
              <w:t>序号</w:t>
            </w:r>
          </w:p>
        </w:tc>
        <w:tc>
          <w:tcPr>
            <w:tcW w:w="2481" w:type="dxa"/>
            <w:tcBorders>
              <w:top w:val="single" w:color="000000" w:sz="4" w:space="0"/>
              <w:left w:val="single" w:color="000000" w:sz="4" w:space="0"/>
              <w:bottom w:val="single" w:color="000000" w:sz="4" w:space="0"/>
              <w:right w:val="single" w:color="000000" w:sz="4" w:space="0"/>
            </w:tcBorders>
            <w:shd w:val="clear" w:color="auto" w:fill="595959"/>
            <w:noWrap/>
            <w:vAlign w:val="center"/>
          </w:tcPr>
          <w:p w14:paraId="6527BF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FFFFFF"/>
                <w:sz w:val="24"/>
                <w:szCs w:val="24"/>
                <w:u w:val="none"/>
              </w:rPr>
            </w:pPr>
            <w:r>
              <w:rPr>
                <w:rFonts w:hint="eastAsia" w:ascii="微软雅黑" w:hAnsi="微软雅黑" w:eastAsia="微软雅黑" w:cs="微软雅黑"/>
                <w:b/>
                <w:bCs/>
                <w:i w:val="0"/>
                <w:iCs w:val="0"/>
                <w:color w:val="FFFFFF"/>
                <w:kern w:val="0"/>
                <w:sz w:val="24"/>
                <w:szCs w:val="24"/>
                <w:u w:val="none"/>
                <w:lang w:val="en-US" w:eastAsia="zh-CN" w:bidi="ar"/>
              </w:rPr>
              <w:t>内容</w:t>
            </w:r>
          </w:p>
        </w:tc>
        <w:tc>
          <w:tcPr>
            <w:tcW w:w="2467" w:type="dxa"/>
            <w:tcBorders>
              <w:top w:val="single" w:color="000000" w:sz="4" w:space="0"/>
              <w:left w:val="single" w:color="000000" w:sz="4" w:space="0"/>
              <w:bottom w:val="single" w:color="000000" w:sz="4" w:space="0"/>
              <w:right w:val="single" w:color="000000" w:sz="4" w:space="0"/>
            </w:tcBorders>
            <w:shd w:val="clear" w:color="auto" w:fill="595959"/>
            <w:noWrap/>
            <w:vAlign w:val="center"/>
          </w:tcPr>
          <w:p w14:paraId="77CF96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FFFFFF"/>
                <w:sz w:val="24"/>
                <w:szCs w:val="24"/>
                <w:u w:val="none"/>
              </w:rPr>
            </w:pPr>
            <w:r>
              <w:rPr>
                <w:rFonts w:hint="eastAsia" w:ascii="微软雅黑" w:hAnsi="微软雅黑" w:eastAsia="微软雅黑" w:cs="微软雅黑"/>
                <w:b/>
                <w:bCs/>
                <w:i w:val="0"/>
                <w:iCs w:val="0"/>
                <w:color w:val="FFFFFF"/>
                <w:kern w:val="0"/>
                <w:sz w:val="24"/>
                <w:szCs w:val="24"/>
                <w:u w:val="none"/>
                <w:lang w:val="en-US" w:eastAsia="zh-CN" w:bidi="ar"/>
              </w:rPr>
              <w:t>描述</w:t>
            </w:r>
          </w:p>
        </w:tc>
        <w:tc>
          <w:tcPr>
            <w:tcW w:w="789" w:type="dxa"/>
            <w:tcBorders>
              <w:top w:val="single" w:color="000000" w:sz="4" w:space="0"/>
              <w:left w:val="single" w:color="000000" w:sz="4" w:space="0"/>
              <w:bottom w:val="single" w:color="000000" w:sz="4" w:space="0"/>
              <w:right w:val="single" w:color="000000" w:sz="4" w:space="0"/>
            </w:tcBorders>
            <w:shd w:val="clear" w:color="auto" w:fill="595959"/>
            <w:noWrap/>
            <w:vAlign w:val="center"/>
          </w:tcPr>
          <w:p w14:paraId="0E8B20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FFFFFF"/>
                <w:sz w:val="24"/>
                <w:szCs w:val="24"/>
                <w:u w:val="none"/>
              </w:rPr>
            </w:pPr>
            <w:r>
              <w:rPr>
                <w:rFonts w:hint="eastAsia" w:ascii="微软雅黑" w:hAnsi="微软雅黑" w:eastAsia="微软雅黑" w:cs="微软雅黑"/>
                <w:b/>
                <w:bCs/>
                <w:i w:val="0"/>
                <w:iCs w:val="0"/>
                <w:color w:val="FFFFFF"/>
                <w:kern w:val="0"/>
                <w:sz w:val="24"/>
                <w:szCs w:val="24"/>
                <w:u w:val="none"/>
                <w:lang w:val="en-US" w:eastAsia="zh-CN" w:bidi="ar"/>
              </w:rPr>
              <w:t>单位</w:t>
            </w:r>
          </w:p>
        </w:tc>
        <w:tc>
          <w:tcPr>
            <w:tcW w:w="1054" w:type="dxa"/>
            <w:tcBorders>
              <w:top w:val="single" w:color="000000" w:sz="4" w:space="0"/>
              <w:left w:val="single" w:color="000000" w:sz="4" w:space="0"/>
              <w:bottom w:val="single" w:color="000000" w:sz="4" w:space="0"/>
              <w:right w:val="single" w:color="000000" w:sz="4" w:space="0"/>
            </w:tcBorders>
            <w:shd w:val="clear" w:color="auto" w:fill="595959"/>
            <w:noWrap/>
            <w:vAlign w:val="center"/>
          </w:tcPr>
          <w:p w14:paraId="2A6290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FFFFFF"/>
                <w:sz w:val="24"/>
                <w:szCs w:val="24"/>
                <w:u w:val="none"/>
              </w:rPr>
            </w:pPr>
            <w:r>
              <w:rPr>
                <w:rFonts w:hint="eastAsia" w:ascii="微软雅黑" w:hAnsi="微软雅黑" w:eastAsia="微软雅黑" w:cs="微软雅黑"/>
                <w:b/>
                <w:bCs/>
                <w:i w:val="0"/>
                <w:iCs w:val="0"/>
                <w:color w:val="FFFFFF"/>
                <w:kern w:val="0"/>
                <w:sz w:val="24"/>
                <w:szCs w:val="24"/>
                <w:u w:val="none"/>
                <w:lang w:val="en-US" w:eastAsia="zh-CN" w:bidi="ar"/>
              </w:rPr>
              <w:t>数量</w:t>
            </w:r>
          </w:p>
        </w:tc>
        <w:tc>
          <w:tcPr>
            <w:tcW w:w="884" w:type="dxa"/>
            <w:tcBorders>
              <w:top w:val="single" w:color="000000" w:sz="4" w:space="0"/>
              <w:left w:val="single" w:color="000000" w:sz="4" w:space="0"/>
              <w:bottom w:val="single" w:color="000000" w:sz="4" w:space="0"/>
              <w:right w:val="single" w:color="000000" w:sz="4" w:space="0"/>
            </w:tcBorders>
            <w:shd w:val="clear" w:color="auto" w:fill="595959"/>
            <w:noWrap/>
            <w:vAlign w:val="center"/>
          </w:tcPr>
          <w:p w14:paraId="31A595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FFFFFF"/>
                <w:sz w:val="24"/>
                <w:szCs w:val="24"/>
                <w:u w:val="none"/>
              </w:rPr>
            </w:pPr>
            <w:r>
              <w:rPr>
                <w:rFonts w:hint="eastAsia" w:ascii="微软雅黑" w:hAnsi="微软雅黑" w:eastAsia="微软雅黑" w:cs="微软雅黑"/>
                <w:b/>
                <w:bCs/>
                <w:i w:val="0"/>
                <w:iCs w:val="0"/>
                <w:color w:val="FFFFFF"/>
                <w:kern w:val="0"/>
                <w:sz w:val="24"/>
                <w:szCs w:val="24"/>
                <w:u w:val="none"/>
                <w:lang w:val="en-US" w:eastAsia="zh-CN" w:bidi="ar"/>
              </w:rPr>
              <w:t>备注</w:t>
            </w:r>
          </w:p>
        </w:tc>
      </w:tr>
      <w:tr w14:paraId="1386A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3F9F58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A</w:t>
            </w:r>
          </w:p>
        </w:tc>
        <w:tc>
          <w:tcPr>
            <w:tcW w:w="2481"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6BF82D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音响</w:t>
            </w:r>
          </w:p>
        </w:tc>
        <w:tc>
          <w:tcPr>
            <w:tcW w:w="246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60107F21">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60DDFC63">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4558A683">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0F096F72">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r>
      <w:tr w14:paraId="6D80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07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3B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线阵音箱</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AB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ZSOUND VCM+110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D1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只</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82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16</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DA6A0">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4E547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3E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579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低音音箱</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48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ZSOUND VCS+118S</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FB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只</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86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3E60">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2087D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CC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BA9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返听音箱</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76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ZSOUND  M15</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F16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只</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20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860B">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5A142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C5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A4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功放</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B8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EV P3000 Power Amplifier(for xlc)</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E1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只</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E6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C3F4">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3A356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8D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80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音箱控制器</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7F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EV DX38 Processor</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75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只</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710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5148">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00DFC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928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3B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数码调音台</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51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迈达斯M32+艾伦SQ7</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7CA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70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8DD8">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7C0FC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58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FA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均衡器</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A1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DBX2231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2E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15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B943">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2C821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B5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03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效果器</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0C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YAMAHA990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A3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71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12</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8342">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70482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88D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2F6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双CD</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14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TASCAM  CD01U</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32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DD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6A96">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7A3C5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66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B1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MD</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A5E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TASCAM  MD</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41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11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2878">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01EE8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07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11</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28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无线话筒</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D5B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SHURE SM58</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1B8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只</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92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4780">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34283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8C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12</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00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立式话筒架</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92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音频助手</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EB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只</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634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16</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201A">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1BE8A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4B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13</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67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音频专用电缆</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54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台湾日升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3C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套</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1A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C057">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382F9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A1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14</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2D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处理器</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67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ZSOUND  M44T</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71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9B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93AF">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1B477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4A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49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耳麦</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74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恩宝</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CB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套</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A78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3ED6">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4CCA7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22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16</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5A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胸麦</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B0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恩宝</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1F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套</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89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801D">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532FD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09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17</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1F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音乐播放器</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D1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QLab+富励</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0D8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套</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C3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D675">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49FEF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C0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18</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26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电源大线</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3C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150铜线</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05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57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37D2">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17B6E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C9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19</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28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苹果电脑及编程软件</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76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苹果</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30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ED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F79C">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0412F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4C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80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小振膜乐器话筒</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B4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艾卓利</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19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套</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F11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25A2">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6D731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3B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21</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CF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其他附属设备</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D8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信号线、放大器、增强器等</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07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套</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8D3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769C">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4ED50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C1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22</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61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音响师及助理</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ED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知名音响师</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B6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人</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59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734A">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7FED5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7F4C9B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B</w:t>
            </w:r>
          </w:p>
        </w:tc>
        <w:tc>
          <w:tcPr>
            <w:tcW w:w="2481"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335BD8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灯光</w:t>
            </w:r>
          </w:p>
        </w:tc>
        <w:tc>
          <w:tcPr>
            <w:tcW w:w="246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1100DCC4">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10CE8DDF">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289B0995">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39EC9FAC">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r>
      <w:tr w14:paraId="79A18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6F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AED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电脑摇头图案灯</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6A0C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珠江1200W</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C32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5F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EE32">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1EF17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86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ED2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电脑摇头染色灯</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775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大歌380W</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ED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D49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B407">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624CB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F3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B46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LED 帕灯</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3F8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珠江</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9D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CEB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1632">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47395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A1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9D1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PAR灯</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BD5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P64 1000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03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B5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0F83">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0FE1F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DB5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B86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电脑灯控制台</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508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MA2</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F3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AD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DD36">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54082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685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D3C2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效果烟机</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40F44">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B6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77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8EC28">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0B733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3C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003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干冰</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D320B">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C85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B0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05FC">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4378E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6A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DA2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追光灯</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55E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4000W</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F0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A7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DA5E">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0C462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D4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3C3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电动葫芦</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9ED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牧德</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CF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套</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18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06CD">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6F8B6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AD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2B9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配套线材</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BD89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台湾日升</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B0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批</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E0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859F">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763B8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A5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11</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43C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强力频闪</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A302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大歌</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C9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A1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17D9">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45869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0E5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12</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D2E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数字硅车</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B99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富歌</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BC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2D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0962">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11F54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D8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13</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BA7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信号放大器</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5D28C">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C8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套</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DE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F5FE">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1EB23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DD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14</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027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泡泡机</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B70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大功率泡泡机</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01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78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186E">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227EA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B4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C5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LAYHER架</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BFA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24*10*2</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248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m</w:t>
            </w:r>
            <w:r>
              <w:rPr>
                <w:rStyle w:val="71"/>
                <w:sz w:val="24"/>
                <w:szCs w:val="24"/>
                <w:lang w:val="en-US" w:eastAsia="zh-CN" w:bidi="ar"/>
              </w:rPr>
              <w:t>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C7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7F0E">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3D271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10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16</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D98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灯光师及助理</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59D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知名灯光师</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F6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人</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08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3415">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5C283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1C8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17</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60C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激光灯</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BD4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珠江</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42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15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C2D3">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742FD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C3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18</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6761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面光灯</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CD6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大歌+珠江</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637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CA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48</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3145">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50063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BF5EC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C</w:t>
            </w:r>
          </w:p>
        </w:tc>
        <w:tc>
          <w:tcPr>
            <w:tcW w:w="2481"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00061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LED大屏</w:t>
            </w:r>
          </w:p>
        </w:tc>
        <w:tc>
          <w:tcPr>
            <w:tcW w:w="2467"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62BB846">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FEE40D7">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6B9A08D">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999B481">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r>
      <w:tr w14:paraId="46B83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CB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29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大屏师及助理</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6C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7E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人</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BD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C44B9">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0AA92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B2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DF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LED高清P2.5显示屏</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3232">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8AC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平方米</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AD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87458">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4C331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77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C6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LED处理器</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13EF">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70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E6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9E178">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6A28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6D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AE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分配器</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16E5">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BFF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42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E4D3B">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1F4FE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FE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5A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视频切换台</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F5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安视维</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33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5E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1B2B6">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3BA23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4C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B9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数字监视器</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0E30">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06F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17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DCE7B">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27D56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DA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22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相关线材</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2236">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21E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批</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DA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036B0">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2B68D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110C5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D</w:t>
            </w:r>
          </w:p>
        </w:tc>
        <w:tc>
          <w:tcPr>
            <w:tcW w:w="2481"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DD9275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舞台、雷亚架</w:t>
            </w:r>
          </w:p>
        </w:tc>
        <w:tc>
          <w:tcPr>
            <w:tcW w:w="2467"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1D9810A">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BAAF003">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4162591">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85736DA">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r>
      <w:tr w14:paraId="58987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DB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501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舞台</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A2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一层</w:t>
            </w:r>
          </w:p>
        </w:tc>
        <w:tc>
          <w:tcPr>
            <w:tcW w:w="7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3A7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平方米</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B3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160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1CD4">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468DC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C0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7DA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舞台地毯</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97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灰色、红色</w:t>
            </w:r>
          </w:p>
        </w:tc>
        <w:tc>
          <w:tcPr>
            <w:tcW w:w="7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973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平方米</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74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5B21">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1A09C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12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2EE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LOGO文字</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68D0">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A5B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67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B2CA">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2AF23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50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BE5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雷亚架</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14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黑色</w:t>
            </w:r>
          </w:p>
        </w:tc>
        <w:tc>
          <w:tcPr>
            <w:tcW w:w="7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02FF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顿</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62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AD869">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0A160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FF76B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E</w:t>
            </w:r>
          </w:p>
        </w:tc>
        <w:tc>
          <w:tcPr>
            <w:tcW w:w="2481"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42116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车辆运费、人工</w:t>
            </w:r>
          </w:p>
        </w:tc>
        <w:tc>
          <w:tcPr>
            <w:tcW w:w="2467"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5EF4654">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0DD0A47">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0E9595A">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2124801">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r>
      <w:tr w14:paraId="2F833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D7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CEC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人工</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78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搭建拆卸人工费（20人，12天）</w:t>
            </w:r>
          </w:p>
        </w:tc>
        <w:tc>
          <w:tcPr>
            <w:tcW w:w="7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263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96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7A6D">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0608D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FC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879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运费</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E6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来回运车费</w:t>
            </w:r>
          </w:p>
        </w:tc>
        <w:tc>
          <w:tcPr>
            <w:tcW w:w="7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C741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次</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E9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D749">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72925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27B916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F</w:t>
            </w:r>
          </w:p>
        </w:tc>
        <w:tc>
          <w:tcPr>
            <w:tcW w:w="2481"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249C78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美食区布置</w:t>
            </w:r>
          </w:p>
        </w:tc>
        <w:tc>
          <w:tcPr>
            <w:tcW w:w="246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0B6204EA">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2AE21752">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4E4285A3">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0F846889">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r>
      <w:tr w14:paraId="465C0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E4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B4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气氛营造刀旗</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AD7D">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49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套</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66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2461">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63DE1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F5C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AB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美食摊位</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62F7">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CA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7E9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FB85">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0D755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33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123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门头</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D295">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C1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6C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AC86">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4A086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20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EE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（附属物料地毯等）</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A214">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6D8E">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CF5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16A5">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4E99A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00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0EE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（代金券设计、节目单印制等）</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EFF9">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C4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93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5000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A21F">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314FC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13E94B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G</w:t>
            </w:r>
          </w:p>
        </w:tc>
        <w:tc>
          <w:tcPr>
            <w:tcW w:w="2481"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560F01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游乐区布置</w:t>
            </w:r>
          </w:p>
        </w:tc>
        <w:tc>
          <w:tcPr>
            <w:tcW w:w="246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33D85574">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4528F560">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2D22A07A">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10A5A65F">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r>
      <w:tr w14:paraId="4DBA8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95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0B9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30种类型游乐设施（含附属物料、人工等）</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A503">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39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种</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28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ADF1">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15D49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2CE711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H</w:t>
            </w:r>
          </w:p>
        </w:tc>
        <w:tc>
          <w:tcPr>
            <w:tcW w:w="2481"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47E25B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艺术指导、专业服务</w:t>
            </w:r>
          </w:p>
        </w:tc>
        <w:tc>
          <w:tcPr>
            <w:tcW w:w="246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1770560F">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0FBA6A7C">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179085BB">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78A1D13A">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r>
      <w:tr w14:paraId="326DB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6D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A34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活动策划费</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14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策划整个活动（1人）</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0E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人</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2C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C3C9">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0AF35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45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FB5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指导、顾问、资料整理等</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68C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活动指导、顾问、资料整理等（1人）</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AC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人</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9A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544D">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21C53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7B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94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舞美（效果）设计</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14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舞台、灯光、音响、美食效果图等</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F9C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批</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6D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F5BD">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457E5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F8C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4B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视频背景设计制作</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66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LED大屏播放背景（5场演出）</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4A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28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CE92">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47FC0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5F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C39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导演执行费用</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E2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（5人执行团队）</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D5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人</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8D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BE93">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711AE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C25B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82F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专业摄像直播团队</w:t>
            </w:r>
          </w:p>
        </w:tc>
        <w:tc>
          <w:tcPr>
            <w:tcW w:w="2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EAB4E">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62D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人</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079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573D4">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r>
      <w:tr w14:paraId="5EDC9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119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291B34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I</w:t>
            </w:r>
          </w:p>
        </w:tc>
        <w:tc>
          <w:tcPr>
            <w:tcW w:w="2481"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5578EF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演职人员、服装道具（吃住行、化妆、补助等）</w:t>
            </w:r>
          </w:p>
        </w:tc>
        <w:tc>
          <w:tcPr>
            <w:tcW w:w="246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1155CA38">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617C90BA">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67444C28">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6ED398D0">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b/>
                <w:bCs/>
                <w:i w:val="0"/>
                <w:iCs w:val="0"/>
                <w:color w:val="000000"/>
                <w:sz w:val="24"/>
                <w:szCs w:val="24"/>
                <w:u w:val="none"/>
              </w:rPr>
            </w:pPr>
          </w:p>
        </w:tc>
      </w:tr>
      <w:tr w14:paraId="01C66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59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1B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我的大陕北小戏小品荟萃</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F29A">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74C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场</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1F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CC36">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30D5A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CC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1C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陕北民间唢呐名家荟萃</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5CC6">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E2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场</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E22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7F8C">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08588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2F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CF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陕晋蒙伞头秧歌汇演</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FC9E">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A9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场</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7E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966F">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089F2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79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4D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主持人</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BBDA">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3E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人</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4B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98AE">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7072D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F86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E7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全县青少年秧歌、场子、水船大赛（初赛、复赛、决赛）</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10EA">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1D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场</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32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888A">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41907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A9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BC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演员化妆</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35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全体演员5次化妆</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4C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人</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FD2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1D9B">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59BBA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698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9D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开幕式演出</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9B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排练、彩排、演出</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D01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团</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0DF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8D3D">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29FBA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CE1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F6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撰稿</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39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主持词、节目串词等</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1E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人</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AE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9653">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r w14:paraId="11450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80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w:t>
            </w:r>
          </w:p>
        </w:tc>
        <w:tc>
          <w:tcPr>
            <w:tcW w:w="2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61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其他</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5E98">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BF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批</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1C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5A95">
            <w:pPr>
              <w:keepNext w:val="0"/>
              <w:keepLines w:val="0"/>
              <w:pageBreakBefore w:val="0"/>
              <w:widowControl/>
              <w:kinsoku/>
              <w:wordWrap/>
              <w:overflowPunct/>
              <w:topLinePunct w:val="0"/>
              <w:autoSpaceDE/>
              <w:autoSpaceDN/>
              <w:bidi w:val="0"/>
              <w:adjustRightInd w:val="0"/>
              <w:snapToGrid w:val="0"/>
              <w:jc w:val="center"/>
              <w:rPr>
                <w:rFonts w:hint="eastAsia" w:ascii="微软雅黑" w:hAnsi="微软雅黑" w:eastAsia="微软雅黑" w:cs="微软雅黑"/>
                <w:i w:val="0"/>
                <w:iCs w:val="0"/>
                <w:color w:val="000000"/>
                <w:sz w:val="24"/>
                <w:szCs w:val="24"/>
                <w:u w:val="none"/>
              </w:rPr>
            </w:pPr>
          </w:p>
        </w:tc>
      </w:tr>
    </w:tbl>
    <w:p w14:paraId="06B53F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8"/>
          <w:szCs w:val="28"/>
          <w:lang w:val="en-US" w:eastAsia="zh-CN"/>
        </w:rPr>
      </w:pPr>
    </w:p>
    <w:p w14:paraId="0D573D2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一、灯光、音响、大屏含运输搭建技术要求</w:t>
      </w:r>
    </w:p>
    <w:p w14:paraId="757FD8F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音响系统技术要求</w:t>
      </w:r>
    </w:p>
    <w:p w14:paraId="3B2A52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1.音质要求：清晰、饱满、声压级适中（符合国家相关标准，避免扰民），无明显失真、啸叫、噪声。</w:t>
      </w:r>
    </w:p>
    <w:p w14:paraId="17318F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2.覆盖范围：主扩声音响系统需有效覆盖整个观众区域（</w:t>
      </w:r>
      <w:r>
        <w:rPr>
          <w:rFonts w:hint="eastAsia" w:ascii="宋体" w:hAnsi="宋体" w:eastAsia="宋体" w:cs="宋体"/>
          <w:sz w:val="24"/>
          <w:szCs w:val="24"/>
          <w:lang w:val="en-US" w:eastAsia="zh-CN"/>
        </w:rPr>
        <w:t>2000</w:t>
      </w:r>
      <w:r>
        <w:rPr>
          <w:rFonts w:hint="eastAsia" w:ascii="宋体" w:hAnsi="宋体" w:eastAsia="宋体" w:cs="宋体"/>
          <w:sz w:val="24"/>
          <w:szCs w:val="24"/>
        </w:rPr>
        <w:t>人），声场均匀，前后、左右声压级差需控制在合理范围（如±3dB以内）。</w:t>
      </w:r>
    </w:p>
    <w:p w14:paraId="2AABF6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3.系统组成：</w:t>
      </w:r>
    </w:p>
    <w:p w14:paraId="3ACD19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主扩扬声器：线阵列音箱或高品质点声源音箱，功率、数量、吊挂/支撑方式需满足场地覆盖及声压要求。户外</w:t>
      </w:r>
      <w:r>
        <w:rPr>
          <w:rFonts w:hint="eastAsia" w:ascii="宋体" w:hAnsi="宋体" w:eastAsia="宋体" w:cs="宋体"/>
          <w:sz w:val="24"/>
          <w:szCs w:val="24"/>
          <w:lang w:eastAsia="zh-CN"/>
        </w:rPr>
        <w:t>须具备</w:t>
      </w:r>
      <w:r>
        <w:rPr>
          <w:rFonts w:hint="eastAsia" w:ascii="宋体" w:hAnsi="宋体" w:eastAsia="宋体" w:cs="宋体"/>
          <w:sz w:val="24"/>
          <w:szCs w:val="24"/>
        </w:rPr>
        <w:t>IP防护等级（建议IP55或以上）。</w:t>
      </w:r>
    </w:p>
    <w:p w14:paraId="5BE243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返听扬声器：为舞台表演者提供清晰监听。</w:t>
      </w:r>
    </w:p>
    <w:p w14:paraId="2F37A4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调音台：数字调音台（通道数满足最大输入需求），具备场景存储、效果处理等功能。需有备用调音台或备份通道。</w:t>
      </w:r>
    </w:p>
    <w:p w14:paraId="16E757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话筒：充足数量的无线手持话筒、头戴/领夹话筒（UHF频段，抗干扰能力强）、有线话筒（演讲台用、乐器用）。无线话筒需有备用频率和电池保障方案。</w:t>
      </w:r>
    </w:p>
    <w:p w14:paraId="78BBB6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周边设备：数字处理器（DSP）、功放（需冗余设计）、效果器、电源时序器等。</w:t>
      </w:r>
    </w:p>
    <w:p w14:paraId="7DDE2B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音源播放：高质量CD机、数字播放器、电脑音源接口等。</w:t>
      </w:r>
    </w:p>
    <w:p w14:paraId="1D378F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系统备份：关键环节（如主持人话筒、主输出通道）需有物理备份。</w:t>
      </w:r>
    </w:p>
    <w:p w14:paraId="77FC0E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4.线缆：使用符合国标的优质线缆，信号传输距离长的需使用平衡传输（XLR），电源线规格满足负载要求。线缆铺设需规范、隐蔽、安全（过道需有保护）。</w:t>
      </w:r>
    </w:p>
    <w:p w14:paraId="3529EB9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灯光系统技术要求</w:t>
      </w:r>
    </w:p>
    <w:p w14:paraId="3125F9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1.效果要求：营造与活动主题（如开幕式、文艺演出、非遗展示、夜游活动）相适应的氛围，满足表演照明、人物造型、环境渲染需求。</w:t>
      </w:r>
    </w:p>
    <w:p w14:paraId="2A4828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2.系统组成：</w:t>
      </w:r>
    </w:p>
    <w:p w14:paraId="1C5744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常规灯具：PAR灯（LED）、成像灯（LED）、天排灯/地排灯（LED）等，用于基础照明和舞台染色。</w:t>
      </w:r>
    </w:p>
    <w:p w14:paraId="44D444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效果灯具：电脑摇头灯（光束灯、图案灯、染色灯）、LED矩阵灯、追光灯等，用于动态效果和特殊氛围营造。</w:t>
      </w:r>
    </w:p>
    <w:p w14:paraId="0D56DB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控制台：专业灯光控制台（如GrandMA, Avolites, Hog系列或其国产同级别产品），能控制所有效果灯具，支持多步程序编程、时间码同步（若需）。</w:t>
      </w:r>
    </w:p>
    <w:p w14:paraId="23833B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调光/直通柜：用于控制常规灯具。</w:t>
      </w:r>
    </w:p>
    <w:p w14:paraId="5FE95C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换色器：若使用传统PAR灯，需配LED光源或换色器。</w:t>
      </w:r>
    </w:p>
    <w:p w14:paraId="506522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桁架与吊挂：稳固的灯光桁架系统，所有灯具、线缆需安全可靠吊挂或固定，承重需有计算依据。户外需考虑防风措施。</w:t>
      </w:r>
    </w:p>
    <w:p w14:paraId="41E3B7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电源与线缆：独立灯光电源回路，线缆（电源线、DMX信号线）规格满足要求，铺设规范安全。</w:t>
      </w:r>
    </w:p>
    <w:p w14:paraId="5A28C1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3.户外特殊要求：所有户外灯具及连接器</w:t>
      </w:r>
      <w:r>
        <w:rPr>
          <w:rFonts w:hint="eastAsia" w:ascii="宋体" w:hAnsi="宋体" w:eastAsia="宋体" w:cs="宋体"/>
          <w:sz w:val="24"/>
          <w:szCs w:val="24"/>
          <w:lang w:eastAsia="zh-CN"/>
        </w:rPr>
        <w:t>须具备</w:t>
      </w:r>
      <w:r>
        <w:rPr>
          <w:rFonts w:hint="eastAsia" w:ascii="宋体" w:hAnsi="宋体" w:eastAsia="宋体" w:cs="宋体"/>
          <w:sz w:val="24"/>
          <w:szCs w:val="24"/>
        </w:rPr>
        <w:t>相应的防水等级（建议IP65或以上）。控制台需有遮阳防雨措施。</w:t>
      </w:r>
    </w:p>
    <w:p w14:paraId="0BB0AC6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视频系统技术要求</w:t>
      </w:r>
    </w:p>
    <w:p w14:paraId="7D0D09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1.主LED显示屏：</w:t>
      </w:r>
    </w:p>
    <w:p w14:paraId="50D65A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根据舞台设计及观众视距，选用合适点间距（如P2.9-P3.9）的户外全彩LED显示屏。</w:t>
      </w:r>
    </w:p>
    <w:p w14:paraId="664190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亮度需满足白天阳光直射下的清晰观看（建议≥6000nit），刷新率≥3840Hz。</w:t>
      </w:r>
    </w:p>
    <w:p w14:paraId="103566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屏体结构稳固，防风、防雨（IP65），散热良好。</w:t>
      </w:r>
    </w:p>
    <w:p w14:paraId="208FF0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需配置主备发送卡、接收卡、视频处理器、播放主机（配置满足高清视频播放及切换需求）。</w:t>
      </w:r>
    </w:p>
    <w:p w14:paraId="6B7D97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提供备用电源接入方案（如UPS）。</w:t>
      </w:r>
    </w:p>
    <w:p w14:paraId="685B55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2.侧屏/辅助屏：根据需要配置，技术要求参照主屏或适当降低。</w:t>
      </w:r>
    </w:p>
    <w:p w14:paraId="3B2FE9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4.摄像与直播/录播：</w:t>
      </w:r>
    </w:p>
    <w:p w14:paraId="324B01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专业摄像机（高清或4K），配备三脚架/滑轨/摇臂。</w:t>
      </w:r>
    </w:p>
    <w:p w14:paraId="7780C4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导播切换台（多路输入，支持PGM/PVW）。</w:t>
      </w:r>
    </w:p>
    <w:p w14:paraId="754AD5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录制设备（录像机/采集卡+电脑）。</w:t>
      </w:r>
    </w:p>
    <w:p w14:paraId="2768D3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直播推流设备及稳定网络环境（有线网络+4G/5G双备份）。</w:t>
      </w:r>
    </w:p>
    <w:p w14:paraId="162D9E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现场大屏信号返送。</w:t>
      </w:r>
    </w:p>
    <w:p w14:paraId="260D85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5.信号传输与切换：</w:t>
      </w:r>
    </w:p>
    <w:p w14:paraId="197F4F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使用HD-SDI或光纤传输高质量视频信号，减少长距离传输损耗。</w:t>
      </w:r>
    </w:p>
    <w:p w14:paraId="502604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配置视频矩阵切换器，方便信号源（电脑、摄像机、播放器）到大屏、投影、导播台的灵活调度。</w:t>
      </w:r>
    </w:p>
    <w:p w14:paraId="7E12B7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关键信号通路需有备份（如主备线缆）。</w:t>
      </w:r>
    </w:p>
    <w:p w14:paraId="5C67DA1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二、舞台系统技术要求</w:t>
      </w:r>
    </w:p>
    <w:p w14:paraId="05D70C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1.舞台结构：</w:t>
      </w:r>
    </w:p>
    <w:p w14:paraId="368680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根据活动规模和场地条件，设计并搭建稳固、安全的舞台结构（钢木结构或桁架结构）。</w:t>
      </w:r>
    </w:p>
    <w:p w14:paraId="66EBF3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舞台承重需满足表演、设备、人员等最大负荷要求。</w:t>
      </w:r>
    </w:p>
    <w:p w14:paraId="726DD3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舞台面需平整、防滑，边缘设置安全警示标识或防护栏。</w:t>
      </w:r>
    </w:p>
    <w:p w14:paraId="4CEF16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舞台高度、尺寸需便于观众观看，并与场地环境协调。</w:t>
      </w:r>
    </w:p>
    <w:p w14:paraId="4AF0EA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2.背景与舞美：</w:t>
      </w:r>
    </w:p>
    <w:p w14:paraId="359656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背景设计需体现“清爽榆林”主题及吴堡特色，材质需防火、耐用。</w:t>
      </w:r>
    </w:p>
    <w:p w14:paraId="68085D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根据活动需要，配置侧屏、地屏或特殊造型结构，确保结构安全可靠。</w:t>
      </w:r>
    </w:p>
    <w:p w14:paraId="488B08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所有舞美构件需有可靠的固定方式，防风、防倾倒。</w:t>
      </w:r>
    </w:p>
    <w:p w14:paraId="22FE18E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三、演出活动要求</w:t>
      </w:r>
    </w:p>
    <w:p w14:paraId="068C39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2025年“清爽榆林”文化旅游季吴堡分会场文化旅游周系列</w:t>
      </w:r>
      <w:r>
        <w:rPr>
          <w:rFonts w:hint="eastAsia" w:ascii="宋体" w:hAnsi="宋体" w:eastAsia="宋体" w:cs="宋体"/>
          <w:sz w:val="24"/>
          <w:szCs w:val="24"/>
          <w:lang w:val="en-US" w:eastAsia="zh-CN"/>
        </w:rPr>
        <w:t>演出</w:t>
      </w:r>
      <w:r>
        <w:rPr>
          <w:rFonts w:hint="eastAsia" w:ascii="宋体" w:hAnsi="宋体" w:eastAsia="宋体" w:cs="宋体"/>
          <w:sz w:val="24"/>
          <w:szCs w:val="24"/>
        </w:rPr>
        <w:t>活动</w:t>
      </w:r>
      <w:r>
        <w:rPr>
          <w:rFonts w:hint="eastAsia" w:ascii="宋体" w:hAnsi="宋体" w:eastAsia="宋体" w:cs="宋体"/>
          <w:sz w:val="24"/>
          <w:szCs w:val="24"/>
          <w:lang w:val="en-US" w:eastAsia="zh-CN"/>
        </w:rPr>
        <w:t>要求</w:t>
      </w:r>
    </w:p>
    <w:p w14:paraId="39D74B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第一天：娱乐美食区（试运行）（全天候）</w:t>
      </w:r>
    </w:p>
    <w:p w14:paraId="700F34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第二天：开幕式（晚上：7点-9点）活动开幕式，邀请相关市县领导及知名人士、部门代表出席，并观看开幕式文艺演出。</w:t>
      </w:r>
    </w:p>
    <w:p w14:paraId="235273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以综艺的形式进行演出，共14～16个节目，涵盖歌舞、器乐等，总时长：2小时，演职人员300人左右。</w:t>
      </w:r>
      <w:r>
        <w:rPr>
          <w:rFonts w:hint="eastAsia" w:ascii="宋体" w:hAnsi="宋体" w:eastAsia="宋体" w:cs="宋体"/>
          <w:sz w:val="24"/>
          <w:szCs w:val="24"/>
          <w:lang w:eastAsia="zh-CN"/>
        </w:rPr>
        <w:t>）</w:t>
      </w:r>
    </w:p>
    <w:p w14:paraId="71C829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第三天：陕晋蒙伞头秧歌汇演（晚上：7点30分--9点30分）</w:t>
      </w:r>
    </w:p>
    <w:p w14:paraId="6B6E03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涵盖陕晋蒙共16个市县区伞头秧歌非遗传承人，同台演出，共32个节目，总时长：2小时，演职人员200人左右。</w:t>
      </w:r>
      <w:r>
        <w:rPr>
          <w:rFonts w:hint="eastAsia" w:ascii="宋体" w:hAnsi="宋体" w:eastAsia="宋体" w:cs="宋体"/>
          <w:sz w:val="24"/>
          <w:szCs w:val="24"/>
          <w:lang w:eastAsia="zh-CN"/>
        </w:rPr>
        <w:t>）</w:t>
      </w:r>
    </w:p>
    <w:p w14:paraId="7CA3F4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第四天：陕北民间唢呐名家荟萃</w:t>
      </w:r>
    </w:p>
    <w:p w14:paraId="60AE38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（晚上：7点30分--9点30分）</w:t>
      </w:r>
    </w:p>
    <w:p w14:paraId="63EC02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涵盖榆林、延安共25个市区县民间唢呐艺人，同台演出，共25个节目，总时长：2小时，演职人员200人左右。</w:t>
      </w:r>
      <w:r>
        <w:rPr>
          <w:rFonts w:hint="eastAsia" w:ascii="宋体" w:hAnsi="宋体" w:eastAsia="宋体" w:cs="宋体"/>
          <w:sz w:val="24"/>
          <w:szCs w:val="24"/>
          <w:lang w:eastAsia="zh-CN"/>
        </w:rPr>
        <w:t>）</w:t>
      </w:r>
    </w:p>
    <w:p w14:paraId="711A4B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第五天：我的大陕北小戏小品荟萃</w:t>
      </w:r>
    </w:p>
    <w:p w14:paraId="33D164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（晚上：7点30分--9点30分）</w:t>
      </w:r>
    </w:p>
    <w:p w14:paraId="4B5354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涵盖榆林、延安两市小戏小品专业人才，同台演出，共14个节目，总时长：2小时，演职人员80人左右。</w:t>
      </w:r>
      <w:r>
        <w:rPr>
          <w:rFonts w:hint="eastAsia" w:ascii="宋体" w:hAnsi="宋体" w:eastAsia="宋体" w:cs="宋体"/>
          <w:sz w:val="24"/>
          <w:szCs w:val="24"/>
          <w:lang w:eastAsia="zh-CN"/>
        </w:rPr>
        <w:t>）</w:t>
      </w:r>
    </w:p>
    <w:p w14:paraId="60A7CC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第六天：全县秧歌场子水船展演活动</w:t>
      </w:r>
    </w:p>
    <w:p w14:paraId="66BA83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（晚上：7点30分--9点30分）</w:t>
      </w:r>
    </w:p>
    <w:p w14:paraId="16ACC1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全县老中青秧歌场子水船演员，同台演出，共14个节目，总时长：2小时，演职人员200人左右。</w:t>
      </w:r>
      <w:r>
        <w:rPr>
          <w:rFonts w:hint="eastAsia" w:ascii="宋体" w:hAnsi="宋体" w:eastAsia="宋体" w:cs="宋体"/>
          <w:sz w:val="24"/>
          <w:szCs w:val="24"/>
          <w:lang w:eastAsia="zh-CN"/>
        </w:rPr>
        <w:t>）</w:t>
      </w:r>
    </w:p>
    <w:p w14:paraId="075779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第七天：陕北民歌之夜（陕北民歌演唱会）</w:t>
      </w:r>
    </w:p>
    <w:p w14:paraId="5F077D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（晚上：7点30分--9点30分）</w:t>
      </w:r>
    </w:p>
    <w:p w14:paraId="40C411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陕北十大民歌手及本土民歌手，同台演出，共12～14个节目，总时长：1.5小时，演职人员30人左右。</w:t>
      </w:r>
      <w:r>
        <w:rPr>
          <w:rFonts w:hint="eastAsia" w:ascii="宋体" w:hAnsi="宋体" w:eastAsia="宋体" w:cs="宋体"/>
          <w:sz w:val="24"/>
          <w:szCs w:val="24"/>
          <w:lang w:eastAsia="zh-CN"/>
        </w:rPr>
        <w:t>）</w:t>
      </w:r>
    </w:p>
    <w:p w14:paraId="3C8AFD5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四、活动区域布置</w:t>
      </w:r>
    </w:p>
    <w:p w14:paraId="1DCA0D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采用大约</w:t>
      </w:r>
      <w:r>
        <w:rPr>
          <w:rFonts w:hint="eastAsia" w:ascii="宋体" w:hAnsi="宋体" w:eastAsia="宋体" w:cs="宋体"/>
          <w:sz w:val="24"/>
          <w:szCs w:val="24"/>
          <w:lang w:val="en-US" w:eastAsia="zh-CN"/>
        </w:rPr>
        <w:t>60-100面含活动主题的注水旗进行气氛营造，拟通过招商的形式引进游乐设施、美食摊位若干家（根据现场承载情况），摊位拟采用统一门头设计及统一帐篷设置。</w:t>
      </w:r>
    </w:p>
    <w:p w14:paraId="36E66BF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五、其他保障要求</w:t>
      </w:r>
    </w:p>
    <w:p w14:paraId="26B6C1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电力保障技术要求</w:t>
      </w:r>
    </w:p>
    <w:p w14:paraId="06B4CB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1.总容量：准确核算舞台灯光、音响、LED屏、视频、互动设备、工作区、临时设施等所有用电设备的总功率需求，并预留足够余量（建议≥30%）。提供详细的用电清单。</w:t>
      </w:r>
    </w:p>
    <w:p w14:paraId="0FAA58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2.电源接入：提供符合容量要求的稳定三相五线制电源接入点。接入点需靠近主设备区。</w:t>
      </w:r>
    </w:p>
    <w:p w14:paraId="4A4532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3.配电系统：</w:t>
      </w:r>
    </w:p>
    <w:p w14:paraId="454061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配置符合安全规范的主配电柜（带总开关、分路开关、电度表、防雷保护）。</w:t>
      </w:r>
    </w:p>
    <w:p w14:paraId="7883C90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按区域（灯光、音响、视频、工作区）分配独立回路，避免干扰和过载。</w:t>
      </w:r>
    </w:p>
    <w:p w14:paraId="2078A6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使用优质电缆（规格满足载流量要求，压降符合标准），规范铺设（架空或地埋保护），设置清晰标识。</w:t>
      </w:r>
    </w:p>
    <w:p w14:paraId="38CBA9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所有配电箱、插座</w:t>
      </w:r>
      <w:r>
        <w:rPr>
          <w:rFonts w:hint="eastAsia" w:ascii="宋体" w:hAnsi="宋体" w:eastAsia="宋体" w:cs="宋体"/>
          <w:sz w:val="24"/>
          <w:szCs w:val="24"/>
          <w:lang w:eastAsia="zh-CN"/>
        </w:rPr>
        <w:t>须具备</w:t>
      </w:r>
      <w:r>
        <w:rPr>
          <w:rFonts w:hint="eastAsia" w:ascii="宋体" w:hAnsi="宋体" w:eastAsia="宋体" w:cs="宋体"/>
          <w:sz w:val="24"/>
          <w:szCs w:val="24"/>
        </w:rPr>
        <w:t>防水功能（户外）。</w:t>
      </w:r>
    </w:p>
    <w:p w14:paraId="1A2409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（二）安全保障技术要求</w:t>
      </w:r>
    </w:p>
    <w:p w14:paraId="45FAB4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根据现场情况，对有安全隐患区域采用铁马（2mX1.5m规格）若干，线槽（1mX30cm）若干，进行隔离隔断并制定安全应急预案。</w:t>
      </w:r>
    </w:p>
    <w:p w14:paraId="15FF5901">
      <w:pPr>
        <w:pStyle w:val="62"/>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宋体" w:hAnsi="宋体" w:eastAsia="宋体" w:cs="宋体"/>
          <w:b w:val="0"/>
          <w:bCs/>
          <w:kern w:val="2"/>
          <w:sz w:val="24"/>
          <w:szCs w:val="24"/>
          <w:lang w:val="en-US" w:eastAsia="zh-CN" w:bidi="ar-SA"/>
        </w:rPr>
      </w:pPr>
    </w:p>
    <w:p w14:paraId="03038926">
      <w:pPr>
        <w:pStyle w:val="62"/>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宋体" w:hAnsi="宋体" w:eastAsia="宋体" w:cs="宋体"/>
          <w:b w:val="0"/>
          <w:bCs/>
          <w:kern w:val="2"/>
          <w:sz w:val="24"/>
          <w:szCs w:val="24"/>
          <w:lang w:val="en-US" w:eastAsia="zh-CN" w:bidi="ar-SA"/>
        </w:rPr>
      </w:pPr>
    </w:p>
    <w:p w14:paraId="23B3E557">
      <w:pPr>
        <w:pStyle w:val="62"/>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宋体" w:hAnsi="宋体" w:eastAsia="宋体" w:cs="宋体"/>
          <w:b w:val="0"/>
          <w:bCs/>
          <w:kern w:val="2"/>
          <w:sz w:val="24"/>
          <w:szCs w:val="24"/>
          <w:lang w:val="en-US" w:eastAsia="zh-CN" w:bidi="ar-SA"/>
        </w:rPr>
      </w:pPr>
    </w:p>
    <w:p w14:paraId="079837DD">
      <w:pPr>
        <w:pStyle w:val="62"/>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宋体" w:hAnsi="宋体" w:eastAsia="宋体" w:cs="宋体"/>
          <w:b w:val="0"/>
          <w:bCs/>
          <w:kern w:val="2"/>
          <w:sz w:val="24"/>
          <w:szCs w:val="24"/>
          <w:lang w:val="en-US" w:eastAsia="zh-CN" w:bidi="ar-SA"/>
        </w:rPr>
      </w:pPr>
    </w:p>
    <w:p w14:paraId="03A90C96">
      <w:pPr>
        <w:pStyle w:val="62"/>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宋体" w:hAnsi="宋体" w:eastAsia="宋体" w:cs="宋体"/>
          <w:b w:val="0"/>
          <w:bCs/>
          <w:kern w:val="2"/>
          <w:sz w:val="24"/>
          <w:szCs w:val="24"/>
          <w:lang w:val="en-US" w:eastAsia="zh-CN" w:bidi="ar-SA"/>
        </w:rPr>
      </w:pPr>
    </w:p>
    <w:p w14:paraId="1C5D6C84">
      <w:pPr>
        <w:pStyle w:val="62"/>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宋体" w:hAnsi="宋体" w:eastAsia="宋体" w:cs="宋体"/>
          <w:b w:val="0"/>
          <w:bCs/>
          <w:kern w:val="2"/>
          <w:sz w:val="24"/>
          <w:szCs w:val="24"/>
          <w:lang w:val="en-US" w:eastAsia="zh-CN" w:bidi="ar-SA"/>
        </w:rPr>
      </w:pPr>
    </w:p>
    <w:p w14:paraId="122935EB">
      <w:pPr>
        <w:pStyle w:val="62"/>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宋体" w:hAnsi="宋体" w:eastAsia="宋体" w:cs="宋体"/>
          <w:b w:val="0"/>
          <w:bCs/>
          <w:kern w:val="2"/>
          <w:sz w:val="24"/>
          <w:szCs w:val="24"/>
          <w:lang w:val="en-US" w:eastAsia="zh-CN" w:bidi="ar-SA"/>
        </w:rPr>
      </w:pPr>
    </w:p>
    <w:p w14:paraId="3719BCC0">
      <w:pPr>
        <w:pStyle w:val="62"/>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宋体" w:hAnsi="宋体" w:eastAsia="宋体" w:cs="宋体"/>
          <w:b w:val="0"/>
          <w:bCs/>
          <w:kern w:val="2"/>
          <w:sz w:val="24"/>
          <w:szCs w:val="24"/>
          <w:lang w:val="en-US" w:eastAsia="zh-CN" w:bidi="ar-SA"/>
        </w:rPr>
      </w:pPr>
    </w:p>
    <w:p w14:paraId="022086EC">
      <w:pPr>
        <w:pStyle w:val="62"/>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宋体" w:hAnsi="宋体" w:eastAsia="宋体" w:cs="宋体"/>
          <w:b w:val="0"/>
          <w:bCs/>
          <w:kern w:val="2"/>
          <w:sz w:val="24"/>
          <w:szCs w:val="24"/>
          <w:lang w:val="en-US" w:eastAsia="zh-CN" w:bidi="ar-SA"/>
        </w:rPr>
      </w:pPr>
    </w:p>
    <w:p w14:paraId="5A7EB827">
      <w:pPr>
        <w:pStyle w:val="62"/>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宋体" w:hAnsi="宋体" w:eastAsia="宋体" w:cs="宋体"/>
          <w:b w:val="0"/>
          <w:bCs/>
          <w:kern w:val="2"/>
          <w:sz w:val="24"/>
          <w:szCs w:val="24"/>
          <w:lang w:val="en-US" w:eastAsia="zh-CN" w:bidi="ar-SA"/>
        </w:rPr>
      </w:pPr>
    </w:p>
    <w:p w14:paraId="67284B75">
      <w:pPr>
        <w:pStyle w:val="62"/>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宋体" w:hAnsi="宋体" w:eastAsia="宋体" w:cs="宋体"/>
          <w:b w:val="0"/>
          <w:bCs/>
          <w:kern w:val="2"/>
          <w:sz w:val="24"/>
          <w:szCs w:val="24"/>
          <w:lang w:val="en-US" w:eastAsia="zh-CN" w:bidi="ar-SA"/>
        </w:rPr>
      </w:pPr>
    </w:p>
    <w:p w14:paraId="0A0D5386">
      <w:pPr>
        <w:pStyle w:val="62"/>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宋体" w:hAnsi="宋体" w:eastAsia="宋体" w:cs="宋体"/>
          <w:b w:val="0"/>
          <w:bCs/>
          <w:kern w:val="2"/>
          <w:sz w:val="24"/>
          <w:szCs w:val="24"/>
          <w:lang w:val="en-US" w:eastAsia="zh-CN" w:bidi="ar-SA"/>
        </w:rPr>
      </w:pPr>
    </w:p>
    <w:p w14:paraId="6A3F021C">
      <w:pPr>
        <w:pStyle w:val="62"/>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宋体" w:hAnsi="宋体" w:eastAsia="宋体" w:cs="宋体"/>
          <w:b w:val="0"/>
          <w:bCs/>
          <w:kern w:val="2"/>
          <w:sz w:val="24"/>
          <w:szCs w:val="24"/>
          <w:lang w:val="en-US" w:eastAsia="zh-CN" w:bidi="ar-SA"/>
        </w:rPr>
      </w:pPr>
    </w:p>
    <w:p w14:paraId="02E6C04B">
      <w:pPr>
        <w:pStyle w:val="62"/>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宋体" w:hAnsi="宋体" w:eastAsia="宋体" w:cs="宋体"/>
          <w:b w:val="0"/>
          <w:bCs/>
          <w:kern w:val="2"/>
          <w:sz w:val="24"/>
          <w:szCs w:val="24"/>
          <w:lang w:val="en-US" w:eastAsia="zh-CN" w:bidi="ar-SA"/>
        </w:rPr>
      </w:pPr>
    </w:p>
    <w:p w14:paraId="2B8467A6">
      <w:pPr>
        <w:pStyle w:val="62"/>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宋体" w:hAnsi="宋体" w:eastAsia="宋体" w:cs="宋体"/>
          <w:b w:val="0"/>
          <w:bCs/>
          <w:kern w:val="2"/>
          <w:sz w:val="24"/>
          <w:szCs w:val="24"/>
          <w:lang w:val="en-US" w:eastAsia="zh-CN" w:bidi="ar-SA"/>
        </w:rPr>
      </w:pPr>
    </w:p>
    <w:p w14:paraId="79DEB9AE">
      <w:pPr>
        <w:pStyle w:val="62"/>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宋体" w:hAnsi="宋体" w:eastAsia="宋体" w:cs="宋体"/>
          <w:b w:val="0"/>
          <w:bCs/>
          <w:kern w:val="2"/>
          <w:sz w:val="24"/>
          <w:szCs w:val="24"/>
          <w:lang w:val="en-US" w:eastAsia="zh-CN" w:bidi="ar-SA"/>
        </w:rPr>
      </w:pPr>
    </w:p>
    <w:p w14:paraId="306DB73C">
      <w:pPr>
        <w:pStyle w:val="62"/>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宋体" w:hAnsi="宋体" w:eastAsia="宋体" w:cs="宋体"/>
          <w:b w:val="0"/>
          <w:bCs/>
          <w:kern w:val="2"/>
          <w:sz w:val="24"/>
          <w:szCs w:val="24"/>
          <w:lang w:val="en-US" w:eastAsia="zh-CN" w:bidi="ar-SA"/>
        </w:rPr>
      </w:pPr>
    </w:p>
    <w:p w14:paraId="462855DB">
      <w:pPr>
        <w:pStyle w:val="62"/>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宋体" w:hAnsi="宋体" w:eastAsia="宋体" w:cs="宋体"/>
          <w:b w:val="0"/>
          <w:bCs/>
          <w:kern w:val="2"/>
          <w:sz w:val="24"/>
          <w:szCs w:val="24"/>
          <w:lang w:val="en-US" w:eastAsia="zh-CN" w:bidi="ar-SA"/>
        </w:rPr>
      </w:pPr>
    </w:p>
    <w:p w14:paraId="526B71BC">
      <w:pPr>
        <w:pStyle w:val="62"/>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宋体" w:hAnsi="宋体" w:eastAsia="宋体" w:cs="宋体"/>
          <w:b w:val="0"/>
          <w:bCs/>
          <w:kern w:val="2"/>
          <w:sz w:val="24"/>
          <w:szCs w:val="24"/>
          <w:lang w:val="en-US" w:eastAsia="zh-CN" w:bidi="ar-SA"/>
        </w:rPr>
      </w:pPr>
    </w:p>
    <w:p w14:paraId="480A4335">
      <w:pPr>
        <w:pStyle w:val="62"/>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宋体" w:hAnsi="宋体" w:eastAsia="宋体" w:cs="宋体"/>
          <w:b w:val="0"/>
          <w:bCs/>
          <w:kern w:val="2"/>
          <w:sz w:val="24"/>
          <w:szCs w:val="24"/>
          <w:lang w:val="en-US" w:eastAsia="zh-CN" w:bidi="ar-SA"/>
        </w:rPr>
      </w:pPr>
    </w:p>
    <w:p w14:paraId="10548954">
      <w:pPr>
        <w:pStyle w:val="62"/>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宋体" w:hAnsi="宋体" w:eastAsia="宋体" w:cs="宋体"/>
          <w:b w:val="0"/>
          <w:bCs/>
          <w:kern w:val="2"/>
          <w:sz w:val="24"/>
          <w:szCs w:val="24"/>
          <w:lang w:val="en-US" w:eastAsia="zh-CN" w:bidi="ar-SA"/>
        </w:rPr>
      </w:pPr>
    </w:p>
    <w:bookmarkEnd w:id="199"/>
    <w:bookmarkEnd w:id="201"/>
    <w:bookmarkEnd w:id="202"/>
    <w:p w14:paraId="0E1F853C">
      <w:pPr>
        <w:pStyle w:val="2"/>
        <w:shd w:val="clear"/>
        <w:bidi w:val="0"/>
        <w:rPr>
          <w:rFonts w:hint="eastAsia" w:ascii="宋体" w:hAnsi="宋体" w:eastAsia="宋体" w:cs="宋体"/>
          <w:b/>
          <w:szCs w:val="44"/>
          <w:lang w:eastAsia="zh-CN"/>
        </w:rPr>
      </w:pPr>
      <w:bookmarkStart w:id="203" w:name="_Toc3396"/>
      <w:r>
        <w:rPr>
          <w:rFonts w:hint="eastAsia" w:ascii="宋体" w:hAnsi="宋体" w:eastAsia="宋体" w:cs="宋体"/>
          <w:lang w:eastAsia="zh-CN"/>
        </w:rPr>
        <w:t>第六章  竞争性磋商响应文件格式</w:t>
      </w:r>
      <w:bookmarkEnd w:id="203"/>
    </w:p>
    <w:p w14:paraId="28F9ED82">
      <w:pPr>
        <w:shd w:val="clear"/>
        <w:spacing w:line="360" w:lineRule="auto"/>
        <w:jc w:val="both"/>
        <w:rPr>
          <w:rFonts w:hint="eastAsia" w:ascii="宋体" w:hAnsi="宋体" w:eastAsia="宋体" w:cs="宋体"/>
          <w:b/>
          <w:sz w:val="44"/>
          <w:szCs w:val="44"/>
          <w:lang w:eastAsia="zh-CN"/>
        </w:rPr>
      </w:pPr>
    </w:p>
    <w:p w14:paraId="0913B14F">
      <w:pPr>
        <w:shd w:val="clear"/>
        <w:spacing w:line="360" w:lineRule="auto"/>
        <w:jc w:val="left"/>
        <w:outlineLvl w:val="0"/>
        <w:rPr>
          <w:rFonts w:hint="eastAsia" w:ascii="宋体" w:hAnsi="宋体" w:eastAsia="宋体" w:cs="宋体"/>
          <w:b/>
          <w:sz w:val="32"/>
          <w:szCs w:val="22"/>
          <w:lang w:eastAsia="zh-CN"/>
        </w:rPr>
      </w:pPr>
      <w:bookmarkStart w:id="204" w:name="_Toc31931"/>
      <w:bookmarkStart w:id="205" w:name="_Toc2100"/>
      <w:r>
        <w:rPr>
          <w:rFonts w:hint="eastAsia" w:ascii="宋体" w:hAnsi="宋体" w:eastAsia="宋体" w:cs="宋体"/>
          <w:b/>
          <w:sz w:val="32"/>
          <w:szCs w:val="22"/>
          <w:lang w:eastAsia="zh-CN"/>
        </w:rPr>
        <w:t>项目编号：</w:t>
      </w:r>
      <w:r>
        <w:rPr>
          <w:rFonts w:hint="eastAsia" w:ascii="宋体" w:hAnsi="宋体" w:eastAsia="宋体" w:cs="宋体"/>
          <w:b/>
          <w:sz w:val="32"/>
          <w:szCs w:val="22"/>
          <w:lang w:val="en-US" w:eastAsia="zh-CN"/>
        </w:rPr>
        <w:t xml:space="preserve">                       </w:t>
      </w:r>
      <w:r>
        <w:rPr>
          <w:rFonts w:hint="eastAsia" w:ascii="宋体" w:hAnsi="宋体" w:eastAsia="宋体" w:cs="宋体"/>
          <w:b/>
          <w:sz w:val="32"/>
          <w:szCs w:val="22"/>
          <w:lang w:eastAsia="zh-CN"/>
        </w:rPr>
        <w:t xml:space="preserve">    </w:t>
      </w:r>
      <w:r>
        <w:rPr>
          <w:rFonts w:hint="eastAsia" w:ascii="宋体" w:hAnsi="宋体" w:eastAsia="宋体" w:cs="宋体"/>
          <w:b/>
          <w:sz w:val="32"/>
          <w:szCs w:val="22"/>
          <w:lang w:val="en-US" w:eastAsia="zh-CN"/>
        </w:rPr>
        <w:t xml:space="preserve">   </w:t>
      </w:r>
      <w:r>
        <w:rPr>
          <w:rFonts w:hint="eastAsia" w:ascii="宋体" w:hAnsi="宋体" w:eastAsia="宋体" w:cs="宋体"/>
          <w:b/>
          <w:sz w:val="32"/>
          <w:szCs w:val="22"/>
          <w:lang w:eastAsia="zh-CN"/>
        </w:rPr>
        <w:t xml:space="preserve"> （正/副本）</w:t>
      </w:r>
      <w:bookmarkEnd w:id="204"/>
      <w:bookmarkEnd w:id="205"/>
    </w:p>
    <w:p w14:paraId="2CFF94AB">
      <w:pPr>
        <w:shd w:val="clear"/>
        <w:spacing w:line="360" w:lineRule="auto"/>
        <w:jc w:val="left"/>
        <w:rPr>
          <w:rFonts w:hint="eastAsia" w:ascii="宋体" w:hAnsi="宋体" w:eastAsia="宋体" w:cs="宋体"/>
          <w:b/>
          <w:sz w:val="32"/>
          <w:szCs w:val="32"/>
          <w:lang w:eastAsia="zh-CN"/>
        </w:rPr>
      </w:pPr>
    </w:p>
    <w:p w14:paraId="72D2ECCA">
      <w:pPr>
        <w:shd w:val="clear"/>
        <w:spacing w:line="360" w:lineRule="auto"/>
        <w:jc w:val="left"/>
        <w:rPr>
          <w:rFonts w:hint="eastAsia" w:ascii="宋体" w:hAnsi="宋体" w:eastAsia="宋体" w:cs="宋体"/>
          <w:b/>
          <w:sz w:val="32"/>
          <w:szCs w:val="32"/>
          <w:lang w:eastAsia="zh-CN"/>
        </w:rPr>
      </w:pPr>
    </w:p>
    <w:p w14:paraId="7BB83B0B">
      <w:pPr>
        <w:shd w:val="clear" w:color="auto"/>
        <w:spacing w:line="360" w:lineRule="auto"/>
        <w:ind w:left="0" w:leftChars="0" w:firstLine="2008" w:firstLineChars="500"/>
        <w:jc w:val="both"/>
        <w:outlineLvl w:val="0"/>
        <w:rPr>
          <w:rFonts w:hint="eastAsia" w:ascii="宋体" w:hAnsi="宋体" w:eastAsia="宋体" w:cs="宋体"/>
          <w:b/>
          <w:sz w:val="52"/>
          <w:szCs w:val="52"/>
          <w:highlight w:val="none"/>
          <w:lang w:val="en-US" w:eastAsia="zh-CN"/>
        </w:rPr>
      </w:pPr>
      <w:bookmarkStart w:id="206" w:name="_Toc10247"/>
      <w:bookmarkStart w:id="207" w:name="_Toc7378"/>
      <w:r>
        <w:rPr>
          <w:rFonts w:hint="eastAsia" w:ascii="宋体" w:hAnsi="宋体" w:eastAsia="宋体" w:cs="宋体"/>
          <w:b/>
          <w:sz w:val="40"/>
          <w:szCs w:val="40"/>
          <w:highlight w:val="none"/>
          <w:u w:val="single"/>
          <w:lang w:val="en-US" w:eastAsia="zh-CN"/>
        </w:rPr>
        <w:t xml:space="preserve">          </w:t>
      </w:r>
      <w:r>
        <w:rPr>
          <w:rFonts w:hint="eastAsia" w:ascii="宋体" w:hAnsi="宋体" w:eastAsia="宋体" w:cs="宋体"/>
          <w:b/>
          <w:sz w:val="40"/>
          <w:szCs w:val="40"/>
          <w:highlight w:val="none"/>
          <w:u w:val="single"/>
        </w:rPr>
        <w:t>项目名称</w:t>
      </w:r>
      <w:bookmarkEnd w:id="206"/>
      <w:bookmarkEnd w:id="207"/>
      <w:r>
        <w:rPr>
          <w:rFonts w:hint="eastAsia" w:ascii="宋体" w:hAnsi="宋体" w:eastAsia="宋体" w:cs="宋体"/>
          <w:b/>
          <w:sz w:val="40"/>
          <w:szCs w:val="40"/>
          <w:highlight w:val="none"/>
          <w:u w:val="single"/>
          <w:lang w:val="en-US" w:eastAsia="zh-CN"/>
        </w:rPr>
        <w:t xml:space="preserve">        </w:t>
      </w:r>
    </w:p>
    <w:p w14:paraId="1A94BE8C">
      <w:pPr>
        <w:pStyle w:val="9"/>
        <w:shd w:val="clear"/>
        <w:rPr>
          <w:rFonts w:hint="eastAsia" w:ascii="宋体" w:hAnsi="宋体" w:eastAsia="宋体" w:cs="宋体"/>
        </w:rPr>
      </w:pPr>
    </w:p>
    <w:p w14:paraId="6DC10702">
      <w:pPr>
        <w:shd w:val="clear"/>
        <w:jc w:val="both"/>
        <w:rPr>
          <w:rFonts w:hint="eastAsia" w:ascii="宋体" w:hAnsi="宋体" w:eastAsia="宋体" w:cs="宋体"/>
          <w:b/>
          <w:sz w:val="52"/>
          <w:szCs w:val="52"/>
        </w:rPr>
      </w:pPr>
    </w:p>
    <w:p w14:paraId="400EAB1A">
      <w:pPr>
        <w:shd w:val="clear"/>
        <w:jc w:val="center"/>
        <w:rPr>
          <w:rFonts w:hint="eastAsia" w:ascii="宋体" w:hAnsi="宋体" w:eastAsia="宋体" w:cs="宋体"/>
          <w:b/>
          <w:sz w:val="52"/>
          <w:szCs w:val="52"/>
        </w:rPr>
      </w:pPr>
      <w:r>
        <w:rPr>
          <w:rFonts w:hint="eastAsia" w:ascii="宋体" w:hAnsi="宋体" w:eastAsia="宋体" w:cs="宋体"/>
          <w:b/>
          <w:sz w:val="52"/>
          <w:szCs w:val="52"/>
        </w:rPr>
        <w:t>竞争性磋商响应文件</w:t>
      </w:r>
    </w:p>
    <w:p w14:paraId="231BC00C">
      <w:pPr>
        <w:shd w:val="clear"/>
        <w:rPr>
          <w:rFonts w:hint="eastAsia" w:ascii="宋体" w:hAnsi="宋体" w:eastAsia="宋体" w:cs="宋体"/>
          <w:b/>
          <w:sz w:val="36"/>
          <w:szCs w:val="36"/>
        </w:rPr>
      </w:pPr>
      <w:r>
        <w:rPr>
          <w:rFonts w:hint="eastAsia" w:ascii="宋体" w:hAnsi="宋体" w:eastAsia="宋体" w:cs="宋体"/>
          <w:b/>
          <w:sz w:val="36"/>
          <w:szCs w:val="36"/>
        </w:rPr>
        <w:t xml:space="preserve">               </w:t>
      </w:r>
    </w:p>
    <w:p w14:paraId="2C723AD6">
      <w:pPr>
        <w:shd w:val="clear"/>
        <w:jc w:val="center"/>
        <w:rPr>
          <w:rFonts w:hint="eastAsia" w:ascii="宋体" w:hAnsi="宋体" w:eastAsia="宋体" w:cs="宋体"/>
          <w:b/>
          <w:sz w:val="36"/>
          <w:szCs w:val="36"/>
        </w:rPr>
      </w:pPr>
    </w:p>
    <w:p w14:paraId="5BC1B6B7">
      <w:pPr>
        <w:pStyle w:val="23"/>
        <w:shd w:val="clear"/>
        <w:rPr>
          <w:rFonts w:hint="eastAsia" w:ascii="宋体" w:hAnsi="宋体" w:eastAsia="宋体" w:cs="宋体"/>
          <w:b/>
          <w:sz w:val="36"/>
          <w:szCs w:val="36"/>
        </w:rPr>
      </w:pPr>
    </w:p>
    <w:p w14:paraId="0CF737D7">
      <w:pPr>
        <w:pStyle w:val="23"/>
        <w:shd w:val="clear"/>
        <w:rPr>
          <w:rFonts w:hint="eastAsia" w:ascii="宋体" w:hAnsi="宋体" w:eastAsia="宋体" w:cs="宋体"/>
          <w:b/>
          <w:sz w:val="36"/>
          <w:szCs w:val="36"/>
        </w:rPr>
      </w:pPr>
    </w:p>
    <w:p w14:paraId="2D2458BC">
      <w:pPr>
        <w:pStyle w:val="9"/>
        <w:shd w:val="clear"/>
        <w:rPr>
          <w:rFonts w:hint="eastAsia" w:ascii="宋体" w:hAnsi="宋体" w:eastAsia="宋体" w:cs="宋体"/>
        </w:rPr>
      </w:pPr>
    </w:p>
    <w:p w14:paraId="17C69F39">
      <w:pPr>
        <w:shd w:val="clear"/>
        <w:rPr>
          <w:rFonts w:hint="eastAsia" w:ascii="宋体" w:hAnsi="宋体" w:eastAsia="宋体" w:cs="宋体"/>
          <w:b/>
          <w:sz w:val="36"/>
          <w:szCs w:val="36"/>
        </w:rPr>
      </w:pPr>
    </w:p>
    <w:p w14:paraId="7855B84E">
      <w:pPr>
        <w:pStyle w:val="9"/>
        <w:shd w:val="clear"/>
        <w:rPr>
          <w:rFonts w:hint="eastAsia" w:ascii="宋体" w:hAnsi="宋体" w:eastAsia="宋体" w:cs="宋体"/>
          <w:b/>
          <w:sz w:val="36"/>
          <w:szCs w:val="36"/>
        </w:rPr>
      </w:pPr>
    </w:p>
    <w:p w14:paraId="37B5A28A">
      <w:pPr>
        <w:shd w:val="clear"/>
        <w:rPr>
          <w:rFonts w:hint="eastAsia" w:ascii="宋体" w:hAnsi="宋体" w:eastAsia="宋体" w:cs="宋体"/>
        </w:rPr>
      </w:pPr>
    </w:p>
    <w:p w14:paraId="349D2210">
      <w:pPr>
        <w:shd w:val="clear"/>
        <w:tabs>
          <w:tab w:val="center" w:pos="5346"/>
        </w:tabs>
        <w:spacing w:line="480" w:lineRule="auto"/>
        <w:ind w:firstLine="1928" w:firstLineChars="600"/>
        <w:outlineLvl w:val="0"/>
        <w:rPr>
          <w:rFonts w:hint="eastAsia" w:ascii="宋体" w:hAnsi="宋体" w:eastAsia="宋体" w:cs="宋体"/>
          <w:b/>
          <w:sz w:val="32"/>
          <w:szCs w:val="32"/>
          <w:u w:val="single"/>
        </w:rPr>
      </w:pPr>
      <w:bookmarkStart w:id="208" w:name="_Toc26671"/>
      <w:bookmarkStart w:id="209" w:name="_Toc6010"/>
      <w:bookmarkStart w:id="210" w:name="_Toc31577"/>
      <w:r>
        <w:rPr>
          <w:rFonts w:hint="eastAsia" w:ascii="宋体" w:hAnsi="宋体" w:eastAsia="宋体" w:cs="宋体"/>
          <w:b/>
          <w:sz w:val="32"/>
          <w:szCs w:val="32"/>
        </w:rPr>
        <w:t>供应商名称（公章）</w:t>
      </w:r>
      <w:bookmarkEnd w:id="208"/>
      <w:bookmarkEnd w:id="209"/>
      <w:bookmarkEnd w:id="210"/>
      <w:r>
        <w:rPr>
          <w:rFonts w:hint="eastAsia" w:ascii="宋体" w:hAnsi="宋体" w:eastAsia="宋体" w:cs="宋体"/>
          <w:b/>
          <w:sz w:val="32"/>
          <w:szCs w:val="32"/>
          <w:u w:val="single"/>
        </w:rPr>
        <w:t xml:space="preserve">                  </w:t>
      </w:r>
    </w:p>
    <w:p w14:paraId="60441E4D">
      <w:pPr>
        <w:pStyle w:val="9"/>
        <w:shd w:val="clear"/>
        <w:rPr>
          <w:rFonts w:hint="eastAsia" w:ascii="宋体" w:hAnsi="宋体" w:eastAsia="宋体" w:cs="宋体"/>
        </w:rPr>
      </w:pPr>
    </w:p>
    <w:p w14:paraId="5AB19348">
      <w:pPr>
        <w:shd w:val="clear"/>
        <w:tabs>
          <w:tab w:val="center" w:pos="5346"/>
        </w:tabs>
        <w:spacing w:line="480" w:lineRule="auto"/>
        <w:ind w:firstLine="1928" w:firstLineChars="600"/>
        <w:outlineLvl w:val="0"/>
        <w:rPr>
          <w:rFonts w:hint="eastAsia" w:ascii="宋体" w:hAnsi="宋体" w:eastAsia="宋体" w:cs="宋体"/>
          <w:b/>
          <w:sz w:val="32"/>
          <w:szCs w:val="32"/>
          <w:u w:val="single"/>
        </w:rPr>
      </w:pPr>
      <w:bookmarkStart w:id="211" w:name="_Toc3201"/>
      <w:bookmarkStart w:id="212" w:name="_Toc20251"/>
      <w:bookmarkStart w:id="213" w:name="_Toc28374"/>
      <w:r>
        <w:rPr>
          <w:rFonts w:hint="eastAsia" w:ascii="宋体" w:hAnsi="宋体" w:eastAsia="宋体" w:cs="宋体"/>
          <w:b/>
          <w:sz w:val="32"/>
          <w:szCs w:val="32"/>
        </w:rPr>
        <w:t>法人或授权人签字或盖章：</w:t>
      </w:r>
      <w:bookmarkEnd w:id="211"/>
      <w:bookmarkEnd w:id="212"/>
      <w:bookmarkEnd w:id="213"/>
      <w:r>
        <w:rPr>
          <w:rFonts w:hint="eastAsia" w:ascii="宋体" w:hAnsi="宋体" w:eastAsia="宋体" w:cs="宋体"/>
          <w:b/>
          <w:sz w:val="32"/>
          <w:szCs w:val="32"/>
          <w:u w:val="single"/>
        </w:rPr>
        <w:t xml:space="preserve">            </w:t>
      </w:r>
    </w:p>
    <w:p w14:paraId="127106A7">
      <w:pPr>
        <w:shd w:val="clear"/>
        <w:jc w:val="center"/>
        <w:rPr>
          <w:rFonts w:hint="eastAsia" w:ascii="宋体" w:hAnsi="宋体" w:eastAsia="宋体" w:cs="宋体"/>
          <w:b/>
          <w:bCs/>
          <w:sz w:val="44"/>
        </w:rPr>
      </w:pP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rPr>
        <w:t>年</w:t>
      </w:r>
      <w:r>
        <w:rPr>
          <w:rFonts w:hint="eastAsia" w:ascii="宋体" w:hAnsi="宋体" w:eastAsia="宋体" w:cs="宋体"/>
          <w:b/>
          <w:sz w:val="32"/>
          <w:szCs w:val="32"/>
          <w:u w:val="single"/>
        </w:rPr>
        <w:t xml:space="preserve">   </w:t>
      </w:r>
      <w:r>
        <w:rPr>
          <w:rFonts w:hint="eastAsia" w:ascii="宋体" w:hAnsi="宋体" w:eastAsia="宋体" w:cs="宋体"/>
          <w:b/>
          <w:sz w:val="32"/>
          <w:szCs w:val="32"/>
        </w:rPr>
        <w:t>月</w:t>
      </w:r>
      <w:r>
        <w:rPr>
          <w:rFonts w:hint="eastAsia" w:ascii="宋体" w:hAnsi="宋体" w:eastAsia="宋体" w:cs="宋体"/>
          <w:b/>
          <w:sz w:val="36"/>
          <w:szCs w:val="36"/>
        </w:rPr>
        <w:br w:type="page"/>
      </w:r>
    </w:p>
    <w:p w14:paraId="212FD0BD">
      <w:pPr>
        <w:shd w:val="clear"/>
        <w:spacing w:line="360" w:lineRule="auto"/>
        <w:jc w:val="center"/>
        <w:rPr>
          <w:rFonts w:hint="eastAsia" w:ascii="宋体" w:hAnsi="宋体" w:eastAsia="宋体" w:cs="宋体"/>
          <w:b/>
          <w:sz w:val="44"/>
        </w:rPr>
      </w:pPr>
      <w:bookmarkStart w:id="214" w:name="_Toc344572156"/>
      <w:r>
        <w:rPr>
          <w:rFonts w:hint="eastAsia" w:ascii="宋体" w:hAnsi="宋体" w:eastAsia="宋体" w:cs="宋体"/>
          <w:b/>
          <w:sz w:val="44"/>
        </w:rPr>
        <w:t>目  录</w:t>
      </w:r>
    </w:p>
    <w:p w14:paraId="37CD655A">
      <w:pPr>
        <w:pStyle w:val="3"/>
        <w:shd w:val="clear"/>
        <w:tabs>
          <w:tab w:val="left" w:pos="3705"/>
        </w:tabs>
        <w:rPr>
          <w:rFonts w:hint="eastAsia" w:ascii="宋体" w:hAnsi="宋体" w:eastAsia="宋体" w:cs="宋体"/>
          <w:bCs w:val="0"/>
          <w:sz w:val="44"/>
          <w:lang w:val="en-US" w:eastAsia="zh-CN"/>
        </w:rPr>
      </w:pPr>
      <w:r>
        <w:rPr>
          <w:rFonts w:hint="eastAsia" w:ascii="宋体" w:hAnsi="宋体" w:eastAsia="宋体" w:cs="宋体"/>
          <w:bCs w:val="0"/>
          <w:sz w:val="44"/>
          <w:lang w:val="en-US" w:eastAsia="zh-CN"/>
        </w:rPr>
        <w:t>(格式自拟)</w:t>
      </w:r>
    </w:p>
    <w:p w14:paraId="642B422C">
      <w:pPr>
        <w:shd w:val="clear"/>
        <w:rPr>
          <w:rFonts w:hint="eastAsia" w:ascii="宋体" w:hAnsi="宋体" w:eastAsia="宋体" w:cs="宋体"/>
          <w:bCs/>
          <w:sz w:val="44"/>
        </w:rPr>
      </w:pPr>
    </w:p>
    <w:p w14:paraId="36131EAC">
      <w:pPr>
        <w:pStyle w:val="9"/>
        <w:shd w:val="clear"/>
        <w:rPr>
          <w:rFonts w:hint="eastAsia" w:ascii="宋体" w:hAnsi="宋体" w:eastAsia="宋体" w:cs="宋体"/>
          <w:bCs/>
          <w:sz w:val="44"/>
        </w:rPr>
      </w:pPr>
    </w:p>
    <w:p w14:paraId="51C11482">
      <w:pPr>
        <w:shd w:val="clear"/>
        <w:rPr>
          <w:rFonts w:hint="eastAsia" w:ascii="宋体" w:hAnsi="宋体" w:eastAsia="宋体" w:cs="宋体"/>
          <w:bCs/>
          <w:sz w:val="44"/>
        </w:rPr>
      </w:pPr>
    </w:p>
    <w:p w14:paraId="7AD2A518">
      <w:pPr>
        <w:shd w:val="clear"/>
        <w:rPr>
          <w:rFonts w:hint="eastAsia" w:ascii="宋体" w:hAnsi="宋体" w:eastAsia="宋体" w:cs="宋体"/>
          <w:bCs/>
          <w:sz w:val="44"/>
        </w:rPr>
      </w:pPr>
    </w:p>
    <w:p w14:paraId="6D5F0883">
      <w:pPr>
        <w:shd w:val="clear"/>
        <w:rPr>
          <w:rFonts w:hint="eastAsia" w:ascii="宋体" w:hAnsi="宋体" w:eastAsia="宋体" w:cs="宋体"/>
          <w:bCs/>
          <w:sz w:val="44"/>
        </w:rPr>
      </w:pPr>
    </w:p>
    <w:p w14:paraId="44E9C8D3">
      <w:pPr>
        <w:shd w:val="clear"/>
        <w:rPr>
          <w:rFonts w:hint="eastAsia" w:ascii="宋体" w:hAnsi="宋体" w:eastAsia="宋体" w:cs="宋体"/>
          <w:bCs/>
          <w:sz w:val="44"/>
        </w:rPr>
      </w:pPr>
    </w:p>
    <w:p w14:paraId="693CF87C">
      <w:pPr>
        <w:shd w:val="clear"/>
        <w:rPr>
          <w:rFonts w:hint="eastAsia" w:ascii="宋体" w:hAnsi="宋体" w:eastAsia="宋体" w:cs="宋体"/>
          <w:bCs/>
          <w:sz w:val="44"/>
        </w:rPr>
      </w:pPr>
    </w:p>
    <w:p w14:paraId="015A760F">
      <w:pPr>
        <w:shd w:val="clear"/>
        <w:rPr>
          <w:rFonts w:hint="eastAsia" w:ascii="宋体" w:hAnsi="宋体" w:eastAsia="宋体" w:cs="宋体"/>
          <w:bCs/>
          <w:sz w:val="44"/>
        </w:rPr>
      </w:pPr>
    </w:p>
    <w:p w14:paraId="7474703C">
      <w:pPr>
        <w:shd w:val="clear"/>
        <w:rPr>
          <w:rFonts w:hint="eastAsia" w:ascii="宋体" w:hAnsi="宋体" w:eastAsia="宋体" w:cs="宋体"/>
          <w:bCs/>
          <w:sz w:val="44"/>
        </w:rPr>
      </w:pPr>
    </w:p>
    <w:p w14:paraId="139F5CFF">
      <w:pPr>
        <w:pStyle w:val="15"/>
        <w:shd w:val="clear"/>
        <w:rPr>
          <w:rFonts w:hint="eastAsia" w:ascii="宋体" w:hAnsi="宋体" w:eastAsia="宋体" w:cs="宋体"/>
          <w:bCs/>
          <w:sz w:val="44"/>
        </w:rPr>
      </w:pPr>
    </w:p>
    <w:p w14:paraId="5B74BBE0">
      <w:pPr>
        <w:pStyle w:val="15"/>
        <w:shd w:val="clear"/>
        <w:rPr>
          <w:rFonts w:hint="eastAsia" w:ascii="宋体" w:hAnsi="宋体" w:eastAsia="宋体" w:cs="宋体"/>
          <w:bCs/>
          <w:sz w:val="44"/>
        </w:rPr>
      </w:pPr>
    </w:p>
    <w:p w14:paraId="38D95EA7">
      <w:pPr>
        <w:pStyle w:val="15"/>
        <w:shd w:val="clear"/>
        <w:rPr>
          <w:rFonts w:hint="eastAsia" w:ascii="宋体" w:hAnsi="宋体" w:eastAsia="宋体" w:cs="宋体"/>
          <w:bCs/>
          <w:sz w:val="44"/>
        </w:rPr>
      </w:pPr>
    </w:p>
    <w:p w14:paraId="192D77EF">
      <w:pPr>
        <w:pStyle w:val="15"/>
        <w:shd w:val="clear"/>
        <w:rPr>
          <w:rFonts w:hint="eastAsia" w:ascii="宋体" w:hAnsi="宋体" w:eastAsia="宋体" w:cs="宋体"/>
          <w:bCs/>
          <w:sz w:val="44"/>
        </w:rPr>
      </w:pPr>
    </w:p>
    <w:p w14:paraId="035793F5">
      <w:pPr>
        <w:pStyle w:val="15"/>
        <w:shd w:val="clear"/>
        <w:rPr>
          <w:rFonts w:hint="eastAsia" w:ascii="宋体" w:hAnsi="宋体" w:eastAsia="宋体" w:cs="宋体"/>
          <w:bCs/>
          <w:sz w:val="44"/>
        </w:rPr>
      </w:pPr>
    </w:p>
    <w:p w14:paraId="362FB6CB">
      <w:pPr>
        <w:pStyle w:val="15"/>
        <w:shd w:val="clear"/>
        <w:rPr>
          <w:rFonts w:hint="eastAsia" w:ascii="宋体" w:hAnsi="宋体" w:eastAsia="宋体" w:cs="宋体"/>
          <w:bCs/>
          <w:sz w:val="44"/>
        </w:rPr>
      </w:pPr>
    </w:p>
    <w:p w14:paraId="6FAEFB36">
      <w:pPr>
        <w:pStyle w:val="15"/>
        <w:shd w:val="clear"/>
        <w:rPr>
          <w:rFonts w:hint="eastAsia" w:ascii="宋体" w:hAnsi="宋体" w:eastAsia="宋体" w:cs="宋体"/>
          <w:bCs/>
          <w:sz w:val="44"/>
        </w:rPr>
      </w:pPr>
    </w:p>
    <w:p w14:paraId="7555987E">
      <w:pPr>
        <w:pStyle w:val="15"/>
        <w:shd w:val="clear"/>
        <w:rPr>
          <w:rFonts w:hint="eastAsia" w:ascii="宋体" w:hAnsi="宋体" w:eastAsia="宋体" w:cs="宋体"/>
          <w:bCs/>
          <w:sz w:val="44"/>
        </w:rPr>
      </w:pPr>
    </w:p>
    <w:p w14:paraId="099062AF">
      <w:pPr>
        <w:pStyle w:val="15"/>
        <w:shd w:val="clear"/>
        <w:rPr>
          <w:rFonts w:hint="eastAsia" w:ascii="宋体" w:hAnsi="宋体" w:eastAsia="宋体" w:cs="宋体"/>
          <w:bCs/>
          <w:sz w:val="44"/>
        </w:rPr>
      </w:pPr>
    </w:p>
    <w:p w14:paraId="33D36806">
      <w:pPr>
        <w:pStyle w:val="9"/>
        <w:shd w:val="clear"/>
        <w:rPr>
          <w:rFonts w:hint="eastAsia" w:ascii="宋体" w:hAnsi="宋体" w:eastAsia="宋体" w:cs="宋体"/>
          <w:bCs/>
          <w:sz w:val="44"/>
        </w:rPr>
      </w:pPr>
    </w:p>
    <w:bookmarkEnd w:id="214"/>
    <w:p w14:paraId="1AF8BDEF">
      <w:pPr>
        <w:shd w:val="clear"/>
        <w:spacing w:line="360" w:lineRule="auto"/>
        <w:jc w:val="center"/>
        <w:outlineLvl w:val="0"/>
        <w:rPr>
          <w:rFonts w:hint="eastAsia" w:ascii="宋体" w:hAnsi="宋体" w:eastAsia="宋体" w:cs="宋体"/>
          <w:b/>
          <w:sz w:val="32"/>
          <w:szCs w:val="32"/>
        </w:rPr>
      </w:pPr>
      <w:bookmarkStart w:id="215" w:name="_Toc363474027"/>
      <w:bookmarkStart w:id="216" w:name="_Toc403077648"/>
      <w:bookmarkStart w:id="217" w:name="_Toc24357"/>
      <w:bookmarkStart w:id="218" w:name="_Toc5618"/>
      <w:bookmarkStart w:id="219" w:name="_Toc20261"/>
      <w:bookmarkStart w:id="220" w:name="_Toc204524343"/>
      <w:r>
        <w:rPr>
          <w:rFonts w:hint="eastAsia" w:ascii="宋体" w:hAnsi="宋体" w:eastAsia="宋体" w:cs="宋体"/>
          <w:b/>
          <w:sz w:val="32"/>
          <w:szCs w:val="32"/>
          <w:lang w:val="en-US" w:eastAsia="zh-CN"/>
        </w:rPr>
        <w:t>一、</w:t>
      </w:r>
      <w:r>
        <w:rPr>
          <w:rFonts w:hint="eastAsia" w:ascii="宋体" w:hAnsi="宋体" w:eastAsia="宋体" w:cs="宋体"/>
          <w:b/>
          <w:sz w:val="32"/>
          <w:szCs w:val="32"/>
        </w:rPr>
        <w:t>磋商</w:t>
      </w:r>
      <w:bookmarkEnd w:id="215"/>
      <w:bookmarkEnd w:id="216"/>
      <w:r>
        <w:rPr>
          <w:rFonts w:hint="eastAsia" w:ascii="宋体" w:hAnsi="宋体" w:eastAsia="宋体" w:cs="宋体"/>
          <w:b/>
          <w:sz w:val="32"/>
          <w:szCs w:val="32"/>
        </w:rPr>
        <w:t>响应函</w:t>
      </w:r>
      <w:bookmarkEnd w:id="217"/>
      <w:bookmarkEnd w:id="218"/>
      <w:bookmarkEnd w:id="219"/>
    </w:p>
    <w:p w14:paraId="395227D2">
      <w:pPr>
        <w:shd w:val="clear"/>
        <w:spacing w:line="360" w:lineRule="auto"/>
        <w:jc w:val="left"/>
        <w:rPr>
          <w:rFonts w:hint="eastAsia" w:ascii="宋体" w:hAnsi="宋体" w:eastAsia="宋体" w:cs="宋体"/>
          <w:spacing w:val="4"/>
          <w:sz w:val="24"/>
          <w:szCs w:val="24"/>
          <w:lang w:eastAsia="zh-CN"/>
        </w:rPr>
      </w:pPr>
      <w:r>
        <w:rPr>
          <w:rFonts w:hint="eastAsia" w:ascii="宋体" w:hAnsi="宋体" w:eastAsia="宋体" w:cs="宋体"/>
          <w:spacing w:val="4"/>
          <w:sz w:val="24"/>
          <w:szCs w:val="24"/>
        </w:rPr>
        <w:t>致：</w:t>
      </w:r>
      <w:r>
        <w:rPr>
          <w:rFonts w:hint="eastAsia" w:ascii="宋体" w:hAnsi="宋体" w:eastAsia="宋体" w:cs="宋体"/>
          <w:spacing w:val="4"/>
          <w:sz w:val="24"/>
          <w:szCs w:val="24"/>
          <w:lang w:eastAsia="zh-CN"/>
        </w:rPr>
        <w:t>榆林天泽鼎泰项目管理有限公司</w:t>
      </w:r>
    </w:p>
    <w:p w14:paraId="0A6727E2">
      <w:pPr>
        <w:shd w:val="clear"/>
        <w:spacing w:line="360" w:lineRule="auto"/>
        <w:ind w:firstLine="496" w:firstLineChars="200"/>
        <w:rPr>
          <w:rFonts w:hint="eastAsia" w:ascii="宋体" w:hAnsi="宋体" w:eastAsia="宋体" w:cs="宋体"/>
          <w:spacing w:val="4"/>
          <w:sz w:val="24"/>
          <w:szCs w:val="24"/>
          <w:u w:val="single"/>
        </w:rPr>
      </w:pPr>
      <w:r>
        <w:rPr>
          <w:rFonts w:hint="eastAsia" w:ascii="宋体" w:hAnsi="宋体" w:eastAsia="宋体" w:cs="宋体"/>
          <w:spacing w:val="4"/>
          <w:sz w:val="24"/>
          <w:szCs w:val="24"/>
        </w:rPr>
        <w:t>根据贵方“</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”项目的磋商文件</w:t>
      </w:r>
      <w:r>
        <w:rPr>
          <w:rFonts w:hint="eastAsia" w:ascii="宋体" w:hAnsi="宋体" w:eastAsia="宋体" w:cs="宋体"/>
          <w:spacing w:val="4"/>
          <w:sz w:val="24"/>
          <w:szCs w:val="24"/>
          <w:u w:val="single"/>
        </w:rPr>
        <w:t>(编号：      )</w:t>
      </w:r>
      <w:r>
        <w:rPr>
          <w:rFonts w:hint="eastAsia" w:ascii="宋体" w:hAnsi="宋体" w:eastAsia="宋体" w:cs="宋体"/>
          <w:spacing w:val="4"/>
          <w:sz w:val="24"/>
          <w:szCs w:val="24"/>
        </w:rPr>
        <w:t>，签字代表</w:t>
      </w:r>
      <w:r>
        <w:rPr>
          <w:rFonts w:hint="eastAsia" w:ascii="宋体" w:hAnsi="宋体" w:eastAsia="宋体" w:cs="宋体"/>
          <w:spacing w:val="4"/>
          <w:sz w:val="24"/>
          <w:szCs w:val="24"/>
          <w:u w:val="single"/>
        </w:rPr>
        <w:t>（全名、职务）</w:t>
      </w:r>
      <w:r>
        <w:rPr>
          <w:rFonts w:hint="eastAsia" w:ascii="宋体" w:hAnsi="宋体" w:eastAsia="宋体" w:cs="宋体"/>
          <w:spacing w:val="4"/>
          <w:sz w:val="24"/>
          <w:szCs w:val="24"/>
        </w:rPr>
        <w:t>经正式授权并代表供应商</w:t>
      </w:r>
      <w:r>
        <w:rPr>
          <w:rFonts w:hint="eastAsia" w:ascii="宋体" w:hAnsi="宋体" w:eastAsia="宋体" w:cs="宋体"/>
          <w:spacing w:val="4"/>
          <w:sz w:val="24"/>
          <w:szCs w:val="24"/>
          <w:u w:val="single"/>
        </w:rPr>
        <w:t>(供应商名称、地址)</w:t>
      </w:r>
      <w:r>
        <w:rPr>
          <w:rFonts w:hint="eastAsia" w:ascii="宋体" w:hAnsi="宋体" w:eastAsia="宋体" w:cs="宋体"/>
          <w:spacing w:val="4"/>
          <w:sz w:val="24"/>
          <w:szCs w:val="24"/>
        </w:rPr>
        <w:t xml:space="preserve"> 提交竞争性磋商响应文件。。</w:t>
      </w:r>
    </w:p>
    <w:p w14:paraId="59370988">
      <w:pPr>
        <w:shd w:val="clear"/>
        <w:spacing w:line="360" w:lineRule="auto"/>
        <w:ind w:left="549" w:leftChars="251" w:hanging="22" w:hangingChars="9"/>
        <w:jc w:val="left"/>
        <w:rPr>
          <w:rFonts w:hint="eastAsia" w:ascii="宋体" w:hAnsi="宋体" w:eastAsia="宋体" w:cs="宋体"/>
          <w:spacing w:val="4"/>
          <w:sz w:val="24"/>
          <w:szCs w:val="24"/>
        </w:rPr>
      </w:pPr>
      <w:r>
        <w:rPr>
          <w:rFonts w:hint="eastAsia" w:ascii="宋体" w:hAnsi="宋体" w:eastAsia="宋体" w:cs="宋体"/>
          <w:spacing w:val="4"/>
          <w:sz w:val="24"/>
          <w:szCs w:val="24"/>
        </w:rPr>
        <w:t>我方承诺如下：</w:t>
      </w:r>
    </w:p>
    <w:p w14:paraId="37CCA14F">
      <w:pPr>
        <w:shd w:val="clear"/>
        <w:tabs>
          <w:tab w:val="left" w:pos="2160"/>
        </w:tabs>
        <w:spacing w:line="48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 xml:space="preserve">1）磋商总价为 </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（人民币）（用文字和数字表示的磋商总价）。</w:t>
      </w:r>
    </w:p>
    <w:p w14:paraId="079518EC">
      <w:pPr>
        <w:shd w:val="clear"/>
        <w:tabs>
          <w:tab w:val="left" w:pos="2160"/>
        </w:tabs>
        <w:spacing w:line="48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2）如果成交，我们根据竞争性磋商文件的规定，履行合同的责任和义务。</w:t>
      </w:r>
    </w:p>
    <w:p w14:paraId="161542C0">
      <w:pPr>
        <w:shd w:val="clear"/>
        <w:tabs>
          <w:tab w:val="left" w:pos="2160"/>
        </w:tabs>
        <w:spacing w:line="48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3）我们已详细阅读和审核全部竞争性磋商文件（含修改部分，如有的话），及有关附件，我们知道必须放弃提出含糊不清或误解的问题的权利。</w:t>
      </w:r>
    </w:p>
    <w:p w14:paraId="4357366E">
      <w:pPr>
        <w:shd w:val="clear"/>
        <w:tabs>
          <w:tab w:val="left" w:pos="2160"/>
        </w:tabs>
        <w:spacing w:line="48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4</w:t>
      </w:r>
      <w:r>
        <w:rPr>
          <w:rFonts w:hint="eastAsia" w:ascii="宋体" w:hAnsi="宋体" w:eastAsia="宋体" w:cs="宋体"/>
          <w:spacing w:val="4"/>
          <w:sz w:val="24"/>
          <w:szCs w:val="24"/>
        </w:rPr>
        <w:t>）如果在磋商后规定的磋商有效期内撤回磋商，我们的磋商保证金可被贵方没收。</w:t>
      </w:r>
    </w:p>
    <w:p w14:paraId="7390A371">
      <w:pPr>
        <w:shd w:val="clear"/>
        <w:tabs>
          <w:tab w:val="left" w:pos="2160"/>
        </w:tabs>
        <w:spacing w:line="48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5</w:t>
      </w:r>
      <w:r>
        <w:rPr>
          <w:rFonts w:hint="eastAsia" w:ascii="宋体" w:hAnsi="宋体" w:eastAsia="宋体" w:cs="宋体"/>
          <w:spacing w:val="4"/>
          <w:sz w:val="24"/>
          <w:szCs w:val="24"/>
        </w:rPr>
        <w:t xml:space="preserve">）同意提供贵方可能另外要求的与本磋商有关的任何证据和资料。 </w:t>
      </w:r>
    </w:p>
    <w:p w14:paraId="1C8B6F54">
      <w:pPr>
        <w:shd w:val="clear"/>
        <w:tabs>
          <w:tab w:val="left" w:pos="2160"/>
        </w:tabs>
        <w:spacing w:line="480" w:lineRule="auto"/>
        <w:ind w:firstLine="496" w:firstLineChars="200"/>
        <w:jc w:val="left"/>
        <w:rPr>
          <w:rFonts w:hint="eastAsia" w:ascii="宋体" w:hAnsi="宋体" w:eastAsia="宋体" w:cs="宋体"/>
          <w:spacing w:val="4"/>
          <w:sz w:val="24"/>
          <w:szCs w:val="24"/>
          <w:u w:val="single"/>
          <w:lang w:val="en-US" w:eastAsia="zh-CN"/>
        </w:rPr>
      </w:pPr>
      <w:r>
        <w:rPr>
          <w:rFonts w:hint="eastAsia" w:ascii="宋体" w:hAnsi="宋体" w:eastAsia="宋体" w:cs="宋体"/>
          <w:spacing w:val="4"/>
          <w:sz w:val="24"/>
          <w:szCs w:val="24"/>
          <w:lang w:val="en-US" w:eastAsia="zh-CN"/>
        </w:rPr>
        <w:t>6</w:t>
      </w:r>
      <w:r>
        <w:rPr>
          <w:rFonts w:hint="eastAsia" w:ascii="宋体" w:hAnsi="宋体" w:eastAsia="宋体" w:cs="宋体"/>
          <w:spacing w:val="4"/>
          <w:sz w:val="24"/>
          <w:szCs w:val="24"/>
        </w:rPr>
        <w:t>）</w:t>
      </w:r>
      <w:r>
        <w:rPr>
          <w:rFonts w:hint="eastAsia" w:ascii="宋体" w:hAnsi="宋体" w:eastAsia="宋体" w:cs="宋体"/>
          <w:spacing w:val="4"/>
          <w:sz w:val="24"/>
          <w:szCs w:val="24"/>
          <w:lang w:val="en-US" w:eastAsia="zh-CN"/>
        </w:rPr>
        <w:t>承诺事项：</w:t>
      </w:r>
      <w:r>
        <w:rPr>
          <w:rFonts w:hint="eastAsia" w:ascii="宋体" w:hAnsi="宋体" w:eastAsia="宋体" w:cs="宋体"/>
          <w:spacing w:val="4"/>
          <w:sz w:val="24"/>
          <w:szCs w:val="24"/>
          <w:u w:val="single"/>
          <w:lang w:val="en-US" w:eastAsia="zh-CN"/>
        </w:rPr>
        <w:t xml:space="preserve">                                     </w:t>
      </w:r>
    </w:p>
    <w:p w14:paraId="62944B5B">
      <w:pPr>
        <w:shd w:val="clear"/>
        <w:tabs>
          <w:tab w:val="left" w:pos="2160"/>
        </w:tabs>
        <w:spacing w:line="48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7</w:t>
      </w:r>
      <w:r>
        <w:rPr>
          <w:rFonts w:hint="eastAsia" w:ascii="宋体" w:hAnsi="宋体" w:eastAsia="宋体" w:cs="宋体"/>
          <w:spacing w:val="4"/>
          <w:sz w:val="24"/>
          <w:szCs w:val="24"/>
        </w:rPr>
        <w:t>）与本磋商有关的一切正式往来通讯为：</w:t>
      </w:r>
    </w:p>
    <w:p w14:paraId="3F0C5FC0">
      <w:pPr>
        <w:shd w:val="clear"/>
        <w:kinsoku w:val="0"/>
        <w:spacing w:line="500" w:lineRule="exact"/>
        <w:ind w:firstLine="840"/>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w:t>
      </w:r>
    </w:p>
    <w:p w14:paraId="029F6DDF">
      <w:pPr>
        <w:shd w:val="clear"/>
        <w:kinsoku w:val="0"/>
        <w:spacing w:line="500" w:lineRule="exact"/>
        <w:ind w:firstLine="840"/>
        <w:rPr>
          <w:rFonts w:hint="eastAsia" w:ascii="宋体" w:hAnsi="宋体" w:eastAsia="宋体" w:cs="宋体"/>
          <w:sz w:val="24"/>
          <w:u w:val="single"/>
        </w:rPr>
      </w:pPr>
      <w:r>
        <w:rPr>
          <w:rFonts w:hint="eastAsia" w:ascii="宋体" w:hAnsi="宋体" w:eastAsia="宋体" w:cs="宋体"/>
          <w:sz w:val="24"/>
        </w:rPr>
        <w:t>电    话：</w:t>
      </w:r>
      <w:r>
        <w:rPr>
          <w:rFonts w:hint="eastAsia" w:ascii="宋体" w:hAnsi="宋体" w:eastAsia="宋体" w:cs="宋体"/>
          <w:sz w:val="24"/>
          <w:u w:val="single"/>
        </w:rPr>
        <w:t xml:space="preserve">                                                     </w:t>
      </w:r>
    </w:p>
    <w:p w14:paraId="78758EA0">
      <w:pPr>
        <w:shd w:val="clear"/>
        <w:kinsoku w:val="0"/>
        <w:spacing w:line="500" w:lineRule="exact"/>
        <w:ind w:firstLine="840"/>
        <w:rPr>
          <w:rFonts w:hint="eastAsia" w:ascii="宋体" w:hAnsi="宋体" w:eastAsia="宋体" w:cs="宋体"/>
          <w:sz w:val="24"/>
          <w:u w:val="single"/>
        </w:rPr>
      </w:pPr>
      <w:r>
        <w:rPr>
          <w:rFonts w:hint="eastAsia" w:ascii="宋体" w:hAnsi="宋体" w:eastAsia="宋体" w:cs="宋体"/>
          <w:sz w:val="24"/>
        </w:rPr>
        <w:t>传    真：</w:t>
      </w:r>
      <w:r>
        <w:rPr>
          <w:rFonts w:hint="eastAsia" w:ascii="宋体" w:hAnsi="宋体" w:eastAsia="宋体" w:cs="宋体"/>
          <w:sz w:val="24"/>
          <w:u w:val="single"/>
        </w:rPr>
        <w:t xml:space="preserve">                                                     </w:t>
      </w:r>
    </w:p>
    <w:p w14:paraId="356491C5">
      <w:pPr>
        <w:shd w:val="clear"/>
        <w:kinsoku w:val="0"/>
        <w:spacing w:line="500" w:lineRule="exact"/>
        <w:ind w:firstLine="840"/>
        <w:rPr>
          <w:rFonts w:hint="eastAsia" w:ascii="宋体" w:hAnsi="宋体" w:eastAsia="宋体" w:cs="宋体"/>
          <w:sz w:val="24"/>
          <w:u w:val="single"/>
        </w:rPr>
      </w:pPr>
      <w:r>
        <w:rPr>
          <w:rFonts w:hint="eastAsia" w:ascii="宋体" w:hAnsi="宋体" w:eastAsia="宋体" w:cs="宋体"/>
          <w:sz w:val="24"/>
        </w:rPr>
        <w:t>邮    编：</w:t>
      </w:r>
      <w:r>
        <w:rPr>
          <w:rFonts w:hint="eastAsia" w:ascii="宋体" w:hAnsi="宋体" w:eastAsia="宋体" w:cs="宋体"/>
          <w:sz w:val="24"/>
          <w:u w:val="single"/>
        </w:rPr>
        <w:t xml:space="preserve">                                                     </w:t>
      </w:r>
    </w:p>
    <w:p w14:paraId="46758F27">
      <w:pPr>
        <w:shd w:val="clear"/>
        <w:kinsoku w:val="0"/>
        <w:spacing w:line="500" w:lineRule="exact"/>
        <w:ind w:firstLine="570"/>
        <w:rPr>
          <w:rFonts w:hint="eastAsia" w:ascii="宋体" w:hAnsi="宋体" w:eastAsia="宋体" w:cs="宋体"/>
          <w:sz w:val="24"/>
        </w:rPr>
      </w:pPr>
    </w:p>
    <w:p w14:paraId="35641237">
      <w:pPr>
        <w:shd w:val="clear"/>
        <w:kinsoku w:val="0"/>
        <w:spacing w:line="500" w:lineRule="exact"/>
        <w:ind w:firstLine="570"/>
        <w:rPr>
          <w:rFonts w:hint="eastAsia" w:ascii="宋体" w:hAnsi="宋体" w:eastAsia="宋体" w:cs="宋体"/>
          <w:sz w:val="24"/>
        </w:rPr>
      </w:pPr>
    </w:p>
    <w:p w14:paraId="6D4AFA84">
      <w:pPr>
        <w:shd w:val="clear"/>
        <w:kinsoku w:val="0"/>
        <w:spacing w:line="500" w:lineRule="exact"/>
        <w:ind w:firstLine="808" w:firstLineChars="337"/>
        <w:rPr>
          <w:rFonts w:hint="eastAsia" w:ascii="宋体" w:hAnsi="宋体" w:eastAsia="宋体" w:cs="宋体"/>
          <w:sz w:val="24"/>
        </w:rPr>
      </w:pPr>
      <w:r>
        <w:rPr>
          <w:rFonts w:hint="eastAsia" w:ascii="宋体" w:hAnsi="宋体" w:eastAsia="宋体" w:cs="宋体"/>
          <w:sz w:val="24"/>
        </w:rPr>
        <w:t>投标单位：全称（公章）</w:t>
      </w:r>
      <w:r>
        <w:rPr>
          <w:rFonts w:hint="eastAsia" w:ascii="宋体" w:hAnsi="宋体" w:eastAsia="宋体" w:cs="宋体"/>
          <w:sz w:val="24"/>
          <w:u w:val="single"/>
        </w:rPr>
        <w:t xml:space="preserve">                                         </w:t>
      </w:r>
    </w:p>
    <w:p w14:paraId="64CD93AA">
      <w:pPr>
        <w:shd w:val="clear"/>
        <w:kinsoku w:val="0"/>
        <w:spacing w:line="500" w:lineRule="exact"/>
        <w:ind w:firstLine="570"/>
        <w:rPr>
          <w:rFonts w:hint="eastAsia" w:ascii="宋体" w:hAnsi="宋体" w:eastAsia="宋体" w:cs="宋体"/>
          <w:sz w:val="24"/>
        </w:rPr>
      </w:pPr>
    </w:p>
    <w:p w14:paraId="40E04A1D">
      <w:pPr>
        <w:shd w:val="clear"/>
        <w:kinsoku w:val="0"/>
        <w:spacing w:line="500" w:lineRule="exact"/>
        <w:ind w:firstLine="808" w:firstLineChars="337"/>
        <w:rPr>
          <w:rFonts w:hint="eastAsia" w:ascii="宋体" w:hAnsi="宋体" w:eastAsia="宋体" w:cs="宋体"/>
          <w:sz w:val="24"/>
          <w:u w:val="single"/>
        </w:rPr>
      </w:pPr>
      <w:r>
        <w:rPr>
          <w:rFonts w:hint="eastAsia" w:ascii="宋体" w:hAnsi="宋体" w:eastAsia="宋体" w:cs="宋体"/>
          <w:sz w:val="24"/>
          <w:lang w:eastAsia="zh-CN"/>
        </w:rPr>
        <w:t>法定代表人</w:t>
      </w:r>
      <w:r>
        <w:rPr>
          <w:rFonts w:hint="eastAsia" w:ascii="宋体" w:hAnsi="宋体" w:eastAsia="宋体" w:cs="宋体"/>
          <w:sz w:val="24"/>
        </w:rPr>
        <w:t>/被授权人（签字）：</w:t>
      </w:r>
      <w:r>
        <w:rPr>
          <w:rFonts w:hint="eastAsia" w:ascii="宋体" w:hAnsi="宋体" w:eastAsia="宋体" w:cs="宋体"/>
          <w:sz w:val="24"/>
          <w:u w:val="single"/>
        </w:rPr>
        <w:t xml:space="preserve">                                   </w:t>
      </w:r>
    </w:p>
    <w:p w14:paraId="535F57CC">
      <w:pPr>
        <w:shd w:val="clear"/>
        <w:kinsoku w:val="0"/>
        <w:spacing w:line="500" w:lineRule="exact"/>
        <w:ind w:firstLine="570"/>
        <w:rPr>
          <w:rFonts w:hint="eastAsia" w:ascii="宋体" w:hAnsi="宋体" w:eastAsia="宋体" w:cs="宋体"/>
          <w:sz w:val="24"/>
        </w:rPr>
      </w:pPr>
      <w:r>
        <w:rPr>
          <w:rFonts w:hint="eastAsia" w:ascii="宋体" w:hAnsi="宋体" w:eastAsia="宋体" w:cs="宋体"/>
          <w:sz w:val="24"/>
        </w:rPr>
        <w:t xml:space="preserve">                                                年   月   日</w:t>
      </w:r>
    </w:p>
    <w:p w14:paraId="6536A21C">
      <w:pPr>
        <w:pStyle w:val="5"/>
        <w:keepNext/>
        <w:keepLines/>
        <w:pageBreakBefore w:val="0"/>
        <w:widowControl w:val="0"/>
        <w:shd w:val="clear"/>
        <w:kinsoku/>
        <w:wordWrap/>
        <w:overflowPunct/>
        <w:topLinePunct w:val="0"/>
        <w:autoSpaceDE/>
        <w:autoSpaceDN/>
        <w:bidi w:val="0"/>
        <w:adjustRightInd/>
        <w:snapToGrid/>
        <w:spacing w:before="0" w:line="416" w:lineRule="auto"/>
        <w:jc w:val="center"/>
        <w:textAlignment w:val="auto"/>
        <w:rPr>
          <w:rFonts w:hint="eastAsia" w:ascii="宋体" w:hAnsi="宋体" w:eastAsia="宋体" w:cs="宋体"/>
          <w:sz w:val="30"/>
          <w:szCs w:val="30"/>
          <w:lang w:eastAsia="zh-CN"/>
        </w:rPr>
      </w:pPr>
      <w:r>
        <w:rPr>
          <w:rFonts w:hint="eastAsia" w:ascii="宋体" w:hAnsi="宋体" w:eastAsia="宋体" w:cs="宋体"/>
        </w:rPr>
        <w:br w:type="page"/>
      </w:r>
      <w:bookmarkStart w:id="221" w:name="_Toc18764"/>
      <w:bookmarkStart w:id="222" w:name="_Toc363474028"/>
      <w:bookmarkStart w:id="223" w:name="_Toc403077649"/>
      <w:r>
        <w:rPr>
          <w:rFonts w:hint="eastAsia" w:ascii="宋体" w:hAnsi="宋体" w:eastAsia="宋体" w:cs="宋体"/>
          <w:b/>
          <w:bCs w:val="0"/>
          <w:kern w:val="2"/>
          <w:sz w:val="32"/>
          <w:szCs w:val="32"/>
          <w:lang w:val="en-US" w:eastAsia="zh-CN" w:bidi="ar-SA"/>
        </w:rPr>
        <w:t>二、 磋商报价一览表</w:t>
      </w:r>
    </w:p>
    <w:tbl>
      <w:tblPr>
        <w:tblStyle w:val="25"/>
        <w:tblW w:w="92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48"/>
        <w:gridCol w:w="6263"/>
      </w:tblGrid>
      <w:tr w14:paraId="064C4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21" w:hRule="atLeast"/>
          <w:jc w:val="center"/>
        </w:trPr>
        <w:tc>
          <w:tcPr>
            <w:tcW w:w="2948" w:type="dxa"/>
            <w:tcBorders>
              <w:top w:val="double" w:color="000000" w:sz="4" w:space="0"/>
              <w:left w:val="double" w:color="000000" w:sz="4" w:space="0"/>
              <w:bottom w:val="single" w:color="000000" w:sz="4" w:space="0"/>
              <w:right w:val="single" w:color="000000" w:sz="4" w:space="0"/>
            </w:tcBorders>
            <w:vAlign w:val="center"/>
          </w:tcPr>
          <w:p w14:paraId="12E8E4E9">
            <w:pPr>
              <w:shd w:val="clea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项目名称</w:t>
            </w:r>
          </w:p>
        </w:tc>
        <w:tc>
          <w:tcPr>
            <w:tcW w:w="6263" w:type="dxa"/>
            <w:tcBorders>
              <w:top w:val="double" w:color="000000" w:sz="4" w:space="0"/>
              <w:left w:val="single" w:color="000000" w:sz="4" w:space="0"/>
              <w:bottom w:val="single" w:color="000000" w:sz="4" w:space="0"/>
              <w:right w:val="double" w:color="000000" w:sz="4" w:space="0"/>
            </w:tcBorders>
            <w:vAlign w:val="center"/>
          </w:tcPr>
          <w:p w14:paraId="1F52917D">
            <w:pPr>
              <w:shd w:val="clea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p>
        </w:tc>
      </w:tr>
      <w:tr w14:paraId="25C68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4" w:hRule="atLeast"/>
          <w:jc w:val="center"/>
        </w:trPr>
        <w:tc>
          <w:tcPr>
            <w:tcW w:w="2948" w:type="dxa"/>
            <w:tcBorders>
              <w:top w:val="single" w:color="000000" w:sz="4" w:space="0"/>
              <w:left w:val="double" w:color="000000" w:sz="4" w:space="0"/>
              <w:bottom w:val="single" w:color="000000" w:sz="4" w:space="0"/>
              <w:right w:val="single" w:color="000000" w:sz="4" w:space="0"/>
            </w:tcBorders>
            <w:vAlign w:val="center"/>
          </w:tcPr>
          <w:p w14:paraId="56052043">
            <w:pPr>
              <w:shd w:val="clea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eastAsia="zh-CN"/>
              </w:rPr>
              <w:t>项目编号</w:t>
            </w:r>
          </w:p>
        </w:tc>
        <w:tc>
          <w:tcPr>
            <w:tcW w:w="6263" w:type="dxa"/>
            <w:tcBorders>
              <w:top w:val="single" w:color="000000" w:sz="4" w:space="0"/>
              <w:left w:val="single" w:color="000000" w:sz="4" w:space="0"/>
              <w:bottom w:val="single" w:color="000000" w:sz="4" w:space="0"/>
              <w:right w:val="double" w:color="000000" w:sz="4" w:space="0"/>
            </w:tcBorders>
            <w:vAlign w:val="center"/>
          </w:tcPr>
          <w:p w14:paraId="06807924">
            <w:pPr>
              <w:widowControl/>
              <w:shd w:val="clear"/>
              <w:spacing w:line="360" w:lineRule="auto"/>
              <w:jc w:val="center"/>
              <w:rPr>
                <w:rFonts w:hint="eastAsia" w:ascii="宋体" w:hAnsi="宋体" w:eastAsia="宋体" w:cs="宋体"/>
                <w:b/>
                <w:bCs/>
                <w:kern w:val="0"/>
                <w:sz w:val="24"/>
                <w:szCs w:val="24"/>
                <w:lang w:eastAsia="zh-CN"/>
              </w:rPr>
            </w:pPr>
          </w:p>
        </w:tc>
      </w:tr>
      <w:tr w14:paraId="20467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4" w:hRule="atLeast"/>
          <w:jc w:val="center"/>
        </w:trPr>
        <w:tc>
          <w:tcPr>
            <w:tcW w:w="2948" w:type="dxa"/>
            <w:tcBorders>
              <w:top w:val="single" w:color="000000" w:sz="4" w:space="0"/>
              <w:left w:val="double" w:color="000000" w:sz="4" w:space="0"/>
              <w:bottom w:val="single" w:color="000000" w:sz="4" w:space="0"/>
              <w:right w:val="single" w:color="000000" w:sz="4" w:space="0"/>
            </w:tcBorders>
            <w:vAlign w:val="center"/>
          </w:tcPr>
          <w:p w14:paraId="3439D6C6">
            <w:pPr>
              <w:shd w:val="clea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供 应 商</w:t>
            </w:r>
          </w:p>
          <w:p w14:paraId="6A4870E3">
            <w:pPr>
              <w:shd w:val="clea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（公司名称）</w:t>
            </w:r>
          </w:p>
        </w:tc>
        <w:tc>
          <w:tcPr>
            <w:tcW w:w="6263" w:type="dxa"/>
            <w:tcBorders>
              <w:top w:val="single" w:color="000000" w:sz="4" w:space="0"/>
              <w:left w:val="single" w:color="000000" w:sz="4" w:space="0"/>
              <w:bottom w:val="single" w:color="000000" w:sz="4" w:space="0"/>
              <w:right w:val="double" w:color="000000" w:sz="4" w:space="0"/>
            </w:tcBorders>
            <w:vAlign w:val="center"/>
          </w:tcPr>
          <w:p w14:paraId="268484C5">
            <w:pPr>
              <w:shd w:val="clear"/>
              <w:spacing w:line="360" w:lineRule="auto"/>
              <w:rPr>
                <w:rFonts w:hint="eastAsia" w:ascii="宋体" w:hAnsi="宋体" w:eastAsia="宋体" w:cs="宋体"/>
                <w:sz w:val="24"/>
                <w:szCs w:val="24"/>
              </w:rPr>
            </w:pPr>
          </w:p>
        </w:tc>
      </w:tr>
      <w:tr w14:paraId="493D1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89" w:hRule="atLeast"/>
          <w:jc w:val="center"/>
        </w:trPr>
        <w:tc>
          <w:tcPr>
            <w:tcW w:w="2948" w:type="dxa"/>
            <w:tcBorders>
              <w:top w:val="single" w:color="000000" w:sz="4" w:space="0"/>
              <w:left w:val="double" w:color="000000" w:sz="4" w:space="0"/>
              <w:bottom w:val="single" w:color="000000" w:sz="4" w:space="0"/>
              <w:right w:val="single" w:color="000000" w:sz="4" w:space="0"/>
            </w:tcBorders>
            <w:vAlign w:val="center"/>
          </w:tcPr>
          <w:p w14:paraId="55F31BCC">
            <w:pPr>
              <w:shd w:val="clea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eastAsia="zh-CN"/>
              </w:rPr>
              <w:t>磋商</w:t>
            </w:r>
            <w:r>
              <w:rPr>
                <w:rFonts w:hint="eastAsia" w:ascii="宋体" w:hAnsi="宋体" w:eastAsia="宋体" w:cs="宋体"/>
                <w:b/>
                <w:bCs/>
                <w:sz w:val="24"/>
                <w:szCs w:val="24"/>
              </w:rPr>
              <w:t>报价</w:t>
            </w:r>
          </w:p>
          <w:p w14:paraId="6385D762">
            <w:pPr>
              <w:shd w:val="clea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（人民币）</w:t>
            </w:r>
          </w:p>
        </w:tc>
        <w:tc>
          <w:tcPr>
            <w:tcW w:w="6263" w:type="dxa"/>
            <w:tcBorders>
              <w:top w:val="single" w:color="000000" w:sz="4" w:space="0"/>
              <w:left w:val="single" w:color="000000" w:sz="4" w:space="0"/>
              <w:bottom w:val="single" w:color="000000" w:sz="4" w:space="0"/>
              <w:right w:val="double" w:color="000000" w:sz="4" w:space="0"/>
            </w:tcBorders>
            <w:vAlign w:val="center"/>
          </w:tcPr>
          <w:p w14:paraId="2F06B35A">
            <w:pPr>
              <w:shd w:val="clear"/>
              <w:spacing w:line="360" w:lineRule="auto"/>
              <w:rPr>
                <w:rFonts w:hint="eastAsia" w:ascii="宋体" w:hAnsi="宋体" w:eastAsia="宋体" w:cs="宋体"/>
                <w:b/>
                <w:bCs/>
                <w:sz w:val="24"/>
                <w:szCs w:val="24"/>
              </w:rPr>
            </w:pPr>
            <w:r>
              <w:rPr>
                <w:rFonts w:hint="eastAsia" w:ascii="宋体" w:hAnsi="宋体" w:eastAsia="宋体" w:cs="宋体"/>
                <w:b/>
                <w:bCs/>
                <w:sz w:val="24"/>
                <w:szCs w:val="24"/>
              </w:rPr>
              <w:t>小写金额：</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w:t>
            </w:r>
          </w:p>
          <w:p w14:paraId="222EFC93">
            <w:pPr>
              <w:shd w:val="clear"/>
              <w:spacing w:line="360" w:lineRule="auto"/>
              <w:rPr>
                <w:rFonts w:hint="eastAsia" w:ascii="宋体" w:hAnsi="宋体" w:eastAsia="宋体" w:cs="宋体"/>
                <w:b/>
                <w:bCs/>
                <w:sz w:val="24"/>
                <w:szCs w:val="24"/>
              </w:rPr>
            </w:pPr>
          </w:p>
          <w:p w14:paraId="0E3660B8">
            <w:pPr>
              <w:shd w:val="clear"/>
              <w:spacing w:line="360" w:lineRule="auto"/>
              <w:rPr>
                <w:rFonts w:hint="eastAsia" w:ascii="宋体" w:hAnsi="宋体" w:eastAsia="宋体" w:cs="宋体"/>
                <w:sz w:val="24"/>
                <w:szCs w:val="24"/>
              </w:rPr>
            </w:pPr>
            <w:r>
              <w:rPr>
                <w:rFonts w:hint="eastAsia" w:ascii="宋体" w:hAnsi="宋体" w:eastAsia="宋体" w:cs="宋体"/>
                <w:b/>
                <w:bCs/>
                <w:sz w:val="24"/>
                <w:szCs w:val="24"/>
              </w:rPr>
              <w:t>大写金额：</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p>
        </w:tc>
      </w:tr>
      <w:tr w14:paraId="06AA6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2948" w:type="dxa"/>
            <w:tcBorders>
              <w:top w:val="single" w:color="000000" w:sz="4" w:space="0"/>
              <w:left w:val="double" w:color="000000" w:sz="4" w:space="0"/>
              <w:bottom w:val="single" w:color="000000" w:sz="4" w:space="0"/>
              <w:right w:val="single" w:color="000000" w:sz="4" w:space="0"/>
            </w:tcBorders>
            <w:vAlign w:val="center"/>
          </w:tcPr>
          <w:p w14:paraId="227F5928">
            <w:pPr>
              <w:shd w:val="clear"/>
              <w:spacing w:line="360" w:lineRule="auto"/>
              <w:jc w:val="center"/>
              <w:rPr>
                <w:rFonts w:hint="eastAsia" w:ascii="宋体" w:hAnsi="宋体" w:eastAsia="宋体" w:cs="宋体"/>
                <w:b/>
                <w:bCs/>
                <w:sz w:val="24"/>
                <w:szCs w:val="24"/>
              </w:rPr>
            </w:pPr>
            <w:r>
              <w:rPr>
                <w:rFonts w:hint="eastAsia" w:ascii="宋体" w:hAnsi="宋体" w:eastAsia="宋体" w:cs="宋体"/>
                <w:b/>
                <w:bCs/>
                <w:sz w:val="24"/>
                <w:lang w:val="en-US" w:eastAsia="zh-CN"/>
              </w:rPr>
              <w:t>服务期</w:t>
            </w:r>
          </w:p>
        </w:tc>
        <w:tc>
          <w:tcPr>
            <w:tcW w:w="6263" w:type="dxa"/>
            <w:tcBorders>
              <w:top w:val="single" w:color="000000" w:sz="4" w:space="0"/>
              <w:left w:val="single" w:color="000000" w:sz="4" w:space="0"/>
              <w:bottom w:val="single" w:color="000000" w:sz="4" w:space="0"/>
              <w:right w:val="double" w:color="000000" w:sz="4" w:space="0"/>
            </w:tcBorders>
            <w:vAlign w:val="center"/>
          </w:tcPr>
          <w:p w14:paraId="7A438FE1">
            <w:pPr>
              <w:shd w:val="clear"/>
              <w:spacing w:line="360" w:lineRule="auto"/>
              <w:rPr>
                <w:rFonts w:hint="eastAsia" w:ascii="宋体" w:hAnsi="宋体" w:eastAsia="宋体" w:cs="宋体"/>
                <w:sz w:val="24"/>
                <w:szCs w:val="24"/>
              </w:rPr>
            </w:pPr>
          </w:p>
        </w:tc>
      </w:tr>
      <w:tr w14:paraId="226F0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96" w:hRule="atLeast"/>
          <w:jc w:val="center"/>
        </w:trPr>
        <w:tc>
          <w:tcPr>
            <w:tcW w:w="2948" w:type="dxa"/>
            <w:tcBorders>
              <w:top w:val="single" w:color="000000" w:sz="4" w:space="0"/>
              <w:left w:val="double" w:color="000000" w:sz="4" w:space="0"/>
              <w:bottom w:val="double" w:color="000000" w:sz="4" w:space="0"/>
              <w:right w:val="single" w:color="000000" w:sz="4" w:space="0"/>
            </w:tcBorders>
            <w:vAlign w:val="center"/>
          </w:tcPr>
          <w:p w14:paraId="3AAD5634">
            <w:pPr>
              <w:shd w:val="clear"/>
              <w:spacing w:line="360" w:lineRule="auto"/>
              <w:jc w:val="center"/>
              <w:rPr>
                <w:rFonts w:hint="eastAsia" w:ascii="宋体" w:hAnsi="宋体" w:eastAsia="宋体" w:cs="宋体"/>
                <w:b/>
                <w:bCs/>
                <w:sz w:val="24"/>
              </w:rPr>
            </w:pPr>
            <w:r>
              <w:rPr>
                <w:rFonts w:hint="eastAsia" w:ascii="宋体" w:hAnsi="宋体" w:eastAsia="宋体" w:cs="宋体"/>
                <w:b/>
                <w:bCs/>
                <w:sz w:val="24"/>
              </w:rPr>
              <w:t>投标声明</w:t>
            </w:r>
          </w:p>
        </w:tc>
        <w:tc>
          <w:tcPr>
            <w:tcW w:w="6263" w:type="dxa"/>
            <w:tcBorders>
              <w:top w:val="single" w:color="000000" w:sz="4" w:space="0"/>
              <w:left w:val="single" w:color="000000" w:sz="4" w:space="0"/>
              <w:bottom w:val="double" w:color="000000" w:sz="4" w:space="0"/>
              <w:right w:val="double" w:color="000000" w:sz="4" w:space="0"/>
            </w:tcBorders>
            <w:vAlign w:val="center"/>
          </w:tcPr>
          <w:p w14:paraId="1F39AE85">
            <w:pPr>
              <w:shd w:val="clear"/>
              <w:spacing w:line="360" w:lineRule="auto"/>
              <w:rPr>
                <w:rFonts w:hint="eastAsia" w:ascii="宋体" w:hAnsi="宋体" w:eastAsia="宋体" w:cs="宋体"/>
                <w:sz w:val="24"/>
                <w:szCs w:val="24"/>
              </w:rPr>
            </w:pPr>
          </w:p>
        </w:tc>
      </w:tr>
    </w:tbl>
    <w:p w14:paraId="3DB47F2E">
      <w:pPr>
        <w:shd w:val="clear"/>
        <w:spacing w:line="120" w:lineRule="exact"/>
        <w:rPr>
          <w:rFonts w:hint="eastAsia" w:ascii="宋体" w:hAnsi="宋体" w:eastAsia="宋体" w:cs="宋体"/>
          <w:sz w:val="24"/>
          <w:szCs w:val="24"/>
        </w:rPr>
      </w:pPr>
    </w:p>
    <w:p w14:paraId="35FAEDFB">
      <w:pPr>
        <w:shd w:val="clear"/>
        <w:spacing w:line="480" w:lineRule="auto"/>
        <w:ind w:right="540" w:rightChars="257"/>
        <w:jc w:val="left"/>
        <w:rPr>
          <w:rFonts w:hint="eastAsia" w:ascii="宋体" w:hAnsi="宋体" w:eastAsia="宋体" w:cs="宋体"/>
        </w:rPr>
      </w:pPr>
    </w:p>
    <w:p w14:paraId="03CD2ECC">
      <w:pPr>
        <w:shd w:val="clear"/>
        <w:spacing w:line="480" w:lineRule="auto"/>
        <w:ind w:right="540" w:rightChars="257"/>
        <w:jc w:val="left"/>
        <w:rPr>
          <w:rFonts w:hint="eastAsia" w:ascii="宋体" w:hAnsi="宋体" w:eastAsia="宋体" w:cs="宋体"/>
        </w:rPr>
      </w:pPr>
    </w:p>
    <w:p w14:paraId="55C3DAA9">
      <w:pPr>
        <w:shd w:val="clear"/>
        <w:spacing w:line="480" w:lineRule="auto"/>
        <w:ind w:right="540" w:rightChars="257"/>
        <w:jc w:val="left"/>
        <w:rPr>
          <w:rFonts w:hint="eastAsia" w:ascii="宋体" w:hAnsi="宋体" w:eastAsia="宋体" w:cs="宋体"/>
        </w:rPr>
      </w:pPr>
    </w:p>
    <w:p w14:paraId="3FC1D321">
      <w:pPr>
        <w:shd w:val="clear"/>
        <w:spacing w:line="360" w:lineRule="auto"/>
        <w:ind w:right="-161" w:firstLine="2640" w:firstLineChars="1100"/>
        <w:rPr>
          <w:rFonts w:hint="eastAsia" w:ascii="宋体" w:hAnsi="宋体" w:eastAsia="宋体" w:cs="宋体"/>
          <w:sz w:val="24"/>
          <w:szCs w:val="24"/>
        </w:rPr>
      </w:pPr>
    </w:p>
    <w:p w14:paraId="6DC28F9A">
      <w:pPr>
        <w:pStyle w:val="9"/>
        <w:shd w:val="clear"/>
        <w:rPr>
          <w:rFonts w:hint="eastAsia" w:ascii="宋体" w:hAnsi="宋体" w:eastAsia="宋体" w:cs="宋体"/>
        </w:rPr>
      </w:pPr>
    </w:p>
    <w:p w14:paraId="094F50A0">
      <w:pPr>
        <w:shd w:val="clear"/>
        <w:spacing w:line="360" w:lineRule="auto"/>
        <w:ind w:right="-161" w:firstLine="2640" w:firstLineChars="1100"/>
        <w:rPr>
          <w:rFonts w:hint="eastAsia" w:ascii="宋体" w:hAnsi="宋体" w:eastAsia="宋体" w:cs="宋体"/>
          <w:sz w:val="24"/>
          <w:szCs w:val="24"/>
        </w:rPr>
      </w:pPr>
    </w:p>
    <w:p w14:paraId="27CD61CC">
      <w:pPr>
        <w:shd w:val="clear"/>
        <w:spacing w:line="480" w:lineRule="auto"/>
        <w:ind w:right="-161" w:firstLine="2640" w:firstLineChars="1100"/>
        <w:rPr>
          <w:rFonts w:hint="eastAsia" w:ascii="宋体" w:hAnsi="宋体" w:eastAsia="宋体" w:cs="宋体"/>
          <w:sz w:val="24"/>
          <w:szCs w:val="24"/>
          <w:u w:val="single"/>
        </w:rPr>
      </w:pPr>
      <w:r>
        <w:rPr>
          <w:rFonts w:hint="eastAsia" w:ascii="宋体" w:hAnsi="宋体" w:eastAsia="宋体" w:cs="宋体"/>
          <w:sz w:val="24"/>
          <w:szCs w:val="24"/>
        </w:rPr>
        <w:t>法人代表或被授权代表签字：</w:t>
      </w:r>
      <w:r>
        <w:rPr>
          <w:rFonts w:hint="eastAsia" w:ascii="宋体" w:hAnsi="宋体" w:eastAsia="宋体" w:cs="宋体"/>
          <w:sz w:val="24"/>
          <w:szCs w:val="24"/>
          <w:u w:val="single"/>
        </w:rPr>
        <w:t xml:space="preserve">                      </w:t>
      </w:r>
    </w:p>
    <w:p w14:paraId="15198FE0">
      <w:pPr>
        <w:shd w:val="clear"/>
        <w:spacing w:line="480" w:lineRule="auto"/>
        <w:ind w:right="-161" w:firstLine="2640" w:firstLineChars="1100"/>
        <w:rPr>
          <w:rFonts w:hint="eastAsia" w:ascii="宋体" w:hAnsi="宋体" w:eastAsia="宋体" w:cs="宋体"/>
          <w:sz w:val="24"/>
          <w:szCs w:val="24"/>
          <w:u w:val="single"/>
        </w:rPr>
      </w:pPr>
      <w:r>
        <w:rPr>
          <w:rFonts w:hint="eastAsia" w:ascii="宋体" w:hAnsi="宋体" w:eastAsia="宋体" w:cs="宋体"/>
          <w:sz w:val="24"/>
          <w:szCs w:val="24"/>
        </w:rPr>
        <w:t>投   标   人  公  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483DEAE6">
      <w:pPr>
        <w:shd w:val="clear"/>
        <w:spacing w:line="480" w:lineRule="auto"/>
        <w:ind w:right="-161" w:firstLine="2640" w:firstLineChars="1100"/>
        <w:rPr>
          <w:rFonts w:hint="eastAsia"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05E8BE46">
      <w:pPr>
        <w:shd w:val="clear"/>
        <w:snapToGrid w:val="0"/>
        <w:spacing w:line="360" w:lineRule="auto"/>
        <w:jc w:val="both"/>
        <w:rPr>
          <w:rFonts w:hint="eastAsia" w:ascii="宋体" w:hAnsi="宋体" w:eastAsia="宋体" w:cs="宋体"/>
          <w:b/>
          <w:sz w:val="32"/>
          <w:szCs w:val="32"/>
        </w:rPr>
      </w:pPr>
    </w:p>
    <w:p w14:paraId="74032C33">
      <w:pPr>
        <w:shd w:val="clear"/>
        <w:snapToGrid w:val="0"/>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分项报价表（格式自定）</w:t>
      </w:r>
    </w:p>
    <w:p w14:paraId="3EF19FF2">
      <w:pPr>
        <w:shd w:val="clear"/>
        <w:jc w:val="center"/>
        <w:rPr>
          <w:rFonts w:hint="eastAsia" w:ascii="宋体" w:hAnsi="宋体" w:eastAsia="宋体" w:cs="宋体"/>
        </w:rPr>
      </w:pPr>
    </w:p>
    <w:p w14:paraId="7E479023">
      <w:pPr>
        <w:shd w:val="clear"/>
        <w:spacing w:line="360" w:lineRule="auto"/>
        <w:rPr>
          <w:rFonts w:hint="eastAsia" w:ascii="宋体" w:hAnsi="宋体" w:eastAsia="宋体" w:cs="宋体"/>
          <w:sz w:val="24"/>
          <w:szCs w:val="24"/>
          <w:u w:val="single"/>
        </w:rPr>
      </w:pPr>
      <w:bookmarkStart w:id="224" w:name="OLE_LINK6"/>
      <w:bookmarkStart w:id="225" w:name="OLE_LINK5"/>
      <w:r>
        <w:rPr>
          <w:rFonts w:hint="eastAsia" w:ascii="宋体" w:hAnsi="宋体" w:eastAsia="宋体" w:cs="宋体"/>
          <w:sz w:val="24"/>
          <w:szCs w:val="24"/>
          <w:lang w:eastAsia="zh-CN"/>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eastAsia="zh-CN"/>
        </w:rPr>
        <w:t>项目编号</w:t>
      </w:r>
      <w:r>
        <w:rPr>
          <w:rFonts w:hint="eastAsia" w:ascii="宋体" w:hAnsi="宋体" w:eastAsia="宋体" w:cs="宋体"/>
          <w:sz w:val="24"/>
          <w:szCs w:val="24"/>
        </w:rPr>
        <w:t>：</w:t>
      </w:r>
      <w:r>
        <w:rPr>
          <w:rFonts w:hint="eastAsia" w:ascii="宋体" w:hAnsi="宋体" w:eastAsia="宋体" w:cs="宋体"/>
          <w:sz w:val="24"/>
          <w:szCs w:val="24"/>
          <w:u w:val="single"/>
        </w:rPr>
        <w:t xml:space="preserve">       </w:t>
      </w:r>
      <w:bookmarkEnd w:id="224"/>
      <w:bookmarkEnd w:id="225"/>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6ACCA7CE">
      <w:pPr>
        <w:shd w:val="clear"/>
        <w:spacing w:line="360" w:lineRule="auto"/>
        <w:rPr>
          <w:rFonts w:hint="eastAsia" w:ascii="宋体" w:hAnsi="宋体" w:eastAsia="宋体" w:cs="宋体"/>
          <w:sz w:val="24"/>
          <w:szCs w:val="24"/>
        </w:rPr>
      </w:pPr>
    </w:p>
    <w:p w14:paraId="06BD9CBB">
      <w:pPr>
        <w:pStyle w:val="9"/>
        <w:shd w:val="clear"/>
        <w:rPr>
          <w:rFonts w:hint="eastAsia" w:ascii="宋体" w:hAnsi="宋体" w:eastAsia="宋体" w:cs="宋体"/>
          <w:sz w:val="24"/>
        </w:rPr>
      </w:pPr>
    </w:p>
    <w:p w14:paraId="1F3D0C0B">
      <w:pPr>
        <w:shd w:val="clear"/>
        <w:rPr>
          <w:rFonts w:hint="eastAsia" w:ascii="宋体" w:hAnsi="宋体" w:eastAsia="宋体" w:cs="宋体"/>
          <w:sz w:val="24"/>
          <w:szCs w:val="24"/>
        </w:rPr>
      </w:pPr>
    </w:p>
    <w:p w14:paraId="5A3516AB">
      <w:pPr>
        <w:pStyle w:val="9"/>
        <w:shd w:val="clear"/>
        <w:rPr>
          <w:rFonts w:hint="eastAsia" w:ascii="宋体" w:hAnsi="宋体" w:eastAsia="宋体" w:cs="宋体"/>
          <w:sz w:val="24"/>
        </w:rPr>
      </w:pPr>
    </w:p>
    <w:p w14:paraId="4E116ED1">
      <w:pPr>
        <w:shd w:val="clear"/>
        <w:rPr>
          <w:rFonts w:hint="eastAsia" w:ascii="宋体" w:hAnsi="宋体" w:eastAsia="宋体" w:cs="宋体"/>
          <w:sz w:val="24"/>
          <w:szCs w:val="24"/>
        </w:rPr>
      </w:pPr>
    </w:p>
    <w:p w14:paraId="7B4F83A6">
      <w:pPr>
        <w:pStyle w:val="9"/>
        <w:shd w:val="clear"/>
        <w:rPr>
          <w:rFonts w:hint="eastAsia" w:ascii="宋体" w:hAnsi="宋体" w:eastAsia="宋体" w:cs="宋体"/>
          <w:sz w:val="24"/>
        </w:rPr>
      </w:pPr>
    </w:p>
    <w:p w14:paraId="6064BE72">
      <w:pPr>
        <w:shd w:val="clear"/>
        <w:rPr>
          <w:rFonts w:hint="eastAsia" w:ascii="宋体" w:hAnsi="宋体" w:eastAsia="宋体" w:cs="宋体"/>
          <w:sz w:val="24"/>
          <w:szCs w:val="24"/>
        </w:rPr>
      </w:pPr>
    </w:p>
    <w:p w14:paraId="01DA6990">
      <w:pPr>
        <w:pStyle w:val="9"/>
        <w:shd w:val="clear"/>
        <w:rPr>
          <w:rFonts w:hint="eastAsia" w:ascii="宋体" w:hAnsi="宋体" w:eastAsia="宋体" w:cs="宋体"/>
          <w:sz w:val="24"/>
        </w:rPr>
      </w:pPr>
    </w:p>
    <w:p w14:paraId="53779BD5">
      <w:pPr>
        <w:shd w:val="clear"/>
        <w:rPr>
          <w:rFonts w:hint="eastAsia" w:ascii="宋体" w:hAnsi="宋体" w:eastAsia="宋体" w:cs="宋体"/>
          <w:sz w:val="24"/>
          <w:szCs w:val="24"/>
        </w:rPr>
      </w:pPr>
    </w:p>
    <w:p w14:paraId="3FB0ED17">
      <w:pPr>
        <w:pStyle w:val="9"/>
        <w:shd w:val="clear"/>
        <w:rPr>
          <w:rFonts w:hint="eastAsia" w:ascii="宋体" w:hAnsi="宋体" w:eastAsia="宋体" w:cs="宋体"/>
          <w:sz w:val="24"/>
        </w:rPr>
      </w:pPr>
    </w:p>
    <w:p w14:paraId="7BF161AD">
      <w:pPr>
        <w:shd w:val="clear"/>
        <w:rPr>
          <w:rFonts w:hint="eastAsia" w:ascii="宋体" w:hAnsi="宋体" w:eastAsia="宋体" w:cs="宋体"/>
          <w:sz w:val="24"/>
        </w:rPr>
      </w:pPr>
    </w:p>
    <w:p w14:paraId="06FDA44E">
      <w:pPr>
        <w:pStyle w:val="9"/>
        <w:shd w:val="clear"/>
        <w:rPr>
          <w:rFonts w:hint="eastAsia" w:ascii="宋体" w:hAnsi="宋体" w:eastAsia="宋体" w:cs="宋体"/>
        </w:rPr>
      </w:pPr>
    </w:p>
    <w:p w14:paraId="408747FB">
      <w:pPr>
        <w:shd w:val="clear"/>
        <w:rPr>
          <w:rFonts w:hint="eastAsia" w:ascii="宋体" w:hAnsi="宋体" w:eastAsia="宋体" w:cs="宋体"/>
          <w:sz w:val="24"/>
          <w:szCs w:val="24"/>
        </w:rPr>
      </w:pPr>
    </w:p>
    <w:p w14:paraId="4E79BBA7">
      <w:pPr>
        <w:pStyle w:val="15"/>
        <w:shd w:val="clear"/>
        <w:rPr>
          <w:rFonts w:hint="eastAsia" w:ascii="宋体" w:hAnsi="宋体" w:eastAsia="宋体" w:cs="宋体"/>
          <w:sz w:val="24"/>
          <w:szCs w:val="24"/>
        </w:rPr>
      </w:pPr>
    </w:p>
    <w:p w14:paraId="7A0B586E">
      <w:pPr>
        <w:pStyle w:val="15"/>
        <w:shd w:val="clear"/>
        <w:rPr>
          <w:rFonts w:hint="eastAsia" w:ascii="宋体" w:hAnsi="宋体" w:eastAsia="宋体" w:cs="宋体"/>
          <w:sz w:val="24"/>
          <w:szCs w:val="24"/>
        </w:rPr>
      </w:pPr>
    </w:p>
    <w:p w14:paraId="1AEF202F">
      <w:pPr>
        <w:pStyle w:val="9"/>
        <w:shd w:val="clear"/>
        <w:rPr>
          <w:rFonts w:hint="eastAsia" w:ascii="宋体" w:hAnsi="宋体" w:eastAsia="宋体" w:cs="宋体"/>
          <w:sz w:val="24"/>
        </w:rPr>
      </w:pPr>
    </w:p>
    <w:p w14:paraId="56C53D1A">
      <w:pPr>
        <w:shd w:val="clear"/>
        <w:rPr>
          <w:rFonts w:hint="eastAsia" w:ascii="宋体" w:hAnsi="宋体" w:eastAsia="宋体" w:cs="宋体"/>
          <w:sz w:val="24"/>
          <w:szCs w:val="24"/>
        </w:rPr>
      </w:pPr>
    </w:p>
    <w:p w14:paraId="368FB3C6">
      <w:pPr>
        <w:pStyle w:val="9"/>
        <w:shd w:val="clear"/>
        <w:rPr>
          <w:rFonts w:hint="eastAsia" w:ascii="宋体" w:hAnsi="宋体" w:eastAsia="宋体" w:cs="宋体"/>
          <w:sz w:val="24"/>
        </w:rPr>
      </w:pPr>
    </w:p>
    <w:p w14:paraId="2F9C6314">
      <w:pPr>
        <w:shd w:val="clear"/>
        <w:spacing w:line="360" w:lineRule="auto"/>
        <w:rPr>
          <w:rFonts w:hint="eastAsia" w:ascii="宋体" w:hAnsi="宋体" w:eastAsia="宋体" w:cs="宋体"/>
          <w:sz w:val="24"/>
          <w:szCs w:val="24"/>
        </w:rPr>
      </w:pPr>
      <w:r>
        <w:rPr>
          <w:rFonts w:hint="eastAsia" w:ascii="宋体" w:hAnsi="宋体" w:eastAsia="宋体" w:cs="宋体"/>
          <w:sz w:val="24"/>
          <w:szCs w:val="24"/>
        </w:rPr>
        <w:t>注：1.如果按单价计算的结果与总价不一致，以单价为准修正总价。</w:t>
      </w:r>
    </w:p>
    <w:p w14:paraId="6B59E085">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2.如果不提供详细分项报价将视为没有实质性响应磋商文件。</w:t>
      </w:r>
    </w:p>
    <w:p w14:paraId="0C33B3FA">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3.分项报价的汇总价等于“</w:t>
      </w:r>
      <w:r>
        <w:rPr>
          <w:rFonts w:hint="eastAsia" w:ascii="宋体" w:hAnsi="宋体" w:eastAsia="宋体" w:cs="宋体"/>
          <w:sz w:val="24"/>
          <w:szCs w:val="24"/>
          <w:lang w:eastAsia="zh-CN"/>
        </w:rPr>
        <w:t>磋商报价一览表</w:t>
      </w:r>
      <w:r>
        <w:rPr>
          <w:rFonts w:hint="eastAsia" w:ascii="宋体" w:hAnsi="宋体" w:eastAsia="宋体" w:cs="宋体"/>
          <w:sz w:val="24"/>
          <w:szCs w:val="24"/>
        </w:rPr>
        <w:t>”中的投标总价。</w:t>
      </w:r>
    </w:p>
    <w:p w14:paraId="2E017D75">
      <w:pPr>
        <w:shd w:val="clear"/>
        <w:rPr>
          <w:rFonts w:hint="eastAsia" w:ascii="宋体" w:hAnsi="宋体" w:eastAsia="宋体" w:cs="宋体"/>
          <w:sz w:val="24"/>
          <w:szCs w:val="24"/>
        </w:rPr>
      </w:pPr>
    </w:p>
    <w:p w14:paraId="108B64F0">
      <w:pPr>
        <w:pStyle w:val="9"/>
        <w:shd w:val="clear"/>
        <w:rPr>
          <w:rFonts w:hint="eastAsia" w:ascii="宋体" w:hAnsi="宋体" w:eastAsia="宋体" w:cs="宋体"/>
          <w:sz w:val="24"/>
        </w:rPr>
      </w:pPr>
    </w:p>
    <w:p w14:paraId="33F9FCEF">
      <w:pPr>
        <w:shd w:val="clear"/>
        <w:rPr>
          <w:rFonts w:hint="eastAsia" w:ascii="宋体" w:hAnsi="宋体" w:eastAsia="宋体" w:cs="宋体"/>
          <w:sz w:val="24"/>
          <w:szCs w:val="24"/>
        </w:rPr>
      </w:pPr>
    </w:p>
    <w:p w14:paraId="6B02C631">
      <w:pPr>
        <w:pStyle w:val="9"/>
        <w:shd w:val="clear"/>
        <w:rPr>
          <w:rFonts w:hint="eastAsia" w:ascii="宋体" w:hAnsi="宋体" w:eastAsia="宋体" w:cs="宋体"/>
        </w:rPr>
      </w:pPr>
    </w:p>
    <w:p w14:paraId="6C12FD32">
      <w:pPr>
        <w:shd w:val="clear"/>
        <w:rPr>
          <w:rFonts w:hint="eastAsia" w:ascii="宋体" w:hAnsi="宋体" w:eastAsia="宋体" w:cs="宋体"/>
        </w:rPr>
      </w:pPr>
    </w:p>
    <w:p w14:paraId="306DD336">
      <w:pPr>
        <w:shd w:val="clear"/>
        <w:spacing w:line="480" w:lineRule="auto"/>
        <w:ind w:right="-161" w:firstLine="2640" w:firstLineChars="1100"/>
        <w:rPr>
          <w:rFonts w:hint="eastAsia" w:ascii="宋体" w:hAnsi="宋体" w:eastAsia="宋体" w:cs="宋体"/>
          <w:sz w:val="24"/>
          <w:szCs w:val="24"/>
          <w:u w:val="single"/>
        </w:rPr>
      </w:pPr>
      <w:r>
        <w:rPr>
          <w:rFonts w:hint="eastAsia" w:ascii="宋体" w:hAnsi="宋体" w:eastAsia="宋体" w:cs="宋体"/>
          <w:sz w:val="24"/>
          <w:szCs w:val="24"/>
        </w:rPr>
        <w:t>法人代表或被授权代表签字：</w:t>
      </w:r>
      <w:r>
        <w:rPr>
          <w:rFonts w:hint="eastAsia" w:ascii="宋体" w:hAnsi="宋体" w:eastAsia="宋体" w:cs="宋体"/>
          <w:sz w:val="24"/>
          <w:szCs w:val="24"/>
          <w:u w:val="single"/>
        </w:rPr>
        <w:t xml:space="preserve">                      </w:t>
      </w:r>
    </w:p>
    <w:p w14:paraId="5048B886">
      <w:pPr>
        <w:shd w:val="clear"/>
        <w:spacing w:line="480" w:lineRule="auto"/>
        <w:ind w:right="-161" w:firstLine="2640" w:firstLineChars="1100"/>
        <w:rPr>
          <w:rFonts w:hint="eastAsia" w:ascii="宋体" w:hAnsi="宋体" w:eastAsia="宋体" w:cs="宋体"/>
          <w:sz w:val="24"/>
          <w:szCs w:val="24"/>
        </w:rPr>
      </w:pPr>
      <w:r>
        <w:rPr>
          <w:rFonts w:hint="eastAsia" w:ascii="宋体" w:hAnsi="宋体" w:eastAsia="宋体" w:cs="宋体"/>
          <w:sz w:val="24"/>
          <w:szCs w:val="24"/>
        </w:rPr>
        <w:t>投   标   单  位  公  章：</w:t>
      </w:r>
      <w:r>
        <w:rPr>
          <w:rFonts w:hint="eastAsia" w:ascii="宋体" w:hAnsi="宋体" w:eastAsia="宋体" w:cs="宋体"/>
          <w:sz w:val="24"/>
          <w:szCs w:val="24"/>
          <w:u w:val="single"/>
        </w:rPr>
        <w:t xml:space="preserve">                      </w:t>
      </w:r>
    </w:p>
    <w:p w14:paraId="35F288BF">
      <w:pPr>
        <w:shd w:val="clear"/>
        <w:spacing w:line="480" w:lineRule="auto"/>
        <w:ind w:right="480" w:firstLine="2640" w:firstLineChars="1100"/>
        <w:rPr>
          <w:rFonts w:hint="eastAsia" w:ascii="宋体" w:hAnsi="宋体" w:eastAsia="宋体" w:cs="宋体"/>
          <w:sz w:val="24"/>
          <w:szCs w:val="24"/>
          <w:u w:val="single"/>
        </w:rPr>
      </w:pPr>
      <w:r>
        <w:rPr>
          <w:rFonts w:hint="eastAsia" w:ascii="宋体" w:hAnsi="宋体" w:eastAsia="宋体" w:cs="宋体"/>
          <w:sz w:val="24"/>
          <w:szCs w:val="24"/>
        </w:rPr>
        <w:t xml:space="preserve">日                    期： </w:t>
      </w:r>
      <w:r>
        <w:rPr>
          <w:rFonts w:hint="eastAsia" w:ascii="宋体" w:hAnsi="宋体" w:eastAsia="宋体" w:cs="宋体"/>
          <w:sz w:val="24"/>
          <w:szCs w:val="24"/>
          <w:u w:val="single"/>
        </w:rPr>
        <w:t xml:space="preserve">                     </w:t>
      </w:r>
    </w:p>
    <w:p w14:paraId="187568B0">
      <w:pPr>
        <w:shd w:val="clear"/>
        <w:tabs>
          <w:tab w:val="left" w:pos="210"/>
        </w:tabs>
        <w:ind w:left="287"/>
        <w:jc w:val="center"/>
        <w:outlineLvl w:val="0"/>
        <w:rPr>
          <w:rFonts w:hint="eastAsia" w:ascii="宋体" w:hAnsi="宋体" w:eastAsia="宋体" w:cs="宋体"/>
          <w:b/>
          <w:sz w:val="32"/>
          <w:szCs w:val="22"/>
        </w:rPr>
      </w:pPr>
    </w:p>
    <w:p w14:paraId="76C3BEC5">
      <w:pPr>
        <w:pStyle w:val="3"/>
        <w:shd w:val="clear"/>
        <w:rPr>
          <w:rFonts w:hint="eastAsia" w:ascii="宋体" w:hAnsi="宋体" w:eastAsia="宋体" w:cs="宋体"/>
          <w:szCs w:val="22"/>
        </w:rPr>
      </w:pPr>
      <w:bookmarkStart w:id="226" w:name="_Toc15215"/>
      <w:bookmarkStart w:id="227" w:name="_Toc9520"/>
      <w:bookmarkStart w:id="228" w:name="_Toc10135"/>
      <w:bookmarkStart w:id="229" w:name="_Toc5336"/>
      <w:bookmarkStart w:id="230" w:name="_Toc15852"/>
      <w:bookmarkStart w:id="231" w:name="_Toc16985"/>
      <w:bookmarkStart w:id="232" w:name="_Toc17106"/>
      <w:bookmarkStart w:id="233" w:name="_Toc8758"/>
      <w:bookmarkStart w:id="234" w:name="_Toc465958140"/>
      <w:bookmarkStart w:id="235" w:name="_Toc22642"/>
      <w:bookmarkStart w:id="236" w:name="_Toc462325844"/>
      <w:bookmarkStart w:id="237" w:name="_Toc27985"/>
      <w:r>
        <w:rPr>
          <w:rFonts w:hint="eastAsia" w:ascii="宋体" w:hAnsi="宋体" w:eastAsia="宋体" w:cs="宋体"/>
          <w:szCs w:val="22"/>
          <w:lang w:val="en-US" w:eastAsia="zh-CN"/>
        </w:rPr>
        <w:t>三、</w:t>
      </w:r>
      <w:r>
        <w:rPr>
          <w:rFonts w:hint="eastAsia" w:ascii="宋体" w:hAnsi="宋体" w:eastAsia="宋体" w:cs="宋体"/>
          <w:szCs w:val="22"/>
        </w:rPr>
        <w:t xml:space="preserve"> 资格证明文件</w:t>
      </w:r>
      <w:bookmarkEnd w:id="226"/>
      <w:bookmarkEnd w:id="227"/>
      <w:bookmarkEnd w:id="228"/>
      <w:bookmarkEnd w:id="229"/>
      <w:bookmarkEnd w:id="230"/>
      <w:bookmarkEnd w:id="231"/>
      <w:bookmarkEnd w:id="232"/>
      <w:bookmarkEnd w:id="233"/>
      <w:bookmarkEnd w:id="234"/>
      <w:bookmarkEnd w:id="235"/>
    </w:p>
    <w:p w14:paraId="46E810A5">
      <w:pPr>
        <w:shd w:val="clear"/>
        <w:spacing w:line="360" w:lineRule="auto"/>
        <w:rPr>
          <w:rFonts w:hint="eastAsia" w:ascii="宋体" w:hAnsi="宋体" w:eastAsia="宋体" w:cs="宋体"/>
          <w:lang w:val="en-US" w:eastAsia="zh-CN"/>
        </w:rPr>
      </w:pPr>
      <w:r>
        <w:rPr>
          <w:rFonts w:hint="eastAsia" w:ascii="宋体" w:hAnsi="宋体" w:eastAsia="宋体" w:cs="宋体"/>
          <w:lang w:val="en-US" w:eastAsia="zh-CN"/>
        </w:rPr>
        <w:t>见招标公告资格要求</w:t>
      </w:r>
    </w:p>
    <w:p w14:paraId="2B6B3D6C">
      <w:pPr>
        <w:pStyle w:val="24"/>
        <w:shd w:val="clear"/>
        <w:rPr>
          <w:rFonts w:hint="eastAsia" w:ascii="宋体" w:hAnsi="宋体" w:eastAsia="宋体" w:cs="宋体"/>
          <w:lang w:val="en-US" w:eastAsia="zh-CN"/>
        </w:rPr>
      </w:pPr>
    </w:p>
    <w:p w14:paraId="4CB8414B">
      <w:pPr>
        <w:pStyle w:val="24"/>
        <w:shd w:val="clear"/>
        <w:rPr>
          <w:rFonts w:hint="eastAsia" w:ascii="宋体" w:hAnsi="宋体" w:eastAsia="宋体" w:cs="宋体"/>
          <w:lang w:val="en-US" w:eastAsia="zh-CN"/>
        </w:rPr>
      </w:pPr>
    </w:p>
    <w:p w14:paraId="707FCB0C">
      <w:pPr>
        <w:pStyle w:val="24"/>
        <w:shd w:val="clear"/>
        <w:rPr>
          <w:rFonts w:hint="eastAsia" w:ascii="宋体" w:hAnsi="宋体" w:eastAsia="宋体" w:cs="宋体"/>
          <w:lang w:val="en-US" w:eastAsia="zh-CN"/>
        </w:rPr>
      </w:pPr>
    </w:p>
    <w:p w14:paraId="43E2BA6A">
      <w:pPr>
        <w:pStyle w:val="24"/>
        <w:shd w:val="clear"/>
        <w:rPr>
          <w:rFonts w:hint="eastAsia" w:ascii="宋体" w:hAnsi="宋体" w:eastAsia="宋体" w:cs="宋体"/>
          <w:lang w:val="en-US" w:eastAsia="zh-CN"/>
        </w:rPr>
      </w:pPr>
    </w:p>
    <w:p w14:paraId="5AAC1713">
      <w:pPr>
        <w:pStyle w:val="24"/>
        <w:shd w:val="clear"/>
        <w:rPr>
          <w:rFonts w:hint="eastAsia" w:ascii="宋体" w:hAnsi="宋体" w:eastAsia="宋体" w:cs="宋体"/>
          <w:lang w:val="en-US" w:eastAsia="zh-CN"/>
        </w:rPr>
      </w:pPr>
    </w:p>
    <w:p w14:paraId="54AD0857">
      <w:pPr>
        <w:pStyle w:val="24"/>
        <w:shd w:val="clear"/>
        <w:rPr>
          <w:rFonts w:hint="eastAsia" w:ascii="宋体" w:hAnsi="宋体" w:eastAsia="宋体" w:cs="宋体"/>
          <w:lang w:val="en-US" w:eastAsia="zh-CN"/>
        </w:rPr>
      </w:pPr>
    </w:p>
    <w:p w14:paraId="43FAA230">
      <w:pPr>
        <w:pStyle w:val="24"/>
        <w:shd w:val="clear"/>
        <w:rPr>
          <w:rFonts w:hint="eastAsia" w:ascii="宋体" w:hAnsi="宋体" w:eastAsia="宋体" w:cs="宋体"/>
          <w:lang w:val="en-US" w:eastAsia="zh-CN"/>
        </w:rPr>
      </w:pPr>
    </w:p>
    <w:p w14:paraId="0C260937">
      <w:pPr>
        <w:pStyle w:val="24"/>
        <w:shd w:val="clear"/>
        <w:rPr>
          <w:rFonts w:hint="eastAsia" w:ascii="宋体" w:hAnsi="宋体" w:eastAsia="宋体" w:cs="宋体"/>
          <w:lang w:val="en-US" w:eastAsia="zh-CN"/>
        </w:rPr>
      </w:pPr>
    </w:p>
    <w:p w14:paraId="2257BDFB">
      <w:pPr>
        <w:pStyle w:val="24"/>
        <w:shd w:val="clear"/>
        <w:rPr>
          <w:rFonts w:hint="eastAsia" w:ascii="宋体" w:hAnsi="宋体" w:eastAsia="宋体" w:cs="宋体"/>
          <w:lang w:val="en-US" w:eastAsia="zh-CN"/>
        </w:rPr>
      </w:pPr>
    </w:p>
    <w:p w14:paraId="006A05A0">
      <w:pPr>
        <w:pStyle w:val="24"/>
        <w:shd w:val="clear"/>
        <w:rPr>
          <w:rFonts w:hint="eastAsia" w:ascii="宋体" w:hAnsi="宋体" w:eastAsia="宋体" w:cs="宋体"/>
          <w:lang w:val="en-US" w:eastAsia="zh-CN"/>
        </w:rPr>
      </w:pPr>
    </w:p>
    <w:p w14:paraId="05E2F292">
      <w:pPr>
        <w:pStyle w:val="24"/>
        <w:shd w:val="clear"/>
        <w:rPr>
          <w:rFonts w:hint="eastAsia" w:ascii="宋体" w:hAnsi="宋体" w:eastAsia="宋体" w:cs="宋体"/>
          <w:lang w:val="en-US" w:eastAsia="zh-CN"/>
        </w:rPr>
      </w:pPr>
    </w:p>
    <w:p w14:paraId="0F88DED6">
      <w:pPr>
        <w:pStyle w:val="24"/>
        <w:shd w:val="clear"/>
        <w:rPr>
          <w:rFonts w:hint="eastAsia" w:ascii="宋体" w:hAnsi="宋体" w:eastAsia="宋体" w:cs="宋体"/>
          <w:lang w:val="en-US" w:eastAsia="zh-CN"/>
        </w:rPr>
      </w:pPr>
    </w:p>
    <w:p w14:paraId="27E74162">
      <w:pPr>
        <w:pStyle w:val="24"/>
        <w:shd w:val="clear"/>
        <w:rPr>
          <w:rFonts w:hint="eastAsia" w:ascii="宋体" w:hAnsi="宋体" w:eastAsia="宋体" w:cs="宋体"/>
          <w:lang w:val="en-US" w:eastAsia="zh-CN"/>
        </w:rPr>
      </w:pPr>
    </w:p>
    <w:p w14:paraId="1DE2C5BD">
      <w:pPr>
        <w:pStyle w:val="24"/>
        <w:shd w:val="clear"/>
        <w:rPr>
          <w:rFonts w:hint="eastAsia" w:ascii="宋体" w:hAnsi="宋体" w:eastAsia="宋体" w:cs="宋体"/>
          <w:lang w:val="en-US" w:eastAsia="zh-CN"/>
        </w:rPr>
      </w:pPr>
    </w:p>
    <w:p w14:paraId="622ACBCC">
      <w:pPr>
        <w:pStyle w:val="24"/>
        <w:shd w:val="clear"/>
        <w:rPr>
          <w:rFonts w:hint="eastAsia" w:ascii="宋体" w:hAnsi="宋体" w:eastAsia="宋体" w:cs="宋体"/>
          <w:lang w:val="en-US" w:eastAsia="zh-CN"/>
        </w:rPr>
      </w:pPr>
    </w:p>
    <w:p w14:paraId="1245FDE6">
      <w:pPr>
        <w:pStyle w:val="24"/>
        <w:shd w:val="clear"/>
        <w:rPr>
          <w:rFonts w:hint="eastAsia" w:ascii="宋体" w:hAnsi="宋体" w:eastAsia="宋体" w:cs="宋体"/>
          <w:lang w:val="en-US" w:eastAsia="zh-CN"/>
        </w:rPr>
      </w:pPr>
    </w:p>
    <w:p w14:paraId="26437F43">
      <w:pPr>
        <w:pStyle w:val="24"/>
        <w:shd w:val="clear"/>
        <w:rPr>
          <w:rFonts w:hint="eastAsia" w:ascii="宋体" w:hAnsi="宋体" w:eastAsia="宋体" w:cs="宋体"/>
          <w:lang w:val="en-US" w:eastAsia="zh-CN"/>
        </w:rPr>
      </w:pPr>
    </w:p>
    <w:p w14:paraId="60BB4310">
      <w:pPr>
        <w:pStyle w:val="24"/>
        <w:shd w:val="clear"/>
        <w:rPr>
          <w:rFonts w:hint="eastAsia" w:ascii="宋体" w:hAnsi="宋体" w:eastAsia="宋体" w:cs="宋体"/>
          <w:lang w:val="en-US" w:eastAsia="zh-CN"/>
        </w:rPr>
      </w:pPr>
    </w:p>
    <w:p w14:paraId="4C1E6474">
      <w:pPr>
        <w:pStyle w:val="24"/>
        <w:shd w:val="clear"/>
        <w:rPr>
          <w:rFonts w:hint="eastAsia" w:ascii="宋体" w:hAnsi="宋体" w:eastAsia="宋体" w:cs="宋体"/>
          <w:lang w:val="en-US" w:eastAsia="zh-CN"/>
        </w:rPr>
      </w:pPr>
    </w:p>
    <w:p w14:paraId="3813ECB4">
      <w:pPr>
        <w:pStyle w:val="24"/>
        <w:shd w:val="clear"/>
        <w:rPr>
          <w:rFonts w:hint="eastAsia" w:ascii="宋体" w:hAnsi="宋体" w:eastAsia="宋体" w:cs="宋体"/>
          <w:lang w:val="en-US" w:eastAsia="zh-CN"/>
        </w:rPr>
      </w:pPr>
    </w:p>
    <w:p w14:paraId="0B7622AD">
      <w:pPr>
        <w:pStyle w:val="24"/>
        <w:shd w:val="clear"/>
        <w:rPr>
          <w:rFonts w:hint="eastAsia" w:ascii="宋体" w:hAnsi="宋体" w:eastAsia="宋体" w:cs="宋体"/>
          <w:lang w:val="en-US" w:eastAsia="zh-CN"/>
        </w:rPr>
      </w:pPr>
    </w:p>
    <w:p w14:paraId="1A9BACFF">
      <w:pPr>
        <w:pStyle w:val="24"/>
        <w:shd w:val="clear"/>
        <w:rPr>
          <w:rFonts w:hint="eastAsia" w:ascii="宋体" w:hAnsi="宋体" w:eastAsia="宋体" w:cs="宋体"/>
          <w:lang w:val="en-US" w:eastAsia="zh-CN"/>
        </w:rPr>
      </w:pPr>
    </w:p>
    <w:p w14:paraId="45598573">
      <w:pPr>
        <w:pStyle w:val="24"/>
        <w:shd w:val="clear"/>
        <w:rPr>
          <w:rFonts w:hint="eastAsia" w:ascii="宋体" w:hAnsi="宋体" w:eastAsia="宋体" w:cs="宋体"/>
          <w:lang w:val="en-US" w:eastAsia="zh-CN"/>
        </w:rPr>
      </w:pPr>
    </w:p>
    <w:p w14:paraId="11672BCF">
      <w:pPr>
        <w:pStyle w:val="24"/>
        <w:shd w:val="clear"/>
        <w:rPr>
          <w:rFonts w:hint="eastAsia" w:ascii="宋体" w:hAnsi="宋体" w:eastAsia="宋体" w:cs="宋体"/>
          <w:lang w:val="en-US" w:eastAsia="zh-CN"/>
        </w:rPr>
      </w:pPr>
    </w:p>
    <w:p w14:paraId="229064DE">
      <w:pPr>
        <w:pStyle w:val="24"/>
        <w:shd w:val="clear"/>
        <w:rPr>
          <w:rFonts w:hint="eastAsia" w:ascii="宋体" w:hAnsi="宋体" w:eastAsia="宋体" w:cs="宋体"/>
          <w:lang w:val="en-US" w:eastAsia="zh-CN"/>
        </w:rPr>
      </w:pPr>
    </w:p>
    <w:p w14:paraId="0E90FD00">
      <w:pPr>
        <w:pStyle w:val="24"/>
        <w:shd w:val="clear"/>
        <w:rPr>
          <w:rFonts w:hint="eastAsia" w:ascii="宋体" w:hAnsi="宋体" w:eastAsia="宋体" w:cs="宋体"/>
          <w:lang w:val="en-US" w:eastAsia="zh-CN"/>
        </w:rPr>
      </w:pPr>
    </w:p>
    <w:p w14:paraId="0AAFABD7">
      <w:pPr>
        <w:pStyle w:val="24"/>
        <w:shd w:val="clear"/>
        <w:rPr>
          <w:rFonts w:hint="eastAsia" w:ascii="宋体" w:hAnsi="宋体" w:eastAsia="宋体" w:cs="宋体"/>
          <w:lang w:val="en-US" w:eastAsia="zh-CN"/>
        </w:rPr>
      </w:pPr>
    </w:p>
    <w:p w14:paraId="3939832F">
      <w:pPr>
        <w:pStyle w:val="24"/>
        <w:shd w:val="clear"/>
        <w:rPr>
          <w:rFonts w:hint="eastAsia" w:ascii="宋体" w:hAnsi="宋体" w:eastAsia="宋体" w:cs="宋体"/>
          <w:lang w:val="en-US" w:eastAsia="zh-CN"/>
        </w:rPr>
      </w:pPr>
    </w:p>
    <w:p w14:paraId="7FC3228C">
      <w:pPr>
        <w:pStyle w:val="24"/>
        <w:shd w:val="clear"/>
        <w:rPr>
          <w:rFonts w:hint="eastAsia" w:ascii="宋体" w:hAnsi="宋体" w:eastAsia="宋体" w:cs="宋体"/>
          <w:lang w:val="en-US" w:eastAsia="zh-CN"/>
        </w:rPr>
      </w:pPr>
    </w:p>
    <w:p w14:paraId="5267014C">
      <w:pPr>
        <w:pStyle w:val="24"/>
        <w:shd w:val="clear"/>
        <w:rPr>
          <w:rFonts w:hint="eastAsia" w:ascii="宋体" w:hAnsi="宋体" w:eastAsia="宋体" w:cs="宋体"/>
          <w:lang w:val="en-US" w:eastAsia="zh-CN"/>
        </w:rPr>
      </w:pPr>
    </w:p>
    <w:p w14:paraId="4EE5B86D">
      <w:pPr>
        <w:pStyle w:val="24"/>
        <w:shd w:val="clear"/>
        <w:rPr>
          <w:rFonts w:hint="eastAsia" w:ascii="宋体" w:hAnsi="宋体" w:eastAsia="宋体" w:cs="宋体"/>
          <w:lang w:val="en-US" w:eastAsia="zh-CN"/>
        </w:rPr>
      </w:pPr>
    </w:p>
    <w:p w14:paraId="2511CB78">
      <w:pPr>
        <w:pStyle w:val="24"/>
        <w:shd w:val="clear"/>
        <w:rPr>
          <w:rFonts w:hint="eastAsia" w:ascii="宋体" w:hAnsi="宋体" w:eastAsia="宋体" w:cs="宋体"/>
          <w:lang w:val="en-US" w:eastAsia="zh-CN"/>
        </w:rPr>
      </w:pPr>
    </w:p>
    <w:p w14:paraId="2CDAC096">
      <w:pPr>
        <w:pStyle w:val="24"/>
        <w:shd w:val="clear"/>
        <w:rPr>
          <w:rFonts w:hint="eastAsia" w:ascii="宋体" w:hAnsi="宋体" w:eastAsia="宋体" w:cs="宋体"/>
          <w:lang w:val="en-US" w:eastAsia="zh-CN"/>
        </w:rPr>
      </w:pPr>
    </w:p>
    <w:p w14:paraId="681968DF">
      <w:pPr>
        <w:pStyle w:val="24"/>
        <w:shd w:val="clear"/>
        <w:rPr>
          <w:rFonts w:hint="eastAsia" w:ascii="宋体" w:hAnsi="宋体" w:eastAsia="宋体" w:cs="宋体"/>
          <w:lang w:val="en-US" w:eastAsia="zh-CN"/>
        </w:rPr>
      </w:pPr>
    </w:p>
    <w:p w14:paraId="75B8A4A3">
      <w:pPr>
        <w:pStyle w:val="24"/>
        <w:shd w:val="clear"/>
        <w:rPr>
          <w:rFonts w:hint="eastAsia" w:ascii="宋体" w:hAnsi="宋体" w:eastAsia="宋体" w:cs="宋体"/>
          <w:lang w:val="en-US" w:eastAsia="zh-CN"/>
        </w:rPr>
      </w:pPr>
    </w:p>
    <w:p w14:paraId="7F3EC0E4">
      <w:pPr>
        <w:pStyle w:val="24"/>
        <w:shd w:val="clear"/>
        <w:rPr>
          <w:rFonts w:hint="eastAsia" w:ascii="宋体" w:hAnsi="宋体" w:eastAsia="宋体" w:cs="宋体"/>
          <w:lang w:val="en-US" w:eastAsia="zh-CN"/>
        </w:rPr>
      </w:pPr>
    </w:p>
    <w:p w14:paraId="2E0FCE8F">
      <w:pPr>
        <w:pStyle w:val="24"/>
        <w:shd w:val="clear"/>
        <w:rPr>
          <w:rFonts w:hint="eastAsia" w:ascii="宋体" w:hAnsi="宋体" w:eastAsia="宋体" w:cs="宋体"/>
          <w:lang w:val="en-US" w:eastAsia="zh-CN"/>
        </w:rPr>
      </w:pPr>
    </w:p>
    <w:p w14:paraId="57272C4F">
      <w:pPr>
        <w:pStyle w:val="24"/>
        <w:shd w:val="clear"/>
        <w:rPr>
          <w:rFonts w:hint="eastAsia" w:ascii="宋体" w:hAnsi="宋体" w:eastAsia="宋体" w:cs="宋体"/>
          <w:lang w:val="en-US" w:eastAsia="zh-CN"/>
        </w:rPr>
      </w:pPr>
    </w:p>
    <w:p w14:paraId="69183400">
      <w:pPr>
        <w:pStyle w:val="24"/>
        <w:shd w:val="clear"/>
        <w:rPr>
          <w:rFonts w:hint="eastAsia" w:ascii="宋体" w:hAnsi="宋体" w:eastAsia="宋体" w:cs="宋体"/>
          <w:lang w:val="en-US" w:eastAsia="zh-CN"/>
        </w:rPr>
      </w:pPr>
    </w:p>
    <w:p w14:paraId="65BFEDEB">
      <w:pPr>
        <w:pStyle w:val="24"/>
        <w:shd w:val="clear"/>
        <w:rPr>
          <w:rFonts w:hint="eastAsia" w:ascii="宋体" w:hAnsi="宋体" w:eastAsia="宋体" w:cs="宋体"/>
          <w:lang w:val="en-US" w:eastAsia="zh-CN"/>
        </w:rPr>
      </w:pPr>
    </w:p>
    <w:p w14:paraId="6A809842">
      <w:pPr>
        <w:shd w:val="clear"/>
        <w:spacing w:line="480" w:lineRule="auto"/>
        <w:ind w:right="480"/>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四、供应商概况</w:t>
      </w:r>
    </w:p>
    <w:tbl>
      <w:tblPr>
        <w:tblStyle w:val="25"/>
        <w:tblW w:w="9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3"/>
        <w:gridCol w:w="989"/>
        <w:gridCol w:w="2434"/>
        <w:gridCol w:w="2070"/>
        <w:gridCol w:w="2043"/>
      </w:tblGrid>
      <w:tr w14:paraId="4F646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atLeast"/>
          <w:jc w:val="center"/>
        </w:trPr>
        <w:tc>
          <w:tcPr>
            <w:tcW w:w="1903" w:type="dxa"/>
            <w:tcBorders>
              <w:top w:val="single" w:color="auto" w:sz="4" w:space="0"/>
              <w:left w:val="single" w:color="auto" w:sz="4" w:space="0"/>
              <w:bottom w:val="single" w:color="auto" w:sz="4" w:space="0"/>
              <w:right w:val="single" w:color="auto" w:sz="4" w:space="0"/>
            </w:tcBorders>
            <w:noWrap w:val="0"/>
            <w:vAlign w:val="center"/>
          </w:tcPr>
          <w:p w14:paraId="68BD352B">
            <w:pPr>
              <w:shd w:val="clear"/>
              <w:topLinePunct/>
              <w:spacing w:line="440" w:lineRule="exact"/>
              <w:jc w:val="center"/>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申请人</w:t>
            </w:r>
          </w:p>
        </w:tc>
        <w:tc>
          <w:tcPr>
            <w:tcW w:w="7536" w:type="dxa"/>
            <w:gridSpan w:val="4"/>
            <w:tcBorders>
              <w:top w:val="single" w:color="auto" w:sz="4" w:space="0"/>
              <w:left w:val="single" w:color="auto" w:sz="4" w:space="0"/>
              <w:bottom w:val="single" w:color="auto" w:sz="4" w:space="0"/>
              <w:right w:val="single" w:color="auto" w:sz="4" w:space="0"/>
            </w:tcBorders>
            <w:noWrap w:val="0"/>
            <w:vAlign w:val="center"/>
          </w:tcPr>
          <w:p w14:paraId="4586B84F">
            <w:pPr>
              <w:shd w:val="clear"/>
              <w:topLinePunct/>
              <w:spacing w:line="440" w:lineRule="exact"/>
              <w:jc w:val="center"/>
              <w:outlineLvl w:val="9"/>
              <w:rPr>
                <w:rFonts w:hint="eastAsia" w:ascii="宋体" w:hAnsi="宋体" w:eastAsia="宋体" w:cs="宋体"/>
                <w:color w:val="auto"/>
                <w:sz w:val="24"/>
                <w:szCs w:val="24"/>
              </w:rPr>
            </w:pPr>
          </w:p>
        </w:tc>
      </w:tr>
      <w:tr w14:paraId="70FAD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atLeast"/>
          <w:jc w:val="center"/>
        </w:trPr>
        <w:tc>
          <w:tcPr>
            <w:tcW w:w="1903" w:type="dxa"/>
            <w:tcBorders>
              <w:top w:val="single" w:color="auto" w:sz="4" w:space="0"/>
              <w:left w:val="single" w:color="auto" w:sz="4" w:space="0"/>
              <w:bottom w:val="single" w:color="auto" w:sz="4" w:space="0"/>
              <w:right w:val="single" w:color="auto" w:sz="4" w:space="0"/>
            </w:tcBorders>
            <w:noWrap w:val="0"/>
            <w:vAlign w:val="center"/>
          </w:tcPr>
          <w:p w14:paraId="20C3A52A">
            <w:pPr>
              <w:shd w:val="clear"/>
              <w:topLinePunct/>
              <w:spacing w:line="44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7536" w:type="dxa"/>
            <w:gridSpan w:val="4"/>
            <w:tcBorders>
              <w:top w:val="single" w:color="auto" w:sz="4" w:space="0"/>
              <w:left w:val="single" w:color="auto" w:sz="4" w:space="0"/>
              <w:bottom w:val="single" w:color="auto" w:sz="4" w:space="0"/>
              <w:right w:val="single" w:color="auto" w:sz="4" w:space="0"/>
            </w:tcBorders>
            <w:noWrap w:val="0"/>
            <w:vAlign w:val="center"/>
          </w:tcPr>
          <w:p w14:paraId="2FDCA567">
            <w:pPr>
              <w:shd w:val="clear"/>
              <w:topLinePunct/>
              <w:spacing w:line="440" w:lineRule="exact"/>
              <w:jc w:val="center"/>
              <w:outlineLvl w:val="9"/>
              <w:rPr>
                <w:rFonts w:hint="eastAsia" w:ascii="宋体" w:hAnsi="宋体" w:eastAsia="宋体" w:cs="宋体"/>
                <w:color w:val="auto"/>
                <w:sz w:val="24"/>
                <w:szCs w:val="24"/>
              </w:rPr>
            </w:pPr>
          </w:p>
        </w:tc>
      </w:tr>
      <w:tr w14:paraId="4625C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903" w:type="dxa"/>
            <w:tcBorders>
              <w:top w:val="single" w:color="auto" w:sz="4" w:space="0"/>
              <w:left w:val="single" w:color="auto" w:sz="4" w:space="0"/>
              <w:bottom w:val="single" w:color="auto" w:sz="4" w:space="0"/>
              <w:right w:val="single" w:color="auto" w:sz="4" w:space="0"/>
            </w:tcBorders>
            <w:noWrap w:val="0"/>
            <w:vAlign w:val="center"/>
          </w:tcPr>
          <w:p w14:paraId="7DC2E12C">
            <w:pPr>
              <w:shd w:val="clear"/>
              <w:topLinePunct/>
              <w:spacing w:line="44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23E874CD">
            <w:pPr>
              <w:shd w:val="clear"/>
              <w:topLinePunct/>
              <w:spacing w:line="44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434" w:type="dxa"/>
            <w:tcBorders>
              <w:top w:val="single" w:color="auto" w:sz="4" w:space="0"/>
              <w:left w:val="single" w:color="auto" w:sz="4" w:space="0"/>
              <w:bottom w:val="single" w:color="auto" w:sz="4" w:space="0"/>
              <w:right w:val="single" w:color="auto" w:sz="4" w:space="0"/>
            </w:tcBorders>
            <w:noWrap w:val="0"/>
            <w:vAlign w:val="center"/>
          </w:tcPr>
          <w:p w14:paraId="34397AEA">
            <w:pPr>
              <w:shd w:val="clear"/>
              <w:topLinePunct/>
              <w:spacing w:line="440" w:lineRule="exact"/>
              <w:jc w:val="center"/>
              <w:outlineLvl w:val="9"/>
              <w:rPr>
                <w:rFonts w:hint="eastAsia" w:ascii="宋体" w:hAnsi="宋体" w:eastAsia="宋体" w:cs="宋体"/>
                <w:color w:val="auto"/>
                <w:sz w:val="24"/>
                <w:szCs w:val="24"/>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0349F74E">
            <w:pPr>
              <w:shd w:val="clear"/>
              <w:topLinePunct/>
              <w:spacing w:line="44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2043" w:type="dxa"/>
            <w:tcBorders>
              <w:top w:val="single" w:color="auto" w:sz="4" w:space="0"/>
              <w:left w:val="single" w:color="auto" w:sz="4" w:space="0"/>
              <w:bottom w:val="single" w:color="auto" w:sz="4" w:space="0"/>
              <w:right w:val="single" w:color="auto" w:sz="4" w:space="0"/>
            </w:tcBorders>
            <w:noWrap w:val="0"/>
            <w:vAlign w:val="center"/>
          </w:tcPr>
          <w:p w14:paraId="1DD05406">
            <w:pPr>
              <w:shd w:val="clear"/>
              <w:topLinePunct/>
              <w:spacing w:line="440" w:lineRule="exact"/>
              <w:jc w:val="center"/>
              <w:outlineLvl w:val="9"/>
              <w:rPr>
                <w:rFonts w:hint="eastAsia" w:ascii="宋体" w:hAnsi="宋体" w:eastAsia="宋体" w:cs="宋体"/>
                <w:color w:val="auto"/>
                <w:sz w:val="24"/>
                <w:szCs w:val="24"/>
              </w:rPr>
            </w:pPr>
          </w:p>
        </w:tc>
      </w:tr>
      <w:tr w14:paraId="69E22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903" w:type="dxa"/>
            <w:tcBorders>
              <w:top w:val="single" w:color="auto" w:sz="4" w:space="0"/>
              <w:left w:val="single" w:color="auto" w:sz="4" w:space="0"/>
              <w:bottom w:val="single" w:color="auto" w:sz="4" w:space="0"/>
              <w:right w:val="single" w:color="auto" w:sz="4" w:space="0"/>
            </w:tcBorders>
            <w:noWrap w:val="0"/>
            <w:vAlign w:val="center"/>
          </w:tcPr>
          <w:p w14:paraId="60A152F5">
            <w:pPr>
              <w:shd w:val="clear"/>
              <w:topLinePunct/>
              <w:spacing w:line="44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7536" w:type="dxa"/>
            <w:gridSpan w:val="4"/>
            <w:tcBorders>
              <w:top w:val="single" w:color="auto" w:sz="4" w:space="0"/>
              <w:left w:val="single" w:color="auto" w:sz="4" w:space="0"/>
              <w:bottom w:val="single" w:color="auto" w:sz="4" w:space="0"/>
              <w:right w:val="single" w:color="auto" w:sz="4" w:space="0"/>
            </w:tcBorders>
            <w:noWrap w:val="0"/>
            <w:vAlign w:val="center"/>
          </w:tcPr>
          <w:p w14:paraId="15BC96C5">
            <w:pPr>
              <w:shd w:val="clear"/>
              <w:topLinePunct/>
              <w:spacing w:line="440" w:lineRule="exact"/>
              <w:ind w:firstLine="120" w:firstLineChars="50"/>
              <w:jc w:val="center"/>
              <w:outlineLvl w:val="9"/>
              <w:rPr>
                <w:rFonts w:hint="eastAsia" w:ascii="宋体" w:hAnsi="宋体" w:eastAsia="宋体" w:cs="宋体"/>
                <w:color w:val="auto"/>
                <w:sz w:val="24"/>
                <w:szCs w:val="24"/>
              </w:rPr>
            </w:pPr>
          </w:p>
        </w:tc>
      </w:tr>
      <w:tr w14:paraId="337F8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0" w:hRule="atLeast"/>
          <w:jc w:val="center"/>
        </w:trPr>
        <w:tc>
          <w:tcPr>
            <w:tcW w:w="1903" w:type="dxa"/>
            <w:tcBorders>
              <w:top w:val="single" w:color="auto" w:sz="4" w:space="0"/>
              <w:left w:val="single" w:color="auto" w:sz="4" w:space="0"/>
              <w:bottom w:val="single" w:color="auto" w:sz="4" w:space="0"/>
              <w:right w:val="single" w:color="auto" w:sz="4" w:space="0"/>
            </w:tcBorders>
            <w:noWrap w:val="0"/>
            <w:vAlign w:val="center"/>
          </w:tcPr>
          <w:p w14:paraId="7FF7D503">
            <w:pPr>
              <w:shd w:val="clear"/>
              <w:topLinePunct/>
              <w:spacing w:line="44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7536" w:type="dxa"/>
            <w:gridSpan w:val="4"/>
            <w:tcBorders>
              <w:top w:val="single" w:color="auto" w:sz="4" w:space="0"/>
              <w:left w:val="single" w:color="auto" w:sz="4" w:space="0"/>
              <w:bottom w:val="single" w:color="auto" w:sz="4" w:space="0"/>
              <w:right w:val="single" w:color="auto" w:sz="4" w:space="0"/>
            </w:tcBorders>
            <w:noWrap w:val="0"/>
            <w:vAlign w:val="center"/>
          </w:tcPr>
          <w:p w14:paraId="601071BD">
            <w:pPr>
              <w:shd w:val="clear"/>
              <w:topLinePunct/>
              <w:spacing w:line="440" w:lineRule="exact"/>
              <w:jc w:val="center"/>
              <w:outlineLvl w:val="9"/>
              <w:rPr>
                <w:rFonts w:hint="eastAsia" w:ascii="宋体" w:hAnsi="宋体" w:eastAsia="宋体" w:cs="宋体"/>
                <w:color w:val="auto"/>
                <w:sz w:val="24"/>
                <w:szCs w:val="24"/>
              </w:rPr>
            </w:pPr>
          </w:p>
        </w:tc>
      </w:tr>
      <w:tr w14:paraId="3D83D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2" w:hRule="atLeast"/>
          <w:jc w:val="center"/>
        </w:trPr>
        <w:tc>
          <w:tcPr>
            <w:tcW w:w="1903" w:type="dxa"/>
            <w:tcBorders>
              <w:top w:val="single" w:color="auto" w:sz="4" w:space="0"/>
              <w:left w:val="single" w:color="auto" w:sz="4" w:space="0"/>
              <w:bottom w:val="single" w:color="auto" w:sz="4" w:space="0"/>
              <w:right w:val="single" w:color="auto" w:sz="4" w:space="0"/>
            </w:tcBorders>
            <w:noWrap w:val="0"/>
            <w:vAlign w:val="center"/>
          </w:tcPr>
          <w:p w14:paraId="2CF88E0C">
            <w:pPr>
              <w:shd w:val="clear"/>
              <w:topLinePunct/>
              <w:spacing w:line="44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7536" w:type="dxa"/>
            <w:gridSpan w:val="4"/>
            <w:tcBorders>
              <w:top w:val="single" w:color="auto" w:sz="4" w:space="0"/>
              <w:left w:val="single" w:color="auto" w:sz="4" w:space="0"/>
              <w:bottom w:val="single" w:color="auto" w:sz="4" w:space="0"/>
              <w:right w:val="single" w:color="auto" w:sz="4" w:space="0"/>
            </w:tcBorders>
            <w:noWrap w:val="0"/>
            <w:vAlign w:val="center"/>
          </w:tcPr>
          <w:p w14:paraId="5FDCFDF1">
            <w:pPr>
              <w:shd w:val="clear"/>
              <w:topLinePunct/>
              <w:spacing w:line="440" w:lineRule="exact"/>
              <w:jc w:val="center"/>
              <w:outlineLvl w:val="9"/>
              <w:rPr>
                <w:rFonts w:hint="eastAsia" w:ascii="宋体" w:hAnsi="宋体" w:eastAsia="宋体" w:cs="宋体"/>
                <w:color w:val="auto"/>
                <w:sz w:val="24"/>
                <w:szCs w:val="24"/>
              </w:rPr>
            </w:pPr>
          </w:p>
        </w:tc>
      </w:tr>
      <w:tr w14:paraId="3BF65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5" w:hRule="atLeast"/>
          <w:jc w:val="center"/>
        </w:trPr>
        <w:tc>
          <w:tcPr>
            <w:tcW w:w="1903" w:type="dxa"/>
            <w:tcBorders>
              <w:top w:val="single" w:color="auto" w:sz="4" w:space="0"/>
              <w:left w:val="single" w:color="auto" w:sz="4" w:space="0"/>
              <w:bottom w:val="single" w:color="auto" w:sz="4" w:space="0"/>
              <w:right w:val="single" w:color="auto" w:sz="4" w:space="0"/>
            </w:tcBorders>
            <w:noWrap w:val="0"/>
            <w:vAlign w:val="center"/>
          </w:tcPr>
          <w:p w14:paraId="404983AD">
            <w:pPr>
              <w:shd w:val="clear"/>
              <w:topLinePunct/>
              <w:spacing w:line="44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7536" w:type="dxa"/>
            <w:gridSpan w:val="4"/>
            <w:tcBorders>
              <w:top w:val="single" w:color="auto" w:sz="4" w:space="0"/>
              <w:left w:val="single" w:color="auto" w:sz="4" w:space="0"/>
              <w:bottom w:val="single" w:color="auto" w:sz="4" w:space="0"/>
              <w:right w:val="single" w:color="auto" w:sz="4" w:space="0"/>
            </w:tcBorders>
            <w:noWrap w:val="0"/>
            <w:vAlign w:val="center"/>
          </w:tcPr>
          <w:p w14:paraId="5B139E6A">
            <w:pPr>
              <w:shd w:val="clear"/>
              <w:topLinePunct/>
              <w:spacing w:line="440" w:lineRule="exact"/>
              <w:jc w:val="center"/>
              <w:outlineLvl w:val="9"/>
              <w:rPr>
                <w:rFonts w:hint="eastAsia" w:ascii="宋体" w:hAnsi="宋体" w:eastAsia="宋体" w:cs="宋体"/>
                <w:color w:val="auto"/>
                <w:sz w:val="24"/>
                <w:szCs w:val="24"/>
              </w:rPr>
            </w:pPr>
          </w:p>
        </w:tc>
      </w:tr>
      <w:tr w14:paraId="65167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2" w:hRule="atLeast"/>
          <w:jc w:val="center"/>
        </w:trPr>
        <w:tc>
          <w:tcPr>
            <w:tcW w:w="1903" w:type="dxa"/>
            <w:tcBorders>
              <w:top w:val="single" w:color="auto" w:sz="4" w:space="0"/>
              <w:left w:val="single" w:color="auto" w:sz="4" w:space="0"/>
              <w:bottom w:val="single" w:color="auto" w:sz="4" w:space="0"/>
              <w:right w:val="single" w:color="auto" w:sz="4" w:space="0"/>
            </w:tcBorders>
            <w:noWrap w:val="0"/>
            <w:vAlign w:val="center"/>
          </w:tcPr>
          <w:p w14:paraId="2F9D4083">
            <w:pPr>
              <w:shd w:val="clear"/>
              <w:topLinePunct/>
              <w:spacing w:line="44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7536" w:type="dxa"/>
            <w:gridSpan w:val="4"/>
            <w:tcBorders>
              <w:top w:val="single" w:color="auto" w:sz="4" w:space="0"/>
              <w:left w:val="single" w:color="auto" w:sz="4" w:space="0"/>
              <w:bottom w:val="single" w:color="auto" w:sz="4" w:space="0"/>
              <w:right w:val="single" w:color="auto" w:sz="4" w:space="0"/>
            </w:tcBorders>
            <w:noWrap w:val="0"/>
            <w:vAlign w:val="center"/>
          </w:tcPr>
          <w:p w14:paraId="1FE5B48F">
            <w:pPr>
              <w:shd w:val="clear"/>
              <w:topLinePunct/>
              <w:spacing w:line="440" w:lineRule="exact"/>
              <w:jc w:val="center"/>
              <w:outlineLvl w:val="9"/>
              <w:rPr>
                <w:rFonts w:hint="eastAsia" w:ascii="宋体" w:hAnsi="宋体" w:eastAsia="宋体" w:cs="宋体"/>
                <w:color w:val="auto"/>
                <w:sz w:val="24"/>
                <w:szCs w:val="24"/>
              </w:rPr>
            </w:pPr>
          </w:p>
        </w:tc>
      </w:tr>
      <w:tr w14:paraId="61BBA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7" w:hRule="atLeast"/>
          <w:jc w:val="center"/>
        </w:trPr>
        <w:tc>
          <w:tcPr>
            <w:tcW w:w="1903" w:type="dxa"/>
            <w:tcBorders>
              <w:top w:val="single" w:color="auto" w:sz="4" w:space="0"/>
              <w:left w:val="single" w:color="auto" w:sz="4" w:space="0"/>
              <w:right w:val="single" w:color="auto" w:sz="4" w:space="0"/>
            </w:tcBorders>
            <w:noWrap w:val="0"/>
            <w:vAlign w:val="center"/>
          </w:tcPr>
          <w:p w14:paraId="5C56C41B">
            <w:pPr>
              <w:shd w:val="clear"/>
              <w:topLinePunct/>
              <w:spacing w:line="440" w:lineRule="exact"/>
              <w:ind w:firstLine="240" w:firstLineChars="100"/>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7536" w:type="dxa"/>
            <w:gridSpan w:val="4"/>
            <w:tcBorders>
              <w:top w:val="single" w:color="auto" w:sz="4" w:space="0"/>
              <w:left w:val="single" w:color="auto" w:sz="4" w:space="0"/>
              <w:right w:val="single" w:color="auto" w:sz="4" w:space="0"/>
            </w:tcBorders>
            <w:noWrap w:val="0"/>
            <w:vAlign w:val="center"/>
          </w:tcPr>
          <w:p w14:paraId="67AE0F2B">
            <w:pPr>
              <w:shd w:val="clear"/>
              <w:topLinePunct/>
              <w:spacing w:line="440" w:lineRule="exact"/>
              <w:outlineLvl w:val="9"/>
              <w:rPr>
                <w:rFonts w:hint="eastAsia" w:ascii="宋体" w:hAnsi="宋体" w:eastAsia="宋体" w:cs="宋体"/>
                <w:color w:val="auto"/>
                <w:sz w:val="24"/>
                <w:szCs w:val="24"/>
              </w:rPr>
            </w:pPr>
          </w:p>
        </w:tc>
      </w:tr>
      <w:tr w14:paraId="2A692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1903" w:type="dxa"/>
            <w:tcBorders>
              <w:top w:val="single" w:color="auto" w:sz="4" w:space="0"/>
              <w:left w:val="single" w:color="auto" w:sz="4" w:space="0"/>
              <w:bottom w:val="single" w:color="auto" w:sz="4" w:space="0"/>
              <w:right w:val="single" w:color="auto" w:sz="4" w:space="0"/>
            </w:tcBorders>
            <w:noWrap w:val="0"/>
            <w:vAlign w:val="center"/>
          </w:tcPr>
          <w:p w14:paraId="605F111D">
            <w:pPr>
              <w:shd w:val="clear"/>
              <w:topLinePunct/>
              <w:spacing w:line="44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7536" w:type="dxa"/>
            <w:gridSpan w:val="4"/>
            <w:tcBorders>
              <w:top w:val="single" w:color="auto" w:sz="4" w:space="0"/>
              <w:left w:val="single" w:color="auto" w:sz="4" w:space="0"/>
              <w:bottom w:val="single" w:color="auto" w:sz="4" w:space="0"/>
              <w:right w:val="single" w:color="auto" w:sz="4" w:space="0"/>
            </w:tcBorders>
            <w:noWrap w:val="0"/>
            <w:vAlign w:val="center"/>
          </w:tcPr>
          <w:p w14:paraId="16152CC1">
            <w:pPr>
              <w:shd w:val="clear"/>
              <w:spacing w:line="360" w:lineRule="auto"/>
              <w:jc w:val="left"/>
              <w:outlineLvl w:val="9"/>
              <w:rPr>
                <w:rFonts w:hint="eastAsia" w:ascii="宋体" w:hAnsi="宋体" w:eastAsia="宋体" w:cs="宋体"/>
                <w:color w:val="auto"/>
                <w:sz w:val="24"/>
                <w:szCs w:val="24"/>
              </w:rPr>
            </w:pPr>
          </w:p>
        </w:tc>
      </w:tr>
    </w:tbl>
    <w:p w14:paraId="0056A2B4">
      <w:pPr>
        <w:shd w:val="clear"/>
        <w:spacing w:line="480" w:lineRule="auto"/>
        <w:ind w:right="480"/>
        <w:jc w:val="center"/>
        <w:rPr>
          <w:rFonts w:hint="eastAsia" w:ascii="宋体" w:hAnsi="宋体" w:eastAsia="宋体" w:cs="宋体"/>
          <w:b/>
          <w:sz w:val="32"/>
          <w:szCs w:val="32"/>
        </w:rPr>
      </w:pPr>
    </w:p>
    <w:p w14:paraId="0E2B4A28">
      <w:pPr>
        <w:pStyle w:val="9"/>
        <w:shd w:val="clear"/>
        <w:rPr>
          <w:rFonts w:hint="eastAsia" w:ascii="宋体" w:hAnsi="宋体" w:eastAsia="宋体" w:cs="宋体"/>
        </w:rPr>
      </w:pPr>
    </w:p>
    <w:p w14:paraId="27DDF8FD">
      <w:pPr>
        <w:shd w:val="clear"/>
        <w:spacing w:line="480" w:lineRule="auto"/>
        <w:ind w:right="480"/>
        <w:jc w:val="center"/>
        <w:rPr>
          <w:rFonts w:hint="eastAsia" w:ascii="宋体" w:hAnsi="宋体" w:eastAsia="宋体" w:cs="宋体"/>
          <w:b/>
          <w:sz w:val="32"/>
          <w:szCs w:val="32"/>
          <w:u w:val="single"/>
        </w:rPr>
      </w:pPr>
      <w:r>
        <w:rPr>
          <w:rFonts w:hint="eastAsia" w:ascii="宋体" w:hAnsi="宋体" w:eastAsia="宋体" w:cs="宋体"/>
          <w:b/>
          <w:sz w:val="32"/>
          <w:szCs w:val="32"/>
        </w:rPr>
        <w:t>商务偏离表</w:t>
      </w:r>
      <w:bookmarkEnd w:id="236"/>
    </w:p>
    <w:p w14:paraId="0B02B400">
      <w:pPr>
        <w:shd w:val="clear"/>
        <w:rPr>
          <w:rFonts w:hint="eastAsia" w:ascii="宋体" w:hAnsi="宋体" w:eastAsia="宋体" w:cs="宋体"/>
          <w:szCs w:val="32"/>
        </w:rPr>
      </w:pPr>
    </w:p>
    <w:p w14:paraId="4EADDC47">
      <w:pPr>
        <w:shd w:val="clea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lang w:eastAsia="zh-CN"/>
        </w:rPr>
        <w:t>项目编号</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bl>
      <w:tblPr>
        <w:tblStyle w:val="2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19"/>
        <w:gridCol w:w="2629"/>
        <w:gridCol w:w="2678"/>
        <w:gridCol w:w="1157"/>
        <w:gridCol w:w="1709"/>
      </w:tblGrid>
      <w:tr w14:paraId="6BB72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619" w:type="dxa"/>
            <w:noWrap w:val="0"/>
            <w:vAlign w:val="center"/>
          </w:tcPr>
          <w:p w14:paraId="1C98C336">
            <w:pPr>
              <w:shd w:val="clea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629" w:type="dxa"/>
            <w:noWrap w:val="0"/>
            <w:vAlign w:val="center"/>
          </w:tcPr>
          <w:p w14:paraId="3E41041D">
            <w:pPr>
              <w:shd w:val="clea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招标文件商务要求</w:t>
            </w:r>
          </w:p>
        </w:tc>
        <w:tc>
          <w:tcPr>
            <w:tcW w:w="2678" w:type="dxa"/>
            <w:noWrap w:val="0"/>
            <w:vAlign w:val="center"/>
          </w:tcPr>
          <w:p w14:paraId="6DC571E9">
            <w:pPr>
              <w:shd w:val="clea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投标文件商务响应</w:t>
            </w:r>
          </w:p>
        </w:tc>
        <w:tc>
          <w:tcPr>
            <w:tcW w:w="1157" w:type="dxa"/>
            <w:noWrap w:val="0"/>
            <w:vAlign w:val="center"/>
          </w:tcPr>
          <w:p w14:paraId="7EBF8325">
            <w:pPr>
              <w:shd w:val="clea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偏离</w:t>
            </w:r>
          </w:p>
        </w:tc>
        <w:tc>
          <w:tcPr>
            <w:tcW w:w="1709" w:type="dxa"/>
            <w:noWrap w:val="0"/>
            <w:vAlign w:val="center"/>
          </w:tcPr>
          <w:p w14:paraId="2318F86F">
            <w:pPr>
              <w:shd w:val="clea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说明</w:t>
            </w:r>
          </w:p>
        </w:tc>
      </w:tr>
      <w:tr w14:paraId="12CC1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noWrap w:val="0"/>
            <w:vAlign w:val="center"/>
          </w:tcPr>
          <w:p w14:paraId="4DCA4A29">
            <w:pPr>
              <w:shd w:val="clear"/>
              <w:spacing w:line="360" w:lineRule="auto"/>
              <w:jc w:val="center"/>
              <w:rPr>
                <w:rFonts w:hint="eastAsia" w:ascii="宋体" w:hAnsi="宋体" w:eastAsia="宋体" w:cs="宋体"/>
                <w:sz w:val="24"/>
                <w:szCs w:val="24"/>
              </w:rPr>
            </w:pPr>
          </w:p>
        </w:tc>
        <w:tc>
          <w:tcPr>
            <w:tcW w:w="2629" w:type="dxa"/>
            <w:noWrap w:val="0"/>
            <w:vAlign w:val="center"/>
          </w:tcPr>
          <w:p w14:paraId="7781C7C6">
            <w:pPr>
              <w:shd w:val="clear"/>
              <w:spacing w:line="360" w:lineRule="auto"/>
              <w:jc w:val="center"/>
              <w:rPr>
                <w:rFonts w:hint="eastAsia" w:ascii="宋体" w:hAnsi="宋体" w:eastAsia="宋体" w:cs="宋体"/>
                <w:sz w:val="24"/>
                <w:szCs w:val="24"/>
              </w:rPr>
            </w:pPr>
          </w:p>
        </w:tc>
        <w:tc>
          <w:tcPr>
            <w:tcW w:w="2678" w:type="dxa"/>
            <w:noWrap w:val="0"/>
            <w:vAlign w:val="center"/>
          </w:tcPr>
          <w:p w14:paraId="56DD08D5">
            <w:pPr>
              <w:shd w:val="clear"/>
              <w:spacing w:line="360" w:lineRule="auto"/>
              <w:jc w:val="center"/>
              <w:rPr>
                <w:rFonts w:hint="eastAsia" w:ascii="宋体" w:hAnsi="宋体" w:eastAsia="宋体" w:cs="宋体"/>
                <w:sz w:val="24"/>
                <w:szCs w:val="24"/>
              </w:rPr>
            </w:pPr>
          </w:p>
        </w:tc>
        <w:tc>
          <w:tcPr>
            <w:tcW w:w="1157" w:type="dxa"/>
            <w:noWrap w:val="0"/>
            <w:vAlign w:val="center"/>
          </w:tcPr>
          <w:p w14:paraId="1B024BBE">
            <w:pPr>
              <w:shd w:val="clear"/>
              <w:spacing w:line="360" w:lineRule="auto"/>
              <w:jc w:val="center"/>
              <w:rPr>
                <w:rFonts w:hint="eastAsia" w:ascii="宋体" w:hAnsi="宋体" w:eastAsia="宋体" w:cs="宋体"/>
                <w:sz w:val="24"/>
                <w:szCs w:val="24"/>
              </w:rPr>
            </w:pPr>
          </w:p>
        </w:tc>
        <w:tc>
          <w:tcPr>
            <w:tcW w:w="1709" w:type="dxa"/>
            <w:noWrap w:val="0"/>
            <w:vAlign w:val="center"/>
          </w:tcPr>
          <w:p w14:paraId="37225B7E">
            <w:pPr>
              <w:shd w:val="clear"/>
              <w:spacing w:line="360" w:lineRule="auto"/>
              <w:jc w:val="center"/>
              <w:rPr>
                <w:rFonts w:hint="eastAsia" w:ascii="宋体" w:hAnsi="宋体" w:eastAsia="宋体" w:cs="宋体"/>
                <w:sz w:val="24"/>
                <w:szCs w:val="24"/>
              </w:rPr>
            </w:pPr>
          </w:p>
        </w:tc>
      </w:tr>
      <w:tr w14:paraId="61200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noWrap w:val="0"/>
            <w:vAlign w:val="center"/>
          </w:tcPr>
          <w:p w14:paraId="673968C8">
            <w:pPr>
              <w:shd w:val="clear"/>
              <w:spacing w:line="360" w:lineRule="auto"/>
              <w:jc w:val="center"/>
              <w:rPr>
                <w:rFonts w:hint="eastAsia" w:ascii="宋体" w:hAnsi="宋体" w:eastAsia="宋体" w:cs="宋体"/>
                <w:sz w:val="24"/>
                <w:szCs w:val="24"/>
              </w:rPr>
            </w:pPr>
          </w:p>
        </w:tc>
        <w:tc>
          <w:tcPr>
            <w:tcW w:w="2629" w:type="dxa"/>
            <w:noWrap w:val="0"/>
            <w:vAlign w:val="center"/>
          </w:tcPr>
          <w:p w14:paraId="0063D238">
            <w:pPr>
              <w:shd w:val="clear"/>
              <w:spacing w:line="360" w:lineRule="auto"/>
              <w:jc w:val="center"/>
              <w:rPr>
                <w:rFonts w:hint="eastAsia" w:ascii="宋体" w:hAnsi="宋体" w:eastAsia="宋体" w:cs="宋体"/>
                <w:sz w:val="24"/>
                <w:szCs w:val="24"/>
              </w:rPr>
            </w:pPr>
          </w:p>
        </w:tc>
        <w:tc>
          <w:tcPr>
            <w:tcW w:w="2678" w:type="dxa"/>
            <w:noWrap w:val="0"/>
            <w:vAlign w:val="center"/>
          </w:tcPr>
          <w:p w14:paraId="45B59B86">
            <w:pPr>
              <w:shd w:val="clear"/>
              <w:spacing w:line="360" w:lineRule="auto"/>
              <w:jc w:val="center"/>
              <w:rPr>
                <w:rFonts w:hint="eastAsia" w:ascii="宋体" w:hAnsi="宋体" w:eastAsia="宋体" w:cs="宋体"/>
                <w:sz w:val="24"/>
                <w:szCs w:val="24"/>
              </w:rPr>
            </w:pPr>
          </w:p>
        </w:tc>
        <w:tc>
          <w:tcPr>
            <w:tcW w:w="1157" w:type="dxa"/>
            <w:noWrap w:val="0"/>
            <w:vAlign w:val="center"/>
          </w:tcPr>
          <w:p w14:paraId="4259230E">
            <w:pPr>
              <w:shd w:val="clear"/>
              <w:spacing w:line="360" w:lineRule="auto"/>
              <w:jc w:val="center"/>
              <w:rPr>
                <w:rFonts w:hint="eastAsia" w:ascii="宋体" w:hAnsi="宋体" w:eastAsia="宋体" w:cs="宋体"/>
                <w:sz w:val="24"/>
                <w:szCs w:val="24"/>
              </w:rPr>
            </w:pPr>
          </w:p>
        </w:tc>
        <w:tc>
          <w:tcPr>
            <w:tcW w:w="1709" w:type="dxa"/>
            <w:noWrap w:val="0"/>
            <w:vAlign w:val="center"/>
          </w:tcPr>
          <w:p w14:paraId="1BADD59A">
            <w:pPr>
              <w:shd w:val="clear"/>
              <w:spacing w:line="360" w:lineRule="auto"/>
              <w:jc w:val="center"/>
              <w:rPr>
                <w:rFonts w:hint="eastAsia" w:ascii="宋体" w:hAnsi="宋体" w:eastAsia="宋体" w:cs="宋体"/>
                <w:sz w:val="24"/>
                <w:szCs w:val="24"/>
              </w:rPr>
            </w:pPr>
          </w:p>
        </w:tc>
      </w:tr>
      <w:tr w14:paraId="684B0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noWrap w:val="0"/>
            <w:vAlign w:val="center"/>
          </w:tcPr>
          <w:p w14:paraId="6D813050">
            <w:pPr>
              <w:shd w:val="clear"/>
              <w:spacing w:line="360" w:lineRule="auto"/>
              <w:jc w:val="center"/>
              <w:rPr>
                <w:rFonts w:hint="eastAsia" w:ascii="宋体" w:hAnsi="宋体" w:eastAsia="宋体" w:cs="宋体"/>
                <w:sz w:val="24"/>
                <w:szCs w:val="24"/>
              </w:rPr>
            </w:pPr>
          </w:p>
        </w:tc>
        <w:tc>
          <w:tcPr>
            <w:tcW w:w="2629" w:type="dxa"/>
            <w:noWrap w:val="0"/>
            <w:vAlign w:val="center"/>
          </w:tcPr>
          <w:p w14:paraId="774B45AF">
            <w:pPr>
              <w:shd w:val="clear"/>
              <w:spacing w:line="360" w:lineRule="auto"/>
              <w:jc w:val="center"/>
              <w:rPr>
                <w:rFonts w:hint="eastAsia" w:ascii="宋体" w:hAnsi="宋体" w:eastAsia="宋体" w:cs="宋体"/>
                <w:sz w:val="24"/>
                <w:szCs w:val="24"/>
              </w:rPr>
            </w:pPr>
          </w:p>
        </w:tc>
        <w:tc>
          <w:tcPr>
            <w:tcW w:w="2678" w:type="dxa"/>
            <w:noWrap w:val="0"/>
            <w:vAlign w:val="center"/>
          </w:tcPr>
          <w:p w14:paraId="596ECEEB">
            <w:pPr>
              <w:shd w:val="clear"/>
              <w:spacing w:line="360" w:lineRule="auto"/>
              <w:jc w:val="center"/>
              <w:rPr>
                <w:rFonts w:hint="eastAsia" w:ascii="宋体" w:hAnsi="宋体" w:eastAsia="宋体" w:cs="宋体"/>
                <w:sz w:val="24"/>
                <w:szCs w:val="24"/>
              </w:rPr>
            </w:pPr>
          </w:p>
        </w:tc>
        <w:tc>
          <w:tcPr>
            <w:tcW w:w="1157" w:type="dxa"/>
            <w:noWrap w:val="0"/>
            <w:vAlign w:val="center"/>
          </w:tcPr>
          <w:p w14:paraId="276264B5">
            <w:pPr>
              <w:shd w:val="clear"/>
              <w:spacing w:line="360" w:lineRule="auto"/>
              <w:jc w:val="center"/>
              <w:rPr>
                <w:rFonts w:hint="eastAsia" w:ascii="宋体" w:hAnsi="宋体" w:eastAsia="宋体" w:cs="宋体"/>
                <w:sz w:val="24"/>
                <w:szCs w:val="24"/>
              </w:rPr>
            </w:pPr>
          </w:p>
        </w:tc>
        <w:tc>
          <w:tcPr>
            <w:tcW w:w="1709" w:type="dxa"/>
            <w:noWrap w:val="0"/>
            <w:vAlign w:val="center"/>
          </w:tcPr>
          <w:p w14:paraId="5C527CDB">
            <w:pPr>
              <w:shd w:val="clear"/>
              <w:spacing w:line="360" w:lineRule="auto"/>
              <w:jc w:val="center"/>
              <w:rPr>
                <w:rFonts w:hint="eastAsia" w:ascii="宋体" w:hAnsi="宋体" w:eastAsia="宋体" w:cs="宋体"/>
                <w:sz w:val="24"/>
                <w:szCs w:val="24"/>
              </w:rPr>
            </w:pPr>
          </w:p>
        </w:tc>
      </w:tr>
      <w:tr w14:paraId="25F90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noWrap w:val="0"/>
            <w:vAlign w:val="center"/>
          </w:tcPr>
          <w:p w14:paraId="13266B16">
            <w:pPr>
              <w:shd w:val="clear"/>
              <w:spacing w:line="360" w:lineRule="auto"/>
              <w:jc w:val="center"/>
              <w:rPr>
                <w:rFonts w:hint="eastAsia" w:ascii="宋体" w:hAnsi="宋体" w:eastAsia="宋体" w:cs="宋体"/>
                <w:sz w:val="24"/>
                <w:szCs w:val="24"/>
              </w:rPr>
            </w:pPr>
          </w:p>
        </w:tc>
        <w:tc>
          <w:tcPr>
            <w:tcW w:w="2629" w:type="dxa"/>
            <w:noWrap w:val="0"/>
            <w:vAlign w:val="center"/>
          </w:tcPr>
          <w:p w14:paraId="50F57941">
            <w:pPr>
              <w:shd w:val="clear"/>
              <w:spacing w:line="360" w:lineRule="auto"/>
              <w:jc w:val="center"/>
              <w:rPr>
                <w:rFonts w:hint="eastAsia" w:ascii="宋体" w:hAnsi="宋体" w:eastAsia="宋体" w:cs="宋体"/>
                <w:sz w:val="24"/>
                <w:szCs w:val="24"/>
              </w:rPr>
            </w:pPr>
          </w:p>
        </w:tc>
        <w:tc>
          <w:tcPr>
            <w:tcW w:w="2678" w:type="dxa"/>
            <w:noWrap w:val="0"/>
            <w:vAlign w:val="center"/>
          </w:tcPr>
          <w:p w14:paraId="45F05C3C">
            <w:pPr>
              <w:shd w:val="clear"/>
              <w:spacing w:line="360" w:lineRule="auto"/>
              <w:jc w:val="center"/>
              <w:rPr>
                <w:rFonts w:hint="eastAsia" w:ascii="宋体" w:hAnsi="宋体" w:eastAsia="宋体" w:cs="宋体"/>
                <w:sz w:val="24"/>
                <w:szCs w:val="24"/>
              </w:rPr>
            </w:pPr>
          </w:p>
        </w:tc>
        <w:tc>
          <w:tcPr>
            <w:tcW w:w="1157" w:type="dxa"/>
            <w:noWrap w:val="0"/>
            <w:vAlign w:val="center"/>
          </w:tcPr>
          <w:p w14:paraId="51F7B9E1">
            <w:pPr>
              <w:shd w:val="clear"/>
              <w:spacing w:line="360" w:lineRule="auto"/>
              <w:jc w:val="center"/>
              <w:rPr>
                <w:rFonts w:hint="eastAsia" w:ascii="宋体" w:hAnsi="宋体" w:eastAsia="宋体" w:cs="宋体"/>
                <w:sz w:val="24"/>
                <w:szCs w:val="24"/>
              </w:rPr>
            </w:pPr>
          </w:p>
        </w:tc>
        <w:tc>
          <w:tcPr>
            <w:tcW w:w="1709" w:type="dxa"/>
            <w:noWrap w:val="0"/>
            <w:vAlign w:val="center"/>
          </w:tcPr>
          <w:p w14:paraId="3D576A71">
            <w:pPr>
              <w:shd w:val="clear"/>
              <w:spacing w:line="360" w:lineRule="auto"/>
              <w:jc w:val="center"/>
              <w:rPr>
                <w:rFonts w:hint="eastAsia" w:ascii="宋体" w:hAnsi="宋体" w:eastAsia="宋体" w:cs="宋体"/>
                <w:sz w:val="24"/>
                <w:szCs w:val="24"/>
              </w:rPr>
            </w:pPr>
          </w:p>
        </w:tc>
      </w:tr>
      <w:tr w14:paraId="5F586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noWrap w:val="0"/>
            <w:vAlign w:val="center"/>
          </w:tcPr>
          <w:p w14:paraId="706FDB39">
            <w:pPr>
              <w:shd w:val="clear"/>
              <w:spacing w:line="360" w:lineRule="auto"/>
              <w:jc w:val="center"/>
              <w:rPr>
                <w:rFonts w:hint="eastAsia" w:ascii="宋体" w:hAnsi="宋体" w:eastAsia="宋体" w:cs="宋体"/>
                <w:sz w:val="24"/>
                <w:szCs w:val="24"/>
              </w:rPr>
            </w:pPr>
          </w:p>
        </w:tc>
        <w:tc>
          <w:tcPr>
            <w:tcW w:w="2629" w:type="dxa"/>
            <w:noWrap w:val="0"/>
            <w:vAlign w:val="center"/>
          </w:tcPr>
          <w:p w14:paraId="618C1BA4">
            <w:pPr>
              <w:shd w:val="clear"/>
              <w:spacing w:line="360" w:lineRule="auto"/>
              <w:jc w:val="center"/>
              <w:rPr>
                <w:rFonts w:hint="eastAsia" w:ascii="宋体" w:hAnsi="宋体" w:eastAsia="宋体" w:cs="宋体"/>
                <w:sz w:val="24"/>
                <w:szCs w:val="24"/>
              </w:rPr>
            </w:pPr>
          </w:p>
        </w:tc>
        <w:tc>
          <w:tcPr>
            <w:tcW w:w="2678" w:type="dxa"/>
            <w:noWrap w:val="0"/>
            <w:vAlign w:val="center"/>
          </w:tcPr>
          <w:p w14:paraId="5FEF8BC1">
            <w:pPr>
              <w:shd w:val="clear"/>
              <w:spacing w:line="360" w:lineRule="auto"/>
              <w:jc w:val="center"/>
              <w:rPr>
                <w:rFonts w:hint="eastAsia" w:ascii="宋体" w:hAnsi="宋体" w:eastAsia="宋体" w:cs="宋体"/>
                <w:sz w:val="24"/>
                <w:szCs w:val="24"/>
              </w:rPr>
            </w:pPr>
          </w:p>
        </w:tc>
        <w:tc>
          <w:tcPr>
            <w:tcW w:w="1157" w:type="dxa"/>
            <w:noWrap w:val="0"/>
            <w:vAlign w:val="center"/>
          </w:tcPr>
          <w:p w14:paraId="239B427A">
            <w:pPr>
              <w:shd w:val="clear"/>
              <w:spacing w:line="360" w:lineRule="auto"/>
              <w:jc w:val="center"/>
              <w:rPr>
                <w:rFonts w:hint="eastAsia" w:ascii="宋体" w:hAnsi="宋体" w:eastAsia="宋体" w:cs="宋体"/>
                <w:sz w:val="24"/>
                <w:szCs w:val="24"/>
              </w:rPr>
            </w:pPr>
          </w:p>
        </w:tc>
        <w:tc>
          <w:tcPr>
            <w:tcW w:w="1709" w:type="dxa"/>
            <w:noWrap w:val="0"/>
            <w:vAlign w:val="center"/>
          </w:tcPr>
          <w:p w14:paraId="79A761DA">
            <w:pPr>
              <w:shd w:val="clear"/>
              <w:spacing w:line="360" w:lineRule="auto"/>
              <w:jc w:val="center"/>
              <w:rPr>
                <w:rFonts w:hint="eastAsia" w:ascii="宋体" w:hAnsi="宋体" w:eastAsia="宋体" w:cs="宋体"/>
                <w:sz w:val="24"/>
                <w:szCs w:val="24"/>
              </w:rPr>
            </w:pPr>
          </w:p>
        </w:tc>
      </w:tr>
      <w:tr w14:paraId="1A65E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noWrap w:val="0"/>
            <w:vAlign w:val="center"/>
          </w:tcPr>
          <w:p w14:paraId="1168B660">
            <w:pPr>
              <w:shd w:val="clear"/>
              <w:spacing w:line="360" w:lineRule="auto"/>
              <w:jc w:val="center"/>
              <w:rPr>
                <w:rFonts w:hint="eastAsia" w:ascii="宋体" w:hAnsi="宋体" w:eastAsia="宋体" w:cs="宋体"/>
                <w:sz w:val="24"/>
                <w:szCs w:val="24"/>
              </w:rPr>
            </w:pPr>
          </w:p>
        </w:tc>
        <w:tc>
          <w:tcPr>
            <w:tcW w:w="2629" w:type="dxa"/>
            <w:noWrap w:val="0"/>
            <w:vAlign w:val="center"/>
          </w:tcPr>
          <w:p w14:paraId="6D149DE0">
            <w:pPr>
              <w:shd w:val="clear"/>
              <w:spacing w:line="360" w:lineRule="auto"/>
              <w:jc w:val="center"/>
              <w:rPr>
                <w:rFonts w:hint="eastAsia" w:ascii="宋体" w:hAnsi="宋体" w:eastAsia="宋体" w:cs="宋体"/>
                <w:sz w:val="24"/>
                <w:szCs w:val="24"/>
              </w:rPr>
            </w:pPr>
          </w:p>
        </w:tc>
        <w:tc>
          <w:tcPr>
            <w:tcW w:w="2678" w:type="dxa"/>
            <w:noWrap w:val="0"/>
            <w:vAlign w:val="center"/>
          </w:tcPr>
          <w:p w14:paraId="2CBDA9BC">
            <w:pPr>
              <w:shd w:val="clear"/>
              <w:spacing w:line="360" w:lineRule="auto"/>
              <w:jc w:val="center"/>
              <w:rPr>
                <w:rFonts w:hint="eastAsia" w:ascii="宋体" w:hAnsi="宋体" w:eastAsia="宋体" w:cs="宋体"/>
                <w:sz w:val="24"/>
                <w:szCs w:val="24"/>
              </w:rPr>
            </w:pPr>
          </w:p>
        </w:tc>
        <w:tc>
          <w:tcPr>
            <w:tcW w:w="1157" w:type="dxa"/>
            <w:noWrap w:val="0"/>
            <w:vAlign w:val="center"/>
          </w:tcPr>
          <w:p w14:paraId="7E3DD41A">
            <w:pPr>
              <w:shd w:val="clear"/>
              <w:spacing w:line="360" w:lineRule="auto"/>
              <w:jc w:val="center"/>
              <w:rPr>
                <w:rFonts w:hint="eastAsia" w:ascii="宋体" w:hAnsi="宋体" w:eastAsia="宋体" w:cs="宋体"/>
                <w:sz w:val="24"/>
                <w:szCs w:val="24"/>
              </w:rPr>
            </w:pPr>
          </w:p>
        </w:tc>
        <w:tc>
          <w:tcPr>
            <w:tcW w:w="1709" w:type="dxa"/>
            <w:noWrap w:val="0"/>
            <w:vAlign w:val="center"/>
          </w:tcPr>
          <w:p w14:paraId="377C8991">
            <w:pPr>
              <w:shd w:val="clear"/>
              <w:spacing w:line="360" w:lineRule="auto"/>
              <w:jc w:val="center"/>
              <w:rPr>
                <w:rFonts w:hint="eastAsia" w:ascii="宋体" w:hAnsi="宋体" w:eastAsia="宋体" w:cs="宋体"/>
                <w:sz w:val="24"/>
                <w:szCs w:val="24"/>
              </w:rPr>
            </w:pPr>
          </w:p>
        </w:tc>
      </w:tr>
      <w:tr w14:paraId="76A88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noWrap w:val="0"/>
            <w:vAlign w:val="center"/>
          </w:tcPr>
          <w:p w14:paraId="1398D7B5">
            <w:pPr>
              <w:shd w:val="clear"/>
              <w:spacing w:line="360" w:lineRule="auto"/>
              <w:jc w:val="center"/>
              <w:rPr>
                <w:rFonts w:hint="eastAsia" w:ascii="宋体" w:hAnsi="宋体" w:eastAsia="宋体" w:cs="宋体"/>
                <w:sz w:val="24"/>
                <w:szCs w:val="24"/>
              </w:rPr>
            </w:pPr>
          </w:p>
        </w:tc>
        <w:tc>
          <w:tcPr>
            <w:tcW w:w="2629" w:type="dxa"/>
            <w:noWrap w:val="0"/>
            <w:vAlign w:val="center"/>
          </w:tcPr>
          <w:p w14:paraId="5DDA59B1">
            <w:pPr>
              <w:shd w:val="clear"/>
              <w:spacing w:line="360" w:lineRule="auto"/>
              <w:jc w:val="center"/>
              <w:rPr>
                <w:rFonts w:hint="eastAsia" w:ascii="宋体" w:hAnsi="宋体" w:eastAsia="宋体" w:cs="宋体"/>
                <w:sz w:val="24"/>
                <w:szCs w:val="24"/>
              </w:rPr>
            </w:pPr>
          </w:p>
        </w:tc>
        <w:tc>
          <w:tcPr>
            <w:tcW w:w="2678" w:type="dxa"/>
            <w:noWrap w:val="0"/>
            <w:vAlign w:val="center"/>
          </w:tcPr>
          <w:p w14:paraId="48C66393">
            <w:pPr>
              <w:shd w:val="clear"/>
              <w:spacing w:line="360" w:lineRule="auto"/>
              <w:jc w:val="center"/>
              <w:rPr>
                <w:rFonts w:hint="eastAsia" w:ascii="宋体" w:hAnsi="宋体" w:eastAsia="宋体" w:cs="宋体"/>
                <w:sz w:val="24"/>
                <w:szCs w:val="24"/>
              </w:rPr>
            </w:pPr>
          </w:p>
        </w:tc>
        <w:tc>
          <w:tcPr>
            <w:tcW w:w="1157" w:type="dxa"/>
            <w:noWrap w:val="0"/>
            <w:vAlign w:val="center"/>
          </w:tcPr>
          <w:p w14:paraId="01338302">
            <w:pPr>
              <w:shd w:val="clear"/>
              <w:spacing w:line="360" w:lineRule="auto"/>
              <w:jc w:val="center"/>
              <w:rPr>
                <w:rFonts w:hint="eastAsia" w:ascii="宋体" w:hAnsi="宋体" w:eastAsia="宋体" w:cs="宋体"/>
                <w:sz w:val="24"/>
                <w:szCs w:val="24"/>
              </w:rPr>
            </w:pPr>
          </w:p>
        </w:tc>
        <w:tc>
          <w:tcPr>
            <w:tcW w:w="1709" w:type="dxa"/>
            <w:noWrap w:val="0"/>
            <w:vAlign w:val="center"/>
          </w:tcPr>
          <w:p w14:paraId="4597C03A">
            <w:pPr>
              <w:shd w:val="clear"/>
              <w:spacing w:line="360" w:lineRule="auto"/>
              <w:jc w:val="center"/>
              <w:rPr>
                <w:rFonts w:hint="eastAsia" w:ascii="宋体" w:hAnsi="宋体" w:eastAsia="宋体" w:cs="宋体"/>
                <w:sz w:val="24"/>
                <w:szCs w:val="24"/>
              </w:rPr>
            </w:pPr>
          </w:p>
        </w:tc>
      </w:tr>
      <w:tr w14:paraId="036F2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noWrap w:val="0"/>
            <w:vAlign w:val="center"/>
          </w:tcPr>
          <w:p w14:paraId="4DD73FB5">
            <w:pPr>
              <w:shd w:val="clear"/>
              <w:spacing w:line="360" w:lineRule="auto"/>
              <w:jc w:val="center"/>
              <w:rPr>
                <w:rFonts w:hint="eastAsia" w:ascii="宋体" w:hAnsi="宋体" w:eastAsia="宋体" w:cs="宋体"/>
                <w:sz w:val="24"/>
                <w:szCs w:val="24"/>
              </w:rPr>
            </w:pPr>
          </w:p>
        </w:tc>
        <w:tc>
          <w:tcPr>
            <w:tcW w:w="2629" w:type="dxa"/>
            <w:noWrap w:val="0"/>
            <w:vAlign w:val="center"/>
          </w:tcPr>
          <w:p w14:paraId="790087D5">
            <w:pPr>
              <w:shd w:val="clear"/>
              <w:spacing w:line="360" w:lineRule="auto"/>
              <w:jc w:val="center"/>
              <w:rPr>
                <w:rFonts w:hint="eastAsia" w:ascii="宋体" w:hAnsi="宋体" w:eastAsia="宋体" w:cs="宋体"/>
                <w:sz w:val="24"/>
                <w:szCs w:val="24"/>
              </w:rPr>
            </w:pPr>
          </w:p>
        </w:tc>
        <w:tc>
          <w:tcPr>
            <w:tcW w:w="2678" w:type="dxa"/>
            <w:noWrap w:val="0"/>
            <w:vAlign w:val="center"/>
          </w:tcPr>
          <w:p w14:paraId="3CCC23DC">
            <w:pPr>
              <w:shd w:val="clear"/>
              <w:spacing w:line="360" w:lineRule="auto"/>
              <w:jc w:val="center"/>
              <w:rPr>
                <w:rFonts w:hint="eastAsia" w:ascii="宋体" w:hAnsi="宋体" w:eastAsia="宋体" w:cs="宋体"/>
                <w:sz w:val="24"/>
                <w:szCs w:val="24"/>
              </w:rPr>
            </w:pPr>
          </w:p>
        </w:tc>
        <w:tc>
          <w:tcPr>
            <w:tcW w:w="1157" w:type="dxa"/>
            <w:noWrap w:val="0"/>
            <w:vAlign w:val="center"/>
          </w:tcPr>
          <w:p w14:paraId="23F36FA9">
            <w:pPr>
              <w:shd w:val="clear"/>
              <w:spacing w:line="360" w:lineRule="auto"/>
              <w:jc w:val="center"/>
              <w:rPr>
                <w:rFonts w:hint="eastAsia" w:ascii="宋体" w:hAnsi="宋体" w:eastAsia="宋体" w:cs="宋体"/>
                <w:sz w:val="24"/>
                <w:szCs w:val="24"/>
              </w:rPr>
            </w:pPr>
          </w:p>
        </w:tc>
        <w:tc>
          <w:tcPr>
            <w:tcW w:w="1709" w:type="dxa"/>
            <w:noWrap w:val="0"/>
            <w:vAlign w:val="center"/>
          </w:tcPr>
          <w:p w14:paraId="351E3D67">
            <w:pPr>
              <w:shd w:val="clear"/>
              <w:spacing w:line="360" w:lineRule="auto"/>
              <w:jc w:val="center"/>
              <w:rPr>
                <w:rFonts w:hint="eastAsia" w:ascii="宋体" w:hAnsi="宋体" w:eastAsia="宋体" w:cs="宋体"/>
                <w:sz w:val="24"/>
                <w:szCs w:val="24"/>
              </w:rPr>
            </w:pPr>
          </w:p>
        </w:tc>
      </w:tr>
      <w:tr w14:paraId="74051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noWrap w:val="0"/>
            <w:vAlign w:val="center"/>
          </w:tcPr>
          <w:p w14:paraId="22BDD05A">
            <w:pPr>
              <w:shd w:val="clear"/>
              <w:spacing w:line="360" w:lineRule="auto"/>
              <w:jc w:val="center"/>
              <w:rPr>
                <w:rFonts w:hint="eastAsia" w:ascii="宋体" w:hAnsi="宋体" w:eastAsia="宋体" w:cs="宋体"/>
                <w:sz w:val="24"/>
                <w:szCs w:val="24"/>
              </w:rPr>
            </w:pPr>
          </w:p>
        </w:tc>
        <w:tc>
          <w:tcPr>
            <w:tcW w:w="2629" w:type="dxa"/>
            <w:noWrap w:val="0"/>
            <w:vAlign w:val="center"/>
          </w:tcPr>
          <w:p w14:paraId="413CE7AB">
            <w:pPr>
              <w:shd w:val="clear"/>
              <w:spacing w:line="360" w:lineRule="auto"/>
              <w:jc w:val="center"/>
              <w:rPr>
                <w:rFonts w:hint="eastAsia" w:ascii="宋体" w:hAnsi="宋体" w:eastAsia="宋体" w:cs="宋体"/>
                <w:sz w:val="24"/>
                <w:szCs w:val="24"/>
              </w:rPr>
            </w:pPr>
          </w:p>
        </w:tc>
        <w:tc>
          <w:tcPr>
            <w:tcW w:w="2678" w:type="dxa"/>
            <w:noWrap w:val="0"/>
            <w:vAlign w:val="center"/>
          </w:tcPr>
          <w:p w14:paraId="509E0393">
            <w:pPr>
              <w:shd w:val="clear"/>
              <w:spacing w:line="360" w:lineRule="auto"/>
              <w:jc w:val="center"/>
              <w:rPr>
                <w:rFonts w:hint="eastAsia" w:ascii="宋体" w:hAnsi="宋体" w:eastAsia="宋体" w:cs="宋体"/>
                <w:sz w:val="24"/>
                <w:szCs w:val="24"/>
              </w:rPr>
            </w:pPr>
          </w:p>
        </w:tc>
        <w:tc>
          <w:tcPr>
            <w:tcW w:w="1157" w:type="dxa"/>
            <w:noWrap w:val="0"/>
            <w:vAlign w:val="center"/>
          </w:tcPr>
          <w:p w14:paraId="3084A662">
            <w:pPr>
              <w:shd w:val="clear"/>
              <w:spacing w:line="360" w:lineRule="auto"/>
              <w:jc w:val="center"/>
              <w:rPr>
                <w:rFonts w:hint="eastAsia" w:ascii="宋体" w:hAnsi="宋体" w:eastAsia="宋体" w:cs="宋体"/>
                <w:sz w:val="24"/>
                <w:szCs w:val="24"/>
              </w:rPr>
            </w:pPr>
          </w:p>
        </w:tc>
        <w:tc>
          <w:tcPr>
            <w:tcW w:w="1709" w:type="dxa"/>
            <w:noWrap w:val="0"/>
            <w:vAlign w:val="center"/>
          </w:tcPr>
          <w:p w14:paraId="53AB3DEC">
            <w:pPr>
              <w:shd w:val="clear"/>
              <w:spacing w:line="360" w:lineRule="auto"/>
              <w:jc w:val="center"/>
              <w:rPr>
                <w:rFonts w:hint="eastAsia" w:ascii="宋体" w:hAnsi="宋体" w:eastAsia="宋体" w:cs="宋体"/>
                <w:sz w:val="24"/>
                <w:szCs w:val="24"/>
              </w:rPr>
            </w:pPr>
          </w:p>
        </w:tc>
      </w:tr>
      <w:tr w14:paraId="7F1AF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noWrap w:val="0"/>
            <w:vAlign w:val="center"/>
          </w:tcPr>
          <w:p w14:paraId="58E8331D">
            <w:pPr>
              <w:shd w:val="clear"/>
              <w:spacing w:line="360" w:lineRule="auto"/>
              <w:jc w:val="center"/>
              <w:rPr>
                <w:rFonts w:hint="eastAsia" w:ascii="宋体" w:hAnsi="宋体" w:eastAsia="宋体" w:cs="宋体"/>
                <w:sz w:val="24"/>
                <w:szCs w:val="24"/>
              </w:rPr>
            </w:pPr>
          </w:p>
        </w:tc>
        <w:tc>
          <w:tcPr>
            <w:tcW w:w="2629" w:type="dxa"/>
            <w:noWrap w:val="0"/>
            <w:vAlign w:val="center"/>
          </w:tcPr>
          <w:p w14:paraId="38F0D4E1">
            <w:pPr>
              <w:shd w:val="clear"/>
              <w:spacing w:line="360" w:lineRule="auto"/>
              <w:jc w:val="center"/>
              <w:rPr>
                <w:rFonts w:hint="eastAsia" w:ascii="宋体" w:hAnsi="宋体" w:eastAsia="宋体" w:cs="宋体"/>
                <w:sz w:val="24"/>
                <w:szCs w:val="24"/>
              </w:rPr>
            </w:pPr>
          </w:p>
        </w:tc>
        <w:tc>
          <w:tcPr>
            <w:tcW w:w="2678" w:type="dxa"/>
            <w:noWrap w:val="0"/>
            <w:vAlign w:val="center"/>
          </w:tcPr>
          <w:p w14:paraId="50F0D221">
            <w:pPr>
              <w:shd w:val="clear"/>
              <w:spacing w:line="360" w:lineRule="auto"/>
              <w:jc w:val="center"/>
              <w:rPr>
                <w:rFonts w:hint="eastAsia" w:ascii="宋体" w:hAnsi="宋体" w:eastAsia="宋体" w:cs="宋体"/>
                <w:sz w:val="24"/>
                <w:szCs w:val="24"/>
              </w:rPr>
            </w:pPr>
          </w:p>
        </w:tc>
        <w:tc>
          <w:tcPr>
            <w:tcW w:w="1157" w:type="dxa"/>
            <w:noWrap w:val="0"/>
            <w:vAlign w:val="center"/>
          </w:tcPr>
          <w:p w14:paraId="2CB8246F">
            <w:pPr>
              <w:shd w:val="clear"/>
              <w:spacing w:line="360" w:lineRule="auto"/>
              <w:jc w:val="center"/>
              <w:rPr>
                <w:rFonts w:hint="eastAsia" w:ascii="宋体" w:hAnsi="宋体" w:eastAsia="宋体" w:cs="宋体"/>
                <w:sz w:val="24"/>
                <w:szCs w:val="24"/>
              </w:rPr>
            </w:pPr>
          </w:p>
        </w:tc>
        <w:tc>
          <w:tcPr>
            <w:tcW w:w="1709" w:type="dxa"/>
            <w:noWrap w:val="0"/>
            <w:vAlign w:val="center"/>
          </w:tcPr>
          <w:p w14:paraId="185426FA">
            <w:pPr>
              <w:shd w:val="clear"/>
              <w:spacing w:line="360" w:lineRule="auto"/>
              <w:jc w:val="center"/>
              <w:rPr>
                <w:rFonts w:hint="eastAsia" w:ascii="宋体" w:hAnsi="宋体" w:eastAsia="宋体" w:cs="宋体"/>
                <w:sz w:val="24"/>
                <w:szCs w:val="24"/>
              </w:rPr>
            </w:pPr>
          </w:p>
        </w:tc>
      </w:tr>
      <w:tr w14:paraId="05638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noWrap w:val="0"/>
            <w:vAlign w:val="center"/>
          </w:tcPr>
          <w:p w14:paraId="3484B2FF">
            <w:pPr>
              <w:shd w:val="clear"/>
              <w:spacing w:line="360" w:lineRule="auto"/>
              <w:jc w:val="center"/>
              <w:rPr>
                <w:rFonts w:hint="eastAsia" w:ascii="宋体" w:hAnsi="宋体" w:eastAsia="宋体" w:cs="宋体"/>
                <w:sz w:val="24"/>
                <w:szCs w:val="24"/>
              </w:rPr>
            </w:pPr>
          </w:p>
        </w:tc>
        <w:tc>
          <w:tcPr>
            <w:tcW w:w="2629" w:type="dxa"/>
            <w:noWrap w:val="0"/>
            <w:vAlign w:val="center"/>
          </w:tcPr>
          <w:p w14:paraId="5FCD3939">
            <w:pPr>
              <w:shd w:val="clear"/>
              <w:spacing w:line="360" w:lineRule="auto"/>
              <w:jc w:val="center"/>
              <w:rPr>
                <w:rFonts w:hint="eastAsia" w:ascii="宋体" w:hAnsi="宋体" w:eastAsia="宋体" w:cs="宋体"/>
                <w:sz w:val="24"/>
                <w:szCs w:val="24"/>
              </w:rPr>
            </w:pPr>
          </w:p>
        </w:tc>
        <w:tc>
          <w:tcPr>
            <w:tcW w:w="2678" w:type="dxa"/>
            <w:noWrap w:val="0"/>
            <w:vAlign w:val="center"/>
          </w:tcPr>
          <w:p w14:paraId="4FD9B664">
            <w:pPr>
              <w:shd w:val="clear"/>
              <w:spacing w:line="360" w:lineRule="auto"/>
              <w:jc w:val="center"/>
              <w:rPr>
                <w:rFonts w:hint="eastAsia" w:ascii="宋体" w:hAnsi="宋体" w:eastAsia="宋体" w:cs="宋体"/>
                <w:sz w:val="24"/>
                <w:szCs w:val="24"/>
              </w:rPr>
            </w:pPr>
          </w:p>
        </w:tc>
        <w:tc>
          <w:tcPr>
            <w:tcW w:w="1157" w:type="dxa"/>
            <w:noWrap w:val="0"/>
            <w:vAlign w:val="center"/>
          </w:tcPr>
          <w:p w14:paraId="5B8B4ACB">
            <w:pPr>
              <w:shd w:val="clear"/>
              <w:spacing w:line="360" w:lineRule="auto"/>
              <w:jc w:val="center"/>
              <w:rPr>
                <w:rFonts w:hint="eastAsia" w:ascii="宋体" w:hAnsi="宋体" w:eastAsia="宋体" w:cs="宋体"/>
                <w:sz w:val="24"/>
                <w:szCs w:val="24"/>
              </w:rPr>
            </w:pPr>
          </w:p>
        </w:tc>
        <w:tc>
          <w:tcPr>
            <w:tcW w:w="1709" w:type="dxa"/>
            <w:noWrap w:val="0"/>
            <w:vAlign w:val="center"/>
          </w:tcPr>
          <w:p w14:paraId="603CACA1">
            <w:pPr>
              <w:shd w:val="clear"/>
              <w:spacing w:line="360" w:lineRule="auto"/>
              <w:jc w:val="center"/>
              <w:rPr>
                <w:rFonts w:hint="eastAsia" w:ascii="宋体" w:hAnsi="宋体" w:eastAsia="宋体" w:cs="宋体"/>
                <w:sz w:val="24"/>
                <w:szCs w:val="24"/>
              </w:rPr>
            </w:pPr>
          </w:p>
        </w:tc>
      </w:tr>
    </w:tbl>
    <w:p w14:paraId="1F118474">
      <w:pPr>
        <w:shd w:val="clear"/>
        <w:spacing w:line="360" w:lineRule="auto"/>
        <w:ind w:right="-161" w:firstLine="480" w:firstLineChars="200"/>
        <w:rPr>
          <w:rFonts w:hint="eastAsia" w:ascii="宋体" w:hAnsi="宋体" w:eastAsia="宋体" w:cs="宋体"/>
          <w:color w:val="000000"/>
          <w:sz w:val="24"/>
        </w:rPr>
      </w:pPr>
      <w:r>
        <w:rPr>
          <w:rFonts w:hint="eastAsia" w:ascii="宋体" w:hAnsi="宋体" w:eastAsia="宋体" w:cs="宋体"/>
          <w:color w:val="000000"/>
          <w:sz w:val="24"/>
        </w:rPr>
        <w:t>1、竞争性磋商响应文件根据磋商文件的商务要求</w:t>
      </w:r>
      <w:r>
        <w:rPr>
          <w:rFonts w:hint="eastAsia" w:ascii="宋体" w:hAnsi="宋体" w:eastAsia="宋体" w:cs="宋体"/>
          <w:color w:val="000000"/>
          <w:sz w:val="24"/>
          <w:szCs w:val="22"/>
        </w:rPr>
        <w:t>如</w:t>
      </w:r>
      <w:r>
        <w:rPr>
          <w:rFonts w:hint="eastAsia" w:ascii="宋体" w:hAnsi="宋体" w:eastAsia="宋体" w:cs="宋体"/>
          <w:color w:val="000000"/>
          <w:sz w:val="24"/>
        </w:rPr>
        <w:t>实填写。</w:t>
      </w:r>
    </w:p>
    <w:p w14:paraId="51BEBF4D">
      <w:pPr>
        <w:shd w:val="clear"/>
        <w:spacing w:line="360" w:lineRule="auto"/>
        <w:ind w:right="-161" w:firstLine="480" w:firstLineChars="200"/>
        <w:rPr>
          <w:rFonts w:hint="eastAsia" w:ascii="宋体" w:hAnsi="宋体" w:eastAsia="宋体" w:cs="宋体"/>
          <w:color w:val="000000"/>
          <w:sz w:val="24"/>
        </w:rPr>
      </w:pPr>
      <w:r>
        <w:rPr>
          <w:rFonts w:hint="eastAsia" w:ascii="宋体" w:hAnsi="宋体" w:eastAsia="宋体" w:cs="宋体"/>
          <w:color w:val="000000"/>
          <w:sz w:val="24"/>
        </w:rPr>
        <w:t>2、偏离情况填写：正偏离、无偏离、负偏离。</w:t>
      </w:r>
    </w:p>
    <w:p w14:paraId="6735BEF6">
      <w:pPr>
        <w:shd w:val="clea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3、响应说明填写：优于、相同、低于并对偏离情况做出详细的说明。</w:t>
      </w:r>
    </w:p>
    <w:p w14:paraId="452B78DB">
      <w:pPr>
        <w:shd w:val="clear"/>
        <w:spacing w:line="360" w:lineRule="auto"/>
        <w:ind w:right="-161" w:firstLine="480" w:firstLineChars="200"/>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lang w:val="en-US" w:eastAsia="zh-CN"/>
        </w:rPr>
        <w:t>4</w:t>
      </w:r>
      <w:r>
        <w:rPr>
          <w:rFonts w:hint="eastAsia" w:ascii="宋体" w:hAnsi="宋体" w:eastAsia="宋体" w:cs="宋体"/>
          <w:color w:val="000000"/>
          <w:sz w:val="24"/>
          <w:szCs w:val="22"/>
        </w:rPr>
        <w:t>、</w:t>
      </w:r>
      <w:r>
        <w:rPr>
          <w:rFonts w:hint="eastAsia" w:ascii="宋体" w:hAnsi="宋体" w:eastAsia="宋体" w:cs="宋体"/>
          <w:color w:val="000000"/>
          <w:sz w:val="24"/>
          <w:szCs w:val="22"/>
          <w:lang w:val="en-US" w:eastAsia="zh-CN"/>
        </w:rPr>
        <w:t>若与</w:t>
      </w:r>
      <w:r>
        <w:rPr>
          <w:rFonts w:hint="eastAsia" w:ascii="宋体" w:hAnsi="宋体" w:eastAsia="宋体" w:cs="宋体"/>
          <w:color w:val="000000"/>
          <w:sz w:val="24"/>
          <w:szCs w:val="22"/>
        </w:rPr>
        <w:t>竞争性磋商响应文件根据磋商文件的商务要求</w:t>
      </w:r>
      <w:r>
        <w:rPr>
          <w:rFonts w:hint="eastAsia" w:ascii="宋体" w:hAnsi="宋体" w:eastAsia="宋体" w:cs="宋体"/>
          <w:color w:val="000000"/>
          <w:sz w:val="24"/>
          <w:szCs w:val="22"/>
          <w:lang w:val="en-US" w:eastAsia="zh-CN"/>
        </w:rPr>
        <w:t>无偏离，可不填写此表，但需提供空白表</w:t>
      </w:r>
    </w:p>
    <w:p w14:paraId="263CA740">
      <w:pPr>
        <w:shd w:val="clear"/>
        <w:spacing w:line="360" w:lineRule="auto"/>
        <w:ind w:firstLine="480" w:firstLineChars="200"/>
        <w:rPr>
          <w:rFonts w:hint="eastAsia" w:ascii="宋体" w:hAnsi="宋体" w:eastAsia="宋体" w:cs="宋体"/>
          <w:sz w:val="24"/>
        </w:rPr>
      </w:pPr>
    </w:p>
    <w:p w14:paraId="4992DFC6">
      <w:pPr>
        <w:shd w:val="clear"/>
        <w:autoSpaceDE w:val="0"/>
        <w:autoSpaceDN w:val="0"/>
        <w:adjustRightInd w:val="0"/>
        <w:spacing w:line="360" w:lineRule="auto"/>
        <w:rPr>
          <w:rFonts w:hint="eastAsia" w:ascii="宋体" w:hAnsi="宋体" w:eastAsia="宋体" w:cs="宋体"/>
          <w:sz w:val="24"/>
        </w:rPr>
      </w:pPr>
    </w:p>
    <w:p w14:paraId="2B83C5F1">
      <w:pPr>
        <w:shd w:val="clear"/>
        <w:spacing w:line="360" w:lineRule="auto"/>
        <w:ind w:right="-161" w:firstLine="2640" w:firstLineChars="1100"/>
        <w:rPr>
          <w:rFonts w:hint="eastAsia" w:ascii="宋体" w:hAnsi="宋体" w:eastAsia="宋体" w:cs="宋体"/>
          <w:sz w:val="24"/>
          <w:u w:val="single"/>
        </w:rPr>
      </w:pPr>
      <w:r>
        <w:rPr>
          <w:rFonts w:hint="eastAsia" w:ascii="宋体" w:hAnsi="宋体" w:eastAsia="宋体" w:cs="宋体"/>
          <w:sz w:val="24"/>
          <w:lang w:eastAsia="zh-CN"/>
        </w:rPr>
        <w:t>法定代表人</w:t>
      </w:r>
      <w:r>
        <w:rPr>
          <w:rFonts w:hint="eastAsia" w:ascii="宋体" w:hAnsi="宋体" w:eastAsia="宋体" w:cs="宋体"/>
          <w:sz w:val="24"/>
        </w:rPr>
        <w:t>或被授权代表签字：</w:t>
      </w:r>
      <w:r>
        <w:rPr>
          <w:rFonts w:hint="eastAsia" w:ascii="宋体" w:hAnsi="宋体" w:eastAsia="宋体" w:cs="宋体"/>
          <w:sz w:val="24"/>
          <w:u w:val="single"/>
        </w:rPr>
        <w:t xml:space="preserve">                           </w:t>
      </w:r>
    </w:p>
    <w:p w14:paraId="24829E78">
      <w:pPr>
        <w:shd w:val="clear"/>
        <w:spacing w:line="480" w:lineRule="auto"/>
        <w:ind w:right="-161" w:firstLine="2640" w:firstLineChars="1100"/>
        <w:rPr>
          <w:rFonts w:hint="eastAsia" w:ascii="宋体" w:hAnsi="宋体" w:eastAsia="宋体" w:cs="宋体"/>
          <w:sz w:val="24"/>
        </w:rPr>
      </w:pPr>
      <w:r>
        <w:rPr>
          <w:rFonts w:hint="eastAsia" w:ascii="宋体" w:hAnsi="宋体" w:eastAsia="宋体" w:cs="宋体"/>
          <w:sz w:val="24"/>
          <w:szCs w:val="24"/>
        </w:rPr>
        <w:t>投   标   人  公  章：</w:t>
      </w:r>
      <w:r>
        <w:rPr>
          <w:rFonts w:hint="eastAsia" w:ascii="宋体" w:hAnsi="宋体" w:eastAsia="宋体" w:cs="宋体"/>
          <w:sz w:val="24"/>
          <w:szCs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318917A9">
      <w:pPr>
        <w:shd w:val="clear"/>
        <w:tabs>
          <w:tab w:val="left" w:pos="210"/>
        </w:tabs>
        <w:ind w:left="287" w:firstLine="2400" w:firstLineChars="1000"/>
        <w:jc w:val="both"/>
        <w:outlineLvl w:val="0"/>
        <w:rPr>
          <w:rFonts w:hint="eastAsia" w:ascii="宋体" w:hAnsi="宋体" w:eastAsia="宋体" w:cs="宋体"/>
          <w:sz w:val="24"/>
          <w:u w:val="single"/>
        </w:rPr>
      </w:pPr>
      <w:bookmarkStart w:id="238" w:name="_Toc3282"/>
      <w:r>
        <w:rPr>
          <w:rFonts w:hint="eastAsia" w:ascii="宋体" w:hAnsi="宋体" w:eastAsia="宋体" w:cs="宋体"/>
          <w:sz w:val="24"/>
        </w:rPr>
        <w:t>日                      期：</w:t>
      </w:r>
      <w:bookmarkEnd w:id="238"/>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2C0643AC">
      <w:pPr>
        <w:shd w:val="clear"/>
        <w:bidi w:val="0"/>
        <w:jc w:val="center"/>
        <w:outlineLvl w:val="0"/>
        <w:rPr>
          <w:rFonts w:hint="eastAsia" w:ascii="宋体" w:hAnsi="宋体" w:eastAsia="宋体" w:cs="宋体"/>
          <w:b/>
          <w:kern w:val="2"/>
          <w:sz w:val="32"/>
          <w:szCs w:val="32"/>
          <w:highlight w:val="none"/>
          <w:lang w:val="en-US" w:eastAsia="zh-CN" w:bidi="ar-SA"/>
        </w:rPr>
      </w:pPr>
      <w:bookmarkStart w:id="239" w:name="_Toc20680"/>
      <w:r>
        <w:rPr>
          <w:rFonts w:hint="eastAsia" w:ascii="宋体" w:hAnsi="宋体" w:eastAsia="宋体" w:cs="宋体"/>
          <w:b/>
          <w:kern w:val="2"/>
          <w:sz w:val="32"/>
          <w:szCs w:val="32"/>
          <w:highlight w:val="none"/>
          <w:lang w:val="en-US" w:eastAsia="zh-CN" w:bidi="ar-SA"/>
        </w:rPr>
        <w:t>同类项目经验一览表（如有）</w:t>
      </w:r>
    </w:p>
    <w:p w14:paraId="6D8D88E2">
      <w:pPr>
        <w:shd w:val="clear"/>
        <w:spacing w:line="480" w:lineRule="auto"/>
        <w:rPr>
          <w:rFonts w:hint="eastAsia" w:ascii="宋体" w:hAnsi="宋体" w:eastAsia="宋体" w:cs="宋体"/>
          <w:color w:val="auto"/>
          <w:highlight w:val="none"/>
          <w:u w:val="singl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065"/>
        <w:gridCol w:w="1414"/>
        <w:gridCol w:w="1619"/>
        <w:gridCol w:w="1441"/>
        <w:gridCol w:w="2700"/>
      </w:tblGrid>
      <w:tr w14:paraId="4F9EA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155B31C1">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065" w:type="dxa"/>
            <w:noWrap w:val="0"/>
            <w:vAlign w:val="center"/>
          </w:tcPr>
          <w:p w14:paraId="379194FA">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1414" w:type="dxa"/>
            <w:noWrap w:val="0"/>
            <w:vAlign w:val="center"/>
          </w:tcPr>
          <w:p w14:paraId="0D5C366C">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项目内容</w:t>
            </w:r>
          </w:p>
        </w:tc>
        <w:tc>
          <w:tcPr>
            <w:tcW w:w="1619" w:type="dxa"/>
            <w:tcBorders>
              <w:left w:val="single" w:color="auto" w:sz="4" w:space="0"/>
              <w:right w:val="single" w:color="auto" w:sz="4" w:space="0"/>
            </w:tcBorders>
            <w:noWrap w:val="0"/>
            <w:vAlign w:val="center"/>
          </w:tcPr>
          <w:p w14:paraId="131FA447">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合同金额</w:t>
            </w:r>
          </w:p>
          <w:p w14:paraId="66929EC0">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（万元）</w:t>
            </w:r>
          </w:p>
        </w:tc>
        <w:tc>
          <w:tcPr>
            <w:tcW w:w="1441" w:type="dxa"/>
            <w:noWrap w:val="0"/>
            <w:vAlign w:val="center"/>
          </w:tcPr>
          <w:p w14:paraId="403ABDEC">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完成日期</w:t>
            </w:r>
          </w:p>
        </w:tc>
        <w:tc>
          <w:tcPr>
            <w:tcW w:w="2700" w:type="dxa"/>
            <w:noWrap w:val="0"/>
            <w:vAlign w:val="center"/>
          </w:tcPr>
          <w:p w14:paraId="49BCA844">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业主名称、联系人及电话</w:t>
            </w:r>
          </w:p>
        </w:tc>
      </w:tr>
      <w:tr w14:paraId="0B35E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3A0E0044">
            <w:pPr>
              <w:shd w:val="clear"/>
              <w:spacing w:line="360" w:lineRule="auto"/>
              <w:ind w:left="12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1065" w:type="dxa"/>
            <w:noWrap w:val="0"/>
            <w:vAlign w:val="center"/>
          </w:tcPr>
          <w:p w14:paraId="6B130C14">
            <w:pPr>
              <w:shd w:val="clear"/>
              <w:spacing w:line="360" w:lineRule="auto"/>
              <w:jc w:val="center"/>
              <w:rPr>
                <w:rFonts w:hint="eastAsia" w:ascii="宋体" w:hAnsi="宋体" w:eastAsia="宋体" w:cs="宋体"/>
                <w:color w:val="auto"/>
                <w:sz w:val="24"/>
                <w:highlight w:val="none"/>
              </w:rPr>
            </w:pPr>
          </w:p>
        </w:tc>
        <w:tc>
          <w:tcPr>
            <w:tcW w:w="1414" w:type="dxa"/>
            <w:noWrap w:val="0"/>
            <w:vAlign w:val="center"/>
          </w:tcPr>
          <w:p w14:paraId="18517758">
            <w:pPr>
              <w:shd w:val="clear"/>
              <w:spacing w:line="360" w:lineRule="auto"/>
              <w:jc w:val="center"/>
              <w:rPr>
                <w:rFonts w:hint="eastAsia" w:ascii="宋体" w:hAnsi="宋体" w:eastAsia="宋体" w:cs="宋体"/>
                <w:color w:val="auto"/>
                <w:sz w:val="24"/>
                <w:highlight w:val="none"/>
              </w:rPr>
            </w:pPr>
          </w:p>
        </w:tc>
        <w:tc>
          <w:tcPr>
            <w:tcW w:w="1619" w:type="dxa"/>
            <w:tcBorders>
              <w:left w:val="single" w:color="auto" w:sz="4" w:space="0"/>
              <w:right w:val="single" w:color="auto" w:sz="4" w:space="0"/>
            </w:tcBorders>
            <w:noWrap w:val="0"/>
            <w:vAlign w:val="center"/>
          </w:tcPr>
          <w:p w14:paraId="3285F055">
            <w:pPr>
              <w:shd w:val="clear"/>
              <w:spacing w:line="360" w:lineRule="auto"/>
              <w:jc w:val="center"/>
              <w:rPr>
                <w:rFonts w:hint="eastAsia" w:ascii="宋体" w:hAnsi="宋体" w:eastAsia="宋体" w:cs="宋体"/>
                <w:color w:val="auto"/>
                <w:sz w:val="24"/>
                <w:highlight w:val="none"/>
              </w:rPr>
            </w:pPr>
          </w:p>
        </w:tc>
        <w:tc>
          <w:tcPr>
            <w:tcW w:w="1441" w:type="dxa"/>
            <w:noWrap w:val="0"/>
            <w:vAlign w:val="center"/>
          </w:tcPr>
          <w:p w14:paraId="5E1D4A33">
            <w:pPr>
              <w:shd w:val="clear"/>
              <w:spacing w:line="360" w:lineRule="auto"/>
              <w:jc w:val="center"/>
              <w:rPr>
                <w:rFonts w:hint="eastAsia" w:ascii="宋体" w:hAnsi="宋体" w:eastAsia="宋体" w:cs="宋体"/>
                <w:color w:val="auto"/>
                <w:sz w:val="24"/>
                <w:highlight w:val="none"/>
              </w:rPr>
            </w:pPr>
          </w:p>
        </w:tc>
        <w:tc>
          <w:tcPr>
            <w:tcW w:w="2700" w:type="dxa"/>
            <w:noWrap w:val="0"/>
            <w:vAlign w:val="top"/>
          </w:tcPr>
          <w:p w14:paraId="37398249">
            <w:pPr>
              <w:shd w:val="clear"/>
              <w:spacing w:line="360" w:lineRule="auto"/>
              <w:jc w:val="center"/>
              <w:rPr>
                <w:rFonts w:hint="eastAsia" w:ascii="宋体" w:hAnsi="宋体" w:eastAsia="宋体" w:cs="宋体"/>
                <w:color w:val="auto"/>
                <w:sz w:val="24"/>
                <w:highlight w:val="none"/>
              </w:rPr>
            </w:pPr>
          </w:p>
        </w:tc>
      </w:tr>
      <w:tr w14:paraId="05C9A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773AB922">
            <w:pPr>
              <w:shd w:val="clear"/>
              <w:spacing w:line="360" w:lineRule="auto"/>
              <w:ind w:left="12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p>
        </w:tc>
        <w:tc>
          <w:tcPr>
            <w:tcW w:w="1065" w:type="dxa"/>
            <w:noWrap w:val="0"/>
            <w:vAlign w:val="center"/>
          </w:tcPr>
          <w:p w14:paraId="5B9C6184">
            <w:pPr>
              <w:shd w:val="clear"/>
              <w:spacing w:line="360" w:lineRule="auto"/>
              <w:jc w:val="center"/>
              <w:rPr>
                <w:rFonts w:hint="eastAsia" w:ascii="宋体" w:hAnsi="宋体" w:eastAsia="宋体" w:cs="宋体"/>
                <w:color w:val="auto"/>
                <w:sz w:val="24"/>
                <w:highlight w:val="none"/>
              </w:rPr>
            </w:pPr>
          </w:p>
        </w:tc>
        <w:tc>
          <w:tcPr>
            <w:tcW w:w="1414" w:type="dxa"/>
            <w:noWrap w:val="0"/>
            <w:vAlign w:val="center"/>
          </w:tcPr>
          <w:p w14:paraId="5CBEA5BC">
            <w:pPr>
              <w:shd w:val="clear"/>
              <w:spacing w:line="360" w:lineRule="auto"/>
              <w:jc w:val="center"/>
              <w:rPr>
                <w:rFonts w:hint="eastAsia" w:ascii="宋体" w:hAnsi="宋体" w:eastAsia="宋体" w:cs="宋体"/>
                <w:color w:val="auto"/>
                <w:sz w:val="24"/>
                <w:highlight w:val="none"/>
              </w:rPr>
            </w:pPr>
          </w:p>
        </w:tc>
        <w:tc>
          <w:tcPr>
            <w:tcW w:w="1619" w:type="dxa"/>
            <w:tcBorders>
              <w:left w:val="single" w:color="auto" w:sz="4" w:space="0"/>
              <w:right w:val="single" w:color="auto" w:sz="4" w:space="0"/>
            </w:tcBorders>
            <w:noWrap w:val="0"/>
            <w:vAlign w:val="center"/>
          </w:tcPr>
          <w:p w14:paraId="2D2566C3">
            <w:pPr>
              <w:shd w:val="clear"/>
              <w:spacing w:line="360" w:lineRule="auto"/>
              <w:jc w:val="center"/>
              <w:rPr>
                <w:rFonts w:hint="eastAsia" w:ascii="宋体" w:hAnsi="宋体" w:eastAsia="宋体" w:cs="宋体"/>
                <w:color w:val="auto"/>
                <w:sz w:val="24"/>
                <w:highlight w:val="none"/>
              </w:rPr>
            </w:pPr>
          </w:p>
        </w:tc>
        <w:tc>
          <w:tcPr>
            <w:tcW w:w="1441" w:type="dxa"/>
            <w:noWrap w:val="0"/>
            <w:vAlign w:val="center"/>
          </w:tcPr>
          <w:p w14:paraId="56F3A0A9">
            <w:pPr>
              <w:shd w:val="clear"/>
              <w:spacing w:line="360" w:lineRule="auto"/>
              <w:jc w:val="center"/>
              <w:rPr>
                <w:rFonts w:hint="eastAsia" w:ascii="宋体" w:hAnsi="宋体" w:eastAsia="宋体" w:cs="宋体"/>
                <w:color w:val="auto"/>
                <w:sz w:val="24"/>
                <w:highlight w:val="none"/>
              </w:rPr>
            </w:pPr>
          </w:p>
        </w:tc>
        <w:tc>
          <w:tcPr>
            <w:tcW w:w="2700" w:type="dxa"/>
            <w:noWrap w:val="0"/>
            <w:vAlign w:val="top"/>
          </w:tcPr>
          <w:p w14:paraId="60245D15">
            <w:pPr>
              <w:shd w:val="clear"/>
              <w:spacing w:line="360" w:lineRule="auto"/>
              <w:jc w:val="center"/>
              <w:rPr>
                <w:rFonts w:hint="eastAsia" w:ascii="宋体" w:hAnsi="宋体" w:eastAsia="宋体" w:cs="宋体"/>
                <w:color w:val="auto"/>
                <w:sz w:val="24"/>
                <w:highlight w:val="none"/>
              </w:rPr>
            </w:pPr>
          </w:p>
        </w:tc>
      </w:tr>
      <w:tr w14:paraId="6A473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562FFBAA">
            <w:pPr>
              <w:shd w:val="clear"/>
              <w:spacing w:line="360" w:lineRule="auto"/>
              <w:ind w:left="12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p>
        </w:tc>
        <w:tc>
          <w:tcPr>
            <w:tcW w:w="1065" w:type="dxa"/>
            <w:noWrap w:val="0"/>
            <w:vAlign w:val="center"/>
          </w:tcPr>
          <w:p w14:paraId="7C23DE57">
            <w:pPr>
              <w:shd w:val="clear"/>
              <w:spacing w:line="360" w:lineRule="auto"/>
              <w:jc w:val="center"/>
              <w:rPr>
                <w:rFonts w:hint="eastAsia" w:ascii="宋体" w:hAnsi="宋体" w:eastAsia="宋体" w:cs="宋体"/>
                <w:color w:val="auto"/>
                <w:sz w:val="24"/>
                <w:highlight w:val="none"/>
              </w:rPr>
            </w:pPr>
          </w:p>
        </w:tc>
        <w:tc>
          <w:tcPr>
            <w:tcW w:w="1414" w:type="dxa"/>
            <w:noWrap w:val="0"/>
            <w:vAlign w:val="center"/>
          </w:tcPr>
          <w:p w14:paraId="7BCE9B35">
            <w:pPr>
              <w:shd w:val="clear"/>
              <w:spacing w:line="360" w:lineRule="auto"/>
              <w:jc w:val="center"/>
              <w:rPr>
                <w:rFonts w:hint="eastAsia" w:ascii="宋体" w:hAnsi="宋体" w:eastAsia="宋体" w:cs="宋体"/>
                <w:color w:val="auto"/>
                <w:sz w:val="24"/>
                <w:highlight w:val="none"/>
              </w:rPr>
            </w:pPr>
          </w:p>
        </w:tc>
        <w:tc>
          <w:tcPr>
            <w:tcW w:w="1619" w:type="dxa"/>
            <w:tcBorders>
              <w:left w:val="single" w:color="auto" w:sz="4" w:space="0"/>
              <w:right w:val="single" w:color="auto" w:sz="4" w:space="0"/>
            </w:tcBorders>
            <w:noWrap w:val="0"/>
            <w:vAlign w:val="center"/>
          </w:tcPr>
          <w:p w14:paraId="4B08655C">
            <w:pPr>
              <w:shd w:val="clear"/>
              <w:spacing w:line="360" w:lineRule="auto"/>
              <w:jc w:val="center"/>
              <w:rPr>
                <w:rFonts w:hint="eastAsia" w:ascii="宋体" w:hAnsi="宋体" w:eastAsia="宋体" w:cs="宋体"/>
                <w:color w:val="auto"/>
                <w:sz w:val="24"/>
                <w:highlight w:val="none"/>
              </w:rPr>
            </w:pPr>
          </w:p>
        </w:tc>
        <w:tc>
          <w:tcPr>
            <w:tcW w:w="1441" w:type="dxa"/>
            <w:noWrap w:val="0"/>
            <w:vAlign w:val="center"/>
          </w:tcPr>
          <w:p w14:paraId="40F40334">
            <w:pPr>
              <w:shd w:val="clear"/>
              <w:spacing w:line="360" w:lineRule="auto"/>
              <w:jc w:val="center"/>
              <w:rPr>
                <w:rFonts w:hint="eastAsia" w:ascii="宋体" w:hAnsi="宋体" w:eastAsia="宋体" w:cs="宋体"/>
                <w:color w:val="auto"/>
                <w:sz w:val="24"/>
                <w:highlight w:val="none"/>
              </w:rPr>
            </w:pPr>
          </w:p>
        </w:tc>
        <w:tc>
          <w:tcPr>
            <w:tcW w:w="2700" w:type="dxa"/>
            <w:noWrap w:val="0"/>
            <w:vAlign w:val="top"/>
          </w:tcPr>
          <w:p w14:paraId="63419570">
            <w:pPr>
              <w:shd w:val="clear"/>
              <w:spacing w:line="360" w:lineRule="auto"/>
              <w:jc w:val="center"/>
              <w:rPr>
                <w:rFonts w:hint="eastAsia" w:ascii="宋体" w:hAnsi="宋体" w:eastAsia="宋体" w:cs="宋体"/>
                <w:color w:val="auto"/>
                <w:sz w:val="24"/>
                <w:highlight w:val="none"/>
              </w:rPr>
            </w:pPr>
          </w:p>
        </w:tc>
      </w:tr>
      <w:tr w14:paraId="70A97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8" w:hRule="atLeast"/>
        </w:trPr>
        <w:tc>
          <w:tcPr>
            <w:tcW w:w="609" w:type="dxa"/>
            <w:noWrap w:val="0"/>
            <w:vAlign w:val="center"/>
          </w:tcPr>
          <w:p w14:paraId="51BF308E">
            <w:pPr>
              <w:shd w:val="clear"/>
              <w:spacing w:line="360" w:lineRule="auto"/>
              <w:ind w:left="12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p>
        </w:tc>
        <w:tc>
          <w:tcPr>
            <w:tcW w:w="1065" w:type="dxa"/>
            <w:noWrap w:val="0"/>
            <w:vAlign w:val="center"/>
          </w:tcPr>
          <w:p w14:paraId="17611AE8">
            <w:pPr>
              <w:shd w:val="clear"/>
              <w:spacing w:line="360" w:lineRule="auto"/>
              <w:jc w:val="center"/>
              <w:rPr>
                <w:rFonts w:hint="eastAsia" w:ascii="宋体" w:hAnsi="宋体" w:eastAsia="宋体" w:cs="宋体"/>
                <w:color w:val="auto"/>
                <w:sz w:val="24"/>
                <w:highlight w:val="none"/>
              </w:rPr>
            </w:pPr>
          </w:p>
        </w:tc>
        <w:tc>
          <w:tcPr>
            <w:tcW w:w="1414" w:type="dxa"/>
            <w:noWrap w:val="0"/>
            <w:vAlign w:val="center"/>
          </w:tcPr>
          <w:p w14:paraId="24C0098C">
            <w:pPr>
              <w:shd w:val="clear"/>
              <w:spacing w:line="360" w:lineRule="auto"/>
              <w:jc w:val="center"/>
              <w:rPr>
                <w:rFonts w:hint="eastAsia" w:ascii="宋体" w:hAnsi="宋体" w:eastAsia="宋体" w:cs="宋体"/>
                <w:color w:val="auto"/>
                <w:sz w:val="24"/>
                <w:highlight w:val="none"/>
              </w:rPr>
            </w:pPr>
          </w:p>
        </w:tc>
        <w:tc>
          <w:tcPr>
            <w:tcW w:w="1619" w:type="dxa"/>
            <w:tcBorders>
              <w:left w:val="single" w:color="auto" w:sz="4" w:space="0"/>
              <w:right w:val="single" w:color="auto" w:sz="4" w:space="0"/>
            </w:tcBorders>
            <w:noWrap w:val="0"/>
            <w:vAlign w:val="center"/>
          </w:tcPr>
          <w:p w14:paraId="53D72D04">
            <w:pPr>
              <w:shd w:val="clear"/>
              <w:spacing w:line="360" w:lineRule="auto"/>
              <w:jc w:val="center"/>
              <w:rPr>
                <w:rFonts w:hint="eastAsia" w:ascii="宋体" w:hAnsi="宋体" w:eastAsia="宋体" w:cs="宋体"/>
                <w:color w:val="auto"/>
                <w:sz w:val="24"/>
                <w:highlight w:val="none"/>
              </w:rPr>
            </w:pPr>
          </w:p>
        </w:tc>
        <w:tc>
          <w:tcPr>
            <w:tcW w:w="1441" w:type="dxa"/>
            <w:noWrap w:val="0"/>
            <w:vAlign w:val="center"/>
          </w:tcPr>
          <w:p w14:paraId="76F2E224">
            <w:pPr>
              <w:shd w:val="clear"/>
              <w:spacing w:line="360" w:lineRule="auto"/>
              <w:jc w:val="center"/>
              <w:rPr>
                <w:rFonts w:hint="eastAsia" w:ascii="宋体" w:hAnsi="宋体" w:eastAsia="宋体" w:cs="宋体"/>
                <w:color w:val="auto"/>
                <w:sz w:val="24"/>
                <w:highlight w:val="none"/>
              </w:rPr>
            </w:pPr>
          </w:p>
        </w:tc>
        <w:tc>
          <w:tcPr>
            <w:tcW w:w="2700" w:type="dxa"/>
            <w:noWrap w:val="0"/>
            <w:vAlign w:val="top"/>
          </w:tcPr>
          <w:p w14:paraId="6BA400B0">
            <w:pPr>
              <w:shd w:val="clear"/>
              <w:spacing w:line="360" w:lineRule="auto"/>
              <w:jc w:val="center"/>
              <w:rPr>
                <w:rFonts w:hint="eastAsia" w:ascii="宋体" w:hAnsi="宋体" w:eastAsia="宋体" w:cs="宋体"/>
                <w:color w:val="auto"/>
                <w:sz w:val="24"/>
                <w:highlight w:val="none"/>
              </w:rPr>
            </w:pPr>
          </w:p>
        </w:tc>
      </w:tr>
      <w:tr w14:paraId="0AC32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3054BDCE">
            <w:pPr>
              <w:shd w:val="clear"/>
              <w:spacing w:line="360" w:lineRule="auto"/>
              <w:ind w:left="12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w:t>
            </w:r>
          </w:p>
        </w:tc>
        <w:tc>
          <w:tcPr>
            <w:tcW w:w="1065" w:type="dxa"/>
            <w:noWrap w:val="0"/>
            <w:vAlign w:val="center"/>
          </w:tcPr>
          <w:p w14:paraId="58263719">
            <w:pPr>
              <w:shd w:val="clear"/>
              <w:spacing w:line="360" w:lineRule="auto"/>
              <w:jc w:val="center"/>
              <w:rPr>
                <w:rFonts w:hint="eastAsia" w:ascii="宋体" w:hAnsi="宋体" w:eastAsia="宋体" w:cs="宋体"/>
                <w:color w:val="auto"/>
                <w:sz w:val="24"/>
                <w:highlight w:val="none"/>
              </w:rPr>
            </w:pPr>
          </w:p>
        </w:tc>
        <w:tc>
          <w:tcPr>
            <w:tcW w:w="1414" w:type="dxa"/>
            <w:noWrap w:val="0"/>
            <w:vAlign w:val="center"/>
          </w:tcPr>
          <w:p w14:paraId="28FF5440">
            <w:pPr>
              <w:shd w:val="clear"/>
              <w:spacing w:line="360" w:lineRule="auto"/>
              <w:jc w:val="center"/>
              <w:rPr>
                <w:rFonts w:hint="eastAsia" w:ascii="宋体" w:hAnsi="宋体" w:eastAsia="宋体" w:cs="宋体"/>
                <w:color w:val="auto"/>
                <w:sz w:val="24"/>
                <w:highlight w:val="none"/>
              </w:rPr>
            </w:pPr>
          </w:p>
        </w:tc>
        <w:tc>
          <w:tcPr>
            <w:tcW w:w="1619" w:type="dxa"/>
            <w:tcBorders>
              <w:left w:val="single" w:color="auto" w:sz="4" w:space="0"/>
              <w:right w:val="single" w:color="auto" w:sz="4" w:space="0"/>
            </w:tcBorders>
            <w:noWrap w:val="0"/>
            <w:vAlign w:val="center"/>
          </w:tcPr>
          <w:p w14:paraId="759D49AA">
            <w:pPr>
              <w:shd w:val="clear"/>
              <w:spacing w:line="360" w:lineRule="auto"/>
              <w:jc w:val="center"/>
              <w:rPr>
                <w:rFonts w:hint="eastAsia" w:ascii="宋体" w:hAnsi="宋体" w:eastAsia="宋体" w:cs="宋体"/>
                <w:color w:val="auto"/>
                <w:sz w:val="24"/>
                <w:highlight w:val="none"/>
              </w:rPr>
            </w:pPr>
          </w:p>
        </w:tc>
        <w:tc>
          <w:tcPr>
            <w:tcW w:w="1441" w:type="dxa"/>
            <w:noWrap w:val="0"/>
            <w:vAlign w:val="center"/>
          </w:tcPr>
          <w:p w14:paraId="1DE5A2F6">
            <w:pPr>
              <w:shd w:val="clear"/>
              <w:spacing w:line="360" w:lineRule="auto"/>
              <w:jc w:val="center"/>
              <w:rPr>
                <w:rFonts w:hint="eastAsia" w:ascii="宋体" w:hAnsi="宋体" w:eastAsia="宋体" w:cs="宋体"/>
                <w:color w:val="auto"/>
                <w:sz w:val="24"/>
                <w:highlight w:val="none"/>
              </w:rPr>
            </w:pPr>
          </w:p>
        </w:tc>
        <w:tc>
          <w:tcPr>
            <w:tcW w:w="2700" w:type="dxa"/>
            <w:noWrap w:val="0"/>
            <w:vAlign w:val="top"/>
          </w:tcPr>
          <w:p w14:paraId="69F24701">
            <w:pPr>
              <w:shd w:val="clear"/>
              <w:spacing w:line="360" w:lineRule="auto"/>
              <w:jc w:val="center"/>
              <w:rPr>
                <w:rFonts w:hint="eastAsia" w:ascii="宋体" w:hAnsi="宋体" w:eastAsia="宋体" w:cs="宋体"/>
                <w:color w:val="auto"/>
                <w:sz w:val="24"/>
                <w:highlight w:val="none"/>
              </w:rPr>
            </w:pPr>
          </w:p>
        </w:tc>
      </w:tr>
      <w:tr w14:paraId="4EC22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70DB963A">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p>
        </w:tc>
        <w:tc>
          <w:tcPr>
            <w:tcW w:w="1065" w:type="dxa"/>
            <w:noWrap w:val="0"/>
            <w:vAlign w:val="center"/>
          </w:tcPr>
          <w:p w14:paraId="6A704AA0">
            <w:pPr>
              <w:shd w:val="clear"/>
              <w:spacing w:line="360" w:lineRule="auto"/>
              <w:jc w:val="center"/>
              <w:rPr>
                <w:rFonts w:hint="eastAsia" w:ascii="宋体" w:hAnsi="宋体" w:eastAsia="宋体" w:cs="宋体"/>
                <w:color w:val="auto"/>
                <w:sz w:val="24"/>
                <w:highlight w:val="none"/>
              </w:rPr>
            </w:pPr>
          </w:p>
        </w:tc>
        <w:tc>
          <w:tcPr>
            <w:tcW w:w="1414" w:type="dxa"/>
            <w:noWrap w:val="0"/>
            <w:vAlign w:val="center"/>
          </w:tcPr>
          <w:p w14:paraId="588405E4">
            <w:pPr>
              <w:shd w:val="clear"/>
              <w:spacing w:line="360" w:lineRule="auto"/>
              <w:jc w:val="center"/>
              <w:rPr>
                <w:rFonts w:hint="eastAsia" w:ascii="宋体" w:hAnsi="宋体" w:eastAsia="宋体" w:cs="宋体"/>
                <w:color w:val="auto"/>
                <w:sz w:val="24"/>
                <w:highlight w:val="none"/>
              </w:rPr>
            </w:pPr>
          </w:p>
        </w:tc>
        <w:tc>
          <w:tcPr>
            <w:tcW w:w="1619" w:type="dxa"/>
            <w:tcBorders>
              <w:left w:val="single" w:color="auto" w:sz="4" w:space="0"/>
              <w:right w:val="single" w:color="auto" w:sz="4" w:space="0"/>
            </w:tcBorders>
            <w:noWrap w:val="0"/>
            <w:vAlign w:val="center"/>
          </w:tcPr>
          <w:p w14:paraId="7F2ACADA">
            <w:pPr>
              <w:shd w:val="clear"/>
              <w:spacing w:line="360" w:lineRule="auto"/>
              <w:jc w:val="center"/>
              <w:rPr>
                <w:rFonts w:hint="eastAsia" w:ascii="宋体" w:hAnsi="宋体" w:eastAsia="宋体" w:cs="宋体"/>
                <w:color w:val="auto"/>
                <w:sz w:val="24"/>
                <w:highlight w:val="none"/>
              </w:rPr>
            </w:pPr>
          </w:p>
        </w:tc>
        <w:tc>
          <w:tcPr>
            <w:tcW w:w="1441" w:type="dxa"/>
            <w:noWrap w:val="0"/>
            <w:vAlign w:val="center"/>
          </w:tcPr>
          <w:p w14:paraId="643984E3">
            <w:pPr>
              <w:shd w:val="clear"/>
              <w:spacing w:line="360" w:lineRule="auto"/>
              <w:jc w:val="center"/>
              <w:rPr>
                <w:rFonts w:hint="eastAsia" w:ascii="宋体" w:hAnsi="宋体" w:eastAsia="宋体" w:cs="宋体"/>
                <w:color w:val="auto"/>
                <w:sz w:val="24"/>
                <w:highlight w:val="none"/>
              </w:rPr>
            </w:pPr>
          </w:p>
        </w:tc>
        <w:tc>
          <w:tcPr>
            <w:tcW w:w="2700" w:type="dxa"/>
            <w:noWrap w:val="0"/>
            <w:vAlign w:val="top"/>
          </w:tcPr>
          <w:p w14:paraId="42B1F325">
            <w:pPr>
              <w:shd w:val="clear"/>
              <w:spacing w:line="360" w:lineRule="auto"/>
              <w:jc w:val="center"/>
              <w:rPr>
                <w:rFonts w:hint="eastAsia" w:ascii="宋体" w:hAnsi="宋体" w:eastAsia="宋体" w:cs="宋体"/>
                <w:color w:val="auto"/>
                <w:sz w:val="24"/>
                <w:highlight w:val="none"/>
              </w:rPr>
            </w:pPr>
          </w:p>
        </w:tc>
      </w:tr>
    </w:tbl>
    <w:p w14:paraId="3A258360">
      <w:pPr>
        <w:shd w:val="clear"/>
        <w:snapToGrid w:val="0"/>
        <w:spacing w:before="120" w:line="360" w:lineRule="auto"/>
        <w:ind w:right="357"/>
        <w:rPr>
          <w:rFonts w:hint="eastAsia" w:ascii="宋体" w:hAnsi="宋体" w:eastAsia="宋体" w:cs="宋体"/>
          <w:color w:val="auto"/>
          <w:highlight w:val="none"/>
        </w:rPr>
      </w:pPr>
    </w:p>
    <w:p w14:paraId="1D8C362A">
      <w:pPr>
        <w:shd w:val="clear"/>
        <w:tabs>
          <w:tab w:val="left" w:pos="8782"/>
        </w:tabs>
        <w:snapToGrid w:val="0"/>
        <w:spacing w:before="120" w:line="360" w:lineRule="auto"/>
        <w:ind w:left="503" w:leftChars="50" w:right="-38" w:hanging="398" w:hangingChars="16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应如实列出以上情况，如有隐瞒，一经查实将导致其报价申请被拒绝。</w:t>
      </w:r>
    </w:p>
    <w:p w14:paraId="6BC2CE35">
      <w:pPr>
        <w:numPr>
          <w:ilvl w:val="0"/>
          <w:numId w:val="11"/>
        </w:numPr>
        <w:shd w:val="clear"/>
        <w:snapToGrid w:val="0"/>
        <w:spacing w:before="120" w:line="360" w:lineRule="auto"/>
        <w:ind w:left="418" w:leftChars="199" w:right="357"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应提供双方签订的合同（合同复印件加盖公章装订在谈判响应文件中）。</w:t>
      </w:r>
    </w:p>
    <w:p w14:paraId="0A1834FF">
      <w:pPr>
        <w:pStyle w:val="2"/>
        <w:keepNext/>
        <w:keepLines/>
        <w:pageBreakBefore w:val="0"/>
        <w:widowControl w:val="0"/>
        <w:numPr>
          <w:ilvl w:val="0"/>
          <w:numId w:val="0"/>
        </w:numPr>
        <w:shd w:val="clear"/>
        <w:kinsoku/>
        <w:wordWrap/>
        <w:overflowPunct/>
        <w:topLinePunct w:val="0"/>
        <w:autoSpaceDE/>
        <w:autoSpaceDN/>
        <w:bidi w:val="0"/>
        <w:adjustRightInd/>
        <w:snapToGrid/>
        <w:spacing w:before="0" w:after="0"/>
        <w:jc w:val="center"/>
        <w:textAlignment w:val="auto"/>
        <w:outlineLvl w:val="9"/>
        <w:rPr>
          <w:rFonts w:hint="eastAsia" w:ascii="宋体" w:hAnsi="宋体" w:eastAsia="宋体" w:cs="宋体"/>
          <w:highlight w:val="none"/>
          <w:lang w:val="en-US" w:eastAsia="zh-CN"/>
        </w:rPr>
      </w:pPr>
    </w:p>
    <w:p w14:paraId="3C165A21">
      <w:pPr>
        <w:shd w:val="clear"/>
        <w:rPr>
          <w:rFonts w:hint="eastAsia" w:ascii="宋体" w:hAnsi="宋体" w:eastAsia="宋体" w:cs="宋体"/>
          <w:highlight w:val="none"/>
          <w:lang w:val="en-US" w:eastAsia="zh-CN"/>
        </w:rPr>
      </w:pPr>
    </w:p>
    <w:p w14:paraId="738E1379">
      <w:pPr>
        <w:pStyle w:val="15"/>
        <w:shd w:val="clear"/>
        <w:rPr>
          <w:rFonts w:hint="eastAsia" w:ascii="宋体" w:hAnsi="宋体" w:eastAsia="宋体" w:cs="宋体"/>
          <w:highlight w:val="none"/>
          <w:lang w:val="en-US" w:eastAsia="zh-CN"/>
        </w:rPr>
      </w:pPr>
    </w:p>
    <w:p w14:paraId="6A40C3F4">
      <w:pPr>
        <w:shd w:val="clear"/>
        <w:rPr>
          <w:rFonts w:hint="eastAsia" w:ascii="宋体" w:hAnsi="宋体" w:eastAsia="宋体" w:cs="宋体"/>
          <w:highlight w:val="none"/>
          <w:lang w:val="en-US" w:eastAsia="zh-CN"/>
        </w:rPr>
      </w:pPr>
    </w:p>
    <w:p w14:paraId="48957F3B">
      <w:pPr>
        <w:pStyle w:val="15"/>
        <w:shd w:val="clear"/>
        <w:rPr>
          <w:rFonts w:hint="eastAsia" w:ascii="宋体" w:hAnsi="宋体" w:eastAsia="宋体" w:cs="宋体"/>
          <w:highlight w:val="none"/>
          <w:lang w:val="en-US" w:eastAsia="zh-CN"/>
        </w:rPr>
      </w:pPr>
    </w:p>
    <w:p w14:paraId="33481AF7">
      <w:pPr>
        <w:shd w:val="clear"/>
        <w:rPr>
          <w:rFonts w:hint="eastAsia" w:ascii="宋体" w:hAnsi="宋体" w:eastAsia="宋体" w:cs="宋体"/>
          <w:highlight w:val="none"/>
          <w:lang w:val="en-US" w:eastAsia="zh-CN"/>
        </w:rPr>
      </w:pPr>
    </w:p>
    <w:p w14:paraId="62B11E3B">
      <w:pPr>
        <w:pStyle w:val="15"/>
        <w:shd w:val="clear"/>
        <w:rPr>
          <w:rFonts w:hint="eastAsia" w:ascii="宋体" w:hAnsi="宋体" w:eastAsia="宋体" w:cs="宋体"/>
          <w:highlight w:val="none"/>
          <w:lang w:val="en-US" w:eastAsia="zh-CN"/>
        </w:rPr>
      </w:pPr>
    </w:p>
    <w:p w14:paraId="2EB06585">
      <w:pPr>
        <w:shd w:val="clear"/>
        <w:rPr>
          <w:rFonts w:hint="eastAsia" w:ascii="宋体" w:hAnsi="宋体" w:eastAsia="宋体" w:cs="宋体"/>
          <w:highlight w:val="none"/>
          <w:lang w:val="en-US" w:eastAsia="zh-CN"/>
        </w:rPr>
      </w:pPr>
    </w:p>
    <w:p w14:paraId="47656583">
      <w:pPr>
        <w:pStyle w:val="15"/>
        <w:shd w:val="clear"/>
        <w:rPr>
          <w:rFonts w:hint="eastAsia" w:ascii="宋体" w:hAnsi="宋体" w:eastAsia="宋体" w:cs="宋体"/>
          <w:highlight w:val="none"/>
          <w:lang w:val="en-US" w:eastAsia="zh-CN"/>
        </w:rPr>
      </w:pPr>
    </w:p>
    <w:p w14:paraId="53635A21">
      <w:pPr>
        <w:shd w:val="clear"/>
        <w:rPr>
          <w:rFonts w:hint="eastAsia" w:ascii="宋体" w:hAnsi="宋体" w:eastAsia="宋体" w:cs="宋体"/>
          <w:highlight w:val="none"/>
          <w:lang w:val="en-US" w:eastAsia="zh-CN"/>
        </w:rPr>
      </w:pPr>
    </w:p>
    <w:p w14:paraId="5F11800F">
      <w:pPr>
        <w:pStyle w:val="15"/>
        <w:shd w:val="clear"/>
        <w:rPr>
          <w:rFonts w:hint="eastAsia" w:ascii="宋体" w:hAnsi="宋体" w:eastAsia="宋体" w:cs="宋体"/>
          <w:highlight w:val="none"/>
          <w:lang w:val="en-US" w:eastAsia="zh-CN"/>
        </w:rPr>
      </w:pPr>
    </w:p>
    <w:p w14:paraId="00A3B488">
      <w:pPr>
        <w:shd w:val="clear"/>
        <w:rPr>
          <w:rFonts w:hint="eastAsia" w:ascii="宋体" w:hAnsi="宋体" w:eastAsia="宋体" w:cs="宋体"/>
          <w:highlight w:val="none"/>
          <w:lang w:val="en-US" w:eastAsia="zh-CN"/>
        </w:rPr>
      </w:pPr>
    </w:p>
    <w:p w14:paraId="719B3CE9">
      <w:pPr>
        <w:pStyle w:val="15"/>
        <w:shd w:val="clear"/>
        <w:rPr>
          <w:rFonts w:hint="eastAsia" w:ascii="宋体" w:hAnsi="宋体" w:eastAsia="宋体" w:cs="宋体"/>
          <w:highlight w:val="none"/>
          <w:lang w:val="en-US" w:eastAsia="zh-CN"/>
        </w:rPr>
      </w:pPr>
    </w:p>
    <w:p w14:paraId="752A043B">
      <w:pPr>
        <w:shd w:val="clear"/>
        <w:rPr>
          <w:rFonts w:hint="eastAsia" w:ascii="宋体" w:hAnsi="宋体" w:eastAsia="宋体" w:cs="宋体"/>
          <w:lang w:val="en-US" w:eastAsia="zh-CN"/>
        </w:rPr>
      </w:pPr>
    </w:p>
    <w:p w14:paraId="59FE0F3C">
      <w:pPr>
        <w:shd w:val="clear"/>
        <w:tabs>
          <w:tab w:val="left" w:pos="210"/>
        </w:tabs>
        <w:ind w:left="287"/>
        <w:jc w:val="center"/>
        <w:outlineLvl w:val="0"/>
        <w:rPr>
          <w:rFonts w:hint="eastAsia" w:ascii="宋体" w:hAnsi="宋体" w:eastAsia="宋体" w:cs="宋体"/>
          <w:b/>
          <w:sz w:val="32"/>
          <w:szCs w:val="22"/>
        </w:rPr>
      </w:pPr>
      <w:r>
        <w:rPr>
          <w:rFonts w:hint="eastAsia" w:ascii="宋体" w:hAnsi="宋体" w:eastAsia="宋体" w:cs="宋体"/>
          <w:b/>
          <w:sz w:val="28"/>
          <w:szCs w:val="21"/>
          <w:lang w:eastAsia="zh-CN"/>
        </w:rPr>
        <w:t>法定代表人</w:t>
      </w:r>
      <w:r>
        <w:rPr>
          <w:rFonts w:hint="eastAsia" w:ascii="宋体" w:hAnsi="宋体" w:eastAsia="宋体" w:cs="宋体"/>
          <w:b/>
          <w:sz w:val="28"/>
          <w:szCs w:val="21"/>
        </w:rPr>
        <w:t>证明书、</w:t>
      </w:r>
      <w:r>
        <w:rPr>
          <w:rFonts w:hint="eastAsia" w:ascii="宋体" w:hAnsi="宋体" w:eastAsia="宋体" w:cs="宋体"/>
          <w:b/>
          <w:sz w:val="28"/>
          <w:szCs w:val="21"/>
          <w:lang w:eastAsia="zh-CN"/>
        </w:rPr>
        <w:t>法定代表人</w:t>
      </w:r>
      <w:r>
        <w:rPr>
          <w:rFonts w:hint="eastAsia" w:ascii="宋体" w:hAnsi="宋体" w:eastAsia="宋体" w:cs="宋体"/>
          <w:b/>
          <w:sz w:val="28"/>
          <w:szCs w:val="21"/>
        </w:rPr>
        <w:t>授权委托书</w:t>
      </w:r>
      <w:bookmarkEnd w:id="221"/>
      <w:bookmarkEnd w:id="237"/>
      <w:bookmarkEnd w:id="239"/>
    </w:p>
    <w:bookmarkEnd w:id="222"/>
    <w:bookmarkEnd w:id="223"/>
    <w:p w14:paraId="5E7DFA9D">
      <w:pPr>
        <w:shd w:val="clear"/>
        <w:rPr>
          <w:rFonts w:hint="eastAsia" w:ascii="宋体" w:hAnsi="宋体" w:eastAsia="宋体" w:cs="宋体"/>
          <w:b/>
          <w:bCs/>
          <w:szCs w:val="32"/>
        </w:rPr>
      </w:pPr>
      <w:r>
        <w:rPr>
          <w:rFonts w:hint="eastAsia" w:ascii="宋体" w:hAnsi="宋体" w:eastAsia="宋体" w:cs="宋体"/>
        </w:rPr>
        <w:t xml:space="preserve">      </w:t>
      </w:r>
      <w:r>
        <w:rPr>
          <w:rFonts w:hint="eastAsia" w:ascii="宋体" w:hAnsi="宋体" w:eastAsia="宋体" w:cs="宋体"/>
          <w:szCs w:val="32"/>
        </w:rPr>
        <w:t xml:space="preserve"> </w:t>
      </w:r>
    </w:p>
    <w:p w14:paraId="589EF1C6">
      <w:pPr>
        <w:shd w:val="clear"/>
        <w:tabs>
          <w:tab w:val="left" w:pos="210"/>
        </w:tabs>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法定代表人</w:t>
      </w:r>
      <w:r>
        <w:rPr>
          <w:rFonts w:hint="eastAsia" w:ascii="宋体" w:hAnsi="宋体" w:eastAsia="宋体" w:cs="宋体"/>
          <w:b/>
          <w:kern w:val="0"/>
          <w:sz w:val="32"/>
          <w:szCs w:val="32"/>
        </w:rPr>
        <w:t>证明书</w:t>
      </w:r>
    </w:p>
    <w:p w14:paraId="702C5D6D">
      <w:pPr>
        <w:shd w:val="clear"/>
        <w:tabs>
          <w:tab w:val="left" w:pos="210"/>
        </w:tabs>
        <w:spacing w:line="320" w:lineRule="exact"/>
        <w:jc w:val="center"/>
        <w:rPr>
          <w:rFonts w:hint="eastAsia" w:ascii="宋体" w:hAnsi="宋体" w:eastAsia="宋体" w:cs="宋体"/>
          <w:b/>
          <w:kern w:val="0"/>
          <w:sz w:val="32"/>
          <w:szCs w:val="32"/>
        </w:rPr>
      </w:pPr>
    </w:p>
    <w:tbl>
      <w:tblPr>
        <w:tblStyle w:val="25"/>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2109"/>
        <w:gridCol w:w="2284"/>
        <w:gridCol w:w="2105"/>
        <w:gridCol w:w="2069"/>
      </w:tblGrid>
      <w:tr w14:paraId="391C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120" w:type="dxa"/>
            <w:gridSpan w:val="5"/>
            <w:vAlign w:val="center"/>
          </w:tcPr>
          <w:p w14:paraId="664297B9">
            <w:pPr>
              <w:shd w:val="clear"/>
              <w:tabs>
                <w:tab w:val="left" w:pos="210"/>
              </w:tabs>
              <w:spacing w:line="320" w:lineRule="exact"/>
              <w:rPr>
                <w:rFonts w:hint="eastAsia" w:ascii="宋体" w:hAnsi="宋体" w:eastAsia="宋体" w:cs="宋体"/>
                <w:kern w:val="0"/>
                <w:sz w:val="24"/>
                <w:lang w:eastAsia="zh-CN"/>
              </w:rPr>
            </w:pPr>
            <w:r>
              <w:rPr>
                <w:rFonts w:hint="eastAsia" w:ascii="宋体" w:hAnsi="宋体" w:eastAsia="宋体" w:cs="宋体"/>
                <w:kern w:val="0"/>
                <w:sz w:val="24"/>
              </w:rPr>
              <w:t>致：</w:t>
            </w:r>
            <w:r>
              <w:rPr>
                <w:rFonts w:hint="eastAsia" w:ascii="宋体" w:hAnsi="宋体" w:eastAsia="宋体" w:cs="宋体"/>
                <w:kern w:val="0"/>
                <w:sz w:val="24"/>
                <w:lang w:eastAsia="zh-CN"/>
              </w:rPr>
              <w:t>榆林天泽鼎泰项目管理有限公司</w:t>
            </w:r>
          </w:p>
        </w:tc>
      </w:tr>
      <w:tr w14:paraId="0082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53" w:type="dxa"/>
            <w:vMerge w:val="restart"/>
            <w:vAlign w:val="center"/>
          </w:tcPr>
          <w:p w14:paraId="014B4C42">
            <w:pPr>
              <w:shd w:val="clear"/>
              <w:tabs>
                <w:tab w:val="left" w:pos="210"/>
              </w:tabs>
              <w:spacing w:line="320" w:lineRule="exact"/>
              <w:jc w:val="center"/>
              <w:rPr>
                <w:rFonts w:hint="eastAsia" w:ascii="宋体" w:hAnsi="宋体" w:eastAsia="宋体" w:cs="宋体"/>
                <w:kern w:val="0"/>
                <w:sz w:val="24"/>
              </w:rPr>
            </w:pPr>
            <w:r>
              <w:rPr>
                <w:rFonts w:hint="eastAsia" w:ascii="宋体" w:hAnsi="宋体" w:eastAsia="宋体" w:cs="宋体"/>
                <w:kern w:val="0"/>
                <w:sz w:val="24"/>
              </w:rPr>
              <w:t>企</w:t>
            </w:r>
          </w:p>
          <w:p w14:paraId="580D68A4">
            <w:pPr>
              <w:shd w:val="clear"/>
              <w:tabs>
                <w:tab w:val="left" w:pos="210"/>
              </w:tabs>
              <w:spacing w:line="320" w:lineRule="exact"/>
              <w:jc w:val="center"/>
              <w:rPr>
                <w:rFonts w:hint="eastAsia" w:ascii="宋体" w:hAnsi="宋体" w:eastAsia="宋体" w:cs="宋体"/>
                <w:kern w:val="0"/>
                <w:sz w:val="24"/>
              </w:rPr>
            </w:pPr>
          </w:p>
          <w:p w14:paraId="5FFA7BB7">
            <w:pPr>
              <w:shd w:val="clear"/>
              <w:tabs>
                <w:tab w:val="left" w:pos="210"/>
              </w:tabs>
              <w:spacing w:line="320" w:lineRule="exact"/>
              <w:jc w:val="center"/>
              <w:rPr>
                <w:rFonts w:hint="eastAsia" w:ascii="宋体" w:hAnsi="宋体" w:eastAsia="宋体" w:cs="宋体"/>
                <w:kern w:val="0"/>
                <w:sz w:val="24"/>
              </w:rPr>
            </w:pPr>
            <w:r>
              <w:rPr>
                <w:rFonts w:hint="eastAsia" w:ascii="宋体" w:hAnsi="宋体" w:eastAsia="宋体" w:cs="宋体"/>
                <w:kern w:val="0"/>
                <w:sz w:val="24"/>
              </w:rPr>
              <w:t>业</w:t>
            </w:r>
          </w:p>
          <w:p w14:paraId="011FEC42">
            <w:pPr>
              <w:shd w:val="clear"/>
              <w:tabs>
                <w:tab w:val="left" w:pos="210"/>
              </w:tabs>
              <w:spacing w:line="320" w:lineRule="exact"/>
              <w:jc w:val="center"/>
              <w:rPr>
                <w:rFonts w:hint="eastAsia" w:ascii="宋体" w:hAnsi="宋体" w:eastAsia="宋体" w:cs="宋体"/>
                <w:kern w:val="0"/>
                <w:sz w:val="24"/>
              </w:rPr>
            </w:pPr>
          </w:p>
          <w:p w14:paraId="0A0E0C77">
            <w:pPr>
              <w:shd w:val="clear"/>
              <w:tabs>
                <w:tab w:val="left" w:pos="210"/>
              </w:tabs>
              <w:spacing w:line="320" w:lineRule="exact"/>
              <w:jc w:val="center"/>
              <w:rPr>
                <w:rFonts w:hint="eastAsia" w:ascii="宋体" w:hAnsi="宋体" w:eastAsia="宋体" w:cs="宋体"/>
                <w:kern w:val="0"/>
                <w:sz w:val="24"/>
              </w:rPr>
            </w:pPr>
            <w:r>
              <w:rPr>
                <w:rFonts w:hint="eastAsia" w:ascii="宋体" w:hAnsi="宋体" w:eastAsia="宋体" w:cs="宋体"/>
                <w:kern w:val="0"/>
                <w:sz w:val="24"/>
              </w:rPr>
              <w:t>法</w:t>
            </w:r>
          </w:p>
          <w:p w14:paraId="2E1ED1BB">
            <w:pPr>
              <w:shd w:val="clear"/>
              <w:tabs>
                <w:tab w:val="left" w:pos="210"/>
              </w:tabs>
              <w:spacing w:line="320" w:lineRule="exact"/>
              <w:jc w:val="center"/>
              <w:rPr>
                <w:rFonts w:hint="eastAsia" w:ascii="宋体" w:hAnsi="宋体" w:eastAsia="宋体" w:cs="宋体"/>
                <w:kern w:val="0"/>
                <w:sz w:val="24"/>
              </w:rPr>
            </w:pPr>
          </w:p>
          <w:p w14:paraId="41E5B9D5">
            <w:pPr>
              <w:shd w:val="clear"/>
              <w:tabs>
                <w:tab w:val="left" w:pos="210"/>
              </w:tabs>
              <w:spacing w:line="320" w:lineRule="exact"/>
              <w:jc w:val="center"/>
              <w:rPr>
                <w:rFonts w:hint="eastAsia" w:ascii="宋体" w:hAnsi="宋体" w:eastAsia="宋体" w:cs="宋体"/>
                <w:kern w:val="0"/>
                <w:sz w:val="24"/>
              </w:rPr>
            </w:pPr>
            <w:r>
              <w:rPr>
                <w:rFonts w:hint="eastAsia" w:ascii="宋体" w:hAnsi="宋体" w:eastAsia="宋体" w:cs="宋体"/>
                <w:kern w:val="0"/>
                <w:sz w:val="24"/>
              </w:rPr>
              <w:t>人</w:t>
            </w:r>
          </w:p>
        </w:tc>
        <w:tc>
          <w:tcPr>
            <w:tcW w:w="2109" w:type="dxa"/>
            <w:vAlign w:val="center"/>
          </w:tcPr>
          <w:p w14:paraId="5F30AAE1">
            <w:pPr>
              <w:shd w:val="clear"/>
              <w:tabs>
                <w:tab w:val="left" w:pos="210"/>
              </w:tabs>
              <w:spacing w:line="320" w:lineRule="exact"/>
              <w:jc w:val="center"/>
              <w:rPr>
                <w:rFonts w:hint="eastAsia" w:ascii="宋体" w:hAnsi="宋体" w:eastAsia="宋体" w:cs="宋体"/>
                <w:kern w:val="0"/>
                <w:sz w:val="24"/>
              </w:rPr>
            </w:pPr>
            <w:r>
              <w:rPr>
                <w:rFonts w:hint="eastAsia" w:ascii="宋体" w:hAnsi="宋体" w:eastAsia="宋体" w:cs="宋体"/>
                <w:kern w:val="0"/>
                <w:sz w:val="24"/>
              </w:rPr>
              <w:t>企业名称</w:t>
            </w:r>
          </w:p>
        </w:tc>
        <w:tc>
          <w:tcPr>
            <w:tcW w:w="6458" w:type="dxa"/>
            <w:gridSpan w:val="3"/>
            <w:vAlign w:val="center"/>
          </w:tcPr>
          <w:p w14:paraId="5AEAAACF">
            <w:pPr>
              <w:shd w:val="clear"/>
              <w:tabs>
                <w:tab w:val="left" w:pos="210"/>
              </w:tabs>
              <w:spacing w:line="320" w:lineRule="exact"/>
              <w:jc w:val="center"/>
              <w:rPr>
                <w:rFonts w:hint="eastAsia" w:ascii="宋体" w:hAnsi="宋体" w:eastAsia="宋体" w:cs="宋体"/>
                <w:kern w:val="0"/>
                <w:sz w:val="24"/>
              </w:rPr>
            </w:pPr>
          </w:p>
        </w:tc>
      </w:tr>
      <w:tr w14:paraId="3422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53" w:type="dxa"/>
            <w:vMerge w:val="continue"/>
            <w:vAlign w:val="center"/>
          </w:tcPr>
          <w:p w14:paraId="1F3BDD20">
            <w:pPr>
              <w:shd w:val="clear"/>
              <w:tabs>
                <w:tab w:val="left" w:pos="210"/>
              </w:tabs>
              <w:spacing w:line="320" w:lineRule="exact"/>
              <w:jc w:val="center"/>
              <w:rPr>
                <w:rFonts w:hint="eastAsia" w:ascii="宋体" w:hAnsi="宋体" w:eastAsia="宋体" w:cs="宋体"/>
                <w:kern w:val="0"/>
                <w:sz w:val="24"/>
              </w:rPr>
            </w:pPr>
          </w:p>
        </w:tc>
        <w:tc>
          <w:tcPr>
            <w:tcW w:w="2109" w:type="dxa"/>
            <w:vAlign w:val="center"/>
          </w:tcPr>
          <w:p w14:paraId="15F498D1">
            <w:pPr>
              <w:shd w:val="clear"/>
              <w:tabs>
                <w:tab w:val="left" w:pos="210"/>
              </w:tabs>
              <w:spacing w:line="320" w:lineRule="exact"/>
              <w:jc w:val="center"/>
              <w:rPr>
                <w:rFonts w:hint="eastAsia" w:ascii="宋体" w:hAnsi="宋体" w:eastAsia="宋体" w:cs="宋体"/>
                <w:kern w:val="0"/>
                <w:sz w:val="24"/>
              </w:rPr>
            </w:pPr>
            <w:r>
              <w:rPr>
                <w:rFonts w:hint="eastAsia" w:ascii="宋体" w:hAnsi="宋体" w:eastAsia="宋体" w:cs="宋体"/>
                <w:kern w:val="0"/>
                <w:sz w:val="24"/>
              </w:rPr>
              <w:t>法定地址</w:t>
            </w:r>
          </w:p>
        </w:tc>
        <w:tc>
          <w:tcPr>
            <w:tcW w:w="6458" w:type="dxa"/>
            <w:gridSpan w:val="3"/>
            <w:vAlign w:val="center"/>
          </w:tcPr>
          <w:p w14:paraId="578F77BC">
            <w:pPr>
              <w:shd w:val="clear"/>
              <w:tabs>
                <w:tab w:val="left" w:pos="210"/>
              </w:tabs>
              <w:spacing w:line="320" w:lineRule="exact"/>
              <w:jc w:val="center"/>
              <w:rPr>
                <w:rFonts w:hint="eastAsia" w:ascii="宋体" w:hAnsi="宋体" w:eastAsia="宋体" w:cs="宋体"/>
                <w:kern w:val="0"/>
                <w:sz w:val="24"/>
              </w:rPr>
            </w:pPr>
          </w:p>
        </w:tc>
      </w:tr>
      <w:tr w14:paraId="69C7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53" w:type="dxa"/>
            <w:vMerge w:val="continue"/>
            <w:vAlign w:val="center"/>
          </w:tcPr>
          <w:p w14:paraId="6AAD4C6E">
            <w:pPr>
              <w:shd w:val="clear"/>
              <w:tabs>
                <w:tab w:val="left" w:pos="210"/>
              </w:tabs>
              <w:spacing w:line="320" w:lineRule="exact"/>
              <w:jc w:val="center"/>
              <w:rPr>
                <w:rFonts w:hint="eastAsia" w:ascii="宋体" w:hAnsi="宋体" w:eastAsia="宋体" w:cs="宋体"/>
                <w:kern w:val="0"/>
                <w:sz w:val="24"/>
              </w:rPr>
            </w:pPr>
          </w:p>
        </w:tc>
        <w:tc>
          <w:tcPr>
            <w:tcW w:w="2109" w:type="dxa"/>
            <w:vAlign w:val="center"/>
          </w:tcPr>
          <w:p w14:paraId="0E6615FC">
            <w:pPr>
              <w:shd w:val="clear"/>
              <w:tabs>
                <w:tab w:val="left" w:pos="210"/>
              </w:tabs>
              <w:spacing w:line="320" w:lineRule="exact"/>
              <w:jc w:val="center"/>
              <w:rPr>
                <w:rFonts w:hint="eastAsia" w:ascii="宋体" w:hAnsi="宋体" w:eastAsia="宋体" w:cs="宋体"/>
                <w:kern w:val="0"/>
                <w:sz w:val="24"/>
              </w:rPr>
            </w:pPr>
            <w:r>
              <w:rPr>
                <w:rFonts w:hint="eastAsia" w:ascii="宋体" w:hAnsi="宋体" w:eastAsia="宋体" w:cs="宋体"/>
                <w:kern w:val="0"/>
                <w:sz w:val="24"/>
              </w:rPr>
              <w:t>邮政编码</w:t>
            </w:r>
          </w:p>
        </w:tc>
        <w:tc>
          <w:tcPr>
            <w:tcW w:w="6458" w:type="dxa"/>
            <w:gridSpan w:val="3"/>
            <w:vAlign w:val="center"/>
          </w:tcPr>
          <w:p w14:paraId="3FC2CA00">
            <w:pPr>
              <w:shd w:val="clear"/>
              <w:tabs>
                <w:tab w:val="left" w:pos="210"/>
              </w:tabs>
              <w:spacing w:line="320" w:lineRule="exact"/>
              <w:jc w:val="center"/>
              <w:rPr>
                <w:rFonts w:hint="eastAsia" w:ascii="宋体" w:hAnsi="宋体" w:eastAsia="宋体" w:cs="宋体"/>
                <w:kern w:val="0"/>
                <w:sz w:val="24"/>
              </w:rPr>
            </w:pPr>
          </w:p>
        </w:tc>
      </w:tr>
      <w:tr w14:paraId="272F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553" w:type="dxa"/>
            <w:vMerge w:val="continue"/>
            <w:vAlign w:val="center"/>
          </w:tcPr>
          <w:p w14:paraId="6FFEB669">
            <w:pPr>
              <w:shd w:val="clear"/>
              <w:tabs>
                <w:tab w:val="left" w:pos="210"/>
              </w:tabs>
              <w:spacing w:line="320" w:lineRule="exact"/>
              <w:jc w:val="center"/>
              <w:rPr>
                <w:rFonts w:hint="eastAsia" w:ascii="宋体" w:hAnsi="宋体" w:eastAsia="宋体" w:cs="宋体"/>
                <w:kern w:val="0"/>
                <w:sz w:val="24"/>
              </w:rPr>
            </w:pPr>
          </w:p>
        </w:tc>
        <w:tc>
          <w:tcPr>
            <w:tcW w:w="2109" w:type="dxa"/>
            <w:vAlign w:val="center"/>
          </w:tcPr>
          <w:p w14:paraId="660AE079">
            <w:pPr>
              <w:shd w:val="clear"/>
              <w:tabs>
                <w:tab w:val="left" w:pos="210"/>
              </w:tabs>
              <w:spacing w:line="320" w:lineRule="exact"/>
              <w:jc w:val="center"/>
              <w:rPr>
                <w:rFonts w:hint="eastAsia" w:ascii="宋体" w:hAnsi="宋体" w:eastAsia="宋体" w:cs="宋体"/>
                <w:kern w:val="0"/>
                <w:sz w:val="24"/>
              </w:rPr>
            </w:pPr>
            <w:r>
              <w:rPr>
                <w:rFonts w:hint="eastAsia" w:ascii="宋体" w:hAnsi="宋体" w:eastAsia="宋体" w:cs="宋体"/>
                <w:kern w:val="0"/>
                <w:sz w:val="24"/>
              </w:rPr>
              <w:t>机构代码证号</w:t>
            </w:r>
          </w:p>
        </w:tc>
        <w:tc>
          <w:tcPr>
            <w:tcW w:w="6458" w:type="dxa"/>
            <w:gridSpan w:val="3"/>
            <w:vAlign w:val="center"/>
          </w:tcPr>
          <w:p w14:paraId="57612EF1">
            <w:pPr>
              <w:shd w:val="clear"/>
              <w:tabs>
                <w:tab w:val="left" w:pos="210"/>
              </w:tabs>
              <w:spacing w:line="320" w:lineRule="exact"/>
              <w:jc w:val="center"/>
              <w:rPr>
                <w:rFonts w:hint="eastAsia" w:ascii="宋体" w:hAnsi="宋体" w:eastAsia="宋体" w:cs="宋体"/>
                <w:kern w:val="0"/>
                <w:sz w:val="24"/>
              </w:rPr>
            </w:pPr>
          </w:p>
        </w:tc>
      </w:tr>
      <w:tr w14:paraId="5C49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53" w:type="dxa"/>
            <w:vMerge w:val="restart"/>
            <w:vAlign w:val="center"/>
          </w:tcPr>
          <w:p w14:paraId="7E114A59">
            <w:pPr>
              <w:shd w:val="clear"/>
              <w:tabs>
                <w:tab w:val="left" w:pos="210"/>
              </w:tabs>
              <w:spacing w:line="320" w:lineRule="exact"/>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法定代表人</w:t>
            </w:r>
          </w:p>
        </w:tc>
        <w:tc>
          <w:tcPr>
            <w:tcW w:w="2109" w:type="dxa"/>
            <w:vAlign w:val="center"/>
          </w:tcPr>
          <w:p w14:paraId="65759EC9">
            <w:pPr>
              <w:shd w:val="clear"/>
              <w:tabs>
                <w:tab w:val="left" w:pos="210"/>
              </w:tabs>
              <w:spacing w:line="320" w:lineRule="exact"/>
              <w:jc w:val="center"/>
              <w:rPr>
                <w:rFonts w:hint="eastAsia" w:ascii="宋体" w:hAnsi="宋体" w:eastAsia="宋体" w:cs="宋体"/>
                <w:kern w:val="0"/>
                <w:sz w:val="24"/>
              </w:rPr>
            </w:pPr>
            <w:r>
              <w:rPr>
                <w:rFonts w:hint="eastAsia" w:ascii="宋体" w:hAnsi="宋体" w:eastAsia="宋体" w:cs="宋体"/>
                <w:kern w:val="0"/>
                <w:sz w:val="24"/>
              </w:rPr>
              <w:t>姓名</w:t>
            </w:r>
          </w:p>
        </w:tc>
        <w:tc>
          <w:tcPr>
            <w:tcW w:w="2284" w:type="dxa"/>
            <w:vAlign w:val="center"/>
          </w:tcPr>
          <w:p w14:paraId="0EB488C8">
            <w:pPr>
              <w:shd w:val="clear"/>
              <w:tabs>
                <w:tab w:val="left" w:pos="210"/>
              </w:tabs>
              <w:spacing w:line="320" w:lineRule="exact"/>
              <w:jc w:val="center"/>
              <w:rPr>
                <w:rFonts w:hint="eastAsia" w:ascii="宋体" w:hAnsi="宋体" w:eastAsia="宋体" w:cs="宋体"/>
                <w:kern w:val="0"/>
                <w:sz w:val="24"/>
              </w:rPr>
            </w:pPr>
            <w:r>
              <w:rPr>
                <w:rFonts w:hint="eastAsia" w:ascii="宋体" w:hAnsi="宋体" w:eastAsia="宋体" w:cs="宋体"/>
                <w:kern w:val="0"/>
                <w:sz w:val="24"/>
              </w:rPr>
              <w:t>（签名）</w:t>
            </w:r>
          </w:p>
        </w:tc>
        <w:tc>
          <w:tcPr>
            <w:tcW w:w="2105" w:type="dxa"/>
            <w:vAlign w:val="center"/>
          </w:tcPr>
          <w:p w14:paraId="37215E7D">
            <w:pPr>
              <w:shd w:val="clear"/>
              <w:tabs>
                <w:tab w:val="left" w:pos="210"/>
              </w:tabs>
              <w:spacing w:line="320" w:lineRule="exact"/>
              <w:jc w:val="center"/>
              <w:rPr>
                <w:rFonts w:hint="eastAsia" w:ascii="宋体" w:hAnsi="宋体" w:eastAsia="宋体" w:cs="宋体"/>
                <w:kern w:val="0"/>
                <w:sz w:val="24"/>
              </w:rPr>
            </w:pPr>
            <w:r>
              <w:rPr>
                <w:rFonts w:hint="eastAsia" w:ascii="宋体" w:hAnsi="宋体" w:eastAsia="宋体" w:cs="宋体"/>
                <w:kern w:val="0"/>
                <w:sz w:val="24"/>
              </w:rPr>
              <w:t>性别</w:t>
            </w:r>
          </w:p>
        </w:tc>
        <w:tc>
          <w:tcPr>
            <w:tcW w:w="2069" w:type="dxa"/>
            <w:vAlign w:val="center"/>
          </w:tcPr>
          <w:p w14:paraId="25F10877">
            <w:pPr>
              <w:shd w:val="clear"/>
              <w:tabs>
                <w:tab w:val="left" w:pos="210"/>
              </w:tabs>
              <w:spacing w:line="320" w:lineRule="exact"/>
              <w:jc w:val="center"/>
              <w:rPr>
                <w:rFonts w:hint="eastAsia" w:ascii="宋体" w:hAnsi="宋体" w:eastAsia="宋体" w:cs="宋体"/>
                <w:kern w:val="0"/>
                <w:sz w:val="24"/>
              </w:rPr>
            </w:pPr>
          </w:p>
        </w:tc>
      </w:tr>
      <w:tr w14:paraId="421A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53" w:type="dxa"/>
            <w:vMerge w:val="continue"/>
            <w:vAlign w:val="center"/>
          </w:tcPr>
          <w:p w14:paraId="43907BCD">
            <w:pPr>
              <w:shd w:val="clear"/>
              <w:tabs>
                <w:tab w:val="left" w:pos="210"/>
              </w:tabs>
              <w:spacing w:line="320" w:lineRule="exact"/>
              <w:jc w:val="center"/>
              <w:rPr>
                <w:rFonts w:hint="eastAsia" w:ascii="宋体" w:hAnsi="宋体" w:eastAsia="宋体" w:cs="宋体"/>
                <w:kern w:val="0"/>
                <w:sz w:val="24"/>
              </w:rPr>
            </w:pPr>
          </w:p>
        </w:tc>
        <w:tc>
          <w:tcPr>
            <w:tcW w:w="2109" w:type="dxa"/>
            <w:vAlign w:val="center"/>
          </w:tcPr>
          <w:p w14:paraId="50F74BBC">
            <w:pPr>
              <w:shd w:val="clear"/>
              <w:tabs>
                <w:tab w:val="left" w:pos="210"/>
              </w:tabs>
              <w:spacing w:line="320" w:lineRule="exact"/>
              <w:jc w:val="center"/>
              <w:rPr>
                <w:rFonts w:hint="eastAsia" w:ascii="宋体" w:hAnsi="宋体" w:eastAsia="宋体" w:cs="宋体"/>
                <w:kern w:val="0"/>
                <w:sz w:val="24"/>
              </w:rPr>
            </w:pPr>
            <w:r>
              <w:rPr>
                <w:rFonts w:hint="eastAsia" w:ascii="宋体" w:hAnsi="宋体" w:eastAsia="宋体" w:cs="宋体"/>
                <w:kern w:val="0"/>
                <w:sz w:val="24"/>
              </w:rPr>
              <w:t>职务</w:t>
            </w:r>
          </w:p>
        </w:tc>
        <w:tc>
          <w:tcPr>
            <w:tcW w:w="2284" w:type="dxa"/>
            <w:vAlign w:val="center"/>
          </w:tcPr>
          <w:p w14:paraId="6DC48A2F">
            <w:pPr>
              <w:shd w:val="clear"/>
              <w:tabs>
                <w:tab w:val="left" w:pos="210"/>
              </w:tabs>
              <w:spacing w:line="320" w:lineRule="exact"/>
              <w:jc w:val="center"/>
              <w:rPr>
                <w:rFonts w:hint="eastAsia" w:ascii="宋体" w:hAnsi="宋体" w:eastAsia="宋体" w:cs="宋体"/>
                <w:kern w:val="0"/>
                <w:sz w:val="24"/>
              </w:rPr>
            </w:pPr>
          </w:p>
        </w:tc>
        <w:tc>
          <w:tcPr>
            <w:tcW w:w="2105" w:type="dxa"/>
            <w:vAlign w:val="center"/>
          </w:tcPr>
          <w:p w14:paraId="4156624E">
            <w:pPr>
              <w:shd w:val="clear"/>
              <w:tabs>
                <w:tab w:val="left" w:pos="210"/>
              </w:tabs>
              <w:spacing w:line="320" w:lineRule="exact"/>
              <w:jc w:val="center"/>
              <w:rPr>
                <w:rFonts w:hint="eastAsia" w:ascii="宋体" w:hAnsi="宋体" w:eastAsia="宋体" w:cs="宋体"/>
                <w:kern w:val="0"/>
                <w:sz w:val="24"/>
              </w:rPr>
            </w:pPr>
            <w:r>
              <w:rPr>
                <w:rFonts w:hint="eastAsia" w:ascii="宋体" w:hAnsi="宋体" w:eastAsia="宋体" w:cs="宋体"/>
                <w:kern w:val="0"/>
                <w:sz w:val="24"/>
              </w:rPr>
              <w:t>联系电话</w:t>
            </w:r>
          </w:p>
        </w:tc>
        <w:tc>
          <w:tcPr>
            <w:tcW w:w="2069" w:type="dxa"/>
            <w:vAlign w:val="center"/>
          </w:tcPr>
          <w:p w14:paraId="7B2792AC">
            <w:pPr>
              <w:shd w:val="clear"/>
              <w:tabs>
                <w:tab w:val="left" w:pos="210"/>
              </w:tabs>
              <w:spacing w:line="320" w:lineRule="exact"/>
              <w:jc w:val="center"/>
              <w:rPr>
                <w:rFonts w:hint="eastAsia" w:ascii="宋体" w:hAnsi="宋体" w:eastAsia="宋体" w:cs="宋体"/>
                <w:kern w:val="0"/>
                <w:sz w:val="24"/>
              </w:rPr>
            </w:pPr>
          </w:p>
        </w:tc>
      </w:tr>
      <w:tr w14:paraId="75D1E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553" w:type="dxa"/>
            <w:vMerge w:val="continue"/>
            <w:vAlign w:val="center"/>
          </w:tcPr>
          <w:p w14:paraId="041D7033">
            <w:pPr>
              <w:shd w:val="clear"/>
              <w:tabs>
                <w:tab w:val="left" w:pos="210"/>
              </w:tabs>
              <w:spacing w:line="320" w:lineRule="exact"/>
              <w:jc w:val="center"/>
              <w:rPr>
                <w:rFonts w:hint="eastAsia" w:ascii="宋体" w:hAnsi="宋体" w:eastAsia="宋体" w:cs="宋体"/>
                <w:kern w:val="0"/>
                <w:sz w:val="24"/>
              </w:rPr>
            </w:pPr>
          </w:p>
        </w:tc>
        <w:tc>
          <w:tcPr>
            <w:tcW w:w="2109" w:type="dxa"/>
            <w:vAlign w:val="center"/>
          </w:tcPr>
          <w:p w14:paraId="1041DC69">
            <w:pPr>
              <w:shd w:val="clear"/>
              <w:tabs>
                <w:tab w:val="left" w:pos="210"/>
              </w:tabs>
              <w:spacing w:line="320" w:lineRule="exact"/>
              <w:jc w:val="center"/>
              <w:rPr>
                <w:rFonts w:hint="eastAsia" w:ascii="宋体" w:hAnsi="宋体" w:eastAsia="宋体" w:cs="宋体"/>
                <w:kern w:val="0"/>
                <w:sz w:val="24"/>
              </w:rPr>
            </w:pPr>
            <w:r>
              <w:rPr>
                <w:rFonts w:hint="eastAsia" w:ascii="宋体" w:hAnsi="宋体" w:eastAsia="宋体" w:cs="宋体"/>
                <w:kern w:val="0"/>
                <w:sz w:val="24"/>
              </w:rPr>
              <w:t>传真</w:t>
            </w:r>
          </w:p>
        </w:tc>
        <w:tc>
          <w:tcPr>
            <w:tcW w:w="6458" w:type="dxa"/>
            <w:gridSpan w:val="3"/>
            <w:vAlign w:val="center"/>
          </w:tcPr>
          <w:p w14:paraId="0B4639C9">
            <w:pPr>
              <w:shd w:val="clear"/>
              <w:tabs>
                <w:tab w:val="left" w:pos="210"/>
              </w:tabs>
              <w:spacing w:line="320" w:lineRule="exact"/>
              <w:jc w:val="center"/>
              <w:rPr>
                <w:rFonts w:hint="eastAsia" w:ascii="宋体" w:hAnsi="宋体" w:eastAsia="宋体" w:cs="宋体"/>
                <w:kern w:val="0"/>
                <w:sz w:val="24"/>
              </w:rPr>
            </w:pPr>
          </w:p>
        </w:tc>
      </w:tr>
      <w:tr w14:paraId="75C0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jc w:val="center"/>
        </w:trPr>
        <w:tc>
          <w:tcPr>
            <w:tcW w:w="553" w:type="dxa"/>
            <w:vMerge w:val="restart"/>
            <w:vAlign w:val="center"/>
          </w:tcPr>
          <w:p w14:paraId="0140C0BB">
            <w:pPr>
              <w:shd w:val="clear"/>
              <w:tabs>
                <w:tab w:val="left" w:pos="210"/>
              </w:tabs>
              <w:spacing w:line="320" w:lineRule="exact"/>
              <w:jc w:val="center"/>
              <w:rPr>
                <w:rFonts w:hint="eastAsia" w:ascii="宋体" w:hAnsi="宋体" w:eastAsia="宋体" w:cs="宋体"/>
                <w:kern w:val="0"/>
                <w:sz w:val="24"/>
              </w:rPr>
            </w:pPr>
            <w:r>
              <w:rPr>
                <w:rFonts w:hint="eastAsia" w:ascii="宋体" w:hAnsi="宋体" w:eastAsia="宋体" w:cs="宋体"/>
                <w:kern w:val="0"/>
                <w:sz w:val="24"/>
                <w:lang w:eastAsia="zh-CN"/>
              </w:rPr>
              <w:t>法定代表人</w:t>
            </w:r>
            <w:r>
              <w:rPr>
                <w:rFonts w:hint="eastAsia" w:ascii="宋体" w:hAnsi="宋体" w:eastAsia="宋体" w:cs="宋体"/>
                <w:kern w:val="0"/>
                <w:sz w:val="24"/>
              </w:rPr>
              <w:t>身份证复印件</w:t>
            </w:r>
          </w:p>
        </w:tc>
        <w:tc>
          <w:tcPr>
            <w:tcW w:w="4393" w:type="dxa"/>
            <w:gridSpan w:val="2"/>
            <w:vMerge w:val="restart"/>
            <w:vAlign w:val="center"/>
          </w:tcPr>
          <w:p w14:paraId="1818073E">
            <w:pPr>
              <w:shd w:val="clear"/>
              <w:tabs>
                <w:tab w:val="left" w:pos="210"/>
              </w:tabs>
              <w:spacing w:line="320" w:lineRule="exact"/>
              <w:jc w:val="center"/>
              <w:rPr>
                <w:rFonts w:hint="eastAsia" w:ascii="宋体" w:hAnsi="宋体" w:eastAsia="宋体" w:cs="宋体"/>
                <w:kern w:val="0"/>
                <w:sz w:val="24"/>
              </w:rPr>
            </w:pPr>
            <w:r>
              <w:rPr>
                <w:rFonts w:hint="eastAsia" w:ascii="宋体" w:hAnsi="宋体" w:eastAsia="宋体" w:cs="宋体"/>
                <w:kern w:val="0"/>
                <w:sz w:val="24"/>
              </w:rPr>
              <w:t>（粘贴处）</w:t>
            </w:r>
          </w:p>
        </w:tc>
        <w:tc>
          <w:tcPr>
            <w:tcW w:w="4174" w:type="dxa"/>
            <w:gridSpan w:val="2"/>
            <w:vAlign w:val="center"/>
          </w:tcPr>
          <w:p w14:paraId="05215195">
            <w:pPr>
              <w:shd w:val="clear"/>
              <w:tabs>
                <w:tab w:val="left" w:pos="210"/>
              </w:tabs>
              <w:spacing w:line="320" w:lineRule="exact"/>
              <w:jc w:val="center"/>
              <w:rPr>
                <w:rFonts w:hint="eastAsia" w:ascii="宋体" w:hAnsi="宋体" w:eastAsia="宋体" w:cs="宋体"/>
                <w:kern w:val="0"/>
                <w:sz w:val="24"/>
              </w:rPr>
            </w:pPr>
            <w:r>
              <w:rPr>
                <w:rFonts w:hint="eastAsia" w:ascii="宋体" w:hAnsi="宋体" w:eastAsia="宋体" w:cs="宋体"/>
                <w:kern w:val="0"/>
                <w:sz w:val="24"/>
                <w:lang w:eastAsia="zh-CN"/>
              </w:rPr>
              <w:t>法定代表人</w:t>
            </w:r>
            <w:r>
              <w:rPr>
                <w:rFonts w:hint="eastAsia" w:ascii="宋体" w:hAnsi="宋体" w:eastAsia="宋体" w:cs="宋体"/>
                <w:kern w:val="0"/>
                <w:sz w:val="24"/>
              </w:rPr>
              <w:t>签字及盖章</w:t>
            </w:r>
          </w:p>
        </w:tc>
      </w:tr>
      <w:tr w14:paraId="51AE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553" w:type="dxa"/>
            <w:vMerge w:val="continue"/>
            <w:vAlign w:val="center"/>
          </w:tcPr>
          <w:p w14:paraId="0EA3F3A2">
            <w:pPr>
              <w:shd w:val="clear"/>
              <w:tabs>
                <w:tab w:val="left" w:pos="210"/>
              </w:tabs>
              <w:spacing w:line="320" w:lineRule="exact"/>
              <w:jc w:val="center"/>
              <w:rPr>
                <w:rFonts w:hint="eastAsia" w:ascii="宋体" w:hAnsi="宋体" w:eastAsia="宋体" w:cs="宋体"/>
                <w:kern w:val="0"/>
                <w:sz w:val="24"/>
              </w:rPr>
            </w:pPr>
          </w:p>
        </w:tc>
        <w:tc>
          <w:tcPr>
            <w:tcW w:w="4393" w:type="dxa"/>
            <w:gridSpan w:val="2"/>
            <w:vMerge w:val="continue"/>
            <w:vAlign w:val="center"/>
          </w:tcPr>
          <w:p w14:paraId="1C81E503">
            <w:pPr>
              <w:shd w:val="clear"/>
              <w:tabs>
                <w:tab w:val="left" w:pos="210"/>
              </w:tabs>
              <w:spacing w:line="320" w:lineRule="exact"/>
              <w:jc w:val="center"/>
              <w:rPr>
                <w:rFonts w:hint="eastAsia" w:ascii="宋体" w:hAnsi="宋体" w:eastAsia="宋体" w:cs="宋体"/>
                <w:kern w:val="0"/>
                <w:sz w:val="24"/>
              </w:rPr>
            </w:pPr>
          </w:p>
        </w:tc>
        <w:tc>
          <w:tcPr>
            <w:tcW w:w="4174" w:type="dxa"/>
            <w:gridSpan w:val="2"/>
            <w:vAlign w:val="bottom"/>
          </w:tcPr>
          <w:p w14:paraId="146A89B9">
            <w:pPr>
              <w:shd w:val="clear"/>
              <w:tabs>
                <w:tab w:val="left" w:pos="210"/>
              </w:tabs>
              <w:spacing w:line="320" w:lineRule="exact"/>
              <w:jc w:val="center"/>
              <w:rPr>
                <w:rFonts w:hint="eastAsia" w:ascii="宋体" w:hAnsi="宋体" w:eastAsia="宋体" w:cs="宋体"/>
                <w:kern w:val="0"/>
                <w:sz w:val="24"/>
              </w:rPr>
            </w:pPr>
            <w:r>
              <w:rPr>
                <w:rFonts w:hint="eastAsia" w:ascii="宋体" w:hAnsi="宋体" w:eastAsia="宋体" w:cs="宋体"/>
                <w:kern w:val="0"/>
                <w:sz w:val="24"/>
              </w:rPr>
              <w:t>（公章）</w:t>
            </w:r>
          </w:p>
          <w:p w14:paraId="6A93B905">
            <w:pPr>
              <w:shd w:val="clear"/>
              <w:tabs>
                <w:tab w:val="left" w:pos="210"/>
              </w:tabs>
              <w:spacing w:line="320" w:lineRule="exact"/>
              <w:jc w:val="center"/>
              <w:rPr>
                <w:rFonts w:hint="eastAsia" w:ascii="宋体" w:hAnsi="宋体" w:eastAsia="宋体" w:cs="宋体"/>
                <w:kern w:val="0"/>
                <w:sz w:val="24"/>
              </w:rPr>
            </w:pPr>
          </w:p>
          <w:p w14:paraId="19EFE16E">
            <w:pPr>
              <w:shd w:val="clear"/>
              <w:tabs>
                <w:tab w:val="left" w:pos="210"/>
              </w:tabs>
              <w:spacing w:line="320" w:lineRule="exact"/>
              <w:jc w:val="center"/>
              <w:rPr>
                <w:rFonts w:hint="eastAsia" w:ascii="宋体" w:hAnsi="宋体" w:eastAsia="宋体" w:cs="宋体"/>
                <w:kern w:val="0"/>
                <w:sz w:val="24"/>
              </w:rPr>
            </w:pPr>
          </w:p>
          <w:p w14:paraId="7F2D4481">
            <w:pPr>
              <w:shd w:val="clear"/>
              <w:tabs>
                <w:tab w:val="left" w:pos="210"/>
              </w:tabs>
              <w:spacing w:line="320" w:lineRule="exact"/>
              <w:jc w:val="center"/>
              <w:rPr>
                <w:rFonts w:hint="eastAsia" w:ascii="宋体" w:hAnsi="宋体" w:eastAsia="宋体" w:cs="宋体"/>
                <w:kern w:val="0"/>
                <w:sz w:val="24"/>
              </w:rPr>
            </w:pPr>
          </w:p>
          <w:p w14:paraId="1EA08401">
            <w:pPr>
              <w:shd w:val="clear"/>
              <w:tabs>
                <w:tab w:val="left" w:pos="210"/>
              </w:tabs>
              <w:spacing w:line="320" w:lineRule="exact"/>
              <w:jc w:val="right"/>
              <w:rPr>
                <w:rFonts w:hint="eastAsia" w:ascii="宋体" w:hAnsi="宋体" w:eastAsia="宋体" w:cs="宋体"/>
                <w:kern w:val="0"/>
                <w:sz w:val="24"/>
              </w:rPr>
            </w:pPr>
            <w:r>
              <w:rPr>
                <w:rFonts w:hint="eastAsia" w:ascii="宋体" w:hAnsi="宋体" w:eastAsia="宋体" w:cs="宋体"/>
                <w:kern w:val="0"/>
                <w:sz w:val="24"/>
              </w:rPr>
              <w:t xml:space="preserve">年  月  日 </w:t>
            </w:r>
          </w:p>
        </w:tc>
      </w:tr>
    </w:tbl>
    <w:p w14:paraId="7A2E3A56">
      <w:pPr>
        <w:pStyle w:val="3"/>
        <w:shd w:val="clear"/>
        <w:rPr>
          <w:rFonts w:hint="eastAsia" w:ascii="宋体" w:hAnsi="宋体" w:eastAsia="宋体" w:cs="宋体"/>
        </w:rPr>
      </w:pPr>
      <w:bookmarkStart w:id="240" w:name="_Toc9360"/>
      <w:bookmarkStart w:id="241" w:name="_Toc1839"/>
      <w:bookmarkStart w:id="242" w:name="_Toc25081"/>
      <w:r>
        <w:rPr>
          <w:rFonts w:hint="eastAsia" w:ascii="宋体" w:hAnsi="宋体" w:eastAsia="宋体" w:cs="宋体"/>
          <w:lang w:eastAsia="zh-CN"/>
        </w:rPr>
        <w:t>法定代表人</w:t>
      </w:r>
      <w:r>
        <w:rPr>
          <w:rFonts w:hint="eastAsia" w:ascii="宋体" w:hAnsi="宋体" w:eastAsia="宋体" w:cs="宋体"/>
        </w:rPr>
        <w:t>授权书</w:t>
      </w:r>
      <w:bookmarkEnd w:id="240"/>
      <w:bookmarkEnd w:id="241"/>
      <w:bookmarkEnd w:id="242"/>
    </w:p>
    <w:p w14:paraId="0D7D3F8A">
      <w:pPr>
        <w:shd w:val="clear"/>
        <w:tabs>
          <w:tab w:val="left" w:pos="8820"/>
        </w:tabs>
        <w:spacing w:line="360" w:lineRule="auto"/>
        <w:ind w:firstLine="570"/>
        <w:rPr>
          <w:rFonts w:hint="eastAsia" w:ascii="宋体" w:hAnsi="宋体" w:eastAsia="宋体" w:cs="宋体"/>
          <w:sz w:val="24"/>
          <w:szCs w:val="24"/>
          <w:u w:val="single"/>
        </w:rPr>
      </w:pPr>
      <w:r>
        <w:rPr>
          <w:rFonts w:hint="eastAsia" w:ascii="宋体" w:hAnsi="宋体" w:eastAsia="宋体" w:cs="宋体"/>
          <w:sz w:val="24"/>
          <w:szCs w:val="24"/>
        </w:rPr>
        <w:t>本授权委托书声明：我</w:t>
      </w: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法定代表人</w:t>
      </w:r>
      <w:r>
        <w:rPr>
          <w:rFonts w:hint="eastAsia" w:ascii="宋体" w:hAnsi="宋体" w:eastAsia="宋体" w:cs="宋体"/>
          <w:sz w:val="24"/>
          <w:szCs w:val="24"/>
          <w:u w:val="single"/>
        </w:rPr>
        <w:t>姓名）</w:t>
      </w:r>
      <w:r>
        <w:rPr>
          <w:rFonts w:hint="eastAsia" w:ascii="宋体" w:hAnsi="宋体" w:eastAsia="宋体" w:cs="宋体"/>
          <w:sz w:val="24"/>
          <w:szCs w:val="24"/>
        </w:rPr>
        <w:t>系注册于</w:t>
      </w:r>
      <w:r>
        <w:rPr>
          <w:rFonts w:hint="eastAsia" w:ascii="宋体" w:hAnsi="宋体" w:eastAsia="宋体" w:cs="宋体"/>
          <w:sz w:val="24"/>
          <w:szCs w:val="24"/>
          <w:u w:val="single"/>
        </w:rPr>
        <w:t xml:space="preserve">  （供应商地址）     </w:t>
      </w:r>
      <w:r>
        <w:rPr>
          <w:rFonts w:hint="eastAsia" w:ascii="宋体" w:hAnsi="宋体" w:eastAsia="宋体" w:cs="宋体"/>
          <w:sz w:val="24"/>
          <w:szCs w:val="24"/>
        </w:rPr>
        <w:t>的</w:t>
      </w:r>
      <w:r>
        <w:rPr>
          <w:rFonts w:hint="eastAsia" w:ascii="宋体" w:hAnsi="宋体" w:eastAsia="宋体" w:cs="宋体"/>
          <w:sz w:val="24"/>
          <w:szCs w:val="24"/>
          <w:u w:val="single"/>
        </w:rPr>
        <w:t xml:space="preserve">（供应商名称）  </w:t>
      </w:r>
      <w:r>
        <w:rPr>
          <w:rFonts w:hint="eastAsia" w:ascii="宋体" w:hAnsi="宋体" w:eastAsia="宋体" w:cs="宋体"/>
          <w:sz w:val="24"/>
          <w:szCs w:val="24"/>
        </w:rPr>
        <w:t>的</w:t>
      </w:r>
      <w:r>
        <w:rPr>
          <w:rFonts w:hint="eastAsia" w:ascii="宋体" w:hAnsi="宋体" w:eastAsia="宋体" w:cs="宋体"/>
          <w:sz w:val="24"/>
          <w:szCs w:val="24"/>
          <w:lang w:eastAsia="zh-CN"/>
        </w:rPr>
        <w:t>法定代表人</w:t>
      </w:r>
      <w:r>
        <w:rPr>
          <w:rFonts w:hint="eastAsia" w:ascii="宋体" w:hAnsi="宋体" w:eastAsia="宋体" w:cs="宋体"/>
          <w:sz w:val="24"/>
          <w:szCs w:val="24"/>
        </w:rPr>
        <w:t>，现代表公司授权下面签字的</w:t>
      </w:r>
      <w:r>
        <w:rPr>
          <w:rFonts w:hint="eastAsia" w:ascii="宋体" w:hAnsi="宋体" w:eastAsia="宋体" w:cs="宋体"/>
          <w:sz w:val="24"/>
          <w:szCs w:val="24"/>
          <w:u w:val="single"/>
        </w:rPr>
        <w:t>（被授权人的姓名、职务）</w:t>
      </w:r>
      <w:r>
        <w:rPr>
          <w:rFonts w:hint="eastAsia" w:ascii="宋体" w:hAnsi="宋体" w:eastAsia="宋体" w:cs="宋体"/>
          <w:sz w:val="24"/>
          <w:szCs w:val="24"/>
        </w:rPr>
        <w:t>为我公司合法代理人，代表本公司参加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项目名称</w:t>
      </w:r>
      <w:r>
        <w:rPr>
          <w:rFonts w:hint="eastAsia" w:ascii="宋体" w:hAnsi="宋体" w:eastAsia="宋体" w:cs="宋体"/>
          <w:sz w:val="24"/>
          <w:szCs w:val="24"/>
          <w:u w:val="single"/>
        </w:rPr>
        <w:t>）</w:t>
      </w:r>
      <w:r>
        <w:rPr>
          <w:rFonts w:hint="eastAsia" w:ascii="宋体" w:hAnsi="宋体" w:eastAsia="宋体" w:cs="宋体"/>
          <w:sz w:val="24"/>
          <w:szCs w:val="24"/>
          <w:lang w:eastAsia="zh-CN"/>
        </w:rPr>
        <w:t>项目编号</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的投标活动。代理人在本次投标中所签署的一切文件和处理的一切有关事物，我公司均予承认。</w:t>
      </w:r>
    </w:p>
    <w:p w14:paraId="7E940478">
      <w:pPr>
        <w:shd w:val="clear"/>
        <w:spacing w:line="360" w:lineRule="auto"/>
        <w:ind w:firstLine="570"/>
        <w:rPr>
          <w:rFonts w:hint="eastAsia" w:ascii="宋体" w:hAnsi="宋体" w:eastAsia="宋体" w:cs="宋体"/>
          <w:sz w:val="24"/>
          <w:szCs w:val="24"/>
        </w:rPr>
      </w:pPr>
      <w:r>
        <w:rPr>
          <w:rFonts w:hint="eastAsia" w:ascii="宋体" w:hAnsi="宋体" w:eastAsia="宋体" w:cs="宋体"/>
          <w:sz w:val="24"/>
          <w:szCs w:val="24"/>
        </w:rPr>
        <w:t>本授权书于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日签字/盖章生效，有效期自开标之日起</w:t>
      </w:r>
      <w:r>
        <w:rPr>
          <w:rFonts w:hint="eastAsia" w:ascii="宋体" w:hAnsi="宋体" w:eastAsia="宋体" w:cs="宋体"/>
          <w:sz w:val="24"/>
          <w:szCs w:val="24"/>
          <w:u w:val="single"/>
        </w:rPr>
        <w:t xml:space="preserve">  </w:t>
      </w:r>
      <w:r>
        <w:rPr>
          <w:rFonts w:hint="eastAsia" w:ascii="宋体" w:hAnsi="宋体" w:eastAsia="宋体" w:cs="宋体"/>
          <w:sz w:val="24"/>
          <w:szCs w:val="24"/>
        </w:rPr>
        <w:t>天；特此声明。</w:t>
      </w:r>
    </w:p>
    <w:p w14:paraId="5A7BC76B">
      <w:pPr>
        <w:shd w:val="clear"/>
        <w:spacing w:line="360" w:lineRule="auto"/>
        <w:ind w:firstLine="570"/>
        <w:rPr>
          <w:rFonts w:hint="eastAsia" w:ascii="宋体" w:hAnsi="宋体" w:eastAsia="宋体" w:cs="宋体"/>
          <w:sz w:val="24"/>
          <w:szCs w:val="24"/>
        </w:rPr>
      </w:pPr>
    </w:p>
    <w:tbl>
      <w:tblPr>
        <w:tblStyle w:val="25"/>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430"/>
        <w:gridCol w:w="4430"/>
      </w:tblGrid>
      <w:tr w14:paraId="1107B39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912" w:hRule="atLeast"/>
          <w:jc w:val="center"/>
        </w:trPr>
        <w:tc>
          <w:tcPr>
            <w:tcW w:w="4430" w:type="dxa"/>
            <w:vAlign w:val="center"/>
          </w:tcPr>
          <w:p w14:paraId="7D0FEA51">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法定代表人</w:t>
            </w:r>
            <w:r>
              <w:rPr>
                <w:rFonts w:hint="eastAsia" w:ascii="宋体" w:hAnsi="宋体" w:eastAsia="宋体" w:cs="宋体"/>
                <w:sz w:val="24"/>
                <w:szCs w:val="24"/>
              </w:rPr>
              <w:t>身份证复印件</w:t>
            </w:r>
          </w:p>
          <w:p w14:paraId="58FEE68B">
            <w:pPr>
              <w:shd w:val="clear"/>
              <w:spacing w:line="360" w:lineRule="auto"/>
              <w:jc w:val="center"/>
              <w:rPr>
                <w:rFonts w:hint="eastAsia" w:ascii="宋体" w:hAnsi="宋体" w:eastAsia="宋体" w:cs="宋体"/>
                <w:sz w:val="24"/>
                <w:szCs w:val="24"/>
              </w:rPr>
            </w:pPr>
          </w:p>
        </w:tc>
        <w:tc>
          <w:tcPr>
            <w:tcW w:w="4430" w:type="dxa"/>
            <w:vAlign w:val="center"/>
          </w:tcPr>
          <w:p w14:paraId="52D68B0A">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被授权代表身份证复印件</w:t>
            </w:r>
          </w:p>
          <w:p w14:paraId="0ED9201C">
            <w:pPr>
              <w:shd w:val="clear"/>
              <w:spacing w:line="360" w:lineRule="auto"/>
              <w:jc w:val="center"/>
              <w:rPr>
                <w:rFonts w:hint="eastAsia" w:ascii="宋体" w:hAnsi="宋体" w:eastAsia="宋体" w:cs="宋体"/>
                <w:sz w:val="24"/>
                <w:szCs w:val="24"/>
              </w:rPr>
            </w:pPr>
          </w:p>
        </w:tc>
      </w:tr>
      <w:tr w14:paraId="4F399A1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058" w:hRule="atLeast"/>
          <w:jc w:val="center"/>
        </w:trPr>
        <w:tc>
          <w:tcPr>
            <w:tcW w:w="4430" w:type="dxa"/>
            <w:vAlign w:val="center"/>
          </w:tcPr>
          <w:p w14:paraId="39954A84">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法定代表人</w:t>
            </w:r>
            <w:r>
              <w:rPr>
                <w:rFonts w:hint="eastAsia" w:ascii="宋体" w:hAnsi="宋体" w:eastAsia="宋体" w:cs="宋体"/>
                <w:sz w:val="24"/>
                <w:szCs w:val="24"/>
              </w:rPr>
              <w:t>身份证复印件</w:t>
            </w:r>
          </w:p>
          <w:p w14:paraId="218BF0F4">
            <w:pPr>
              <w:shd w:val="clear"/>
              <w:spacing w:line="360" w:lineRule="auto"/>
              <w:jc w:val="center"/>
              <w:rPr>
                <w:rFonts w:hint="eastAsia" w:ascii="宋体" w:hAnsi="宋体" w:eastAsia="宋体" w:cs="宋体"/>
                <w:sz w:val="24"/>
                <w:szCs w:val="24"/>
              </w:rPr>
            </w:pPr>
          </w:p>
        </w:tc>
        <w:tc>
          <w:tcPr>
            <w:tcW w:w="4430" w:type="dxa"/>
            <w:vAlign w:val="center"/>
          </w:tcPr>
          <w:p w14:paraId="4EA71A39">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被授权代表身份证复印件</w:t>
            </w:r>
          </w:p>
          <w:p w14:paraId="52E2CE50">
            <w:pPr>
              <w:shd w:val="clear"/>
              <w:spacing w:line="360" w:lineRule="auto"/>
              <w:jc w:val="center"/>
              <w:rPr>
                <w:rFonts w:hint="eastAsia" w:ascii="宋体" w:hAnsi="宋体" w:eastAsia="宋体" w:cs="宋体"/>
                <w:sz w:val="24"/>
                <w:szCs w:val="24"/>
              </w:rPr>
            </w:pPr>
          </w:p>
        </w:tc>
      </w:tr>
    </w:tbl>
    <w:p w14:paraId="6D6C36B8">
      <w:pPr>
        <w:shd w:val="clea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rPr>
        <w:t>注：此授权书的有效期应与投标文件有效期一致。</w:t>
      </w:r>
    </w:p>
    <w:p w14:paraId="10A885A3">
      <w:pPr>
        <w:pStyle w:val="9"/>
        <w:shd w:val="clear"/>
        <w:rPr>
          <w:rFonts w:hint="eastAsia" w:ascii="宋体" w:hAnsi="宋体" w:eastAsia="宋体" w:cs="宋体"/>
          <w:sz w:val="24"/>
        </w:rPr>
      </w:pPr>
    </w:p>
    <w:p w14:paraId="07121C72">
      <w:pPr>
        <w:pStyle w:val="9"/>
        <w:shd w:val="clear"/>
        <w:rPr>
          <w:rFonts w:hint="eastAsia" w:ascii="宋体" w:hAnsi="宋体" w:eastAsia="宋体" w:cs="宋体"/>
          <w:sz w:val="24"/>
        </w:rPr>
      </w:pPr>
    </w:p>
    <w:p w14:paraId="5C2B27A2">
      <w:pPr>
        <w:shd w:val="clear"/>
        <w:spacing w:line="360" w:lineRule="auto"/>
        <w:rPr>
          <w:rFonts w:hint="eastAsia" w:ascii="宋体" w:hAnsi="宋体" w:eastAsia="宋体" w:cs="宋体"/>
          <w:sz w:val="24"/>
          <w:szCs w:val="24"/>
        </w:rPr>
      </w:pPr>
      <w:r>
        <w:rPr>
          <w:rFonts w:hint="eastAsia" w:ascii="宋体" w:hAnsi="宋体" w:eastAsia="宋体" w:cs="宋体"/>
          <w:sz w:val="24"/>
          <w:szCs w:val="24"/>
        </w:rPr>
        <w:t xml:space="preserve">                          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（公章）</w:t>
      </w:r>
    </w:p>
    <w:p w14:paraId="160D6F05">
      <w:pPr>
        <w:shd w:val="clea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法定代表人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（签字并盖章）</w:t>
      </w:r>
    </w:p>
    <w:p w14:paraId="72F952B7">
      <w:pPr>
        <w:shd w:val="clear"/>
        <w:spacing w:line="360" w:lineRule="auto"/>
        <w:rPr>
          <w:rFonts w:hint="eastAsia" w:ascii="宋体" w:hAnsi="宋体" w:eastAsia="宋体" w:cs="宋体"/>
          <w:sz w:val="24"/>
          <w:szCs w:val="24"/>
        </w:rPr>
      </w:pPr>
      <w:r>
        <w:rPr>
          <w:rFonts w:hint="eastAsia" w:ascii="宋体" w:hAnsi="宋体" w:eastAsia="宋体" w:cs="宋体"/>
          <w:sz w:val="24"/>
          <w:szCs w:val="24"/>
        </w:rPr>
        <w:t xml:space="preserve">                          被授权人：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bookmarkStart w:id="243" w:name="_Toc12719"/>
    </w:p>
    <w:p w14:paraId="51DE98BE">
      <w:pPr>
        <w:pStyle w:val="9"/>
        <w:shd w:val="clear"/>
        <w:rPr>
          <w:rFonts w:hint="eastAsia" w:ascii="宋体" w:hAnsi="宋体" w:eastAsia="宋体" w:cs="宋体"/>
        </w:rPr>
      </w:pPr>
    </w:p>
    <w:bookmarkEnd w:id="243"/>
    <w:p w14:paraId="209E0409">
      <w:pPr>
        <w:shd w:val="clear"/>
        <w:spacing w:line="480" w:lineRule="auto"/>
        <w:ind w:right="480"/>
        <w:jc w:val="center"/>
        <w:rPr>
          <w:rFonts w:hint="eastAsia" w:ascii="宋体" w:hAnsi="宋体" w:eastAsia="宋体" w:cs="宋体"/>
          <w:b/>
          <w:sz w:val="32"/>
          <w:szCs w:val="32"/>
          <w:lang w:val="en-US" w:eastAsia="zh-CN"/>
        </w:rPr>
      </w:pPr>
      <w:bookmarkStart w:id="244" w:name="_Toc86547256"/>
      <w:bookmarkStart w:id="245" w:name="_Toc21062"/>
      <w:bookmarkStart w:id="246" w:name="_Toc86117412"/>
      <w:r>
        <w:rPr>
          <w:rFonts w:hint="eastAsia" w:ascii="宋体" w:hAnsi="宋体" w:eastAsia="宋体" w:cs="宋体"/>
          <w:b/>
          <w:sz w:val="32"/>
          <w:szCs w:val="32"/>
          <w:lang w:val="en-US" w:eastAsia="zh-CN"/>
        </w:rPr>
        <w:t>五、供应商参加政府采购活动承诺书</w:t>
      </w:r>
    </w:p>
    <w:p w14:paraId="4A0DDB3E">
      <w:pPr>
        <w:pStyle w:val="4"/>
        <w:shd w:val="clear"/>
        <w:ind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供应商拒绝政府采购领域商业贿赂承诺书</w:t>
      </w:r>
      <w:r>
        <w:rPr>
          <w:rFonts w:hint="eastAsia" w:ascii="宋体" w:hAnsi="宋体" w:eastAsia="宋体" w:cs="宋体"/>
          <w:b/>
          <w:sz w:val="32"/>
          <w:szCs w:val="32"/>
        </w:rPr>
        <w:t>Ⅰ</w:t>
      </w:r>
    </w:p>
    <w:p w14:paraId="38DACE04">
      <w:pPr>
        <w:shd w:val="clea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为响应党中央、国务院关于治理采购领域商业贿赂行为的号召，我公司在此庄严承诺：</w:t>
      </w:r>
    </w:p>
    <w:p w14:paraId="02A85E3F">
      <w:pPr>
        <w:shd w:val="clea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1、在参与招标活动中遵纪守法、诚信经营、公平竞标。</w:t>
      </w:r>
    </w:p>
    <w:p w14:paraId="75D55951">
      <w:pPr>
        <w:shd w:val="clea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2、不向</w:t>
      </w:r>
      <w:r>
        <w:rPr>
          <w:rFonts w:hint="eastAsia" w:ascii="宋体" w:hAnsi="宋体" w:eastAsia="宋体" w:cs="宋体"/>
          <w:sz w:val="24"/>
          <w:szCs w:val="24"/>
          <w:lang w:eastAsia="zh-CN"/>
        </w:rPr>
        <w:t>采购人</w:t>
      </w:r>
      <w:r>
        <w:rPr>
          <w:rFonts w:hint="eastAsia" w:ascii="宋体" w:hAnsi="宋体" w:eastAsia="宋体" w:cs="宋体"/>
          <w:sz w:val="24"/>
          <w:szCs w:val="24"/>
        </w:rPr>
        <w:t>、</w:t>
      </w:r>
      <w:r>
        <w:rPr>
          <w:rFonts w:hint="eastAsia" w:ascii="宋体" w:hAnsi="宋体" w:eastAsia="宋体" w:cs="宋体"/>
          <w:sz w:val="24"/>
          <w:szCs w:val="24"/>
          <w:lang w:eastAsia="zh-CN"/>
        </w:rPr>
        <w:t>采购代理机构</w:t>
      </w:r>
      <w:r>
        <w:rPr>
          <w:rFonts w:hint="eastAsia" w:ascii="宋体" w:hAnsi="宋体" w:eastAsia="宋体" w:cs="宋体"/>
          <w:sz w:val="24"/>
          <w:szCs w:val="24"/>
        </w:rPr>
        <w:t>和磋商小组进行任何形式的商业贿赂以谋取交易机会。</w:t>
      </w:r>
    </w:p>
    <w:p w14:paraId="368ED8B5">
      <w:pPr>
        <w:shd w:val="clea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3、不向</w:t>
      </w:r>
      <w:r>
        <w:rPr>
          <w:rFonts w:hint="eastAsia" w:ascii="宋体" w:hAnsi="宋体" w:eastAsia="宋体" w:cs="宋体"/>
          <w:sz w:val="24"/>
          <w:szCs w:val="24"/>
          <w:lang w:eastAsia="zh-CN"/>
        </w:rPr>
        <w:t>采购代理机构</w:t>
      </w:r>
      <w:r>
        <w:rPr>
          <w:rFonts w:hint="eastAsia" w:ascii="宋体" w:hAnsi="宋体" w:eastAsia="宋体" w:cs="宋体"/>
          <w:sz w:val="24"/>
          <w:szCs w:val="24"/>
        </w:rPr>
        <w:t>和</w:t>
      </w:r>
      <w:r>
        <w:rPr>
          <w:rFonts w:hint="eastAsia" w:ascii="宋体" w:hAnsi="宋体" w:eastAsia="宋体" w:cs="宋体"/>
          <w:sz w:val="24"/>
          <w:szCs w:val="24"/>
          <w:lang w:eastAsia="zh-CN"/>
        </w:rPr>
        <w:t>采购人</w:t>
      </w:r>
      <w:r>
        <w:rPr>
          <w:rFonts w:hint="eastAsia" w:ascii="宋体" w:hAnsi="宋体" w:eastAsia="宋体" w:cs="宋体"/>
          <w:sz w:val="24"/>
          <w:szCs w:val="24"/>
        </w:rPr>
        <w:t>提供虚假资质文件或采用虚假应标方式参与采购市场竞争并谋取中标、成交。</w:t>
      </w:r>
    </w:p>
    <w:p w14:paraId="1C06C4F0">
      <w:pPr>
        <w:shd w:val="clea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4、不采取“围标、陪标”等商业欺诈手段获得招标采购定单。</w:t>
      </w:r>
    </w:p>
    <w:p w14:paraId="4B12C8DC">
      <w:pPr>
        <w:shd w:val="clea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5、不采取不正当手段诋毁、排挤其他供应商。</w:t>
      </w:r>
    </w:p>
    <w:p w14:paraId="0EE23052">
      <w:pPr>
        <w:shd w:val="clea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6、不在提供商品和服务时“偷梁换柱、以次充好”损害</w:t>
      </w:r>
      <w:r>
        <w:rPr>
          <w:rFonts w:hint="eastAsia" w:ascii="宋体" w:hAnsi="宋体" w:eastAsia="宋体" w:cs="宋体"/>
          <w:sz w:val="24"/>
          <w:szCs w:val="24"/>
          <w:lang w:eastAsia="zh-CN"/>
        </w:rPr>
        <w:t>采购人</w:t>
      </w:r>
      <w:r>
        <w:rPr>
          <w:rFonts w:hint="eastAsia" w:ascii="宋体" w:hAnsi="宋体" w:eastAsia="宋体" w:cs="宋体"/>
          <w:sz w:val="24"/>
          <w:szCs w:val="24"/>
        </w:rPr>
        <w:t>的合法权益。</w:t>
      </w:r>
    </w:p>
    <w:p w14:paraId="610ED8E9">
      <w:pPr>
        <w:shd w:val="clea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7、不与</w:t>
      </w:r>
      <w:r>
        <w:rPr>
          <w:rFonts w:hint="eastAsia" w:ascii="宋体" w:hAnsi="宋体" w:eastAsia="宋体" w:cs="宋体"/>
          <w:sz w:val="24"/>
          <w:szCs w:val="24"/>
          <w:lang w:eastAsia="zh-CN"/>
        </w:rPr>
        <w:t>采购人</w:t>
      </w:r>
      <w:r>
        <w:rPr>
          <w:rFonts w:hint="eastAsia" w:ascii="宋体" w:hAnsi="宋体" w:eastAsia="宋体" w:cs="宋体"/>
          <w:sz w:val="24"/>
          <w:szCs w:val="24"/>
        </w:rPr>
        <w:t>、</w:t>
      </w:r>
      <w:r>
        <w:rPr>
          <w:rFonts w:hint="eastAsia" w:ascii="宋体" w:hAnsi="宋体" w:eastAsia="宋体" w:cs="宋体"/>
          <w:sz w:val="24"/>
          <w:szCs w:val="24"/>
          <w:lang w:eastAsia="zh-CN"/>
        </w:rPr>
        <w:t>采购代理机构</w:t>
      </w:r>
      <w:r>
        <w:rPr>
          <w:rFonts w:hint="eastAsia" w:ascii="宋体" w:hAnsi="宋体" w:eastAsia="宋体" w:cs="宋体"/>
          <w:sz w:val="24"/>
          <w:szCs w:val="24"/>
        </w:rPr>
        <w:t>磋商小组或其它供应商恶意串通，进行质疑和投诉，维护政府采购市场秩序。</w:t>
      </w:r>
    </w:p>
    <w:p w14:paraId="7E4C1523">
      <w:pPr>
        <w:shd w:val="clea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8、尊重和接受监督管理部门的监督和</w:t>
      </w:r>
      <w:r>
        <w:rPr>
          <w:rFonts w:hint="eastAsia" w:ascii="宋体" w:hAnsi="宋体" w:eastAsia="宋体" w:cs="宋体"/>
          <w:sz w:val="24"/>
          <w:szCs w:val="24"/>
          <w:lang w:eastAsia="zh-CN"/>
        </w:rPr>
        <w:t>采购代理机构</w:t>
      </w:r>
      <w:r>
        <w:rPr>
          <w:rFonts w:hint="eastAsia" w:ascii="宋体" w:hAnsi="宋体" w:eastAsia="宋体" w:cs="宋体"/>
          <w:sz w:val="24"/>
          <w:szCs w:val="24"/>
        </w:rPr>
        <w:t>招标采购要求，承担因违约行为给</w:t>
      </w:r>
      <w:r>
        <w:rPr>
          <w:rFonts w:hint="eastAsia" w:ascii="宋体" w:hAnsi="宋体" w:eastAsia="宋体" w:cs="宋体"/>
          <w:sz w:val="24"/>
          <w:szCs w:val="24"/>
          <w:lang w:eastAsia="zh-CN"/>
        </w:rPr>
        <w:t>采购人</w:t>
      </w:r>
      <w:r>
        <w:rPr>
          <w:rFonts w:hint="eastAsia" w:ascii="宋体" w:hAnsi="宋体" w:eastAsia="宋体" w:cs="宋体"/>
          <w:sz w:val="24"/>
          <w:szCs w:val="24"/>
        </w:rPr>
        <w:t>造成的损失。</w:t>
      </w:r>
    </w:p>
    <w:p w14:paraId="5E10B14D">
      <w:pPr>
        <w:shd w:val="clear"/>
        <w:spacing w:line="600" w:lineRule="exact"/>
        <w:ind w:left="681" w:leftChars="267" w:hanging="120" w:hangingChars="50"/>
        <w:jc w:val="left"/>
        <w:rPr>
          <w:rFonts w:hint="eastAsia" w:ascii="宋体" w:hAnsi="宋体" w:eastAsia="宋体" w:cs="宋体"/>
          <w:sz w:val="24"/>
          <w:szCs w:val="24"/>
        </w:rPr>
      </w:pPr>
      <w:r>
        <w:rPr>
          <w:rFonts w:hint="eastAsia" w:ascii="宋体" w:hAnsi="宋体" w:eastAsia="宋体" w:cs="宋体"/>
          <w:sz w:val="24"/>
          <w:szCs w:val="24"/>
        </w:rPr>
        <w:t>9、不发生其他有悖于采购公开、公平、公正和诚信原则的行为。</w:t>
      </w:r>
      <w:r>
        <w:rPr>
          <w:rFonts w:hint="eastAsia" w:ascii="宋体" w:hAnsi="宋体" w:eastAsia="宋体" w:cs="宋体"/>
          <w:sz w:val="24"/>
          <w:szCs w:val="24"/>
        </w:rPr>
        <w:br w:type="textWrapping"/>
      </w:r>
      <w:r>
        <w:rPr>
          <w:rFonts w:hint="eastAsia" w:ascii="宋体" w:hAnsi="宋体" w:eastAsia="宋体" w:cs="宋体"/>
          <w:sz w:val="24"/>
          <w:szCs w:val="24"/>
        </w:rPr>
        <w:t>承诺单位（盖章）：</w:t>
      </w:r>
    </w:p>
    <w:p w14:paraId="6F749033">
      <w:pPr>
        <w:shd w:val="clear"/>
        <w:spacing w:line="600" w:lineRule="exact"/>
        <w:ind w:left="701" w:leftChars="334"/>
        <w:jc w:val="left"/>
        <w:rPr>
          <w:rFonts w:hint="eastAsia" w:ascii="宋体" w:hAnsi="宋体" w:eastAsia="宋体" w:cs="宋体"/>
          <w:sz w:val="24"/>
          <w:szCs w:val="24"/>
        </w:rPr>
      </w:pPr>
      <w:r>
        <w:rPr>
          <w:rFonts w:hint="eastAsia" w:ascii="宋体" w:hAnsi="宋体" w:eastAsia="宋体" w:cs="宋体"/>
          <w:sz w:val="24"/>
          <w:szCs w:val="24"/>
        </w:rPr>
        <w:t>全权代表（签字）：</w:t>
      </w:r>
    </w:p>
    <w:p w14:paraId="0EB4E588">
      <w:pPr>
        <w:shd w:val="clear"/>
        <w:spacing w:line="600" w:lineRule="exact"/>
        <w:ind w:left="701" w:leftChars="334"/>
        <w:jc w:val="left"/>
        <w:rPr>
          <w:rFonts w:hint="eastAsia" w:ascii="宋体" w:hAnsi="宋体" w:eastAsia="宋体" w:cs="宋体"/>
          <w:sz w:val="24"/>
          <w:szCs w:val="24"/>
        </w:rPr>
      </w:pPr>
      <w:r>
        <w:rPr>
          <w:rFonts w:hint="eastAsia" w:ascii="宋体" w:hAnsi="宋体" w:eastAsia="宋体" w:cs="宋体"/>
          <w:sz w:val="24"/>
          <w:szCs w:val="24"/>
        </w:rPr>
        <w:t>地  址：                        </w:t>
      </w:r>
    </w:p>
    <w:p w14:paraId="05DBE71E">
      <w:pPr>
        <w:shd w:val="clear"/>
        <w:spacing w:line="600" w:lineRule="exact"/>
        <w:ind w:left="659" w:leftChars="314"/>
        <w:jc w:val="left"/>
        <w:rPr>
          <w:rFonts w:hint="eastAsia" w:ascii="宋体" w:hAnsi="宋体" w:eastAsia="宋体" w:cs="宋体"/>
          <w:sz w:val="24"/>
          <w:szCs w:val="24"/>
        </w:rPr>
      </w:pPr>
      <w:r>
        <w:rPr>
          <w:rFonts w:hint="eastAsia" w:ascii="宋体" w:hAnsi="宋体" w:eastAsia="宋体" w:cs="宋体"/>
          <w:sz w:val="24"/>
          <w:szCs w:val="24"/>
        </w:rPr>
        <w:t>邮  编：</w:t>
      </w:r>
      <w:r>
        <w:rPr>
          <w:rFonts w:hint="eastAsia" w:ascii="宋体" w:hAnsi="宋体" w:eastAsia="宋体" w:cs="宋体"/>
          <w:sz w:val="24"/>
          <w:szCs w:val="24"/>
        </w:rPr>
        <w:br w:type="textWrapping"/>
      </w:r>
      <w:r>
        <w:rPr>
          <w:rFonts w:hint="eastAsia" w:ascii="宋体" w:hAnsi="宋体" w:eastAsia="宋体" w:cs="宋体"/>
          <w:sz w:val="24"/>
          <w:szCs w:val="24"/>
        </w:rPr>
        <w:t>电  话：                    </w:t>
      </w:r>
    </w:p>
    <w:p w14:paraId="0F03DBAB">
      <w:pPr>
        <w:shd w:val="clear"/>
        <w:spacing w:line="600" w:lineRule="exact"/>
        <w:ind w:left="659" w:leftChars="314"/>
        <w:jc w:val="left"/>
        <w:rPr>
          <w:rFonts w:hint="eastAsia" w:ascii="宋体" w:hAnsi="宋体" w:eastAsia="宋体" w:cs="宋体"/>
          <w:sz w:val="24"/>
          <w:szCs w:val="24"/>
        </w:rPr>
      </w:pPr>
      <w:r>
        <w:rPr>
          <w:rFonts w:hint="eastAsia" w:ascii="宋体" w:hAnsi="宋体" w:eastAsia="宋体" w:cs="宋体"/>
          <w:sz w:val="24"/>
          <w:szCs w:val="24"/>
        </w:rPr>
        <w:t xml:space="preserve">                                   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54F0069A">
      <w:pPr>
        <w:shd w:val="clear"/>
        <w:spacing w:line="360" w:lineRule="atLeast"/>
        <w:jc w:val="center"/>
        <w:rPr>
          <w:rFonts w:hint="eastAsia" w:ascii="宋体" w:hAnsi="宋体" w:eastAsia="宋体" w:cs="宋体"/>
          <w:b/>
          <w:sz w:val="32"/>
          <w:szCs w:val="32"/>
        </w:rPr>
      </w:pPr>
      <w:r>
        <w:rPr>
          <w:rFonts w:hint="eastAsia" w:ascii="宋体" w:hAnsi="宋体" w:eastAsia="宋体" w:cs="宋体"/>
          <w:b/>
          <w:sz w:val="32"/>
          <w:szCs w:val="32"/>
        </w:rPr>
        <w:t>承诺书Ⅱ</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79E7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4231FDE4">
            <w:pPr>
              <w:shd w:val="clear"/>
              <w:spacing w:line="360" w:lineRule="atLeast"/>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lang w:eastAsia="zh-CN"/>
              </w:rPr>
              <w:t>榆林天泽鼎泰项目管理有限公司</w:t>
            </w:r>
          </w:p>
        </w:tc>
      </w:tr>
      <w:tr w14:paraId="3D57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1FF1D88A">
            <w:pPr>
              <w:shd w:val="clear"/>
              <w:spacing w:line="360" w:lineRule="atLeast"/>
              <w:ind w:firstLine="480" w:firstLineChars="200"/>
              <w:rPr>
                <w:rFonts w:hint="eastAsia" w:ascii="宋体" w:hAnsi="宋体" w:eastAsia="宋体" w:cs="宋体"/>
                <w:sz w:val="24"/>
              </w:rPr>
            </w:pPr>
            <w:r>
              <w:rPr>
                <w:rFonts w:hint="eastAsia" w:ascii="宋体" w:hAnsi="宋体" w:eastAsia="宋体" w:cs="宋体"/>
                <w:sz w:val="24"/>
              </w:rPr>
              <w:t>作为参加贵公司组织的招标采购项目的投标单位，本公司承诺：在参加本项目招标之前不存在被依法禁止经营行为、财产被接管或冻结的情况，如有隐瞒实情，愿承担一切责任及后果。</w:t>
            </w:r>
          </w:p>
        </w:tc>
      </w:tr>
      <w:tr w14:paraId="3D61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2D023CDB">
            <w:pPr>
              <w:shd w:val="clear"/>
              <w:spacing w:line="360" w:lineRule="atLeast"/>
              <w:jc w:val="center"/>
              <w:rPr>
                <w:rFonts w:hint="eastAsia" w:ascii="宋体" w:hAnsi="宋体" w:eastAsia="宋体" w:cs="宋体"/>
                <w:sz w:val="24"/>
              </w:rPr>
            </w:pPr>
            <w:r>
              <w:rPr>
                <w:rFonts w:hint="eastAsia" w:ascii="宋体" w:hAnsi="宋体" w:eastAsia="宋体" w:cs="宋体"/>
                <w:sz w:val="24"/>
              </w:rPr>
              <w:t>投标单位</w:t>
            </w:r>
          </w:p>
        </w:tc>
        <w:tc>
          <w:tcPr>
            <w:tcW w:w="3420" w:type="dxa"/>
            <w:vAlign w:val="center"/>
          </w:tcPr>
          <w:p w14:paraId="302E525F">
            <w:pPr>
              <w:shd w:val="clear"/>
              <w:spacing w:line="360" w:lineRule="atLeast"/>
              <w:jc w:val="center"/>
              <w:rPr>
                <w:rFonts w:hint="eastAsia" w:ascii="宋体" w:hAnsi="宋体" w:eastAsia="宋体" w:cs="宋体"/>
                <w:sz w:val="24"/>
                <w:lang w:eastAsia="zh-CN"/>
              </w:rPr>
            </w:pPr>
            <w:r>
              <w:rPr>
                <w:rFonts w:hint="eastAsia" w:ascii="宋体" w:hAnsi="宋体" w:eastAsia="宋体" w:cs="宋体"/>
                <w:sz w:val="24"/>
                <w:lang w:eastAsia="zh-CN"/>
              </w:rPr>
              <w:t>法定代表人</w:t>
            </w:r>
          </w:p>
        </w:tc>
        <w:tc>
          <w:tcPr>
            <w:tcW w:w="2340" w:type="dxa"/>
            <w:vAlign w:val="center"/>
          </w:tcPr>
          <w:p w14:paraId="673C3C63">
            <w:pPr>
              <w:shd w:val="clear"/>
              <w:spacing w:line="360" w:lineRule="atLeast"/>
              <w:jc w:val="center"/>
              <w:rPr>
                <w:rFonts w:hint="eastAsia" w:ascii="宋体" w:hAnsi="宋体" w:eastAsia="宋体" w:cs="宋体"/>
                <w:sz w:val="24"/>
              </w:rPr>
            </w:pPr>
            <w:r>
              <w:rPr>
                <w:rFonts w:hint="eastAsia" w:ascii="宋体" w:hAnsi="宋体" w:eastAsia="宋体" w:cs="宋体"/>
                <w:sz w:val="24"/>
              </w:rPr>
              <w:t>日  期</w:t>
            </w:r>
          </w:p>
        </w:tc>
      </w:tr>
      <w:tr w14:paraId="1ACC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2DF6B4C8">
            <w:pPr>
              <w:shd w:val="clear"/>
              <w:spacing w:line="360" w:lineRule="atLeast"/>
              <w:jc w:val="center"/>
              <w:rPr>
                <w:rFonts w:hint="eastAsia" w:ascii="宋体" w:hAnsi="宋体" w:eastAsia="宋体" w:cs="宋体"/>
                <w:sz w:val="24"/>
              </w:rPr>
            </w:pPr>
            <w:r>
              <w:rPr>
                <w:rFonts w:hint="eastAsia" w:ascii="宋体" w:hAnsi="宋体" w:eastAsia="宋体" w:cs="宋体"/>
                <w:sz w:val="24"/>
              </w:rPr>
              <w:t>（公章）</w:t>
            </w:r>
          </w:p>
        </w:tc>
        <w:tc>
          <w:tcPr>
            <w:tcW w:w="3420" w:type="dxa"/>
            <w:vAlign w:val="center"/>
          </w:tcPr>
          <w:p w14:paraId="5DF690DB">
            <w:pPr>
              <w:shd w:val="clear"/>
              <w:spacing w:line="360" w:lineRule="atLeast"/>
              <w:jc w:val="center"/>
              <w:rPr>
                <w:rFonts w:hint="eastAsia" w:ascii="宋体" w:hAnsi="宋体" w:eastAsia="宋体" w:cs="宋体"/>
                <w:sz w:val="24"/>
              </w:rPr>
            </w:pPr>
            <w:r>
              <w:rPr>
                <w:rFonts w:hint="eastAsia" w:ascii="宋体" w:hAnsi="宋体" w:eastAsia="宋体" w:cs="宋体"/>
                <w:sz w:val="24"/>
              </w:rPr>
              <w:t>（签字或盖章）</w:t>
            </w:r>
          </w:p>
        </w:tc>
        <w:tc>
          <w:tcPr>
            <w:tcW w:w="2340" w:type="dxa"/>
            <w:vAlign w:val="center"/>
          </w:tcPr>
          <w:p w14:paraId="0FABAEDF">
            <w:pPr>
              <w:shd w:val="clear"/>
              <w:spacing w:line="360" w:lineRule="atLeast"/>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14:paraId="5295704E">
      <w:pPr>
        <w:shd w:val="clear"/>
        <w:spacing w:line="360" w:lineRule="atLeast"/>
        <w:rPr>
          <w:rFonts w:hint="eastAsia" w:ascii="宋体" w:hAnsi="宋体" w:eastAsia="宋体" w:cs="宋体"/>
          <w:b/>
          <w:sz w:val="42"/>
          <w:szCs w:val="42"/>
        </w:rPr>
      </w:pPr>
    </w:p>
    <w:p w14:paraId="71D471A3">
      <w:pPr>
        <w:shd w:val="clear"/>
        <w:spacing w:line="360" w:lineRule="atLeast"/>
        <w:jc w:val="center"/>
        <w:rPr>
          <w:rFonts w:hint="eastAsia" w:ascii="宋体" w:hAnsi="宋体" w:eastAsia="宋体" w:cs="宋体"/>
          <w:b/>
          <w:sz w:val="32"/>
          <w:szCs w:val="32"/>
        </w:rPr>
      </w:pPr>
      <w:r>
        <w:rPr>
          <w:rFonts w:hint="eastAsia" w:ascii="宋体" w:hAnsi="宋体" w:eastAsia="宋体" w:cs="宋体"/>
          <w:b/>
          <w:sz w:val="32"/>
          <w:szCs w:val="32"/>
        </w:rPr>
        <w:t>承诺书Ⅲ</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515B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3884EADF">
            <w:pPr>
              <w:shd w:val="clear"/>
              <w:spacing w:line="360" w:lineRule="atLeast"/>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lang w:eastAsia="zh-CN"/>
              </w:rPr>
              <w:t>榆林天泽鼎泰项目管理有限公司</w:t>
            </w:r>
          </w:p>
        </w:tc>
      </w:tr>
      <w:tr w14:paraId="3412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0D85FC93">
            <w:pPr>
              <w:shd w:val="clear"/>
              <w:spacing w:line="360" w:lineRule="atLeast"/>
              <w:ind w:firstLine="480" w:firstLineChars="200"/>
              <w:rPr>
                <w:rFonts w:hint="eastAsia" w:ascii="宋体" w:hAnsi="宋体" w:eastAsia="宋体" w:cs="宋体"/>
                <w:sz w:val="24"/>
              </w:rPr>
            </w:pPr>
            <w:r>
              <w:rPr>
                <w:rFonts w:hint="eastAsia" w:ascii="宋体" w:hAnsi="宋体" w:eastAsia="宋体" w:cs="宋体"/>
                <w:sz w:val="24"/>
              </w:rPr>
              <w:t>作为参加贵公司组织的招标采购项目的投标单位，本公司郑重申告并承诺：近三年受到有关行政主管部门的行政处理、不良行为记录为</w:t>
            </w:r>
            <w:r>
              <w:rPr>
                <w:rFonts w:hint="eastAsia" w:ascii="宋体" w:hAnsi="宋体" w:eastAsia="宋体" w:cs="宋体"/>
                <w:sz w:val="24"/>
                <w:u w:val="single"/>
              </w:rPr>
              <w:t xml:space="preserve">    </w:t>
            </w:r>
            <w:r>
              <w:rPr>
                <w:rFonts w:hint="eastAsia" w:ascii="宋体" w:hAnsi="宋体" w:eastAsia="宋体" w:cs="宋体"/>
                <w:sz w:val="24"/>
              </w:rPr>
              <w:t>次（没有填零），如有隐瞒实情，愿承担一切责任及后果。</w:t>
            </w:r>
          </w:p>
        </w:tc>
      </w:tr>
      <w:tr w14:paraId="7C73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2C0C4BC1">
            <w:pPr>
              <w:shd w:val="clear"/>
              <w:spacing w:line="360" w:lineRule="atLeast"/>
              <w:jc w:val="center"/>
              <w:rPr>
                <w:rFonts w:hint="eastAsia" w:ascii="宋体" w:hAnsi="宋体" w:eastAsia="宋体" w:cs="宋体"/>
                <w:sz w:val="24"/>
              </w:rPr>
            </w:pPr>
            <w:r>
              <w:rPr>
                <w:rFonts w:hint="eastAsia" w:ascii="宋体" w:hAnsi="宋体" w:eastAsia="宋体" w:cs="宋体"/>
                <w:sz w:val="24"/>
              </w:rPr>
              <w:t>投标单位</w:t>
            </w:r>
          </w:p>
        </w:tc>
        <w:tc>
          <w:tcPr>
            <w:tcW w:w="3420" w:type="dxa"/>
            <w:vAlign w:val="center"/>
          </w:tcPr>
          <w:p w14:paraId="38926533">
            <w:pPr>
              <w:shd w:val="clear"/>
              <w:spacing w:line="360" w:lineRule="atLeast"/>
              <w:jc w:val="center"/>
              <w:rPr>
                <w:rFonts w:hint="eastAsia" w:ascii="宋体" w:hAnsi="宋体" w:eastAsia="宋体" w:cs="宋体"/>
                <w:sz w:val="24"/>
                <w:lang w:eastAsia="zh-CN"/>
              </w:rPr>
            </w:pPr>
            <w:r>
              <w:rPr>
                <w:rFonts w:hint="eastAsia" w:ascii="宋体" w:hAnsi="宋体" w:eastAsia="宋体" w:cs="宋体"/>
                <w:sz w:val="24"/>
                <w:lang w:eastAsia="zh-CN"/>
              </w:rPr>
              <w:t>法定代表人</w:t>
            </w:r>
          </w:p>
        </w:tc>
        <w:tc>
          <w:tcPr>
            <w:tcW w:w="2340" w:type="dxa"/>
            <w:vAlign w:val="center"/>
          </w:tcPr>
          <w:p w14:paraId="7B4C1C1F">
            <w:pPr>
              <w:shd w:val="clear"/>
              <w:spacing w:line="360" w:lineRule="atLeast"/>
              <w:jc w:val="center"/>
              <w:rPr>
                <w:rFonts w:hint="eastAsia" w:ascii="宋体" w:hAnsi="宋体" w:eastAsia="宋体" w:cs="宋体"/>
                <w:sz w:val="24"/>
              </w:rPr>
            </w:pPr>
            <w:r>
              <w:rPr>
                <w:rFonts w:hint="eastAsia" w:ascii="宋体" w:hAnsi="宋体" w:eastAsia="宋体" w:cs="宋体"/>
                <w:sz w:val="24"/>
              </w:rPr>
              <w:t>日  期</w:t>
            </w:r>
          </w:p>
        </w:tc>
      </w:tr>
      <w:tr w14:paraId="6F20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64C5E558">
            <w:pPr>
              <w:shd w:val="clear"/>
              <w:spacing w:line="360" w:lineRule="atLeast"/>
              <w:jc w:val="center"/>
              <w:rPr>
                <w:rFonts w:hint="eastAsia" w:ascii="宋体" w:hAnsi="宋体" w:eastAsia="宋体" w:cs="宋体"/>
                <w:sz w:val="24"/>
              </w:rPr>
            </w:pPr>
            <w:r>
              <w:rPr>
                <w:rFonts w:hint="eastAsia" w:ascii="宋体" w:hAnsi="宋体" w:eastAsia="宋体" w:cs="宋体"/>
                <w:sz w:val="24"/>
              </w:rPr>
              <w:t>（公章）</w:t>
            </w:r>
          </w:p>
        </w:tc>
        <w:tc>
          <w:tcPr>
            <w:tcW w:w="3420" w:type="dxa"/>
            <w:vAlign w:val="center"/>
          </w:tcPr>
          <w:p w14:paraId="4EE4D156">
            <w:pPr>
              <w:shd w:val="clear"/>
              <w:spacing w:line="360" w:lineRule="atLeast"/>
              <w:jc w:val="center"/>
              <w:rPr>
                <w:rFonts w:hint="eastAsia" w:ascii="宋体" w:hAnsi="宋体" w:eastAsia="宋体" w:cs="宋体"/>
                <w:sz w:val="24"/>
              </w:rPr>
            </w:pPr>
            <w:r>
              <w:rPr>
                <w:rFonts w:hint="eastAsia" w:ascii="宋体" w:hAnsi="宋体" w:eastAsia="宋体" w:cs="宋体"/>
                <w:sz w:val="24"/>
              </w:rPr>
              <w:t>（签字或盖章）</w:t>
            </w:r>
          </w:p>
        </w:tc>
        <w:tc>
          <w:tcPr>
            <w:tcW w:w="2340" w:type="dxa"/>
            <w:vAlign w:val="center"/>
          </w:tcPr>
          <w:p w14:paraId="2CC63A81">
            <w:pPr>
              <w:shd w:val="clear"/>
              <w:spacing w:line="360" w:lineRule="atLeast"/>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14:paraId="39B4EA41">
      <w:pPr>
        <w:shd w:val="clear"/>
        <w:spacing w:line="360" w:lineRule="atLeast"/>
        <w:rPr>
          <w:rFonts w:hint="eastAsia" w:ascii="宋体" w:hAnsi="宋体" w:eastAsia="宋体" w:cs="宋体"/>
          <w:b/>
          <w:sz w:val="32"/>
          <w:szCs w:val="32"/>
        </w:rPr>
      </w:pPr>
    </w:p>
    <w:p w14:paraId="195A0D41">
      <w:pPr>
        <w:shd w:val="clear"/>
        <w:spacing w:line="360" w:lineRule="atLeast"/>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承诺书Ⅳ</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6784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7D63CD99">
            <w:pPr>
              <w:shd w:val="clear"/>
              <w:spacing w:line="360" w:lineRule="atLeast"/>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lang w:eastAsia="zh-CN"/>
              </w:rPr>
              <w:t>榆林天泽鼎泰项目管理有限公司</w:t>
            </w:r>
          </w:p>
        </w:tc>
      </w:tr>
      <w:tr w14:paraId="39D2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6E0B22DA">
            <w:pPr>
              <w:shd w:val="clear"/>
              <w:spacing w:line="360" w:lineRule="atLeast"/>
              <w:ind w:firstLine="480" w:firstLineChars="200"/>
              <w:rPr>
                <w:rFonts w:hint="eastAsia" w:ascii="宋体" w:hAnsi="宋体" w:eastAsia="宋体" w:cs="宋体"/>
                <w:sz w:val="24"/>
              </w:rPr>
            </w:pPr>
            <w:r>
              <w:rPr>
                <w:rFonts w:hint="eastAsia" w:ascii="宋体" w:hAnsi="宋体" w:eastAsia="宋体" w:cs="宋体"/>
                <w:sz w:val="24"/>
              </w:rPr>
              <w:t>作为参加贵公司组织的招标采购项目的投标单位，本公司郑重申告：近三年因项目质量问题的不法行为记录为</w:t>
            </w:r>
            <w:r>
              <w:rPr>
                <w:rFonts w:hint="eastAsia" w:ascii="宋体" w:hAnsi="宋体" w:eastAsia="宋体" w:cs="宋体"/>
                <w:sz w:val="24"/>
                <w:u w:val="single"/>
              </w:rPr>
              <w:t xml:space="preserve">   </w:t>
            </w:r>
            <w:r>
              <w:rPr>
                <w:rFonts w:hint="eastAsia" w:ascii="宋体" w:hAnsi="宋体" w:eastAsia="宋体" w:cs="宋体"/>
                <w:sz w:val="24"/>
              </w:rPr>
              <w:t>次（没有填零），如有隐瞒实情，愿承担一切责任及后果。</w:t>
            </w:r>
          </w:p>
        </w:tc>
      </w:tr>
      <w:tr w14:paraId="6C04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659CC0B0">
            <w:pPr>
              <w:shd w:val="clear"/>
              <w:spacing w:line="360" w:lineRule="atLeast"/>
              <w:jc w:val="center"/>
              <w:rPr>
                <w:rFonts w:hint="eastAsia" w:ascii="宋体" w:hAnsi="宋体" w:eastAsia="宋体" w:cs="宋体"/>
                <w:sz w:val="24"/>
              </w:rPr>
            </w:pPr>
            <w:r>
              <w:rPr>
                <w:rFonts w:hint="eastAsia" w:ascii="宋体" w:hAnsi="宋体" w:eastAsia="宋体" w:cs="宋体"/>
                <w:sz w:val="24"/>
              </w:rPr>
              <w:t>投标单位</w:t>
            </w:r>
          </w:p>
        </w:tc>
        <w:tc>
          <w:tcPr>
            <w:tcW w:w="3420" w:type="dxa"/>
            <w:vAlign w:val="center"/>
          </w:tcPr>
          <w:p w14:paraId="2ED76ADA">
            <w:pPr>
              <w:shd w:val="clear"/>
              <w:spacing w:line="360" w:lineRule="atLeast"/>
              <w:jc w:val="center"/>
              <w:rPr>
                <w:rFonts w:hint="eastAsia" w:ascii="宋体" w:hAnsi="宋体" w:eastAsia="宋体" w:cs="宋体"/>
                <w:sz w:val="24"/>
                <w:lang w:eastAsia="zh-CN"/>
              </w:rPr>
            </w:pPr>
            <w:r>
              <w:rPr>
                <w:rFonts w:hint="eastAsia" w:ascii="宋体" w:hAnsi="宋体" w:eastAsia="宋体" w:cs="宋体"/>
                <w:sz w:val="24"/>
                <w:lang w:eastAsia="zh-CN"/>
              </w:rPr>
              <w:t>法定代表人</w:t>
            </w:r>
          </w:p>
        </w:tc>
        <w:tc>
          <w:tcPr>
            <w:tcW w:w="2340" w:type="dxa"/>
            <w:vAlign w:val="center"/>
          </w:tcPr>
          <w:p w14:paraId="0B62A04C">
            <w:pPr>
              <w:shd w:val="clear"/>
              <w:spacing w:line="360" w:lineRule="atLeast"/>
              <w:jc w:val="center"/>
              <w:rPr>
                <w:rFonts w:hint="eastAsia" w:ascii="宋体" w:hAnsi="宋体" w:eastAsia="宋体" w:cs="宋体"/>
                <w:sz w:val="24"/>
              </w:rPr>
            </w:pPr>
            <w:r>
              <w:rPr>
                <w:rFonts w:hint="eastAsia" w:ascii="宋体" w:hAnsi="宋体" w:eastAsia="宋体" w:cs="宋体"/>
                <w:sz w:val="24"/>
              </w:rPr>
              <w:t>日   期</w:t>
            </w:r>
          </w:p>
        </w:tc>
      </w:tr>
      <w:tr w14:paraId="6198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0627554E">
            <w:pPr>
              <w:shd w:val="clear"/>
              <w:spacing w:line="360" w:lineRule="atLeast"/>
              <w:jc w:val="center"/>
              <w:rPr>
                <w:rFonts w:hint="eastAsia" w:ascii="宋体" w:hAnsi="宋体" w:eastAsia="宋体" w:cs="宋体"/>
                <w:sz w:val="24"/>
              </w:rPr>
            </w:pPr>
            <w:r>
              <w:rPr>
                <w:rFonts w:hint="eastAsia" w:ascii="宋体" w:hAnsi="宋体" w:eastAsia="宋体" w:cs="宋体"/>
                <w:sz w:val="24"/>
              </w:rPr>
              <w:t>（公章）</w:t>
            </w:r>
          </w:p>
        </w:tc>
        <w:tc>
          <w:tcPr>
            <w:tcW w:w="3420" w:type="dxa"/>
            <w:vAlign w:val="center"/>
          </w:tcPr>
          <w:p w14:paraId="1086C70D">
            <w:pPr>
              <w:shd w:val="clear"/>
              <w:spacing w:line="360" w:lineRule="atLeast"/>
              <w:jc w:val="center"/>
              <w:rPr>
                <w:rFonts w:hint="eastAsia" w:ascii="宋体" w:hAnsi="宋体" w:eastAsia="宋体" w:cs="宋体"/>
                <w:sz w:val="24"/>
              </w:rPr>
            </w:pPr>
            <w:r>
              <w:rPr>
                <w:rFonts w:hint="eastAsia" w:ascii="宋体" w:hAnsi="宋体" w:eastAsia="宋体" w:cs="宋体"/>
                <w:sz w:val="24"/>
              </w:rPr>
              <w:t>（签字或盖章）</w:t>
            </w:r>
          </w:p>
        </w:tc>
        <w:tc>
          <w:tcPr>
            <w:tcW w:w="2340" w:type="dxa"/>
            <w:vAlign w:val="center"/>
          </w:tcPr>
          <w:p w14:paraId="1CC4FB17">
            <w:pPr>
              <w:shd w:val="clear"/>
              <w:spacing w:line="360" w:lineRule="atLeast"/>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14:paraId="53822E4C">
      <w:pPr>
        <w:shd w:val="clear"/>
        <w:spacing w:line="360" w:lineRule="auto"/>
        <w:ind w:right="480"/>
        <w:rPr>
          <w:rFonts w:hint="eastAsia" w:ascii="宋体" w:hAnsi="宋体" w:eastAsia="宋体" w:cs="宋体"/>
          <w:sz w:val="24"/>
          <w:szCs w:val="28"/>
        </w:rPr>
      </w:pPr>
    </w:p>
    <w:p w14:paraId="0AE03B5E">
      <w:pPr>
        <w:shd w:val="clear"/>
        <w:spacing w:line="360" w:lineRule="atLeast"/>
        <w:jc w:val="center"/>
        <w:rPr>
          <w:rFonts w:hint="eastAsia" w:ascii="宋体" w:hAnsi="宋体" w:eastAsia="宋体" w:cs="宋体"/>
          <w:b/>
          <w:sz w:val="32"/>
          <w:szCs w:val="32"/>
        </w:rPr>
      </w:pPr>
      <w:r>
        <w:rPr>
          <w:rFonts w:hint="eastAsia" w:ascii="宋体" w:hAnsi="宋体" w:eastAsia="宋体" w:cs="宋体"/>
          <w:b/>
          <w:sz w:val="32"/>
          <w:szCs w:val="32"/>
        </w:rPr>
        <w:t>承诺书</w:t>
      </w:r>
      <w:r>
        <w:rPr>
          <w:rFonts w:hint="eastAsia" w:ascii="宋体" w:hAnsi="宋体" w:eastAsia="宋体" w:cs="宋体"/>
          <w:b/>
          <w:sz w:val="36"/>
          <w:szCs w:val="36"/>
        </w:rPr>
        <w:fldChar w:fldCharType="begin"/>
      </w:r>
      <w:r>
        <w:rPr>
          <w:rFonts w:hint="eastAsia" w:ascii="宋体" w:hAnsi="宋体" w:eastAsia="宋体" w:cs="宋体"/>
          <w:b/>
          <w:sz w:val="36"/>
          <w:szCs w:val="36"/>
        </w:rPr>
        <w:instrText xml:space="preserve"> = 5 \* ROMAN </w:instrText>
      </w:r>
      <w:r>
        <w:rPr>
          <w:rFonts w:hint="eastAsia" w:ascii="宋体" w:hAnsi="宋体" w:eastAsia="宋体" w:cs="宋体"/>
          <w:b/>
          <w:sz w:val="36"/>
          <w:szCs w:val="36"/>
        </w:rPr>
        <w:fldChar w:fldCharType="separate"/>
      </w:r>
      <w:r>
        <w:rPr>
          <w:rFonts w:hint="eastAsia" w:ascii="宋体" w:hAnsi="宋体" w:eastAsia="宋体" w:cs="宋体"/>
          <w:b/>
          <w:sz w:val="36"/>
          <w:szCs w:val="36"/>
        </w:rPr>
        <w:t>V</w:t>
      </w:r>
      <w:r>
        <w:rPr>
          <w:rFonts w:hint="eastAsia" w:ascii="宋体" w:hAnsi="宋体" w:eastAsia="宋体" w:cs="宋体"/>
          <w:b/>
          <w:sz w:val="36"/>
          <w:szCs w:val="36"/>
        </w:rPr>
        <w:fldChar w:fldCharType="end"/>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6722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1E6A667C">
            <w:pPr>
              <w:shd w:val="clear"/>
              <w:spacing w:line="360" w:lineRule="atLeast"/>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lang w:eastAsia="zh-CN"/>
              </w:rPr>
              <w:t>榆林天泽鼎泰项目管理有限公司</w:t>
            </w:r>
          </w:p>
        </w:tc>
      </w:tr>
      <w:tr w14:paraId="1FDB6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20F1EF5E">
            <w:pPr>
              <w:shd w:val="clear"/>
              <w:spacing w:line="360" w:lineRule="atLeast"/>
              <w:ind w:firstLine="480" w:firstLineChars="200"/>
              <w:rPr>
                <w:rFonts w:hint="eastAsia" w:ascii="宋体" w:hAnsi="宋体" w:eastAsia="宋体" w:cs="宋体"/>
                <w:sz w:val="24"/>
              </w:rPr>
            </w:pPr>
            <w:r>
              <w:rPr>
                <w:rFonts w:hint="eastAsia" w:ascii="宋体" w:hAnsi="宋体" w:eastAsia="宋体" w:cs="宋体"/>
                <w:sz w:val="24"/>
              </w:rPr>
              <w:t>作为参加贵公司组织的招标采购项目的投标单位，本公司承诺：参加本次投标提交的所有资质证明文件及业绩证明是真实的、有效的，如有隐瞒实情，愿承担一切责任及后果。</w:t>
            </w:r>
          </w:p>
        </w:tc>
      </w:tr>
      <w:tr w14:paraId="2C5D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285A3D4F">
            <w:pPr>
              <w:shd w:val="clear"/>
              <w:spacing w:line="360" w:lineRule="atLeast"/>
              <w:jc w:val="center"/>
              <w:rPr>
                <w:rFonts w:hint="eastAsia" w:ascii="宋体" w:hAnsi="宋体" w:eastAsia="宋体" w:cs="宋体"/>
                <w:sz w:val="24"/>
              </w:rPr>
            </w:pPr>
            <w:r>
              <w:rPr>
                <w:rFonts w:hint="eastAsia" w:ascii="宋体" w:hAnsi="宋体" w:eastAsia="宋体" w:cs="宋体"/>
                <w:sz w:val="24"/>
              </w:rPr>
              <w:t>投标单位</w:t>
            </w:r>
          </w:p>
        </w:tc>
        <w:tc>
          <w:tcPr>
            <w:tcW w:w="3420" w:type="dxa"/>
            <w:vAlign w:val="center"/>
          </w:tcPr>
          <w:p w14:paraId="03169ED6">
            <w:pPr>
              <w:shd w:val="clear"/>
              <w:spacing w:line="360" w:lineRule="atLeast"/>
              <w:jc w:val="center"/>
              <w:rPr>
                <w:rFonts w:hint="eastAsia" w:ascii="宋体" w:hAnsi="宋体" w:eastAsia="宋体" w:cs="宋体"/>
                <w:sz w:val="24"/>
                <w:lang w:eastAsia="zh-CN"/>
              </w:rPr>
            </w:pPr>
            <w:r>
              <w:rPr>
                <w:rFonts w:hint="eastAsia" w:ascii="宋体" w:hAnsi="宋体" w:eastAsia="宋体" w:cs="宋体"/>
                <w:sz w:val="24"/>
                <w:lang w:eastAsia="zh-CN"/>
              </w:rPr>
              <w:t>法定代表人</w:t>
            </w:r>
          </w:p>
        </w:tc>
        <w:tc>
          <w:tcPr>
            <w:tcW w:w="2340" w:type="dxa"/>
            <w:vAlign w:val="center"/>
          </w:tcPr>
          <w:p w14:paraId="1C7684D6">
            <w:pPr>
              <w:shd w:val="clear"/>
              <w:spacing w:line="360" w:lineRule="atLeast"/>
              <w:jc w:val="center"/>
              <w:rPr>
                <w:rFonts w:hint="eastAsia" w:ascii="宋体" w:hAnsi="宋体" w:eastAsia="宋体" w:cs="宋体"/>
                <w:sz w:val="24"/>
              </w:rPr>
            </w:pPr>
            <w:r>
              <w:rPr>
                <w:rFonts w:hint="eastAsia" w:ascii="宋体" w:hAnsi="宋体" w:eastAsia="宋体" w:cs="宋体"/>
                <w:sz w:val="24"/>
              </w:rPr>
              <w:t>日   期</w:t>
            </w:r>
          </w:p>
        </w:tc>
      </w:tr>
      <w:tr w14:paraId="6687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44BB1548">
            <w:pPr>
              <w:shd w:val="clear"/>
              <w:spacing w:line="360" w:lineRule="atLeast"/>
              <w:jc w:val="center"/>
              <w:rPr>
                <w:rFonts w:hint="eastAsia" w:ascii="宋体" w:hAnsi="宋体" w:eastAsia="宋体" w:cs="宋体"/>
                <w:sz w:val="24"/>
              </w:rPr>
            </w:pPr>
            <w:r>
              <w:rPr>
                <w:rFonts w:hint="eastAsia" w:ascii="宋体" w:hAnsi="宋体" w:eastAsia="宋体" w:cs="宋体"/>
                <w:sz w:val="24"/>
              </w:rPr>
              <w:t>（公章）</w:t>
            </w:r>
          </w:p>
        </w:tc>
        <w:tc>
          <w:tcPr>
            <w:tcW w:w="3420" w:type="dxa"/>
            <w:vAlign w:val="center"/>
          </w:tcPr>
          <w:p w14:paraId="3F1068CD">
            <w:pPr>
              <w:shd w:val="clear"/>
              <w:spacing w:line="360" w:lineRule="atLeast"/>
              <w:jc w:val="center"/>
              <w:rPr>
                <w:rFonts w:hint="eastAsia" w:ascii="宋体" w:hAnsi="宋体" w:eastAsia="宋体" w:cs="宋体"/>
                <w:sz w:val="24"/>
              </w:rPr>
            </w:pPr>
            <w:r>
              <w:rPr>
                <w:rFonts w:hint="eastAsia" w:ascii="宋体" w:hAnsi="宋体" w:eastAsia="宋体" w:cs="宋体"/>
                <w:sz w:val="24"/>
              </w:rPr>
              <w:t>（签字或盖章）</w:t>
            </w:r>
          </w:p>
        </w:tc>
        <w:tc>
          <w:tcPr>
            <w:tcW w:w="2340" w:type="dxa"/>
            <w:vAlign w:val="center"/>
          </w:tcPr>
          <w:p w14:paraId="39552A5F">
            <w:pPr>
              <w:shd w:val="clear"/>
              <w:spacing w:line="360" w:lineRule="atLeast"/>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14:paraId="0AD95F8F">
      <w:pPr>
        <w:shd w:val="clear"/>
        <w:jc w:val="center"/>
        <w:rPr>
          <w:rFonts w:hint="eastAsia" w:ascii="宋体" w:hAnsi="宋体" w:eastAsia="宋体" w:cs="宋体"/>
          <w:bCs w:val="0"/>
          <w:sz w:val="28"/>
          <w:szCs w:val="28"/>
          <w:lang w:val="en-US" w:eastAsia="zh-CN"/>
        </w:rPr>
      </w:pPr>
    </w:p>
    <w:p w14:paraId="491AA96F">
      <w:pPr>
        <w:shd w:val="clear"/>
        <w:jc w:val="center"/>
        <w:rPr>
          <w:rFonts w:hint="eastAsia" w:ascii="宋体" w:hAnsi="宋体" w:eastAsia="宋体" w:cs="宋体"/>
          <w:bCs w:val="0"/>
          <w:sz w:val="28"/>
          <w:szCs w:val="28"/>
          <w:lang w:val="en-US" w:eastAsia="zh-CN"/>
        </w:rPr>
      </w:pPr>
    </w:p>
    <w:p w14:paraId="7FE4F379">
      <w:pPr>
        <w:pStyle w:val="24"/>
        <w:shd w:val="clear"/>
        <w:rPr>
          <w:rFonts w:hint="eastAsia" w:ascii="宋体" w:hAnsi="宋体" w:eastAsia="宋体" w:cs="宋体"/>
          <w:bCs w:val="0"/>
          <w:sz w:val="28"/>
          <w:szCs w:val="28"/>
          <w:lang w:val="en-US" w:eastAsia="zh-CN"/>
        </w:rPr>
      </w:pPr>
    </w:p>
    <w:p w14:paraId="74EDA829">
      <w:pPr>
        <w:shd w:val="clear"/>
        <w:spacing w:line="480" w:lineRule="auto"/>
        <w:ind w:right="480"/>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六、响应方案</w:t>
      </w:r>
    </w:p>
    <w:p w14:paraId="40911BE6">
      <w:pPr>
        <w:shd w:val="clear"/>
        <w:adjustRightInd w:val="0"/>
        <w:spacing w:line="360" w:lineRule="auto"/>
        <w:ind w:firstLine="482" w:firstLineChars="200"/>
        <w:textAlignment w:val="baseline"/>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投标人应按照</w:t>
      </w: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rPr>
        <w:t>文件要求，根据“第五章 采购内容</w:t>
      </w:r>
      <w:r>
        <w:rPr>
          <w:rFonts w:hint="eastAsia" w:ascii="宋体" w:hAnsi="宋体" w:eastAsia="宋体" w:cs="宋体"/>
          <w:b/>
          <w:bCs/>
          <w:color w:val="auto"/>
          <w:sz w:val="24"/>
          <w:highlight w:val="none"/>
          <w:lang w:val="en-US" w:eastAsia="zh-CN"/>
        </w:rPr>
        <w:t>及要求</w:t>
      </w:r>
      <w:r>
        <w:rPr>
          <w:rFonts w:hint="eastAsia" w:ascii="宋体" w:hAnsi="宋体" w:eastAsia="宋体" w:cs="宋体"/>
          <w:b/>
          <w:bCs/>
          <w:color w:val="auto"/>
          <w:sz w:val="24"/>
          <w:highlight w:val="none"/>
        </w:rPr>
        <w:t>”内容做出全面响应。由投标人自行编制。</w:t>
      </w:r>
    </w:p>
    <w:p w14:paraId="02B5AA0C">
      <w:pPr>
        <w:shd w:val="clear"/>
        <w:jc w:val="center"/>
        <w:rPr>
          <w:rFonts w:hint="eastAsia" w:ascii="宋体" w:hAnsi="宋体" w:eastAsia="宋体" w:cs="宋体"/>
          <w:b/>
          <w:sz w:val="32"/>
          <w:szCs w:val="32"/>
        </w:rPr>
      </w:pPr>
    </w:p>
    <w:p w14:paraId="3764A8F1">
      <w:pPr>
        <w:pStyle w:val="4"/>
        <w:shd w:val="clear"/>
        <w:rPr>
          <w:rFonts w:hint="eastAsia" w:ascii="宋体" w:hAnsi="宋体" w:eastAsia="宋体" w:cs="宋体"/>
          <w:b/>
          <w:sz w:val="32"/>
          <w:szCs w:val="32"/>
        </w:rPr>
      </w:pPr>
    </w:p>
    <w:p w14:paraId="218E18DA">
      <w:pPr>
        <w:pStyle w:val="4"/>
        <w:shd w:val="clear"/>
        <w:rPr>
          <w:rFonts w:hint="eastAsia" w:ascii="宋体" w:hAnsi="宋体" w:eastAsia="宋体" w:cs="宋体"/>
          <w:b/>
          <w:sz w:val="32"/>
          <w:szCs w:val="32"/>
        </w:rPr>
      </w:pPr>
    </w:p>
    <w:p w14:paraId="3CA537E4">
      <w:pPr>
        <w:pStyle w:val="4"/>
        <w:shd w:val="clear"/>
        <w:rPr>
          <w:rFonts w:hint="eastAsia" w:ascii="宋体" w:hAnsi="宋体" w:eastAsia="宋体" w:cs="宋体"/>
          <w:b/>
          <w:sz w:val="32"/>
          <w:szCs w:val="32"/>
        </w:rPr>
      </w:pPr>
    </w:p>
    <w:p w14:paraId="5E49DFA2">
      <w:pPr>
        <w:pStyle w:val="4"/>
        <w:shd w:val="clear"/>
        <w:rPr>
          <w:rFonts w:hint="eastAsia" w:ascii="宋体" w:hAnsi="宋体" w:eastAsia="宋体" w:cs="宋体"/>
          <w:b/>
          <w:sz w:val="32"/>
          <w:szCs w:val="32"/>
        </w:rPr>
      </w:pPr>
    </w:p>
    <w:p w14:paraId="1785E688">
      <w:pPr>
        <w:pStyle w:val="4"/>
        <w:shd w:val="clear"/>
        <w:rPr>
          <w:rFonts w:hint="eastAsia" w:ascii="宋体" w:hAnsi="宋体" w:eastAsia="宋体" w:cs="宋体"/>
          <w:b/>
          <w:sz w:val="32"/>
          <w:szCs w:val="32"/>
        </w:rPr>
      </w:pPr>
    </w:p>
    <w:p w14:paraId="5A70AC06">
      <w:pPr>
        <w:pStyle w:val="9"/>
        <w:shd w:val="clear"/>
        <w:rPr>
          <w:rFonts w:hint="eastAsia" w:ascii="宋体" w:hAnsi="宋体" w:eastAsia="宋体" w:cs="宋体"/>
          <w:b/>
          <w:sz w:val="32"/>
          <w:szCs w:val="32"/>
        </w:rPr>
      </w:pPr>
    </w:p>
    <w:p w14:paraId="189F0000">
      <w:pPr>
        <w:shd w:val="clear"/>
        <w:rPr>
          <w:rFonts w:hint="eastAsia" w:ascii="宋体" w:hAnsi="宋体" w:eastAsia="宋体" w:cs="宋体"/>
          <w:b/>
          <w:sz w:val="32"/>
          <w:szCs w:val="32"/>
        </w:rPr>
      </w:pPr>
    </w:p>
    <w:p w14:paraId="1F2F5BE6">
      <w:pPr>
        <w:pStyle w:val="3"/>
        <w:shd w:val="clear"/>
        <w:rPr>
          <w:rFonts w:hint="eastAsia" w:ascii="宋体" w:hAnsi="宋体" w:eastAsia="宋体" w:cs="宋体"/>
        </w:rPr>
      </w:pPr>
    </w:p>
    <w:p w14:paraId="7AC1B2D9">
      <w:pPr>
        <w:pStyle w:val="9"/>
        <w:shd w:val="clear"/>
        <w:rPr>
          <w:rFonts w:hint="eastAsia" w:ascii="宋体" w:hAnsi="宋体" w:eastAsia="宋体" w:cs="宋体"/>
          <w:b/>
          <w:sz w:val="32"/>
          <w:szCs w:val="32"/>
        </w:rPr>
      </w:pPr>
    </w:p>
    <w:p w14:paraId="398E0495">
      <w:pPr>
        <w:shd w:val="clear"/>
        <w:rPr>
          <w:rFonts w:hint="eastAsia" w:ascii="宋体" w:hAnsi="宋体" w:eastAsia="宋体" w:cs="宋体"/>
          <w:b/>
          <w:sz w:val="32"/>
          <w:szCs w:val="32"/>
        </w:rPr>
      </w:pPr>
    </w:p>
    <w:p w14:paraId="08195EE0">
      <w:pPr>
        <w:pStyle w:val="9"/>
        <w:shd w:val="clear"/>
        <w:rPr>
          <w:rFonts w:hint="eastAsia" w:ascii="宋体" w:hAnsi="宋体" w:eastAsia="宋体" w:cs="宋体"/>
          <w:b/>
          <w:sz w:val="32"/>
          <w:szCs w:val="32"/>
        </w:rPr>
      </w:pPr>
    </w:p>
    <w:p w14:paraId="3A023F30">
      <w:pPr>
        <w:shd w:val="clear"/>
        <w:rPr>
          <w:rFonts w:hint="eastAsia" w:ascii="宋体" w:hAnsi="宋体" w:eastAsia="宋体" w:cs="宋体"/>
          <w:b/>
          <w:sz w:val="32"/>
          <w:szCs w:val="32"/>
        </w:rPr>
      </w:pPr>
    </w:p>
    <w:p w14:paraId="10AF5EB7">
      <w:pPr>
        <w:pStyle w:val="12"/>
        <w:shd w:val="clear"/>
        <w:rPr>
          <w:rFonts w:hint="eastAsia" w:ascii="宋体" w:hAnsi="宋体" w:eastAsia="宋体" w:cs="宋体"/>
          <w:b/>
          <w:sz w:val="32"/>
          <w:szCs w:val="32"/>
        </w:rPr>
      </w:pPr>
    </w:p>
    <w:p w14:paraId="24AE8823">
      <w:pPr>
        <w:pStyle w:val="13"/>
        <w:shd w:val="clear"/>
        <w:rPr>
          <w:rFonts w:hint="eastAsia" w:ascii="宋体" w:hAnsi="宋体" w:eastAsia="宋体" w:cs="宋体"/>
          <w:b/>
          <w:sz w:val="32"/>
          <w:szCs w:val="32"/>
        </w:rPr>
      </w:pPr>
    </w:p>
    <w:p w14:paraId="7A53E1AC">
      <w:pPr>
        <w:shd w:val="clear"/>
        <w:rPr>
          <w:rFonts w:hint="eastAsia" w:ascii="宋体" w:hAnsi="宋体" w:eastAsia="宋体" w:cs="宋体"/>
          <w:b/>
          <w:sz w:val="32"/>
          <w:szCs w:val="32"/>
        </w:rPr>
      </w:pPr>
    </w:p>
    <w:p w14:paraId="75D833F3">
      <w:pPr>
        <w:pStyle w:val="12"/>
        <w:shd w:val="clear"/>
        <w:rPr>
          <w:rFonts w:hint="eastAsia" w:ascii="宋体" w:hAnsi="宋体" w:eastAsia="宋体" w:cs="宋体"/>
          <w:b/>
          <w:sz w:val="32"/>
          <w:szCs w:val="32"/>
        </w:rPr>
      </w:pPr>
    </w:p>
    <w:p w14:paraId="56550623">
      <w:pPr>
        <w:pStyle w:val="13"/>
        <w:shd w:val="clear"/>
        <w:rPr>
          <w:rFonts w:hint="eastAsia" w:ascii="宋体" w:hAnsi="宋体" w:eastAsia="宋体" w:cs="宋体"/>
          <w:b/>
          <w:sz w:val="32"/>
          <w:szCs w:val="32"/>
        </w:rPr>
      </w:pPr>
    </w:p>
    <w:p w14:paraId="44A8B7B8">
      <w:pPr>
        <w:shd w:val="clear"/>
        <w:rPr>
          <w:rFonts w:hint="eastAsia" w:ascii="宋体" w:hAnsi="宋体" w:eastAsia="宋体" w:cs="宋体"/>
          <w:b/>
          <w:sz w:val="32"/>
          <w:szCs w:val="32"/>
        </w:rPr>
      </w:pPr>
    </w:p>
    <w:bookmarkEnd w:id="220"/>
    <w:bookmarkEnd w:id="244"/>
    <w:bookmarkEnd w:id="245"/>
    <w:bookmarkEnd w:id="246"/>
    <w:p w14:paraId="1D03BABA">
      <w:pPr>
        <w:pStyle w:val="23"/>
        <w:numPr>
          <w:ilvl w:val="0"/>
          <w:numId w:val="0"/>
        </w:numPr>
        <w:shd w:val="clear"/>
        <w:ind w:left="0" w:leftChars="0" w:hanging="13" w:firstLineChars="0"/>
        <w:jc w:val="center"/>
        <w:rPr>
          <w:rFonts w:hint="eastAsia" w:ascii="宋体" w:hAnsi="宋体" w:eastAsia="宋体" w:cs="宋体"/>
          <w:b/>
          <w:bCs/>
          <w:kern w:val="0"/>
          <w:sz w:val="28"/>
          <w:szCs w:val="28"/>
          <w:highlight w:val="none"/>
        </w:rPr>
      </w:pPr>
      <w:bookmarkStart w:id="247" w:name="_Toc24920"/>
      <w:bookmarkStart w:id="248" w:name="_Toc17685"/>
      <w:bookmarkStart w:id="249" w:name="_Toc27463"/>
      <w:r>
        <w:rPr>
          <w:rFonts w:hint="eastAsia" w:ascii="宋体" w:hAnsi="宋体" w:eastAsia="宋体" w:cs="宋体"/>
          <w:b/>
          <w:sz w:val="32"/>
          <w:szCs w:val="32"/>
          <w:lang w:eastAsia="zh-CN"/>
        </w:rPr>
        <w:t>附件</w:t>
      </w:r>
      <w:r>
        <w:rPr>
          <w:rFonts w:hint="eastAsia" w:ascii="宋体" w:hAnsi="宋体" w:eastAsia="宋体" w:cs="宋体"/>
          <w:b/>
          <w:sz w:val="32"/>
          <w:szCs w:val="32"/>
          <w:lang w:val="en-US" w:eastAsia="zh-CN"/>
        </w:rPr>
        <w:t xml:space="preserve">1 </w:t>
      </w:r>
      <w:bookmarkEnd w:id="247"/>
      <w:bookmarkEnd w:id="248"/>
      <w:bookmarkStart w:id="250" w:name="_Toc22554"/>
      <w:bookmarkStart w:id="251" w:name="_Toc3000"/>
      <w:r>
        <w:rPr>
          <w:rFonts w:hint="eastAsia" w:ascii="宋体" w:hAnsi="宋体" w:eastAsia="宋体" w:cs="宋体"/>
          <w:b/>
          <w:bCs/>
          <w:kern w:val="0"/>
          <w:sz w:val="28"/>
          <w:szCs w:val="28"/>
          <w:highlight w:val="none"/>
          <w:lang w:val="en-US" w:eastAsia="zh-CN"/>
        </w:rPr>
        <w:t>中小企业声明函</w:t>
      </w:r>
      <w:bookmarkEnd w:id="250"/>
      <w:bookmarkEnd w:id="251"/>
      <w:r>
        <w:rPr>
          <w:rFonts w:hint="eastAsia" w:ascii="宋体" w:hAnsi="宋体" w:eastAsia="宋体" w:cs="宋体"/>
          <w:b/>
          <w:sz w:val="32"/>
          <w:szCs w:val="32"/>
          <w:lang w:val="zh-CN"/>
        </w:rPr>
        <w:t>（</w:t>
      </w:r>
      <w:r>
        <w:rPr>
          <w:rFonts w:hint="eastAsia" w:ascii="宋体" w:hAnsi="宋体" w:eastAsia="宋体" w:cs="宋体"/>
          <w:b/>
          <w:sz w:val="32"/>
          <w:szCs w:val="32"/>
          <w:lang w:val="en-US" w:eastAsia="zh-CN"/>
        </w:rPr>
        <w:t>服务</w:t>
      </w:r>
      <w:r>
        <w:rPr>
          <w:rFonts w:hint="eastAsia" w:ascii="宋体" w:hAnsi="宋体" w:eastAsia="宋体" w:cs="宋体"/>
          <w:b/>
          <w:sz w:val="32"/>
          <w:szCs w:val="32"/>
          <w:lang w:val="zh-CN"/>
        </w:rPr>
        <w:t>）</w:t>
      </w:r>
    </w:p>
    <w:p w14:paraId="49CFD7C1">
      <w:pPr>
        <w:shd w:val="clear"/>
        <w:spacing w:before="116" w:line="225" w:lineRule="auto"/>
        <w:ind w:left="1686"/>
        <w:rPr>
          <w:rFonts w:hint="eastAsia" w:ascii="宋体" w:hAnsi="宋体" w:eastAsia="宋体" w:cs="宋体"/>
          <w:sz w:val="21"/>
          <w:lang w:eastAsia="zh-CN"/>
        </w:rPr>
      </w:pPr>
      <w:r>
        <w:rPr>
          <w:rFonts w:hint="eastAsia" w:ascii="宋体" w:hAnsi="宋体" w:eastAsia="宋体" w:cs="宋体"/>
          <w:spacing w:val="7"/>
          <w:sz w:val="35"/>
          <w:szCs w:val="35"/>
        </w:rPr>
        <w:t>中小企业声明函（工程、服务</w:t>
      </w:r>
      <w:r>
        <w:rPr>
          <w:rFonts w:hint="eastAsia" w:ascii="宋体" w:hAnsi="宋体" w:eastAsia="宋体" w:cs="宋体"/>
          <w:spacing w:val="7"/>
          <w:sz w:val="35"/>
          <w:szCs w:val="35"/>
          <w:lang w:eastAsia="zh-CN"/>
        </w:rPr>
        <w:t>）</w:t>
      </w:r>
    </w:p>
    <w:p w14:paraId="561FAE21">
      <w:pPr>
        <w:pStyle w:val="9"/>
        <w:shd w:val="clear"/>
        <w:spacing w:before="101" w:line="306" w:lineRule="auto"/>
        <w:ind w:left="36" w:right="84" w:firstLine="640"/>
        <w:rPr>
          <w:rFonts w:hint="eastAsia" w:ascii="宋体" w:hAnsi="宋体" w:eastAsia="宋体" w:cs="宋体"/>
          <w:b w:val="0"/>
          <w:bCs/>
        </w:rPr>
      </w:pPr>
      <w:r>
        <w:rPr>
          <w:rFonts w:hint="eastAsia" w:ascii="宋体" w:hAnsi="宋体" w:eastAsia="宋体" w:cs="宋体"/>
          <w:b w:val="0"/>
          <w:bCs/>
          <w:spacing w:val="8"/>
        </w:rPr>
        <w:t>本公司（联合体）郑重声明，根据《政府采购促进中小</w:t>
      </w:r>
      <w:r>
        <w:rPr>
          <w:rFonts w:hint="eastAsia" w:ascii="宋体" w:hAnsi="宋体" w:eastAsia="宋体" w:cs="宋体"/>
          <w:b w:val="0"/>
          <w:bCs/>
          <w:spacing w:val="12"/>
        </w:rPr>
        <w:t xml:space="preserve"> </w:t>
      </w:r>
      <w:r>
        <w:rPr>
          <w:rFonts w:hint="eastAsia" w:ascii="宋体" w:hAnsi="宋体" w:eastAsia="宋体" w:cs="宋体"/>
          <w:b w:val="0"/>
          <w:bCs/>
          <w:spacing w:val="4"/>
        </w:rPr>
        <w:t>企业发展管理办法》（财库﹝2020﹞46</w:t>
      </w:r>
      <w:r>
        <w:rPr>
          <w:rFonts w:hint="eastAsia" w:ascii="宋体" w:hAnsi="宋体" w:eastAsia="宋体" w:cs="宋体"/>
          <w:b w:val="0"/>
          <w:bCs/>
          <w:spacing w:val="-44"/>
        </w:rPr>
        <w:t xml:space="preserve"> </w:t>
      </w:r>
      <w:r>
        <w:rPr>
          <w:rFonts w:hint="eastAsia" w:ascii="宋体" w:hAnsi="宋体" w:eastAsia="宋体" w:cs="宋体"/>
          <w:b w:val="0"/>
          <w:bCs/>
          <w:spacing w:val="4"/>
        </w:rPr>
        <w:t>号）的规</w:t>
      </w:r>
      <w:r>
        <w:rPr>
          <w:rFonts w:hint="eastAsia" w:ascii="宋体" w:hAnsi="宋体" w:eastAsia="宋体" w:cs="宋体"/>
          <w:b w:val="0"/>
          <w:bCs/>
          <w:spacing w:val="3"/>
        </w:rPr>
        <w:t>定，本公司</w:t>
      </w:r>
      <w:r>
        <w:rPr>
          <w:rFonts w:hint="eastAsia" w:ascii="宋体" w:hAnsi="宋体" w:eastAsia="宋体" w:cs="宋体"/>
          <w:b w:val="0"/>
          <w:bCs/>
        </w:rPr>
        <w:t xml:space="preserve"> </w:t>
      </w:r>
      <w:r>
        <w:rPr>
          <w:rFonts w:hint="eastAsia" w:ascii="宋体" w:hAnsi="宋体" w:eastAsia="宋体" w:cs="宋体"/>
          <w:b w:val="0"/>
          <w:bCs/>
          <w:spacing w:val="-1"/>
        </w:rPr>
        <w:t>（联合体）参加</w:t>
      </w:r>
      <w:r>
        <w:rPr>
          <w:rFonts w:hint="eastAsia" w:ascii="宋体" w:hAnsi="宋体" w:eastAsia="宋体" w:cs="宋体"/>
          <w:b w:val="0"/>
          <w:bCs/>
          <w:i/>
          <w:iCs/>
          <w:spacing w:val="-1"/>
          <w:sz w:val="33"/>
          <w:szCs w:val="33"/>
          <w:u w:val="single" w:color="auto"/>
        </w:rPr>
        <w:t>（单位名称）</w:t>
      </w:r>
      <w:r>
        <w:rPr>
          <w:rFonts w:hint="eastAsia" w:ascii="宋体" w:hAnsi="宋体" w:eastAsia="宋体" w:cs="宋体"/>
          <w:b w:val="0"/>
          <w:bCs/>
          <w:spacing w:val="-1"/>
        </w:rPr>
        <w:t>的</w:t>
      </w:r>
      <w:r>
        <w:rPr>
          <w:rFonts w:hint="eastAsia" w:ascii="宋体" w:hAnsi="宋体" w:eastAsia="宋体" w:cs="宋体"/>
          <w:b w:val="0"/>
          <w:bCs/>
          <w:i/>
          <w:iCs/>
          <w:spacing w:val="-1"/>
          <w:sz w:val="33"/>
          <w:szCs w:val="33"/>
          <w:u w:val="single" w:color="auto"/>
        </w:rPr>
        <w:t>（项目名称）</w:t>
      </w:r>
      <w:r>
        <w:rPr>
          <w:rFonts w:hint="eastAsia" w:ascii="宋体" w:hAnsi="宋体" w:eastAsia="宋体" w:cs="宋体"/>
          <w:b w:val="0"/>
          <w:bCs/>
          <w:spacing w:val="-1"/>
        </w:rPr>
        <w:t>采购活动，工</w:t>
      </w:r>
      <w:r>
        <w:rPr>
          <w:rFonts w:hint="eastAsia" w:ascii="宋体" w:hAnsi="宋体" w:eastAsia="宋体" w:cs="宋体"/>
          <w:b w:val="0"/>
          <w:bCs/>
          <w:spacing w:val="11"/>
        </w:rPr>
        <w:t xml:space="preserve"> </w:t>
      </w:r>
      <w:r>
        <w:rPr>
          <w:rFonts w:hint="eastAsia" w:ascii="宋体" w:hAnsi="宋体" w:eastAsia="宋体" w:cs="宋体"/>
          <w:b w:val="0"/>
          <w:bCs/>
          <w:spacing w:val="8"/>
        </w:rPr>
        <w:t>程的施工单位全部为符合政策要求的中小企业（或者：服务</w:t>
      </w:r>
      <w:r>
        <w:rPr>
          <w:rFonts w:hint="eastAsia" w:ascii="宋体" w:hAnsi="宋体" w:eastAsia="宋体" w:cs="宋体"/>
          <w:b w:val="0"/>
          <w:bCs/>
          <w:spacing w:val="12"/>
        </w:rPr>
        <w:t xml:space="preserve"> </w:t>
      </w:r>
      <w:r>
        <w:rPr>
          <w:rFonts w:hint="eastAsia" w:ascii="宋体" w:hAnsi="宋体" w:eastAsia="宋体" w:cs="宋体"/>
          <w:b w:val="0"/>
          <w:bCs/>
          <w:spacing w:val="8"/>
        </w:rPr>
        <w:t>全部由符合政策要求的中小企业承接）。相关企业（含联合</w:t>
      </w:r>
      <w:r>
        <w:rPr>
          <w:rFonts w:hint="eastAsia" w:ascii="宋体" w:hAnsi="宋体" w:eastAsia="宋体" w:cs="宋体"/>
          <w:b w:val="0"/>
          <w:bCs/>
          <w:spacing w:val="12"/>
        </w:rPr>
        <w:t xml:space="preserve"> </w:t>
      </w:r>
      <w:r>
        <w:rPr>
          <w:rFonts w:hint="eastAsia" w:ascii="宋体" w:hAnsi="宋体" w:eastAsia="宋体" w:cs="宋体"/>
          <w:b w:val="0"/>
          <w:bCs/>
          <w:spacing w:val="8"/>
        </w:rPr>
        <w:t>体中的中小企业、签订分包意向协议的中小企业）的具体情</w:t>
      </w:r>
    </w:p>
    <w:p w14:paraId="1B18BAFC">
      <w:pPr>
        <w:pStyle w:val="9"/>
        <w:shd w:val="clear"/>
        <w:spacing w:before="1" w:line="227" w:lineRule="auto"/>
        <w:ind w:left="36"/>
        <w:rPr>
          <w:rFonts w:hint="eastAsia" w:ascii="宋体" w:hAnsi="宋体" w:eastAsia="宋体" w:cs="宋体"/>
          <w:b w:val="0"/>
          <w:bCs/>
        </w:rPr>
      </w:pPr>
      <w:r>
        <w:rPr>
          <w:rFonts w:hint="eastAsia" w:ascii="宋体" w:hAnsi="宋体" w:eastAsia="宋体" w:cs="宋体"/>
          <w:b w:val="0"/>
          <w:bCs/>
          <w:spacing w:val="1"/>
        </w:rPr>
        <w:t>况如下：</w:t>
      </w:r>
    </w:p>
    <w:p w14:paraId="2B3487A6">
      <w:pPr>
        <w:pStyle w:val="9"/>
        <w:shd w:val="clear"/>
        <w:spacing w:before="139" w:line="272" w:lineRule="auto"/>
        <w:ind w:left="18" w:firstLine="671"/>
        <w:rPr>
          <w:rFonts w:hint="eastAsia" w:ascii="宋体" w:hAnsi="宋体" w:eastAsia="宋体" w:cs="宋体"/>
          <w:b w:val="0"/>
          <w:bCs/>
        </w:rPr>
      </w:pPr>
      <w:r>
        <w:rPr>
          <w:rFonts w:hint="eastAsia" w:ascii="宋体" w:hAnsi="宋体" w:eastAsia="宋体" w:cs="宋体"/>
          <w:b w:val="0"/>
          <w:bCs/>
          <w:spacing w:val="-7"/>
        </w:rPr>
        <w:t>1.</w:t>
      </w:r>
      <w:r>
        <w:rPr>
          <w:rFonts w:hint="eastAsia" w:ascii="宋体" w:hAnsi="宋体" w:eastAsia="宋体" w:cs="宋体"/>
          <w:b w:val="0"/>
          <w:bCs/>
          <w:spacing w:val="-59"/>
          <w:sz w:val="33"/>
          <w:szCs w:val="33"/>
          <w:u w:val="single" w:color="auto"/>
        </w:rPr>
        <w:t xml:space="preserve"> </w:t>
      </w:r>
      <w:r>
        <w:rPr>
          <w:rFonts w:hint="eastAsia" w:ascii="宋体" w:hAnsi="宋体" w:eastAsia="宋体" w:cs="宋体"/>
          <w:b w:val="0"/>
          <w:bCs/>
          <w:i/>
          <w:iCs/>
          <w:spacing w:val="-7"/>
          <w:sz w:val="33"/>
          <w:szCs w:val="33"/>
          <w:u w:val="single" w:color="auto"/>
        </w:rPr>
        <w:t>（标的名称</w:t>
      </w:r>
      <w:r>
        <w:rPr>
          <w:rFonts w:hint="eastAsia" w:ascii="宋体" w:hAnsi="宋体" w:eastAsia="宋体" w:cs="宋体"/>
          <w:b w:val="0"/>
          <w:bCs/>
          <w:i/>
          <w:iCs/>
          <w:spacing w:val="-87"/>
          <w:w w:val="97"/>
          <w:sz w:val="33"/>
          <w:szCs w:val="33"/>
          <w:u w:val="single" w:color="auto"/>
        </w:rPr>
        <w:t>）</w:t>
      </w:r>
      <w:r>
        <w:rPr>
          <w:rFonts w:hint="eastAsia" w:ascii="宋体" w:hAnsi="宋体" w:eastAsia="宋体" w:cs="宋体"/>
          <w:b w:val="0"/>
          <w:bCs/>
          <w:spacing w:val="-87"/>
          <w:w w:val="97"/>
        </w:rPr>
        <w:t>，</w:t>
      </w:r>
      <w:r>
        <w:rPr>
          <w:rFonts w:hint="eastAsia" w:ascii="宋体" w:hAnsi="宋体" w:eastAsia="宋体" w:cs="宋体"/>
          <w:b w:val="0"/>
          <w:bCs/>
          <w:spacing w:val="-7"/>
        </w:rPr>
        <w:t>属于</w:t>
      </w:r>
      <w:r>
        <w:rPr>
          <w:rFonts w:hint="eastAsia" w:ascii="宋体" w:hAnsi="宋体" w:eastAsia="宋体" w:cs="宋体"/>
          <w:b w:val="0"/>
          <w:bCs/>
          <w:i/>
          <w:iCs/>
          <w:spacing w:val="-7"/>
          <w:sz w:val="33"/>
          <w:szCs w:val="33"/>
          <w:u w:val="single" w:color="auto"/>
        </w:rPr>
        <w:t>（采购文件中明确的所属行业</w:t>
      </w:r>
      <w:r>
        <w:rPr>
          <w:rFonts w:hint="eastAsia" w:ascii="宋体" w:hAnsi="宋体" w:eastAsia="宋体" w:cs="宋体"/>
          <w:b w:val="0"/>
          <w:bCs/>
          <w:i/>
          <w:iCs/>
          <w:spacing w:val="-87"/>
          <w:w w:val="97"/>
          <w:sz w:val="33"/>
          <w:szCs w:val="33"/>
        </w:rPr>
        <w:t>）</w:t>
      </w:r>
      <w:r>
        <w:rPr>
          <w:rFonts w:hint="eastAsia" w:ascii="宋体" w:hAnsi="宋体" w:eastAsia="宋体" w:cs="宋体"/>
          <w:b w:val="0"/>
          <w:bCs/>
          <w:spacing w:val="-87"/>
          <w:w w:val="97"/>
        </w:rPr>
        <w:t>；</w:t>
      </w:r>
      <w:r>
        <w:rPr>
          <w:rFonts w:hint="eastAsia" w:ascii="宋体" w:hAnsi="宋体" w:eastAsia="宋体" w:cs="宋体"/>
          <w:b w:val="0"/>
          <w:bCs/>
        </w:rPr>
        <w:t xml:space="preserve"> </w:t>
      </w:r>
      <w:r>
        <w:rPr>
          <w:rFonts w:hint="eastAsia" w:ascii="宋体" w:hAnsi="宋体" w:eastAsia="宋体" w:cs="宋体"/>
          <w:b w:val="0"/>
          <w:bCs/>
          <w:spacing w:val="11"/>
        </w:rPr>
        <w:t>承建（承接）企业为</w:t>
      </w:r>
      <w:r>
        <w:rPr>
          <w:rFonts w:hint="eastAsia" w:ascii="宋体" w:hAnsi="宋体" w:eastAsia="宋体" w:cs="宋体"/>
          <w:b w:val="0"/>
          <w:bCs/>
          <w:i/>
          <w:iCs/>
          <w:spacing w:val="11"/>
          <w:sz w:val="33"/>
          <w:szCs w:val="33"/>
          <w:u w:val="single" w:color="auto"/>
        </w:rPr>
        <w:t>（企业名称</w:t>
      </w:r>
      <w:r>
        <w:rPr>
          <w:rFonts w:hint="eastAsia" w:ascii="宋体" w:hAnsi="宋体" w:eastAsia="宋体" w:cs="宋体"/>
          <w:b w:val="0"/>
          <w:bCs/>
          <w:i/>
          <w:iCs/>
          <w:spacing w:val="-86"/>
          <w:w w:val="96"/>
          <w:sz w:val="33"/>
          <w:szCs w:val="33"/>
        </w:rPr>
        <w:t>）</w:t>
      </w:r>
      <w:r>
        <w:rPr>
          <w:rFonts w:hint="eastAsia" w:ascii="宋体" w:hAnsi="宋体" w:eastAsia="宋体" w:cs="宋体"/>
          <w:b w:val="0"/>
          <w:bCs/>
          <w:spacing w:val="-86"/>
          <w:w w:val="96"/>
        </w:rPr>
        <w:t>，</w:t>
      </w:r>
      <w:r>
        <w:rPr>
          <w:rFonts w:hint="eastAsia" w:ascii="宋体" w:hAnsi="宋体" w:eastAsia="宋体" w:cs="宋体"/>
          <w:b w:val="0"/>
          <w:bCs/>
          <w:spacing w:val="11"/>
        </w:rPr>
        <w:t>从业人员</w:t>
      </w:r>
      <w:r>
        <w:rPr>
          <w:rFonts w:hint="eastAsia" w:ascii="宋体" w:hAnsi="宋体" w:eastAsia="宋体" w:cs="宋体"/>
          <w:b w:val="0"/>
          <w:bCs/>
          <w:spacing w:val="-148"/>
        </w:rPr>
        <w:t xml:space="preserve"> </w:t>
      </w:r>
      <w:r>
        <w:rPr>
          <w:rFonts w:hint="eastAsia" w:ascii="宋体" w:hAnsi="宋体" w:eastAsia="宋体" w:cs="宋体"/>
          <w:b w:val="0"/>
          <w:bCs/>
          <w:spacing w:val="10"/>
          <w:u w:val="single" w:color="auto"/>
        </w:rPr>
        <w:t xml:space="preserve">    </w:t>
      </w:r>
      <w:r>
        <w:rPr>
          <w:rFonts w:hint="eastAsia" w:ascii="宋体" w:hAnsi="宋体" w:eastAsia="宋体" w:cs="宋体"/>
          <w:b w:val="0"/>
          <w:bCs/>
          <w:spacing w:val="-128"/>
        </w:rPr>
        <w:t xml:space="preserve"> </w:t>
      </w:r>
      <w:r>
        <w:rPr>
          <w:rFonts w:hint="eastAsia" w:ascii="宋体" w:hAnsi="宋体" w:eastAsia="宋体" w:cs="宋体"/>
          <w:b w:val="0"/>
          <w:bCs/>
          <w:spacing w:val="11"/>
        </w:rPr>
        <w:t>人，营业</w:t>
      </w:r>
      <w:r>
        <w:rPr>
          <w:rFonts w:hint="eastAsia" w:ascii="宋体" w:hAnsi="宋体" w:eastAsia="宋体" w:cs="宋体"/>
          <w:b w:val="0"/>
          <w:bCs/>
        </w:rPr>
        <w:t xml:space="preserve"> </w:t>
      </w:r>
      <w:r>
        <w:rPr>
          <w:rFonts w:hint="eastAsia" w:ascii="宋体" w:hAnsi="宋体" w:eastAsia="宋体" w:cs="宋体"/>
          <w:b w:val="0"/>
          <w:bCs/>
          <w:spacing w:val="-1"/>
        </w:rPr>
        <w:t>收入为</w:t>
      </w:r>
      <w:r>
        <w:rPr>
          <w:rFonts w:hint="eastAsia" w:ascii="宋体" w:hAnsi="宋体" w:eastAsia="宋体" w:cs="宋体"/>
          <w:b w:val="0"/>
          <w:bCs/>
          <w:spacing w:val="-137"/>
        </w:rPr>
        <w:t xml:space="preserve"> </w:t>
      </w:r>
      <w:r>
        <w:rPr>
          <w:rFonts w:hint="eastAsia" w:ascii="宋体" w:hAnsi="宋体" w:eastAsia="宋体" w:cs="宋体"/>
          <w:b w:val="0"/>
          <w:bCs/>
          <w:spacing w:val="5"/>
          <w:u w:val="single" w:color="auto"/>
        </w:rPr>
        <w:t xml:space="preserve">    </w:t>
      </w:r>
      <w:r>
        <w:rPr>
          <w:rFonts w:hint="eastAsia" w:ascii="宋体" w:hAnsi="宋体" w:eastAsia="宋体" w:cs="宋体"/>
          <w:b w:val="0"/>
          <w:bCs/>
          <w:spacing w:val="-130"/>
        </w:rPr>
        <w:t xml:space="preserve"> </w:t>
      </w:r>
      <w:r>
        <w:rPr>
          <w:rFonts w:hint="eastAsia" w:ascii="宋体" w:hAnsi="宋体" w:eastAsia="宋体" w:cs="宋体"/>
          <w:b w:val="0"/>
          <w:bCs/>
          <w:spacing w:val="-1"/>
        </w:rPr>
        <w:t>万元，资产总额为</w:t>
      </w:r>
      <w:r>
        <w:rPr>
          <w:rFonts w:hint="eastAsia" w:ascii="宋体" w:hAnsi="宋体" w:eastAsia="宋体" w:cs="宋体"/>
          <w:b w:val="0"/>
          <w:bCs/>
          <w:spacing w:val="-155"/>
        </w:rPr>
        <w:t xml:space="preserve"> </w:t>
      </w:r>
      <w:r>
        <w:rPr>
          <w:rFonts w:hint="eastAsia" w:ascii="宋体" w:hAnsi="宋体" w:eastAsia="宋体" w:cs="宋体"/>
          <w:b w:val="0"/>
          <w:bCs/>
          <w:spacing w:val="5"/>
          <w:u w:val="single" w:color="auto"/>
        </w:rPr>
        <w:t xml:space="preserve">    </w:t>
      </w:r>
      <w:r>
        <w:rPr>
          <w:rFonts w:hint="eastAsia" w:ascii="宋体" w:hAnsi="宋体" w:eastAsia="宋体" w:cs="宋体"/>
          <w:b w:val="0"/>
          <w:bCs/>
          <w:spacing w:val="-131"/>
        </w:rPr>
        <w:t xml:space="preserve"> </w:t>
      </w:r>
      <w:r>
        <w:rPr>
          <w:rFonts w:hint="eastAsia" w:ascii="宋体" w:hAnsi="宋体" w:eastAsia="宋体" w:cs="宋体"/>
          <w:b w:val="0"/>
          <w:bCs/>
          <w:spacing w:val="-1"/>
        </w:rPr>
        <w:t>万元</w:t>
      </w:r>
      <w:r>
        <w:rPr>
          <w:rFonts w:hint="eastAsia" w:ascii="宋体" w:hAnsi="宋体" w:eastAsia="宋体" w:cs="宋体"/>
          <w:b w:val="0"/>
          <w:bCs/>
        </w:rPr>
        <w:fldChar w:fldCharType="begin"/>
      </w:r>
      <w:r>
        <w:rPr>
          <w:rFonts w:hint="eastAsia" w:ascii="宋体" w:hAnsi="宋体" w:eastAsia="宋体" w:cs="宋体"/>
          <w:b w:val="0"/>
          <w:bCs/>
        </w:rPr>
        <w:instrText xml:space="preserve"> HYPERLINK \l "bookmark2" </w:instrText>
      </w:r>
      <w:r>
        <w:rPr>
          <w:rFonts w:hint="eastAsia" w:ascii="宋体" w:hAnsi="宋体" w:eastAsia="宋体" w:cs="宋体"/>
          <w:b w:val="0"/>
          <w:bCs/>
        </w:rPr>
        <w:fldChar w:fldCharType="separate"/>
      </w:r>
      <w:r>
        <w:rPr>
          <w:rFonts w:hint="eastAsia" w:ascii="宋体" w:hAnsi="宋体" w:eastAsia="宋体" w:cs="宋体"/>
          <w:b w:val="0"/>
          <w:bCs/>
          <w:spacing w:val="-1"/>
          <w:position w:val="16"/>
          <w:sz w:val="16"/>
          <w:szCs w:val="16"/>
        </w:rPr>
        <w:t>1</w:t>
      </w:r>
      <w:r>
        <w:rPr>
          <w:rFonts w:hint="eastAsia" w:ascii="宋体" w:hAnsi="宋体" w:eastAsia="宋体" w:cs="宋体"/>
          <w:b w:val="0"/>
          <w:bCs/>
          <w:spacing w:val="-1"/>
          <w:position w:val="16"/>
          <w:sz w:val="16"/>
          <w:szCs w:val="16"/>
        </w:rPr>
        <w:fldChar w:fldCharType="end"/>
      </w:r>
      <w:r>
        <w:rPr>
          <w:rFonts w:hint="eastAsia" w:ascii="宋体" w:hAnsi="宋体" w:eastAsia="宋体" w:cs="宋体"/>
          <w:b w:val="0"/>
          <w:bCs/>
          <w:spacing w:val="-37"/>
          <w:position w:val="16"/>
          <w:sz w:val="16"/>
          <w:szCs w:val="16"/>
        </w:rPr>
        <w:t xml:space="preserve"> </w:t>
      </w:r>
      <w:r>
        <w:rPr>
          <w:rFonts w:hint="eastAsia" w:ascii="宋体" w:hAnsi="宋体" w:eastAsia="宋体" w:cs="宋体"/>
          <w:b w:val="0"/>
          <w:bCs/>
          <w:spacing w:val="-1"/>
        </w:rPr>
        <w:t>，属于</w:t>
      </w:r>
      <w:r>
        <w:rPr>
          <w:rFonts w:hint="eastAsia" w:ascii="宋体" w:hAnsi="宋体" w:eastAsia="宋体" w:cs="宋体"/>
          <w:b w:val="0"/>
          <w:bCs/>
          <w:i/>
          <w:iCs/>
          <w:spacing w:val="-1"/>
          <w:sz w:val="33"/>
          <w:szCs w:val="33"/>
          <w:u w:val="single" w:color="auto"/>
        </w:rPr>
        <w:t>（中型企业、</w:t>
      </w:r>
      <w:r>
        <w:rPr>
          <w:rFonts w:hint="eastAsia" w:ascii="宋体" w:hAnsi="宋体" w:eastAsia="宋体" w:cs="宋体"/>
          <w:b w:val="0"/>
          <w:bCs/>
          <w:sz w:val="33"/>
          <w:szCs w:val="33"/>
        </w:rPr>
        <w:t xml:space="preserve"> </w:t>
      </w:r>
      <w:r>
        <w:rPr>
          <w:rFonts w:hint="eastAsia" w:ascii="宋体" w:hAnsi="宋体" w:eastAsia="宋体" w:cs="宋体"/>
          <w:b w:val="0"/>
          <w:bCs/>
          <w:i/>
          <w:iCs/>
          <w:spacing w:val="-1"/>
          <w:sz w:val="33"/>
          <w:szCs w:val="33"/>
          <w:u w:val="single" w:color="auto"/>
        </w:rPr>
        <w:t>小型企业、微型企业</w:t>
      </w:r>
      <w:r>
        <w:rPr>
          <w:rFonts w:hint="eastAsia" w:ascii="宋体" w:hAnsi="宋体" w:eastAsia="宋体" w:cs="宋体"/>
          <w:b w:val="0"/>
          <w:bCs/>
          <w:i/>
          <w:iCs/>
          <w:spacing w:val="-88"/>
          <w:w w:val="97"/>
          <w:sz w:val="33"/>
          <w:szCs w:val="33"/>
        </w:rPr>
        <w:t>）</w:t>
      </w:r>
      <w:r>
        <w:rPr>
          <w:rFonts w:hint="eastAsia" w:ascii="宋体" w:hAnsi="宋体" w:eastAsia="宋体" w:cs="宋体"/>
          <w:b w:val="0"/>
          <w:bCs/>
          <w:spacing w:val="-88"/>
          <w:w w:val="97"/>
        </w:rPr>
        <w:t>；</w:t>
      </w:r>
    </w:p>
    <w:p w14:paraId="39AEC375">
      <w:pPr>
        <w:pStyle w:val="9"/>
        <w:shd w:val="clear"/>
        <w:spacing w:before="131" w:line="291" w:lineRule="auto"/>
        <w:ind w:left="35" w:firstLine="634"/>
        <w:rPr>
          <w:rFonts w:hint="eastAsia" w:ascii="宋体" w:hAnsi="宋体" w:eastAsia="宋体" w:cs="宋体"/>
          <w:b w:val="0"/>
          <w:bCs/>
        </w:rPr>
      </w:pPr>
      <w:r>
        <w:rPr>
          <w:rFonts w:hint="eastAsia" w:ascii="宋体" w:hAnsi="宋体" w:eastAsia="宋体" w:cs="宋体"/>
          <w:b w:val="0"/>
          <w:bCs/>
          <w:spacing w:val="-6"/>
        </w:rPr>
        <w:t>2.</w:t>
      </w:r>
      <w:r>
        <w:rPr>
          <w:rFonts w:hint="eastAsia" w:ascii="宋体" w:hAnsi="宋体" w:eastAsia="宋体" w:cs="宋体"/>
          <w:b w:val="0"/>
          <w:bCs/>
          <w:spacing w:val="-48"/>
          <w:sz w:val="33"/>
          <w:szCs w:val="33"/>
          <w:u w:val="single" w:color="auto"/>
        </w:rPr>
        <w:t xml:space="preserve"> </w:t>
      </w:r>
      <w:r>
        <w:rPr>
          <w:rFonts w:hint="eastAsia" w:ascii="宋体" w:hAnsi="宋体" w:eastAsia="宋体" w:cs="宋体"/>
          <w:b w:val="0"/>
          <w:bCs/>
          <w:i/>
          <w:iCs/>
          <w:spacing w:val="-6"/>
          <w:sz w:val="33"/>
          <w:szCs w:val="33"/>
          <w:u w:val="single" w:color="auto"/>
        </w:rPr>
        <w:t>（标的名称</w:t>
      </w:r>
      <w:r>
        <w:rPr>
          <w:rFonts w:hint="eastAsia" w:ascii="宋体" w:hAnsi="宋体" w:eastAsia="宋体" w:cs="宋体"/>
          <w:b w:val="0"/>
          <w:bCs/>
          <w:i/>
          <w:iCs/>
          <w:spacing w:val="-87"/>
          <w:w w:val="96"/>
          <w:sz w:val="33"/>
          <w:szCs w:val="33"/>
          <w:u w:val="single" w:color="auto"/>
        </w:rPr>
        <w:t>）</w:t>
      </w:r>
      <w:r>
        <w:rPr>
          <w:rFonts w:hint="eastAsia" w:ascii="宋体" w:hAnsi="宋体" w:eastAsia="宋体" w:cs="宋体"/>
          <w:b w:val="0"/>
          <w:bCs/>
          <w:spacing w:val="-87"/>
          <w:w w:val="96"/>
        </w:rPr>
        <w:t>，</w:t>
      </w:r>
      <w:r>
        <w:rPr>
          <w:rFonts w:hint="eastAsia" w:ascii="宋体" w:hAnsi="宋体" w:eastAsia="宋体" w:cs="宋体"/>
          <w:b w:val="0"/>
          <w:bCs/>
          <w:spacing w:val="-6"/>
        </w:rPr>
        <w:t>属于</w:t>
      </w:r>
      <w:r>
        <w:rPr>
          <w:rFonts w:hint="eastAsia" w:ascii="宋体" w:hAnsi="宋体" w:eastAsia="宋体" w:cs="宋体"/>
          <w:b w:val="0"/>
          <w:bCs/>
          <w:i/>
          <w:iCs/>
          <w:spacing w:val="-6"/>
          <w:sz w:val="33"/>
          <w:szCs w:val="33"/>
          <w:u w:val="single" w:color="auto"/>
        </w:rPr>
        <w:t>（采购文件中明确的所属行业</w:t>
      </w:r>
      <w:r>
        <w:rPr>
          <w:rFonts w:hint="eastAsia" w:ascii="宋体" w:hAnsi="宋体" w:eastAsia="宋体" w:cs="宋体"/>
          <w:b w:val="0"/>
          <w:bCs/>
          <w:i/>
          <w:iCs/>
          <w:spacing w:val="-87"/>
          <w:w w:val="96"/>
          <w:sz w:val="33"/>
          <w:szCs w:val="33"/>
        </w:rPr>
        <w:t>）</w:t>
      </w:r>
      <w:r>
        <w:rPr>
          <w:rFonts w:hint="eastAsia" w:ascii="宋体" w:hAnsi="宋体" w:eastAsia="宋体" w:cs="宋体"/>
          <w:b w:val="0"/>
          <w:bCs/>
          <w:spacing w:val="-87"/>
          <w:w w:val="96"/>
        </w:rPr>
        <w:t>；</w:t>
      </w:r>
      <w:r>
        <w:rPr>
          <w:rFonts w:hint="eastAsia" w:ascii="宋体" w:hAnsi="宋体" w:eastAsia="宋体" w:cs="宋体"/>
          <w:b w:val="0"/>
          <w:bCs/>
        </w:rPr>
        <w:t xml:space="preserve"> </w:t>
      </w:r>
      <w:r>
        <w:rPr>
          <w:rFonts w:hint="eastAsia" w:ascii="宋体" w:hAnsi="宋体" w:eastAsia="宋体" w:cs="宋体"/>
          <w:b w:val="0"/>
          <w:bCs/>
          <w:spacing w:val="10"/>
        </w:rPr>
        <w:t>承建（承接）企业为</w:t>
      </w:r>
      <w:r>
        <w:rPr>
          <w:rFonts w:hint="eastAsia" w:ascii="宋体" w:hAnsi="宋体" w:eastAsia="宋体" w:cs="宋体"/>
          <w:b w:val="0"/>
          <w:bCs/>
          <w:i/>
          <w:iCs/>
          <w:spacing w:val="10"/>
          <w:sz w:val="33"/>
          <w:szCs w:val="33"/>
          <w:u w:val="single" w:color="auto"/>
        </w:rPr>
        <w:t>（企业名称</w:t>
      </w:r>
      <w:r>
        <w:rPr>
          <w:rFonts w:hint="eastAsia" w:ascii="宋体" w:hAnsi="宋体" w:eastAsia="宋体" w:cs="宋体"/>
          <w:b w:val="0"/>
          <w:bCs/>
          <w:i/>
          <w:iCs/>
          <w:spacing w:val="-87"/>
          <w:w w:val="97"/>
          <w:sz w:val="33"/>
          <w:szCs w:val="33"/>
        </w:rPr>
        <w:t>）</w:t>
      </w:r>
      <w:r>
        <w:rPr>
          <w:rFonts w:hint="eastAsia" w:ascii="宋体" w:hAnsi="宋体" w:eastAsia="宋体" w:cs="宋体"/>
          <w:b w:val="0"/>
          <w:bCs/>
          <w:spacing w:val="-87"/>
          <w:w w:val="97"/>
        </w:rPr>
        <w:t>，</w:t>
      </w:r>
      <w:r>
        <w:rPr>
          <w:rFonts w:hint="eastAsia" w:ascii="宋体" w:hAnsi="宋体" w:eastAsia="宋体" w:cs="宋体"/>
          <w:b w:val="0"/>
          <w:bCs/>
          <w:spacing w:val="10"/>
        </w:rPr>
        <w:t>从业人员</w:t>
      </w:r>
      <w:r>
        <w:rPr>
          <w:rFonts w:hint="eastAsia" w:ascii="宋体" w:hAnsi="宋体" w:eastAsia="宋体" w:cs="宋体"/>
          <w:b w:val="0"/>
          <w:bCs/>
          <w:spacing w:val="-147"/>
        </w:rPr>
        <w:t xml:space="preserve"> </w:t>
      </w:r>
      <w:r>
        <w:rPr>
          <w:rFonts w:hint="eastAsia" w:ascii="宋体" w:hAnsi="宋体" w:eastAsia="宋体" w:cs="宋体"/>
          <w:b w:val="0"/>
          <w:bCs/>
          <w:spacing w:val="10"/>
          <w:u w:val="single" w:color="auto"/>
        </w:rPr>
        <w:t xml:space="preserve">    </w:t>
      </w:r>
      <w:r>
        <w:rPr>
          <w:rFonts w:hint="eastAsia" w:ascii="宋体" w:hAnsi="宋体" w:eastAsia="宋体" w:cs="宋体"/>
          <w:b w:val="0"/>
          <w:bCs/>
          <w:spacing w:val="-129"/>
        </w:rPr>
        <w:t xml:space="preserve"> </w:t>
      </w:r>
      <w:r>
        <w:rPr>
          <w:rFonts w:hint="eastAsia" w:ascii="宋体" w:hAnsi="宋体" w:eastAsia="宋体" w:cs="宋体"/>
          <w:b w:val="0"/>
          <w:bCs/>
          <w:spacing w:val="10"/>
        </w:rPr>
        <w:t>人，营业</w:t>
      </w:r>
      <w:r>
        <w:rPr>
          <w:rFonts w:hint="eastAsia" w:ascii="宋体" w:hAnsi="宋体" w:eastAsia="宋体" w:cs="宋体"/>
          <w:b w:val="0"/>
          <w:bCs/>
        </w:rPr>
        <w:t xml:space="preserve"> 收入为</w:t>
      </w:r>
      <w:r>
        <w:rPr>
          <w:rFonts w:hint="eastAsia" w:ascii="宋体" w:hAnsi="宋体" w:eastAsia="宋体" w:cs="宋体"/>
          <w:b w:val="0"/>
          <w:bCs/>
          <w:spacing w:val="-141"/>
        </w:rPr>
        <w:t xml:space="preserve"> </w:t>
      </w:r>
      <w:r>
        <w:rPr>
          <w:rFonts w:hint="eastAsia" w:ascii="宋体" w:hAnsi="宋体" w:eastAsia="宋体" w:cs="宋体"/>
          <w:b w:val="0"/>
          <w:bCs/>
          <w:spacing w:val="5"/>
          <w:u w:val="single" w:color="auto"/>
        </w:rPr>
        <w:t xml:space="preserve">    </w:t>
      </w:r>
      <w:r>
        <w:rPr>
          <w:rFonts w:hint="eastAsia" w:ascii="宋体" w:hAnsi="宋体" w:eastAsia="宋体" w:cs="宋体"/>
          <w:b w:val="0"/>
          <w:bCs/>
          <w:spacing w:val="-130"/>
        </w:rPr>
        <w:t xml:space="preserve"> </w:t>
      </w:r>
      <w:r>
        <w:rPr>
          <w:rFonts w:hint="eastAsia" w:ascii="宋体" w:hAnsi="宋体" w:eastAsia="宋体" w:cs="宋体"/>
          <w:b w:val="0"/>
          <w:bCs/>
        </w:rPr>
        <w:t>万元，资产总额为</w:t>
      </w:r>
      <w:r>
        <w:rPr>
          <w:rFonts w:hint="eastAsia" w:ascii="宋体" w:hAnsi="宋体" w:eastAsia="宋体" w:cs="宋体"/>
          <w:b w:val="0"/>
          <w:bCs/>
          <w:spacing w:val="-155"/>
        </w:rPr>
        <w:t xml:space="preserve"> </w:t>
      </w:r>
      <w:r>
        <w:rPr>
          <w:rFonts w:hint="eastAsia" w:ascii="宋体" w:hAnsi="宋体" w:eastAsia="宋体" w:cs="宋体"/>
          <w:b w:val="0"/>
          <w:bCs/>
          <w:spacing w:val="5"/>
          <w:u w:val="single" w:color="auto"/>
        </w:rPr>
        <w:t xml:space="preserve">    </w:t>
      </w:r>
      <w:r>
        <w:rPr>
          <w:rFonts w:hint="eastAsia" w:ascii="宋体" w:hAnsi="宋体" w:eastAsia="宋体" w:cs="宋体"/>
          <w:b w:val="0"/>
          <w:bCs/>
          <w:spacing w:val="-131"/>
        </w:rPr>
        <w:t xml:space="preserve"> </w:t>
      </w:r>
      <w:r>
        <w:rPr>
          <w:rFonts w:hint="eastAsia" w:ascii="宋体" w:hAnsi="宋体" w:eastAsia="宋体" w:cs="宋体"/>
          <w:b w:val="0"/>
          <w:bCs/>
        </w:rPr>
        <w:t>万元，属于</w:t>
      </w:r>
      <w:r>
        <w:rPr>
          <w:rFonts w:hint="eastAsia" w:ascii="宋体" w:hAnsi="宋体" w:eastAsia="宋体" w:cs="宋体"/>
          <w:b w:val="0"/>
          <w:bCs/>
          <w:i/>
          <w:iCs/>
          <w:sz w:val="33"/>
          <w:szCs w:val="33"/>
          <w:u w:val="single" w:color="auto"/>
        </w:rPr>
        <w:t>（中型企业、</w:t>
      </w:r>
      <w:r>
        <w:rPr>
          <w:rFonts w:hint="eastAsia" w:ascii="宋体" w:hAnsi="宋体" w:eastAsia="宋体" w:cs="宋体"/>
          <w:b w:val="0"/>
          <w:bCs/>
          <w:i/>
          <w:iCs/>
          <w:spacing w:val="-1"/>
          <w:sz w:val="33"/>
          <w:szCs w:val="33"/>
          <w:u w:val="single" w:color="auto"/>
        </w:rPr>
        <w:t>小型企业、微型企业</w:t>
      </w:r>
      <w:r>
        <w:rPr>
          <w:rFonts w:hint="eastAsia" w:ascii="宋体" w:hAnsi="宋体" w:eastAsia="宋体" w:cs="宋体"/>
          <w:b w:val="0"/>
          <w:bCs/>
          <w:i/>
          <w:iCs/>
          <w:spacing w:val="-88"/>
          <w:w w:val="97"/>
          <w:sz w:val="33"/>
          <w:szCs w:val="33"/>
        </w:rPr>
        <w:t>）</w:t>
      </w:r>
      <w:r>
        <w:rPr>
          <w:rFonts w:hint="eastAsia" w:ascii="宋体" w:hAnsi="宋体" w:eastAsia="宋体" w:cs="宋体"/>
          <w:b w:val="0"/>
          <w:bCs/>
          <w:spacing w:val="-88"/>
          <w:w w:val="97"/>
        </w:rPr>
        <w:t>；</w:t>
      </w:r>
    </w:p>
    <w:p w14:paraId="7349300D">
      <w:pPr>
        <w:pStyle w:val="9"/>
        <w:shd w:val="clear"/>
        <w:spacing w:before="133" w:line="503" w:lineRule="exact"/>
        <w:ind w:left="688"/>
        <w:rPr>
          <w:rFonts w:hint="eastAsia" w:ascii="宋体" w:hAnsi="宋体" w:eastAsia="宋体" w:cs="宋体"/>
          <w:b w:val="0"/>
          <w:bCs/>
        </w:rPr>
      </w:pPr>
      <w:r>
        <w:rPr>
          <w:rFonts w:hint="eastAsia" w:ascii="宋体" w:hAnsi="宋体" w:eastAsia="宋体" w:cs="宋体"/>
          <w:b w:val="0"/>
          <w:bCs/>
          <w:spacing w:val="-8"/>
          <w:position w:val="4"/>
        </w:rPr>
        <w:t>……</w:t>
      </w:r>
    </w:p>
    <w:p w14:paraId="1AB84D19">
      <w:pPr>
        <w:pStyle w:val="9"/>
        <w:shd w:val="clear"/>
        <w:spacing w:before="16" w:line="310" w:lineRule="auto"/>
        <w:ind w:left="46" w:right="86" w:firstLine="666"/>
        <w:rPr>
          <w:rFonts w:hint="eastAsia" w:ascii="宋体" w:hAnsi="宋体" w:eastAsia="宋体" w:cs="宋体"/>
          <w:b w:val="0"/>
          <w:bCs/>
        </w:rPr>
      </w:pPr>
      <w:r>
        <w:rPr>
          <w:rFonts w:hint="eastAsia" w:ascii="宋体" w:hAnsi="宋体" w:eastAsia="宋体" w:cs="宋体"/>
          <w:b w:val="0"/>
          <w:bCs/>
          <w:spacing w:val="7"/>
        </w:rPr>
        <w:t>以上企业，不属于大企业的分支机构，不存</w:t>
      </w:r>
      <w:r>
        <w:rPr>
          <w:rFonts w:hint="eastAsia" w:ascii="宋体" w:hAnsi="宋体" w:eastAsia="宋体" w:cs="宋体"/>
          <w:b w:val="0"/>
          <w:bCs/>
          <w:spacing w:val="6"/>
        </w:rPr>
        <w:t>在控股股东</w:t>
      </w:r>
      <w:r>
        <w:rPr>
          <w:rFonts w:hint="eastAsia" w:ascii="宋体" w:hAnsi="宋体" w:eastAsia="宋体" w:cs="宋体"/>
          <w:b w:val="0"/>
          <w:bCs/>
        </w:rPr>
        <w:t xml:space="preserve"> </w:t>
      </w:r>
      <w:r>
        <w:rPr>
          <w:rFonts w:hint="eastAsia" w:ascii="宋体" w:hAnsi="宋体" w:eastAsia="宋体" w:cs="宋体"/>
          <w:b w:val="0"/>
          <w:bCs/>
          <w:spacing w:val="8"/>
        </w:rPr>
        <w:t>为大企业的情形，也不存在与大企业的负责人为同一人的情</w:t>
      </w:r>
    </w:p>
    <w:p w14:paraId="24BAF639">
      <w:pPr>
        <w:pStyle w:val="9"/>
        <w:shd w:val="clear"/>
        <w:spacing w:line="228" w:lineRule="auto"/>
        <w:ind w:left="35"/>
        <w:rPr>
          <w:rFonts w:hint="eastAsia" w:ascii="宋体" w:hAnsi="宋体" w:eastAsia="宋体" w:cs="宋体"/>
          <w:b w:val="0"/>
          <w:bCs/>
        </w:rPr>
      </w:pPr>
      <w:r>
        <w:rPr>
          <w:rFonts w:hint="eastAsia" w:ascii="宋体" w:hAnsi="宋体" w:eastAsia="宋体" w:cs="宋体"/>
          <w:b w:val="0"/>
          <w:bCs/>
          <w:spacing w:val="-7"/>
        </w:rPr>
        <w:t>形。</w:t>
      </w:r>
    </w:p>
    <w:p w14:paraId="52119E53">
      <w:pPr>
        <w:pStyle w:val="9"/>
        <w:shd w:val="clear"/>
        <w:spacing w:before="135" w:line="521" w:lineRule="exact"/>
        <w:ind w:left="677"/>
        <w:rPr>
          <w:rFonts w:hint="eastAsia" w:ascii="宋体" w:hAnsi="宋体" w:eastAsia="宋体" w:cs="宋体"/>
          <w:b w:val="0"/>
          <w:bCs/>
        </w:rPr>
      </w:pPr>
      <w:r>
        <w:rPr>
          <w:rFonts w:hint="eastAsia" w:ascii="宋体" w:hAnsi="宋体" w:eastAsia="宋体" w:cs="宋体"/>
          <w:b w:val="0"/>
          <w:bCs/>
          <w:spacing w:val="8"/>
          <w:position w:val="14"/>
        </w:rPr>
        <w:t>本企业对上述声明内容的真实性负责。如有虚假，将依</w:t>
      </w:r>
      <w:r>
        <w:rPr>
          <w:rFonts w:hint="eastAsia" w:ascii="宋体" w:hAnsi="宋体" w:eastAsia="宋体" w:cs="宋体"/>
          <w:b w:val="0"/>
          <w:bCs/>
          <w:spacing w:val="4"/>
        </w:rPr>
        <w:t>法承担相应责任。</w:t>
      </w:r>
    </w:p>
    <w:p w14:paraId="55E1E3CE">
      <w:pPr>
        <w:pStyle w:val="9"/>
        <w:shd w:val="clear"/>
        <w:spacing w:before="171" w:line="540" w:lineRule="exact"/>
        <w:ind w:left="3876"/>
        <w:rPr>
          <w:rFonts w:hint="eastAsia" w:ascii="宋体" w:hAnsi="宋体" w:eastAsia="宋体" w:cs="宋体"/>
          <w:b w:val="0"/>
          <w:bCs/>
        </w:rPr>
      </w:pPr>
      <w:r>
        <w:rPr>
          <w:rFonts w:hint="eastAsia" w:ascii="宋体" w:hAnsi="宋体" w:eastAsia="宋体" w:cs="宋体"/>
          <w:b w:val="0"/>
          <w:bCs/>
          <w:spacing w:val="6"/>
          <w:position w:val="16"/>
        </w:rPr>
        <w:t>企业名称（盖章</w:t>
      </w:r>
      <w:r>
        <w:rPr>
          <w:rFonts w:hint="eastAsia" w:ascii="宋体" w:hAnsi="宋体" w:eastAsia="宋体" w:cs="宋体"/>
          <w:b w:val="0"/>
          <w:bCs/>
          <w:spacing w:val="-84"/>
          <w:position w:val="16"/>
        </w:rPr>
        <w:t>）：</w:t>
      </w:r>
    </w:p>
    <w:p w14:paraId="4B3112A0">
      <w:pPr>
        <w:pStyle w:val="9"/>
        <w:shd w:val="clear"/>
        <w:spacing w:before="1" w:line="228" w:lineRule="auto"/>
        <w:ind w:left="3942"/>
        <w:rPr>
          <w:rFonts w:hint="eastAsia" w:ascii="宋体" w:hAnsi="宋体" w:eastAsia="宋体" w:cs="宋体"/>
          <w:b w:val="0"/>
          <w:bCs/>
        </w:rPr>
      </w:pPr>
      <w:bookmarkStart w:id="252" w:name="bookmark2"/>
      <w:bookmarkEnd w:id="252"/>
      <w:r>
        <w:rPr>
          <w:rFonts w:hint="eastAsia" w:ascii="宋体" w:hAnsi="宋体" w:eastAsia="宋体" w:cs="宋体"/>
          <w:b w:val="0"/>
          <w:bCs/>
        </w:rPr>
        <w:t>日期：</w:t>
      </w:r>
    </w:p>
    <w:p w14:paraId="333FA579">
      <w:pPr>
        <w:pStyle w:val="9"/>
        <w:shd w:val="clear"/>
        <w:spacing w:before="1" w:line="228" w:lineRule="auto"/>
        <w:ind w:left="3942"/>
        <w:rPr>
          <w:rFonts w:hint="eastAsia" w:ascii="宋体" w:hAnsi="宋体" w:eastAsia="宋体" w:cs="宋体"/>
          <w:b w:val="0"/>
          <w:bCs/>
        </w:rPr>
      </w:pPr>
    </w:p>
    <w:p w14:paraId="6A5FEF91">
      <w:pPr>
        <w:shd w:val="clear"/>
        <w:rPr>
          <w:rFonts w:hint="eastAsia" w:ascii="宋体" w:hAnsi="宋体" w:eastAsia="宋体" w:cs="宋体"/>
        </w:rPr>
      </w:pPr>
      <w:r>
        <w:rPr>
          <w:rFonts w:hint="eastAsia" w:ascii="宋体" w:hAnsi="宋体" w:eastAsia="宋体" w:cs="宋体"/>
          <w:spacing w:val="9"/>
          <w:sz w:val="24"/>
          <w:szCs w:val="24"/>
          <w:lang w:val="en-US" w:eastAsia="zh-CN"/>
        </w:rPr>
        <w:t>1.</w:t>
      </w:r>
      <w:r>
        <w:rPr>
          <w:rFonts w:hint="eastAsia" w:ascii="宋体" w:hAnsi="宋体" w:eastAsia="宋体" w:cs="宋体"/>
          <w:spacing w:val="9"/>
          <w:sz w:val="24"/>
          <w:szCs w:val="24"/>
        </w:rPr>
        <w:t>从业人员、营业收入、资产总额填报上一年度数据，无上一年度数据的新成立企业可不填</w:t>
      </w:r>
      <w:r>
        <w:rPr>
          <w:rFonts w:hint="eastAsia" w:ascii="宋体" w:hAnsi="宋体" w:eastAsia="宋体" w:cs="宋体"/>
          <w:spacing w:val="8"/>
          <w:sz w:val="24"/>
          <w:szCs w:val="24"/>
        </w:rPr>
        <w:t>报</w:t>
      </w:r>
    </w:p>
    <w:p w14:paraId="57B30EC3">
      <w:pPr>
        <w:shd w:val="clear"/>
        <w:tabs>
          <w:tab w:val="left" w:pos="1755"/>
        </w:tabs>
        <w:spacing w:line="500" w:lineRule="atLeast"/>
        <w:jc w:val="center"/>
        <w:rPr>
          <w:rFonts w:hint="eastAsia" w:ascii="宋体" w:hAnsi="宋体" w:eastAsia="宋体" w:cs="宋体"/>
          <w:b/>
          <w:bCs/>
          <w:sz w:val="32"/>
          <w:szCs w:val="32"/>
          <w:highlight w:val="none"/>
        </w:rPr>
      </w:pPr>
    </w:p>
    <w:p w14:paraId="07E8225F">
      <w:pPr>
        <w:pStyle w:val="23"/>
        <w:numPr>
          <w:ilvl w:val="0"/>
          <w:numId w:val="0"/>
        </w:numPr>
        <w:shd w:val="clear"/>
        <w:ind w:left="0" w:leftChars="0" w:hanging="13" w:firstLineChars="0"/>
        <w:jc w:val="center"/>
        <w:rPr>
          <w:rFonts w:hint="eastAsia" w:ascii="宋体" w:hAnsi="宋体" w:eastAsia="宋体" w:cs="宋体"/>
          <w:b/>
          <w:sz w:val="32"/>
          <w:szCs w:val="32"/>
        </w:rPr>
      </w:pPr>
      <w:bookmarkStart w:id="253" w:name="_Toc21377"/>
      <w:bookmarkStart w:id="254" w:name="_Toc17126"/>
      <w:r>
        <w:rPr>
          <w:rFonts w:hint="eastAsia" w:ascii="宋体" w:hAnsi="宋体" w:eastAsia="宋体" w:cs="宋体"/>
          <w:b/>
          <w:sz w:val="32"/>
          <w:szCs w:val="32"/>
          <w:lang w:eastAsia="zh-CN"/>
        </w:rPr>
        <w:t>附件</w:t>
      </w:r>
      <w:r>
        <w:rPr>
          <w:rFonts w:hint="eastAsia" w:ascii="宋体" w:hAnsi="宋体" w:eastAsia="宋体" w:cs="宋体"/>
          <w:b/>
          <w:sz w:val="32"/>
          <w:szCs w:val="32"/>
          <w:lang w:val="en-US" w:eastAsia="zh-CN"/>
        </w:rPr>
        <w:t>2</w:t>
      </w:r>
      <w:r>
        <w:rPr>
          <w:rFonts w:hint="eastAsia" w:ascii="宋体" w:hAnsi="宋体" w:eastAsia="宋体" w:cs="宋体"/>
          <w:b/>
          <w:sz w:val="32"/>
          <w:szCs w:val="32"/>
          <w:lang w:val="zh-CN"/>
        </w:rPr>
        <w:t>残疾人福利性单位声明函（非</w:t>
      </w:r>
      <w:r>
        <w:rPr>
          <w:rFonts w:hint="eastAsia" w:ascii="宋体" w:hAnsi="宋体" w:eastAsia="宋体" w:cs="宋体"/>
          <w:b/>
          <w:sz w:val="32"/>
          <w:szCs w:val="32"/>
        </w:rPr>
        <w:t>残疾人福利企业</w:t>
      </w:r>
      <w:r>
        <w:rPr>
          <w:rFonts w:hint="eastAsia" w:ascii="宋体" w:hAnsi="宋体" w:eastAsia="宋体" w:cs="宋体"/>
          <w:b/>
          <w:sz w:val="32"/>
          <w:szCs w:val="32"/>
          <w:lang w:val="zh-CN"/>
        </w:rPr>
        <w:t>不</w:t>
      </w:r>
      <w:r>
        <w:rPr>
          <w:rFonts w:hint="eastAsia" w:ascii="宋体" w:hAnsi="宋体" w:eastAsia="宋体" w:cs="宋体"/>
          <w:b/>
          <w:sz w:val="32"/>
          <w:szCs w:val="32"/>
        </w:rPr>
        <w:t>填写</w:t>
      </w:r>
      <w:r>
        <w:rPr>
          <w:rFonts w:hint="eastAsia" w:ascii="宋体" w:hAnsi="宋体" w:eastAsia="宋体" w:cs="宋体"/>
          <w:b/>
          <w:sz w:val="32"/>
          <w:szCs w:val="32"/>
          <w:lang w:val="zh-CN"/>
        </w:rPr>
        <w:t>）</w:t>
      </w:r>
      <w:bookmarkEnd w:id="253"/>
      <w:bookmarkEnd w:id="254"/>
    </w:p>
    <w:p w14:paraId="573A5B34">
      <w:pPr>
        <w:shd w:val="clear"/>
        <w:spacing w:line="360" w:lineRule="auto"/>
        <w:rPr>
          <w:rFonts w:hint="eastAsia" w:ascii="宋体" w:hAnsi="宋体" w:eastAsia="宋体" w:cs="宋体"/>
          <w:b/>
          <w:color w:val="auto"/>
          <w:spacing w:val="6"/>
          <w:sz w:val="32"/>
          <w:szCs w:val="32"/>
          <w:shd w:val="pct10" w:color="auto" w:fill="FFFFFF"/>
        </w:rPr>
      </w:pPr>
    </w:p>
    <w:p w14:paraId="79CC903C">
      <w:pPr>
        <w:shd w:val="clea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项目采购活动提供本单位制造的货物（由本单位承担工程/提供服务），或者提供其他残疾人福利性单位制造的货物（不包括使用非残疾人福利性单位注册商标的货物）。</w:t>
      </w:r>
    </w:p>
    <w:p w14:paraId="2B065A87">
      <w:pPr>
        <w:shd w:val="clea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524AD70D">
      <w:pPr>
        <w:shd w:val="clear"/>
        <w:spacing w:line="360" w:lineRule="auto"/>
        <w:ind w:firstLine="480" w:firstLineChars="200"/>
        <w:rPr>
          <w:rFonts w:hint="eastAsia" w:ascii="宋体" w:hAnsi="宋体" w:eastAsia="宋体" w:cs="宋体"/>
          <w:color w:val="auto"/>
          <w:sz w:val="24"/>
        </w:rPr>
      </w:pPr>
    </w:p>
    <w:p w14:paraId="28155924">
      <w:pPr>
        <w:shd w:val="clear"/>
        <w:spacing w:line="360" w:lineRule="auto"/>
        <w:ind w:firstLine="480" w:firstLineChars="200"/>
        <w:rPr>
          <w:rFonts w:hint="eastAsia" w:ascii="宋体" w:hAnsi="宋体" w:eastAsia="宋体" w:cs="宋体"/>
          <w:color w:val="auto"/>
          <w:sz w:val="24"/>
        </w:rPr>
      </w:pPr>
    </w:p>
    <w:p w14:paraId="31BDBB55">
      <w:pPr>
        <w:shd w:val="clear"/>
        <w:tabs>
          <w:tab w:val="left" w:pos="4860"/>
          <w:tab w:val="left" w:pos="8040"/>
          <w:tab w:val="left" w:pos="8160"/>
        </w:tabs>
        <w:spacing w:line="360" w:lineRule="auto"/>
        <w:ind w:right="862" w:firstLine="480" w:firstLineChars="200"/>
        <w:jc w:val="center"/>
        <w:rPr>
          <w:rFonts w:hint="eastAsia" w:ascii="宋体" w:hAnsi="宋体" w:eastAsia="宋体" w:cs="宋体"/>
          <w:color w:val="auto"/>
          <w:sz w:val="24"/>
          <w:u w:val="single"/>
        </w:rPr>
      </w:pPr>
      <w:r>
        <w:rPr>
          <w:rFonts w:hint="eastAsia" w:ascii="宋体" w:hAnsi="宋体" w:eastAsia="宋体" w:cs="宋体"/>
          <w:color w:val="auto"/>
          <w:sz w:val="24"/>
        </w:rPr>
        <w:t xml:space="preserve">      单位名称（盖章）：</w:t>
      </w:r>
      <w:r>
        <w:rPr>
          <w:rFonts w:hint="eastAsia" w:ascii="宋体" w:hAnsi="宋体" w:eastAsia="宋体" w:cs="宋体"/>
          <w:color w:val="auto"/>
          <w:sz w:val="24"/>
          <w:u w:val="single"/>
        </w:rPr>
        <w:t xml:space="preserve">                   </w:t>
      </w:r>
    </w:p>
    <w:p w14:paraId="7B466337">
      <w:pPr>
        <w:shd w:val="clea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w:t>
      </w:r>
    </w:p>
    <w:p w14:paraId="6184DC26">
      <w:pPr>
        <w:shd w:val="clea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14FC337E">
      <w:pPr>
        <w:shd w:val="clear"/>
        <w:spacing w:line="360" w:lineRule="auto"/>
        <w:ind w:firstLine="506" w:firstLineChars="200"/>
        <w:rPr>
          <w:rFonts w:hint="eastAsia" w:ascii="宋体" w:hAnsi="宋体" w:eastAsia="宋体" w:cs="宋体"/>
          <w:b/>
          <w:color w:val="auto"/>
          <w:spacing w:val="6"/>
          <w:sz w:val="24"/>
          <w:shd w:val="pct10" w:color="auto" w:fill="FFFFFF"/>
        </w:rPr>
      </w:pPr>
    </w:p>
    <w:p w14:paraId="71FDCB7D">
      <w:pPr>
        <w:shd w:val="clear"/>
        <w:spacing w:line="360" w:lineRule="auto"/>
        <w:ind w:firstLine="506" w:firstLineChars="200"/>
        <w:rPr>
          <w:rFonts w:hint="eastAsia" w:ascii="宋体" w:hAnsi="宋体" w:eastAsia="宋体" w:cs="宋体"/>
          <w:b/>
          <w:color w:val="auto"/>
          <w:spacing w:val="6"/>
          <w:sz w:val="24"/>
          <w:shd w:val="pct10" w:color="auto" w:fill="FFFFFF"/>
        </w:rPr>
      </w:pPr>
    </w:p>
    <w:p w14:paraId="5046FDF7">
      <w:pPr>
        <w:shd w:val="clear"/>
        <w:kinsoku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备注：供应商提供的《残疾人福利性单位声明函》必须真实有效，如果被举报经查实出具虚假声明函的，将被取消投标资格，并按有关规定予以处理。</w:t>
      </w:r>
    </w:p>
    <w:p w14:paraId="2405E987">
      <w:pPr>
        <w:shd w:val="clear"/>
        <w:spacing w:before="120" w:beforeLines="50" w:after="240" w:afterLines="100"/>
        <w:jc w:val="center"/>
        <w:rPr>
          <w:rFonts w:hint="eastAsia" w:ascii="宋体" w:hAnsi="宋体" w:eastAsia="宋体" w:cs="宋体"/>
          <w:b/>
          <w:color w:val="auto"/>
          <w:spacing w:val="4"/>
          <w:sz w:val="30"/>
          <w:szCs w:val="30"/>
        </w:rPr>
      </w:pPr>
    </w:p>
    <w:p w14:paraId="7CDC40BE">
      <w:pPr>
        <w:shd w:val="clear"/>
        <w:spacing w:before="120" w:beforeLines="50" w:after="240" w:afterLines="100"/>
        <w:jc w:val="center"/>
        <w:rPr>
          <w:rFonts w:hint="eastAsia" w:ascii="宋体" w:hAnsi="宋体" w:eastAsia="宋体" w:cs="宋体"/>
          <w:b/>
          <w:color w:val="auto"/>
          <w:spacing w:val="4"/>
          <w:sz w:val="30"/>
          <w:szCs w:val="30"/>
        </w:rPr>
      </w:pPr>
    </w:p>
    <w:p w14:paraId="1D0A088D">
      <w:pPr>
        <w:pStyle w:val="9"/>
        <w:shd w:val="clear"/>
        <w:rPr>
          <w:rFonts w:hint="eastAsia" w:ascii="宋体" w:hAnsi="宋体" w:eastAsia="宋体" w:cs="宋体"/>
          <w:b/>
          <w:color w:val="auto"/>
          <w:spacing w:val="4"/>
          <w:sz w:val="30"/>
          <w:szCs w:val="30"/>
        </w:rPr>
      </w:pPr>
    </w:p>
    <w:p w14:paraId="54117C71">
      <w:pPr>
        <w:pStyle w:val="21"/>
        <w:shd w:val="clear"/>
        <w:rPr>
          <w:rFonts w:hint="eastAsia" w:ascii="宋体" w:hAnsi="宋体" w:eastAsia="宋体" w:cs="宋体"/>
        </w:rPr>
      </w:pPr>
    </w:p>
    <w:p w14:paraId="2E3DC038">
      <w:pPr>
        <w:shd w:val="clear"/>
        <w:rPr>
          <w:rFonts w:hint="eastAsia" w:ascii="宋体" w:hAnsi="宋体" w:eastAsia="宋体" w:cs="宋体"/>
          <w:b/>
          <w:color w:val="auto"/>
          <w:spacing w:val="4"/>
          <w:sz w:val="30"/>
          <w:szCs w:val="30"/>
        </w:rPr>
      </w:pPr>
    </w:p>
    <w:p w14:paraId="4232A987">
      <w:pPr>
        <w:pStyle w:val="9"/>
        <w:shd w:val="clear"/>
        <w:rPr>
          <w:rFonts w:hint="eastAsia" w:ascii="宋体" w:hAnsi="宋体" w:eastAsia="宋体" w:cs="宋体"/>
          <w:b/>
          <w:color w:val="auto"/>
          <w:spacing w:val="4"/>
          <w:sz w:val="30"/>
          <w:szCs w:val="30"/>
        </w:rPr>
      </w:pPr>
    </w:p>
    <w:bookmarkEnd w:id="249"/>
    <w:p w14:paraId="508C566F">
      <w:pPr>
        <w:pStyle w:val="23"/>
        <w:keepNext w:val="0"/>
        <w:keepLines w:val="0"/>
        <w:pageBreakBefore w:val="0"/>
        <w:widowControl w:val="0"/>
        <w:numPr>
          <w:ilvl w:val="0"/>
          <w:numId w:val="0"/>
        </w:numPr>
        <w:shd w:val="clear"/>
        <w:kinsoku/>
        <w:wordWrap/>
        <w:overflowPunct/>
        <w:topLinePunct w:val="0"/>
        <w:autoSpaceDE/>
        <w:autoSpaceDN/>
        <w:bidi w:val="0"/>
        <w:adjustRightInd w:val="0"/>
        <w:snapToGrid/>
        <w:spacing w:after="0" w:line="240" w:lineRule="auto"/>
        <w:ind w:left="0" w:leftChars="0" w:hanging="11" w:firstLineChars="0"/>
        <w:jc w:val="center"/>
        <w:textAlignment w:val="baseline"/>
        <w:rPr>
          <w:rFonts w:hint="eastAsia" w:ascii="宋体" w:hAnsi="宋体" w:eastAsia="宋体" w:cs="宋体"/>
          <w:sz w:val="40"/>
          <w:szCs w:val="40"/>
        </w:rPr>
      </w:pPr>
      <w:r>
        <w:rPr>
          <w:rFonts w:hint="eastAsia" w:ascii="宋体" w:hAnsi="宋体" w:eastAsia="宋体" w:cs="宋体"/>
          <w:b/>
          <w:sz w:val="32"/>
          <w:szCs w:val="32"/>
        </w:rPr>
        <w:t>附件</w:t>
      </w:r>
      <w:r>
        <w:rPr>
          <w:rFonts w:hint="eastAsia" w:ascii="宋体" w:hAnsi="宋体" w:eastAsia="宋体" w:cs="宋体"/>
          <w:b/>
          <w:sz w:val="32"/>
          <w:szCs w:val="32"/>
          <w:lang w:val="en-US" w:eastAsia="zh-CN"/>
        </w:rPr>
        <w:t xml:space="preserve">3  </w:t>
      </w:r>
      <w:r>
        <w:rPr>
          <w:rFonts w:hint="eastAsia" w:ascii="宋体" w:hAnsi="宋体" w:eastAsia="宋体" w:cs="宋体"/>
          <w:b/>
          <w:sz w:val="32"/>
          <w:szCs w:val="32"/>
        </w:rPr>
        <w:t>投标人信用承诺书</w:t>
      </w:r>
    </w:p>
    <w:p w14:paraId="743031A1">
      <w:pPr>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kern w:val="0"/>
          <w:sz w:val="24"/>
          <w:u w:val="single"/>
        </w:rPr>
      </w:pPr>
      <w:r>
        <w:rPr>
          <w:rFonts w:hint="eastAsia" w:ascii="宋体" w:hAnsi="宋体" w:eastAsia="宋体" w:cs="宋体"/>
          <w:kern w:val="0"/>
          <w:sz w:val="24"/>
        </w:rPr>
        <w:t>投标人：</w:t>
      </w:r>
      <w:r>
        <w:rPr>
          <w:rFonts w:hint="eastAsia" w:ascii="宋体" w:hAnsi="宋体" w:eastAsia="宋体" w:cs="宋体"/>
          <w:kern w:val="0"/>
          <w:sz w:val="24"/>
          <w:u w:val="single"/>
        </w:rPr>
        <w:t xml:space="preserve">                                                                   </w:t>
      </w:r>
    </w:p>
    <w:p w14:paraId="544DC152">
      <w:pPr>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kern w:val="0"/>
          <w:sz w:val="24"/>
          <w:u w:val="single"/>
        </w:rPr>
      </w:pPr>
      <w:r>
        <w:rPr>
          <w:rFonts w:hint="eastAsia" w:ascii="宋体" w:hAnsi="宋体" w:eastAsia="宋体" w:cs="宋体"/>
          <w:kern w:val="0"/>
          <w:sz w:val="24"/>
        </w:rPr>
        <w:t>统一社会信用代码：</w:t>
      </w:r>
      <w:r>
        <w:rPr>
          <w:rFonts w:hint="eastAsia" w:ascii="宋体" w:hAnsi="宋体" w:eastAsia="宋体" w:cs="宋体"/>
          <w:kern w:val="0"/>
          <w:sz w:val="24"/>
          <w:u w:val="single"/>
        </w:rPr>
        <w:t xml:space="preserve">                             </w:t>
      </w:r>
      <w:r>
        <w:rPr>
          <w:rFonts w:hint="eastAsia" w:ascii="宋体" w:hAnsi="宋体" w:eastAsia="宋体" w:cs="宋体"/>
          <w:kern w:val="0"/>
          <w:sz w:val="24"/>
        </w:rPr>
        <w:t>法人代表：</w:t>
      </w:r>
      <w:r>
        <w:rPr>
          <w:rFonts w:hint="eastAsia" w:ascii="宋体" w:hAnsi="宋体" w:eastAsia="宋体" w:cs="宋体"/>
          <w:kern w:val="0"/>
          <w:sz w:val="24"/>
          <w:u w:val="single"/>
        </w:rPr>
        <w:t xml:space="preserve">                  </w:t>
      </w:r>
    </w:p>
    <w:p w14:paraId="7A8DBC7F">
      <w:pPr>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kern w:val="0"/>
          <w:sz w:val="24"/>
          <w:u w:val="single"/>
        </w:rPr>
      </w:pPr>
      <w:r>
        <w:rPr>
          <w:rFonts w:hint="eastAsia" w:ascii="宋体" w:hAnsi="宋体" w:eastAsia="宋体" w:cs="宋体"/>
          <w:kern w:val="0"/>
          <w:sz w:val="24"/>
        </w:rPr>
        <w:t>承诺有效期限：</w:t>
      </w:r>
      <w:r>
        <w:rPr>
          <w:rFonts w:hint="eastAsia" w:ascii="宋体" w:hAnsi="宋体" w:eastAsia="宋体" w:cs="宋体"/>
          <w:kern w:val="0"/>
          <w:sz w:val="24"/>
          <w:u w:val="single"/>
        </w:rPr>
        <w:t xml:space="preserve">         </w:t>
      </w:r>
      <w:r>
        <w:rPr>
          <w:rFonts w:hint="eastAsia" w:ascii="宋体" w:hAnsi="宋体" w:eastAsia="宋体" w:cs="宋体"/>
          <w:kern w:val="0"/>
          <w:sz w:val="24"/>
        </w:rPr>
        <w:t>年</w:t>
      </w:r>
      <w:r>
        <w:rPr>
          <w:rFonts w:hint="eastAsia" w:ascii="宋体" w:hAnsi="宋体" w:eastAsia="宋体" w:cs="宋体"/>
          <w:kern w:val="0"/>
          <w:sz w:val="24"/>
          <w:u w:val="single"/>
        </w:rPr>
        <w:t xml:space="preserve">      </w:t>
      </w:r>
      <w:r>
        <w:rPr>
          <w:rFonts w:hint="eastAsia" w:ascii="宋体" w:hAnsi="宋体" w:eastAsia="宋体" w:cs="宋体"/>
          <w:kern w:val="0"/>
          <w:sz w:val="24"/>
        </w:rPr>
        <w:t>月</w:t>
      </w:r>
      <w:r>
        <w:rPr>
          <w:rFonts w:hint="eastAsia" w:ascii="宋体" w:hAnsi="宋体" w:eastAsia="宋体" w:cs="宋体"/>
          <w:kern w:val="0"/>
          <w:sz w:val="24"/>
          <w:u w:val="single"/>
        </w:rPr>
        <w:t xml:space="preserve">      </w:t>
      </w:r>
      <w:r>
        <w:rPr>
          <w:rFonts w:hint="eastAsia" w:ascii="宋体" w:hAnsi="宋体" w:eastAsia="宋体" w:cs="宋体"/>
          <w:kern w:val="0"/>
          <w:sz w:val="24"/>
        </w:rPr>
        <w:t>日—</w:t>
      </w:r>
      <w:r>
        <w:rPr>
          <w:rFonts w:hint="eastAsia" w:ascii="宋体" w:hAnsi="宋体" w:eastAsia="宋体" w:cs="宋体"/>
          <w:kern w:val="0"/>
          <w:sz w:val="24"/>
          <w:u w:val="single"/>
        </w:rPr>
        <w:t xml:space="preserve">         </w:t>
      </w:r>
      <w:r>
        <w:rPr>
          <w:rFonts w:hint="eastAsia" w:ascii="宋体" w:hAnsi="宋体" w:eastAsia="宋体" w:cs="宋体"/>
          <w:kern w:val="0"/>
          <w:sz w:val="24"/>
        </w:rPr>
        <w:t>年</w:t>
      </w:r>
      <w:r>
        <w:rPr>
          <w:rFonts w:hint="eastAsia" w:ascii="宋体" w:hAnsi="宋体" w:eastAsia="宋体" w:cs="宋体"/>
          <w:kern w:val="0"/>
          <w:sz w:val="24"/>
          <w:u w:val="single"/>
        </w:rPr>
        <w:t xml:space="preserve">      </w:t>
      </w:r>
      <w:r>
        <w:rPr>
          <w:rFonts w:hint="eastAsia" w:ascii="宋体" w:hAnsi="宋体" w:eastAsia="宋体" w:cs="宋体"/>
          <w:kern w:val="0"/>
          <w:sz w:val="24"/>
        </w:rPr>
        <w:t>月</w:t>
      </w:r>
      <w:r>
        <w:rPr>
          <w:rFonts w:hint="eastAsia" w:ascii="宋体" w:hAnsi="宋体" w:eastAsia="宋体" w:cs="宋体"/>
          <w:kern w:val="0"/>
          <w:sz w:val="24"/>
          <w:u w:val="single"/>
        </w:rPr>
        <w:t xml:space="preserve">      </w:t>
      </w:r>
      <w:r>
        <w:rPr>
          <w:rFonts w:hint="eastAsia" w:ascii="宋体" w:hAnsi="宋体" w:eastAsia="宋体" w:cs="宋体"/>
          <w:kern w:val="0"/>
          <w:sz w:val="24"/>
        </w:rPr>
        <w:t>日</w:t>
      </w:r>
    </w:p>
    <w:p w14:paraId="14DAA299">
      <w:pPr>
        <w:keepNext w:val="0"/>
        <w:keepLines w:val="0"/>
        <w:pageBreakBefore w:val="0"/>
        <w:widowControl/>
        <w:shd w:val="clea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在</w:t>
      </w:r>
      <w:r>
        <w:rPr>
          <w:rFonts w:hint="eastAsia" w:ascii="宋体" w:hAnsi="宋体" w:eastAsia="宋体" w:cs="宋体"/>
          <w:kern w:val="0"/>
          <w:sz w:val="24"/>
          <w:u w:val="single"/>
        </w:rPr>
        <w:t xml:space="preserve">                                   </w:t>
      </w:r>
      <w:r>
        <w:rPr>
          <w:rFonts w:hint="eastAsia" w:ascii="宋体" w:hAnsi="宋体" w:eastAsia="宋体" w:cs="宋体"/>
          <w:kern w:val="0"/>
          <w:sz w:val="24"/>
        </w:rPr>
        <w:t>项目招投标活动中，我公司（单位）郑重作出以下信用承诺：</w:t>
      </w:r>
    </w:p>
    <w:p w14:paraId="74FD26B5">
      <w:pPr>
        <w:keepNext w:val="0"/>
        <w:keepLines w:val="0"/>
        <w:pageBreakBefore w:val="0"/>
        <w:widowControl/>
        <w:shd w:val="clear"/>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kern w:val="0"/>
          <w:sz w:val="24"/>
        </w:rPr>
      </w:pPr>
      <w:r>
        <w:rPr>
          <w:rFonts w:hint="eastAsia" w:ascii="宋体" w:hAnsi="宋体" w:eastAsia="宋体" w:cs="宋体"/>
          <w:kern w:val="0"/>
          <w:sz w:val="24"/>
        </w:rPr>
        <w:t>（一）能严格遵守法律法规、职业道德和行业规范，具有独立承担民事责任的能力；符合依法依规应当具备的相关资质（资格）条件；具有独立承担中标项目的履约能力；具有良好的商业信誉和健全的财务会计制度；有依法缴纳税收和社会保障资金的良好记录；无法律法规规定禁止开展从业活动情形。所递交文件资料合法、真实、准确、完整、有效。</w:t>
      </w:r>
    </w:p>
    <w:p w14:paraId="18BA02E0">
      <w:pPr>
        <w:keepNext w:val="0"/>
        <w:keepLines w:val="0"/>
        <w:pageBreakBefore w:val="0"/>
        <w:widowControl/>
        <w:shd w:val="clear"/>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kern w:val="0"/>
          <w:sz w:val="24"/>
        </w:rPr>
      </w:pPr>
      <w:r>
        <w:rPr>
          <w:rFonts w:hint="eastAsia" w:ascii="宋体" w:hAnsi="宋体" w:eastAsia="宋体" w:cs="宋体"/>
          <w:kern w:val="0"/>
          <w:sz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保证金。5.招投标法规定的其它违法违规行为。</w:t>
      </w:r>
    </w:p>
    <w:p w14:paraId="2C0B6390">
      <w:pPr>
        <w:keepNext w:val="0"/>
        <w:keepLines w:val="0"/>
        <w:pageBreakBefore w:val="0"/>
        <w:widowControl/>
        <w:shd w:val="clear"/>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kern w:val="0"/>
          <w:sz w:val="24"/>
        </w:rPr>
      </w:pPr>
      <w:r>
        <w:rPr>
          <w:rFonts w:hint="eastAsia" w:ascii="宋体" w:hAnsi="宋体" w:eastAsia="宋体" w:cs="宋体"/>
          <w:kern w:val="0"/>
          <w:sz w:val="24"/>
        </w:rPr>
        <w:t>（三）自愿接受招投标监督部门和有关行政监督部门的依法检查。</w:t>
      </w:r>
    </w:p>
    <w:p w14:paraId="366AF8B8">
      <w:pPr>
        <w:keepNext w:val="0"/>
        <w:keepLines w:val="0"/>
        <w:pageBreakBefore w:val="0"/>
        <w:widowControl/>
        <w:shd w:val="clear"/>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kern w:val="0"/>
          <w:sz w:val="24"/>
        </w:rPr>
      </w:pPr>
      <w:r>
        <w:rPr>
          <w:rFonts w:hint="eastAsia" w:ascii="宋体" w:hAnsi="宋体" w:eastAsia="宋体" w:cs="宋体"/>
          <w:kern w:val="0"/>
          <w:sz w:val="24"/>
        </w:rPr>
        <w:t>（四）同意将此信用承诺纳入陕西省公共信用信息平台和榆林市公共信用信息共享平台，并上网公示，接受社会监督。</w:t>
      </w:r>
    </w:p>
    <w:p w14:paraId="1CC47F4B">
      <w:pPr>
        <w:keepNext w:val="0"/>
        <w:keepLines w:val="0"/>
        <w:pageBreakBefore w:val="0"/>
        <w:widowControl/>
        <w:shd w:val="clear"/>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kern w:val="0"/>
          <w:sz w:val="24"/>
        </w:rPr>
      </w:pPr>
      <w:r>
        <w:rPr>
          <w:rFonts w:hint="eastAsia" w:ascii="宋体" w:hAnsi="宋体" w:eastAsia="宋体" w:cs="宋体"/>
          <w:kern w:val="0"/>
          <w:sz w:val="24"/>
        </w:rPr>
        <w:t>（五）若我公司（单位）及相关参与人员违背以上承诺事项，即被视为失信企业（法人），依据《关于对公共资源交易领域严重失信主体开展联合惩戒的备忘录》（发改法规[2018]457号），自愿接受失信联合惩戒和依法给予的行政处罚（处理），并依法承担赔偿责任和刑事责任。</w:t>
      </w:r>
    </w:p>
    <w:p w14:paraId="4BC2C26F">
      <w:pPr>
        <w:keepNext w:val="0"/>
        <w:keepLines w:val="0"/>
        <w:pageBreakBefore w:val="0"/>
        <w:widowControl/>
        <w:shd w:val="clear"/>
        <w:tabs>
          <w:tab w:val="left" w:pos="4395"/>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kern w:val="0"/>
          <w:sz w:val="24"/>
        </w:rPr>
      </w:pPr>
      <w:r>
        <w:rPr>
          <w:rFonts w:hint="eastAsia" w:ascii="宋体" w:hAnsi="宋体" w:eastAsia="宋体" w:cs="宋体"/>
          <w:kern w:val="0"/>
          <w:sz w:val="24"/>
          <w:lang w:eastAsia="zh-CN"/>
        </w:rPr>
        <w:t>法定代表人</w:t>
      </w:r>
      <w:r>
        <w:rPr>
          <w:rFonts w:hint="eastAsia" w:ascii="宋体" w:hAnsi="宋体" w:eastAsia="宋体" w:cs="宋体"/>
          <w:kern w:val="0"/>
          <w:sz w:val="24"/>
        </w:rPr>
        <w:t>（</w:t>
      </w:r>
      <w:r>
        <w:rPr>
          <w:rFonts w:hint="eastAsia" w:ascii="宋体" w:hAnsi="宋体" w:eastAsia="宋体" w:cs="宋体"/>
          <w:kern w:val="0"/>
          <w:sz w:val="24"/>
          <w:lang w:val="en-US" w:eastAsia="zh-CN"/>
        </w:rPr>
        <w:t>签字并盖章</w:t>
      </w:r>
      <w:r>
        <w:rPr>
          <w:rFonts w:hint="eastAsia" w:ascii="宋体" w:hAnsi="宋体" w:eastAsia="宋体" w:cs="宋体"/>
          <w:kern w:val="0"/>
          <w:sz w:val="24"/>
        </w:rPr>
        <w:t>）：                 投标人（盖章）：</w:t>
      </w:r>
    </w:p>
    <w:p w14:paraId="0C61DAA6">
      <w:pPr>
        <w:keepNext w:val="0"/>
        <w:keepLines w:val="0"/>
        <w:pageBreakBefore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4"/>
        </w:rPr>
      </w:pPr>
    </w:p>
    <w:p w14:paraId="2BEE737A">
      <w:pPr>
        <w:keepNext w:val="0"/>
        <w:keepLines w:val="0"/>
        <w:pageBreakBefore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 xml:space="preserve">  承诺时间：</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rPr>
        <w:t>年</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月</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日 </w:t>
      </w:r>
    </w:p>
    <w:p w14:paraId="6D8C58BF">
      <w:pPr>
        <w:shd w:val="clear"/>
        <w:spacing w:line="560" w:lineRule="exact"/>
        <w:ind w:right="-2"/>
        <w:jc w:val="center"/>
        <w:rPr>
          <w:rFonts w:hint="eastAsia" w:ascii="宋体" w:hAnsi="宋体" w:eastAsia="宋体" w:cs="宋体"/>
          <w:b/>
          <w:kern w:val="0"/>
          <w:sz w:val="32"/>
          <w:szCs w:val="32"/>
          <w:lang w:val="en-US" w:eastAsia="zh-CN" w:bidi="ar-SA"/>
        </w:rPr>
      </w:pPr>
      <w:r>
        <w:rPr>
          <w:rFonts w:hint="eastAsia" w:ascii="宋体" w:hAnsi="宋体" w:eastAsia="宋体" w:cs="宋体"/>
          <w:b/>
          <w:kern w:val="0"/>
          <w:sz w:val="32"/>
          <w:szCs w:val="32"/>
          <w:lang w:val="en-US" w:eastAsia="zh-CN" w:bidi="ar-SA"/>
        </w:rPr>
        <w:t>投标人委托代理人员信用承诺书</w:t>
      </w:r>
    </w:p>
    <w:p w14:paraId="2B0A46C3">
      <w:pPr>
        <w:widowControl/>
        <w:shd w:val="clear"/>
        <w:spacing w:line="5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在</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项目招投标活动中，我个人郑重作出以下信用承诺：</w:t>
      </w:r>
    </w:p>
    <w:p w14:paraId="2051B9AA">
      <w:pPr>
        <w:widowControl/>
        <w:shd w:val="clear"/>
        <w:adjustRightInd w:val="0"/>
        <w:snapToGrid w:val="0"/>
        <w:spacing w:line="540" w:lineRule="exact"/>
        <w:ind w:firstLine="480"/>
        <w:jc w:val="left"/>
        <w:rPr>
          <w:rFonts w:hint="eastAsia" w:ascii="宋体" w:hAnsi="宋体" w:eastAsia="宋体" w:cs="宋体"/>
          <w:kern w:val="0"/>
          <w:sz w:val="24"/>
        </w:rPr>
      </w:pPr>
      <w:r>
        <w:rPr>
          <w:rFonts w:hint="eastAsia" w:ascii="宋体" w:hAnsi="宋体" w:eastAsia="宋体" w:cs="宋体"/>
          <w:kern w:val="0"/>
          <w:sz w:val="24"/>
        </w:rPr>
        <w:t>（一）能严格遵守法律法规、职业道德和行业规范，具有独立承担民事责任的能力；无法律法规规定禁止开展从业活动情形。我所递交的文件资料合法、真实、准确、完整、有效，无弄虚作假等情形。</w:t>
      </w:r>
    </w:p>
    <w:p w14:paraId="053DB31E">
      <w:pPr>
        <w:widowControl/>
        <w:shd w:val="clear"/>
        <w:adjustRightInd w:val="0"/>
        <w:snapToGrid w:val="0"/>
        <w:spacing w:line="540" w:lineRule="exact"/>
        <w:ind w:firstLine="480"/>
        <w:jc w:val="left"/>
        <w:rPr>
          <w:rFonts w:hint="eastAsia" w:ascii="宋体" w:hAnsi="宋体" w:eastAsia="宋体" w:cs="宋体"/>
          <w:kern w:val="0"/>
          <w:sz w:val="24"/>
        </w:rPr>
      </w:pPr>
      <w:r>
        <w:rPr>
          <w:rFonts w:hint="eastAsia" w:ascii="宋体" w:hAnsi="宋体" w:eastAsia="宋体" w:cs="宋体"/>
          <w:kern w:val="0"/>
          <w:sz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保证金。5.招投标法规定的其它违法违规行为。</w:t>
      </w:r>
    </w:p>
    <w:p w14:paraId="27B36768">
      <w:pPr>
        <w:widowControl/>
        <w:shd w:val="clear"/>
        <w:adjustRightInd w:val="0"/>
        <w:snapToGrid w:val="0"/>
        <w:spacing w:line="540" w:lineRule="exact"/>
        <w:ind w:firstLine="480"/>
        <w:jc w:val="left"/>
        <w:rPr>
          <w:rFonts w:hint="eastAsia" w:ascii="宋体" w:hAnsi="宋体" w:eastAsia="宋体" w:cs="宋体"/>
          <w:kern w:val="0"/>
          <w:sz w:val="24"/>
        </w:rPr>
      </w:pPr>
      <w:r>
        <w:rPr>
          <w:rFonts w:hint="eastAsia" w:ascii="宋体" w:hAnsi="宋体" w:eastAsia="宋体" w:cs="宋体"/>
          <w:kern w:val="0"/>
          <w:sz w:val="24"/>
        </w:rPr>
        <w:t>（三）自愿接受招投标监督部门和有关行政监督部门的依法检查。</w:t>
      </w:r>
    </w:p>
    <w:p w14:paraId="770591E1">
      <w:pPr>
        <w:widowControl/>
        <w:shd w:val="clear"/>
        <w:adjustRightInd w:val="0"/>
        <w:snapToGrid w:val="0"/>
        <w:spacing w:line="540" w:lineRule="exact"/>
        <w:ind w:firstLine="480"/>
        <w:jc w:val="left"/>
        <w:rPr>
          <w:rFonts w:hint="eastAsia" w:ascii="宋体" w:hAnsi="宋体" w:eastAsia="宋体" w:cs="宋体"/>
          <w:kern w:val="0"/>
          <w:sz w:val="24"/>
        </w:rPr>
      </w:pPr>
      <w:r>
        <w:rPr>
          <w:rFonts w:hint="eastAsia" w:ascii="宋体" w:hAnsi="宋体" w:eastAsia="宋体" w:cs="宋体"/>
          <w:kern w:val="0"/>
          <w:sz w:val="24"/>
        </w:rPr>
        <w:t>（四）同意将此信用承诺纳入陕西省公共信用信息平台和榆林市公共信用信息共享平台，并接受社会监督。</w:t>
      </w:r>
    </w:p>
    <w:p w14:paraId="09C05C8B">
      <w:pPr>
        <w:widowControl/>
        <w:shd w:val="clear"/>
        <w:adjustRightInd w:val="0"/>
        <w:snapToGrid w:val="0"/>
        <w:spacing w:line="540" w:lineRule="exact"/>
        <w:ind w:firstLine="480"/>
        <w:jc w:val="left"/>
        <w:rPr>
          <w:rFonts w:hint="eastAsia" w:ascii="宋体" w:hAnsi="宋体" w:eastAsia="宋体" w:cs="宋体"/>
          <w:kern w:val="0"/>
          <w:sz w:val="24"/>
        </w:rPr>
      </w:pPr>
      <w:r>
        <w:rPr>
          <w:rFonts w:hint="eastAsia" w:ascii="宋体" w:hAnsi="宋体" w:eastAsia="宋体" w:cs="宋体"/>
          <w:kern w:val="0"/>
          <w:sz w:val="24"/>
        </w:rPr>
        <w:t>（五）若我违背以上承诺事项，即被视为失信人，依据《关于对公共资源交易领域严重失信主体开展联合惩戒的备忘录》（发改法规[2018]457号），自愿接受失信联合惩戒和依法给予的行政处罚（处理），并依法承担赔偿责任和刑事责任。</w:t>
      </w:r>
    </w:p>
    <w:p w14:paraId="64588A61">
      <w:pPr>
        <w:widowControl/>
        <w:shd w:val="clear"/>
        <w:spacing w:line="320" w:lineRule="exact"/>
        <w:ind w:firstLine="482"/>
        <w:jc w:val="left"/>
        <w:rPr>
          <w:rFonts w:hint="eastAsia" w:ascii="宋体" w:hAnsi="宋体" w:eastAsia="宋体" w:cs="宋体"/>
          <w:kern w:val="0"/>
          <w:sz w:val="24"/>
          <w:u w:val="single"/>
        </w:rPr>
      </w:pPr>
      <w:r>
        <w:rPr>
          <w:rFonts w:hint="eastAsia" w:ascii="宋体" w:hAnsi="宋体" w:eastAsia="宋体" w:cs="宋体"/>
          <w:kern w:val="0"/>
          <w:sz w:val="24"/>
        </w:rPr>
        <w:t>承诺有效期限：</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年</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月</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日—</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年</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月</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rPr>
        <w:t>日</w:t>
      </w:r>
    </w:p>
    <w:p w14:paraId="3EE24B5A">
      <w:pPr>
        <w:widowControl/>
        <w:shd w:val="clear"/>
        <w:spacing w:line="320" w:lineRule="exact"/>
        <w:ind w:firstLine="482"/>
        <w:jc w:val="left"/>
        <w:rPr>
          <w:rFonts w:hint="eastAsia" w:ascii="宋体" w:hAnsi="宋体" w:eastAsia="宋体" w:cs="宋体"/>
          <w:kern w:val="0"/>
          <w:sz w:val="24"/>
          <w:u w:val="single"/>
        </w:rPr>
      </w:pPr>
      <w:r>
        <w:rPr>
          <w:rFonts w:hint="eastAsia" w:ascii="宋体" w:hAnsi="宋体" w:eastAsia="宋体" w:cs="宋体"/>
          <w:kern w:val="0"/>
          <w:sz w:val="24"/>
        </w:rPr>
        <w:t>投标人：</w:t>
      </w:r>
      <w:r>
        <w:rPr>
          <w:rFonts w:hint="eastAsia" w:ascii="宋体" w:hAnsi="宋体" w:eastAsia="宋体" w:cs="宋体"/>
          <w:kern w:val="0"/>
          <w:sz w:val="24"/>
          <w:u w:val="single"/>
        </w:rPr>
        <w:t xml:space="preserve">                                               </w:t>
      </w:r>
    </w:p>
    <w:p w14:paraId="6729EDC3">
      <w:pPr>
        <w:widowControl/>
        <w:shd w:val="clear"/>
        <w:spacing w:line="320" w:lineRule="exact"/>
        <w:ind w:firstLine="482"/>
        <w:jc w:val="left"/>
        <w:rPr>
          <w:rFonts w:hint="eastAsia" w:ascii="宋体" w:hAnsi="宋体" w:eastAsia="宋体" w:cs="宋体"/>
          <w:kern w:val="0"/>
          <w:sz w:val="24"/>
        </w:rPr>
      </w:pPr>
    </w:p>
    <w:p w14:paraId="073F6B49">
      <w:pPr>
        <w:widowControl/>
        <w:shd w:val="clear"/>
        <w:spacing w:line="320" w:lineRule="exact"/>
        <w:ind w:firstLine="482"/>
        <w:jc w:val="left"/>
        <w:rPr>
          <w:rFonts w:hint="eastAsia" w:ascii="宋体" w:hAnsi="宋体" w:eastAsia="宋体" w:cs="宋体"/>
          <w:kern w:val="0"/>
          <w:sz w:val="24"/>
          <w:u w:val="single"/>
        </w:rPr>
      </w:pPr>
      <w:r>
        <w:rPr>
          <w:rFonts w:hint="eastAsia" w:ascii="宋体" w:hAnsi="宋体" w:eastAsia="宋体" w:cs="宋体"/>
          <w:kern w:val="0"/>
          <w:sz w:val="24"/>
        </w:rPr>
        <w:t>承诺人（签字）：</w:t>
      </w:r>
      <w:r>
        <w:rPr>
          <w:rFonts w:hint="eastAsia" w:ascii="宋体" w:hAnsi="宋体" w:eastAsia="宋体" w:cs="宋体"/>
          <w:kern w:val="0"/>
          <w:sz w:val="24"/>
          <w:u w:val="single"/>
        </w:rPr>
        <w:t xml:space="preserve">                 </w:t>
      </w:r>
    </w:p>
    <w:p w14:paraId="0C7FCBAA">
      <w:pPr>
        <w:widowControl/>
        <w:shd w:val="clear"/>
        <w:spacing w:line="320" w:lineRule="exact"/>
        <w:ind w:firstLine="482"/>
        <w:jc w:val="left"/>
        <w:rPr>
          <w:rFonts w:hint="eastAsia" w:ascii="宋体" w:hAnsi="宋体" w:eastAsia="宋体" w:cs="宋体"/>
          <w:kern w:val="0"/>
          <w:sz w:val="24"/>
          <w:u w:val="single"/>
        </w:rPr>
      </w:pPr>
    </w:p>
    <w:p w14:paraId="45750EA6">
      <w:pPr>
        <w:widowControl/>
        <w:shd w:val="clear"/>
        <w:spacing w:line="320" w:lineRule="exact"/>
        <w:ind w:firstLine="482"/>
        <w:jc w:val="left"/>
        <w:rPr>
          <w:rFonts w:hint="eastAsia" w:ascii="宋体" w:hAnsi="宋体" w:eastAsia="宋体" w:cs="宋体"/>
          <w:kern w:val="0"/>
          <w:sz w:val="24"/>
        </w:rPr>
      </w:pPr>
      <w:r>
        <w:rPr>
          <w:rFonts w:hint="eastAsia" w:ascii="宋体" w:hAnsi="宋体" w:eastAsia="宋体" w:cs="宋体"/>
          <w:kern w:val="0"/>
          <w:sz w:val="24"/>
        </w:rPr>
        <w:t>承诺时间：</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年</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月</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日 </w:t>
      </w:r>
    </w:p>
    <w:p w14:paraId="5EE3F1BA">
      <w:pPr>
        <w:widowControl/>
        <w:shd w:val="clear"/>
        <w:spacing w:line="320" w:lineRule="exact"/>
        <w:ind w:firstLine="482"/>
        <w:jc w:val="left"/>
        <w:rPr>
          <w:rFonts w:hint="eastAsia" w:ascii="宋体" w:hAnsi="宋体" w:eastAsia="宋体" w:cs="宋体"/>
          <w:kern w:val="0"/>
          <w:sz w:val="24"/>
        </w:rPr>
      </w:pPr>
    </w:p>
    <w:p w14:paraId="601F289B">
      <w:pPr>
        <w:shd w:val="clear"/>
        <w:spacing w:line="560" w:lineRule="exact"/>
        <w:ind w:right="-2"/>
        <w:jc w:val="center"/>
        <w:rPr>
          <w:rFonts w:hint="eastAsia" w:ascii="宋体" w:hAnsi="宋体" w:eastAsia="宋体" w:cs="宋体"/>
          <w:b/>
          <w:kern w:val="0"/>
          <w:sz w:val="32"/>
          <w:szCs w:val="32"/>
          <w:lang w:val="en-US" w:eastAsia="zh-CN" w:bidi="ar-SA"/>
        </w:rPr>
      </w:pPr>
      <w:r>
        <w:rPr>
          <w:rFonts w:hint="eastAsia" w:ascii="宋体" w:hAnsi="宋体" w:eastAsia="宋体" w:cs="宋体"/>
          <w:b/>
          <w:kern w:val="0"/>
          <w:sz w:val="32"/>
          <w:szCs w:val="32"/>
          <w:lang w:val="en-US" w:eastAsia="zh-CN" w:bidi="ar-SA"/>
        </w:rPr>
        <w:t>投标信用承诺书</w:t>
      </w:r>
    </w:p>
    <w:p w14:paraId="48F0097E">
      <w:pPr>
        <w:widowControl/>
        <w:shd w:val="clear"/>
        <w:spacing w:line="540" w:lineRule="exact"/>
        <w:jc w:val="left"/>
        <w:rPr>
          <w:rFonts w:hint="eastAsia" w:ascii="宋体" w:hAnsi="宋体" w:eastAsia="宋体" w:cs="宋体"/>
          <w:kern w:val="0"/>
          <w:sz w:val="24"/>
          <w:u w:val="single"/>
        </w:rPr>
      </w:pPr>
      <w:r>
        <w:rPr>
          <w:rFonts w:hint="eastAsia" w:ascii="宋体" w:hAnsi="宋体" w:eastAsia="宋体" w:cs="宋体"/>
          <w:kern w:val="0"/>
          <w:sz w:val="24"/>
        </w:rPr>
        <w:t>项目标段：</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p>
    <w:p w14:paraId="639D4EA4">
      <w:pPr>
        <w:widowControl/>
        <w:shd w:val="clear"/>
        <w:spacing w:line="540" w:lineRule="exact"/>
        <w:jc w:val="left"/>
        <w:rPr>
          <w:rFonts w:hint="eastAsia" w:ascii="宋体" w:hAnsi="宋体" w:eastAsia="宋体" w:cs="宋体"/>
          <w:kern w:val="0"/>
          <w:sz w:val="24"/>
          <w:u w:val="single"/>
        </w:rPr>
      </w:pPr>
      <w:r>
        <w:rPr>
          <w:rFonts w:hint="eastAsia" w:ascii="宋体" w:hAnsi="宋体" w:eastAsia="宋体" w:cs="宋体"/>
          <w:kern w:val="0"/>
          <w:sz w:val="24"/>
        </w:rPr>
        <w:t>投标人：</w:t>
      </w:r>
      <w:r>
        <w:rPr>
          <w:rFonts w:hint="eastAsia" w:ascii="宋体" w:hAnsi="宋体" w:eastAsia="宋体" w:cs="宋体"/>
          <w:kern w:val="0"/>
          <w:sz w:val="24"/>
          <w:u w:val="single"/>
        </w:rPr>
        <w:t xml:space="preserve">                                      </w:t>
      </w:r>
    </w:p>
    <w:p w14:paraId="768D15B7">
      <w:pPr>
        <w:widowControl/>
        <w:shd w:val="clear"/>
        <w:spacing w:line="540" w:lineRule="exact"/>
        <w:jc w:val="left"/>
        <w:rPr>
          <w:rFonts w:hint="eastAsia" w:ascii="宋体" w:hAnsi="宋体" w:eastAsia="宋体" w:cs="宋体"/>
          <w:kern w:val="0"/>
          <w:sz w:val="24"/>
          <w:u w:val="single"/>
        </w:rPr>
      </w:pPr>
      <w:r>
        <w:rPr>
          <w:rFonts w:hint="eastAsia" w:ascii="宋体" w:hAnsi="宋体" w:eastAsia="宋体" w:cs="宋体"/>
          <w:kern w:val="0"/>
          <w:sz w:val="24"/>
        </w:rPr>
        <w:t>统一社会信用代码：</w:t>
      </w:r>
      <w:r>
        <w:rPr>
          <w:rFonts w:hint="eastAsia" w:ascii="宋体" w:hAnsi="宋体" w:eastAsia="宋体" w:cs="宋体"/>
          <w:kern w:val="0"/>
          <w:sz w:val="24"/>
          <w:u w:val="single"/>
        </w:rPr>
        <w:t xml:space="preserve">                               </w:t>
      </w:r>
      <w:r>
        <w:rPr>
          <w:rFonts w:hint="eastAsia" w:ascii="宋体" w:hAnsi="宋体" w:eastAsia="宋体" w:cs="宋体"/>
          <w:kern w:val="0"/>
          <w:sz w:val="24"/>
        </w:rPr>
        <w:t>法人代表：</w:t>
      </w:r>
      <w:r>
        <w:rPr>
          <w:rFonts w:hint="eastAsia" w:ascii="宋体" w:hAnsi="宋体" w:eastAsia="宋体" w:cs="宋体"/>
          <w:kern w:val="0"/>
          <w:sz w:val="24"/>
          <w:u w:val="single"/>
        </w:rPr>
        <w:t xml:space="preserve">                 </w:t>
      </w:r>
    </w:p>
    <w:p w14:paraId="417FFB67">
      <w:pPr>
        <w:widowControl/>
        <w:shd w:val="clear"/>
        <w:adjustRightInd w:val="0"/>
        <w:snapToGrid w:val="0"/>
        <w:spacing w:line="5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在本项目标段招投标活动中，我公司（单位）自愿作出以下投标信用承诺：</w:t>
      </w:r>
    </w:p>
    <w:p w14:paraId="68286517">
      <w:pPr>
        <w:widowControl/>
        <w:shd w:val="clear"/>
        <w:adjustRightInd w:val="0"/>
        <w:snapToGrid w:val="0"/>
        <w:spacing w:line="5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（一）能严格遵守法律法规、职业道德和行业规范。</w:t>
      </w:r>
    </w:p>
    <w:p w14:paraId="5F041F98">
      <w:pPr>
        <w:widowControl/>
        <w:shd w:val="clear"/>
        <w:adjustRightInd w:val="0"/>
        <w:snapToGrid w:val="0"/>
        <w:spacing w:line="5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保证金。5.招投标法规定的其它违法违规行为。</w:t>
      </w:r>
    </w:p>
    <w:p w14:paraId="207DB831">
      <w:pPr>
        <w:widowControl/>
        <w:shd w:val="clear"/>
        <w:adjustRightInd w:val="0"/>
        <w:snapToGrid w:val="0"/>
        <w:spacing w:line="5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三）若我公司（单位）及相关参与人员违背以上承诺事项，即被视为失信企业（法人），依据《关于对公共资源交易领域严重失信主体开展联合惩戒的备忘录》（发改法规[2018]457号），自愿接受1至3年内限制参与公共资源交易活动。</w:t>
      </w:r>
    </w:p>
    <w:p w14:paraId="44DA93C9">
      <w:pPr>
        <w:widowControl/>
        <w:shd w:val="clear"/>
        <w:adjustRightInd w:val="0"/>
        <w:snapToGrid w:val="0"/>
        <w:spacing w:line="540" w:lineRule="exact"/>
        <w:ind w:firstLine="480" w:firstLineChars="200"/>
        <w:jc w:val="left"/>
        <w:rPr>
          <w:rFonts w:hint="eastAsia" w:ascii="宋体" w:hAnsi="宋体" w:eastAsia="宋体" w:cs="宋体"/>
          <w:kern w:val="0"/>
          <w:sz w:val="24"/>
        </w:rPr>
      </w:pPr>
    </w:p>
    <w:p w14:paraId="30AFB09F">
      <w:pPr>
        <w:widowControl/>
        <w:shd w:val="clear"/>
        <w:tabs>
          <w:tab w:val="left" w:pos="4395"/>
        </w:tabs>
        <w:adjustRightInd w:val="0"/>
        <w:snapToGrid w:val="0"/>
        <w:spacing w:line="50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法定代表人</w:t>
      </w:r>
      <w:r>
        <w:rPr>
          <w:rFonts w:hint="eastAsia" w:ascii="宋体" w:hAnsi="宋体" w:eastAsia="宋体" w:cs="宋体"/>
          <w:kern w:val="0"/>
          <w:sz w:val="24"/>
        </w:rPr>
        <w:t>（</w:t>
      </w:r>
      <w:r>
        <w:rPr>
          <w:rFonts w:hint="eastAsia" w:ascii="宋体" w:hAnsi="宋体" w:eastAsia="宋体" w:cs="宋体"/>
          <w:kern w:val="0"/>
          <w:sz w:val="24"/>
          <w:lang w:val="en-US" w:eastAsia="zh-CN"/>
        </w:rPr>
        <w:t>签字并盖章</w:t>
      </w:r>
      <w:r>
        <w:rPr>
          <w:rFonts w:hint="eastAsia" w:ascii="宋体" w:hAnsi="宋体" w:eastAsia="宋体" w:cs="宋体"/>
          <w:kern w:val="0"/>
          <w:sz w:val="24"/>
        </w:rPr>
        <w:t>）：             投标人（盖章）：</w:t>
      </w:r>
    </w:p>
    <w:p w14:paraId="3F238045">
      <w:pPr>
        <w:shd w:val="clear"/>
        <w:adjustRightInd w:val="0"/>
        <w:snapToGrid w:val="0"/>
        <w:spacing w:line="500" w:lineRule="exact"/>
        <w:rPr>
          <w:rFonts w:hint="eastAsia" w:ascii="宋体" w:hAnsi="宋体" w:eastAsia="宋体" w:cs="宋体"/>
          <w:b/>
          <w:kern w:val="0"/>
          <w:sz w:val="24"/>
        </w:rPr>
      </w:pPr>
    </w:p>
    <w:p w14:paraId="2CDE9FC0">
      <w:pPr>
        <w:shd w:val="clear"/>
        <w:adjustRightInd w:val="0"/>
        <w:snapToGrid w:val="0"/>
        <w:spacing w:line="500" w:lineRule="exact"/>
        <w:ind w:firstLine="4440" w:firstLineChars="1850"/>
        <w:rPr>
          <w:rFonts w:hint="eastAsia" w:ascii="宋体" w:hAnsi="宋体" w:eastAsia="宋体" w:cs="宋体"/>
          <w:kern w:val="0"/>
          <w:sz w:val="24"/>
        </w:rPr>
      </w:pPr>
      <w:r>
        <w:rPr>
          <w:rFonts w:hint="eastAsia" w:ascii="宋体" w:hAnsi="宋体" w:eastAsia="宋体" w:cs="宋体"/>
          <w:kern w:val="0"/>
          <w:sz w:val="24"/>
        </w:rPr>
        <w:t>承诺时间：</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年</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月</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日</w:t>
      </w:r>
    </w:p>
    <w:p w14:paraId="775ABB41">
      <w:pPr>
        <w:shd w:val="clear"/>
        <w:adjustRightInd w:val="0"/>
        <w:snapToGrid w:val="0"/>
        <w:spacing w:line="500" w:lineRule="exact"/>
        <w:rPr>
          <w:rFonts w:hint="eastAsia" w:ascii="宋体" w:hAnsi="宋体" w:eastAsia="宋体" w:cs="宋体"/>
          <w:b/>
          <w:kern w:val="0"/>
          <w:sz w:val="24"/>
        </w:rPr>
      </w:pPr>
    </w:p>
    <w:p w14:paraId="0A1AA5DA">
      <w:pPr>
        <w:shd w:val="clear"/>
        <w:adjustRightInd w:val="0"/>
        <w:snapToGrid w:val="0"/>
        <w:spacing w:line="500" w:lineRule="exact"/>
        <w:rPr>
          <w:rFonts w:hint="eastAsia" w:ascii="宋体" w:hAnsi="宋体" w:eastAsia="宋体" w:cs="宋体"/>
          <w:b/>
          <w:kern w:val="0"/>
          <w:sz w:val="24"/>
        </w:rPr>
      </w:pPr>
    </w:p>
    <w:p w14:paraId="2B749294">
      <w:pPr>
        <w:pStyle w:val="4"/>
        <w:keepNext w:val="0"/>
        <w:keepLines w:val="0"/>
        <w:pageBreakBefore w:val="0"/>
        <w:widowControl w:val="0"/>
        <w:shd w:val="clear"/>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b/>
          <w:kern w:val="0"/>
          <w:sz w:val="24"/>
        </w:rPr>
      </w:pPr>
      <w:r>
        <w:rPr>
          <w:rFonts w:hint="eastAsia" w:ascii="宋体" w:hAnsi="宋体" w:eastAsia="宋体" w:cs="宋体"/>
          <w:b/>
          <w:kern w:val="0"/>
          <w:sz w:val="24"/>
        </w:rPr>
        <w:t>说明：1、本承诺书效力和作用等同投标保证金。</w:t>
      </w:r>
    </w:p>
    <w:p w14:paraId="689F7171">
      <w:pPr>
        <w:pStyle w:val="4"/>
        <w:keepNext w:val="0"/>
        <w:keepLines w:val="0"/>
        <w:pageBreakBefore w:val="0"/>
        <w:widowControl w:val="0"/>
        <w:numPr>
          <w:ilvl w:val="0"/>
          <w:numId w:val="9"/>
        </w:numPr>
        <w:shd w:val="clea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kern w:val="0"/>
          <w:sz w:val="24"/>
        </w:rPr>
      </w:pPr>
      <w:r>
        <w:rPr>
          <w:rFonts w:hint="eastAsia" w:ascii="宋体" w:hAnsi="宋体" w:eastAsia="宋体" w:cs="宋体"/>
          <w:b/>
          <w:kern w:val="0"/>
          <w:sz w:val="24"/>
        </w:rPr>
        <w:t>承诺有效期限一年。</w:t>
      </w:r>
    </w:p>
    <w:p w14:paraId="3475295A">
      <w:pPr>
        <w:shd w:val="clear"/>
        <w:spacing w:line="360" w:lineRule="auto"/>
        <w:ind w:firstLine="643" w:firstLineChars="200"/>
        <w:jc w:val="center"/>
        <w:rPr>
          <w:rFonts w:hint="eastAsia" w:ascii="宋体" w:hAnsi="宋体" w:eastAsia="宋体" w:cs="宋体"/>
          <w:b/>
          <w:kern w:val="0"/>
          <w:sz w:val="32"/>
          <w:szCs w:val="32"/>
          <w:lang w:val="en-US" w:eastAsia="zh-CN" w:bidi="ar-SA"/>
        </w:rPr>
      </w:pPr>
      <w:r>
        <w:rPr>
          <w:rFonts w:hint="eastAsia" w:ascii="宋体" w:hAnsi="宋体" w:eastAsia="宋体" w:cs="宋体"/>
          <w:b/>
          <w:kern w:val="0"/>
          <w:sz w:val="32"/>
          <w:szCs w:val="32"/>
          <w:lang w:val="en-US" w:eastAsia="zh-CN" w:bidi="ar-SA"/>
        </w:rPr>
        <w:t>榆林市政府采购服务类项目供应商信用承诺书</w:t>
      </w:r>
    </w:p>
    <w:p w14:paraId="29321CD9">
      <w:pPr>
        <w:pStyle w:val="9"/>
        <w:shd w:val="clear"/>
        <w:rPr>
          <w:rFonts w:hint="eastAsia" w:ascii="宋体" w:hAnsi="宋体" w:eastAsia="宋体" w:cs="宋体"/>
          <w:highlight w:val="none"/>
        </w:rPr>
      </w:pPr>
    </w:p>
    <w:p w14:paraId="3C770E91">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市场主体名称：</w:t>
      </w:r>
    </w:p>
    <w:p w14:paraId="66CF0A90">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证件类型：统一社会信用代码</w:t>
      </w:r>
    </w:p>
    <w:p w14:paraId="7EE08B98">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证件号码：</w:t>
      </w:r>
    </w:p>
    <w:p w14:paraId="520D9737">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法人代表：</w:t>
      </w:r>
    </w:p>
    <w:p w14:paraId="5273E66D">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承诺有效期限：</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月</w:t>
      </w:r>
      <w:r>
        <w:rPr>
          <w:rFonts w:hint="eastAsia" w:ascii="宋体" w:hAnsi="宋体" w:eastAsia="宋体" w:cs="宋体"/>
          <w:i/>
          <w:iCs/>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日—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日</w:t>
      </w:r>
    </w:p>
    <w:p w14:paraId="5D54826D">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承诺内容：</w:t>
      </w:r>
    </w:p>
    <w:p w14:paraId="4A658A5B">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为维护公开、公平、公正的政府采购市场秩序，树立诚实守信的政府采购供应商形象，本单位自愿做出以下承诺：</w:t>
      </w:r>
    </w:p>
    <w:p w14:paraId="1AE95211">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一、承诺本单位严格遵守国家法律、法规和规章，全面履行应尽的责任和义务，全面做到履约守信，具备《政府采购法》第二十二条第一款规定的条件;</w:t>
      </w:r>
    </w:p>
    <w:p w14:paraId="36C479CC">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二、承诺本单位提供给注册登记部门、行业管理部门、司法部门、行业组织以及在政府采购活动中提交的所有资料均合法、真实、有效，无任何伪造、修改、虚假成份，并对所提供资料的真实性负责；</w:t>
      </w:r>
    </w:p>
    <w:p w14:paraId="4EA6FD5A">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三、承诺本单位严格依法开展生产经营活动，主动接受行业监管，自愿接受依法开展的日常检查；违法失信经营后将自愿接受约束和惩戒，并依法承担相应责任；</w:t>
      </w:r>
    </w:p>
    <w:p w14:paraId="6ACE7E6C">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四、承诺本单位自觉接受行政管理部门、行业组织、社会公众、新闻舆论的监督；</w:t>
      </w:r>
    </w:p>
    <w:p w14:paraId="4D7E51BC">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、承诺本单位自我约束、自我管理，重合同、守信用，不制假售假、商标侵权、虚假宣传、违约毁约、恶意逃债、偷税漏税、价格欺诈、垄断和不正当竞争，维护经营者、消费者的合法权益；</w:t>
      </w:r>
    </w:p>
    <w:p w14:paraId="00BECBA3">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、承诺本单位提出政府采购质疑和投诉坚持依法依规、诚实信用原则，在全国范围12个月内没有三次以上查无实据的政府采购投诉；</w:t>
      </w:r>
    </w:p>
    <w:p w14:paraId="1BAD2A4A">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、根据政府采购相关法律法规的规定需要作出的其他承诺：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none"/>
        </w:rPr>
        <w:t> ;</w:t>
      </w:r>
    </w:p>
    <w:p w14:paraId="34411CCD">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14:paraId="3E422FD6">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p>
    <w:p w14:paraId="1F18C99B">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p>
    <w:p w14:paraId="0C040500">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承诺单位（盖章）：</w:t>
      </w:r>
    </w:p>
    <w:p w14:paraId="11992C4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highlight w:val="none"/>
        </w:rPr>
      </w:pPr>
    </w:p>
    <w:p w14:paraId="6E2E4A2E">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法定代表人（负责人）：</w:t>
      </w:r>
    </w:p>
    <w:p w14:paraId="6460587E">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p>
    <w:p w14:paraId="3E9B57BA">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法定代表人（负责人）</w:t>
      </w:r>
      <w:r>
        <w:rPr>
          <w:rFonts w:hint="eastAsia" w:ascii="宋体" w:hAnsi="宋体" w:eastAsia="宋体" w:cs="宋体"/>
          <w:sz w:val="24"/>
          <w:szCs w:val="24"/>
          <w:highlight w:val="none"/>
          <w:lang w:val="en-US" w:eastAsia="zh-CN"/>
        </w:rPr>
        <w:t>身份证号：</w:t>
      </w:r>
    </w:p>
    <w:p w14:paraId="01358815">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p>
    <w:p w14:paraId="3911E38F">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承诺日期：</w:t>
      </w:r>
    </w:p>
    <w:p w14:paraId="67F21819">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p>
    <w:p w14:paraId="36F583DD">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p>
    <w:p w14:paraId="6C3767BC">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注：</w:t>
      </w: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法定代表人或负责人、主体名称发生变更的应当重新做出承诺</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承诺书标题按照工程类、货物类、服务类确定。</w:t>
      </w:r>
    </w:p>
    <w:p w14:paraId="106799D6">
      <w:pPr>
        <w:pStyle w:val="4"/>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宋体"/>
          <w:b/>
          <w:kern w:val="0"/>
          <w:sz w:val="24"/>
        </w:rPr>
      </w:pPr>
    </w:p>
    <w:p w14:paraId="30B11FC9">
      <w:pPr>
        <w:pStyle w:val="4"/>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宋体"/>
          <w:b/>
          <w:kern w:val="0"/>
          <w:sz w:val="24"/>
        </w:rPr>
      </w:pPr>
    </w:p>
    <w:p w14:paraId="5E78545B">
      <w:pPr>
        <w:pStyle w:val="4"/>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宋体"/>
          <w:b/>
          <w:kern w:val="0"/>
          <w:sz w:val="24"/>
        </w:rPr>
      </w:pPr>
    </w:p>
    <w:p w14:paraId="2DDC868E">
      <w:pPr>
        <w:pStyle w:val="4"/>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宋体"/>
          <w:b/>
          <w:kern w:val="0"/>
          <w:sz w:val="24"/>
        </w:rPr>
      </w:pPr>
    </w:p>
    <w:p w14:paraId="4982A7DD">
      <w:pPr>
        <w:pStyle w:val="15"/>
        <w:shd w:val="clear"/>
        <w:rPr>
          <w:rFonts w:hint="eastAsia" w:ascii="宋体" w:hAnsi="宋体" w:eastAsia="宋体" w:cs="宋体"/>
          <w:lang w:eastAsia="zh-CN"/>
        </w:rPr>
      </w:pPr>
    </w:p>
    <w:sectPr>
      <w:footerReference r:id="rId6" w:type="default"/>
      <w:pgSz w:w="11906" w:h="16838"/>
      <w:pgMar w:top="1440" w:right="1803" w:bottom="1440" w:left="1803"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auto"/>
    <w:pitch w:val="default"/>
    <w:sig w:usb0="E00006FF" w:usb1="0000FCFF" w:usb2="00000001" w:usb3="00000000" w:csb0="6000019F" w:csb1="DFD70000"/>
  </w:font>
  <w:font w:name="Arial Narrow">
    <w:altName w:val="Arial"/>
    <w:panose1 w:val="020B0606020202030204"/>
    <w:charset w:val="00"/>
    <w:family w:val="swiss"/>
    <w:pitch w:val="default"/>
    <w:sig w:usb0="00000000"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C4258">
    <w:pPr>
      <w:pStyle w:val="15"/>
      <w:pBdr>
        <w:top w:val="single" w:color="auto" w:sz="4" w:space="0"/>
      </w:pBdr>
      <w:rPr>
        <w:rStyle w:val="30"/>
      </w:rPr>
    </w:pPr>
  </w:p>
  <w:p w14:paraId="4A2C8283">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18F43">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3E3B4">
    <w:pPr>
      <w:pStyle w:val="15"/>
      <w:pBdr>
        <w:top w:val="single" w:color="auto" w:sz="4" w:space="0"/>
      </w:pBdr>
      <w:rPr>
        <w:rStyle w:val="30"/>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90A08">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A90A08">
                    <w:pPr>
                      <w:pStyle w:val="15"/>
                    </w:pPr>
                    <w:r>
                      <w:fldChar w:fldCharType="begin"/>
                    </w:r>
                    <w:r>
                      <w:instrText xml:space="preserve"> PAGE  \* MERGEFORMAT </w:instrText>
                    </w:r>
                    <w:r>
                      <w:fldChar w:fldCharType="separate"/>
                    </w:r>
                    <w:r>
                      <w:t>3</w:t>
                    </w:r>
                    <w:r>
                      <w:fldChar w:fldCharType="end"/>
                    </w:r>
                  </w:p>
                </w:txbxContent>
              </v:textbox>
            </v:shape>
          </w:pict>
        </mc:Fallback>
      </mc:AlternateContent>
    </w:r>
  </w:p>
  <w:p w14:paraId="7CDCC46A">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9D12F">
    <w:pPr>
      <w:pStyle w:val="1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E73D19"/>
    <w:multiLevelType w:val="singleLevel"/>
    <w:tmpl w:val="ABE73D19"/>
    <w:lvl w:ilvl="0" w:tentative="0">
      <w:start w:val="5"/>
      <w:numFmt w:val="chineseCounting"/>
      <w:suff w:val="space"/>
      <w:lvlText w:val="第%1章"/>
      <w:lvlJc w:val="left"/>
      <w:rPr>
        <w:rFonts w:hint="eastAsia"/>
      </w:rPr>
    </w:lvl>
  </w:abstractNum>
  <w:abstractNum w:abstractNumId="1">
    <w:nsid w:val="B767B1B5"/>
    <w:multiLevelType w:val="singleLevel"/>
    <w:tmpl w:val="B767B1B5"/>
    <w:lvl w:ilvl="0" w:tentative="0">
      <w:start w:val="1"/>
      <w:numFmt w:val="chineseCounting"/>
      <w:suff w:val="space"/>
      <w:lvlText w:val="第%1章"/>
      <w:lvlJc w:val="left"/>
      <w:rPr>
        <w:rFonts w:hint="eastAsia"/>
      </w:rPr>
    </w:lvl>
  </w:abstractNum>
  <w:abstractNum w:abstractNumId="2">
    <w:nsid w:val="BA168800"/>
    <w:multiLevelType w:val="singleLevel"/>
    <w:tmpl w:val="BA168800"/>
    <w:lvl w:ilvl="0" w:tentative="0">
      <w:start w:val="1"/>
      <w:numFmt w:val="decimal"/>
      <w:lvlText w:val="(%1)"/>
      <w:lvlJc w:val="left"/>
      <w:pPr>
        <w:tabs>
          <w:tab w:val="left" w:pos="312"/>
        </w:tabs>
      </w:pPr>
    </w:lvl>
  </w:abstractNum>
  <w:abstractNum w:abstractNumId="3">
    <w:nsid w:val="E2769017"/>
    <w:multiLevelType w:val="singleLevel"/>
    <w:tmpl w:val="E2769017"/>
    <w:lvl w:ilvl="0" w:tentative="0">
      <w:start w:val="1"/>
      <w:numFmt w:val="decimal"/>
      <w:suff w:val="nothing"/>
      <w:lvlText w:val="%1、"/>
      <w:lvlJc w:val="left"/>
      <w:pPr>
        <w:ind w:left="480" w:firstLine="0"/>
      </w:pPr>
    </w:lvl>
  </w:abstractNum>
  <w:abstractNum w:abstractNumId="4">
    <w:nsid w:val="0000000E"/>
    <w:multiLevelType w:val="singleLevel"/>
    <w:tmpl w:val="0000000E"/>
    <w:lvl w:ilvl="0" w:tentative="0">
      <w:start w:val="1"/>
      <w:numFmt w:val="chineseCounting"/>
      <w:suff w:val="nothing"/>
      <w:lvlText w:val="%1、"/>
      <w:lvlJc w:val="left"/>
    </w:lvl>
  </w:abstractNum>
  <w:abstractNum w:abstractNumId="5">
    <w:nsid w:val="09226B99"/>
    <w:multiLevelType w:val="singleLevel"/>
    <w:tmpl w:val="09226B99"/>
    <w:lvl w:ilvl="0" w:tentative="0">
      <w:start w:val="1"/>
      <w:numFmt w:val="decimal"/>
      <w:lvlText w:val="(%1)"/>
      <w:lvlJc w:val="left"/>
      <w:pPr>
        <w:tabs>
          <w:tab w:val="left" w:pos="312"/>
        </w:tabs>
      </w:pPr>
    </w:lvl>
  </w:abstractNum>
  <w:abstractNum w:abstractNumId="6">
    <w:nsid w:val="1BD605A6"/>
    <w:multiLevelType w:val="multilevel"/>
    <w:tmpl w:val="1BD605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20C153B"/>
    <w:multiLevelType w:val="multilevel"/>
    <w:tmpl w:val="420C153B"/>
    <w:lvl w:ilvl="0" w:tentative="0">
      <w:start w:val="1"/>
      <w:numFmt w:val="decimal"/>
      <w:pStyle w:val="4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4491FF24"/>
    <w:multiLevelType w:val="singleLevel"/>
    <w:tmpl w:val="4491FF24"/>
    <w:lvl w:ilvl="0" w:tentative="0">
      <w:start w:val="1"/>
      <w:numFmt w:val="decimal"/>
      <w:lvlText w:val="%1."/>
      <w:lvlJc w:val="left"/>
      <w:pPr>
        <w:ind w:left="425" w:hanging="425"/>
      </w:pPr>
      <w:rPr>
        <w:rFonts w:hint="default"/>
      </w:rPr>
    </w:lvl>
  </w:abstractNum>
  <w:abstractNum w:abstractNumId="9">
    <w:nsid w:val="561B220F"/>
    <w:multiLevelType w:val="singleLevel"/>
    <w:tmpl w:val="561B220F"/>
    <w:lvl w:ilvl="0" w:tentative="0">
      <w:start w:val="2"/>
      <w:numFmt w:val="decimal"/>
      <w:suff w:val="nothing"/>
      <w:lvlText w:val="%1."/>
      <w:lvlJc w:val="left"/>
    </w:lvl>
  </w:abstractNum>
  <w:abstractNum w:abstractNumId="10">
    <w:nsid w:val="7F896FB2"/>
    <w:multiLevelType w:val="multilevel"/>
    <w:tmpl w:val="7F896FB2"/>
    <w:lvl w:ilvl="0" w:tentative="0">
      <w:start w:val="1"/>
      <w:numFmt w:val="chineseCountingThousand"/>
      <w:suff w:val="space"/>
      <w:lvlText w:val="第%1章"/>
      <w:lvlJc w:val="left"/>
      <w:pPr>
        <w:ind w:left="3686" w:firstLine="0"/>
      </w:pPr>
      <w:rPr>
        <w:rFonts w:hint="default" w:ascii="Arial" w:hAnsi="Arial" w:eastAsia="黑体"/>
        <w:b w:val="0"/>
        <w:i w:val="0"/>
        <w:color w:val="auto"/>
        <w:sz w:val="32"/>
        <w:u w:val="none"/>
      </w:rPr>
    </w:lvl>
    <w:lvl w:ilvl="1" w:tentative="0">
      <w:start w:val="1"/>
      <w:numFmt w:val="chineseCountingThousand"/>
      <w:suff w:val="space"/>
      <w:lvlText w:val="第%2节"/>
      <w:lvlJc w:val="left"/>
      <w:pPr>
        <w:ind w:left="0" w:firstLine="0"/>
      </w:pPr>
      <w:rPr>
        <w:rFonts w:ascii="Arial" w:hAnsi="Arial" w:eastAsia="楷体_GB2312"/>
        <w:b w:val="0"/>
        <w:i w:val="0"/>
        <w:color w:val="auto"/>
        <w:sz w:val="32"/>
        <w:u w:val="none"/>
      </w:rPr>
    </w:lvl>
    <w:lvl w:ilvl="2" w:tentative="0">
      <w:start w:val="1"/>
      <w:numFmt w:val="japaneseCounting"/>
      <w:lvlRestart w:val="0"/>
      <w:pStyle w:val="16"/>
      <w:suff w:val="space"/>
      <w:lvlText w:val="第%3条"/>
      <w:lvlJc w:val="left"/>
      <w:pPr>
        <w:ind w:left="1418" w:firstLine="0"/>
      </w:pPr>
      <w:rPr>
        <w:rFonts w:hint="eastAsia" w:ascii="仿宋_GB2312" w:hAnsi="黑体" w:eastAsia="仿宋_GB2312" w:cs="Times New Roman"/>
        <w:b/>
        <w:i w:val="0"/>
        <w:sz w:val="32"/>
        <w:u w:val="none"/>
      </w:rPr>
    </w:lvl>
    <w:lvl w:ilvl="3" w:tentative="0">
      <w:start w:val="1"/>
      <w:numFmt w:val="chineseCountingThousand"/>
      <w:suff w:val="space"/>
      <w:lvlText w:val="（%4）"/>
      <w:lvlJc w:val="left"/>
      <w:pPr>
        <w:ind w:left="0" w:firstLine="0"/>
      </w:pPr>
      <w:rPr>
        <w:rFonts w:hint="default" w:ascii="Arial" w:hAnsi="Arial" w:eastAsia="仿宋_GB2312"/>
        <w:b w:val="0"/>
        <w:i w:val="0"/>
        <w:color w:val="auto"/>
        <w:sz w:val="32"/>
      </w:rPr>
    </w:lvl>
    <w:lvl w:ilvl="4" w:tentative="0">
      <w:start w:val="1"/>
      <w:numFmt w:val="decimal"/>
      <w:suff w:val="space"/>
      <w:lvlText w:val="%5．"/>
      <w:lvlJc w:val="left"/>
      <w:pPr>
        <w:ind w:left="0" w:firstLine="0"/>
      </w:pPr>
      <w:rPr>
        <w:rFonts w:hint="default" w:ascii="Times New Roman" w:hAnsi="Times New Roman" w:eastAsia="仿宋_GB2312"/>
        <w:b w:val="0"/>
        <w:i w:val="0"/>
        <w:color w:val="auto"/>
        <w:sz w:val="32"/>
      </w:rPr>
    </w:lvl>
    <w:lvl w:ilvl="5" w:tentative="0">
      <w:start w:val="1"/>
      <w:numFmt w:val="decimal"/>
      <w:suff w:val="space"/>
      <w:lvlText w:val="（%6）"/>
      <w:lvlJc w:val="left"/>
      <w:pPr>
        <w:ind w:left="0" w:firstLine="0"/>
      </w:pPr>
      <w:rPr>
        <w:rFonts w:hint="default" w:ascii="Arial" w:hAnsi="Arial" w:eastAsia="仿宋_GB2312"/>
        <w:b w:val="0"/>
        <w:i w:val="0"/>
        <w:color w:val="auto"/>
        <w:sz w:val="28"/>
      </w:rPr>
    </w:lvl>
    <w:lvl w:ilvl="6" w:tentative="0">
      <w:start w:val="1"/>
      <w:numFmt w:val="none"/>
      <w:suff w:val="nothing"/>
      <w:lvlText w:val="%7"/>
      <w:lvlJc w:val="left"/>
      <w:pPr>
        <w:ind w:left="0" w:firstLine="0"/>
      </w:pPr>
      <w:rPr>
        <w:rFonts w:hint="eastAsia"/>
      </w:rPr>
    </w:lvl>
    <w:lvl w:ilvl="7" w:tentative="0">
      <w:start w:val="1"/>
      <w:numFmt w:val="none"/>
      <w:suff w:val="nothing"/>
      <w:lvlText w:val="%8"/>
      <w:lvlJc w:val="left"/>
      <w:pPr>
        <w:ind w:left="0" w:firstLine="0"/>
      </w:pPr>
      <w:rPr>
        <w:rFonts w:hint="eastAsia"/>
      </w:rPr>
    </w:lvl>
    <w:lvl w:ilvl="8" w:tentative="0">
      <w:start w:val="1"/>
      <w:numFmt w:val="none"/>
      <w:suff w:val="nothing"/>
      <w:lvlText w:val="%9"/>
      <w:lvlJc w:val="left"/>
      <w:pPr>
        <w:ind w:left="0" w:firstLine="0"/>
      </w:pPr>
      <w:rPr>
        <w:rFonts w:hint="eastAsia"/>
      </w:rPr>
    </w:lvl>
  </w:abstractNum>
  <w:num w:numId="1">
    <w:abstractNumId w:val="10"/>
  </w:num>
  <w:num w:numId="2">
    <w:abstractNumId w:val="7"/>
  </w:num>
  <w:num w:numId="3">
    <w:abstractNumId w:val="1"/>
  </w:num>
  <w:num w:numId="4">
    <w:abstractNumId w:val="8"/>
  </w:num>
  <w:num w:numId="5">
    <w:abstractNumId w:val="2"/>
  </w:num>
  <w:num w:numId="6">
    <w:abstractNumId w:val="6"/>
  </w:num>
  <w:num w:numId="7">
    <w:abstractNumId w:val="4"/>
  </w:num>
  <w:num w:numId="8">
    <w:abstractNumId w:val="5"/>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3MzA2MTExYWMzMmY5OWE3Zjk3ZmM5MTFmNWJmYTMifQ=="/>
  </w:docVars>
  <w:rsids>
    <w:rsidRoot w:val="3A3E1146"/>
    <w:rsid w:val="00123953"/>
    <w:rsid w:val="006C21B0"/>
    <w:rsid w:val="007D3EB8"/>
    <w:rsid w:val="00C11BB0"/>
    <w:rsid w:val="016E61AB"/>
    <w:rsid w:val="01CD2D56"/>
    <w:rsid w:val="029B159F"/>
    <w:rsid w:val="02EA3A9D"/>
    <w:rsid w:val="03165767"/>
    <w:rsid w:val="034C4B6E"/>
    <w:rsid w:val="039A1923"/>
    <w:rsid w:val="03B278E6"/>
    <w:rsid w:val="03C6567D"/>
    <w:rsid w:val="04D17C21"/>
    <w:rsid w:val="04EF5567"/>
    <w:rsid w:val="05170344"/>
    <w:rsid w:val="05203DC1"/>
    <w:rsid w:val="05910B93"/>
    <w:rsid w:val="061301D1"/>
    <w:rsid w:val="06725D8D"/>
    <w:rsid w:val="06CA5213"/>
    <w:rsid w:val="06F63304"/>
    <w:rsid w:val="072A1B9B"/>
    <w:rsid w:val="076C2DD1"/>
    <w:rsid w:val="078D3673"/>
    <w:rsid w:val="07B1271A"/>
    <w:rsid w:val="07DA7079"/>
    <w:rsid w:val="07DF3389"/>
    <w:rsid w:val="085E70D1"/>
    <w:rsid w:val="08610359"/>
    <w:rsid w:val="08BB6344"/>
    <w:rsid w:val="08CA666F"/>
    <w:rsid w:val="091827FE"/>
    <w:rsid w:val="09206705"/>
    <w:rsid w:val="092B3874"/>
    <w:rsid w:val="0A8E1D95"/>
    <w:rsid w:val="0AD6348A"/>
    <w:rsid w:val="0B5C03AF"/>
    <w:rsid w:val="0B8C3E12"/>
    <w:rsid w:val="0B9A1410"/>
    <w:rsid w:val="0BD32CF6"/>
    <w:rsid w:val="0C7B256F"/>
    <w:rsid w:val="0CD70341"/>
    <w:rsid w:val="0CE17CAE"/>
    <w:rsid w:val="0D4F5010"/>
    <w:rsid w:val="0DF02FC6"/>
    <w:rsid w:val="0EEA6178"/>
    <w:rsid w:val="0F05649B"/>
    <w:rsid w:val="0F145B27"/>
    <w:rsid w:val="0F225629"/>
    <w:rsid w:val="0F227CFE"/>
    <w:rsid w:val="0F2F1E09"/>
    <w:rsid w:val="0F381D7B"/>
    <w:rsid w:val="0F7E0E73"/>
    <w:rsid w:val="0F9D4547"/>
    <w:rsid w:val="0FF46A27"/>
    <w:rsid w:val="109C4E41"/>
    <w:rsid w:val="109E41F1"/>
    <w:rsid w:val="10A74BAE"/>
    <w:rsid w:val="10ED4EC1"/>
    <w:rsid w:val="115C06FE"/>
    <w:rsid w:val="11F65593"/>
    <w:rsid w:val="1225502D"/>
    <w:rsid w:val="122574BC"/>
    <w:rsid w:val="12273C58"/>
    <w:rsid w:val="12316C28"/>
    <w:rsid w:val="12CB7D62"/>
    <w:rsid w:val="12F36384"/>
    <w:rsid w:val="138A0316"/>
    <w:rsid w:val="13B647DF"/>
    <w:rsid w:val="13E85A18"/>
    <w:rsid w:val="14556AED"/>
    <w:rsid w:val="148F527B"/>
    <w:rsid w:val="149E0624"/>
    <w:rsid w:val="14A36A7A"/>
    <w:rsid w:val="14B946FD"/>
    <w:rsid w:val="14D6324F"/>
    <w:rsid w:val="14DE5A8F"/>
    <w:rsid w:val="14E17D53"/>
    <w:rsid w:val="151537A6"/>
    <w:rsid w:val="159106BF"/>
    <w:rsid w:val="159D4B1F"/>
    <w:rsid w:val="15A92BD3"/>
    <w:rsid w:val="15AA2C29"/>
    <w:rsid w:val="15AB5EBA"/>
    <w:rsid w:val="15E42046"/>
    <w:rsid w:val="160550C9"/>
    <w:rsid w:val="16165636"/>
    <w:rsid w:val="167F1A1D"/>
    <w:rsid w:val="16950915"/>
    <w:rsid w:val="16B130CB"/>
    <w:rsid w:val="17265EF8"/>
    <w:rsid w:val="17AA65AD"/>
    <w:rsid w:val="17C249B3"/>
    <w:rsid w:val="1855383A"/>
    <w:rsid w:val="18566788"/>
    <w:rsid w:val="18B82B11"/>
    <w:rsid w:val="18D749A2"/>
    <w:rsid w:val="199B7755"/>
    <w:rsid w:val="19A40A22"/>
    <w:rsid w:val="19AA77DF"/>
    <w:rsid w:val="19F373AA"/>
    <w:rsid w:val="1A330A18"/>
    <w:rsid w:val="1A506677"/>
    <w:rsid w:val="1A515CFE"/>
    <w:rsid w:val="1A8B185A"/>
    <w:rsid w:val="1B025B91"/>
    <w:rsid w:val="1B0604F0"/>
    <w:rsid w:val="1B314141"/>
    <w:rsid w:val="1B553555"/>
    <w:rsid w:val="1B782380"/>
    <w:rsid w:val="1C262333"/>
    <w:rsid w:val="1C5514CB"/>
    <w:rsid w:val="1C9753F9"/>
    <w:rsid w:val="1CBB4CEA"/>
    <w:rsid w:val="1CD0411B"/>
    <w:rsid w:val="1D225130"/>
    <w:rsid w:val="1D5E11F7"/>
    <w:rsid w:val="1D850600"/>
    <w:rsid w:val="1D951C8F"/>
    <w:rsid w:val="1E585A9B"/>
    <w:rsid w:val="1E875215"/>
    <w:rsid w:val="1EBB3A0B"/>
    <w:rsid w:val="1F3B1493"/>
    <w:rsid w:val="1F4F2B0F"/>
    <w:rsid w:val="1F6E6D87"/>
    <w:rsid w:val="1FA12306"/>
    <w:rsid w:val="1FA91635"/>
    <w:rsid w:val="1FC16B99"/>
    <w:rsid w:val="20271CC8"/>
    <w:rsid w:val="2027280B"/>
    <w:rsid w:val="208F6602"/>
    <w:rsid w:val="20B7160C"/>
    <w:rsid w:val="20B91CE4"/>
    <w:rsid w:val="20C756B8"/>
    <w:rsid w:val="211F4A87"/>
    <w:rsid w:val="213B68AD"/>
    <w:rsid w:val="224D0523"/>
    <w:rsid w:val="22660462"/>
    <w:rsid w:val="22EC4B6D"/>
    <w:rsid w:val="231B6DD4"/>
    <w:rsid w:val="232C2B22"/>
    <w:rsid w:val="234522A4"/>
    <w:rsid w:val="2347561E"/>
    <w:rsid w:val="23645D40"/>
    <w:rsid w:val="2382382F"/>
    <w:rsid w:val="23C31737"/>
    <w:rsid w:val="24253E98"/>
    <w:rsid w:val="258A5B34"/>
    <w:rsid w:val="25E151CB"/>
    <w:rsid w:val="25E37751"/>
    <w:rsid w:val="25FC109E"/>
    <w:rsid w:val="266E3A32"/>
    <w:rsid w:val="267F648B"/>
    <w:rsid w:val="26AE6D2F"/>
    <w:rsid w:val="26DA109E"/>
    <w:rsid w:val="278F1023"/>
    <w:rsid w:val="27C326B5"/>
    <w:rsid w:val="27F51BAC"/>
    <w:rsid w:val="28490586"/>
    <w:rsid w:val="28950E82"/>
    <w:rsid w:val="29033504"/>
    <w:rsid w:val="29507EBD"/>
    <w:rsid w:val="29C6398F"/>
    <w:rsid w:val="2A510807"/>
    <w:rsid w:val="2A7918AF"/>
    <w:rsid w:val="2AB654B5"/>
    <w:rsid w:val="2AC92B95"/>
    <w:rsid w:val="2AC94BBC"/>
    <w:rsid w:val="2AED223B"/>
    <w:rsid w:val="2AFB0728"/>
    <w:rsid w:val="2B007644"/>
    <w:rsid w:val="2B11417F"/>
    <w:rsid w:val="2B215C77"/>
    <w:rsid w:val="2B5A7C7C"/>
    <w:rsid w:val="2B6D7311"/>
    <w:rsid w:val="2BC17F83"/>
    <w:rsid w:val="2BC902D5"/>
    <w:rsid w:val="2BE643B4"/>
    <w:rsid w:val="2C8068DD"/>
    <w:rsid w:val="2C972810"/>
    <w:rsid w:val="2CCC5388"/>
    <w:rsid w:val="2CD0204F"/>
    <w:rsid w:val="2D17277F"/>
    <w:rsid w:val="2D2350AE"/>
    <w:rsid w:val="2D6C0258"/>
    <w:rsid w:val="2D950228"/>
    <w:rsid w:val="2DC641DF"/>
    <w:rsid w:val="2EAB3BA0"/>
    <w:rsid w:val="2EBA0CEE"/>
    <w:rsid w:val="2EC549F9"/>
    <w:rsid w:val="2EC80C6E"/>
    <w:rsid w:val="2ECA7717"/>
    <w:rsid w:val="2EDF415B"/>
    <w:rsid w:val="2F490108"/>
    <w:rsid w:val="2F7A3A16"/>
    <w:rsid w:val="2FB322A9"/>
    <w:rsid w:val="30115814"/>
    <w:rsid w:val="306A2B50"/>
    <w:rsid w:val="30A53990"/>
    <w:rsid w:val="31307046"/>
    <w:rsid w:val="32721814"/>
    <w:rsid w:val="32806CA0"/>
    <w:rsid w:val="32B653D2"/>
    <w:rsid w:val="32C8659B"/>
    <w:rsid w:val="32D66952"/>
    <w:rsid w:val="32E96D73"/>
    <w:rsid w:val="32F04786"/>
    <w:rsid w:val="3378463D"/>
    <w:rsid w:val="33AF790B"/>
    <w:rsid w:val="34877038"/>
    <w:rsid w:val="34B947A6"/>
    <w:rsid w:val="35301D0A"/>
    <w:rsid w:val="356D07FD"/>
    <w:rsid w:val="35D34053"/>
    <w:rsid w:val="360C2B63"/>
    <w:rsid w:val="361707D4"/>
    <w:rsid w:val="365B0D17"/>
    <w:rsid w:val="36B4463D"/>
    <w:rsid w:val="36F17A91"/>
    <w:rsid w:val="3701709F"/>
    <w:rsid w:val="37563943"/>
    <w:rsid w:val="375D1149"/>
    <w:rsid w:val="37BF18B3"/>
    <w:rsid w:val="37C55598"/>
    <w:rsid w:val="37F60BB6"/>
    <w:rsid w:val="381807A6"/>
    <w:rsid w:val="38717B72"/>
    <w:rsid w:val="39AE491E"/>
    <w:rsid w:val="3A3E1146"/>
    <w:rsid w:val="3AA02AB4"/>
    <w:rsid w:val="3AA2557E"/>
    <w:rsid w:val="3AE2791F"/>
    <w:rsid w:val="3B2E0A9A"/>
    <w:rsid w:val="3B4E004F"/>
    <w:rsid w:val="3B5E633C"/>
    <w:rsid w:val="3B7312B9"/>
    <w:rsid w:val="3B9E47CD"/>
    <w:rsid w:val="3BF87588"/>
    <w:rsid w:val="3C8A3384"/>
    <w:rsid w:val="3C9147FD"/>
    <w:rsid w:val="3CD75376"/>
    <w:rsid w:val="3E50538B"/>
    <w:rsid w:val="3E6D1E04"/>
    <w:rsid w:val="3EAD4561"/>
    <w:rsid w:val="3EDA5FC1"/>
    <w:rsid w:val="3F045075"/>
    <w:rsid w:val="3F1F44E6"/>
    <w:rsid w:val="3F7015CA"/>
    <w:rsid w:val="3F72705C"/>
    <w:rsid w:val="3F857D7B"/>
    <w:rsid w:val="407D1B7C"/>
    <w:rsid w:val="40AA3F16"/>
    <w:rsid w:val="41197C65"/>
    <w:rsid w:val="413E2C75"/>
    <w:rsid w:val="416D4016"/>
    <w:rsid w:val="4191580E"/>
    <w:rsid w:val="42433FFC"/>
    <w:rsid w:val="426B5681"/>
    <w:rsid w:val="42727268"/>
    <w:rsid w:val="42C944B4"/>
    <w:rsid w:val="42D77C69"/>
    <w:rsid w:val="43071151"/>
    <w:rsid w:val="431C530E"/>
    <w:rsid w:val="43882435"/>
    <w:rsid w:val="44136783"/>
    <w:rsid w:val="44180D30"/>
    <w:rsid w:val="44233E12"/>
    <w:rsid w:val="446A46FF"/>
    <w:rsid w:val="44E20B2F"/>
    <w:rsid w:val="44EB0FE7"/>
    <w:rsid w:val="456B41CA"/>
    <w:rsid w:val="46023D44"/>
    <w:rsid w:val="462676C7"/>
    <w:rsid w:val="46432FE7"/>
    <w:rsid w:val="4645263F"/>
    <w:rsid w:val="47756788"/>
    <w:rsid w:val="47783365"/>
    <w:rsid w:val="47E10C1D"/>
    <w:rsid w:val="4849040E"/>
    <w:rsid w:val="491D3164"/>
    <w:rsid w:val="49DD7893"/>
    <w:rsid w:val="4AA757D8"/>
    <w:rsid w:val="4AB03279"/>
    <w:rsid w:val="4AEC1002"/>
    <w:rsid w:val="4B391DA4"/>
    <w:rsid w:val="4B5E6486"/>
    <w:rsid w:val="4BD874FD"/>
    <w:rsid w:val="4C3F5444"/>
    <w:rsid w:val="4C682E9E"/>
    <w:rsid w:val="4CFF4B86"/>
    <w:rsid w:val="4D165792"/>
    <w:rsid w:val="4D505D9D"/>
    <w:rsid w:val="4D7B3677"/>
    <w:rsid w:val="4DEC63D5"/>
    <w:rsid w:val="4E885413"/>
    <w:rsid w:val="4EB85B10"/>
    <w:rsid w:val="4ED14E60"/>
    <w:rsid w:val="4EDC1005"/>
    <w:rsid w:val="4EFB083B"/>
    <w:rsid w:val="4F1C0718"/>
    <w:rsid w:val="4F6C0F32"/>
    <w:rsid w:val="4F97095A"/>
    <w:rsid w:val="4F9D514F"/>
    <w:rsid w:val="4FD6333A"/>
    <w:rsid w:val="4FE95150"/>
    <w:rsid w:val="4FE95A43"/>
    <w:rsid w:val="5020130B"/>
    <w:rsid w:val="50525383"/>
    <w:rsid w:val="50747B0E"/>
    <w:rsid w:val="50800F31"/>
    <w:rsid w:val="5093166F"/>
    <w:rsid w:val="50BC1CEC"/>
    <w:rsid w:val="52036385"/>
    <w:rsid w:val="520839FB"/>
    <w:rsid w:val="522C1C1A"/>
    <w:rsid w:val="52C35EA9"/>
    <w:rsid w:val="52DC0ADC"/>
    <w:rsid w:val="53301AB0"/>
    <w:rsid w:val="53415339"/>
    <w:rsid w:val="544A07D5"/>
    <w:rsid w:val="545876CF"/>
    <w:rsid w:val="54DA3940"/>
    <w:rsid w:val="55074B5A"/>
    <w:rsid w:val="550943BB"/>
    <w:rsid w:val="556B36EA"/>
    <w:rsid w:val="565A22EB"/>
    <w:rsid w:val="56C6140B"/>
    <w:rsid w:val="56FD461C"/>
    <w:rsid w:val="573C60CD"/>
    <w:rsid w:val="577C783C"/>
    <w:rsid w:val="57BF5BC4"/>
    <w:rsid w:val="57CC0FC7"/>
    <w:rsid w:val="57EB0119"/>
    <w:rsid w:val="58213456"/>
    <w:rsid w:val="583C32DB"/>
    <w:rsid w:val="58466D6B"/>
    <w:rsid w:val="589A4315"/>
    <w:rsid w:val="58B37ACE"/>
    <w:rsid w:val="58E34547"/>
    <w:rsid w:val="594D5C94"/>
    <w:rsid w:val="594E75CA"/>
    <w:rsid w:val="59D851F4"/>
    <w:rsid w:val="5A6C40FE"/>
    <w:rsid w:val="5A8C0D65"/>
    <w:rsid w:val="5ACF2A49"/>
    <w:rsid w:val="5B2345DF"/>
    <w:rsid w:val="5B270FCB"/>
    <w:rsid w:val="5B286BC6"/>
    <w:rsid w:val="5BE34E7F"/>
    <w:rsid w:val="5BEC49BF"/>
    <w:rsid w:val="5C350A03"/>
    <w:rsid w:val="5C913694"/>
    <w:rsid w:val="5CE5235B"/>
    <w:rsid w:val="5CE736C2"/>
    <w:rsid w:val="5D2A2CDF"/>
    <w:rsid w:val="5D361F20"/>
    <w:rsid w:val="5D42351E"/>
    <w:rsid w:val="5D4855EF"/>
    <w:rsid w:val="5E990595"/>
    <w:rsid w:val="5F29089D"/>
    <w:rsid w:val="5F4F0039"/>
    <w:rsid w:val="5F5003C9"/>
    <w:rsid w:val="5FA33C2A"/>
    <w:rsid w:val="5FB76F8F"/>
    <w:rsid w:val="5FFF5A4E"/>
    <w:rsid w:val="603E48FF"/>
    <w:rsid w:val="60E43A22"/>
    <w:rsid w:val="6110289B"/>
    <w:rsid w:val="61382BD4"/>
    <w:rsid w:val="61F963FD"/>
    <w:rsid w:val="62095AF3"/>
    <w:rsid w:val="621E5CC2"/>
    <w:rsid w:val="62496437"/>
    <w:rsid w:val="6266165A"/>
    <w:rsid w:val="62E617AF"/>
    <w:rsid w:val="63086863"/>
    <w:rsid w:val="633E13D1"/>
    <w:rsid w:val="63554509"/>
    <w:rsid w:val="63C26728"/>
    <w:rsid w:val="63E427B7"/>
    <w:rsid w:val="640E5125"/>
    <w:rsid w:val="640F72BA"/>
    <w:rsid w:val="642A4B6E"/>
    <w:rsid w:val="6433260C"/>
    <w:rsid w:val="643B477A"/>
    <w:rsid w:val="64767341"/>
    <w:rsid w:val="651F1286"/>
    <w:rsid w:val="65364793"/>
    <w:rsid w:val="653B0F11"/>
    <w:rsid w:val="653E0219"/>
    <w:rsid w:val="65FD18F1"/>
    <w:rsid w:val="662769A1"/>
    <w:rsid w:val="662E56E3"/>
    <w:rsid w:val="667961B0"/>
    <w:rsid w:val="6757143A"/>
    <w:rsid w:val="67FC0B68"/>
    <w:rsid w:val="68370D4F"/>
    <w:rsid w:val="689B650E"/>
    <w:rsid w:val="692E35B4"/>
    <w:rsid w:val="694D210C"/>
    <w:rsid w:val="6977185B"/>
    <w:rsid w:val="699A7F63"/>
    <w:rsid w:val="69EE74C3"/>
    <w:rsid w:val="6A633ABD"/>
    <w:rsid w:val="6AA42BFF"/>
    <w:rsid w:val="6B014A19"/>
    <w:rsid w:val="6B363F94"/>
    <w:rsid w:val="6BA33A90"/>
    <w:rsid w:val="6BB122F3"/>
    <w:rsid w:val="6BF52F1B"/>
    <w:rsid w:val="6C1A1401"/>
    <w:rsid w:val="6C5A499B"/>
    <w:rsid w:val="6CA11A31"/>
    <w:rsid w:val="6CDF1345"/>
    <w:rsid w:val="6D176B31"/>
    <w:rsid w:val="6D1A27C1"/>
    <w:rsid w:val="6E30120B"/>
    <w:rsid w:val="6E4C3863"/>
    <w:rsid w:val="6F951B1C"/>
    <w:rsid w:val="6FB57A55"/>
    <w:rsid w:val="6FCD3700"/>
    <w:rsid w:val="70365640"/>
    <w:rsid w:val="70A67F01"/>
    <w:rsid w:val="70E250CE"/>
    <w:rsid w:val="715B0FAE"/>
    <w:rsid w:val="717C1DA0"/>
    <w:rsid w:val="717C2705"/>
    <w:rsid w:val="71CB2A38"/>
    <w:rsid w:val="72014BEC"/>
    <w:rsid w:val="726D27FA"/>
    <w:rsid w:val="72CF4551"/>
    <w:rsid w:val="72E02E4E"/>
    <w:rsid w:val="732934A9"/>
    <w:rsid w:val="732B4FF0"/>
    <w:rsid w:val="73416AB6"/>
    <w:rsid w:val="734B00AC"/>
    <w:rsid w:val="734F3C71"/>
    <w:rsid w:val="74157ED7"/>
    <w:rsid w:val="749F3E77"/>
    <w:rsid w:val="758C19CA"/>
    <w:rsid w:val="767B3E8C"/>
    <w:rsid w:val="76B82806"/>
    <w:rsid w:val="76CC153F"/>
    <w:rsid w:val="772C7CB7"/>
    <w:rsid w:val="77434EA2"/>
    <w:rsid w:val="7761127E"/>
    <w:rsid w:val="77C53203"/>
    <w:rsid w:val="77E4179D"/>
    <w:rsid w:val="7897512C"/>
    <w:rsid w:val="78A47CB4"/>
    <w:rsid w:val="79150307"/>
    <w:rsid w:val="796647E3"/>
    <w:rsid w:val="79880533"/>
    <w:rsid w:val="79AC325B"/>
    <w:rsid w:val="79D479CC"/>
    <w:rsid w:val="79EB31D2"/>
    <w:rsid w:val="79EF3BFA"/>
    <w:rsid w:val="7A0E42D7"/>
    <w:rsid w:val="7A225F2E"/>
    <w:rsid w:val="7A2930AA"/>
    <w:rsid w:val="7A6A04A0"/>
    <w:rsid w:val="7B004782"/>
    <w:rsid w:val="7B087FDE"/>
    <w:rsid w:val="7B173FF9"/>
    <w:rsid w:val="7B4052F0"/>
    <w:rsid w:val="7B413E20"/>
    <w:rsid w:val="7B5D748F"/>
    <w:rsid w:val="7BC44A99"/>
    <w:rsid w:val="7C592656"/>
    <w:rsid w:val="7D46736C"/>
    <w:rsid w:val="7D7A30EF"/>
    <w:rsid w:val="7D957F29"/>
    <w:rsid w:val="7DA43EDD"/>
    <w:rsid w:val="7DAF3D55"/>
    <w:rsid w:val="7E6E6608"/>
    <w:rsid w:val="7E771BAC"/>
    <w:rsid w:val="7E775614"/>
    <w:rsid w:val="7E800BC1"/>
    <w:rsid w:val="7E980545"/>
    <w:rsid w:val="7ED964CE"/>
    <w:rsid w:val="7EE47560"/>
    <w:rsid w:val="7FD27EAE"/>
    <w:rsid w:val="7FD447D6"/>
    <w:rsid w:val="7FDE1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adjustRightInd w:val="0"/>
      <w:snapToGrid w:val="0"/>
      <w:spacing w:line="360" w:lineRule="auto"/>
      <w:jc w:val="center"/>
      <w:outlineLvl w:val="0"/>
    </w:pPr>
    <w:rPr>
      <w:b/>
      <w:sz w:val="44"/>
    </w:rPr>
  </w:style>
  <w:style w:type="paragraph" w:styleId="3">
    <w:name w:val="heading 2"/>
    <w:basedOn w:val="1"/>
    <w:next w:val="4"/>
    <w:qFormat/>
    <w:uiPriority w:val="99"/>
    <w:pPr>
      <w:keepNext/>
      <w:keepLines/>
      <w:adjustRightInd w:val="0"/>
      <w:snapToGrid w:val="0"/>
      <w:spacing w:line="360" w:lineRule="auto"/>
      <w:jc w:val="center"/>
      <w:outlineLvl w:val="1"/>
    </w:pPr>
    <w:rPr>
      <w:rFonts w:ascii="Arial" w:hAnsi="Arial"/>
      <w:b/>
      <w:bCs/>
      <w:sz w:val="32"/>
      <w:szCs w:val="32"/>
    </w:rPr>
  </w:style>
  <w:style w:type="paragraph" w:styleId="5">
    <w:name w:val="heading 3"/>
    <w:basedOn w:val="1"/>
    <w:next w:val="1"/>
    <w:qFormat/>
    <w:uiPriority w:val="99"/>
    <w:pPr>
      <w:keepNext/>
      <w:keepLines/>
      <w:spacing w:before="260" w:after="260" w:line="416" w:lineRule="auto"/>
      <w:outlineLvl w:val="2"/>
    </w:pPr>
    <w:rPr>
      <w:b/>
      <w:bCs/>
      <w:sz w:val="32"/>
      <w:szCs w:val="32"/>
    </w:rPr>
  </w:style>
  <w:style w:type="paragraph" w:styleId="6">
    <w:name w:val="heading 4"/>
    <w:basedOn w:val="1"/>
    <w:next w:val="1"/>
    <w:qFormat/>
    <w:uiPriority w:val="99"/>
    <w:pPr>
      <w:keepNext/>
      <w:keepLines/>
      <w:spacing w:before="280" w:after="290" w:line="376" w:lineRule="auto"/>
      <w:outlineLvl w:val="3"/>
    </w:pPr>
    <w:rPr>
      <w:rFonts w:ascii="Cambria" w:hAnsi="Cambria"/>
      <w:b/>
      <w:bCs/>
      <w:sz w:val="28"/>
      <w:szCs w:val="28"/>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7">
    <w:name w:val="Default Paragraph Font"/>
    <w:link w:val="28"/>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ind w:firstLine="420" w:firstLineChars="200"/>
    </w:pPr>
    <w:rPr>
      <w:rFonts w:ascii="Calibri" w:hAnsi="Calibri"/>
      <w:kern w:val="0"/>
      <w:sz w:val="20"/>
    </w:rPr>
  </w:style>
  <w:style w:type="paragraph" w:styleId="8">
    <w:name w:val="Body Text 3"/>
    <w:basedOn w:val="1"/>
    <w:qFormat/>
    <w:uiPriority w:val="99"/>
    <w:pPr>
      <w:spacing w:after="120"/>
    </w:pPr>
    <w:rPr>
      <w:sz w:val="16"/>
      <w:szCs w:val="16"/>
    </w:rPr>
  </w:style>
  <w:style w:type="paragraph" w:styleId="9">
    <w:name w:val="Body Text"/>
    <w:basedOn w:val="1"/>
    <w:qFormat/>
    <w:uiPriority w:val="99"/>
    <w:pPr>
      <w:spacing w:after="120"/>
    </w:pPr>
    <w:rPr>
      <w:szCs w:val="24"/>
    </w:rPr>
  </w:style>
  <w:style w:type="paragraph" w:styleId="10">
    <w:name w:val="Body Text Indent"/>
    <w:basedOn w:val="1"/>
    <w:qFormat/>
    <w:uiPriority w:val="0"/>
    <w:pPr>
      <w:ind w:left="1083" w:leftChars="30" w:hanging="1020" w:hangingChars="425"/>
    </w:pPr>
    <w:rPr>
      <w:rFonts w:ascii="宋体" w:hAnsi="宋体"/>
      <w:sz w:val="24"/>
    </w:rPr>
  </w:style>
  <w:style w:type="paragraph" w:styleId="11">
    <w:name w:val="List 2"/>
    <w:basedOn w:val="1"/>
    <w:qFormat/>
    <w:uiPriority w:val="0"/>
    <w:pPr>
      <w:spacing w:line="360" w:lineRule="auto"/>
      <w:ind w:left="100" w:leftChars="200" w:hanging="200" w:hangingChars="200"/>
    </w:pPr>
    <w:rPr>
      <w:szCs w:val="20"/>
    </w:rPr>
  </w:style>
  <w:style w:type="paragraph" w:styleId="12">
    <w:name w:val="Block Text"/>
    <w:basedOn w:val="1"/>
    <w:next w:val="13"/>
    <w:qFormat/>
    <w:uiPriority w:val="0"/>
    <w:pPr>
      <w:ind w:left="1440" w:leftChars="700" w:right="700" w:rightChars="700"/>
    </w:pPr>
  </w:style>
  <w:style w:type="paragraph" w:styleId="13">
    <w:name w:val="Plain Text"/>
    <w:basedOn w:val="1"/>
    <w:next w:val="1"/>
    <w:qFormat/>
    <w:uiPriority w:val="99"/>
    <w:rPr>
      <w:rFonts w:ascii="宋体" w:hAnsi="Courier New"/>
    </w:rPr>
  </w:style>
  <w:style w:type="paragraph" w:styleId="14">
    <w:name w:val="Body Text Indent 2"/>
    <w:basedOn w:val="1"/>
    <w:qFormat/>
    <w:uiPriority w:val="0"/>
    <w:pPr>
      <w:autoSpaceDE w:val="0"/>
      <w:autoSpaceDN w:val="0"/>
      <w:adjustRightInd w:val="0"/>
      <w:spacing w:line="640" w:lineRule="exact"/>
      <w:ind w:firstLine="645"/>
    </w:pPr>
    <w:rPr>
      <w:rFonts w:ascii="楷体_GB2312" w:eastAsia="楷体_GB2312"/>
      <w:kern w:val="0"/>
      <w:sz w:val="32"/>
      <w:szCs w:val="32"/>
    </w:rPr>
  </w:style>
  <w:style w:type="paragraph" w:styleId="15">
    <w:name w:val="footer"/>
    <w:basedOn w:val="1"/>
    <w:next w:val="16"/>
    <w:qFormat/>
    <w:uiPriority w:val="99"/>
    <w:pPr>
      <w:tabs>
        <w:tab w:val="center" w:pos="4153"/>
        <w:tab w:val="right" w:pos="8306"/>
      </w:tabs>
      <w:adjustRightInd w:val="0"/>
      <w:spacing w:line="240" w:lineRule="atLeast"/>
      <w:jc w:val="left"/>
      <w:textAlignment w:val="baseline"/>
    </w:pPr>
    <w:rPr>
      <w:kern w:val="0"/>
      <w:sz w:val="18"/>
    </w:rPr>
  </w:style>
  <w:style w:type="paragraph" w:customStyle="1" w:styleId="16">
    <w:name w:val="YS3-条"/>
    <w:basedOn w:val="1"/>
    <w:qFormat/>
    <w:uiPriority w:val="0"/>
    <w:pPr>
      <w:numPr>
        <w:ilvl w:val="2"/>
        <w:numId w:val="1"/>
      </w:numPr>
      <w:adjustRightInd w:val="0"/>
      <w:snapToGrid w:val="0"/>
      <w:spacing w:line="600" w:lineRule="exact"/>
      <w:ind w:left="0" w:firstLine="200"/>
    </w:pPr>
    <w:rPr>
      <w:rFonts w:ascii="仿宋_GB2312" w:hAnsi="黑体" w:eastAsia="仿宋_GB2312"/>
      <w:sz w:val="32"/>
      <w:szCs w:val="32"/>
    </w:rPr>
  </w:style>
  <w:style w:type="paragraph" w:styleId="17">
    <w:name w:val="envelope return"/>
    <w:basedOn w:val="1"/>
    <w:qFormat/>
    <w:uiPriority w:val="0"/>
    <w:pPr>
      <w:snapToGrid w:val="0"/>
    </w:pPr>
    <w:rPr>
      <w:rFonts w:ascii="Arial" w:hAnsi="Arial"/>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Body Text 2"/>
    <w:basedOn w:val="1"/>
    <w:qFormat/>
    <w:uiPriority w:val="0"/>
    <w:rPr>
      <w:rFonts w:ascii="楷体_GB2312" w:hAnsi="Copperplate Gothic Bold" w:eastAsia="楷体_GB2312"/>
      <w:sz w:val="28"/>
    </w:rPr>
  </w:style>
  <w:style w:type="paragraph" w:styleId="22">
    <w:name w:val="Normal (Web)"/>
    <w:basedOn w:val="1"/>
    <w:next w:val="17"/>
    <w:qFormat/>
    <w:uiPriority w:val="99"/>
    <w:pPr>
      <w:widowControl/>
      <w:spacing w:before="100" w:beforeAutospacing="1" w:after="100" w:afterAutospacing="1"/>
      <w:jc w:val="left"/>
    </w:pPr>
    <w:rPr>
      <w:rFonts w:ascii="宋体" w:hAnsi="宋体" w:cs="宋体"/>
      <w:kern w:val="0"/>
      <w:sz w:val="24"/>
      <w:szCs w:val="24"/>
    </w:rPr>
  </w:style>
  <w:style w:type="paragraph" w:styleId="23">
    <w:name w:val="Body Text First Indent"/>
    <w:basedOn w:val="9"/>
    <w:qFormat/>
    <w:uiPriority w:val="0"/>
    <w:pPr>
      <w:adjustRightInd w:val="0"/>
      <w:ind w:firstLine="420"/>
      <w:jc w:val="left"/>
      <w:textAlignment w:val="baseline"/>
    </w:pPr>
    <w:rPr>
      <w:kern w:val="0"/>
      <w:sz w:val="21"/>
    </w:rPr>
  </w:style>
  <w:style w:type="paragraph" w:styleId="24">
    <w:name w:val="Body Text First Indent 2"/>
    <w:basedOn w:val="10"/>
    <w:qFormat/>
    <w:uiPriority w:val="0"/>
    <w:pPr>
      <w:ind w:firstLine="420"/>
    </w:pPr>
    <w:rPr>
      <w:rFonts w:hint="eastAsia"/>
      <w:sz w:val="21"/>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Char"/>
    <w:basedOn w:val="1"/>
    <w:link w:val="27"/>
    <w:qFormat/>
    <w:uiPriority w:val="0"/>
  </w:style>
  <w:style w:type="character" w:styleId="29">
    <w:name w:val="Strong"/>
    <w:basedOn w:val="27"/>
    <w:qFormat/>
    <w:uiPriority w:val="0"/>
    <w:rPr>
      <w:b/>
      <w:bCs/>
    </w:rPr>
  </w:style>
  <w:style w:type="character" w:styleId="30">
    <w:name w:val="page number"/>
    <w:basedOn w:val="27"/>
    <w:qFormat/>
    <w:uiPriority w:val="99"/>
    <w:rPr>
      <w:rFonts w:cs="Times New Roman"/>
    </w:rPr>
  </w:style>
  <w:style w:type="character" w:styleId="31">
    <w:name w:val="FollowedHyperlink"/>
    <w:basedOn w:val="27"/>
    <w:qFormat/>
    <w:uiPriority w:val="0"/>
    <w:rPr>
      <w:color w:val="333333"/>
      <w:u w:val="none"/>
    </w:rPr>
  </w:style>
  <w:style w:type="character" w:styleId="32">
    <w:name w:val="Emphasis"/>
    <w:basedOn w:val="27"/>
    <w:qFormat/>
    <w:uiPriority w:val="0"/>
  </w:style>
  <w:style w:type="character" w:styleId="33">
    <w:name w:val="HTML Definition"/>
    <w:basedOn w:val="27"/>
    <w:qFormat/>
    <w:uiPriority w:val="0"/>
    <w:rPr>
      <w:i/>
      <w:iCs/>
    </w:rPr>
  </w:style>
  <w:style w:type="character" w:styleId="34">
    <w:name w:val="Hyperlink"/>
    <w:basedOn w:val="27"/>
    <w:qFormat/>
    <w:uiPriority w:val="0"/>
    <w:rPr>
      <w:color w:val="333333"/>
      <w:u w:val="none"/>
    </w:rPr>
  </w:style>
  <w:style w:type="character" w:styleId="35">
    <w:name w:val="HTML Code"/>
    <w:basedOn w:val="27"/>
    <w:qFormat/>
    <w:uiPriority w:val="0"/>
    <w:rPr>
      <w:rFonts w:hint="default" w:ascii="Consolas" w:hAnsi="Consolas" w:eastAsia="Consolas" w:cs="Consolas"/>
      <w:color w:val="C7254E"/>
      <w:sz w:val="21"/>
      <w:szCs w:val="21"/>
      <w:shd w:val="clear" w:fill="F9F2F4"/>
    </w:rPr>
  </w:style>
  <w:style w:type="character" w:styleId="36">
    <w:name w:val="HTML Keyboard"/>
    <w:basedOn w:val="27"/>
    <w:qFormat/>
    <w:uiPriority w:val="0"/>
    <w:rPr>
      <w:rFonts w:hint="default" w:ascii="Consolas" w:hAnsi="Consolas" w:eastAsia="Consolas" w:cs="Consolas"/>
      <w:color w:val="FFFFFF"/>
      <w:sz w:val="21"/>
      <w:szCs w:val="21"/>
      <w:shd w:val="clear" w:fill="333333"/>
    </w:rPr>
  </w:style>
  <w:style w:type="character" w:styleId="37">
    <w:name w:val="HTML Sample"/>
    <w:basedOn w:val="27"/>
    <w:qFormat/>
    <w:uiPriority w:val="0"/>
    <w:rPr>
      <w:rFonts w:ascii="Consolas" w:hAnsi="Consolas" w:eastAsia="Consolas" w:cs="Consolas"/>
      <w:sz w:val="21"/>
      <w:szCs w:val="21"/>
    </w:rPr>
  </w:style>
  <w:style w:type="paragraph" w:customStyle="1" w:styleId="38">
    <w:name w:val="正文缩进1"/>
    <w:basedOn w:val="1"/>
    <w:qFormat/>
    <w:uiPriority w:val="0"/>
    <w:pPr>
      <w:ind w:firstLine="420" w:firstLineChars="200"/>
    </w:pPr>
  </w:style>
  <w:style w:type="paragraph" w:customStyle="1" w:styleId="39">
    <w:name w:val="Normal Indent1"/>
    <w:basedOn w:val="1"/>
    <w:qFormat/>
    <w:uiPriority w:val="0"/>
    <w:pPr>
      <w:ind w:firstLine="420" w:firstLineChars="200"/>
    </w:pPr>
  </w:style>
  <w:style w:type="paragraph" w:customStyle="1" w:styleId="40">
    <w:name w:val="样式1"/>
    <w:basedOn w:val="1"/>
    <w:next w:val="1"/>
    <w:qFormat/>
    <w:uiPriority w:val="0"/>
    <w:pPr>
      <w:numPr>
        <w:ilvl w:val="0"/>
        <w:numId w:val="2"/>
      </w:numPr>
      <w:adjustRightInd w:val="0"/>
      <w:textAlignment w:val="baseline"/>
    </w:pPr>
    <w:rPr>
      <w:rFonts w:ascii="宋体" w:hAnsi="宋体"/>
      <w:kern w:val="0"/>
      <w:szCs w:val="21"/>
    </w:rPr>
  </w:style>
  <w:style w:type="paragraph" w:customStyle="1" w:styleId="41">
    <w:name w:val="正式文本"/>
    <w:basedOn w:val="1"/>
    <w:qFormat/>
    <w:uiPriority w:val="0"/>
    <w:pPr>
      <w:spacing w:line="540" w:lineRule="exact"/>
      <w:ind w:firstLine="200" w:firstLineChars="200"/>
    </w:pPr>
    <w:rPr>
      <w:rFonts w:ascii="宋体" w:hAnsi="Arial Narrow" w:eastAsia="宋体" w:cs="Times New Roman"/>
      <w:sz w:val="28"/>
      <w:szCs w:val="24"/>
    </w:rPr>
  </w:style>
  <w:style w:type="paragraph" w:customStyle="1" w:styleId="42">
    <w:name w:val="WPSOffice手动目录 1"/>
    <w:qFormat/>
    <w:uiPriority w:val="0"/>
    <w:rPr>
      <w:rFonts w:ascii="Calibri" w:hAnsi="Calibri" w:eastAsia="宋体" w:cs="Times New Roman"/>
      <w:lang w:val="en-US" w:eastAsia="zh-CN" w:bidi="ar-SA"/>
    </w:rPr>
  </w:style>
  <w:style w:type="paragraph" w:customStyle="1" w:styleId="43">
    <w:name w:val="WPSOffice手动目录 2"/>
    <w:qFormat/>
    <w:uiPriority w:val="0"/>
    <w:pPr>
      <w:ind w:left="200" w:leftChars="200"/>
    </w:pPr>
    <w:rPr>
      <w:rFonts w:ascii="Calibri" w:hAnsi="Calibri" w:eastAsia="宋体" w:cs="Times New Roman"/>
      <w:lang w:val="en-US" w:eastAsia="zh-CN" w:bidi="ar-SA"/>
    </w:rPr>
  </w:style>
  <w:style w:type="paragraph" w:customStyle="1" w:styleId="44">
    <w:name w:val="List Paragraph1"/>
    <w:qFormat/>
    <w:uiPriority w:val="99"/>
    <w:pPr>
      <w:ind w:firstLine="420" w:firstLineChars="200"/>
    </w:pPr>
    <w:rPr>
      <w:rFonts w:ascii="Times New Roman" w:hAnsi="Times New Roman" w:eastAsia="宋体" w:cs="Times New Roman"/>
      <w:lang w:val="en-US" w:eastAsia="zh-CN" w:bidi="ar-SA"/>
    </w:rPr>
  </w:style>
  <w:style w:type="paragraph" w:customStyle="1" w:styleId="45">
    <w:name w:val="样式 标题 2 + Times New Roman 四号 非加粗 段前: 5 磅 段后: 0 磅 行距: 固定值 20..."/>
    <w:basedOn w:val="3"/>
    <w:qFormat/>
    <w:uiPriority w:val="99"/>
    <w:pPr>
      <w:spacing w:before="100" w:line="400" w:lineRule="exact"/>
    </w:pPr>
    <w:rPr>
      <w:rFonts w:ascii="Times New Roman" w:hAnsi="Times New Roman" w:cs="宋体"/>
      <w:b w:val="0"/>
      <w:kern w:val="0"/>
      <w:sz w:val="28"/>
    </w:rPr>
  </w:style>
  <w:style w:type="paragraph" w:customStyle="1" w:styleId="46">
    <w:name w:val="样式 标题 3 + (中文) 黑体 小四 非加粗 段前: 7.8 磅 段后: 0 磅 行距: 固定值 20 磅"/>
    <w:basedOn w:val="5"/>
    <w:next w:val="1"/>
    <w:qFormat/>
    <w:uiPriority w:val="99"/>
    <w:pPr>
      <w:spacing w:before="0" w:after="0" w:line="400" w:lineRule="exact"/>
    </w:pPr>
    <w:rPr>
      <w:rFonts w:hAnsi="Calibri" w:eastAsia="黑体" w:cs="宋体"/>
      <w:b w:val="0"/>
      <w:sz w:val="24"/>
    </w:rPr>
  </w:style>
  <w:style w:type="paragraph" w:styleId="47">
    <w:name w:val="List Paragraph"/>
    <w:basedOn w:val="1"/>
    <w:qFormat/>
    <w:uiPriority w:val="34"/>
    <w:pPr>
      <w:ind w:firstLine="420" w:firstLineChars="200"/>
    </w:pPr>
    <w:rPr>
      <w:rFonts w:ascii="Calibri" w:hAnsi="Calibri"/>
      <w:szCs w:val="22"/>
    </w:rPr>
  </w:style>
  <w:style w:type="paragraph" w:customStyle="1" w:styleId="48">
    <w:name w:val="目录"/>
    <w:basedOn w:val="1"/>
    <w:qFormat/>
    <w:uiPriority w:val="99"/>
    <w:pPr>
      <w:jc w:val="center"/>
    </w:pPr>
    <w:rPr>
      <w:rFonts w:ascii="宋体" w:hAnsi="Calibri"/>
      <w:b/>
      <w:sz w:val="36"/>
      <w:szCs w:val="22"/>
    </w:rPr>
  </w:style>
  <w:style w:type="paragraph" w:customStyle="1" w:styleId="49">
    <w:name w:val="正文样式"/>
    <w:basedOn w:val="1"/>
    <w:qFormat/>
    <w:uiPriority w:val="0"/>
    <w:pPr>
      <w:tabs>
        <w:tab w:val="left" w:pos="1560"/>
      </w:tabs>
      <w:spacing w:before="163" w:after="163" w:line="300" w:lineRule="auto"/>
      <w:ind w:left="1560" w:hanging="360" w:firstLineChars="200"/>
    </w:pPr>
    <w:rPr>
      <w:rFonts w:ascii="宋体" w:hAnsi="等线" w:eastAsia="等线"/>
      <w:sz w:val="24"/>
    </w:rPr>
  </w:style>
  <w:style w:type="paragraph" w:customStyle="1" w:styleId="50">
    <w:name w:val="首行缩进"/>
    <w:basedOn w:val="1"/>
    <w:qFormat/>
    <w:uiPriority w:val="0"/>
    <w:pPr>
      <w:spacing w:line="360" w:lineRule="auto"/>
      <w:ind w:firstLine="480" w:firstLineChars="200"/>
    </w:pPr>
    <w:rPr>
      <w:sz w:val="24"/>
      <w:szCs w:val="22"/>
      <w:lang w:val="zh-CN"/>
    </w:rPr>
  </w:style>
  <w:style w:type="paragraph" w:customStyle="1" w:styleId="51">
    <w:name w:val="Table Paragraph"/>
    <w:basedOn w:val="1"/>
    <w:qFormat/>
    <w:uiPriority w:val="1"/>
    <w:rPr>
      <w:rFonts w:ascii="仿宋" w:hAnsi="仿宋" w:eastAsia="仿宋" w:cs="仿宋"/>
      <w:lang w:val="zh-CN" w:eastAsia="zh-CN" w:bidi="zh-CN"/>
    </w:rPr>
  </w:style>
  <w:style w:type="character" w:customStyle="1" w:styleId="52">
    <w:name w:val="NormalCharacter"/>
    <w:qFormat/>
    <w:uiPriority w:val="0"/>
    <w:rPr>
      <w:kern w:val="2"/>
      <w:sz w:val="21"/>
      <w:lang w:val="en-US" w:eastAsia="zh-CN" w:bidi="ar-SA"/>
    </w:rPr>
  </w:style>
  <w:style w:type="character" w:customStyle="1" w:styleId="53">
    <w:name w:val="old"/>
    <w:basedOn w:val="27"/>
    <w:qFormat/>
    <w:uiPriority w:val="0"/>
    <w:rPr>
      <w:color w:val="999999"/>
    </w:rPr>
  </w:style>
  <w:style w:type="character" w:customStyle="1" w:styleId="54">
    <w:name w:val="hover3"/>
    <w:basedOn w:val="27"/>
    <w:qFormat/>
    <w:uiPriority w:val="0"/>
    <w:rPr>
      <w:shd w:val="clear" w:fill="EEEEEE"/>
    </w:rPr>
  </w:style>
  <w:style w:type="character" w:customStyle="1" w:styleId="55">
    <w:name w:val="indent"/>
    <w:basedOn w:val="27"/>
    <w:qFormat/>
    <w:uiPriority w:val="0"/>
  </w:style>
  <w:style w:type="character" w:customStyle="1" w:styleId="56">
    <w:name w:val="hour_am"/>
    <w:basedOn w:val="27"/>
    <w:qFormat/>
    <w:uiPriority w:val="0"/>
  </w:style>
  <w:style w:type="character" w:customStyle="1" w:styleId="57">
    <w:name w:val="button"/>
    <w:basedOn w:val="27"/>
    <w:qFormat/>
    <w:uiPriority w:val="0"/>
  </w:style>
  <w:style w:type="character" w:customStyle="1" w:styleId="58">
    <w:name w:val="tmpztreemove_arrow"/>
    <w:basedOn w:val="27"/>
    <w:qFormat/>
    <w:uiPriority w:val="0"/>
    <w:rPr>
      <w:shd w:val="clear" w:fill="FFFFFF"/>
    </w:rPr>
  </w:style>
  <w:style w:type="character" w:customStyle="1" w:styleId="59">
    <w:name w:val="hour_pm"/>
    <w:basedOn w:val="27"/>
    <w:qFormat/>
    <w:uiPriority w:val="0"/>
  </w:style>
  <w:style w:type="character" w:customStyle="1" w:styleId="60">
    <w:name w:val="glyphicon4"/>
    <w:basedOn w:val="27"/>
    <w:qFormat/>
    <w:uiPriority w:val="0"/>
  </w:style>
  <w:style w:type="paragraph" w:customStyle="1" w:styleId="61">
    <w:name w:val="设计书正文"/>
    <w:basedOn w:val="14"/>
    <w:qFormat/>
    <w:uiPriority w:val="0"/>
    <w:pPr>
      <w:spacing w:line="360" w:lineRule="auto"/>
      <w:ind w:firstLine="200"/>
      <w:jc w:val="both"/>
    </w:pPr>
  </w:style>
  <w:style w:type="paragraph" w:customStyle="1" w:styleId="6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3">
    <w:name w:val="纯文本1"/>
    <w:basedOn w:val="1"/>
    <w:qFormat/>
    <w:uiPriority w:val="0"/>
    <w:pPr>
      <w:widowControl/>
      <w:spacing w:line="240" w:lineRule="auto"/>
      <w:jc w:val="left"/>
    </w:pPr>
    <w:rPr>
      <w:rFonts w:ascii="Arial" w:hAnsi="仿宋" w:cs="仿宋"/>
      <w:szCs w:val="21"/>
    </w:rPr>
  </w:style>
  <w:style w:type="character" w:customStyle="1" w:styleId="64">
    <w:name w:val="hover"/>
    <w:basedOn w:val="27"/>
    <w:qFormat/>
    <w:uiPriority w:val="0"/>
    <w:rPr>
      <w:shd w:val="clear" w:fill="EEEEEE"/>
    </w:rPr>
  </w:style>
  <w:style w:type="character" w:customStyle="1" w:styleId="65">
    <w:name w:val="glyphicon"/>
    <w:basedOn w:val="27"/>
    <w:qFormat/>
    <w:uiPriority w:val="0"/>
  </w:style>
  <w:style w:type="paragraph" w:customStyle="1" w:styleId="66">
    <w:name w:val=" Char Char1 Char"/>
    <w:basedOn w:val="1"/>
    <w:qFormat/>
    <w:uiPriority w:val="0"/>
    <w:rPr>
      <w:rFonts w:ascii="宋体" w:hAnsi="宋体"/>
      <w:sz w:val="24"/>
    </w:rPr>
  </w:style>
  <w:style w:type="paragraph" w:customStyle="1" w:styleId="67">
    <w:name w:val="正文 New"/>
    <w:qFormat/>
    <w:uiPriority w:val="99"/>
    <w:pPr>
      <w:widowControl w:val="0"/>
      <w:jc w:val="both"/>
    </w:pPr>
    <w:rPr>
      <w:rFonts w:ascii="Calibri" w:hAnsi="Calibri" w:eastAsia="宋体" w:cs="Times New Roman"/>
      <w:lang w:val="en-US" w:eastAsia="zh-CN" w:bidi="ar-SA"/>
    </w:rPr>
  </w:style>
  <w:style w:type="paragraph" w:customStyle="1" w:styleId="6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 Char"/>
    <w:basedOn w:val="1"/>
    <w:qFormat/>
    <w:uiPriority w:val="0"/>
  </w:style>
  <w:style w:type="character" w:customStyle="1" w:styleId="70">
    <w:name w:val="font71"/>
    <w:basedOn w:val="27"/>
    <w:qFormat/>
    <w:uiPriority w:val="0"/>
    <w:rPr>
      <w:rFonts w:hint="eastAsia" w:ascii="微软雅黑" w:hAnsi="微软雅黑" w:eastAsia="微软雅黑" w:cs="微软雅黑"/>
      <w:color w:val="000000"/>
      <w:sz w:val="20"/>
      <w:szCs w:val="20"/>
      <w:u w:val="none"/>
      <w:vertAlign w:val="superscript"/>
    </w:rPr>
  </w:style>
  <w:style w:type="character" w:customStyle="1" w:styleId="71">
    <w:name w:val="font121"/>
    <w:basedOn w:val="27"/>
    <w:qFormat/>
    <w:uiPriority w:val="0"/>
    <w:rPr>
      <w:rFonts w:hint="eastAsia" w:ascii="微软雅黑" w:hAnsi="微软雅黑" w:eastAsia="微软雅黑" w:cs="微软雅黑"/>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529</Words>
  <Characters>631</Characters>
  <Lines>0</Lines>
  <Paragraphs>0</Paragraphs>
  <TotalTime>10</TotalTime>
  <ScaleCrop>false</ScaleCrop>
  <LinksUpToDate>false</LinksUpToDate>
  <CharactersWithSpaces>669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2020-09-29T01:13:00Z</dcterms:created>
  <dc:creator>Administrator</dc:creator>
  <cp:lastModifiedBy>a﹏a    李姣</cp:lastModifiedBy>
  <cp:lastPrinted>2024-12-23T04:43:00Z</cp:lastPrinted>
  <dcterms:modified xsi:type="dcterms:W3CDTF">2025-08-04T12:19:42Z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E47E5BE3F0E14869A3FC0B4747976F4C_13</vt:lpwstr>
  </property>
  <property fmtid="{D5CDD505-2E9C-101B-9397-08002B2CF9AE}" pid="4" name="KSOTemplateDocerSaveRecord">
    <vt:lpwstr>eyJoZGlkIjoiOGE2ZDkxYjViNjY1NjlhYzRkMjg3OGYyODMzMWY3OTAiLCJ1c2VySWQiOiIzNTg2NTMzNTQifQ==</vt:lpwstr>
  </property>
</Properties>
</file>