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70FDA">
      <w:pPr>
        <w:numPr>
          <w:ilvl w:val="0"/>
          <w:numId w:val="0"/>
        </w:numPr>
        <w:rPr>
          <w:rFonts w:hint="eastAsia"/>
          <w:lang w:eastAsia="zh-CN"/>
        </w:rPr>
      </w:pPr>
      <w:bookmarkStart w:id="0" w:name="_GoBack"/>
      <w:bookmarkEnd w:id="0"/>
    </w:p>
    <w:tbl>
      <w:tblPr>
        <w:tblStyle w:val="4"/>
        <w:tblW w:w="8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2"/>
        <w:gridCol w:w="1759"/>
        <w:gridCol w:w="3290"/>
        <w:gridCol w:w="2337"/>
      </w:tblGrid>
      <w:tr w14:paraId="6395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213758">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序号</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190C06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乡镇</w:t>
            </w: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04ADB2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采购数量（盏）</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22DF24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6AF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FE704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21E2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丹州街道办</w:t>
            </w: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5B5CD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0ADBC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灯高6米</w:t>
            </w:r>
          </w:p>
        </w:tc>
      </w:tr>
      <w:tr w14:paraId="2D21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CD3CE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2D681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云岩镇</w:t>
            </w: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5A027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17EFD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灯高6米</w:t>
            </w:r>
          </w:p>
        </w:tc>
      </w:tr>
      <w:tr w14:paraId="2E53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3B842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C011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秋林镇</w:t>
            </w: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0B428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2FC24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灯高6米</w:t>
            </w:r>
          </w:p>
        </w:tc>
      </w:tr>
      <w:tr w14:paraId="14FD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29864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7B0C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英旺乡</w:t>
            </w: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0DF51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3D470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灯高6米</w:t>
            </w:r>
          </w:p>
        </w:tc>
      </w:tr>
      <w:tr w14:paraId="6351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8FACA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D4D1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交里乡</w:t>
            </w: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61B4D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2867F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灯高6米</w:t>
            </w:r>
          </w:p>
        </w:tc>
      </w:tr>
      <w:tr w14:paraId="1C06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704BF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6AD1D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集义镇</w:t>
            </w: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13753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2F55D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灯高6米</w:t>
            </w:r>
          </w:p>
        </w:tc>
      </w:tr>
      <w:tr w14:paraId="1424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67A4F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15322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壶口镇</w:t>
            </w: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2B770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14:paraId="45E9B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灯高8米</w:t>
            </w:r>
          </w:p>
        </w:tc>
      </w:tr>
    </w:tbl>
    <w:p w14:paraId="793CAE26">
      <w:pPr>
        <w:pStyle w:val="3"/>
        <w:ind w:left="0" w:leftChars="0" w:firstLine="0" w:firstLineChars="0"/>
        <w:rPr>
          <w:rFonts w:hint="eastAsia"/>
          <w:color w:val="000000"/>
          <w:lang w:val="en-US" w:eastAsia="zh-CN"/>
        </w:rPr>
      </w:pPr>
    </w:p>
    <w:p w14:paraId="7DEA0EF7">
      <w:pPr>
        <w:numPr>
          <w:ilvl w:val="0"/>
          <w:numId w:val="0"/>
        </w:numPr>
        <w:ind w:leftChars="0"/>
        <w:rPr>
          <w:rFonts w:hint="default"/>
          <w:b/>
          <w:bCs/>
          <w:sz w:val="28"/>
          <w:szCs w:val="36"/>
          <w:lang w:val="en-US" w:eastAsia="zh-CN"/>
        </w:rPr>
      </w:pPr>
      <w:r>
        <w:rPr>
          <w:rFonts w:hint="eastAsia"/>
          <w:b/>
          <w:bCs/>
          <w:sz w:val="28"/>
          <w:szCs w:val="36"/>
          <w:lang w:val="en-US" w:eastAsia="zh-CN"/>
        </w:rPr>
        <w:t>一、技术要求</w:t>
      </w:r>
    </w:p>
    <w:p w14:paraId="6EA04851">
      <w:pPr>
        <w:pStyle w:val="6"/>
        <w:rPr>
          <w:rFonts w:hint="eastAsia"/>
          <w:color w:val="000000"/>
        </w:rPr>
      </w:pPr>
    </w:p>
    <w:tbl>
      <w:tblPr>
        <w:tblStyle w:val="4"/>
        <w:tblW w:w="9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6"/>
        <w:gridCol w:w="6356"/>
        <w:gridCol w:w="1258"/>
      </w:tblGrid>
      <w:tr w14:paraId="0016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9240" w:type="dxa"/>
            <w:gridSpan w:val="3"/>
            <w:tcBorders>
              <w:top w:val="single" w:color="000000" w:sz="4" w:space="0"/>
              <w:left w:val="single" w:color="000000" w:sz="4" w:space="0"/>
              <w:bottom w:val="single" w:color="000000" w:sz="4" w:space="0"/>
              <w:right w:val="single" w:color="000000" w:sz="4" w:space="0"/>
            </w:tcBorders>
            <w:noWrap/>
            <w:vAlign w:val="center"/>
          </w:tcPr>
          <w:p w14:paraId="45C1B43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太阳能路灯（8米）</w:t>
            </w:r>
          </w:p>
        </w:tc>
      </w:tr>
      <w:tr w14:paraId="61ED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26" w:type="dxa"/>
            <w:tcBorders>
              <w:top w:val="single" w:color="000000" w:sz="4" w:space="0"/>
              <w:left w:val="single" w:color="000000" w:sz="4" w:space="0"/>
              <w:bottom w:val="single" w:color="000000" w:sz="4" w:space="0"/>
              <w:right w:val="single" w:color="000000" w:sz="4" w:space="0"/>
            </w:tcBorders>
            <w:noWrap/>
            <w:vAlign w:val="center"/>
          </w:tcPr>
          <w:p w14:paraId="149901D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6356" w:type="dxa"/>
            <w:tcBorders>
              <w:top w:val="single" w:color="000000" w:sz="4" w:space="0"/>
              <w:left w:val="single" w:color="000000" w:sz="4" w:space="0"/>
              <w:bottom w:val="single" w:color="000000" w:sz="4" w:space="0"/>
              <w:right w:val="single" w:color="000000" w:sz="4" w:space="0"/>
            </w:tcBorders>
            <w:noWrap/>
            <w:vAlign w:val="center"/>
          </w:tcPr>
          <w:p w14:paraId="5100504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配置</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2BF9BA8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数量/套</w:t>
            </w:r>
          </w:p>
        </w:tc>
      </w:tr>
      <w:tr w14:paraId="4219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26" w:type="dxa"/>
            <w:tcBorders>
              <w:top w:val="single" w:color="000000" w:sz="4" w:space="0"/>
              <w:left w:val="single" w:color="000000" w:sz="4" w:space="0"/>
              <w:bottom w:val="single" w:color="000000" w:sz="4" w:space="0"/>
              <w:right w:val="single" w:color="000000" w:sz="4" w:space="0"/>
            </w:tcBorders>
            <w:noWrap/>
            <w:vAlign w:val="center"/>
          </w:tcPr>
          <w:p w14:paraId="5D26B4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灯头灯具</w:t>
            </w:r>
          </w:p>
        </w:tc>
        <w:tc>
          <w:tcPr>
            <w:tcW w:w="6356" w:type="dxa"/>
            <w:tcBorders>
              <w:top w:val="single" w:color="000000" w:sz="4" w:space="0"/>
              <w:left w:val="single" w:color="000000" w:sz="4" w:space="0"/>
              <w:bottom w:val="single" w:color="000000" w:sz="4" w:space="0"/>
              <w:right w:val="single" w:color="000000" w:sz="4" w:space="0"/>
            </w:tcBorders>
            <w:noWrap/>
            <w:vAlign w:val="top"/>
          </w:tcPr>
          <w:p w14:paraId="5A7014F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LED功率：≥134</w:t>
            </w:r>
            <w:r>
              <w:rPr>
                <w:rFonts w:hint="eastAsia" w:ascii="宋体" w:hAnsi="宋体" w:cs="宋体"/>
                <w:i w:val="0"/>
                <w:iCs w:val="0"/>
                <w:color w:val="auto"/>
                <w:kern w:val="0"/>
                <w:sz w:val="24"/>
                <w:szCs w:val="24"/>
                <w:u w:val="none"/>
                <w:lang w:val="en-US" w:eastAsia="zh-CN" w:bidi="ar"/>
              </w:rPr>
              <w:t xml:space="preserve">颗灯珠 </w:t>
            </w:r>
            <w:r>
              <w:rPr>
                <w:rFonts w:hint="eastAsia" w:ascii="宋体" w:hAnsi="宋体" w:eastAsia="宋体" w:cs="宋体"/>
                <w:i w:val="0"/>
                <w:iCs w:val="0"/>
                <w:color w:val="auto"/>
                <w:kern w:val="0"/>
                <w:sz w:val="24"/>
                <w:szCs w:val="24"/>
                <w:u w:val="none"/>
                <w:lang w:val="en-US" w:eastAsia="zh-CN" w:bidi="ar"/>
              </w:rPr>
              <w:t>集成 LED高性能；</w:t>
            </w:r>
          </w:p>
          <w:p w14:paraId="5073212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材质:</w:t>
            </w:r>
            <w:r>
              <w:rPr>
                <w:rFonts w:hint="eastAsia" w:ascii="宋体" w:hAnsi="宋体" w:cs="宋体"/>
                <w:i w:val="0"/>
                <w:iCs w:val="0"/>
                <w:color w:val="auto"/>
                <w:kern w:val="0"/>
                <w:sz w:val="24"/>
                <w:szCs w:val="24"/>
                <w:u w:val="none"/>
                <w:lang w:val="en-US" w:eastAsia="zh-CN" w:bidi="ar"/>
              </w:rPr>
              <w:t>加强拉伸铁壳体</w:t>
            </w:r>
            <w:r>
              <w:rPr>
                <w:rFonts w:hint="eastAsia" w:ascii="宋体" w:hAnsi="宋体" w:eastAsia="宋体" w:cs="宋体"/>
                <w:i w:val="0"/>
                <w:iCs w:val="0"/>
                <w:color w:val="auto"/>
                <w:kern w:val="0"/>
                <w:sz w:val="24"/>
                <w:szCs w:val="24"/>
                <w:u w:val="none"/>
                <w:lang w:val="en-US" w:eastAsia="zh-CN" w:bidi="ar"/>
              </w:rPr>
              <w:t>；</w:t>
            </w:r>
          </w:p>
          <w:p w14:paraId="5FD47AD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防护等级:≥IP65(防水防尘)；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光源＞50000小时；</w:t>
            </w:r>
          </w:p>
          <w:p w14:paraId="0D08F6B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质保≥3年，寿命≥10 年；</w:t>
            </w:r>
          </w:p>
          <w:p w14:paraId="1BE5714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工作温度：-30℃~70℃；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灯头光源高流明灯珠光学透镜高亮度≥134颗5050芯片，单颗灯珠200流明以上</w:t>
            </w:r>
            <w:r>
              <w:rPr>
                <w:rFonts w:hint="eastAsia" w:ascii="宋体" w:hAnsi="宋体" w:cs="宋体"/>
                <w:i w:val="0"/>
                <w:iCs w:val="0"/>
                <w:color w:val="auto"/>
                <w:kern w:val="0"/>
                <w:sz w:val="24"/>
                <w:szCs w:val="24"/>
                <w:u w:val="none"/>
                <w:lang w:val="en-US" w:eastAsia="zh-CN" w:bidi="ar"/>
              </w:rPr>
              <w:t>；</w:t>
            </w:r>
          </w:p>
          <w:p w14:paraId="1540056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光通量：≥6000流明；</w:t>
            </w:r>
          </w:p>
          <w:p w14:paraId="0F40F2A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色温：≥6000K（正白） ；</w:t>
            </w:r>
          </w:p>
          <w:p w14:paraId="2CCA9CF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显色指数（RA）：≥70（户外照明标准）</w:t>
            </w:r>
            <w:r>
              <w:rPr>
                <w:rFonts w:hint="eastAsia" w:ascii="宋体" w:hAnsi="宋体" w:cs="宋体"/>
                <w:i w:val="0"/>
                <w:iCs w:val="0"/>
                <w:color w:val="000000"/>
                <w:kern w:val="0"/>
                <w:sz w:val="24"/>
                <w:szCs w:val="24"/>
                <w:u w:val="none"/>
                <w:lang w:val="en-US" w:eastAsia="zh-CN" w:bidi="ar"/>
              </w:rPr>
              <w:t>。</w:t>
            </w:r>
          </w:p>
          <w:p w14:paraId="6E29777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 xml:space="preserve"> </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提供省级及以上市场监管部门颁发的有效期内的检验检测机构出具的具有CMA或CNAS标识的检测报告</w:t>
            </w:r>
            <w:r>
              <w:rPr>
                <w:rFonts w:hint="eastAsia" w:ascii="宋体" w:hAnsi="宋体" w:cs="宋体"/>
                <w:b w:val="0"/>
                <w:bCs w:val="0"/>
                <w:i w:val="0"/>
                <w:iCs w:val="0"/>
                <w:color w:val="000000"/>
                <w:kern w:val="0"/>
                <w:sz w:val="24"/>
                <w:szCs w:val="24"/>
                <w:highlight w:val="none"/>
                <w:u w:val="none"/>
                <w:lang w:val="en-US" w:eastAsia="zh-CN" w:bidi="ar"/>
              </w:rPr>
              <w:t>，检测项目需包含LED功率、光通量、色温、显色指数</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127FE4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r w14:paraId="61BE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26" w:type="dxa"/>
            <w:tcBorders>
              <w:top w:val="single" w:color="000000" w:sz="4" w:space="0"/>
              <w:left w:val="single" w:color="000000" w:sz="4" w:space="0"/>
              <w:bottom w:val="single" w:color="000000" w:sz="4" w:space="0"/>
              <w:right w:val="single" w:color="000000" w:sz="4" w:space="0"/>
            </w:tcBorders>
            <w:noWrap/>
            <w:vAlign w:val="center"/>
          </w:tcPr>
          <w:p w14:paraId="1252F3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太阳能板</w:t>
            </w:r>
          </w:p>
        </w:tc>
        <w:tc>
          <w:tcPr>
            <w:tcW w:w="6356" w:type="dxa"/>
            <w:tcBorders>
              <w:top w:val="single" w:color="000000" w:sz="4" w:space="0"/>
              <w:left w:val="single" w:color="000000" w:sz="4" w:space="0"/>
              <w:bottom w:val="single" w:color="000000" w:sz="4" w:space="0"/>
              <w:right w:val="single" w:color="000000" w:sz="4" w:space="0"/>
            </w:tcBorders>
            <w:noWrap/>
            <w:vAlign w:val="top"/>
          </w:tcPr>
          <w:p w14:paraId="6F56FACF">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120W电池板*2块:转化效率:≥17%；</w:t>
            </w:r>
          </w:p>
          <w:p w14:paraId="54F7BF73">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太阳能板材质:铝合金边框(厚度≥2mm含铁量0.02%，透光率≥92%)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工作电压12V（系统电压）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倾斜角度可调（适应不同纬度光照） </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1446D7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r w14:paraId="6982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1626" w:type="dxa"/>
            <w:tcBorders>
              <w:top w:val="single" w:color="000000" w:sz="4" w:space="0"/>
              <w:left w:val="single" w:color="000000" w:sz="4" w:space="0"/>
              <w:bottom w:val="single" w:color="000000" w:sz="4" w:space="0"/>
              <w:right w:val="single" w:color="000000" w:sz="4" w:space="0"/>
            </w:tcBorders>
            <w:noWrap/>
            <w:vAlign w:val="center"/>
          </w:tcPr>
          <w:p w14:paraId="516770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w:t>
            </w:r>
          </w:p>
        </w:tc>
        <w:tc>
          <w:tcPr>
            <w:tcW w:w="6356" w:type="dxa"/>
            <w:tcBorders>
              <w:top w:val="single" w:color="000000" w:sz="4" w:space="0"/>
              <w:left w:val="single" w:color="000000" w:sz="4" w:space="0"/>
              <w:bottom w:val="single" w:color="000000" w:sz="4" w:space="0"/>
              <w:right w:val="single" w:color="000000" w:sz="4" w:space="0"/>
            </w:tcBorders>
            <w:noWrap/>
            <w:vAlign w:val="top"/>
          </w:tcPr>
          <w:p w14:paraId="42935F2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锂离子电池；                                                                                                                                                                                                                           </w:t>
            </w:r>
          </w:p>
          <w:p w14:paraId="3A3CA2E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锂电池电池安全性高，循环寿命超长；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类型:太阳能专用；</w:t>
            </w:r>
          </w:p>
          <w:p w14:paraId="6B846C1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蓄电池-标识:明确标注型号、容量；</w:t>
            </w:r>
          </w:p>
          <w:p w14:paraId="189E6D8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防护:泡沫胶固定；</w:t>
            </w:r>
          </w:p>
          <w:p w14:paraId="285A5DF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质保</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5年，寿命≥10年；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容量12V/120Ah</w:t>
            </w:r>
            <w:r>
              <w:rPr>
                <w:rFonts w:hint="eastAsia" w:ascii="宋体" w:hAnsi="宋体" w:eastAsia="宋体" w:cs="宋体"/>
                <w:i w:val="0"/>
                <w:iCs w:val="0"/>
                <w:color w:val="000000"/>
                <w:kern w:val="0"/>
                <w:sz w:val="24"/>
                <w:szCs w:val="24"/>
                <w:u w:val="none"/>
                <w:lang w:val="en-US" w:eastAsia="zh-CN" w:bidi="ar"/>
              </w:rPr>
              <w:t>；</w:t>
            </w:r>
          </w:p>
          <w:p w14:paraId="6315337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（续航5-10阴雨天）</w:t>
            </w:r>
            <w:r>
              <w:rPr>
                <w:rFonts w:hint="eastAsia" w:ascii="宋体" w:hAnsi="宋体" w:eastAsia="宋体" w:cs="宋体"/>
                <w:i w:val="0"/>
                <w:iCs w:val="0"/>
                <w:color w:val="000000"/>
                <w:kern w:val="0"/>
                <w:sz w:val="24"/>
                <w:szCs w:val="24"/>
                <w:u w:val="none"/>
                <w:lang w:val="en-US" w:eastAsia="zh-CN" w:bidi="ar"/>
              </w:rPr>
              <w:t>；</w:t>
            </w:r>
          </w:p>
          <w:p w14:paraId="50D5608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循环寿命锂电20000次以上；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防护等级≥IP65（防尘防水）；  </w:t>
            </w:r>
          </w:p>
          <w:p w14:paraId="233C2E7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提供省级及以上市场监管部门颁发的有效期内的检验检测机构出具的具有CMA或CNAS标识的检测报告</w:t>
            </w:r>
            <w:r>
              <w:rPr>
                <w:rFonts w:hint="eastAsia" w:ascii="宋体" w:hAnsi="宋体" w:cs="宋体"/>
                <w:b w:val="0"/>
                <w:bCs w:val="0"/>
                <w:i w:val="0"/>
                <w:iCs w:val="0"/>
                <w:color w:val="000000"/>
                <w:kern w:val="0"/>
                <w:sz w:val="24"/>
                <w:szCs w:val="24"/>
                <w:highlight w:val="none"/>
                <w:u w:val="none"/>
                <w:lang w:val="en-US" w:eastAsia="zh-CN" w:bidi="ar"/>
              </w:rPr>
              <w:t>，检测项目需包含容量</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1B6CB3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sz w:val="24"/>
                <w:szCs w:val="24"/>
                <w:lang w:val="en-US" w:eastAsia="zh-CN"/>
              </w:rPr>
              <w:t>80</w:t>
            </w:r>
          </w:p>
        </w:tc>
      </w:tr>
      <w:tr w14:paraId="4A65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9" w:hRule="atLeast"/>
          <w:jc w:val="center"/>
        </w:trPr>
        <w:tc>
          <w:tcPr>
            <w:tcW w:w="1626" w:type="dxa"/>
            <w:tcBorders>
              <w:top w:val="single" w:color="000000" w:sz="4" w:space="0"/>
              <w:left w:val="single" w:color="000000" w:sz="4" w:space="0"/>
              <w:bottom w:val="single" w:color="000000" w:sz="4" w:space="0"/>
              <w:right w:val="single" w:color="000000" w:sz="4" w:space="0"/>
            </w:tcBorders>
            <w:noWrap/>
            <w:vAlign w:val="center"/>
          </w:tcPr>
          <w:p w14:paraId="0F7369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控制器</w:t>
            </w:r>
          </w:p>
        </w:tc>
        <w:tc>
          <w:tcPr>
            <w:tcW w:w="6356" w:type="dxa"/>
            <w:tcBorders>
              <w:top w:val="single" w:color="000000" w:sz="4" w:space="0"/>
              <w:left w:val="single" w:color="000000" w:sz="4" w:space="0"/>
              <w:bottom w:val="single" w:color="000000" w:sz="4" w:space="0"/>
              <w:right w:val="single" w:color="000000" w:sz="4" w:space="0"/>
            </w:tcBorders>
            <w:noWrap/>
            <w:vAlign w:val="top"/>
          </w:tcPr>
          <w:p w14:paraId="38F5C731">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控制器功能:光控+时控开关，防雷电保护，合金金属外壳，</w:t>
            </w:r>
          </w:p>
          <w:p w14:paraId="730AEB34">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MPPT效率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智能功能光控+时控、人体感应（可选）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充电保护，过充、过放、短路、反接保护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工作时间：6-12小时/天（可设置）  </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740DFE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r w14:paraId="269E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jc w:val="center"/>
        </w:trPr>
        <w:tc>
          <w:tcPr>
            <w:tcW w:w="1626" w:type="dxa"/>
            <w:tcBorders>
              <w:top w:val="single" w:color="000000" w:sz="4" w:space="0"/>
              <w:left w:val="single" w:color="000000" w:sz="4" w:space="0"/>
              <w:bottom w:val="single" w:color="000000" w:sz="4" w:space="0"/>
              <w:right w:val="single" w:color="000000" w:sz="4" w:space="0"/>
            </w:tcBorders>
            <w:noWrap/>
            <w:vAlign w:val="center"/>
          </w:tcPr>
          <w:p w14:paraId="2818549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灯杆</w:t>
            </w:r>
          </w:p>
        </w:tc>
        <w:tc>
          <w:tcPr>
            <w:tcW w:w="6356" w:type="dxa"/>
            <w:tcBorders>
              <w:top w:val="single" w:color="000000" w:sz="4" w:space="0"/>
              <w:left w:val="single" w:color="000000" w:sz="4" w:space="0"/>
              <w:bottom w:val="single" w:color="000000" w:sz="4" w:space="0"/>
              <w:right w:val="single" w:color="000000" w:sz="4" w:space="0"/>
            </w:tcBorders>
            <w:noWrap/>
            <w:vAlign w:val="top"/>
          </w:tcPr>
          <w:p w14:paraId="48B513B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高度8米(不含支架)</w:t>
            </w:r>
          </w:p>
          <w:p w14:paraId="11D99281">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材质：Q235钢材</w:t>
            </w:r>
          </w:p>
          <w:p w14:paraId="6C7992A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壁厚：≥4mm</w:t>
            </w:r>
          </w:p>
          <w:p w14:paraId="48F74E0B">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（抗风等级≥10级）</w:t>
            </w:r>
          </w:p>
          <w:p w14:paraId="2A9FB645">
            <w:pPr>
              <w:keepNext w:val="0"/>
              <w:keepLines w:val="0"/>
              <w:pageBreakBefore w:val="0"/>
              <w:widowControl/>
              <w:suppressLineNumbers w:val="0"/>
              <w:kinsoku/>
              <w:wordWrap/>
              <w:overflowPunct/>
              <w:topLinePunct w:val="0"/>
              <w:autoSpaceDE/>
              <w:autoSpaceDN/>
              <w:bidi w:val="0"/>
              <w:adjustRightInd/>
              <w:snapToGrid/>
              <w:spacing w:line="360" w:lineRule="auto"/>
              <w:jc w:val="both"/>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灯杆上口径70±3mm下口径150±3mm；</w:t>
            </w:r>
          </w:p>
          <w:p w14:paraId="390283CB">
            <w:pPr>
              <w:keepNext w:val="0"/>
              <w:keepLines w:val="0"/>
              <w:pageBreakBefore w:val="0"/>
              <w:widowControl/>
              <w:suppressLineNumbers w:val="0"/>
              <w:kinsoku/>
              <w:wordWrap/>
              <w:overflowPunct/>
              <w:topLinePunct w:val="0"/>
              <w:autoSpaceDE/>
              <w:autoSpaceDN/>
              <w:bidi w:val="0"/>
              <w:adjustRightInd/>
              <w:snapToGrid/>
              <w:spacing w:line="360" w:lineRule="auto"/>
              <w:jc w:val="both"/>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灯杆-法兰盘:</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350mmx350mm</w:t>
            </w:r>
          </w:p>
          <w:p w14:paraId="4AA8FBC2">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焊接:焊缝宽度≤5mm；</w:t>
            </w:r>
          </w:p>
          <w:p w14:paraId="1FCC2F7D">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表面处理:热镀锌，镀锌后无焊接，整体抗腐蚀;</w:t>
            </w:r>
          </w:p>
          <w:p w14:paraId="65D68F28">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双1</w:t>
            </w:r>
            <w:r>
              <w:rPr>
                <w:rFonts w:hint="eastAsia" w:ascii="宋体" w:hAnsi="宋体" w:cs="宋体"/>
                <w:i w:val="0"/>
                <w:iCs w:val="0"/>
                <w:color w:val="auto"/>
                <w:kern w:val="0"/>
                <w:sz w:val="24"/>
                <w:szCs w:val="24"/>
                <w:u w:val="none"/>
                <w:lang w:val="en-US" w:eastAsia="zh-CN" w:bidi="ar"/>
              </w:rPr>
              <w:t>20</w:t>
            </w:r>
            <w:r>
              <w:rPr>
                <w:rFonts w:hint="eastAsia" w:ascii="宋体" w:hAnsi="宋体" w:eastAsia="宋体" w:cs="宋体"/>
                <w:i w:val="0"/>
                <w:iCs w:val="0"/>
                <w:color w:val="auto"/>
                <w:kern w:val="0"/>
                <w:sz w:val="24"/>
                <w:szCs w:val="24"/>
                <w:u w:val="none"/>
                <w:lang w:val="en-US" w:eastAsia="zh-CN" w:bidi="ar"/>
              </w:rPr>
              <w:t xml:space="preserve">W支架 加厚角铁整体热镀锌  </w:t>
            </w:r>
          </w:p>
          <w:p w14:paraId="5C91A8A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质保≥10 年，寿命≥20年  </w:t>
            </w:r>
          </w:p>
          <w:p w14:paraId="768BD96F">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表面处理：喷塑（可选颜色：白色/灰色/蓝色/红色） </w:t>
            </w:r>
          </w:p>
          <w:p w14:paraId="47AB6242">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提供省级及以上市场监管部门颁发的有效期内的检验检测机构出具的具有CMA或CNAS标识的检测报告</w:t>
            </w:r>
            <w:r>
              <w:rPr>
                <w:rFonts w:hint="eastAsia" w:ascii="宋体" w:hAnsi="宋体" w:cs="宋体"/>
                <w:b w:val="0"/>
                <w:bCs w:val="0"/>
                <w:i w:val="0"/>
                <w:iCs w:val="0"/>
                <w:color w:val="000000"/>
                <w:kern w:val="0"/>
                <w:sz w:val="24"/>
                <w:szCs w:val="24"/>
                <w:highlight w:val="none"/>
                <w:u w:val="none"/>
                <w:lang w:val="en-US" w:eastAsia="zh-CN" w:bidi="ar"/>
              </w:rPr>
              <w:t>，检测项目需包含灯杆高度、壁厚</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3344A0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r w14:paraId="76D8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26" w:type="dxa"/>
            <w:tcBorders>
              <w:top w:val="single" w:color="000000" w:sz="4" w:space="0"/>
              <w:left w:val="single" w:color="000000" w:sz="4" w:space="0"/>
              <w:bottom w:val="single" w:color="000000" w:sz="4" w:space="0"/>
              <w:right w:val="single" w:color="000000" w:sz="4" w:space="0"/>
            </w:tcBorders>
            <w:noWrap/>
            <w:vAlign w:val="center"/>
          </w:tcPr>
          <w:p w14:paraId="09B8F9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预埋件</w:t>
            </w:r>
          </w:p>
        </w:tc>
        <w:tc>
          <w:tcPr>
            <w:tcW w:w="6356" w:type="dxa"/>
            <w:tcBorders>
              <w:top w:val="single" w:color="000000" w:sz="4" w:space="0"/>
              <w:left w:val="single" w:color="000000" w:sz="4" w:space="0"/>
              <w:bottom w:val="single" w:color="000000" w:sz="4" w:space="0"/>
              <w:right w:val="single" w:color="000000" w:sz="4" w:space="0"/>
            </w:tcBorders>
            <w:noWrap/>
            <w:vAlign w:val="top"/>
          </w:tcPr>
          <w:p w14:paraId="75F4E6BD">
            <w:pPr>
              <w:keepNext w:val="0"/>
              <w:keepLines w:val="0"/>
              <w:widowControl/>
              <w:suppressLineNumbers w:val="0"/>
              <w:spacing w:line="360" w:lineRule="auto"/>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预埋件 主螺杆:直径≥14mm，高≥80cm，螺纹均匀涂抹黄油</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17E719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r w14:paraId="3196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1626" w:type="dxa"/>
            <w:tcBorders>
              <w:top w:val="single" w:color="000000" w:sz="4" w:space="0"/>
              <w:left w:val="single" w:color="000000" w:sz="4" w:space="0"/>
              <w:bottom w:val="single" w:color="000000" w:sz="4" w:space="0"/>
              <w:right w:val="single" w:color="000000" w:sz="4" w:space="0"/>
            </w:tcBorders>
            <w:noWrap/>
            <w:vAlign w:val="center"/>
          </w:tcPr>
          <w:p w14:paraId="23E630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6356" w:type="dxa"/>
            <w:tcBorders>
              <w:top w:val="single" w:color="000000" w:sz="4" w:space="0"/>
              <w:left w:val="single" w:color="000000" w:sz="4" w:space="0"/>
              <w:bottom w:val="single" w:color="000000" w:sz="4" w:space="0"/>
              <w:right w:val="single" w:color="000000" w:sz="4" w:space="0"/>
            </w:tcBorders>
            <w:noWrap/>
            <w:vAlign w:val="top"/>
          </w:tcPr>
          <w:p w14:paraId="095BBD85">
            <w:pPr>
              <w:keepNext w:val="0"/>
              <w:keepLines w:val="0"/>
              <w:widowControl/>
              <w:suppressLineNumbers w:val="0"/>
              <w:spacing w:line="360" w:lineRule="auto"/>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电缆-材质:PPO耐老化绝缘铜芯:2平方；电缆连接:公母防水插头，接头防水等级≥ip65； 长度&gt;3米 </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6B1841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r w14:paraId="2E8D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626" w:type="dxa"/>
            <w:tcBorders>
              <w:top w:val="single" w:color="000000" w:sz="4" w:space="0"/>
              <w:left w:val="single" w:color="000000" w:sz="4" w:space="0"/>
              <w:bottom w:val="single" w:color="000000" w:sz="4" w:space="0"/>
              <w:right w:val="single" w:color="000000" w:sz="4" w:space="0"/>
            </w:tcBorders>
            <w:noWrap/>
            <w:vAlign w:val="center"/>
          </w:tcPr>
          <w:p w14:paraId="6B60CB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安装费</w:t>
            </w:r>
          </w:p>
        </w:tc>
        <w:tc>
          <w:tcPr>
            <w:tcW w:w="6356" w:type="dxa"/>
            <w:tcBorders>
              <w:top w:val="single" w:color="000000" w:sz="4" w:space="0"/>
              <w:left w:val="single" w:color="000000" w:sz="4" w:space="0"/>
              <w:bottom w:val="single" w:color="000000" w:sz="4" w:space="0"/>
              <w:right w:val="single" w:color="000000" w:sz="4" w:space="0"/>
            </w:tcBorders>
            <w:noWrap/>
            <w:vAlign w:val="top"/>
          </w:tcPr>
          <w:p w14:paraId="32AAE83A">
            <w:pPr>
              <w:keepNext w:val="0"/>
              <w:keepLines w:val="0"/>
              <w:widowControl/>
              <w:suppressLineNumbers w:val="0"/>
              <w:spacing w:line="360" w:lineRule="auto"/>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每套</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179195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sz w:val="24"/>
                <w:szCs w:val="24"/>
                <w:lang w:val="en-US" w:eastAsia="zh-CN"/>
              </w:rPr>
              <w:t>80</w:t>
            </w:r>
          </w:p>
        </w:tc>
      </w:tr>
      <w:tr w14:paraId="67D6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626" w:type="dxa"/>
            <w:tcBorders>
              <w:top w:val="single" w:color="000000" w:sz="4" w:space="0"/>
              <w:left w:val="single" w:color="000000" w:sz="4" w:space="0"/>
              <w:bottom w:val="single" w:color="000000" w:sz="4" w:space="0"/>
              <w:right w:val="single" w:color="000000" w:sz="4" w:space="0"/>
            </w:tcBorders>
            <w:noWrap/>
            <w:vAlign w:val="center"/>
          </w:tcPr>
          <w:p w14:paraId="166084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运费</w:t>
            </w:r>
          </w:p>
        </w:tc>
        <w:tc>
          <w:tcPr>
            <w:tcW w:w="6356" w:type="dxa"/>
            <w:tcBorders>
              <w:top w:val="single" w:color="000000" w:sz="4" w:space="0"/>
              <w:left w:val="single" w:color="000000" w:sz="4" w:space="0"/>
              <w:bottom w:val="single" w:color="000000" w:sz="4" w:space="0"/>
              <w:right w:val="single" w:color="000000" w:sz="4" w:space="0"/>
            </w:tcBorders>
            <w:noWrap/>
            <w:vAlign w:val="top"/>
          </w:tcPr>
          <w:p w14:paraId="7A65370A">
            <w:pPr>
              <w:keepNext w:val="0"/>
              <w:keepLines w:val="0"/>
              <w:widowControl/>
              <w:suppressLineNumbers w:val="0"/>
              <w:spacing w:line="360" w:lineRule="auto"/>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每套</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5D2951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bl>
    <w:p w14:paraId="12CD7784">
      <w:pPr>
        <w:pStyle w:val="3"/>
        <w:ind w:left="0" w:leftChars="0" w:firstLine="0" w:firstLineChars="0"/>
        <w:rPr>
          <w:rFonts w:hint="eastAsia"/>
          <w:color w:val="000000"/>
          <w:lang w:val="en-US" w:eastAsia="zh-CN"/>
        </w:rPr>
      </w:pPr>
    </w:p>
    <w:tbl>
      <w:tblPr>
        <w:tblStyle w:val="4"/>
        <w:tblW w:w="9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5"/>
        <w:gridCol w:w="6682"/>
        <w:gridCol w:w="1271"/>
      </w:tblGrid>
      <w:tr w14:paraId="2391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9258" w:type="dxa"/>
            <w:gridSpan w:val="3"/>
            <w:tcBorders>
              <w:top w:val="single" w:color="000000" w:sz="4" w:space="0"/>
              <w:left w:val="single" w:color="000000" w:sz="4" w:space="0"/>
              <w:bottom w:val="single" w:color="000000" w:sz="4" w:space="0"/>
              <w:right w:val="single" w:color="000000" w:sz="4" w:space="0"/>
            </w:tcBorders>
            <w:noWrap/>
            <w:vAlign w:val="center"/>
          </w:tcPr>
          <w:p w14:paraId="425EEBC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太阳能路灯（6米）</w:t>
            </w:r>
          </w:p>
        </w:tc>
      </w:tr>
      <w:tr w14:paraId="36D7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305" w:type="dxa"/>
            <w:tcBorders>
              <w:top w:val="single" w:color="000000" w:sz="4" w:space="0"/>
              <w:left w:val="single" w:color="000000" w:sz="4" w:space="0"/>
              <w:bottom w:val="single" w:color="000000" w:sz="4" w:space="0"/>
              <w:right w:val="single" w:color="000000" w:sz="4" w:space="0"/>
            </w:tcBorders>
            <w:noWrap/>
            <w:vAlign w:val="center"/>
          </w:tcPr>
          <w:p w14:paraId="626BDE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0105A5E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配置</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7F2622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数量/套</w:t>
            </w:r>
          </w:p>
        </w:tc>
      </w:tr>
      <w:tr w14:paraId="01E0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1305" w:type="dxa"/>
            <w:tcBorders>
              <w:top w:val="single" w:color="000000" w:sz="4" w:space="0"/>
              <w:left w:val="single" w:color="000000" w:sz="4" w:space="0"/>
              <w:bottom w:val="single" w:color="000000" w:sz="4" w:space="0"/>
              <w:right w:val="single" w:color="000000" w:sz="4" w:space="0"/>
            </w:tcBorders>
            <w:noWrap/>
            <w:vAlign w:val="center"/>
          </w:tcPr>
          <w:p w14:paraId="65BCC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灯头灯具</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15B76AA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Style w:val="7"/>
                <w:color w:val="FF0000"/>
                <w:lang w:val="en-US" w:eastAsia="zh-CN" w:bidi="ar"/>
              </w:rPr>
            </w:pPr>
            <w:r>
              <w:rPr>
                <w:rFonts w:hint="eastAsia" w:ascii="宋体" w:hAnsi="宋体" w:eastAsia="宋体" w:cs="宋体"/>
                <w:i w:val="0"/>
                <w:iCs w:val="0"/>
                <w:color w:val="000000"/>
                <w:kern w:val="0"/>
                <w:sz w:val="40"/>
                <w:szCs w:val="40"/>
                <w:u w:val="none"/>
                <w:lang w:val="en-US" w:eastAsia="zh-CN" w:bidi="ar"/>
              </w:rPr>
              <w:t xml:space="preserve">            </w:t>
            </w:r>
            <w:r>
              <w:rPr>
                <w:rStyle w:val="7"/>
                <w:lang w:val="en-US" w:eastAsia="zh-CN" w:bidi="ar"/>
              </w:rPr>
              <w:t xml:space="preserve">                                                                                                                                    </w:t>
            </w:r>
            <w:r>
              <w:rPr>
                <w:rStyle w:val="7"/>
                <w:color w:val="auto"/>
                <w:lang w:val="en-US" w:eastAsia="zh-CN" w:bidi="ar"/>
              </w:rPr>
              <w:t>LED功率：</w:t>
            </w:r>
            <w:r>
              <w:rPr>
                <w:rFonts w:hint="eastAsia" w:ascii="宋体" w:hAnsi="宋体" w:eastAsia="宋体" w:cs="宋体"/>
                <w:i w:val="0"/>
                <w:iCs w:val="0"/>
                <w:color w:val="auto"/>
                <w:kern w:val="0"/>
                <w:sz w:val="24"/>
                <w:szCs w:val="24"/>
                <w:u w:val="none"/>
                <w:lang w:val="en-US" w:eastAsia="zh-CN" w:bidi="ar"/>
              </w:rPr>
              <w:t>≥103</w:t>
            </w:r>
            <w:r>
              <w:rPr>
                <w:rStyle w:val="7"/>
                <w:rFonts w:hint="eastAsia"/>
                <w:color w:val="auto"/>
                <w:lang w:val="en-US" w:eastAsia="zh-CN" w:bidi="ar"/>
              </w:rPr>
              <w:t xml:space="preserve">颗灯珠  </w:t>
            </w:r>
            <w:r>
              <w:rPr>
                <w:rStyle w:val="7"/>
                <w:color w:val="auto"/>
                <w:lang w:val="en-US" w:eastAsia="zh-CN" w:bidi="ar"/>
              </w:rPr>
              <w:t>集成 LED 高性能；</w:t>
            </w:r>
          </w:p>
          <w:p w14:paraId="262BD8A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Style w:val="7"/>
                <w:lang w:val="en-US" w:eastAsia="zh-CN" w:bidi="ar"/>
              </w:rPr>
            </w:pPr>
            <w:r>
              <w:rPr>
                <w:rStyle w:val="7"/>
                <w:lang w:val="en-US" w:eastAsia="zh-CN" w:bidi="ar"/>
              </w:rPr>
              <w:t>材质:</w:t>
            </w:r>
            <w:r>
              <w:rPr>
                <w:rFonts w:hint="eastAsia" w:ascii="宋体" w:hAnsi="宋体" w:cs="宋体"/>
                <w:i w:val="0"/>
                <w:iCs w:val="0"/>
                <w:color w:val="auto"/>
                <w:kern w:val="0"/>
                <w:sz w:val="24"/>
                <w:szCs w:val="24"/>
                <w:u w:val="none"/>
                <w:lang w:val="en-US" w:eastAsia="zh-CN" w:bidi="ar"/>
              </w:rPr>
              <w:t>加强拉伸铁壳体</w:t>
            </w:r>
            <w:r>
              <w:rPr>
                <w:rStyle w:val="7"/>
                <w:lang w:val="en-US" w:eastAsia="zh-CN" w:bidi="ar"/>
              </w:rPr>
              <w:t>；</w:t>
            </w:r>
          </w:p>
          <w:p w14:paraId="5326FEC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Style w:val="7"/>
                <w:color w:val="FF0000"/>
                <w:lang w:val="en-US" w:eastAsia="zh-CN" w:bidi="ar"/>
              </w:rPr>
            </w:pPr>
            <w:r>
              <w:rPr>
                <w:rStyle w:val="7"/>
                <w:lang w:val="en-US" w:eastAsia="zh-CN" w:bidi="ar"/>
              </w:rPr>
              <w:t>防护等级:</w:t>
            </w:r>
            <w:r>
              <w:rPr>
                <w:rFonts w:hint="eastAsia" w:ascii="宋体" w:hAnsi="宋体" w:eastAsia="宋体" w:cs="宋体"/>
                <w:i w:val="0"/>
                <w:iCs w:val="0"/>
                <w:color w:val="000000"/>
                <w:kern w:val="0"/>
                <w:sz w:val="24"/>
                <w:szCs w:val="24"/>
                <w:u w:val="none"/>
                <w:lang w:val="en-US" w:eastAsia="zh-CN" w:bidi="ar"/>
              </w:rPr>
              <w:t>≥</w:t>
            </w:r>
            <w:r>
              <w:rPr>
                <w:rStyle w:val="7"/>
                <w:lang w:val="en-US" w:eastAsia="zh-CN" w:bidi="ar"/>
              </w:rPr>
              <w:t>IP65(防水防尘)；</w:t>
            </w:r>
            <w:r>
              <w:rPr>
                <w:rStyle w:val="7"/>
                <w:lang w:val="en-US" w:eastAsia="zh-CN" w:bidi="ar"/>
              </w:rPr>
              <w:br w:type="textWrapping"/>
            </w:r>
            <w:r>
              <w:rPr>
                <w:rStyle w:val="7"/>
                <w:lang w:val="en-US" w:eastAsia="zh-CN" w:bidi="ar"/>
              </w:rPr>
              <w:t>光源</w:t>
            </w:r>
            <w:r>
              <w:rPr>
                <w:rFonts w:hint="eastAsia" w:ascii="宋体" w:hAnsi="宋体" w:eastAsia="宋体" w:cs="宋体"/>
                <w:i w:val="0"/>
                <w:iCs w:val="0"/>
                <w:color w:val="000000"/>
                <w:kern w:val="0"/>
                <w:sz w:val="24"/>
                <w:szCs w:val="24"/>
                <w:u w:val="none"/>
                <w:lang w:val="en-US" w:eastAsia="zh-CN" w:bidi="ar"/>
              </w:rPr>
              <w:t>＞</w:t>
            </w:r>
            <w:r>
              <w:rPr>
                <w:rStyle w:val="7"/>
                <w:lang w:val="en-US" w:eastAsia="zh-CN" w:bidi="ar"/>
              </w:rPr>
              <w:t>50</w:t>
            </w:r>
            <w:r>
              <w:rPr>
                <w:rStyle w:val="7"/>
                <w:color w:val="auto"/>
                <w:lang w:val="en-US" w:eastAsia="zh-CN" w:bidi="ar"/>
              </w:rPr>
              <w:t>000小时，质保</w:t>
            </w:r>
            <w:r>
              <w:rPr>
                <w:rFonts w:hint="eastAsia" w:ascii="宋体" w:hAnsi="宋体" w:eastAsia="宋体" w:cs="宋体"/>
                <w:i w:val="0"/>
                <w:iCs w:val="0"/>
                <w:color w:val="auto"/>
                <w:kern w:val="0"/>
                <w:sz w:val="24"/>
                <w:szCs w:val="24"/>
                <w:u w:val="none"/>
                <w:lang w:val="en-US" w:eastAsia="zh-CN" w:bidi="ar"/>
              </w:rPr>
              <w:t>≥</w:t>
            </w:r>
            <w:r>
              <w:rPr>
                <w:rStyle w:val="7"/>
                <w:color w:val="auto"/>
                <w:lang w:val="en-US" w:eastAsia="zh-CN" w:bidi="ar"/>
              </w:rPr>
              <w:t>3年，寿命≥10 年</w:t>
            </w:r>
            <w:r>
              <w:rPr>
                <w:rStyle w:val="7"/>
                <w:lang w:val="en-US" w:eastAsia="zh-CN" w:bidi="ar"/>
              </w:rPr>
              <w:t>；</w:t>
            </w:r>
          </w:p>
          <w:p w14:paraId="298E890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Style w:val="7"/>
                <w:color w:val="auto"/>
                <w:lang w:val="en-US" w:eastAsia="zh-CN" w:bidi="ar"/>
              </w:rPr>
            </w:pPr>
            <w:r>
              <w:rPr>
                <w:rStyle w:val="7"/>
                <w:color w:val="auto"/>
                <w:lang w:val="en-US" w:eastAsia="zh-CN" w:bidi="ar"/>
              </w:rPr>
              <w:t>灯头光源高流明灯珠光学透镜高亮度</w:t>
            </w:r>
            <w:r>
              <w:rPr>
                <w:rFonts w:hint="eastAsia" w:ascii="宋体" w:hAnsi="宋体" w:eastAsia="宋体" w:cs="宋体"/>
                <w:i w:val="0"/>
                <w:iCs w:val="0"/>
                <w:color w:val="auto"/>
                <w:kern w:val="0"/>
                <w:sz w:val="24"/>
                <w:szCs w:val="24"/>
                <w:u w:val="none"/>
                <w:lang w:val="en-US" w:eastAsia="zh-CN" w:bidi="ar"/>
              </w:rPr>
              <w:t>≥</w:t>
            </w:r>
            <w:r>
              <w:rPr>
                <w:rStyle w:val="7"/>
                <w:color w:val="auto"/>
                <w:lang w:val="en-US" w:eastAsia="zh-CN" w:bidi="ar"/>
              </w:rPr>
              <w:t>103颗5050芯片，单颗灯珠200流明以上；</w:t>
            </w:r>
          </w:p>
          <w:p w14:paraId="35BD0CF8">
            <w:pPr>
              <w:keepNext w:val="0"/>
              <w:keepLines w:val="0"/>
              <w:pageBreakBefore w:val="0"/>
              <w:widowControl/>
              <w:suppressLineNumbers w:val="0"/>
              <w:kinsoku/>
              <w:wordWrap/>
              <w:overflowPunct/>
              <w:topLinePunct w:val="0"/>
              <w:autoSpaceDE/>
              <w:autoSpaceDN/>
              <w:bidi w:val="0"/>
              <w:adjustRightInd/>
              <w:snapToGrid/>
              <w:spacing w:line="360" w:lineRule="auto"/>
              <w:jc w:val="both"/>
              <w:rPr>
                <w:rFonts w:hint="eastAsia" w:ascii="宋体" w:hAnsi="宋体" w:cs="宋体"/>
                <w:b w:val="0"/>
                <w:bCs w:val="0"/>
                <w:i w:val="0"/>
                <w:iCs w:val="0"/>
                <w:color w:val="auto"/>
                <w:kern w:val="0"/>
                <w:sz w:val="24"/>
                <w:szCs w:val="24"/>
                <w:u w:val="none"/>
                <w:lang w:val="en-US" w:eastAsia="zh-CN" w:bidi="ar"/>
              </w:rPr>
            </w:pPr>
            <w:r>
              <w:rPr>
                <w:rStyle w:val="7"/>
                <w:color w:val="auto"/>
                <w:lang w:val="en-US" w:eastAsia="zh-CN" w:bidi="ar"/>
              </w:rPr>
              <w:t>光通量：≥</w:t>
            </w:r>
            <w:r>
              <w:rPr>
                <w:rStyle w:val="7"/>
                <w:rFonts w:hint="eastAsia"/>
                <w:color w:val="auto"/>
                <w:lang w:val="en-US" w:eastAsia="zh-CN" w:bidi="ar"/>
              </w:rPr>
              <w:t>6000流明</w:t>
            </w:r>
            <w:r>
              <w:rPr>
                <w:rStyle w:val="7"/>
                <w:color w:val="auto"/>
                <w:lang w:val="en-US" w:eastAsia="zh-CN" w:bidi="ar"/>
              </w:rPr>
              <w:t>；</w:t>
            </w:r>
          </w:p>
          <w:p w14:paraId="48AF1C91">
            <w:pPr>
              <w:keepNext w:val="0"/>
              <w:keepLines w:val="0"/>
              <w:pageBreakBefore w:val="0"/>
              <w:widowControl/>
              <w:suppressLineNumbers w:val="0"/>
              <w:kinsoku/>
              <w:wordWrap/>
              <w:overflowPunct/>
              <w:topLinePunct w:val="0"/>
              <w:autoSpaceDE/>
              <w:autoSpaceDN/>
              <w:bidi w:val="0"/>
              <w:adjustRightInd/>
              <w:snapToGrid/>
              <w:spacing w:line="360" w:lineRule="auto"/>
              <w:jc w:val="both"/>
              <w:rPr>
                <w:rStyle w:val="7"/>
                <w:lang w:val="en-US" w:eastAsia="zh-CN" w:bidi="ar"/>
              </w:rPr>
            </w:pPr>
            <w:r>
              <w:rPr>
                <w:rStyle w:val="7"/>
                <w:lang w:val="en-US" w:eastAsia="zh-CN" w:bidi="ar"/>
              </w:rPr>
              <w:t>色温：6</w:t>
            </w:r>
            <w:r>
              <w:rPr>
                <w:rStyle w:val="7"/>
                <w:rFonts w:hint="eastAsia"/>
                <w:lang w:val="en-US" w:eastAsia="zh-CN" w:bidi="ar"/>
              </w:rPr>
              <w:t>0</w:t>
            </w:r>
            <w:r>
              <w:rPr>
                <w:rStyle w:val="7"/>
                <w:lang w:val="en-US" w:eastAsia="zh-CN" w:bidi="ar"/>
              </w:rPr>
              <w:t>00K</w:t>
            </w:r>
            <w:r>
              <w:rPr>
                <w:rFonts w:hint="eastAsia" w:ascii="宋体" w:hAnsi="宋体" w:eastAsia="宋体" w:cs="宋体"/>
                <w:i w:val="0"/>
                <w:iCs w:val="0"/>
                <w:color w:val="000000"/>
                <w:kern w:val="0"/>
                <w:sz w:val="24"/>
                <w:szCs w:val="24"/>
                <w:u w:val="none"/>
                <w:lang w:val="en-US" w:eastAsia="zh-CN" w:bidi="ar"/>
              </w:rPr>
              <w:t>≤</w:t>
            </w:r>
            <w:r>
              <w:rPr>
                <w:rStyle w:val="7"/>
                <w:lang w:val="en-US" w:eastAsia="zh-CN" w:bidi="ar"/>
              </w:rPr>
              <w:t>色温</w:t>
            </w:r>
            <w:r>
              <w:rPr>
                <w:rFonts w:hint="eastAsia" w:ascii="宋体" w:hAnsi="宋体" w:eastAsia="宋体" w:cs="宋体"/>
                <w:i w:val="0"/>
                <w:iCs w:val="0"/>
                <w:color w:val="000000"/>
                <w:kern w:val="0"/>
                <w:sz w:val="24"/>
                <w:szCs w:val="24"/>
                <w:u w:val="none"/>
                <w:lang w:val="en-US" w:eastAsia="zh-CN" w:bidi="ar"/>
              </w:rPr>
              <w:t>≤7500K</w:t>
            </w:r>
            <w:r>
              <w:rPr>
                <w:rStyle w:val="7"/>
                <w:lang w:val="en-US" w:eastAsia="zh-CN" w:bidi="ar"/>
              </w:rPr>
              <w:t>（正白）；</w:t>
            </w:r>
          </w:p>
          <w:p w14:paraId="4894A2B4">
            <w:pPr>
              <w:keepNext w:val="0"/>
              <w:keepLines w:val="0"/>
              <w:pageBreakBefore w:val="0"/>
              <w:widowControl/>
              <w:suppressLineNumbers w:val="0"/>
              <w:kinsoku/>
              <w:wordWrap/>
              <w:overflowPunct/>
              <w:topLinePunct w:val="0"/>
              <w:autoSpaceDE/>
              <w:autoSpaceDN/>
              <w:bidi w:val="0"/>
              <w:adjustRightInd/>
              <w:snapToGrid/>
              <w:spacing w:line="360" w:lineRule="auto"/>
              <w:jc w:val="both"/>
              <w:rPr>
                <w:rStyle w:val="7"/>
                <w:lang w:val="en-US" w:eastAsia="zh-CN" w:bidi="ar"/>
              </w:rPr>
            </w:pPr>
            <w:r>
              <w:rPr>
                <w:rStyle w:val="7"/>
                <w:lang w:val="en-US" w:eastAsia="zh-CN" w:bidi="ar"/>
              </w:rPr>
              <w:t>显色指数（RA）：≥70（户外照明标准）。</w:t>
            </w:r>
          </w:p>
          <w:p w14:paraId="7C88A083">
            <w:pPr>
              <w:keepNext w:val="0"/>
              <w:keepLines w:val="0"/>
              <w:pageBreakBefore w:val="0"/>
              <w:widowControl/>
              <w:suppressLineNumbers w:val="0"/>
              <w:kinsoku/>
              <w:wordWrap/>
              <w:overflowPunct/>
              <w:topLinePunct w:val="0"/>
              <w:autoSpaceDE/>
              <w:autoSpaceDN/>
              <w:bidi w:val="0"/>
              <w:adjustRightInd/>
              <w:snapToGrid/>
              <w:spacing w:line="360" w:lineRule="auto"/>
              <w:jc w:val="both"/>
              <w:rPr>
                <w:rFonts w:hint="eastAsia" w:ascii="宋体" w:hAnsi="宋体" w:eastAsia="宋体" w:cs="宋体"/>
                <w:i w:val="0"/>
                <w:iCs w:val="0"/>
                <w:color w:val="000000"/>
                <w:sz w:val="40"/>
                <w:szCs w:val="40"/>
                <w:u w:val="none"/>
              </w:rPr>
            </w:pP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提供省级及以上市场监管部门颁发的有效期内的检验检测机构出具的具有CMA或CNAS标识的检测报告</w:t>
            </w:r>
            <w:r>
              <w:rPr>
                <w:rFonts w:hint="eastAsia" w:ascii="宋体" w:hAnsi="宋体" w:cs="宋体"/>
                <w:b w:val="0"/>
                <w:bCs w:val="0"/>
                <w:i w:val="0"/>
                <w:iCs w:val="0"/>
                <w:color w:val="000000"/>
                <w:kern w:val="0"/>
                <w:sz w:val="24"/>
                <w:szCs w:val="24"/>
                <w:highlight w:val="none"/>
                <w:u w:val="none"/>
                <w:lang w:val="en-US" w:eastAsia="zh-CN" w:bidi="ar"/>
              </w:rPr>
              <w:t>，检测项目需包含LED功率、光通量、色温、显色指数</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07398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3463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05" w:type="dxa"/>
            <w:tcBorders>
              <w:top w:val="single" w:color="000000" w:sz="4" w:space="0"/>
              <w:left w:val="single" w:color="000000" w:sz="4" w:space="0"/>
              <w:bottom w:val="single" w:color="000000" w:sz="4" w:space="0"/>
              <w:right w:val="single" w:color="000000" w:sz="4" w:space="0"/>
            </w:tcBorders>
            <w:noWrap/>
            <w:vAlign w:val="center"/>
          </w:tcPr>
          <w:p w14:paraId="02A9E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太阳能板</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55A33EE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100W电池板*2块；</w:t>
            </w:r>
          </w:p>
          <w:p w14:paraId="2078BAF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转化效率:≥17%（单晶硅）；</w:t>
            </w:r>
          </w:p>
          <w:p w14:paraId="4E803D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太阳能板材质:铝合金边框(厚度≥3mm含铁量0.02%，透光率≥92%)</w:t>
            </w:r>
            <w:r>
              <w:rPr>
                <w:rStyle w:val="7"/>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FF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工作电压12V（系统电压）</w:t>
            </w:r>
            <w:r>
              <w:rPr>
                <w:rStyle w:val="7"/>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倾斜角度可调（适应不同纬度光照）</w:t>
            </w:r>
            <w:r>
              <w:rPr>
                <w:rStyle w:val="7"/>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08A7B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0635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2" w:hRule="atLeast"/>
          <w:jc w:val="center"/>
        </w:trPr>
        <w:tc>
          <w:tcPr>
            <w:tcW w:w="1305" w:type="dxa"/>
            <w:tcBorders>
              <w:top w:val="single" w:color="000000" w:sz="4" w:space="0"/>
              <w:left w:val="single" w:color="000000" w:sz="4" w:space="0"/>
              <w:bottom w:val="single" w:color="000000" w:sz="4" w:space="0"/>
              <w:right w:val="single" w:color="000000" w:sz="4" w:space="0"/>
            </w:tcBorders>
            <w:noWrap/>
            <w:vAlign w:val="center"/>
          </w:tcPr>
          <w:p w14:paraId="00328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49C4AE5D">
            <w:pPr>
              <w:keepNext w:val="0"/>
              <w:keepLines w:val="0"/>
              <w:pageBreakBefore w:val="0"/>
              <w:widowControl/>
              <w:suppressLineNumbers w:val="0"/>
              <w:kinsoku/>
              <w:wordWrap/>
              <w:overflowPunct/>
              <w:topLinePunct w:val="0"/>
              <w:autoSpaceDE/>
              <w:autoSpaceDN/>
              <w:bidi w:val="0"/>
              <w:adjustRightInd/>
              <w:snapToGrid/>
              <w:spacing w:line="360" w:lineRule="auto"/>
              <w:jc w:val="both"/>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w:t>
            </w:r>
            <w:r>
              <w:rPr>
                <w:rFonts w:hint="eastAsia" w:ascii="宋体" w:hAnsi="宋体" w:eastAsia="宋体" w:cs="宋体"/>
                <w:i w:val="0"/>
                <w:iCs w:val="0"/>
                <w:color w:val="auto"/>
                <w:kern w:val="0"/>
                <w:sz w:val="24"/>
                <w:szCs w:val="24"/>
                <w:u w:val="none"/>
                <w:lang w:val="en-US" w:eastAsia="zh-CN" w:bidi="ar"/>
              </w:rPr>
              <w:t>型:太阳能专用</w:t>
            </w:r>
            <w:r>
              <w:rPr>
                <w:rFonts w:hint="eastAsia" w:ascii="宋体" w:hAnsi="宋体" w:cs="宋体"/>
                <w:i w:val="0"/>
                <w:iCs w:val="0"/>
                <w:color w:val="auto"/>
                <w:kern w:val="0"/>
                <w:sz w:val="24"/>
                <w:szCs w:val="24"/>
                <w:u w:val="none"/>
                <w:lang w:val="en-US" w:eastAsia="zh-CN" w:bidi="ar"/>
              </w:rPr>
              <w:t>，容量：</w:t>
            </w:r>
            <w:r>
              <w:rPr>
                <w:rFonts w:hint="eastAsia" w:ascii="宋体" w:hAnsi="宋体" w:eastAsia="宋体" w:cs="宋体"/>
                <w:i w:val="0"/>
                <w:iCs w:val="0"/>
                <w:color w:val="000000"/>
                <w:kern w:val="0"/>
                <w:sz w:val="24"/>
                <w:szCs w:val="24"/>
                <w:u w:val="none"/>
                <w:lang w:val="en-US" w:eastAsia="zh-CN" w:bidi="ar"/>
              </w:rPr>
              <w:t>12V</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100Ah</w:t>
            </w:r>
            <w:r>
              <w:rPr>
                <w:rFonts w:hint="eastAsia" w:ascii="宋体" w:hAnsi="宋体" w:eastAsia="宋体" w:cs="宋体"/>
                <w:i w:val="0"/>
                <w:iCs w:val="0"/>
                <w:color w:val="auto"/>
                <w:kern w:val="0"/>
                <w:sz w:val="24"/>
                <w:szCs w:val="24"/>
                <w:u w:val="none"/>
                <w:lang w:val="en-US" w:eastAsia="zh-CN" w:bidi="ar"/>
              </w:rPr>
              <w:t xml:space="preserve"> 锂离子电池</w:t>
            </w:r>
          </w:p>
          <w:p w14:paraId="3D7BE13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蓄电池-标识:明确标注型号、容量；</w:t>
            </w:r>
          </w:p>
          <w:p w14:paraId="78E2FC5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防护:泡沫胶固定；</w:t>
            </w:r>
          </w:p>
          <w:p w14:paraId="483425D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质保≥5年，寿命&gt;10年，</w:t>
            </w:r>
          </w:p>
          <w:p w14:paraId="2DBDB5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（续航5-10阴雨天）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循环寿命锂电20000次以上，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防护等级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IP65（防尘防水）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温度范围-25℃~60℃（锂电耐低温更好）                                                                             电池管理系统（BMS）支持高精度电量监测、均衡充电、温度保护，延长锂电池寿命（适用于太阳能路灯的LiFePO4电池）</w:t>
            </w:r>
          </w:p>
          <w:p w14:paraId="3713A1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提供省级及以上市场监管部门颁发的有效期内的检验检测机构出具的具有CMA或CNAS标识的检测报告</w:t>
            </w:r>
            <w:r>
              <w:rPr>
                <w:rFonts w:hint="eastAsia" w:ascii="宋体" w:hAnsi="宋体" w:cs="宋体"/>
                <w:b w:val="0"/>
                <w:bCs w:val="0"/>
                <w:i w:val="0"/>
                <w:iCs w:val="0"/>
                <w:color w:val="000000"/>
                <w:kern w:val="0"/>
                <w:sz w:val="24"/>
                <w:szCs w:val="24"/>
                <w:highlight w:val="none"/>
                <w:u w:val="none"/>
                <w:lang w:val="en-US" w:eastAsia="zh-CN" w:bidi="ar"/>
              </w:rPr>
              <w:t>，检测项目需包含容量</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3877A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3480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jc w:val="center"/>
        </w:trPr>
        <w:tc>
          <w:tcPr>
            <w:tcW w:w="1305" w:type="dxa"/>
            <w:tcBorders>
              <w:top w:val="single" w:color="000000" w:sz="4" w:space="0"/>
              <w:left w:val="single" w:color="000000" w:sz="4" w:space="0"/>
              <w:bottom w:val="single" w:color="000000" w:sz="4" w:space="0"/>
              <w:right w:val="single" w:color="000000" w:sz="4" w:space="0"/>
            </w:tcBorders>
            <w:noWrap/>
            <w:vAlign w:val="center"/>
          </w:tcPr>
          <w:p w14:paraId="3E551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控制器</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3C7CBC8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控制器功能:光控+时控开关，防雷电保护，合金金属外壳</w:t>
            </w:r>
          </w:p>
          <w:p w14:paraId="74685CF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MPPT效率 智能功能光控+时控、人体感应（可选）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充电保护，过充、过放、短路、反接保护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工作时间：6-12小时/天（可设置） </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68D69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10FC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305" w:type="dxa"/>
            <w:tcBorders>
              <w:top w:val="single" w:color="000000" w:sz="4" w:space="0"/>
              <w:left w:val="single" w:color="000000" w:sz="4" w:space="0"/>
              <w:bottom w:val="single" w:color="000000" w:sz="4" w:space="0"/>
              <w:right w:val="single" w:color="000000" w:sz="4" w:space="0"/>
            </w:tcBorders>
            <w:noWrap/>
            <w:vAlign w:val="center"/>
          </w:tcPr>
          <w:p w14:paraId="58E00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灯杆</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1AB915C5">
            <w:pPr>
              <w:keepNext w:val="0"/>
              <w:keepLines w:val="0"/>
              <w:pageBreakBefore w:val="0"/>
              <w:widowControl/>
              <w:suppressLineNumbers w:val="0"/>
              <w:kinsoku/>
              <w:wordWrap/>
              <w:overflowPunct/>
              <w:topLinePunct w:val="0"/>
              <w:autoSpaceDE/>
              <w:autoSpaceDN/>
              <w:bidi w:val="0"/>
              <w:adjustRightInd/>
              <w:snapToGrid/>
              <w:spacing w:line="360" w:lineRule="auto"/>
              <w:jc w:val="both"/>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6米(不含支架)；材质:Q235钢</w:t>
            </w:r>
            <w:r>
              <w:rPr>
                <w:rFonts w:hint="eastAsia" w:ascii="宋体" w:hAnsi="宋体" w:cs="宋体"/>
                <w:i w:val="0"/>
                <w:iCs w:val="0"/>
                <w:color w:val="000000"/>
                <w:kern w:val="0"/>
                <w:sz w:val="24"/>
                <w:szCs w:val="24"/>
                <w:u w:val="none"/>
                <w:lang w:val="en-US" w:eastAsia="zh-CN" w:bidi="ar"/>
              </w:rPr>
              <w:t>；</w:t>
            </w:r>
          </w:p>
          <w:p w14:paraId="607AAD4D">
            <w:pPr>
              <w:keepNext w:val="0"/>
              <w:keepLines w:val="0"/>
              <w:pageBreakBefore w:val="0"/>
              <w:widowControl/>
              <w:suppressLineNumbers w:val="0"/>
              <w:kinsoku/>
              <w:wordWrap/>
              <w:overflowPunct/>
              <w:topLinePunct w:val="0"/>
              <w:autoSpaceDE/>
              <w:autoSpaceDN/>
              <w:bidi w:val="0"/>
              <w:adjustRightInd/>
              <w:snapToGrid/>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壁</w:t>
            </w:r>
            <w:r>
              <w:rPr>
                <w:rFonts w:hint="eastAsia" w:ascii="宋体" w:hAnsi="宋体" w:eastAsia="宋体" w:cs="宋体"/>
                <w:i w:val="0"/>
                <w:iCs w:val="0"/>
                <w:color w:val="000000"/>
                <w:kern w:val="0"/>
                <w:sz w:val="24"/>
                <w:szCs w:val="24"/>
                <w:u w:val="none"/>
                <w:lang w:val="en-US" w:eastAsia="zh-CN" w:bidi="ar"/>
              </w:rPr>
              <w:t>厚≥4.0mm</w:t>
            </w:r>
            <w:r>
              <w:rPr>
                <w:rFonts w:hint="eastAsia" w:ascii="宋体" w:hAnsi="宋体" w:cs="宋体"/>
                <w:i w:val="0"/>
                <w:iCs w:val="0"/>
                <w:color w:val="000000"/>
                <w:kern w:val="0"/>
                <w:sz w:val="24"/>
                <w:szCs w:val="24"/>
                <w:u w:val="none"/>
                <w:lang w:val="en-US" w:eastAsia="zh-CN" w:bidi="ar"/>
              </w:rPr>
              <w:t>；</w:t>
            </w:r>
          </w:p>
          <w:p w14:paraId="6CEBE899">
            <w:pPr>
              <w:keepNext w:val="0"/>
              <w:keepLines w:val="0"/>
              <w:pageBreakBefore w:val="0"/>
              <w:widowControl/>
              <w:suppressLineNumbers w:val="0"/>
              <w:kinsoku/>
              <w:wordWrap/>
              <w:overflowPunct/>
              <w:topLinePunct w:val="0"/>
              <w:autoSpaceDE/>
              <w:autoSpaceDN/>
              <w:bidi w:val="0"/>
              <w:adjustRightInd/>
              <w:snapToGrid/>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灯杆上口径60±3mm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下口径</w:t>
            </w:r>
            <w:r>
              <w:rPr>
                <w:rFonts w:hint="eastAsia" w:ascii="宋体" w:hAnsi="宋体" w:eastAsia="宋体" w:cs="宋体"/>
                <w:i w:val="0"/>
                <w:iCs w:val="0"/>
                <w:color w:val="auto"/>
                <w:kern w:val="0"/>
                <w:sz w:val="24"/>
                <w:szCs w:val="24"/>
                <w:u w:val="none"/>
                <w:lang w:val="en-US" w:eastAsia="zh-CN" w:bidi="ar"/>
              </w:rPr>
              <w:t>≥140mm±3mm；</w:t>
            </w:r>
          </w:p>
          <w:p w14:paraId="1245A6A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焊接:焊缝宽度≤5mm；</w:t>
            </w:r>
          </w:p>
          <w:p w14:paraId="06E25F6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灯杆-法兰盘:≥350mmx350mm</w:t>
            </w:r>
            <w:r>
              <w:rPr>
                <w:rFonts w:hint="eastAsia" w:ascii="宋体" w:hAnsi="宋体" w:cs="宋体"/>
                <w:i w:val="0"/>
                <w:iCs w:val="0"/>
                <w:color w:val="000000"/>
                <w:kern w:val="0"/>
                <w:sz w:val="24"/>
                <w:szCs w:val="24"/>
                <w:u w:val="none"/>
                <w:lang w:val="en-US" w:eastAsia="zh-CN" w:bidi="ar"/>
              </w:rPr>
              <w:t>；</w:t>
            </w:r>
          </w:p>
          <w:p w14:paraId="6A888C2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表面</w:t>
            </w:r>
            <w:r>
              <w:rPr>
                <w:rFonts w:hint="eastAsia" w:ascii="宋体" w:hAnsi="宋体" w:eastAsia="宋体" w:cs="宋体"/>
                <w:i w:val="0"/>
                <w:iCs w:val="0"/>
                <w:color w:val="auto"/>
                <w:kern w:val="0"/>
                <w:sz w:val="24"/>
                <w:szCs w:val="24"/>
                <w:u w:val="none"/>
                <w:lang w:val="en-US" w:eastAsia="zh-CN" w:bidi="ar"/>
              </w:rPr>
              <w:t>处理:支臂支架热镀锌，镀锌后无焊接，整体抗腐蚀；</w:t>
            </w:r>
          </w:p>
          <w:p w14:paraId="2BE27DA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质保 ≥10 年，寿命≥20年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 </w:t>
            </w:r>
          </w:p>
          <w:p w14:paraId="3DC2011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双100W支架 加厚角铁整体热镀锌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（抗风等级≥10</w:t>
            </w:r>
            <w:r>
              <w:rPr>
                <w:rFonts w:hint="eastAsia" w:ascii="宋体" w:hAnsi="宋体" w:eastAsia="宋体" w:cs="宋体"/>
                <w:i w:val="0"/>
                <w:iCs w:val="0"/>
                <w:color w:val="000000"/>
                <w:kern w:val="0"/>
                <w:sz w:val="24"/>
                <w:szCs w:val="24"/>
                <w:u w:val="none"/>
                <w:lang w:val="en-US" w:eastAsia="zh-CN" w:bidi="ar"/>
              </w:rPr>
              <w:t>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表面处理：喷塑</w:t>
            </w:r>
            <w:r>
              <w:rPr>
                <w:rFonts w:hint="eastAsia" w:ascii="宋体" w:hAnsi="宋体" w:eastAsia="宋体" w:cs="宋体"/>
                <w:i w:val="0"/>
                <w:iCs w:val="0"/>
                <w:color w:val="auto"/>
                <w:kern w:val="0"/>
                <w:sz w:val="24"/>
                <w:szCs w:val="24"/>
                <w:u w:val="none"/>
                <w:lang w:val="en-US" w:eastAsia="zh-CN" w:bidi="ar"/>
              </w:rPr>
              <w:t>（可选颜色：白色/灰色/蓝色/红色）</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p w14:paraId="5E85DBC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提供省级及以上市场监管部门颁发的有效期内的检验检测机构出具的具有CMA或CNAS标识的检测报告</w:t>
            </w:r>
            <w:r>
              <w:rPr>
                <w:rFonts w:hint="eastAsia" w:ascii="宋体" w:hAnsi="宋体" w:cs="宋体"/>
                <w:b w:val="0"/>
                <w:bCs w:val="0"/>
                <w:i w:val="0"/>
                <w:iCs w:val="0"/>
                <w:color w:val="000000"/>
                <w:kern w:val="0"/>
                <w:sz w:val="24"/>
                <w:szCs w:val="24"/>
                <w:highlight w:val="none"/>
                <w:u w:val="none"/>
                <w:lang w:val="en-US" w:eastAsia="zh-CN" w:bidi="ar"/>
              </w:rPr>
              <w:t>，检测项目需包含灯杆高度、壁厚</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7082A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5A3C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1305" w:type="dxa"/>
            <w:tcBorders>
              <w:top w:val="single" w:color="000000" w:sz="4" w:space="0"/>
              <w:left w:val="single" w:color="000000" w:sz="4" w:space="0"/>
              <w:bottom w:val="single" w:color="000000" w:sz="4" w:space="0"/>
              <w:right w:val="single" w:color="000000" w:sz="4" w:space="0"/>
            </w:tcBorders>
            <w:noWrap/>
            <w:vAlign w:val="center"/>
          </w:tcPr>
          <w:p w14:paraId="0E595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预埋件</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3673DF5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预埋件 主螺杆:直径≥12mm，高≥60cm，螺纹均匀涂抹黄油</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68D47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0EF2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jc w:val="center"/>
        </w:trPr>
        <w:tc>
          <w:tcPr>
            <w:tcW w:w="1305" w:type="dxa"/>
            <w:tcBorders>
              <w:top w:val="single" w:color="000000" w:sz="4" w:space="0"/>
              <w:left w:val="single" w:color="000000" w:sz="4" w:space="0"/>
              <w:bottom w:val="single" w:color="000000" w:sz="4" w:space="0"/>
              <w:right w:val="single" w:color="000000" w:sz="4" w:space="0"/>
            </w:tcBorders>
            <w:noWrap/>
            <w:vAlign w:val="center"/>
          </w:tcPr>
          <w:p w14:paraId="359C9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353BD84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电缆-材质:PPO耐老化绝缘铜芯:2平方；电缆 连接:公母防水插头，接头防水等级≥ip65； 长度&gt;3米 </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5827C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2ADA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305" w:type="dxa"/>
            <w:tcBorders>
              <w:top w:val="single" w:color="000000" w:sz="4" w:space="0"/>
              <w:left w:val="single" w:color="000000" w:sz="4" w:space="0"/>
              <w:bottom w:val="single" w:color="000000" w:sz="4" w:space="0"/>
              <w:right w:val="single" w:color="000000" w:sz="4" w:space="0"/>
            </w:tcBorders>
            <w:noWrap/>
            <w:vAlign w:val="center"/>
          </w:tcPr>
          <w:p w14:paraId="36F5A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安装费</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2CE261A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62FB5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1B08F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305" w:type="dxa"/>
            <w:tcBorders>
              <w:top w:val="single" w:color="000000" w:sz="4" w:space="0"/>
              <w:left w:val="single" w:color="000000" w:sz="4" w:space="0"/>
              <w:bottom w:val="single" w:color="000000" w:sz="4" w:space="0"/>
              <w:right w:val="single" w:color="000000" w:sz="4" w:space="0"/>
            </w:tcBorders>
            <w:noWrap/>
            <w:vAlign w:val="center"/>
          </w:tcPr>
          <w:p w14:paraId="07F0C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运费</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0D6A15A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7DF08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bl>
    <w:p w14:paraId="244A9FB3">
      <w:pPr>
        <w:pStyle w:val="3"/>
        <w:ind w:left="0" w:leftChars="0" w:firstLine="0" w:firstLineChars="0"/>
        <w:rPr>
          <w:rFonts w:hint="eastAsia"/>
          <w:color w:val="000000"/>
          <w:lang w:val="en-US" w:eastAsia="zh-CN"/>
        </w:rPr>
      </w:pPr>
    </w:p>
    <w:p w14:paraId="39D95D6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b/>
          <w:bCs/>
          <w:color w:val="000000"/>
          <w:sz w:val="28"/>
          <w:szCs w:val="18"/>
          <w:lang w:val="en-US" w:eastAsia="zh-CN"/>
        </w:rPr>
      </w:pPr>
      <w:r>
        <w:rPr>
          <w:rFonts w:hint="eastAsia"/>
          <w:b/>
          <w:bCs/>
          <w:color w:val="000000"/>
          <w:sz w:val="28"/>
          <w:szCs w:val="18"/>
          <w:lang w:val="en-US" w:eastAsia="zh-CN"/>
        </w:rPr>
        <w:t>二、商务要求</w:t>
      </w:r>
    </w:p>
    <w:p w14:paraId="6DFEF2D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1.工期：30天</w:t>
      </w:r>
      <w:r>
        <w:rPr>
          <w:rFonts w:hint="eastAsia" w:ascii="宋体" w:hAnsi="宋体" w:eastAsia="宋体" w:cs="宋体"/>
          <w:color w:val="000000"/>
          <w:sz w:val="28"/>
          <w:szCs w:val="28"/>
        </w:rPr>
        <w:t xml:space="preserve"> </w:t>
      </w:r>
    </w:p>
    <w:p w14:paraId="5AA9A6D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质</w:t>
      </w:r>
      <w:r>
        <w:rPr>
          <w:rFonts w:hint="eastAsia" w:ascii="宋体" w:hAnsi="宋体" w:eastAsia="宋体" w:cs="宋体"/>
          <w:color w:val="auto"/>
          <w:sz w:val="28"/>
          <w:szCs w:val="28"/>
        </w:rPr>
        <w:t>保</w:t>
      </w:r>
      <w:r>
        <w:rPr>
          <w:rFonts w:hint="eastAsia" w:ascii="宋体" w:hAnsi="宋体" w:eastAsia="宋体" w:cs="宋体"/>
          <w:color w:val="auto"/>
          <w:sz w:val="28"/>
          <w:szCs w:val="28"/>
          <w:lang w:val="en-US" w:eastAsia="zh-CN"/>
        </w:rPr>
        <w:t>期</w:t>
      </w:r>
      <w:r>
        <w:rPr>
          <w:rFonts w:hint="eastAsia" w:ascii="宋体" w:hAnsi="宋体" w:eastAsia="宋体" w:cs="宋体"/>
          <w:color w:val="auto"/>
          <w:sz w:val="28"/>
          <w:szCs w:val="28"/>
        </w:rPr>
        <w:t>：整灯3年质保，电池/光伏板5年保修</w:t>
      </w:r>
    </w:p>
    <w:p w14:paraId="45CAA8F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质量控制措施</w:t>
      </w:r>
    </w:p>
    <w:p w14:paraId="6F3D3BA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亮灯时间：每日自动亮灯</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小时（晚6点</w:t>
      </w:r>
      <w:r>
        <w:rPr>
          <w:rFonts w:hint="eastAsia" w:ascii="宋体" w:hAnsi="宋体" w:eastAsia="宋体" w:cs="宋体"/>
          <w:color w:val="000000"/>
          <w:sz w:val="28"/>
          <w:szCs w:val="28"/>
          <w:lang w:eastAsia="zh-CN"/>
        </w:rPr>
        <w:t>至</w:t>
      </w:r>
      <w:r>
        <w:rPr>
          <w:rFonts w:hint="eastAsia" w:ascii="宋体" w:hAnsi="宋体" w:eastAsia="宋体" w:cs="宋体"/>
          <w:color w:val="000000"/>
          <w:sz w:val="28"/>
          <w:szCs w:val="28"/>
          <w:lang w:val="en-US" w:eastAsia="zh-CN"/>
        </w:rPr>
        <w:t>11点、早6点</w:t>
      </w:r>
      <w:r>
        <w:rPr>
          <w:rFonts w:hint="eastAsia" w:ascii="宋体" w:hAnsi="宋体" w:eastAsia="宋体" w:cs="宋体"/>
          <w:color w:val="000000"/>
          <w:sz w:val="28"/>
          <w:szCs w:val="28"/>
          <w:lang w:eastAsia="zh-CN"/>
        </w:rPr>
        <w:t>至</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点） 长期运维：供应商需配备本地维护团队，故障响应≤24小时</w:t>
      </w:r>
      <w:r>
        <w:rPr>
          <w:rFonts w:hint="eastAsia" w:ascii="宋体" w:hAnsi="宋体" w:eastAsia="宋体" w:cs="宋体"/>
          <w:color w:val="000000"/>
          <w:sz w:val="28"/>
          <w:szCs w:val="28"/>
          <w:lang w:eastAsia="zh-CN"/>
        </w:rPr>
        <w:t>。</w:t>
      </w:r>
    </w:p>
    <w:p w14:paraId="76DF9C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53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line="480" w:lineRule="auto"/>
      <w:jc w:val="center"/>
      <w:outlineLvl w:val="0"/>
    </w:pPr>
    <w:rPr>
      <w:rFonts w:ascii="Times New Roman" w:hAnsi="Times New Roman" w:eastAsia="宋体"/>
      <w:b/>
      <w:kern w:val="44"/>
      <w:sz w:val="32"/>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2"/>
    <w:basedOn w:val="1"/>
    <w:uiPriority w:val="0"/>
    <w:pPr>
      <w:ind w:firstLine="630"/>
    </w:pPr>
    <w:rPr>
      <w:sz w:val="32"/>
      <w:szCs w:val="20"/>
    </w:rPr>
  </w:style>
  <w:style w:type="paragraph" w:customStyle="1" w:styleId="6">
    <w:name w:val="样式 10 磅"/>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2025-08-05T03:16:10Z</dcterms:created>
  <dc:creator>Administrator</dc:creator>
  <cp:lastModifiedBy>伊半。真</cp:lastModifiedBy>
  <dcterms:modified xsi:type="dcterms:W3CDTF">2025-08-05T03:16:54Z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eyJoZGlkIjoiYjQ1MmM1YjFkMzFlY2UyMWU4ODZlY2M1YzBiYzcxMmYiLCJ1c2VySWQiOiI3ODAwNzU1NjEifQ==</vt:lpwstr>
  </property>
  <property fmtid="{D5CDD505-2E9C-101B-9397-08002B2CF9AE}" pid="4" name="ICV">
    <vt:lpwstr>9320C4C3017740A7B6038005D95280DD_12</vt:lpwstr>
  </property>
</Properties>
</file>