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82AE8">
      <w:pPr>
        <w:keepNext w:val="0"/>
        <w:keepLines w:val="0"/>
        <w:pageBreakBefore w:val="0"/>
        <w:widowControl w:val="0"/>
        <w:shd w:val="clear"/>
        <w:kinsoku/>
        <w:wordWrap w:val="0"/>
        <w:overflowPunct/>
        <w:topLinePunct w:val="0"/>
        <w:autoSpaceDE/>
        <w:autoSpaceDN/>
        <w:bidi w:val="0"/>
        <w:adjustRightInd/>
        <w:snapToGrid/>
        <w:spacing w:line="360" w:lineRule="auto"/>
        <w:jc w:val="both"/>
        <w:textAlignment w:val="auto"/>
        <w:rPr>
          <w:rFonts w:hint="eastAsia" w:ascii="宋体" w:hAnsi="宋体" w:eastAsia="宋体" w:cs="宋体"/>
          <w:b/>
          <w:color w:val="auto"/>
          <w:sz w:val="15"/>
          <w:szCs w:val="15"/>
          <w:highlight w:val="none"/>
          <w:bdr w:val="single" w:color="auto" w:sz="4" w:space="0"/>
          <w:shd w:val="pct10" w:color="auto" w:fill="FFFFFF"/>
          <w:lang w:eastAsia="zh-CN"/>
        </w:rPr>
      </w:pPr>
    </w:p>
    <w:p w14:paraId="3D3D9AC2">
      <w:pPr>
        <w:keepNext w:val="0"/>
        <w:keepLines w:val="0"/>
        <w:pageBreakBefore w:val="0"/>
        <w:widowControl w:val="0"/>
        <w:shd w:val="clear"/>
        <w:kinsoku/>
        <w:wordWrap w:val="0"/>
        <w:overflowPunct/>
        <w:topLinePunct w:val="0"/>
        <w:autoSpaceDE/>
        <w:autoSpaceDN/>
        <w:bidi w:val="0"/>
        <w:adjustRightInd/>
        <w:snapToGrid/>
        <w:spacing w:line="360" w:lineRule="auto"/>
        <w:jc w:val="both"/>
        <w:textAlignment w:val="auto"/>
        <w:rPr>
          <w:rFonts w:hint="eastAsia" w:ascii="宋体" w:hAnsi="宋体" w:eastAsia="宋体" w:cs="宋体"/>
          <w:b/>
          <w:sz w:val="36"/>
          <w:szCs w:val="36"/>
          <w:shd w:val="clear" w:color="auto" w:fill="FFFFFF"/>
          <w:lang w:eastAsia="zh-CN"/>
        </w:rPr>
      </w:pPr>
      <w:r>
        <w:rPr>
          <w:rFonts w:hint="eastAsia" w:ascii="宋体" w:hAnsi="宋体" w:eastAsia="宋体" w:cs="宋体"/>
          <w:b/>
          <w:sz w:val="36"/>
          <w:szCs w:val="36"/>
          <w:shd w:val="clear" w:color="auto" w:fill="FFFFFF"/>
          <w:lang w:eastAsia="zh-CN"/>
        </w:rPr>
        <w:t>项目编号：JZZB-2025-239</w:t>
      </w:r>
    </w:p>
    <w:p w14:paraId="0DC298C0">
      <w:pPr>
        <w:pStyle w:val="8"/>
        <w:ind w:left="0" w:leftChars="0" w:firstLine="0" w:firstLineChars="0"/>
        <w:rPr>
          <w:rFonts w:hint="eastAsia"/>
          <w:lang w:eastAsia="zh-CN"/>
        </w:rPr>
      </w:pPr>
      <w:r>
        <w:rPr>
          <w:rFonts w:hint="eastAsia" w:ascii="宋体" w:hAnsi="宋体" w:eastAsia="宋体" w:cs="宋体"/>
          <w:b/>
          <w:sz w:val="36"/>
          <w:szCs w:val="36"/>
          <w:shd w:val="clear" w:color="auto" w:fill="FFFFFF"/>
          <w:lang w:eastAsia="zh-CN"/>
        </w:rPr>
        <w:t>项目名称：扶风县职业教育中心厨房、餐厅消防整改工程</w:t>
      </w:r>
    </w:p>
    <w:p w14:paraId="4A1520A6">
      <w:pPr>
        <w:keepNext w:val="0"/>
        <w:keepLines w:val="0"/>
        <w:pageBreakBefore w:val="0"/>
        <w:widowControl w:val="0"/>
        <w:tabs>
          <w:tab w:val="left" w:pos="5716"/>
        </w:tabs>
        <w:kinsoku/>
        <w:overflowPunct/>
        <w:topLinePunct w:val="0"/>
        <w:autoSpaceDE/>
        <w:autoSpaceDN/>
        <w:bidi w:val="0"/>
        <w:adjustRightInd/>
        <w:snapToGrid/>
        <w:spacing w:line="360" w:lineRule="auto"/>
        <w:textAlignment w:val="auto"/>
        <w:rPr>
          <w:rFonts w:hint="eastAsia" w:ascii="宋体" w:hAnsi="宋体" w:eastAsia="宋体" w:cs="宋体"/>
          <w:b/>
          <w:kern w:val="2"/>
          <w:sz w:val="36"/>
          <w:szCs w:val="36"/>
          <w:highlight w:val="none"/>
          <w:lang w:eastAsia="zh-CN"/>
        </w:rPr>
      </w:pPr>
      <w:r>
        <w:rPr>
          <w:rFonts w:hint="eastAsia" w:ascii="宋体" w:hAnsi="宋体" w:eastAsia="宋体" w:cs="宋体"/>
          <w:b/>
          <w:kern w:val="2"/>
          <w:sz w:val="36"/>
          <w:szCs w:val="36"/>
          <w:highlight w:val="none"/>
          <w:lang w:eastAsia="zh-CN"/>
        </w:rPr>
        <w:tab/>
      </w:r>
    </w:p>
    <w:p w14:paraId="1AAC1D58">
      <w:pPr>
        <w:keepNext w:val="0"/>
        <w:keepLines w:val="0"/>
        <w:pageBreakBefore w:val="0"/>
        <w:widowControl w:val="0"/>
        <w:kinsoku/>
        <w:overflowPunct/>
        <w:topLinePunct w:val="0"/>
        <w:autoSpaceDE/>
        <w:autoSpaceDN/>
        <w:bidi w:val="0"/>
        <w:adjustRightInd/>
        <w:snapToGrid/>
        <w:spacing w:line="360" w:lineRule="auto"/>
        <w:ind w:left="1807" w:hanging="1807" w:hangingChars="500"/>
        <w:textAlignment w:val="auto"/>
        <w:rPr>
          <w:rFonts w:hint="eastAsia" w:ascii="宋体" w:hAnsi="宋体" w:eastAsia="宋体" w:cs="宋体"/>
          <w:b/>
          <w:kern w:val="2"/>
          <w:sz w:val="36"/>
          <w:szCs w:val="36"/>
          <w:highlight w:val="none"/>
          <w:lang w:eastAsia="zh-CN"/>
        </w:rPr>
      </w:pPr>
    </w:p>
    <w:p w14:paraId="6FD89F29">
      <w:pPr>
        <w:pStyle w:val="2"/>
        <w:ind w:left="0" w:leftChars="0" w:firstLine="0" w:firstLineChars="0"/>
        <w:rPr>
          <w:rFonts w:hint="eastAsia" w:ascii="宋体" w:hAnsi="宋体" w:eastAsia="宋体" w:cs="宋体"/>
          <w:sz w:val="32"/>
        </w:rPr>
      </w:pPr>
    </w:p>
    <w:p w14:paraId="65A8858D">
      <w:pPr>
        <w:pStyle w:val="2"/>
        <w:ind w:left="0" w:leftChars="0" w:firstLine="0" w:firstLineChars="0"/>
        <w:rPr>
          <w:rFonts w:hint="eastAsia" w:ascii="宋体" w:hAnsi="宋体" w:eastAsia="宋体" w:cs="宋体"/>
          <w:sz w:val="32"/>
        </w:rPr>
      </w:pPr>
    </w:p>
    <w:p w14:paraId="5713271B">
      <w:pPr>
        <w:pStyle w:val="2"/>
        <w:ind w:left="0" w:leftChars="0" w:firstLine="0" w:firstLineChars="0"/>
        <w:rPr>
          <w:rFonts w:hint="eastAsia" w:ascii="宋体" w:hAnsi="宋体" w:eastAsia="宋体" w:cs="宋体"/>
          <w:sz w:val="32"/>
        </w:rPr>
      </w:pPr>
    </w:p>
    <w:p w14:paraId="106E237A">
      <w:pPr>
        <w:pStyle w:val="2"/>
        <w:rPr>
          <w:rFonts w:hint="eastAsia" w:ascii="宋体" w:hAnsi="宋体" w:eastAsia="宋体" w:cs="宋体"/>
          <w:sz w:val="32"/>
        </w:rPr>
      </w:pPr>
    </w:p>
    <w:p w14:paraId="30E72A29">
      <w:pPr>
        <w:pStyle w:val="2"/>
        <w:rPr>
          <w:rFonts w:hint="eastAsia" w:ascii="宋体" w:hAnsi="宋体" w:eastAsia="宋体" w:cs="宋体"/>
          <w:sz w:val="32"/>
        </w:rPr>
      </w:pPr>
    </w:p>
    <w:p w14:paraId="37F0C97E">
      <w:pPr>
        <w:pStyle w:val="2"/>
        <w:rPr>
          <w:rFonts w:hint="eastAsia"/>
        </w:rPr>
      </w:pPr>
    </w:p>
    <w:p w14:paraId="37A3D07C">
      <w:pPr>
        <w:pageBreakBefore w:val="0"/>
        <w:kinsoku/>
        <w:wordWrap/>
        <w:overflowPunct/>
        <w:topLinePunct w:val="0"/>
        <w:bidi w:val="0"/>
        <w:spacing w:line="360" w:lineRule="auto"/>
        <w:jc w:val="center"/>
        <w:textAlignment w:val="auto"/>
        <w:rPr>
          <w:rFonts w:hint="eastAsia" w:ascii="宋体" w:hAnsi="宋体" w:eastAsia="宋体" w:cs="宋体"/>
          <w:b/>
          <w:bCs w:val="0"/>
          <w:spacing w:val="20"/>
          <w:kern w:val="0"/>
          <w:sz w:val="72"/>
          <w:szCs w:val="72"/>
          <w:highlight w:val="none"/>
        </w:rPr>
      </w:pPr>
      <w:r>
        <w:rPr>
          <w:rFonts w:hint="eastAsia" w:ascii="宋体" w:hAnsi="宋体" w:eastAsia="宋体" w:cs="宋体"/>
          <w:b/>
          <w:bCs w:val="0"/>
          <w:spacing w:val="20"/>
          <w:kern w:val="0"/>
          <w:sz w:val="72"/>
          <w:szCs w:val="72"/>
          <w:highlight w:val="none"/>
        </w:rPr>
        <w:t>竞争性磋商文件</w:t>
      </w:r>
    </w:p>
    <w:p w14:paraId="60CA3994">
      <w:pPr>
        <w:keepNext w:val="0"/>
        <w:keepLines w:val="0"/>
        <w:pageBreakBefore w:val="0"/>
        <w:widowControl w:val="0"/>
        <w:kinsoku/>
        <w:overflowPunct/>
        <w:topLinePunct w:val="0"/>
        <w:autoSpaceDE/>
        <w:autoSpaceDN/>
        <w:bidi w:val="0"/>
        <w:adjustRightInd/>
        <w:snapToGrid/>
        <w:spacing w:line="360" w:lineRule="auto"/>
        <w:ind w:left="1807" w:hanging="2200" w:hangingChars="500"/>
        <w:jc w:val="center"/>
        <w:textAlignment w:val="auto"/>
        <w:rPr>
          <w:rFonts w:hint="eastAsia" w:eastAsia="宋体"/>
          <w:sz w:val="44"/>
          <w:szCs w:val="44"/>
          <w:lang w:eastAsia="zh-CN"/>
        </w:rPr>
      </w:pPr>
    </w:p>
    <w:p w14:paraId="4F27F7B4">
      <w:pPr>
        <w:pageBreakBefore w:val="0"/>
        <w:kinsoku/>
        <w:wordWrap/>
        <w:overflowPunct/>
        <w:topLinePunct w:val="0"/>
        <w:bidi w:val="0"/>
        <w:spacing w:line="360" w:lineRule="auto"/>
        <w:textAlignment w:val="auto"/>
        <w:rPr>
          <w:rFonts w:hint="eastAsia" w:ascii="宋体" w:hAnsi="宋体" w:eastAsia="宋体" w:cs="宋体"/>
        </w:rPr>
      </w:pPr>
    </w:p>
    <w:p w14:paraId="5B9A200C">
      <w:pPr>
        <w:pStyle w:val="8"/>
        <w:pageBreakBefore w:val="0"/>
        <w:kinsoku/>
        <w:wordWrap/>
        <w:overflowPunct/>
        <w:topLinePunct w:val="0"/>
        <w:bidi w:val="0"/>
        <w:spacing w:line="360" w:lineRule="auto"/>
        <w:textAlignment w:val="auto"/>
        <w:rPr>
          <w:rFonts w:hint="eastAsia" w:ascii="宋体" w:hAnsi="宋体" w:eastAsia="宋体" w:cs="宋体"/>
        </w:rPr>
      </w:pPr>
    </w:p>
    <w:p w14:paraId="7081AE82">
      <w:pPr>
        <w:pageBreakBefore w:val="0"/>
        <w:kinsoku/>
        <w:wordWrap/>
        <w:overflowPunct/>
        <w:topLinePunct w:val="0"/>
        <w:bidi w:val="0"/>
        <w:spacing w:line="360" w:lineRule="auto"/>
        <w:ind w:firstLine="640"/>
        <w:textAlignment w:val="auto"/>
        <w:rPr>
          <w:rFonts w:hint="eastAsia" w:ascii="宋体" w:hAnsi="宋体" w:eastAsia="宋体" w:cs="宋体"/>
          <w:b/>
          <w:sz w:val="36"/>
          <w:szCs w:val="36"/>
        </w:rPr>
      </w:pPr>
      <w:r>
        <w:rPr>
          <w:rFonts w:hint="eastAsia" w:ascii="宋体" w:hAnsi="宋体" w:eastAsia="宋体" w:cs="宋体"/>
          <w:sz w:val="32"/>
          <w:lang w:val="en-US" w:eastAsia="zh-CN"/>
        </w:rPr>
        <w:t xml:space="preserve"> </w:t>
      </w:r>
    </w:p>
    <w:p w14:paraId="0E7B037A">
      <w:pPr>
        <w:pageBreakBefore w:val="0"/>
        <w:kinsoku/>
        <w:wordWrap/>
        <w:overflowPunct/>
        <w:topLinePunct w:val="0"/>
        <w:bidi w:val="0"/>
        <w:spacing w:line="360" w:lineRule="auto"/>
        <w:ind w:firstLine="2530"/>
        <w:textAlignment w:val="auto"/>
        <w:rPr>
          <w:rFonts w:hint="eastAsia" w:ascii="宋体" w:hAnsi="宋体" w:eastAsia="宋体" w:cs="宋体"/>
          <w:b/>
          <w:sz w:val="36"/>
          <w:szCs w:val="36"/>
        </w:rPr>
      </w:pPr>
    </w:p>
    <w:p w14:paraId="41C4CEB2">
      <w:pPr>
        <w:pStyle w:val="2"/>
        <w:rPr>
          <w:rFonts w:hint="eastAsia"/>
        </w:rPr>
      </w:pPr>
    </w:p>
    <w:p w14:paraId="5A395026">
      <w:pPr>
        <w:keepNext w:val="0"/>
        <w:keepLines w:val="0"/>
        <w:pageBreakBefore w:val="0"/>
        <w:widowControl w:val="0"/>
        <w:kinsoku/>
        <w:overflowPunct/>
        <w:topLinePunct w:val="0"/>
        <w:autoSpaceDE/>
        <w:autoSpaceDN/>
        <w:bidi w:val="0"/>
        <w:adjustRightInd/>
        <w:snapToGrid/>
        <w:spacing w:line="360" w:lineRule="auto"/>
        <w:ind w:firstLine="1807" w:firstLineChars="500"/>
        <w:jc w:val="both"/>
        <w:textAlignment w:val="auto"/>
        <w:rPr>
          <w:rFonts w:hint="eastAsia" w:ascii="宋体" w:hAnsi="宋体" w:eastAsia="宋体" w:cs="宋体"/>
          <w:b/>
          <w:sz w:val="36"/>
          <w:szCs w:val="36"/>
          <w:highlight w:val="none"/>
          <w:lang w:val="en-US" w:eastAsia="zh-CN"/>
        </w:rPr>
      </w:pPr>
      <w:r>
        <w:rPr>
          <w:rFonts w:hint="eastAsia" w:ascii="宋体" w:hAnsi="宋体" w:eastAsia="宋体" w:cs="宋体"/>
          <w:b/>
          <w:sz w:val="36"/>
          <w:szCs w:val="36"/>
          <w:highlight w:val="none"/>
          <w:lang w:val="en-US" w:eastAsia="zh-CN"/>
        </w:rPr>
        <w:t xml:space="preserve">采   购   人：扶风县职业教育中心 </w:t>
      </w:r>
    </w:p>
    <w:p w14:paraId="427E4C73">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
          <w:sz w:val="36"/>
          <w:szCs w:val="36"/>
          <w:highlight w:val="none"/>
          <w:lang w:val="en-US" w:eastAsia="zh-CN"/>
        </w:rPr>
      </w:pPr>
      <w:r>
        <w:rPr>
          <w:rFonts w:hint="eastAsia" w:ascii="宋体" w:hAnsi="宋体" w:eastAsia="宋体" w:cs="宋体"/>
          <w:b/>
          <w:sz w:val="36"/>
          <w:szCs w:val="36"/>
          <w:highlight w:val="none"/>
          <w:lang w:val="en-US" w:eastAsia="zh-CN"/>
        </w:rPr>
        <w:t xml:space="preserve">  采购代理机构：陕西建政项目管理有限公司 </w:t>
      </w:r>
    </w:p>
    <w:p w14:paraId="425482EA">
      <w:pPr>
        <w:keepNext w:val="0"/>
        <w:keepLines w:val="0"/>
        <w:pageBreakBefore w:val="0"/>
        <w:widowControl w:val="0"/>
        <w:kinsoku/>
        <w:overflowPunct/>
        <w:topLinePunct w:val="0"/>
        <w:autoSpaceDE/>
        <w:autoSpaceDN/>
        <w:bidi w:val="0"/>
        <w:adjustRightInd/>
        <w:snapToGrid/>
        <w:spacing w:line="360" w:lineRule="auto"/>
        <w:ind w:firstLine="1807" w:firstLineChars="500"/>
        <w:jc w:val="both"/>
        <w:textAlignment w:val="auto"/>
        <w:rPr>
          <w:rFonts w:hint="eastAsia" w:ascii="宋体" w:hAnsi="宋体" w:eastAsia="宋体" w:cs="宋体"/>
          <w:b/>
          <w:sz w:val="36"/>
          <w:szCs w:val="36"/>
          <w:highlight w:val="none"/>
          <w:lang w:val="en-US" w:eastAsia="zh-CN"/>
        </w:rPr>
      </w:pPr>
      <w:r>
        <w:rPr>
          <w:rFonts w:hint="eastAsia" w:ascii="宋体" w:hAnsi="宋体" w:eastAsia="宋体" w:cs="宋体"/>
          <w:b/>
          <w:sz w:val="36"/>
          <w:szCs w:val="36"/>
          <w:highlight w:val="none"/>
          <w:lang w:val="en-US" w:eastAsia="zh-CN"/>
        </w:rPr>
        <w:t>时        间：二零二五年七月</w:t>
      </w:r>
    </w:p>
    <w:p w14:paraId="1BFFEF15">
      <w:pPr>
        <w:pStyle w:val="2"/>
        <w:rPr>
          <w:rFonts w:hint="eastAsia"/>
        </w:rPr>
      </w:pPr>
    </w:p>
    <w:p w14:paraId="4A141381">
      <w:pPr>
        <w:pStyle w:val="2"/>
        <w:rPr>
          <w:rFonts w:hint="eastAsia"/>
        </w:rPr>
      </w:pPr>
    </w:p>
    <w:p w14:paraId="03C3A935">
      <w:pPr>
        <w:pStyle w:val="2"/>
        <w:rPr>
          <w:rFonts w:hint="eastAsia"/>
        </w:rPr>
      </w:pPr>
    </w:p>
    <w:p w14:paraId="7950948C">
      <w:pPr>
        <w:pStyle w:val="2"/>
        <w:ind w:left="0" w:leftChars="0" w:firstLine="0" w:firstLineChars="0"/>
        <w:rPr>
          <w:rFonts w:hint="eastAsia"/>
        </w:rPr>
      </w:pPr>
    </w:p>
    <w:p w14:paraId="17F3114B">
      <w:pPr>
        <w:pStyle w:val="2"/>
        <w:ind w:left="0" w:leftChars="0" w:firstLine="0" w:firstLineChars="0"/>
        <w:rPr>
          <w:rFonts w:hint="eastAsia"/>
        </w:rPr>
      </w:pPr>
    </w:p>
    <w:p w14:paraId="545C50BB">
      <w:pPr>
        <w:rPr>
          <w:rFonts w:hint="eastAsia" w:ascii="宋体" w:hAnsi="宋体" w:eastAsia="宋体" w:cs="宋体"/>
          <w:b/>
          <w:bCs/>
          <w:sz w:val="36"/>
          <w:szCs w:val="36"/>
        </w:rPr>
      </w:pPr>
    </w:p>
    <w:sdt>
      <w:sdtPr>
        <w:rPr>
          <w:rFonts w:ascii="宋体" w:hAnsi="宋体" w:eastAsia="宋体" w:cs="Times New Roman"/>
          <w:kern w:val="1"/>
          <w:sz w:val="21"/>
          <w:szCs w:val="22"/>
          <w:lang w:val="en-US" w:eastAsia="zh-CN" w:bidi="ar-SA"/>
        </w:rPr>
        <w:id w:val="147475229"/>
        <w15:color w:val="DBDBDB"/>
        <w:docPartObj>
          <w:docPartGallery w:val="Table of Contents"/>
          <w:docPartUnique/>
        </w:docPartObj>
      </w:sdtPr>
      <w:sdtEndPr>
        <w:rPr>
          <w:rFonts w:hint="eastAsia" w:ascii="宋体" w:hAnsi="宋体" w:eastAsia="宋体" w:cs="宋体"/>
          <w:b/>
          <w:kern w:val="1"/>
          <w:sz w:val="21"/>
          <w:szCs w:val="22"/>
          <w:lang w:val="en-US" w:eastAsia="zh-CN" w:bidi="ar-SA"/>
        </w:rPr>
      </w:sdtEndPr>
      <w:sdtContent>
        <w:p w14:paraId="6DECEC98">
          <w:pPr>
            <w:spacing w:before="0" w:beforeLines="0" w:after="0" w:afterLines="0" w:line="240" w:lineRule="auto"/>
            <w:ind w:left="0" w:leftChars="0" w:right="0" w:rightChars="0" w:firstLine="0" w:firstLineChars="0"/>
            <w:jc w:val="center"/>
            <w:rPr>
              <w:rFonts w:ascii="宋体" w:hAnsi="宋体" w:eastAsia="宋体"/>
              <w:b/>
              <w:bCs/>
              <w:sz w:val="32"/>
              <w:szCs w:val="36"/>
            </w:rPr>
          </w:pPr>
          <w:r>
            <w:rPr>
              <w:rFonts w:ascii="宋体" w:hAnsi="宋体" w:eastAsia="宋体"/>
              <w:b/>
              <w:bCs/>
              <w:sz w:val="32"/>
              <w:szCs w:val="36"/>
            </w:rPr>
            <w:t>目</w:t>
          </w:r>
          <w:r>
            <w:rPr>
              <w:rFonts w:hint="eastAsia" w:ascii="宋体" w:hAnsi="宋体" w:eastAsia="宋体"/>
              <w:b/>
              <w:bCs/>
              <w:sz w:val="32"/>
              <w:szCs w:val="36"/>
              <w:lang w:val="en-US" w:eastAsia="zh-CN"/>
            </w:rPr>
            <w:t xml:space="preserve">  </w:t>
          </w:r>
          <w:r>
            <w:rPr>
              <w:rFonts w:ascii="宋体" w:hAnsi="宋体" w:eastAsia="宋体"/>
              <w:b/>
              <w:bCs/>
              <w:sz w:val="32"/>
              <w:szCs w:val="36"/>
            </w:rPr>
            <w:t>录</w:t>
          </w:r>
        </w:p>
        <w:p w14:paraId="5EDE06CB">
          <w:pPr>
            <w:pStyle w:val="14"/>
          </w:pPr>
        </w:p>
        <w:p w14:paraId="325FB9B1">
          <w:pPr>
            <w:pStyle w:val="55"/>
            <w:keepNext w:val="0"/>
            <w:keepLines w:val="0"/>
            <w:pageBreakBefore w:val="0"/>
            <w:widowControl/>
            <w:tabs>
              <w:tab w:val="right" w:leader="dot" w:pos="9361"/>
            </w:tabs>
            <w:kinsoku/>
            <w:wordWrap/>
            <w:overflowPunct/>
            <w:topLinePunct w:val="0"/>
            <w:autoSpaceDE/>
            <w:autoSpaceDN/>
            <w:bidi w:val="0"/>
            <w:adjustRightInd/>
            <w:snapToGrid/>
            <w:spacing w:line="360" w:lineRule="auto"/>
            <w:textAlignment w:val="auto"/>
            <w:rPr>
              <w:b w:val="0"/>
              <w:bCs/>
              <w:sz w:val="28"/>
              <w:szCs w:val="28"/>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TOC \o "1-2" \h \u </w:instrText>
          </w:r>
          <w:r>
            <w:rPr>
              <w:rFonts w:hint="eastAsia" w:ascii="宋体" w:hAnsi="宋体" w:eastAsia="宋体" w:cs="宋体"/>
              <w:sz w:val="22"/>
              <w:szCs w:val="22"/>
            </w:rPr>
            <w:fldChar w:fldCharType="separate"/>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_Toc20319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第一部分  竞争性磋商公告</w:t>
          </w:r>
          <w:r>
            <w:rPr>
              <w:b w:val="0"/>
              <w:bCs/>
              <w:sz w:val="28"/>
              <w:szCs w:val="28"/>
            </w:rPr>
            <w:tab/>
          </w:r>
          <w:r>
            <w:rPr>
              <w:b w:val="0"/>
              <w:bCs/>
              <w:sz w:val="28"/>
              <w:szCs w:val="28"/>
            </w:rPr>
            <w:fldChar w:fldCharType="begin"/>
          </w:r>
          <w:r>
            <w:rPr>
              <w:b w:val="0"/>
              <w:bCs/>
              <w:sz w:val="28"/>
              <w:szCs w:val="28"/>
            </w:rPr>
            <w:instrText xml:space="preserve"> PAGEREF _Toc20319 \h </w:instrText>
          </w:r>
          <w:r>
            <w:rPr>
              <w:b w:val="0"/>
              <w:bCs/>
              <w:sz w:val="28"/>
              <w:szCs w:val="28"/>
            </w:rPr>
            <w:fldChar w:fldCharType="separate"/>
          </w:r>
          <w:r>
            <w:rPr>
              <w:b w:val="0"/>
              <w:bCs/>
              <w:sz w:val="28"/>
              <w:szCs w:val="28"/>
            </w:rPr>
            <w:t>1</w:t>
          </w:r>
          <w:r>
            <w:rPr>
              <w:b w:val="0"/>
              <w:bCs/>
              <w:sz w:val="28"/>
              <w:szCs w:val="28"/>
            </w:rPr>
            <w:fldChar w:fldCharType="end"/>
          </w:r>
          <w:r>
            <w:rPr>
              <w:rFonts w:hint="eastAsia" w:ascii="宋体" w:hAnsi="宋体" w:eastAsia="宋体" w:cs="宋体"/>
              <w:b w:val="0"/>
              <w:bCs/>
              <w:sz w:val="28"/>
              <w:szCs w:val="28"/>
            </w:rPr>
            <w:fldChar w:fldCharType="end"/>
          </w:r>
        </w:p>
        <w:p w14:paraId="42049D4F">
          <w:pPr>
            <w:pStyle w:val="55"/>
            <w:keepNext w:val="0"/>
            <w:keepLines w:val="0"/>
            <w:pageBreakBefore w:val="0"/>
            <w:widowControl/>
            <w:tabs>
              <w:tab w:val="right" w:leader="dot" w:pos="9361"/>
            </w:tabs>
            <w:kinsoku/>
            <w:wordWrap/>
            <w:overflowPunct/>
            <w:topLinePunct w:val="0"/>
            <w:autoSpaceDE/>
            <w:autoSpaceDN/>
            <w:bidi w:val="0"/>
            <w:adjustRightInd/>
            <w:snapToGrid/>
            <w:spacing w:line="360" w:lineRule="auto"/>
            <w:textAlignment w:val="auto"/>
            <w:rPr>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_Toc15746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第二部分  供应商须知</w:t>
          </w:r>
          <w:r>
            <w:rPr>
              <w:b w:val="0"/>
              <w:bCs/>
              <w:sz w:val="28"/>
              <w:szCs w:val="28"/>
            </w:rPr>
            <w:tab/>
          </w:r>
          <w:r>
            <w:rPr>
              <w:b w:val="0"/>
              <w:bCs/>
              <w:sz w:val="28"/>
              <w:szCs w:val="28"/>
            </w:rPr>
            <w:fldChar w:fldCharType="begin"/>
          </w:r>
          <w:r>
            <w:rPr>
              <w:b w:val="0"/>
              <w:bCs/>
              <w:sz w:val="28"/>
              <w:szCs w:val="28"/>
            </w:rPr>
            <w:instrText xml:space="preserve"> PAGEREF _Toc15746 \h </w:instrText>
          </w:r>
          <w:r>
            <w:rPr>
              <w:b w:val="0"/>
              <w:bCs/>
              <w:sz w:val="28"/>
              <w:szCs w:val="28"/>
            </w:rPr>
            <w:fldChar w:fldCharType="separate"/>
          </w:r>
          <w:r>
            <w:rPr>
              <w:b w:val="0"/>
              <w:bCs/>
              <w:sz w:val="28"/>
              <w:szCs w:val="28"/>
            </w:rPr>
            <w:t>7</w:t>
          </w:r>
          <w:r>
            <w:rPr>
              <w:b w:val="0"/>
              <w:bCs/>
              <w:sz w:val="28"/>
              <w:szCs w:val="28"/>
            </w:rPr>
            <w:fldChar w:fldCharType="end"/>
          </w:r>
          <w:r>
            <w:rPr>
              <w:rFonts w:hint="eastAsia" w:ascii="宋体" w:hAnsi="宋体" w:eastAsia="宋体" w:cs="宋体"/>
              <w:b w:val="0"/>
              <w:bCs/>
              <w:sz w:val="28"/>
              <w:szCs w:val="28"/>
            </w:rPr>
            <w:fldChar w:fldCharType="end"/>
          </w:r>
        </w:p>
        <w:p w14:paraId="16167CF0">
          <w:pPr>
            <w:pStyle w:val="55"/>
            <w:keepNext w:val="0"/>
            <w:keepLines w:val="0"/>
            <w:pageBreakBefore w:val="0"/>
            <w:widowControl/>
            <w:tabs>
              <w:tab w:val="right" w:leader="dot" w:pos="9361"/>
            </w:tabs>
            <w:kinsoku/>
            <w:wordWrap/>
            <w:overflowPunct/>
            <w:topLinePunct w:val="0"/>
            <w:autoSpaceDE/>
            <w:autoSpaceDN/>
            <w:bidi w:val="0"/>
            <w:adjustRightInd/>
            <w:snapToGrid/>
            <w:spacing w:line="360" w:lineRule="auto"/>
            <w:textAlignment w:val="auto"/>
            <w:rPr>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_Toc30927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highlight w:val="none"/>
            </w:rPr>
            <w:t xml:space="preserve">第三部分  </w:t>
          </w:r>
          <w:r>
            <w:rPr>
              <w:rFonts w:hint="eastAsia" w:ascii="宋体" w:hAnsi="宋体" w:eastAsia="宋体" w:cs="宋体"/>
              <w:b w:val="0"/>
              <w:bCs/>
              <w:sz w:val="28"/>
              <w:szCs w:val="28"/>
              <w:highlight w:val="none"/>
              <w:lang w:eastAsia="zh-CN"/>
            </w:rPr>
            <w:t>工程量清单</w:t>
          </w:r>
          <w:r>
            <w:rPr>
              <w:b w:val="0"/>
              <w:bCs/>
              <w:sz w:val="28"/>
              <w:szCs w:val="28"/>
            </w:rPr>
            <w:tab/>
          </w:r>
          <w:r>
            <w:rPr>
              <w:b w:val="0"/>
              <w:bCs/>
              <w:sz w:val="28"/>
              <w:szCs w:val="28"/>
            </w:rPr>
            <w:fldChar w:fldCharType="begin"/>
          </w:r>
          <w:r>
            <w:rPr>
              <w:b w:val="0"/>
              <w:bCs/>
              <w:sz w:val="28"/>
              <w:szCs w:val="28"/>
            </w:rPr>
            <w:instrText xml:space="preserve"> PAGEREF _Toc30927 \h </w:instrText>
          </w:r>
          <w:r>
            <w:rPr>
              <w:b w:val="0"/>
              <w:bCs/>
              <w:sz w:val="28"/>
              <w:szCs w:val="28"/>
            </w:rPr>
            <w:fldChar w:fldCharType="separate"/>
          </w:r>
          <w:r>
            <w:rPr>
              <w:b w:val="0"/>
              <w:bCs/>
              <w:sz w:val="28"/>
              <w:szCs w:val="28"/>
            </w:rPr>
            <w:t>30</w:t>
          </w:r>
          <w:r>
            <w:rPr>
              <w:b w:val="0"/>
              <w:bCs/>
              <w:sz w:val="28"/>
              <w:szCs w:val="28"/>
            </w:rPr>
            <w:fldChar w:fldCharType="end"/>
          </w:r>
          <w:r>
            <w:rPr>
              <w:rFonts w:hint="eastAsia" w:ascii="宋体" w:hAnsi="宋体" w:eastAsia="宋体" w:cs="宋体"/>
              <w:b w:val="0"/>
              <w:bCs/>
              <w:sz w:val="28"/>
              <w:szCs w:val="28"/>
            </w:rPr>
            <w:fldChar w:fldCharType="end"/>
          </w:r>
        </w:p>
        <w:p w14:paraId="0C225B97">
          <w:pPr>
            <w:pStyle w:val="55"/>
            <w:keepNext w:val="0"/>
            <w:keepLines w:val="0"/>
            <w:pageBreakBefore w:val="0"/>
            <w:widowControl/>
            <w:tabs>
              <w:tab w:val="right" w:leader="dot" w:pos="9361"/>
            </w:tabs>
            <w:kinsoku/>
            <w:wordWrap/>
            <w:overflowPunct/>
            <w:topLinePunct w:val="0"/>
            <w:autoSpaceDE/>
            <w:autoSpaceDN/>
            <w:bidi w:val="0"/>
            <w:adjustRightInd/>
            <w:snapToGrid/>
            <w:spacing w:line="360" w:lineRule="auto"/>
            <w:textAlignment w:val="auto"/>
            <w:rPr>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_Toc12095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第四部分  商务要求</w:t>
          </w:r>
          <w:r>
            <w:rPr>
              <w:b w:val="0"/>
              <w:bCs/>
              <w:sz w:val="28"/>
              <w:szCs w:val="28"/>
            </w:rPr>
            <w:tab/>
          </w:r>
          <w:r>
            <w:rPr>
              <w:b w:val="0"/>
              <w:bCs/>
              <w:sz w:val="28"/>
              <w:szCs w:val="28"/>
            </w:rPr>
            <w:fldChar w:fldCharType="begin"/>
          </w:r>
          <w:r>
            <w:rPr>
              <w:b w:val="0"/>
              <w:bCs/>
              <w:sz w:val="28"/>
              <w:szCs w:val="28"/>
            </w:rPr>
            <w:instrText xml:space="preserve"> PAGEREF _Toc12095 \h </w:instrText>
          </w:r>
          <w:r>
            <w:rPr>
              <w:b w:val="0"/>
              <w:bCs/>
              <w:sz w:val="28"/>
              <w:szCs w:val="28"/>
            </w:rPr>
            <w:fldChar w:fldCharType="separate"/>
          </w:r>
          <w:r>
            <w:rPr>
              <w:b w:val="0"/>
              <w:bCs/>
              <w:sz w:val="28"/>
              <w:szCs w:val="28"/>
            </w:rPr>
            <w:t>31</w:t>
          </w:r>
          <w:r>
            <w:rPr>
              <w:b w:val="0"/>
              <w:bCs/>
              <w:sz w:val="28"/>
              <w:szCs w:val="28"/>
            </w:rPr>
            <w:fldChar w:fldCharType="end"/>
          </w:r>
          <w:r>
            <w:rPr>
              <w:rFonts w:hint="eastAsia" w:ascii="宋体" w:hAnsi="宋体" w:eastAsia="宋体" w:cs="宋体"/>
              <w:b w:val="0"/>
              <w:bCs/>
              <w:sz w:val="28"/>
              <w:szCs w:val="28"/>
            </w:rPr>
            <w:fldChar w:fldCharType="end"/>
          </w:r>
        </w:p>
        <w:p w14:paraId="7BE4523B">
          <w:pPr>
            <w:pStyle w:val="55"/>
            <w:keepNext w:val="0"/>
            <w:keepLines w:val="0"/>
            <w:pageBreakBefore w:val="0"/>
            <w:widowControl/>
            <w:tabs>
              <w:tab w:val="right" w:leader="dot" w:pos="9361"/>
            </w:tabs>
            <w:kinsoku/>
            <w:wordWrap/>
            <w:overflowPunct/>
            <w:topLinePunct w:val="0"/>
            <w:autoSpaceDE/>
            <w:autoSpaceDN/>
            <w:bidi w:val="0"/>
            <w:adjustRightInd/>
            <w:snapToGrid/>
            <w:spacing w:line="360" w:lineRule="auto"/>
            <w:textAlignment w:val="auto"/>
            <w:rPr>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_Toc17650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第</w:t>
          </w:r>
          <w:r>
            <w:rPr>
              <w:rFonts w:hint="eastAsia" w:ascii="宋体" w:hAnsi="宋体" w:eastAsia="宋体" w:cs="宋体"/>
              <w:b w:val="0"/>
              <w:bCs/>
              <w:sz w:val="28"/>
              <w:szCs w:val="28"/>
              <w:lang w:eastAsia="zh-CN"/>
            </w:rPr>
            <w:t>五</w:t>
          </w:r>
          <w:r>
            <w:rPr>
              <w:rFonts w:hint="eastAsia" w:ascii="宋体" w:hAnsi="宋体" w:eastAsia="宋体" w:cs="宋体"/>
              <w:b w:val="0"/>
              <w:bCs/>
              <w:sz w:val="28"/>
              <w:szCs w:val="28"/>
            </w:rPr>
            <w:t>部分  合同条款</w:t>
          </w:r>
          <w:r>
            <w:rPr>
              <w:b w:val="0"/>
              <w:bCs/>
              <w:sz w:val="28"/>
              <w:szCs w:val="28"/>
            </w:rPr>
            <w:tab/>
          </w:r>
          <w:r>
            <w:rPr>
              <w:b w:val="0"/>
              <w:bCs/>
              <w:sz w:val="28"/>
              <w:szCs w:val="28"/>
            </w:rPr>
            <w:fldChar w:fldCharType="begin"/>
          </w:r>
          <w:r>
            <w:rPr>
              <w:b w:val="0"/>
              <w:bCs/>
              <w:sz w:val="28"/>
              <w:szCs w:val="28"/>
            </w:rPr>
            <w:instrText xml:space="preserve"> PAGEREF _Toc17650 \h </w:instrText>
          </w:r>
          <w:r>
            <w:rPr>
              <w:b w:val="0"/>
              <w:bCs/>
              <w:sz w:val="28"/>
              <w:szCs w:val="28"/>
            </w:rPr>
            <w:fldChar w:fldCharType="separate"/>
          </w:r>
          <w:r>
            <w:rPr>
              <w:b w:val="0"/>
              <w:bCs/>
              <w:sz w:val="28"/>
              <w:szCs w:val="28"/>
            </w:rPr>
            <w:t>33</w:t>
          </w:r>
          <w:r>
            <w:rPr>
              <w:b w:val="0"/>
              <w:bCs/>
              <w:sz w:val="28"/>
              <w:szCs w:val="28"/>
            </w:rPr>
            <w:fldChar w:fldCharType="end"/>
          </w:r>
          <w:r>
            <w:rPr>
              <w:rFonts w:hint="eastAsia" w:ascii="宋体" w:hAnsi="宋体" w:eastAsia="宋体" w:cs="宋体"/>
              <w:b w:val="0"/>
              <w:bCs/>
              <w:sz w:val="28"/>
              <w:szCs w:val="28"/>
            </w:rPr>
            <w:fldChar w:fldCharType="end"/>
          </w:r>
        </w:p>
        <w:p w14:paraId="335A9386">
          <w:pPr>
            <w:pStyle w:val="55"/>
            <w:keepNext w:val="0"/>
            <w:keepLines w:val="0"/>
            <w:pageBreakBefore w:val="0"/>
            <w:widowControl/>
            <w:tabs>
              <w:tab w:val="right" w:leader="dot" w:pos="9361"/>
            </w:tabs>
            <w:kinsoku/>
            <w:wordWrap/>
            <w:overflowPunct/>
            <w:topLinePunct w:val="0"/>
            <w:autoSpaceDE/>
            <w:autoSpaceDN/>
            <w:bidi w:val="0"/>
            <w:adjustRightInd/>
            <w:snapToGrid/>
            <w:spacing w:line="360" w:lineRule="auto"/>
            <w:textAlignment w:val="auto"/>
            <w:rPr>
              <w:b w:val="0"/>
              <w:bCs/>
              <w:sz w:val="22"/>
              <w:szCs w:val="22"/>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_Toc24211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第</w:t>
          </w:r>
          <w:r>
            <w:rPr>
              <w:rFonts w:hint="eastAsia" w:ascii="宋体" w:hAnsi="宋体" w:eastAsia="宋体" w:cs="宋体"/>
              <w:b w:val="0"/>
              <w:bCs/>
              <w:sz w:val="28"/>
              <w:szCs w:val="28"/>
              <w:lang w:eastAsia="zh-CN"/>
            </w:rPr>
            <w:t>六</w:t>
          </w:r>
          <w:r>
            <w:rPr>
              <w:rFonts w:hint="eastAsia" w:ascii="宋体" w:hAnsi="宋体" w:eastAsia="宋体" w:cs="宋体"/>
              <w:b w:val="0"/>
              <w:bCs/>
              <w:sz w:val="28"/>
              <w:szCs w:val="28"/>
            </w:rPr>
            <w:t>部分  竞争性磋商响应文件格式</w:t>
          </w:r>
          <w:r>
            <w:rPr>
              <w:b w:val="0"/>
              <w:bCs/>
              <w:sz w:val="28"/>
              <w:szCs w:val="28"/>
            </w:rPr>
            <w:tab/>
          </w:r>
          <w:r>
            <w:rPr>
              <w:b w:val="0"/>
              <w:bCs/>
              <w:sz w:val="28"/>
              <w:szCs w:val="28"/>
            </w:rPr>
            <w:fldChar w:fldCharType="begin"/>
          </w:r>
          <w:r>
            <w:rPr>
              <w:b w:val="0"/>
              <w:bCs/>
              <w:sz w:val="28"/>
              <w:szCs w:val="28"/>
            </w:rPr>
            <w:instrText xml:space="preserve"> PAGEREF _Toc24211 \h </w:instrText>
          </w:r>
          <w:r>
            <w:rPr>
              <w:b w:val="0"/>
              <w:bCs/>
              <w:sz w:val="28"/>
              <w:szCs w:val="28"/>
            </w:rPr>
            <w:fldChar w:fldCharType="separate"/>
          </w:r>
          <w:r>
            <w:rPr>
              <w:b w:val="0"/>
              <w:bCs/>
              <w:sz w:val="28"/>
              <w:szCs w:val="28"/>
            </w:rPr>
            <w:t>53</w:t>
          </w:r>
          <w:r>
            <w:rPr>
              <w:b w:val="0"/>
              <w:bCs/>
              <w:sz w:val="28"/>
              <w:szCs w:val="28"/>
            </w:rPr>
            <w:fldChar w:fldCharType="end"/>
          </w:r>
          <w:r>
            <w:rPr>
              <w:rFonts w:hint="eastAsia" w:ascii="宋体" w:hAnsi="宋体" w:eastAsia="宋体" w:cs="宋体"/>
              <w:b w:val="0"/>
              <w:bCs/>
              <w:sz w:val="28"/>
              <w:szCs w:val="28"/>
            </w:rPr>
            <w:fldChar w:fldCharType="end"/>
          </w:r>
        </w:p>
        <w:p w14:paraId="61C1FED6">
          <w:pPr>
            <w:pStyle w:val="59"/>
            <w:tabs>
              <w:tab w:val="right" w:leader="dot" w:pos="9361"/>
            </w:tabs>
            <w:spacing w:line="600" w:lineRule="auto"/>
            <w:rPr>
              <w:sz w:val="22"/>
              <w:szCs w:val="22"/>
            </w:rPr>
          </w:pPr>
        </w:p>
        <w:p w14:paraId="0A1EB873">
          <w:pPr>
            <w:pageBreakBefore w:val="0"/>
            <w:kinsoku/>
            <w:wordWrap/>
            <w:overflowPunct/>
            <w:topLinePunct w:val="0"/>
            <w:bidi w:val="0"/>
            <w:spacing w:line="600" w:lineRule="auto"/>
            <w:textAlignment w:val="auto"/>
            <w:rPr>
              <w:rFonts w:hint="eastAsia" w:ascii="宋体" w:hAnsi="宋体" w:eastAsia="宋体" w:cs="宋体"/>
            </w:rPr>
          </w:pPr>
          <w:r>
            <w:rPr>
              <w:rFonts w:hint="eastAsia" w:ascii="宋体" w:hAnsi="宋体" w:eastAsia="宋体" w:cs="宋体"/>
              <w:b/>
              <w:sz w:val="24"/>
              <w:szCs w:val="28"/>
            </w:rPr>
            <w:fldChar w:fldCharType="end"/>
          </w:r>
        </w:p>
      </w:sdtContent>
    </w:sdt>
    <w:p w14:paraId="175FC735">
      <w:pPr>
        <w:pageBreakBefore w:val="0"/>
        <w:kinsoku/>
        <w:wordWrap/>
        <w:overflowPunct/>
        <w:topLinePunct w:val="0"/>
        <w:bidi w:val="0"/>
        <w:spacing w:line="360" w:lineRule="auto"/>
        <w:textAlignment w:val="auto"/>
        <w:rPr>
          <w:rFonts w:hint="eastAsia" w:ascii="宋体" w:hAnsi="宋体" w:eastAsia="宋体" w:cs="宋体"/>
        </w:rPr>
      </w:pPr>
    </w:p>
    <w:p w14:paraId="4B217FDC">
      <w:pPr>
        <w:pStyle w:val="12"/>
        <w:rPr>
          <w:rFonts w:hint="eastAsia" w:ascii="宋体" w:hAnsi="宋体" w:eastAsia="宋体" w:cs="宋体"/>
        </w:rPr>
      </w:pPr>
    </w:p>
    <w:p w14:paraId="5112B59D">
      <w:pPr>
        <w:pStyle w:val="12"/>
        <w:rPr>
          <w:rFonts w:hint="eastAsia" w:ascii="宋体" w:hAnsi="宋体" w:eastAsia="宋体" w:cs="宋体"/>
        </w:rPr>
      </w:pPr>
    </w:p>
    <w:p w14:paraId="29627FD6">
      <w:pPr>
        <w:pStyle w:val="12"/>
        <w:rPr>
          <w:rFonts w:hint="eastAsia" w:ascii="宋体" w:hAnsi="宋体" w:eastAsia="宋体" w:cs="宋体"/>
        </w:rPr>
      </w:pPr>
    </w:p>
    <w:p w14:paraId="7D13D426">
      <w:pPr>
        <w:pStyle w:val="12"/>
        <w:rPr>
          <w:rFonts w:hint="eastAsia" w:ascii="宋体" w:hAnsi="宋体" w:eastAsia="宋体" w:cs="宋体"/>
        </w:rPr>
      </w:pPr>
    </w:p>
    <w:p w14:paraId="450FCA6C">
      <w:pPr>
        <w:pStyle w:val="12"/>
        <w:rPr>
          <w:rFonts w:hint="eastAsia" w:ascii="宋体" w:hAnsi="宋体" w:eastAsia="宋体" w:cs="宋体"/>
        </w:rPr>
      </w:pPr>
    </w:p>
    <w:p w14:paraId="648D9354">
      <w:pPr>
        <w:pStyle w:val="12"/>
        <w:rPr>
          <w:rFonts w:hint="eastAsia" w:ascii="宋体" w:hAnsi="宋体" w:eastAsia="宋体" w:cs="宋体"/>
        </w:rPr>
      </w:pPr>
    </w:p>
    <w:p w14:paraId="0B6F830C">
      <w:pPr>
        <w:pStyle w:val="12"/>
        <w:rPr>
          <w:rFonts w:hint="eastAsia" w:ascii="宋体" w:hAnsi="宋体" w:eastAsia="宋体" w:cs="宋体"/>
        </w:rPr>
      </w:pPr>
    </w:p>
    <w:p w14:paraId="3C700D88">
      <w:pPr>
        <w:pageBreakBefore w:val="0"/>
        <w:kinsoku/>
        <w:wordWrap/>
        <w:overflowPunct/>
        <w:topLinePunct w:val="0"/>
        <w:bidi w:val="0"/>
        <w:spacing w:line="360" w:lineRule="auto"/>
        <w:textAlignment w:val="auto"/>
        <w:rPr>
          <w:rFonts w:hint="eastAsia" w:ascii="宋体" w:hAnsi="宋体" w:eastAsia="宋体" w:cs="宋体"/>
        </w:rPr>
      </w:pPr>
    </w:p>
    <w:p w14:paraId="716C8457">
      <w:pPr>
        <w:pageBreakBefore w:val="0"/>
        <w:kinsoku/>
        <w:wordWrap/>
        <w:overflowPunct/>
        <w:topLinePunct w:val="0"/>
        <w:bidi w:val="0"/>
        <w:spacing w:line="360" w:lineRule="auto"/>
        <w:textAlignment w:val="auto"/>
        <w:rPr>
          <w:rFonts w:hint="eastAsia" w:ascii="宋体" w:hAnsi="宋体" w:eastAsia="宋体" w:cs="宋体"/>
        </w:rPr>
      </w:pPr>
    </w:p>
    <w:p w14:paraId="52001300">
      <w:pPr>
        <w:pageBreakBefore w:val="0"/>
        <w:kinsoku/>
        <w:wordWrap/>
        <w:overflowPunct/>
        <w:topLinePunct w:val="0"/>
        <w:bidi w:val="0"/>
        <w:spacing w:line="360" w:lineRule="auto"/>
        <w:textAlignment w:val="auto"/>
        <w:rPr>
          <w:rFonts w:hint="eastAsia" w:ascii="宋体" w:hAnsi="宋体" w:eastAsia="宋体" w:cs="宋体"/>
        </w:rPr>
      </w:pPr>
    </w:p>
    <w:p w14:paraId="59005375">
      <w:pPr>
        <w:pageBreakBefore w:val="0"/>
        <w:kinsoku/>
        <w:wordWrap/>
        <w:overflowPunct/>
        <w:topLinePunct w:val="0"/>
        <w:bidi w:val="0"/>
        <w:spacing w:line="360" w:lineRule="auto"/>
        <w:textAlignment w:val="auto"/>
        <w:rPr>
          <w:rFonts w:hint="eastAsia" w:ascii="宋体" w:hAnsi="宋体" w:eastAsia="宋体" w:cs="宋体"/>
        </w:rPr>
      </w:pPr>
    </w:p>
    <w:p w14:paraId="2CCA2765">
      <w:pPr>
        <w:pageBreakBefore w:val="0"/>
        <w:kinsoku/>
        <w:wordWrap/>
        <w:overflowPunct/>
        <w:topLinePunct w:val="0"/>
        <w:bidi w:val="0"/>
        <w:spacing w:line="360" w:lineRule="auto"/>
        <w:textAlignment w:val="auto"/>
        <w:rPr>
          <w:rFonts w:hint="eastAsia" w:ascii="宋体" w:hAnsi="宋体" w:eastAsia="宋体" w:cs="宋体"/>
        </w:rPr>
      </w:pPr>
    </w:p>
    <w:p w14:paraId="24C95FB3">
      <w:pPr>
        <w:pageBreakBefore w:val="0"/>
        <w:tabs>
          <w:tab w:val="left" w:pos="3492"/>
        </w:tabs>
        <w:kinsoku/>
        <w:wordWrap/>
        <w:overflowPunct/>
        <w:topLinePunct w:val="0"/>
        <w:bidi w:val="0"/>
        <w:spacing w:line="360" w:lineRule="auto"/>
        <w:textAlignment w:val="auto"/>
        <w:rPr>
          <w:rFonts w:hint="eastAsia" w:ascii="宋体" w:hAnsi="宋体" w:eastAsia="宋体" w:cs="宋体"/>
          <w:lang w:eastAsia="zh-CN"/>
        </w:rPr>
      </w:pPr>
      <w:r>
        <w:rPr>
          <w:rFonts w:hint="eastAsia" w:ascii="宋体" w:hAnsi="宋体" w:eastAsia="宋体" w:cs="宋体"/>
          <w:lang w:eastAsia="zh-CN"/>
        </w:rPr>
        <w:tab/>
      </w:r>
    </w:p>
    <w:p w14:paraId="0D35174F">
      <w:pPr>
        <w:pageBreakBefore w:val="0"/>
        <w:kinsoku/>
        <w:wordWrap/>
        <w:overflowPunct/>
        <w:topLinePunct w:val="0"/>
        <w:bidi w:val="0"/>
        <w:spacing w:line="360" w:lineRule="auto"/>
        <w:textAlignment w:val="auto"/>
        <w:rPr>
          <w:rFonts w:hint="eastAsia" w:ascii="宋体" w:hAnsi="宋体" w:eastAsia="宋体" w:cs="宋体"/>
        </w:rPr>
      </w:pPr>
    </w:p>
    <w:p w14:paraId="3173D0D4">
      <w:pPr>
        <w:pStyle w:val="3"/>
        <w:pageBreakBefore w:val="0"/>
        <w:kinsoku/>
        <w:wordWrap/>
        <w:overflowPunct/>
        <w:topLinePunct w:val="0"/>
        <w:bidi w:val="0"/>
        <w:spacing w:before="0" w:after="0" w:line="360" w:lineRule="auto"/>
        <w:jc w:val="both"/>
        <w:textAlignment w:val="auto"/>
        <w:rPr>
          <w:rFonts w:hint="eastAsia" w:ascii="宋体" w:hAnsi="宋体" w:eastAsia="宋体" w:cs="宋体"/>
          <w:sz w:val="36"/>
          <w:szCs w:val="36"/>
          <w:lang w:eastAsia="zh-CN"/>
        </w:rPr>
        <w:sectPr>
          <w:headerReference r:id="rId3" w:type="first"/>
          <w:endnotePr>
            <w:numFmt w:val="decimal"/>
          </w:endnotePr>
          <w:pgSz w:w="11907" w:h="16840"/>
          <w:pgMar w:top="1418" w:right="1287" w:bottom="1446" w:left="1259" w:header="907" w:footer="654" w:gutter="0"/>
          <w:pgNumType w:fmt="decimal" w:start="1"/>
          <w:cols w:space="720" w:num="1"/>
          <w:titlePg/>
        </w:sectPr>
      </w:pPr>
      <w:bookmarkStart w:id="0" w:name="_Toc26519374"/>
      <w:bookmarkStart w:id="1" w:name="_Toc20319"/>
      <w:bookmarkStart w:id="2" w:name="_Toc19091850"/>
    </w:p>
    <w:p w14:paraId="2A86771E">
      <w:pPr>
        <w:pStyle w:val="3"/>
        <w:pageBreakBefore w:val="0"/>
        <w:kinsoku/>
        <w:wordWrap/>
        <w:overflowPunct/>
        <w:topLinePunct w:val="0"/>
        <w:bidi w:val="0"/>
        <w:spacing w:before="0" w:after="0" w:line="360" w:lineRule="auto"/>
        <w:jc w:val="center"/>
        <w:textAlignment w:val="auto"/>
        <w:rPr>
          <w:rFonts w:hint="eastAsia" w:ascii="宋体" w:hAnsi="宋体" w:eastAsia="宋体" w:cs="宋体"/>
          <w:sz w:val="36"/>
          <w:szCs w:val="36"/>
        </w:rPr>
      </w:pPr>
      <w:r>
        <w:rPr>
          <w:rFonts w:hint="eastAsia" w:ascii="宋体" w:hAnsi="宋体" w:eastAsia="宋体" w:cs="宋体"/>
          <w:sz w:val="36"/>
          <w:szCs w:val="36"/>
          <w:lang w:eastAsia="zh-CN"/>
        </w:rPr>
        <w:t>第一部分</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竞争性磋商公告</w:t>
      </w:r>
      <w:bookmarkEnd w:id="0"/>
      <w:bookmarkEnd w:id="1"/>
      <w:bookmarkEnd w:id="2"/>
    </w:p>
    <w:p w14:paraId="6E1A50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color w:val="auto"/>
          <w:sz w:val="24"/>
          <w:szCs w:val="24"/>
        </w:rPr>
      </w:pPr>
      <w:bookmarkStart w:id="3" w:name="_Toc1768"/>
      <w:r>
        <w:rPr>
          <w:rStyle w:val="25"/>
          <w:rFonts w:hint="eastAsia" w:ascii="宋体" w:hAnsi="宋体" w:eastAsia="宋体" w:cs="宋体"/>
          <w:b/>
          <w:bCs/>
          <w:i w:val="0"/>
          <w:iCs w:val="0"/>
          <w:caps w:val="0"/>
          <w:color w:val="auto"/>
          <w:spacing w:val="0"/>
          <w:sz w:val="24"/>
          <w:szCs w:val="24"/>
          <w:shd w:val="clear" w:fill="FFFFFF"/>
        </w:rPr>
        <w:t>项目概况</w:t>
      </w:r>
    </w:p>
    <w:p w14:paraId="007A4F6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厨房、餐厅消防整改工程采购项目的潜在供应商应在宝鸡市公共资源交易平台获取采购文件，并于 2025年08月05日 14时00分 （北京时间）前提交响应文件。</w:t>
      </w:r>
    </w:p>
    <w:p w14:paraId="40F801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25"/>
          <w:rFonts w:hint="eastAsia" w:ascii="宋体" w:hAnsi="宋体" w:eastAsia="宋体" w:cs="宋体"/>
          <w:b/>
          <w:bCs/>
          <w:i w:val="0"/>
          <w:iCs w:val="0"/>
          <w:caps w:val="0"/>
          <w:color w:val="auto"/>
          <w:spacing w:val="0"/>
          <w:sz w:val="24"/>
          <w:szCs w:val="24"/>
          <w:shd w:val="clear" w:fill="FFFFFF"/>
        </w:rPr>
        <w:t>一、项目基本情况</w:t>
      </w:r>
    </w:p>
    <w:p w14:paraId="1A4807F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项目编号：JZZB-2025-239</w:t>
      </w:r>
    </w:p>
    <w:p w14:paraId="3EBCE28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项目名称：厨房、餐厅消防整改工程</w:t>
      </w:r>
    </w:p>
    <w:p w14:paraId="7F8D349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50E42F0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预算金额：1,304,483.31元</w:t>
      </w:r>
    </w:p>
    <w:p w14:paraId="158137C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4363C81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合同包1(扶风县职业教育中心厨房、餐厅消防整改工程):</w:t>
      </w:r>
    </w:p>
    <w:p w14:paraId="69F337C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合同包预算金额：1,304,483.31元</w:t>
      </w:r>
    </w:p>
    <w:p w14:paraId="7F3B8CF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合同包最高限价：1,304,483.31元</w:t>
      </w:r>
    </w:p>
    <w:tbl>
      <w:tblPr>
        <w:tblStyle w:val="22"/>
        <w:tblW w:w="93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23"/>
        <w:gridCol w:w="1443"/>
        <w:gridCol w:w="1803"/>
        <w:gridCol w:w="1894"/>
        <w:gridCol w:w="1590"/>
        <w:gridCol w:w="1935"/>
      </w:tblGrid>
      <w:tr w14:paraId="774D7C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7D7DE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28928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93D17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8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27CC8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5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AECFA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9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BD106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1AF91B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5F92D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59CA7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消防工程和安防工程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0CF05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厨房、餐厅消防整改工程</w:t>
            </w:r>
          </w:p>
        </w:tc>
        <w:tc>
          <w:tcPr>
            <w:tcW w:w="18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BAF5B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5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F70A6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9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353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1,304,483.31</w:t>
            </w:r>
          </w:p>
        </w:tc>
      </w:tr>
    </w:tbl>
    <w:p w14:paraId="7C55B24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49AF327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合同履行期限：详见文件</w:t>
      </w:r>
    </w:p>
    <w:p w14:paraId="411D85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25"/>
          <w:rFonts w:hint="eastAsia" w:ascii="宋体" w:hAnsi="宋体" w:eastAsia="宋体" w:cs="宋体"/>
          <w:b/>
          <w:bCs/>
          <w:i w:val="0"/>
          <w:iCs w:val="0"/>
          <w:caps w:val="0"/>
          <w:color w:val="auto"/>
          <w:spacing w:val="0"/>
          <w:sz w:val="24"/>
          <w:szCs w:val="24"/>
          <w:shd w:val="clear" w:fill="FFFFFF"/>
        </w:rPr>
        <w:t>二、申请人的资格要求：</w:t>
      </w:r>
    </w:p>
    <w:p w14:paraId="1D22678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4171CB4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2AAC48F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合同包1(扶风县职业教育中心厨房、餐厅消防整改工程)落实政府采购政策需满足的资格要求如下:</w:t>
      </w:r>
    </w:p>
    <w:p w14:paraId="46EED79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2-1《政府采购促进中小企业发展管理办法》的通知--财库〔2020〕46号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2-2财政部司法部关于政府采购支持监狱企业发展有关问题的通知--财库[2014]68号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2-3《财政部 发展改革委 生态环境部 市场监管总局关于调整优化节能产品 环境标志产品政府采购执行机制的通知》（财库〔2019〕9号）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2-4《节能产品政府采购实施意见》--（财库[2004]185号）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2-6《关于促进残疾人就业政府采购政策的通知》（财库[2017]141号）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2-7《陕西省财政厅关于加快推进我省中小企业政府采购信用融资工作的通知》（陕财办采〔2020〕15号）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2-8《陕西省中小企业政府采购信用融资办法》陕财办采〔2018〕23号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2-9《关于运用政府采购政策支持乡村产业振兴的通知》（财库〔2021〕19号）</w:t>
      </w:r>
    </w:p>
    <w:p w14:paraId="284E39C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74D7D05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合同包1(扶风县职业教育中心厨房、餐厅消防整改工程)特定资格要求如下:</w:t>
      </w:r>
    </w:p>
    <w:p w14:paraId="257C204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3-1具有独立承担民事责任能力的法人、其他组织或自然人，并出具合法有效的统一社会信用代码的营业执照或事业单位法人证书等国家规定的相关证明，自然人参与的提供其身份证明。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3-2财务状况：提供2023年度或2024年度的财务审计报告（成立时间至提交投标文件截止时间不足一年的可提供成立后任意时段的资产负债表），或开标前半年内其基本存款账户开户银行出具的资信证明。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3-3完税证明：提供2024年7月至今已缴纳的至少三个月的纳税证明或完税证明，依法免税的单位应提供相关证明材料。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3-4社保缴纳情况：提供2024年7月至今已缴存的至少三个月的社会保障资金缴存单据或社保机构开具的社会保险参保缴费情况证明，依法不需要缴纳社会保障资金的单位应提供相关证明材料。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3-5参加本次政府采购活动前三年内，在经营活动中没有重大违法记录声明。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3-6提供具有履行合同所必需的设备和专业技术能力的承诺函（格式自拟）。</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3-7法定代表人授权书及被授权人身份证复印件加盖公章（法定代表人直接参加投标须出具法定代表人证明书及法定代表人身份证复印件加盖公章）。</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-8供应商不得为“信用中国”网站（www.creditchina.gov.cn）中重大税收违法失信主体的供应商；不得为“中国执行信息公开网”网站（court.gov.cn）中失信被执行人；不得为中国政府采购网（www.ccgp.gov.cn）政府采购严重违法失信行为记录名单中被财政部门禁止参加政府采购活动的供应商。</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3-9供应商须具备建设行政主管部门核发的建筑工程施工总承包三级（含三级）及以上资质， 并且具备有效的安全生产许可证。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3-10拟派项目经理须具备建筑工程专业注册二级（含二级）及以上注册建造师执业资格证， 提供有效的安全生产考核 B证，在本单位注册且无在建证明（提供无在建项目承诺书）。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3-11投标担保：投标保证金交纳凭证银行汇（存）款回执单（复印件须加盖供应商公章）或投标担保函。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3-12本项目为专门面向中小企业（提供声明）。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3-13本项目不接受联合体磋商（提供声明）。</w:t>
      </w:r>
    </w:p>
    <w:p w14:paraId="2549CF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25"/>
          <w:rFonts w:hint="eastAsia" w:ascii="宋体" w:hAnsi="宋体" w:eastAsia="宋体" w:cs="宋体"/>
          <w:b/>
          <w:bCs/>
          <w:i w:val="0"/>
          <w:iCs w:val="0"/>
          <w:caps w:val="0"/>
          <w:color w:val="auto"/>
          <w:spacing w:val="0"/>
          <w:sz w:val="24"/>
          <w:szCs w:val="24"/>
          <w:shd w:val="clear" w:fill="FFFFFF"/>
        </w:rPr>
        <w:t>三、获取采购文件</w:t>
      </w:r>
    </w:p>
    <w:p w14:paraId="114EA08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2025年07月22日 至 2025年07月29日 ，每天上午 09:00:00 至 12:00:00 ，下午 14:00:00 至 17:00:00 （北京时间）</w:t>
      </w:r>
    </w:p>
    <w:p w14:paraId="19C1BF1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途径：宝鸡市公共资源交易平台</w:t>
      </w:r>
    </w:p>
    <w:p w14:paraId="47E5185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14:paraId="0093323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 0元</w:t>
      </w:r>
    </w:p>
    <w:p w14:paraId="3BE586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25"/>
          <w:rFonts w:hint="eastAsia" w:ascii="宋体" w:hAnsi="宋体" w:eastAsia="宋体" w:cs="宋体"/>
          <w:b/>
          <w:bCs/>
          <w:i w:val="0"/>
          <w:iCs w:val="0"/>
          <w:caps w:val="0"/>
          <w:color w:val="auto"/>
          <w:spacing w:val="0"/>
          <w:sz w:val="24"/>
          <w:szCs w:val="24"/>
          <w:shd w:val="clear" w:fill="FFFFFF"/>
        </w:rPr>
        <w:t>四、响应文件提交</w:t>
      </w:r>
    </w:p>
    <w:p w14:paraId="7923F94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 2025年08月05日 14时00分00秒 （北京时间）</w:t>
      </w:r>
    </w:p>
    <w:p w14:paraId="4DC8D93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地点：宝鸡市公共资源交易平台</w:t>
      </w:r>
    </w:p>
    <w:p w14:paraId="2B5225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25"/>
          <w:rFonts w:hint="eastAsia" w:ascii="宋体" w:hAnsi="宋体" w:eastAsia="宋体" w:cs="宋体"/>
          <w:b/>
          <w:bCs/>
          <w:i w:val="0"/>
          <w:iCs w:val="0"/>
          <w:caps w:val="0"/>
          <w:color w:val="auto"/>
          <w:spacing w:val="0"/>
          <w:sz w:val="24"/>
          <w:szCs w:val="24"/>
          <w:shd w:val="clear" w:fill="FFFFFF"/>
        </w:rPr>
        <w:t>五、开启</w:t>
      </w:r>
    </w:p>
    <w:p w14:paraId="30758D5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2025年08月05日 14时00分00秒 （北京时间）</w:t>
      </w:r>
    </w:p>
    <w:p w14:paraId="5B88091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地点：宝鸡市公共资源交易平台</w:t>
      </w:r>
    </w:p>
    <w:p w14:paraId="2324FD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25"/>
          <w:rFonts w:hint="eastAsia" w:ascii="宋体" w:hAnsi="宋体" w:eastAsia="宋体" w:cs="宋体"/>
          <w:b/>
          <w:bCs/>
          <w:i w:val="0"/>
          <w:iCs w:val="0"/>
          <w:caps w:val="0"/>
          <w:color w:val="auto"/>
          <w:spacing w:val="0"/>
          <w:sz w:val="24"/>
          <w:szCs w:val="24"/>
          <w:shd w:val="clear" w:fill="FFFFFF"/>
        </w:rPr>
        <w:t>六、公告期限</w:t>
      </w:r>
    </w:p>
    <w:p w14:paraId="08F777A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40C9335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25"/>
          <w:rFonts w:hint="eastAsia" w:ascii="宋体" w:hAnsi="宋体" w:eastAsia="宋体" w:cs="宋体"/>
          <w:b/>
          <w:bCs/>
          <w:i w:val="0"/>
          <w:iCs w:val="0"/>
          <w:caps w:val="0"/>
          <w:color w:val="auto"/>
          <w:spacing w:val="0"/>
          <w:sz w:val="24"/>
          <w:szCs w:val="24"/>
          <w:shd w:val="clear" w:fill="FFFFFF"/>
        </w:rPr>
        <w:t>七、其他补充事宜</w:t>
      </w:r>
    </w:p>
    <w:p w14:paraId="4B5A719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文件获取方式及注意事项：</w:t>
      </w:r>
    </w:p>
    <w:p w14:paraId="71F9573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报名登记：供应商使用捆绑CA证书登录全国公共资源交易平台（陕西省·宝鸡市）宝鸡市公共资源交易中心（http://ggzy.baoji.gov.cn），选择电子交易平台中的陕西政府采购交易系统（http://ggzy.baoji.gov.cn/wblj/009001/jyxtlogin.html）进行登录，登录后选择“交易乙方”身份进入供应商界面进行报名。</w:t>
      </w:r>
    </w:p>
    <w:p w14:paraId="7D19AC0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2.未完成网上响应成功的或未在文件发售时间内从电子交易平台下载磋商文件的，无法完成后续流程。</w:t>
      </w:r>
    </w:p>
    <w:p w14:paraId="0FAFE97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3.友情提示：</w:t>
      </w:r>
    </w:p>
    <w:p w14:paraId="396230F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（1）本项目为电子化政府采购项目，供应商初次登录宝鸡市公共资源交易平台前应先完成诚信入库登记、CA认证和企业信息绑定。</w:t>
      </w:r>
    </w:p>
    <w:p w14:paraId="1DF8BA5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（2）制作电子投标文件（*.SXSTF）需要使用专用制作工具。软件下载及操作说明详见宝鸡市公共资源交易平台〖首页·〉服务指南·〉下载专区〗中的《政府采购项目投标文件制作软件及操作手册》。</w:t>
      </w:r>
    </w:p>
    <w:p w14:paraId="22A0A63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提交投标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44125E9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磋商响应文件的提交方式：从宝鸡市公共资源交易平台〖首页·〉电子交易平台·〉陕西政府采购交易系统·〉企业端〗登录，登录后切换到〖我的项目〗模块，依次点选〖项目流程·〉项目管理·〉上传响应文件〗上传加密后的电子投标文件（*.SXSTF）。</w:t>
      </w:r>
    </w:p>
    <w:p w14:paraId="6DCBFB2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5.请各供应商购买磋商文件后，按照陕西省财政厅《关于政府采供应商注册登记有关事项的通知》要求，通过陕西省政府采购网注册登记加入陕西省政府采购供应商库。</w:t>
      </w:r>
    </w:p>
    <w:p w14:paraId="7A7BFB5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温馨提示：因图纸较大，系统无法上传。请各投标单位报名后及时电话联系，若因投标单位自身问题，没有按时获取图纸而导致无法参与本次招标，后果自负。联系电话：18291724231；QQ邮箱：2133632860@qq.com。</w:t>
      </w:r>
    </w:p>
    <w:p w14:paraId="0DB2F0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25"/>
          <w:rFonts w:hint="eastAsia" w:ascii="宋体" w:hAnsi="宋体" w:eastAsia="宋体" w:cs="宋体"/>
          <w:b/>
          <w:bCs/>
          <w:i w:val="0"/>
          <w:iCs w:val="0"/>
          <w:caps w:val="0"/>
          <w:color w:val="auto"/>
          <w:spacing w:val="0"/>
          <w:sz w:val="24"/>
          <w:szCs w:val="24"/>
          <w:shd w:val="clear" w:fill="FFFFFF"/>
        </w:rPr>
        <w:t>八、对本次招标提出询问，请按以下方式联系。</w:t>
      </w:r>
    </w:p>
    <w:p w14:paraId="6BEDB1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12F994D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名称：扶风县职业教育中心</w:t>
      </w:r>
    </w:p>
    <w:p w14:paraId="36C352F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地址：扶风县城新区西大街</w:t>
      </w:r>
    </w:p>
    <w:p w14:paraId="13BDAA0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联系方式：0917-5218251</w:t>
      </w:r>
    </w:p>
    <w:p w14:paraId="5EE522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1AEA19D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名称：陕西建政项目管理有限公司</w:t>
      </w:r>
    </w:p>
    <w:p w14:paraId="3C50177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地址：陕西省西安市雁塔区陕西省西安市雁塔区农林巷1号蓝山国际公寓508室</w:t>
      </w:r>
    </w:p>
    <w:p w14:paraId="0F48C82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联系方式：18291724231</w:t>
      </w:r>
    </w:p>
    <w:p w14:paraId="6E738E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4292222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项目联系人：王工</w:t>
      </w:r>
    </w:p>
    <w:p w14:paraId="3392D4D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电话：18291724231</w:t>
      </w:r>
    </w:p>
    <w:p w14:paraId="2707E9A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陕西建政项目管理有限公司</w:t>
      </w:r>
    </w:p>
    <w:p w14:paraId="2A8F60D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2025年07月22日</w:t>
      </w:r>
    </w:p>
    <w:p w14:paraId="7526756A">
      <w:pPr>
        <w:pStyle w:val="14"/>
        <w:rPr>
          <w:rFonts w:hint="eastAsia" w:ascii="宋体" w:hAnsi="宋体" w:eastAsia="宋体" w:cs="宋体"/>
        </w:rPr>
      </w:pPr>
    </w:p>
    <w:p w14:paraId="07166F5D">
      <w:pPr>
        <w:pStyle w:val="14"/>
        <w:rPr>
          <w:rFonts w:hint="eastAsia" w:ascii="宋体" w:hAnsi="宋体" w:eastAsia="宋体" w:cs="宋体"/>
        </w:rPr>
      </w:pPr>
    </w:p>
    <w:p w14:paraId="74CEC769">
      <w:pPr>
        <w:pStyle w:val="14"/>
        <w:rPr>
          <w:rFonts w:hint="eastAsia" w:ascii="宋体" w:hAnsi="宋体" w:eastAsia="宋体" w:cs="宋体"/>
        </w:rPr>
      </w:pPr>
    </w:p>
    <w:p w14:paraId="0EE2061E">
      <w:pPr>
        <w:pStyle w:val="14"/>
        <w:rPr>
          <w:rFonts w:hint="eastAsia" w:ascii="宋体" w:hAnsi="宋体" w:eastAsia="宋体" w:cs="宋体"/>
        </w:rPr>
      </w:pPr>
    </w:p>
    <w:p w14:paraId="5670BCD3">
      <w:pPr>
        <w:pStyle w:val="14"/>
        <w:rPr>
          <w:rFonts w:hint="eastAsia" w:ascii="宋体" w:hAnsi="宋体" w:eastAsia="宋体" w:cs="宋体"/>
        </w:rPr>
      </w:pPr>
    </w:p>
    <w:p w14:paraId="7A8B9BA6">
      <w:pPr>
        <w:pStyle w:val="14"/>
        <w:rPr>
          <w:rFonts w:hint="eastAsia" w:ascii="宋体" w:hAnsi="宋体" w:eastAsia="宋体" w:cs="宋体"/>
        </w:rPr>
      </w:pPr>
    </w:p>
    <w:p w14:paraId="1415FDF4">
      <w:pPr>
        <w:pStyle w:val="14"/>
        <w:rPr>
          <w:rFonts w:hint="eastAsia" w:ascii="宋体" w:hAnsi="宋体" w:eastAsia="宋体" w:cs="宋体"/>
        </w:rPr>
      </w:pPr>
    </w:p>
    <w:p w14:paraId="297AA7CD">
      <w:pPr>
        <w:pStyle w:val="14"/>
        <w:rPr>
          <w:rFonts w:hint="eastAsia" w:ascii="宋体" w:hAnsi="宋体" w:eastAsia="宋体" w:cs="宋体"/>
        </w:rPr>
      </w:pPr>
    </w:p>
    <w:p w14:paraId="3E9A3AF4">
      <w:pPr>
        <w:pStyle w:val="14"/>
        <w:rPr>
          <w:rFonts w:hint="eastAsia" w:ascii="宋体" w:hAnsi="宋体" w:eastAsia="宋体" w:cs="宋体"/>
        </w:rPr>
      </w:pPr>
    </w:p>
    <w:p w14:paraId="0D2A8E0A">
      <w:pPr>
        <w:pStyle w:val="14"/>
        <w:rPr>
          <w:rFonts w:hint="eastAsia" w:ascii="宋体" w:hAnsi="宋体" w:eastAsia="宋体" w:cs="宋体"/>
        </w:rPr>
      </w:pPr>
    </w:p>
    <w:p w14:paraId="4C73FAB3">
      <w:pPr>
        <w:pStyle w:val="14"/>
        <w:rPr>
          <w:rFonts w:hint="eastAsia" w:ascii="宋体" w:hAnsi="宋体" w:eastAsia="宋体" w:cs="宋体"/>
        </w:rPr>
      </w:pPr>
    </w:p>
    <w:p w14:paraId="3DE25209">
      <w:pPr>
        <w:pStyle w:val="14"/>
        <w:rPr>
          <w:rFonts w:hint="eastAsia" w:ascii="宋体" w:hAnsi="宋体" w:eastAsia="宋体" w:cs="宋体"/>
        </w:rPr>
      </w:pPr>
    </w:p>
    <w:p w14:paraId="6D87255E">
      <w:pPr>
        <w:pStyle w:val="14"/>
        <w:rPr>
          <w:rFonts w:hint="eastAsia" w:ascii="宋体" w:hAnsi="宋体" w:eastAsia="宋体" w:cs="宋体"/>
        </w:rPr>
      </w:pPr>
    </w:p>
    <w:p w14:paraId="0B94E7BC">
      <w:pPr>
        <w:pStyle w:val="14"/>
        <w:rPr>
          <w:rFonts w:hint="eastAsia" w:ascii="宋体" w:hAnsi="宋体" w:eastAsia="宋体" w:cs="宋体"/>
        </w:rPr>
      </w:pPr>
    </w:p>
    <w:p w14:paraId="271F1317">
      <w:pPr>
        <w:pStyle w:val="14"/>
        <w:rPr>
          <w:rFonts w:hint="eastAsia" w:ascii="宋体" w:hAnsi="宋体" w:eastAsia="宋体" w:cs="宋体"/>
        </w:rPr>
      </w:pPr>
    </w:p>
    <w:p w14:paraId="2928F3DB">
      <w:pPr>
        <w:pStyle w:val="14"/>
        <w:rPr>
          <w:rFonts w:hint="eastAsia" w:ascii="宋体" w:hAnsi="宋体" w:eastAsia="宋体" w:cs="宋体"/>
        </w:rPr>
      </w:pPr>
    </w:p>
    <w:p w14:paraId="59B57159">
      <w:pPr>
        <w:pStyle w:val="14"/>
        <w:rPr>
          <w:rFonts w:hint="eastAsia" w:ascii="宋体" w:hAnsi="宋体" w:eastAsia="宋体" w:cs="宋体"/>
        </w:rPr>
      </w:pPr>
    </w:p>
    <w:p w14:paraId="1AD206DB">
      <w:pPr>
        <w:pStyle w:val="14"/>
        <w:rPr>
          <w:rFonts w:hint="eastAsia" w:ascii="宋体" w:hAnsi="宋体" w:eastAsia="宋体" w:cs="宋体"/>
        </w:rPr>
      </w:pPr>
    </w:p>
    <w:p w14:paraId="060277A0">
      <w:pPr>
        <w:pStyle w:val="14"/>
        <w:rPr>
          <w:rFonts w:hint="eastAsia" w:ascii="宋体" w:hAnsi="宋体" w:eastAsia="宋体" w:cs="宋体"/>
        </w:rPr>
      </w:pPr>
    </w:p>
    <w:p w14:paraId="1DEE0C7E">
      <w:pPr>
        <w:pStyle w:val="14"/>
        <w:rPr>
          <w:rFonts w:hint="eastAsia" w:ascii="宋体" w:hAnsi="宋体" w:eastAsia="宋体" w:cs="宋体"/>
        </w:rPr>
      </w:pPr>
    </w:p>
    <w:p w14:paraId="24108AA4">
      <w:pPr>
        <w:pStyle w:val="14"/>
        <w:rPr>
          <w:rFonts w:hint="eastAsia" w:ascii="宋体" w:hAnsi="宋体" w:eastAsia="宋体" w:cs="宋体"/>
        </w:rPr>
      </w:pPr>
    </w:p>
    <w:p w14:paraId="57E232EC">
      <w:pPr>
        <w:pStyle w:val="14"/>
        <w:rPr>
          <w:rFonts w:hint="eastAsia" w:ascii="宋体" w:hAnsi="宋体" w:eastAsia="宋体" w:cs="宋体"/>
        </w:rPr>
      </w:pPr>
    </w:p>
    <w:p w14:paraId="3C1C8454">
      <w:pPr>
        <w:pStyle w:val="14"/>
        <w:rPr>
          <w:rFonts w:hint="eastAsia" w:ascii="宋体" w:hAnsi="宋体" w:eastAsia="宋体" w:cs="宋体"/>
        </w:rPr>
      </w:pPr>
    </w:p>
    <w:p w14:paraId="7E14B5AE">
      <w:pPr>
        <w:pStyle w:val="14"/>
        <w:rPr>
          <w:rFonts w:hint="eastAsia" w:ascii="宋体" w:hAnsi="宋体" w:eastAsia="宋体" w:cs="宋体"/>
        </w:rPr>
      </w:pPr>
    </w:p>
    <w:p w14:paraId="3FE1E24E">
      <w:pPr>
        <w:pStyle w:val="14"/>
        <w:rPr>
          <w:rFonts w:hint="eastAsia" w:ascii="宋体" w:hAnsi="宋体" w:eastAsia="宋体" w:cs="宋体"/>
        </w:rPr>
      </w:pPr>
    </w:p>
    <w:p w14:paraId="5E7D7143">
      <w:pPr>
        <w:pStyle w:val="14"/>
        <w:rPr>
          <w:rFonts w:hint="eastAsia" w:ascii="宋体" w:hAnsi="宋体" w:eastAsia="宋体" w:cs="宋体"/>
        </w:rPr>
      </w:pPr>
    </w:p>
    <w:p w14:paraId="6202671A">
      <w:pPr>
        <w:pStyle w:val="14"/>
        <w:rPr>
          <w:rFonts w:hint="eastAsia" w:ascii="宋体" w:hAnsi="宋体" w:eastAsia="宋体" w:cs="宋体"/>
        </w:rPr>
      </w:pPr>
    </w:p>
    <w:p w14:paraId="065E8E20">
      <w:pPr>
        <w:pStyle w:val="14"/>
        <w:rPr>
          <w:rFonts w:hint="eastAsia" w:ascii="宋体" w:hAnsi="宋体" w:eastAsia="宋体" w:cs="宋体"/>
        </w:rPr>
      </w:pPr>
    </w:p>
    <w:p w14:paraId="13DE186C">
      <w:pPr>
        <w:pStyle w:val="14"/>
        <w:rPr>
          <w:rFonts w:hint="eastAsia" w:ascii="宋体" w:hAnsi="宋体" w:eastAsia="宋体" w:cs="宋体"/>
        </w:rPr>
      </w:pPr>
    </w:p>
    <w:p w14:paraId="6B94BB20">
      <w:pPr>
        <w:pStyle w:val="14"/>
        <w:rPr>
          <w:rFonts w:hint="eastAsia" w:ascii="宋体" w:hAnsi="宋体" w:eastAsia="宋体" w:cs="宋体"/>
        </w:rPr>
      </w:pPr>
    </w:p>
    <w:p w14:paraId="4E3468D9">
      <w:pPr>
        <w:pStyle w:val="14"/>
        <w:rPr>
          <w:rFonts w:hint="eastAsia" w:ascii="宋体" w:hAnsi="宋体" w:eastAsia="宋体" w:cs="宋体"/>
        </w:rPr>
      </w:pPr>
    </w:p>
    <w:p w14:paraId="4AC3420A">
      <w:pPr>
        <w:pStyle w:val="14"/>
        <w:rPr>
          <w:rFonts w:hint="eastAsia" w:ascii="宋体" w:hAnsi="宋体" w:eastAsia="宋体" w:cs="宋体"/>
        </w:rPr>
      </w:pPr>
    </w:p>
    <w:p w14:paraId="45E47886">
      <w:pPr>
        <w:pStyle w:val="14"/>
        <w:rPr>
          <w:rFonts w:hint="eastAsia" w:ascii="宋体" w:hAnsi="宋体" w:eastAsia="宋体" w:cs="宋体"/>
        </w:rPr>
      </w:pPr>
    </w:p>
    <w:p w14:paraId="506051DA">
      <w:pPr>
        <w:pStyle w:val="14"/>
        <w:rPr>
          <w:rFonts w:hint="eastAsia" w:ascii="宋体" w:hAnsi="宋体" w:eastAsia="宋体" w:cs="宋体"/>
        </w:rPr>
      </w:pPr>
    </w:p>
    <w:p w14:paraId="66F768DD">
      <w:pPr>
        <w:pStyle w:val="14"/>
        <w:rPr>
          <w:rFonts w:hint="eastAsia" w:ascii="宋体" w:hAnsi="宋体" w:eastAsia="宋体" w:cs="宋体"/>
        </w:rPr>
      </w:pPr>
    </w:p>
    <w:p w14:paraId="03405F00">
      <w:pPr>
        <w:pStyle w:val="14"/>
        <w:rPr>
          <w:rFonts w:hint="eastAsia" w:ascii="宋体" w:hAnsi="宋体" w:eastAsia="宋体" w:cs="宋体"/>
        </w:rPr>
      </w:pPr>
    </w:p>
    <w:p w14:paraId="6410B5A8">
      <w:pPr>
        <w:pStyle w:val="14"/>
        <w:rPr>
          <w:rFonts w:hint="eastAsia" w:ascii="宋体" w:hAnsi="宋体" w:eastAsia="宋体" w:cs="宋体"/>
        </w:rPr>
      </w:pPr>
    </w:p>
    <w:p w14:paraId="17641695">
      <w:pPr>
        <w:pStyle w:val="14"/>
        <w:rPr>
          <w:rFonts w:hint="eastAsia" w:ascii="宋体" w:hAnsi="宋体" w:eastAsia="宋体" w:cs="宋体"/>
        </w:rPr>
      </w:pPr>
    </w:p>
    <w:p w14:paraId="65CEA02F">
      <w:pPr>
        <w:pStyle w:val="14"/>
        <w:rPr>
          <w:rFonts w:hint="eastAsia" w:ascii="宋体" w:hAnsi="宋体" w:eastAsia="宋体" w:cs="宋体"/>
        </w:rPr>
      </w:pPr>
    </w:p>
    <w:p w14:paraId="2F7ABC75">
      <w:pPr>
        <w:pStyle w:val="14"/>
        <w:rPr>
          <w:rFonts w:hint="eastAsia" w:ascii="宋体" w:hAnsi="宋体" w:eastAsia="宋体" w:cs="宋体"/>
        </w:rPr>
      </w:pPr>
    </w:p>
    <w:p w14:paraId="6ED0E6E0">
      <w:pPr>
        <w:pStyle w:val="14"/>
        <w:rPr>
          <w:rFonts w:hint="eastAsia" w:ascii="宋体" w:hAnsi="宋体" w:eastAsia="宋体" w:cs="宋体"/>
        </w:rPr>
      </w:pPr>
    </w:p>
    <w:p w14:paraId="3ACB7B08">
      <w:pPr>
        <w:pStyle w:val="14"/>
        <w:rPr>
          <w:rFonts w:hint="eastAsia" w:ascii="宋体" w:hAnsi="宋体" w:eastAsia="宋体" w:cs="宋体"/>
        </w:rPr>
      </w:pPr>
    </w:p>
    <w:p w14:paraId="1BE9C433">
      <w:pPr>
        <w:pStyle w:val="14"/>
        <w:rPr>
          <w:rFonts w:hint="eastAsia" w:ascii="宋体" w:hAnsi="宋体" w:eastAsia="宋体" w:cs="宋体"/>
        </w:rPr>
      </w:pPr>
    </w:p>
    <w:p w14:paraId="115418EC">
      <w:pPr>
        <w:pStyle w:val="14"/>
        <w:rPr>
          <w:rFonts w:hint="eastAsia" w:ascii="宋体" w:hAnsi="宋体" w:eastAsia="宋体" w:cs="宋体"/>
        </w:rPr>
      </w:pPr>
    </w:p>
    <w:p w14:paraId="48320848">
      <w:pPr>
        <w:pStyle w:val="14"/>
        <w:rPr>
          <w:rFonts w:hint="eastAsia" w:ascii="宋体" w:hAnsi="宋体" w:eastAsia="宋体" w:cs="宋体"/>
        </w:rPr>
      </w:pPr>
    </w:p>
    <w:p w14:paraId="3D71394A">
      <w:pPr>
        <w:pStyle w:val="14"/>
        <w:rPr>
          <w:rFonts w:hint="eastAsia" w:ascii="宋体" w:hAnsi="宋体" w:eastAsia="宋体" w:cs="宋体"/>
        </w:rPr>
      </w:pPr>
    </w:p>
    <w:p w14:paraId="6771BD94">
      <w:pPr>
        <w:pStyle w:val="14"/>
        <w:rPr>
          <w:rFonts w:hint="eastAsia" w:ascii="宋体" w:hAnsi="宋体" w:eastAsia="宋体" w:cs="宋体"/>
        </w:rPr>
      </w:pPr>
    </w:p>
    <w:p w14:paraId="21D94B60">
      <w:pPr>
        <w:pStyle w:val="14"/>
        <w:rPr>
          <w:rFonts w:hint="eastAsia" w:ascii="宋体" w:hAnsi="宋体" w:eastAsia="宋体" w:cs="宋体"/>
        </w:rPr>
      </w:pPr>
    </w:p>
    <w:p w14:paraId="6000EF64">
      <w:pPr>
        <w:pStyle w:val="14"/>
        <w:rPr>
          <w:rFonts w:hint="eastAsia" w:ascii="宋体" w:hAnsi="宋体" w:eastAsia="宋体" w:cs="宋体"/>
        </w:rPr>
      </w:pPr>
    </w:p>
    <w:p w14:paraId="4F3C1D1B">
      <w:pPr>
        <w:pageBreakBefore w:val="0"/>
        <w:kinsoku/>
        <w:wordWrap/>
        <w:overflowPunct/>
        <w:topLinePunct w:val="0"/>
        <w:bidi w:val="0"/>
        <w:spacing w:line="360" w:lineRule="auto"/>
        <w:ind w:firstLine="643"/>
        <w:jc w:val="left"/>
        <w:textAlignment w:val="auto"/>
        <w:outlineLvl w:val="1"/>
        <w:rPr>
          <w:rFonts w:hint="eastAsia" w:ascii="宋体" w:hAnsi="宋体" w:eastAsia="宋体" w:cs="宋体"/>
          <w:b/>
          <w:sz w:val="32"/>
          <w:szCs w:val="32"/>
        </w:rPr>
      </w:pPr>
      <w:r>
        <w:rPr>
          <w:rFonts w:hint="eastAsia" w:ascii="宋体" w:hAnsi="宋体" w:eastAsia="宋体" w:cs="宋体"/>
          <w:b/>
          <w:sz w:val="32"/>
          <w:szCs w:val="32"/>
        </w:rPr>
        <w:t>附件1</w:t>
      </w:r>
    </w:p>
    <w:p w14:paraId="24AFB190">
      <w:pPr>
        <w:bidi w:val="0"/>
        <w:spacing w:line="360" w:lineRule="auto"/>
        <w:jc w:val="center"/>
        <w:rPr>
          <w:rFonts w:hint="eastAsia"/>
          <w:b/>
          <w:bCs/>
          <w:sz w:val="32"/>
          <w:szCs w:val="32"/>
        </w:rPr>
      </w:pPr>
      <w:r>
        <w:rPr>
          <w:rFonts w:hint="eastAsia"/>
          <w:b/>
          <w:bCs/>
          <w:sz w:val="32"/>
          <w:szCs w:val="32"/>
        </w:rPr>
        <w:t>保证金费用收取说明</w:t>
      </w:r>
      <w:bookmarkEnd w:id="3"/>
    </w:p>
    <w:p w14:paraId="7C433020">
      <w:pPr>
        <w:pageBreakBefore w:val="0"/>
        <w:numPr>
          <w:ilvl w:val="0"/>
          <w:numId w:val="0"/>
        </w:numPr>
        <w:kinsoku/>
        <w:wordWrap/>
        <w:overflowPunct/>
        <w:topLinePunct w:val="0"/>
        <w:bidi w:val="0"/>
        <w:spacing w:line="360" w:lineRule="auto"/>
        <w:ind w:left="567" w:leftChars="0"/>
        <w:textAlignment w:val="auto"/>
        <w:rPr>
          <w:rFonts w:hint="eastAsia" w:ascii="宋体" w:hAnsi="宋体" w:eastAsia="宋体" w:cs="宋体"/>
          <w:b/>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招标活动涉及投标保证金须采用转账或汇款方式交纳。</w:t>
      </w:r>
      <w:r>
        <w:rPr>
          <w:rFonts w:hint="eastAsia" w:ascii="宋体" w:hAnsi="宋体" w:eastAsia="宋体" w:cs="宋体"/>
          <w:b/>
          <w:sz w:val="24"/>
          <w:szCs w:val="24"/>
        </w:rPr>
        <w:t>(必须从公司公户转出)</w:t>
      </w:r>
    </w:p>
    <w:p w14:paraId="5E821B1C">
      <w:pPr>
        <w:pageBreakBefore w:val="0"/>
        <w:numPr>
          <w:ilvl w:val="0"/>
          <w:numId w:val="0"/>
        </w:numPr>
        <w:kinsoku/>
        <w:wordWrap/>
        <w:overflowPunct/>
        <w:topLinePunct w:val="0"/>
        <w:bidi w:val="0"/>
        <w:spacing w:line="360" w:lineRule="auto"/>
        <w:ind w:left="560"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请将款项交纳至以下指定的银行账户内：</w:t>
      </w:r>
    </w:p>
    <w:tbl>
      <w:tblPr>
        <w:tblStyle w:val="22"/>
        <w:tblW w:w="8740" w:type="dxa"/>
        <w:jc w:val="center"/>
        <w:tblLayout w:type="fixed"/>
        <w:tblCellMar>
          <w:top w:w="0" w:type="dxa"/>
          <w:left w:w="10" w:type="dxa"/>
          <w:bottom w:w="0" w:type="dxa"/>
          <w:right w:w="10" w:type="dxa"/>
        </w:tblCellMar>
      </w:tblPr>
      <w:tblGrid>
        <w:gridCol w:w="8740"/>
      </w:tblGrid>
      <w:tr w14:paraId="3EA9A349">
        <w:tblPrEx>
          <w:tblCellMar>
            <w:top w:w="0" w:type="dxa"/>
            <w:left w:w="10" w:type="dxa"/>
            <w:bottom w:w="0" w:type="dxa"/>
            <w:right w:w="10" w:type="dxa"/>
          </w:tblCellMar>
        </w:tblPrEx>
        <w:trPr>
          <w:trHeight w:val="2379" w:hRule="atLeast"/>
          <w:jc w:val="center"/>
        </w:trPr>
        <w:tc>
          <w:tcPr>
            <w:tcW w:w="8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527B84">
            <w:pPr>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名  称：宝鸡市公共资源交易中心保证金专户</w:t>
            </w:r>
          </w:p>
          <w:p w14:paraId="4394817C">
            <w:pPr>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开户行：长安银行股份有限公司宝鸡分行营业部</w:t>
            </w:r>
          </w:p>
          <w:p w14:paraId="67A128CF">
            <w:pPr>
              <w:pageBreakBefore w:val="0"/>
              <w:kinsoku/>
              <w:wordWrap/>
              <w:overflowPunct/>
              <w:topLinePunct w:val="0"/>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账号：80602000142101980614293</w:t>
            </w:r>
          </w:p>
          <w:p w14:paraId="5242D287">
            <w:pPr>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备注：转账时请备注</w:t>
            </w:r>
            <w:r>
              <w:rPr>
                <w:rFonts w:hint="eastAsia" w:ascii="宋体" w:hAnsi="宋体" w:eastAsia="宋体" w:cs="宋体"/>
                <w:sz w:val="24"/>
                <w:szCs w:val="24"/>
                <w:lang w:val="en-US" w:eastAsia="zh-CN"/>
              </w:rPr>
              <w:t>账号后五位</w:t>
            </w:r>
            <w:r>
              <w:rPr>
                <w:rFonts w:hint="eastAsia" w:ascii="宋体" w:hAnsi="宋体" w:eastAsia="宋体" w:cs="宋体"/>
                <w:sz w:val="24"/>
                <w:szCs w:val="24"/>
                <w:lang w:eastAsia="zh-CN"/>
              </w:rPr>
              <w:t>“14293”</w:t>
            </w:r>
          </w:p>
        </w:tc>
      </w:tr>
    </w:tbl>
    <w:p w14:paraId="4A258A1C">
      <w:pPr>
        <w:bidi w:val="0"/>
        <w:rPr>
          <w:rFonts w:hint="eastAsia"/>
        </w:rPr>
      </w:pPr>
      <w:bookmarkStart w:id="4" w:name="_Toc27107"/>
    </w:p>
    <w:p w14:paraId="2772F908">
      <w:pPr>
        <w:bidi w:val="0"/>
        <w:rPr>
          <w:rFonts w:hint="eastAsia"/>
        </w:rPr>
      </w:pPr>
    </w:p>
    <w:bookmarkEnd w:id="4"/>
    <w:p w14:paraId="00069B48">
      <w:pPr>
        <w:pageBreakBefore w:val="0"/>
        <w:tabs>
          <w:tab w:val="left" w:pos="975"/>
        </w:tabs>
        <w:kinsoku/>
        <w:wordWrap/>
        <w:overflowPunct/>
        <w:topLinePunct w:val="0"/>
        <w:bidi w:val="0"/>
        <w:spacing w:line="360" w:lineRule="auto"/>
        <w:textAlignment w:val="auto"/>
        <w:rPr>
          <w:rFonts w:hint="eastAsia" w:ascii="宋体" w:hAnsi="宋体" w:eastAsia="宋体" w:cs="宋体"/>
        </w:rPr>
      </w:pPr>
    </w:p>
    <w:p w14:paraId="06BCD8C1">
      <w:pPr>
        <w:pStyle w:val="8"/>
        <w:rPr>
          <w:rFonts w:hint="eastAsia" w:ascii="宋体" w:hAnsi="宋体" w:eastAsia="宋体" w:cs="宋体"/>
        </w:rPr>
      </w:pPr>
    </w:p>
    <w:p w14:paraId="548C934C">
      <w:pPr>
        <w:bidi w:val="0"/>
        <w:jc w:val="center"/>
        <w:rPr>
          <w:rFonts w:hint="eastAsia" w:ascii="宋体" w:hAnsi="宋体" w:eastAsia="宋体" w:cs="宋体"/>
          <w:b/>
          <w:sz w:val="28"/>
          <w:szCs w:val="28"/>
          <w:highlight w:val="none"/>
        </w:rPr>
      </w:pPr>
      <w:r>
        <w:rPr>
          <w:rFonts w:hint="eastAsia" w:ascii="宋体" w:hAnsi="宋体" w:eastAsia="宋体" w:cs="宋体"/>
          <w:b/>
          <w:sz w:val="32"/>
          <w:szCs w:val="32"/>
          <w:highlight w:val="none"/>
        </w:rPr>
        <w:t>磋商服务费收取说明</w:t>
      </w:r>
    </w:p>
    <w:p w14:paraId="7F9933C7">
      <w:pPr>
        <w:pageBreakBefore w:val="0"/>
        <w:numPr>
          <w:ilvl w:val="0"/>
          <w:numId w:val="0"/>
        </w:numPr>
        <w:kinsoku/>
        <w:wordWrap/>
        <w:overflowPunct/>
        <w:topLinePunct w:val="0"/>
        <w:bidi w:val="0"/>
        <w:spacing w:line="360" w:lineRule="auto"/>
        <w:ind w:left="567" w:leftChars="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磋商</w:t>
      </w:r>
      <w:r>
        <w:rPr>
          <w:rFonts w:hint="eastAsia" w:ascii="宋体" w:hAnsi="宋体" w:eastAsia="宋体" w:cs="宋体"/>
          <w:color w:val="auto"/>
          <w:sz w:val="24"/>
          <w:szCs w:val="24"/>
          <w:highlight w:val="none"/>
        </w:rPr>
        <w:t>服务费</w:t>
      </w:r>
      <w:r>
        <w:rPr>
          <w:rFonts w:hint="eastAsia" w:ascii="宋体" w:hAnsi="宋体" w:eastAsia="宋体" w:cs="宋体"/>
          <w:sz w:val="24"/>
          <w:szCs w:val="24"/>
          <w:highlight w:val="none"/>
        </w:rPr>
        <w:t>可采用现金、汇款或转账方式交纳。(必须从公司公户转出)</w:t>
      </w:r>
    </w:p>
    <w:p w14:paraId="13613644">
      <w:pPr>
        <w:pageBreakBefore w:val="0"/>
        <w:numPr>
          <w:ilvl w:val="0"/>
          <w:numId w:val="0"/>
        </w:numPr>
        <w:kinsoku/>
        <w:wordWrap/>
        <w:overflowPunct/>
        <w:topLinePunct w:val="0"/>
        <w:bidi w:val="0"/>
        <w:spacing w:line="360" w:lineRule="auto"/>
        <w:ind w:left="560" w:leftChars="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请将款项交纳至以下指定的银行账户内：</w:t>
      </w:r>
    </w:p>
    <w:tbl>
      <w:tblPr>
        <w:tblStyle w:val="22"/>
        <w:tblW w:w="8740" w:type="dxa"/>
        <w:jc w:val="center"/>
        <w:tblLayout w:type="fixed"/>
        <w:tblCellMar>
          <w:top w:w="0" w:type="dxa"/>
          <w:left w:w="10" w:type="dxa"/>
          <w:bottom w:w="0" w:type="dxa"/>
          <w:right w:w="10" w:type="dxa"/>
        </w:tblCellMar>
      </w:tblPr>
      <w:tblGrid>
        <w:gridCol w:w="8740"/>
      </w:tblGrid>
      <w:tr w14:paraId="2AD764B8">
        <w:tblPrEx>
          <w:tblCellMar>
            <w:top w:w="0" w:type="dxa"/>
            <w:left w:w="10" w:type="dxa"/>
            <w:bottom w:w="0" w:type="dxa"/>
            <w:right w:w="10" w:type="dxa"/>
          </w:tblCellMar>
        </w:tblPrEx>
        <w:trPr>
          <w:trHeight w:val="2379" w:hRule="atLeast"/>
          <w:jc w:val="center"/>
        </w:trPr>
        <w:tc>
          <w:tcPr>
            <w:tcW w:w="8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AC31C6">
            <w:pPr>
              <w:pageBreakBefore w:val="0"/>
              <w:kinsoku/>
              <w:wordWrap/>
              <w:overflowPunct/>
              <w:topLinePunct w:val="0"/>
              <w:bidi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cs="宋体"/>
                <w:sz w:val="24"/>
                <w:szCs w:val="24"/>
                <w:highlight w:val="none"/>
                <w:lang w:eastAsia="zh-CN"/>
              </w:rPr>
              <w:t>陕西建政项目管理有限公司</w:t>
            </w:r>
          </w:p>
          <w:p w14:paraId="0EE3838C">
            <w:pPr>
              <w:pageBreakBefore w:val="0"/>
              <w:kinsoku/>
              <w:wordWrap/>
              <w:overflowPunct/>
              <w:topLinePunct w:val="0"/>
              <w:bidi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开户行名称：平安银行西安分行营业部</w:t>
            </w:r>
          </w:p>
          <w:p w14:paraId="1858B936">
            <w:pPr>
              <w:pageBreakBefore w:val="0"/>
              <w:kinsoku/>
              <w:wordWrap/>
              <w:overflowPunct/>
              <w:topLinePunct w:val="0"/>
              <w:bidi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账号：30208484000086</w:t>
            </w:r>
          </w:p>
          <w:p w14:paraId="0566DC11">
            <w:pPr>
              <w:pageBreakBefore w:val="0"/>
              <w:kinsoku/>
              <w:wordWrap/>
              <w:overflowPunct/>
              <w:topLinePunct w:val="0"/>
              <w:bidi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备注：请注明费用信息“</w:t>
            </w:r>
            <w:r>
              <w:rPr>
                <w:rFonts w:hint="eastAsia" w:ascii="宋体" w:hAnsi="宋体" w:eastAsia="宋体" w:cs="宋体"/>
                <w:i w:val="0"/>
                <w:iCs w:val="0"/>
                <w:caps w:val="0"/>
                <w:color w:val="auto"/>
                <w:spacing w:val="0"/>
                <w:sz w:val="24"/>
                <w:szCs w:val="24"/>
                <w:shd w:val="clear" w:fill="FFFFFF"/>
                <w:lang w:eastAsia="zh-CN"/>
              </w:rPr>
              <w:t>JZZB-2025-239</w:t>
            </w:r>
            <w:r>
              <w:rPr>
                <w:rFonts w:hint="eastAsia" w:ascii="宋体" w:hAnsi="宋体" w:eastAsia="宋体" w:cs="宋体"/>
                <w:sz w:val="24"/>
                <w:szCs w:val="24"/>
                <w:highlight w:val="none"/>
              </w:rPr>
              <w:t>磋商服务费”</w:t>
            </w:r>
          </w:p>
        </w:tc>
      </w:tr>
    </w:tbl>
    <w:p w14:paraId="6C820BBC">
      <w:pPr>
        <w:bidi w:val="0"/>
        <w:rPr>
          <w:rFonts w:hint="eastAsia"/>
          <w:sz w:val="20"/>
          <w:szCs w:val="21"/>
        </w:rPr>
      </w:pPr>
    </w:p>
    <w:p w14:paraId="687D2948">
      <w:pPr>
        <w:bidi w:val="0"/>
        <w:rPr>
          <w:rFonts w:hint="eastAsia"/>
        </w:rPr>
      </w:pPr>
    </w:p>
    <w:p w14:paraId="0568C8F5">
      <w:pPr>
        <w:rPr>
          <w:rFonts w:hint="eastAsia"/>
        </w:rPr>
        <w:sectPr>
          <w:footerReference r:id="rId5" w:type="first"/>
          <w:footerReference r:id="rId4" w:type="default"/>
          <w:endnotePr>
            <w:numFmt w:val="decimal"/>
          </w:endnotePr>
          <w:pgSz w:w="11907" w:h="16840"/>
          <w:pgMar w:top="1418" w:right="1287" w:bottom="1446" w:left="1259" w:header="907" w:footer="654" w:gutter="0"/>
          <w:pgNumType w:fmt="decimal" w:start="1"/>
          <w:cols w:space="720" w:num="1"/>
          <w:titlePg/>
        </w:sectPr>
      </w:pPr>
      <w:r>
        <w:rPr>
          <w:rFonts w:hint="eastAsia" w:ascii="宋体" w:hAnsi="宋体" w:eastAsia="宋体" w:cs="宋体"/>
          <w:color w:val="auto"/>
          <w:sz w:val="24"/>
          <w:szCs w:val="24"/>
          <w:highlight w:val="none"/>
        </w:rPr>
        <mc:AlternateContent>
          <mc:Choice Requires="wps">
            <w:drawing>
              <wp:inline distT="0" distB="0" distL="114300" distR="114300">
                <wp:extent cx="6376670" cy="881380"/>
                <wp:effectExtent l="6350" t="6350" r="17780" b="11430"/>
                <wp:docPr id="1" name="矩形 1"/>
                <wp:cNvGraphicFramePr/>
                <a:graphic xmlns:a="http://schemas.openxmlformats.org/drawingml/2006/main">
                  <a:graphicData uri="http://schemas.microsoft.com/office/word/2010/wordprocessingShape">
                    <wps:wsp>
                      <wps:cNvSpPr/>
                      <wps:spPr>
                        <a:xfrm>
                          <a:off x="0" y="0"/>
                          <a:ext cx="6376670" cy="881380"/>
                        </a:xfrm>
                        <a:prstGeom prst="rect">
                          <a:avLst/>
                        </a:prstGeom>
                        <a:noFill/>
                        <a:ln w="12700" cap="flat" cmpd="sng" algn="ctr">
                          <a:solidFill>
                            <a:srgbClr val="000000"/>
                          </a:solidFill>
                          <a:prstDash val="solid"/>
                          <a:miter lim="800000"/>
                        </a:ln>
                        <a:effectLst/>
                      </wps:spPr>
                      <wps:txbx>
                        <w:txbxContent>
                          <w:p w14:paraId="0A6AA1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温馨提示：</w:t>
                            </w:r>
                            <w:r>
                              <w:rPr>
                                <w:rFonts w:hint="eastAsia" w:ascii="宋体" w:hAnsi="宋体" w:eastAsia="宋体" w:cs="宋体"/>
                                <w:b/>
                                <w:color w:val="auto"/>
                                <w:sz w:val="28"/>
                                <w:szCs w:val="28"/>
                                <w:highlight w:val="none"/>
                                <w:lang w:eastAsia="zh-CN"/>
                              </w:rPr>
                              <w:t>下载磋商</w:t>
                            </w:r>
                            <w:r>
                              <w:rPr>
                                <w:rFonts w:hint="eastAsia" w:ascii="宋体" w:hAnsi="宋体" w:eastAsia="宋体" w:cs="宋体"/>
                                <w:b/>
                                <w:color w:val="auto"/>
                                <w:sz w:val="28"/>
                                <w:szCs w:val="28"/>
                                <w:highlight w:val="none"/>
                              </w:rPr>
                              <w:t>文件后，请仔细阅读，特别注意粗体及划线部分，如有疑问请来电咨询。</w:t>
                            </w:r>
                          </w:p>
                          <w:p w14:paraId="23817AB1">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69.4pt;width:502.1pt;v-text-anchor:middle;" filled="f" stroked="t" coordsize="21600,21600" o:gfxdata="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nPusF1QAAAAYBAAAPAAAAAAAAAAEAIAAAACIAAABkcnMvZG93bnJl&#10;di54bWxQSwECFAAUAAAACACHTuJA2ZO+OnICAADkBAAADgAAAAAAAAABACAAAAAkAQAAZHJzL2Uy&#10;b0RvYy54bWxQSwUGAAAAAAYABgBZAQAACAYAAAAA&#10;">
                <v:fill on="f" focussize="0,0"/>
                <v:stroke weight="1pt" color="#000000" miterlimit="8" joinstyle="miter"/>
                <v:imagedata o:title=""/>
                <o:lock v:ext="edit" aspectratio="f"/>
                <v:textbox>
                  <w:txbxContent>
                    <w:p w14:paraId="0A6AA1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温馨提示：</w:t>
                      </w:r>
                      <w:r>
                        <w:rPr>
                          <w:rFonts w:hint="eastAsia" w:ascii="宋体" w:hAnsi="宋体" w:eastAsia="宋体" w:cs="宋体"/>
                          <w:b/>
                          <w:color w:val="auto"/>
                          <w:sz w:val="28"/>
                          <w:szCs w:val="28"/>
                          <w:highlight w:val="none"/>
                          <w:lang w:eastAsia="zh-CN"/>
                        </w:rPr>
                        <w:t>下载磋商</w:t>
                      </w:r>
                      <w:r>
                        <w:rPr>
                          <w:rFonts w:hint="eastAsia" w:ascii="宋体" w:hAnsi="宋体" w:eastAsia="宋体" w:cs="宋体"/>
                          <w:b/>
                          <w:color w:val="auto"/>
                          <w:sz w:val="28"/>
                          <w:szCs w:val="28"/>
                          <w:highlight w:val="none"/>
                        </w:rPr>
                        <w:t>文件后，请仔细阅读，特别注意粗体及划线部分，如有疑问请来电咨询。</w:t>
                      </w:r>
                    </w:p>
                    <w:p w14:paraId="23817AB1">
                      <w:pPr>
                        <w:jc w:val="both"/>
                      </w:pPr>
                    </w:p>
                  </w:txbxContent>
                </v:textbox>
                <w10:wrap type="none"/>
                <w10:anchorlock/>
              </v:rect>
            </w:pict>
          </mc:Fallback>
        </mc:AlternateContent>
      </w:r>
    </w:p>
    <w:p w14:paraId="36420A78">
      <w:pPr>
        <w:pStyle w:val="3"/>
        <w:pageBreakBefore w:val="0"/>
        <w:kinsoku/>
        <w:wordWrap/>
        <w:overflowPunct/>
        <w:topLinePunct w:val="0"/>
        <w:bidi w:val="0"/>
        <w:spacing w:before="0" w:after="0" w:line="360" w:lineRule="auto"/>
        <w:jc w:val="center"/>
        <w:textAlignment w:val="auto"/>
        <w:rPr>
          <w:rFonts w:hint="eastAsia" w:ascii="宋体" w:hAnsi="宋体" w:eastAsia="宋体" w:cs="宋体"/>
        </w:rPr>
      </w:pPr>
      <w:bookmarkStart w:id="5" w:name="_Toc19091851"/>
      <w:bookmarkStart w:id="6" w:name="_Toc26519375"/>
      <w:bookmarkStart w:id="7" w:name="_Toc15746"/>
      <w:r>
        <w:rPr>
          <w:rFonts w:hint="eastAsia" w:ascii="宋体" w:hAnsi="宋体" w:eastAsia="宋体" w:cs="宋体"/>
        </w:rPr>
        <w:t>第二部分  供应商须知</w:t>
      </w:r>
      <w:bookmarkEnd w:id="5"/>
      <w:bookmarkEnd w:id="6"/>
      <w:bookmarkEnd w:id="7"/>
    </w:p>
    <w:p w14:paraId="4DC02FE3">
      <w:pPr>
        <w:pageBreakBefore w:val="0"/>
        <w:kinsoku/>
        <w:wordWrap/>
        <w:overflowPunct/>
        <w:topLinePunct w:val="0"/>
        <w:bidi w:val="0"/>
        <w:spacing w:line="360" w:lineRule="auto"/>
        <w:ind w:firstLine="562" w:firstLineChars="200"/>
        <w:textAlignment w:val="auto"/>
        <w:outlineLvl w:val="1"/>
        <w:rPr>
          <w:rFonts w:hint="eastAsia" w:ascii="宋体" w:hAnsi="宋体" w:eastAsia="宋体" w:cs="宋体"/>
          <w:b/>
          <w:sz w:val="28"/>
          <w:szCs w:val="28"/>
        </w:rPr>
      </w:pPr>
      <w:bookmarkStart w:id="8" w:name="_Toc5988"/>
      <w:r>
        <w:rPr>
          <w:rFonts w:hint="eastAsia" w:ascii="宋体" w:hAnsi="宋体" w:eastAsia="宋体" w:cs="宋体"/>
          <w:b/>
          <w:sz w:val="28"/>
          <w:szCs w:val="28"/>
        </w:rPr>
        <w:t>一、供应商须知前附表</w:t>
      </w:r>
      <w:bookmarkEnd w:id="8"/>
    </w:p>
    <w:tbl>
      <w:tblPr>
        <w:tblStyle w:val="22"/>
        <w:tblW w:w="9457"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194"/>
        <w:gridCol w:w="6430"/>
      </w:tblGrid>
      <w:tr w14:paraId="7303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33" w:type="dxa"/>
            <w:vAlign w:val="center"/>
          </w:tcPr>
          <w:p w14:paraId="54AF5F4B">
            <w:pPr>
              <w:pageBreakBefore w:val="0"/>
              <w:kinsoku/>
              <w:overflowPunct/>
              <w:topLinePunct w:val="0"/>
              <w:bidi w:val="0"/>
              <w:spacing w:line="360" w:lineRule="auto"/>
              <w:jc w:val="both"/>
              <w:textAlignment w:val="auto"/>
              <w:rPr>
                <w:rFonts w:hint="eastAsia" w:ascii="宋体" w:hAnsi="宋体" w:eastAsia="宋体" w:cs="宋体"/>
                <w:b/>
                <w:sz w:val="24"/>
                <w:szCs w:val="24"/>
                <w:highlight w:val="none"/>
              </w:rPr>
            </w:pPr>
            <w:bookmarkStart w:id="9" w:name="_Toc5430"/>
            <w:bookmarkEnd w:id="9"/>
            <w:r>
              <w:rPr>
                <w:rFonts w:hint="eastAsia" w:ascii="宋体" w:hAnsi="宋体" w:eastAsia="宋体" w:cs="宋体"/>
                <w:b/>
                <w:sz w:val="24"/>
                <w:szCs w:val="24"/>
                <w:highlight w:val="none"/>
              </w:rPr>
              <w:t>序号</w:t>
            </w:r>
          </w:p>
        </w:tc>
        <w:tc>
          <w:tcPr>
            <w:tcW w:w="2194" w:type="dxa"/>
            <w:vAlign w:val="center"/>
          </w:tcPr>
          <w:p w14:paraId="2B03BDBF">
            <w:pPr>
              <w:pageBreakBefore w:val="0"/>
              <w:kinsoku/>
              <w:overflowPunct/>
              <w:topLinePunct w:val="0"/>
              <w:bidi w:val="0"/>
              <w:spacing w:line="360" w:lineRule="auto"/>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条款名称</w:t>
            </w:r>
          </w:p>
        </w:tc>
        <w:tc>
          <w:tcPr>
            <w:tcW w:w="6430" w:type="dxa"/>
            <w:vAlign w:val="center"/>
          </w:tcPr>
          <w:p w14:paraId="307977CB">
            <w:pPr>
              <w:pageBreakBefore w:val="0"/>
              <w:kinsoku/>
              <w:overflowPunct/>
              <w:topLinePunct w:val="0"/>
              <w:bidi w:val="0"/>
              <w:spacing w:line="360" w:lineRule="auto"/>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说明和要求</w:t>
            </w:r>
          </w:p>
        </w:tc>
      </w:tr>
      <w:tr w14:paraId="7142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5812E2A4">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194" w:type="dxa"/>
            <w:vAlign w:val="center"/>
          </w:tcPr>
          <w:p w14:paraId="5557A2C9">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采购人</w:t>
            </w:r>
          </w:p>
        </w:tc>
        <w:tc>
          <w:tcPr>
            <w:tcW w:w="6430" w:type="dxa"/>
            <w:vAlign w:val="center"/>
          </w:tcPr>
          <w:p w14:paraId="1DCB9A8C">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扶风县职业教育中心</w:t>
            </w:r>
          </w:p>
        </w:tc>
      </w:tr>
      <w:tr w14:paraId="1EED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58CEB78F">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194" w:type="dxa"/>
            <w:vAlign w:val="center"/>
          </w:tcPr>
          <w:p w14:paraId="566825B0">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采购代理机构</w:t>
            </w:r>
          </w:p>
        </w:tc>
        <w:tc>
          <w:tcPr>
            <w:tcW w:w="6430" w:type="dxa"/>
            <w:vAlign w:val="center"/>
          </w:tcPr>
          <w:p w14:paraId="13530D6A">
            <w:pPr>
              <w:pageBreakBefore w:val="0"/>
              <w:kinsoku/>
              <w:overflowPunct/>
              <w:topLinePunct w:val="0"/>
              <w:bidi w:val="0"/>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陕西建政项目管理有限公司 </w:t>
            </w:r>
          </w:p>
        </w:tc>
      </w:tr>
      <w:tr w14:paraId="554E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556B0AF6">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194" w:type="dxa"/>
            <w:vAlign w:val="center"/>
          </w:tcPr>
          <w:p w14:paraId="3F300961">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监督</w:t>
            </w:r>
            <w:r>
              <w:rPr>
                <w:rFonts w:hint="eastAsia" w:ascii="宋体" w:hAnsi="宋体" w:eastAsia="宋体" w:cs="宋体"/>
                <w:sz w:val="24"/>
                <w:szCs w:val="24"/>
                <w:highlight w:val="none"/>
                <w:lang w:eastAsia="zh-CN"/>
              </w:rPr>
              <w:t>部门</w:t>
            </w:r>
          </w:p>
        </w:tc>
        <w:tc>
          <w:tcPr>
            <w:tcW w:w="6430" w:type="dxa"/>
            <w:vAlign w:val="center"/>
          </w:tcPr>
          <w:p w14:paraId="63E301F4">
            <w:pPr>
              <w:pageBreakBefore w:val="0"/>
              <w:kinsoku/>
              <w:overflowPunct/>
              <w:topLinePunct w:val="0"/>
              <w:bidi w:val="0"/>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扶风县教育体育局</w:t>
            </w:r>
          </w:p>
        </w:tc>
      </w:tr>
      <w:tr w14:paraId="2D6F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4A8DE34C">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194" w:type="dxa"/>
            <w:vAlign w:val="center"/>
          </w:tcPr>
          <w:p w14:paraId="15D6E4A3">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p>
        </w:tc>
        <w:tc>
          <w:tcPr>
            <w:tcW w:w="6430" w:type="dxa"/>
            <w:vAlign w:val="center"/>
          </w:tcPr>
          <w:p w14:paraId="7419AE4E">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w:t>
            </w:r>
            <w:r>
              <w:rPr>
                <w:rFonts w:hint="eastAsia" w:ascii="宋体" w:hAnsi="宋体" w:eastAsia="宋体" w:cs="宋体"/>
                <w:sz w:val="20"/>
                <w:szCs w:val="21"/>
                <w:highlight w:val="none"/>
              </w:rPr>
              <w:fldChar w:fldCharType="begin"/>
            </w:r>
            <w:r>
              <w:rPr>
                <w:rFonts w:hint="eastAsia" w:ascii="宋体" w:hAnsi="宋体" w:eastAsia="宋体" w:cs="宋体"/>
                <w:sz w:val="20"/>
                <w:szCs w:val="21"/>
                <w:highlight w:val="none"/>
              </w:rPr>
              <w:instrText xml:space="preserve"> HYPERLINK "http://baike.baidu.com/view/8707.htm" \t "_blank" </w:instrText>
            </w:r>
            <w:r>
              <w:rPr>
                <w:rFonts w:hint="eastAsia" w:ascii="宋体" w:hAnsi="宋体" w:eastAsia="宋体" w:cs="宋体"/>
                <w:sz w:val="20"/>
                <w:szCs w:val="21"/>
                <w:highlight w:val="none"/>
              </w:rPr>
              <w:fldChar w:fldCharType="separate"/>
            </w:r>
            <w:r>
              <w:rPr>
                <w:rFonts w:hint="eastAsia" w:ascii="宋体" w:hAnsi="宋体" w:eastAsia="宋体" w:cs="宋体"/>
                <w:sz w:val="24"/>
                <w:szCs w:val="24"/>
                <w:highlight w:val="none"/>
              </w:rPr>
              <w:t>招标</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并且符合</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文件规定资格条件和参加</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竞争的法人</w:t>
            </w:r>
          </w:p>
        </w:tc>
      </w:tr>
      <w:tr w14:paraId="341C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0B780622">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194" w:type="dxa"/>
            <w:vAlign w:val="center"/>
          </w:tcPr>
          <w:p w14:paraId="3E1AA162">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30" w:type="dxa"/>
            <w:vAlign w:val="center"/>
          </w:tcPr>
          <w:p w14:paraId="053DAD0C">
            <w:pPr>
              <w:keepNext w:val="0"/>
              <w:keepLines w:val="0"/>
              <w:widowControl/>
              <w:suppressLineNumbers w:val="0"/>
              <w:jc w:val="left"/>
              <w:rPr>
                <w:rFonts w:hint="eastAsia" w:ascii="宋体" w:hAnsi="宋体" w:eastAsia="宋体" w:cs="宋体"/>
                <w:spacing w:val="-6"/>
                <w:sz w:val="24"/>
                <w:szCs w:val="24"/>
                <w:highlight w:val="none"/>
              </w:rPr>
            </w:pPr>
            <w:r>
              <w:rPr>
                <w:rFonts w:hint="eastAsia" w:ascii="宋体" w:hAnsi="宋体" w:eastAsia="宋体" w:cs="宋体"/>
                <w:i w:val="0"/>
                <w:iCs w:val="0"/>
                <w:caps w:val="0"/>
                <w:color w:val="auto"/>
                <w:spacing w:val="0"/>
                <w:sz w:val="24"/>
                <w:szCs w:val="24"/>
                <w:shd w:val="clear" w:fill="FFFFFF"/>
                <w:lang w:eastAsia="zh-CN"/>
              </w:rPr>
              <w:t>扶风县职业教育中心厨房、餐厅消防整改工程</w:t>
            </w:r>
          </w:p>
        </w:tc>
      </w:tr>
      <w:tr w14:paraId="2536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33B6E464">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194" w:type="dxa"/>
            <w:vAlign w:val="center"/>
          </w:tcPr>
          <w:p w14:paraId="00D8A13F">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c>
        <w:tc>
          <w:tcPr>
            <w:tcW w:w="6430" w:type="dxa"/>
            <w:vAlign w:val="center"/>
          </w:tcPr>
          <w:p w14:paraId="6B6CD111">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i w:val="0"/>
                <w:iCs w:val="0"/>
                <w:caps w:val="0"/>
                <w:color w:val="auto"/>
                <w:spacing w:val="0"/>
                <w:sz w:val="24"/>
                <w:szCs w:val="24"/>
                <w:shd w:val="clear" w:fill="FFFFFF"/>
                <w:lang w:eastAsia="zh-CN"/>
              </w:rPr>
              <w:t>JZZB-2025-239</w:t>
            </w:r>
          </w:p>
        </w:tc>
      </w:tr>
      <w:tr w14:paraId="4D21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4731A0F5">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194" w:type="dxa"/>
            <w:shd w:val="clear" w:color="auto" w:fill="auto"/>
            <w:vAlign w:val="center"/>
          </w:tcPr>
          <w:p w14:paraId="19CD3B19">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项目预算</w:t>
            </w:r>
          </w:p>
          <w:p w14:paraId="78992729">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最高限价</w:t>
            </w:r>
          </w:p>
        </w:tc>
        <w:tc>
          <w:tcPr>
            <w:tcW w:w="6430" w:type="dxa"/>
            <w:shd w:val="clear" w:color="auto" w:fill="auto"/>
            <w:vAlign w:val="center"/>
          </w:tcPr>
          <w:p w14:paraId="4088BE3A">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预算金额:</w:t>
            </w:r>
            <w:r>
              <w:rPr>
                <w:rFonts w:hint="eastAsia" w:ascii="宋体" w:hAnsi="宋体" w:eastAsia="宋体" w:cs="宋体"/>
                <w:sz w:val="24"/>
                <w:szCs w:val="24"/>
                <w:highlight w:val="none"/>
                <w:lang w:eastAsia="zh-CN"/>
              </w:rPr>
              <w:t>1304483.31</w:t>
            </w:r>
            <w:r>
              <w:rPr>
                <w:rFonts w:hint="eastAsia" w:ascii="宋体" w:hAnsi="宋体" w:eastAsia="宋体" w:cs="宋体"/>
                <w:i w:val="0"/>
                <w:iCs w:val="0"/>
                <w:caps w:val="0"/>
                <w:color w:val="auto"/>
                <w:spacing w:val="0"/>
                <w:sz w:val="24"/>
                <w:szCs w:val="24"/>
                <w:highlight w:val="none"/>
                <w:shd w:val="clear" w:fill="FFFFFF"/>
              </w:rPr>
              <w:t>元</w:t>
            </w:r>
          </w:p>
          <w:p w14:paraId="4169A115">
            <w:pPr>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最高限价</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1304483.31</w:t>
            </w:r>
            <w:r>
              <w:rPr>
                <w:rFonts w:hint="eastAsia" w:ascii="宋体" w:hAnsi="宋体" w:eastAsia="宋体" w:cs="宋体"/>
                <w:sz w:val="24"/>
                <w:szCs w:val="24"/>
                <w:highlight w:val="none"/>
                <w:lang w:val="en-US" w:eastAsia="zh-CN"/>
              </w:rPr>
              <w:t>元</w:t>
            </w:r>
          </w:p>
          <w:p w14:paraId="111FAE68">
            <w:pPr>
              <w:pageBreakBefore w:val="0"/>
              <w:kinsoku/>
              <w:wordWrap/>
              <w:overflowPunct/>
              <w:topLinePunct w:val="0"/>
              <w:bidi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b/>
                <w:color w:val="auto"/>
                <w:kern w:val="1"/>
                <w:sz w:val="24"/>
                <w:szCs w:val="24"/>
                <w:lang w:val="en-US" w:eastAsia="zh-CN" w:bidi="ar-SA"/>
              </w:rPr>
              <w:t>供应商报价超出项目最高限价，视为不实质性响应磋商文件，按无效投标处理。</w:t>
            </w:r>
          </w:p>
        </w:tc>
      </w:tr>
      <w:tr w14:paraId="4F6B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833" w:type="dxa"/>
            <w:vAlign w:val="center"/>
          </w:tcPr>
          <w:p w14:paraId="3745BF1E">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194" w:type="dxa"/>
            <w:vAlign w:val="center"/>
          </w:tcPr>
          <w:p w14:paraId="294FD216">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招标范围</w:t>
            </w:r>
          </w:p>
        </w:tc>
        <w:tc>
          <w:tcPr>
            <w:tcW w:w="6430" w:type="dxa"/>
            <w:vAlign w:val="center"/>
          </w:tcPr>
          <w:p w14:paraId="5DFF9606">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本次采购文件工程量清单等全部内容。</w:t>
            </w:r>
          </w:p>
        </w:tc>
      </w:tr>
      <w:tr w14:paraId="6EB9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33" w:type="dxa"/>
            <w:vAlign w:val="center"/>
          </w:tcPr>
          <w:p w14:paraId="6772B78C">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2194" w:type="dxa"/>
            <w:vAlign w:val="center"/>
          </w:tcPr>
          <w:p w14:paraId="7BDAB667">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是否允许联合体磋商</w:t>
            </w:r>
          </w:p>
        </w:tc>
        <w:tc>
          <w:tcPr>
            <w:tcW w:w="6430" w:type="dxa"/>
            <w:vAlign w:val="center"/>
          </w:tcPr>
          <w:p w14:paraId="390EAD62">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否</w:t>
            </w:r>
          </w:p>
        </w:tc>
      </w:tr>
      <w:tr w14:paraId="26F8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52DD72D0">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194" w:type="dxa"/>
            <w:vAlign w:val="center"/>
          </w:tcPr>
          <w:p w14:paraId="7500232E">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投标有效期</w:t>
            </w:r>
          </w:p>
        </w:tc>
        <w:tc>
          <w:tcPr>
            <w:tcW w:w="6430" w:type="dxa"/>
            <w:vAlign w:val="center"/>
          </w:tcPr>
          <w:p w14:paraId="3D6D9684">
            <w:pPr>
              <w:pStyle w:val="42"/>
              <w:pageBreakBefore w:val="0"/>
              <w:kinsoku/>
              <w:overflowPunct/>
              <w:topLinePunct w:val="0"/>
              <w:bidi w:val="0"/>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自磋商响应文件递交之日起不少于</w:t>
            </w:r>
            <w:r>
              <w:rPr>
                <w:rFonts w:hint="eastAsia" w:ascii="宋体" w:hAnsi="宋体" w:eastAsia="宋体" w:cs="宋体"/>
                <w:sz w:val="24"/>
                <w:szCs w:val="24"/>
                <w:highlight w:val="none"/>
                <w:lang w:val="en-US" w:eastAsia="zh-CN"/>
              </w:rPr>
              <w:t>90</w:t>
            </w:r>
            <w:r>
              <w:rPr>
                <w:rFonts w:hint="eastAsia" w:ascii="宋体" w:hAnsi="宋体" w:eastAsia="宋体" w:cs="宋体"/>
                <w:sz w:val="24"/>
                <w:szCs w:val="24"/>
                <w:highlight w:val="none"/>
                <w:lang w:eastAsia="zh-CN"/>
              </w:rPr>
              <w:t>日历天。</w:t>
            </w:r>
          </w:p>
        </w:tc>
      </w:tr>
      <w:tr w14:paraId="5A98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19A5229B">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2194" w:type="dxa"/>
            <w:vAlign w:val="center"/>
          </w:tcPr>
          <w:p w14:paraId="24757E7C">
            <w:pPr>
              <w:pageBreakBefore w:val="0"/>
              <w:kinsoku/>
              <w:overflowPunct/>
              <w:topLinePunct w:val="0"/>
              <w:bidi w:val="0"/>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工期</w:t>
            </w:r>
          </w:p>
        </w:tc>
        <w:tc>
          <w:tcPr>
            <w:tcW w:w="6430" w:type="dxa"/>
            <w:vAlign w:val="center"/>
          </w:tcPr>
          <w:p w14:paraId="6265D7C8">
            <w:pPr>
              <w:pageBreakBefore w:val="0"/>
              <w:kinsoku/>
              <w:overflowPunct/>
              <w:topLinePunct w:val="0"/>
              <w:bidi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自合同签订之日起2025年8月25日前完成</w:t>
            </w:r>
          </w:p>
        </w:tc>
      </w:tr>
      <w:tr w14:paraId="1F9E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3330DF23">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2194" w:type="dxa"/>
            <w:vAlign w:val="center"/>
          </w:tcPr>
          <w:p w14:paraId="0C52C0F9">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现场勘查、标前答疑会</w:t>
            </w:r>
          </w:p>
        </w:tc>
        <w:tc>
          <w:tcPr>
            <w:tcW w:w="6430" w:type="dxa"/>
            <w:vAlign w:val="center"/>
          </w:tcPr>
          <w:p w14:paraId="7F93D2FC">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不组织。</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认为有必要，另行书面通知。</w:t>
            </w:r>
          </w:p>
        </w:tc>
      </w:tr>
      <w:tr w14:paraId="140D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441FDFAB">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2194" w:type="dxa"/>
            <w:vAlign w:val="center"/>
          </w:tcPr>
          <w:p w14:paraId="47BE4904">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提出质疑的时间</w:t>
            </w:r>
          </w:p>
        </w:tc>
        <w:tc>
          <w:tcPr>
            <w:tcW w:w="6430" w:type="dxa"/>
            <w:vAlign w:val="center"/>
          </w:tcPr>
          <w:p w14:paraId="4D5C4355">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若对</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有任何疑问要求澄清，或认为有必要与</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进行交流的，在获取</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或者</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公告期限届满之日起7个工作日内提出。</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以书面形式予以答复，在此之后提出的无效，因此带来的一切不利后果由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自负。</w:t>
            </w:r>
          </w:p>
        </w:tc>
      </w:tr>
      <w:tr w14:paraId="651B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7ED9972E">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2194" w:type="dxa"/>
            <w:vAlign w:val="center"/>
          </w:tcPr>
          <w:p w14:paraId="4C61EC27">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构成</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的其他文件</w:t>
            </w:r>
          </w:p>
        </w:tc>
        <w:tc>
          <w:tcPr>
            <w:tcW w:w="6430" w:type="dxa"/>
            <w:vAlign w:val="center"/>
          </w:tcPr>
          <w:p w14:paraId="6D96FD9C">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的澄清、修改书及有关补充通知为</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的有效组成部分。</w:t>
            </w:r>
          </w:p>
        </w:tc>
      </w:tr>
      <w:tr w14:paraId="4C0A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1B27E59F">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2194" w:type="dxa"/>
            <w:vAlign w:val="center"/>
          </w:tcPr>
          <w:p w14:paraId="505A4D52">
            <w:pPr>
              <w:pStyle w:val="42"/>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磋商响应文件</w:t>
            </w:r>
            <w:r>
              <w:rPr>
                <w:rFonts w:hint="eastAsia" w:ascii="宋体" w:hAnsi="宋体" w:eastAsia="宋体" w:cs="宋体"/>
                <w:sz w:val="24"/>
                <w:szCs w:val="24"/>
                <w:highlight w:val="none"/>
              </w:rPr>
              <w:t>截止时间及开标时间和地点</w:t>
            </w:r>
          </w:p>
        </w:tc>
        <w:tc>
          <w:tcPr>
            <w:tcW w:w="6430" w:type="dxa"/>
            <w:vAlign w:val="center"/>
          </w:tcPr>
          <w:p w14:paraId="0E3528C7">
            <w:pPr>
              <w:pStyle w:val="42"/>
              <w:pageBreakBefore w:val="0"/>
              <w:numPr>
                <w:ilvl w:val="0"/>
                <w:numId w:val="0"/>
              </w:numPr>
              <w:kinsoku/>
              <w:overflowPunct/>
              <w:topLinePunct w:val="0"/>
              <w:bidi w:val="0"/>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磋商响应文件截止时间：202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0时</w:t>
            </w:r>
          </w:p>
          <w:p w14:paraId="0DB45BE2">
            <w:pPr>
              <w:pStyle w:val="42"/>
              <w:pageBreakBefore w:val="0"/>
              <w:numPr>
                <w:ilvl w:val="0"/>
                <w:numId w:val="0"/>
              </w:numPr>
              <w:kinsoku/>
              <w:overflowPunct/>
              <w:topLinePunct w:val="0"/>
              <w:bidi w:val="0"/>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开标时间：202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0时</w:t>
            </w:r>
          </w:p>
          <w:p w14:paraId="1EF6A517">
            <w:pPr>
              <w:pStyle w:val="42"/>
              <w:pageBreakBefore w:val="0"/>
              <w:numPr>
                <w:ilvl w:val="0"/>
                <w:numId w:val="0"/>
              </w:numPr>
              <w:kinsoku/>
              <w:overflowPunct/>
              <w:topLinePunct w:val="0"/>
              <w:bidi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磋商/开标地点：宝鸡市公共资源交易中心五楼第</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开标室</w:t>
            </w:r>
          </w:p>
        </w:tc>
      </w:tr>
      <w:tr w14:paraId="616C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shd w:val="clear" w:color="auto" w:fill="auto"/>
            <w:vAlign w:val="center"/>
          </w:tcPr>
          <w:p w14:paraId="008A60D9">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2194" w:type="dxa"/>
            <w:shd w:val="clear" w:color="auto" w:fill="auto"/>
            <w:vAlign w:val="center"/>
          </w:tcPr>
          <w:p w14:paraId="5DA899C0">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评标办法</w:t>
            </w:r>
          </w:p>
        </w:tc>
        <w:tc>
          <w:tcPr>
            <w:tcW w:w="6430" w:type="dxa"/>
            <w:shd w:val="clear" w:color="auto" w:fill="auto"/>
            <w:vAlign w:val="center"/>
          </w:tcPr>
          <w:p w14:paraId="7B8F4136">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本</w:t>
            </w:r>
            <w:r>
              <w:rPr>
                <w:rFonts w:hint="eastAsia" w:ascii="宋体" w:hAnsi="宋体" w:eastAsia="宋体" w:cs="宋体"/>
                <w:bCs/>
                <w:sz w:val="24"/>
                <w:szCs w:val="24"/>
                <w:highlight w:val="none"/>
                <w:lang w:eastAsia="zh-CN"/>
              </w:rPr>
              <w:t>项目</w:t>
            </w:r>
            <w:r>
              <w:rPr>
                <w:rFonts w:hint="eastAsia" w:ascii="宋体" w:hAnsi="宋体" w:eastAsia="宋体" w:cs="宋体"/>
                <w:bCs/>
                <w:sz w:val="24"/>
                <w:szCs w:val="24"/>
                <w:highlight w:val="none"/>
              </w:rPr>
              <w:t>采用综合评分法</w:t>
            </w:r>
          </w:p>
        </w:tc>
      </w:tr>
      <w:tr w14:paraId="1A5F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577CD051">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2194" w:type="dxa"/>
            <w:vAlign w:val="center"/>
          </w:tcPr>
          <w:p w14:paraId="141311C5">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投标担保</w:t>
            </w:r>
          </w:p>
        </w:tc>
        <w:tc>
          <w:tcPr>
            <w:tcW w:w="6430" w:type="dxa"/>
            <w:vAlign w:val="center"/>
          </w:tcPr>
          <w:p w14:paraId="21A9EE88">
            <w:pPr>
              <w:pStyle w:val="9"/>
              <w:widowControl w:val="0"/>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担保方式(任选其一)</w:t>
            </w:r>
          </w:p>
          <w:p w14:paraId="7FFEBDED">
            <w:pPr>
              <w:pageBreakBefore w:val="0"/>
              <w:numPr>
                <w:ilvl w:val="0"/>
                <w:numId w:val="1"/>
              </w:numPr>
              <w:kinsoku/>
              <w:overflowPunct/>
              <w:topLinePunct w:val="0"/>
              <w:bidi w:val="0"/>
              <w:spacing w:line="360" w:lineRule="auto"/>
              <w:jc w:val="both"/>
              <w:textAlignment w:val="auto"/>
              <w:rPr>
                <w:rFonts w:hint="eastAsia" w:ascii="宋体" w:hAnsi="宋体" w:eastAsia="宋体" w:cs="宋体"/>
                <w:b w:val="0"/>
                <w:bCs/>
                <w:sz w:val="24"/>
                <w:szCs w:val="24"/>
                <w:highlight w:val="none"/>
                <w:lang w:eastAsia="zh-CN"/>
              </w:rPr>
            </w:pPr>
            <w:r>
              <w:rPr>
                <w:rFonts w:hint="eastAsia" w:ascii="宋体" w:hAnsi="宋体" w:eastAsia="宋体" w:cs="宋体"/>
                <w:b/>
                <w:bCs/>
                <w:sz w:val="24"/>
                <w:szCs w:val="24"/>
                <w:highlight w:val="none"/>
              </w:rPr>
              <w:t>投标保证金：</w:t>
            </w:r>
            <w:r>
              <w:rPr>
                <w:rFonts w:hint="eastAsia" w:ascii="宋体" w:hAnsi="宋体" w:eastAsia="宋体" w:cs="宋体"/>
                <w:b/>
                <w:bCs w:val="0"/>
                <w:sz w:val="24"/>
                <w:szCs w:val="24"/>
                <w:highlight w:val="none"/>
              </w:rPr>
              <w:t>人民币</w:t>
            </w:r>
            <w:r>
              <w:rPr>
                <w:rFonts w:hint="eastAsia" w:ascii="宋体" w:hAnsi="宋体" w:cs="宋体"/>
                <w:b/>
                <w:bCs w:val="0"/>
                <w:sz w:val="24"/>
                <w:szCs w:val="24"/>
                <w:highlight w:val="none"/>
                <w:lang w:val="en-US" w:eastAsia="zh-CN"/>
              </w:rPr>
              <w:t>贰万陆仟元整</w:t>
            </w:r>
            <w:r>
              <w:rPr>
                <w:rFonts w:hint="eastAsia" w:ascii="宋体" w:hAnsi="宋体" w:eastAsia="宋体" w:cs="宋体"/>
                <w:b/>
                <w:bCs w:val="0"/>
                <w:sz w:val="24"/>
                <w:szCs w:val="24"/>
                <w:highlight w:val="none"/>
              </w:rPr>
              <w:t>（¥</w:t>
            </w:r>
            <w:r>
              <w:rPr>
                <w:rFonts w:hint="eastAsia" w:ascii="宋体" w:hAnsi="宋体" w:cs="宋体"/>
                <w:b/>
                <w:bCs w:val="0"/>
                <w:sz w:val="24"/>
                <w:szCs w:val="24"/>
                <w:highlight w:val="none"/>
                <w:lang w:val="en-US" w:eastAsia="zh-CN"/>
              </w:rPr>
              <w:t>26000.00</w:t>
            </w:r>
            <w:r>
              <w:rPr>
                <w:rFonts w:hint="eastAsia" w:ascii="宋体" w:hAnsi="宋体" w:eastAsia="宋体" w:cs="宋体"/>
                <w:b/>
                <w:bCs w:val="0"/>
                <w:sz w:val="24"/>
                <w:szCs w:val="24"/>
                <w:highlight w:val="none"/>
              </w:rPr>
              <w:t>元）</w:t>
            </w:r>
            <w:r>
              <w:rPr>
                <w:rFonts w:hint="eastAsia" w:ascii="宋体" w:hAnsi="宋体" w:eastAsia="宋体" w:cs="宋体"/>
                <w:b w:val="0"/>
                <w:bCs/>
                <w:sz w:val="24"/>
                <w:szCs w:val="24"/>
                <w:highlight w:val="none"/>
                <w:lang w:eastAsia="zh-CN"/>
              </w:rPr>
              <w:t>，</w:t>
            </w:r>
          </w:p>
          <w:p w14:paraId="2C0E6397">
            <w:pPr>
              <w:pageBreakBefore w:val="0"/>
              <w:numPr>
                <w:ilvl w:val="0"/>
                <w:numId w:val="0"/>
              </w:numPr>
              <w:kinsoku/>
              <w:overflowPunct/>
              <w:topLinePunct w:val="0"/>
              <w:bidi w:val="0"/>
              <w:spacing w:line="360" w:lineRule="auto"/>
              <w:ind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供应商</w:t>
            </w:r>
            <w:r>
              <w:rPr>
                <w:rFonts w:hint="eastAsia" w:ascii="宋体" w:hAnsi="宋体" w:eastAsia="宋体" w:cs="宋体"/>
                <w:b w:val="0"/>
                <w:bCs/>
                <w:sz w:val="24"/>
                <w:szCs w:val="24"/>
                <w:highlight w:val="none"/>
              </w:rPr>
              <w:t>须按规定时间（</w:t>
            </w:r>
            <w:r>
              <w:rPr>
                <w:rFonts w:hint="eastAsia" w:ascii="宋体" w:hAnsi="宋体" w:eastAsia="宋体" w:cs="宋体"/>
                <w:b w:val="0"/>
                <w:bCs/>
                <w:sz w:val="24"/>
                <w:szCs w:val="24"/>
                <w:highlight w:val="none"/>
                <w:lang w:eastAsia="zh-CN"/>
              </w:rPr>
              <w:t>202</w:t>
            </w:r>
            <w:r>
              <w:rPr>
                <w:rFonts w:hint="eastAsia" w:ascii="宋体" w:hAnsi="宋体" w:eastAsia="宋体" w:cs="宋体"/>
                <w:b w:val="0"/>
                <w:bCs/>
                <w:sz w:val="24"/>
                <w:szCs w:val="24"/>
                <w:highlight w:val="none"/>
                <w:lang w:val="en-US" w:eastAsia="zh-CN"/>
              </w:rPr>
              <w:t>5</w:t>
            </w:r>
            <w:r>
              <w:rPr>
                <w:rFonts w:hint="eastAsia" w:ascii="宋体" w:hAnsi="宋体" w:eastAsia="宋体" w:cs="宋体"/>
                <w:b w:val="0"/>
                <w:bCs/>
                <w:sz w:val="24"/>
                <w:szCs w:val="24"/>
                <w:highlight w:val="none"/>
                <w:lang w:eastAsia="zh-CN"/>
              </w:rPr>
              <w:t>年</w:t>
            </w:r>
            <w:r>
              <w:rPr>
                <w:rFonts w:hint="eastAsia" w:ascii="宋体" w:hAnsi="宋体" w:eastAsia="宋体" w:cs="宋体"/>
                <w:b w:val="0"/>
                <w:bCs/>
                <w:sz w:val="24"/>
                <w:szCs w:val="24"/>
                <w:highlight w:val="none"/>
                <w:lang w:val="en-US" w:eastAsia="zh-CN"/>
              </w:rPr>
              <w:t>8</w:t>
            </w:r>
            <w:r>
              <w:rPr>
                <w:rFonts w:hint="eastAsia" w:ascii="宋体" w:hAnsi="宋体" w:eastAsia="宋体" w:cs="宋体"/>
                <w:b w:val="0"/>
                <w:bCs/>
                <w:sz w:val="24"/>
                <w:szCs w:val="24"/>
                <w:highlight w:val="none"/>
                <w:lang w:eastAsia="zh-CN"/>
              </w:rPr>
              <w:t>月</w:t>
            </w:r>
            <w:r>
              <w:rPr>
                <w:rFonts w:hint="eastAsia" w:ascii="宋体" w:hAnsi="宋体" w:eastAsia="宋体" w:cs="宋体"/>
                <w:b w:val="0"/>
                <w:bCs/>
                <w:sz w:val="24"/>
                <w:szCs w:val="24"/>
                <w:highlight w:val="none"/>
                <w:lang w:val="en-US" w:eastAsia="zh-CN"/>
              </w:rPr>
              <w:t>5</w:t>
            </w:r>
            <w:r>
              <w:rPr>
                <w:rFonts w:hint="eastAsia" w:ascii="宋体" w:hAnsi="宋体" w:eastAsia="宋体" w:cs="宋体"/>
                <w:b w:val="0"/>
                <w:bCs/>
                <w:sz w:val="24"/>
                <w:szCs w:val="24"/>
                <w:highlight w:val="none"/>
                <w:lang w:eastAsia="zh-CN"/>
              </w:rPr>
              <w:t>日</w:t>
            </w:r>
            <w:r>
              <w:rPr>
                <w:rFonts w:hint="eastAsia" w:ascii="宋体" w:hAnsi="宋体" w:eastAsia="宋体" w:cs="宋体"/>
                <w:b w:val="0"/>
                <w:bCs/>
                <w:sz w:val="24"/>
                <w:szCs w:val="24"/>
                <w:highlight w:val="none"/>
                <w:lang w:val="en-US" w:eastAsia="zh-CN"/>
              </w:rPr>
              <w:t>14</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0</w:t>
            </w:r>
            <w:r>
              <w:rPr>
                <w:rFonts w:hint="eastAsia" w:ascii="宋体" w:hAnsi="宋体" w:eastAsia="宋体" w:cs="宋体"/>
                <w:b w:val="0"/>
                <w:bCs/>
                <w:sz w:val="24"/>
                <w:szCs w:val="24"/>
                <w:highlight w:val="none"/>
                <w:lang w:eastAsia="zh-CN"/>
              </w:rPr>
              <w:t>0时</w:t>
            </w:r>
            <w:r>
              <w:rPr>
                <w:rFonts w:hint="eastAsia" w:ascii="宋体" w:hAnsi="宋体" w:eastAsia="宋体" w:cs="宋体"/>
                <w:b w:val="0"/>
                <w:bCs/>
                <w:sz w:val="24"/>
                <w:szCs w:val="24"/>
                <w:highlight w:val="none"/>
              </w:rPr>
              <w:t>前）向</w:t>
            </w:r>
            <w:r>
              <w:rPr>
                <w:rFonts w:hint="eastAsia" w:ascii="宋体" w:hAnsi="宋体" w:eastAsia="宋体" w:cs="宋体"/>
                <w:b w:val="0"/>
                <w:bCs/>
                <w:sz w:val="24"/>
                <w:szCs w:val="24"/>
                <w:highlight w:val="none"/>
                <w:lang w:eastAsia="zh-CN"/>
              </w:rPr>
              <w:t>宝鸡市公共资源交易中心</w:t>
            </w:r>
            <w:r>
              <w:rPr>
                <w:rFonts w:hint="eastAsia" w:ascii="宋体" w:hAnsi="宋体" w:eastAsia="宋体" w:cs="宋体"/>
                <w:b w:val="0"/>
                <w:bCs/>
                <w:sz w:val="24"/>
                <w:szCs w:val="24"/>
                <w:highlight w:val="none"/>
              </w:rPr>
              <w:t>提交投标</w:t>
            </w:r>
            <w:r>
              <w:rPr>
                <w:rFonts w:hint="eastAsia" w:ascii="宋体" w:hAnsi="宋体" w:eastAsia="宋体" w:cs="宋体"/>
                <w:b w:val="0"/>
                <w:bCs/>
                <w:sz w:val="24"/>
                <w:szCs w:val="24"/>
                <w:highlight w:val="none"/>
                <w:lang w:eastAsia="zh-CN"/>
              </w:rPr>
              <w:t>保证金</w:t>
            </w:r>
            <w:r>
              <w:rPr>
                <w:rFonts w:hint="eastAsia" w:ascii="宋体" w:hAnsi="宋体" w:eastAsia="宋体" w:cs="宋体"/>
                <w:b w:val="0"/>
                <w:bCs/>
                <w:sz w:val="24"/>
                <w:szCs w:val="24"/>
                <w:highlight w:val="none"/>
              </w:rPr>
              <w:t>。若宝鸡市公共资源交易中心未在投标保证金递交截止时间收到款项的，或未在</w:t>
            </w:r>
            <w:r>
              <w:rPr>
                <w:rFonts w:hint="eastAsia" w:ascii="宋体" w:hAnsi="宋体" w:eastAsia="宋体" w:cs="宋体"/>
                <w:b w:val="0"/>
                <w:bCs/>
                <w:sz w:val="24"/>
                <w:szCs w:val="24"/>
                <w:highlight w:val="none"/>
                <w:lang w:eastAsia="zh-CN"/>
              </w:rPr>
              <w:t>磋商响应文件</w:t>
            </w:r>
            <w:r>
              <w:rPr>
                <w:rFonts w:hint="eastAsia" w:ascii="宋体" w:hAnsi="宋体" w:eastAsia="宋体" w:cs="宋体"/>
                <w:b w:val="0"/>
                <w:bCs/>
                <w:sz w:val="24"/>
                <w:szCs w:val="24"/>
                <w:highlight w:val="none"/>
              </w:rPr>
              <w:t>中附投标保证金交纳凭证的（银行电子回执单），其投标</w:t>
            </w:r>
            <w:r>
              <w:rPr>
                <w:rFonts w:hint="eastAsia" w:ascii="宋体" w:hAnsi="宋体" w:eastAsia="宋体" w:cs="宋体"/>
                <w:b w:val="0"/>
                <w:bCs/>
                <w:sz w:val="24"/>
                <w:szCs w:val="24"/>
                <w:highlight w:val="none"/>
                <w:lang w:eastAsia="zh-CN"/>
              </w:rPr>
              <w:t>视为无效响应</w:t>
            </w:r>
            <w:r>
              <w:rPr>
                <w:rFonts w:hint="eastAsia" w:ascii="宋体" w:hAnsi="宋体" w:eastAsia="宋体" w:cs="宋体"/>
                <w:b w:val="0"/>
                <w:bCs/>
                <w:sz w:val="24"/>
                <w:szCs w:val="24"/>
                <w:highlight w:val="none"/>
              </w:rPr>
              <w:t>。</w:t>
            </w:r>
          </w:p>
          <w:p w14:paraId="14CB2E5C">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信用担保</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须在</w:t>
            </w:r>
            <w:r>
              <w:rPr>
                <w:rFonts w:hint="eastAsia" w:ascii="宋体" w:hAnsi="宋体" w:eastAsia="宋体" w:cs="宋体"/>
                <w:sz w:val="24"/>
                <w:szCs w:val="24"/>
                <w:highlight w:val="none"/>
                <w:lang w:eastAsia="zh-CN"/>
              </w:rPr>
              <w:t>开标前</w:t>
            </w:r>
            <w:r>
              <w:rPr>
                <w:rFonts w:hint="eastAsia" w:ascii="宋体" w:hAnsi="宋体" w:eastAsia="宋体" w:cs="宋体"/>
                <w:sz w:val="24"/>
                <w:szCs w:val="24"/>
                <w:highlight w:val="none"/>
                <w:lang w:val="en-US" w:eastAsia="zh-CN"/>
              </w:rPr>
              <w:t>2个工作日内备案担保函，供应商须向代理公司备案原件。</w:t>
            </w:r>
          </w:p>
          <w:p w14:paraId="7615A87A">
            <w:pPr>
              <w:pageBreakBefore w:val="0"/>
              <w:kinsoku/>
              <w:overflowPunct/>
              <w:topLinePunct w:val="0"/>
              <w:bidi w:val="0"/>
              <w:spacing w:line="360" w:lineRule="auto"/>
              <w:jc w:val="both"/>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 xml:space="preserve">   供应商未按要求时限备案担保函及未在</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中附</w:t>
            </w:r>
            <w:r>
              <w:rPr>
                <w:rFonts w:hint="eastAsia" w:ascii="宋体" w:hAnsi="宋体" w:eastAsia="宋体" w:cs="宋体"/>
                <w:sz w:val="24"/>
                <w:szCs w:val="24"/>
                <w:highlight w:val="none"/>
                <w:lang w:eastAsia="zh-CN"/>
              </w:rPr>
              <w:t>复印件</w:t>
            </w:r>
            <w:r>
              <w:rPr>
                <w:rFonts w:hint="eastAsia" w:ascii="宋体" w:hAnsi="宋体" w:eastAsia="宋体" w:cs="宋体"/>
                <w:sz w:val="24"/>
                <w:szCs w:val="24"/>
                <w:highlight w:val="none"/>
                <w:lang w:val="en-US" w:eastAsia="zh-CN"/>
              </w:rPr>
              <w:t>的，视为无效响应。如有疑问请及时联系：18291724231</w:t>
            </w:r>
          </w:p>
        </w:tc>
      </w:tr>
      <w:tr w14:paraId="1C26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0EB10BD4">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2194" w:type="dxa"/>
            <w:vAlign w:val="center"/>
          </w:tcPr>
          <w:p w14:paraId="4E6D1F71">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备选投标方案</w:t>
            </w:r>
          </w:p>
          <w:p w14:paraId="7807642C">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和报价</w:t>
            </w:r>
          </w:p>
        </w:tc>
        <w:tc>
          <w:tcPr>
            <w:tcW w:w="6430" w:type="dxa"/>
            <w:vAlign w:val="center"/>
          </w:tcPr>
          <w:p w14:paraId="0FA23EBA">
            <w:pPr>
              <w:pageBreakBefore w:val="0"/>
              <w:tabs>
                <w:tab w:val="left" w:pos="7013"/>
              </w:tabs>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不接受备选投标方案和多个报价。</w:t>
            </w:r>
          </w:p>
        </w:tc>
      </w:tr>
      <w:tr w14:paraId="2F28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5B46F5D1">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p>
        </w:tc>
        <w:tc>
          <w:tcPr>
            <w:tcW w:w="2194" w:type="dxa"/>
            <w:vAlign w:val="center"/>
          </w:tcPr>
          <w:p w14:paraId="28318EDA">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盖章签字</w:t>
            </w:r>
          </w:p>
        </w:tc>
        <w:tc>
          <w:tcPr>
            <w:tcW w:w="6430" w:type="dxa"/>
            <w:vAlign w:val="center"/>
          </w:tcPr>
          <w:p w14:paraId="155D34DB">
            <w:pPr>
              <w:pageBreakBefore w:val="0"/>
              <w:tabs>
                <w:tab w:val="left" w:pos="7013"/>
              </w:tabs>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必须按照</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的规定和要求盖章、签字。</w:t>
            </w:r>
          </w:p>
        </w:tc>
      </w:tr>
      <w:tr w14:paraId="05D6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71098D25">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2194" w:type="dxa"/>
            <w:vAlign w:val="center"/>
          </w:tcPr>
          <w:p w14:paraId="6DFE2D10">
            <w:pPr>
              <w:pageBreakBefore w:val="0"/>
              <w:kinsoku/>
              <w:overflowPunct/>
              <w:topLinePunct w:val="0"/>
              <w:bidi w:val="0"/>
              <w:spacing w:line="360" w:lineRule="auto"/>
              <w:jc w:val="left"/>
              <w:textAlignment w:val="auto"/>
              <w:rPr>
                <w:rFonts w:hint="eastAsia" w:ascii="宋体" w:hAnsi="宋体" w:eastAsia="宋体" w:cs="宋体"/>
                <w:spacing w:val="-30"/>
                <w:sz w:val="24"/>
                <w:szCs w:val="24"/>
                <w:highlight w:val="none"/>
                <w:lang w:eastAsia="zh-CN"/>
              </w:rPr>
            </w:pPr>
            <w:r>
              <w:rPr>
                <w:rFonts w:hint="eastAsia" w:ascii="宋体" w:hAnsi="宋体" w:eastAsia="宋体" w:cs="宋体"/>
                <w:sz w:val="24"/>
                <w:szCs w:val="24"/>
                <w:highlight w:val="none"/>
                <w:lang w:eastAsia="zh-CN"/>
              </w:rPr>
              <w:t>因项目存档需要，投标文件须准备纸制版文件</w:t>
            </w:r>
          </w:p>
        </w:tc>
        <w:tc>
          <w:tcPr>
            <w:tcW w:w="6430" w:type="dxa"/>
            <w:vAlign w:val="center"/>
          </w:tcPr>
          <w:p w14:paraId="54436B50">
            <w:pPr>
              <w:pageBreakBefore w:val="0"/>
              <w:kinsoku/>
              <w:overflowPunct/>
              <w:topLinePunct w:val="0"/>
              <w:bidi w:val="0"/>
              <w:spacing w:line="360" w:lineRule="auto"/>
              <w:jc w:val="both"/>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投标人在上传电子投标文件的同时，开标时还应密封提交纸质投标文件，以便在线上交易系统出现故障、电子化开评标无法进行时，适时启动纸质评标，以应急解决项目的及时交易问题，未能按照要求提交纸质版文件，导致无法正常评标，后果自负。</w:t>
            </w:r>
          </w:p>
          <w:p w14:paraId="165CF36E">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磋商响应文件</w:t>
            </w:r>
            <w:r>
              <w:rPr>
                <w:rFonts w:hint="eastAsia" w:ascii="宋体" w:hAnsi="宋体" w:eastAsia="宋体" w:cs="宋体"/>
                <w:sz w:val="24"/>
                <w:szCs w:val="24"/>
                <w:highlight w:val="none"/>
              </w:rPr>
              <w:t>一律采用书籍（胶装）方式装订。</w:t>
            </w:r>
          </w:p>
          <w:p w14:paraId="54B76DAC">
            <w:pPr>
              <w:pageBreakBefore w:val="0"/>
              <w:kinsoku/>
              <w:overflowPunct/>
              <w:topLinePunct w:val="0"/>
              <w:bidi w:val="0"/>
              <w:spacing w:line="360" w:lineRule="auto"/>
              <w:jc w:val="both"/>
              <w:textAlignment w:val="auto"/>
              <w:rPr>
                <w:rFonts w:hint="eastAsia" w:ascii="宋体" w:hAnsi="宋体" w:eastAsia="宋体" w:cs="宋体"/>
                <w:b/>
                <w:sz w:val="24"/>
                <w:szCs w:val="24"/>
                <w:highlight w:val="none"/>
                <w:u w:val="single"/>
              </w:rPr>
            </w:pPr>
            <w:r>
              <w:rPr>
                <w:rFonts w:hint="eastAsia" w:ascii="宋体" w:hAnsi="宋体" w:eastAsia="宋体" w:cs="宋体"/>
                <w:sz w:val="24"/>
                <w:szCs w:val="24"/>
                <w:highlight w:val="none"/>
                <w:lang w:eastAsia="zh-CN"/>
              </w:rPr>
              <w:t>磋商响应文件</w:t>
            </w:r>
            <w:r>
              <w:rPr>
                <w:rFonts w:hint="eastAsia" w:ascii="宋体" w:hAnsi="宋体" w:eastAsia="宋体" w:cs="宋体"/>
                <w:sz w:val="24"/>
                <w:szCs w:val="24"/>
                <w:highlight w:val="none"/>
              </w:rPr>
              <w:t>共</w:t>
            </w: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份，其中正本一份，副本</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份，电子文件（</w:t>
            </w:r>
            <w:r>
              <w:rPr>
                <w:rFonts w:hint="eastAsia" w:ascii="宋体" w:hAnsi="宋体" w:eastAsia="宋体" w:cs="宋体"/>
                <w:color w:val="000000" w:themeColor="text1"/>
                <w:sz w:val="24"/>
                <w:szCs w:val="21"/>
                <w:highlight w:val="none"/>
                <w14:textFill>
                  <w14:solidFill>
                    <w14:schemeClr w14:val="tx1"/>
                  </w14:solidFill>
                </w14:textFill>
              </w:rPr>
              <w:t>电子文件为</w:t>
            </w:r>
            <w:r>
              <w:rPr>
                <w:rFonts w:hint="eastAsia" w:ascii="宋体" w:hAnsi="宋体" w:eastAsia="宋体" w:cs="宋体"/>
                <w:color w:val="000000" w:themeColor="text1"/>
                <w:sz w:val="24"/>
                <w:szCs w:val="21"/>
                <w:highlight w:val="none"/>
                <w:lang w:eastAsia="zh-CN"/>
                <w14:textFill>
                  <w14:solidFill>
                    <w14:schemeClr w14:val="tx1"/>
                  </w14:solidFill>
                </w14:textFill>
              </w:rPr>
              <w:t>签字盖章的</w:t>
            </w:r>
            <w:r>
              <w:rPr>
                <w:rFonts w:hint="eastAsia" w:ascii="宋体" w:hAnsi="宋体" w:eastAsia="宋体" w:cs="宋体"/>
                <w:color w:val="000000" w:themeColor="text1"/>
                <w:sz w:val="24"/>
                <w:szCs w:val="21"/>
                <w:highlight w:val="none"/>
                <w14:textFill>
                  <w14:solidFill>
                    <w14:schemeClr w14:val="tx1"/>
                  </w14:solidFill>
                </w14:textFill>
              </w:rPr>
              <w:t>PDF格式</w:t>
            </w:r>
            <w:r>
              <w:rPr>
                <w:rFonts w:hint="eastAsia" w:ascii="宋体" w:hAnsi="宋体" w:eastAsia="宋体" w:cs="宋体"/>
                <w:color w:val="000000" w:themeColor="text1"/>
                <w:sz w:val="24"/>
                <w:szCs w:val="21"/>
                <w:highlight w:val="none"/>
                <w:lang w:eastAsia="zh-CN"/>
                <w14:textFill>
                  <w14:solidFill>
                    <w14:schemeClr w14:val="tx1"/>
                  </w14:solidFill>
                </w14:textFill>
              </w:rPr>
              <w:t>及</w:t>
            </w:r>
            <w:r>
              <w:rPr>
                <w:rFonts w:hint="eastAsia" w:ascii="宋体" w:hAnsi="宋体" w:eastAsia="宋体" w:cs="宋体"/>
                <w:color w:val="000000" w:themeColor="text1"/>
                <w:sz w:val="24"/>
                <w:szCs w:val="21"/>
                <w:highlight w:val="none"/>
                <w14:textFill>
                  <w14:solidFill>
                    <w14:schemeClr w14:val="tx1"/>
                  </w14:solidFill>
                </w14:textFill>
              </w:rPr>
              <w:t>WORD版格式</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sz w:val="24"/>
                <w:szCs w:val="24"/>
                <w:highlight w:val="none"/>
              </w:rPr>
              <w:t>U盘或移动硬盘，谢绝光盘）一份。正、副本分别各自装订成册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密封。正本须按规定和要求进行签字(或盖章），</w:t>
            </w:r>
            <w:r>
              <w:rPr>
                <w:rFonts w:hint="eastAsia" w:ascii="宋体" w:hAnsi="宋体" w:eastAsia="宋体" w:cs="宋体"/>
                <w:color w:val="000000"/>
                <w:sz w:val="24"/>
                <w:szCs w:val="24"/>
                <w:highlight w:val="none"/>
              </w:rPr>
              <w:t>并逐页</w:t>
            </w:r>
            <w:r>
              <w:rPr>
                <w:rFonts w:hint="eastAsia" w:ascii="宋体" w:hAnsi="宋体" w:eastAsia="宋体" w:cs="宋体"/>
                <w:sz w:val="24"/>
                <w:szCs w:val="24"/>
                <w:highlight w:val="none"/>
              </w:rPr>
              <w:t>加盖公章（鲜章），副</w:t>
            </w:r>
            <w:r>
              <w:rPr>
                <w:rFonts w:hint="eastAsia" w:ascii="宋体" w:hAnsi="宋体" w:eastAsia="宋体" w:cs="宋体"/>
                <w:color w:val="000000" w:themeColor="text1"/>
                <w:sz w:val="24"/>
                <w:szCs w:val="24"/>
                <w:highlight w:val="none"/>
                <w14:textFill>
                  <w14:solidFill>
                    <w14:schemeClr w14:val="tx1"/>
                  </w14:solidFill>
                </w14:textFill>
              </w:rPr>
              <w:t>本可以是正本的复印件，</w:t>
            </w:r>
            <w:r>
              <w:rPr>
                <w:rFonts w:hint="eastAsia" w:ascii="宋体" w:hAnsi="宋体" w:eastAsia="宋体" w:cs="宋体"/>
                <w:color w:val="000000" w:themeColor="text1"/>
                <w:sz w:val="24"/>
                <w:szCs w:val="21"/>
                <w:highlight w:val="none"/>
                <w14:textFill>
                  <w14:solidFill>
                    <w14:schemeClr w14:val="tx1"/>
                  </w14:solidFill>
                </w14:textFill>
              </w:rPr>
              <w:t>电子文件与正本保持一致（电子文件为</w:t>
            </w:r>
            <w:r>
              <w:rPr>
                <w:rFonts w:hint="eastAsia" w:ascii="宋体" w:hAnsi="宋体" w:eastAsia="宋体" w:cs="宋体"/>
                <w:color w:val="000000" w:themeColor="text1"/>
                <w:sz w:val="24"/>
                <w:szCs w:val="21"/>
                <w:highlight w:val="none"/>
                <w:lang w:eastAsia="zh-CN"/>
                <w14:textFill>
                  <w14:solidFill>
                    <w14:schemeClr w14:val="tx1"/>
                  </w14:solidFill>
                </w14:textFill>
              </w:rPr>
              <w:t>签字盖章的</w:t>
            </w:r>
            <w:r>
              <w:rPr>
                <w:rFonts w:hint="eastAsia" w:ascii="宋体" w:hAnsi="宋体" w:eastAsia="宋体" w:cs="宋体"/>
                <w:color w:val="000000" w:themeColor="text1"/>
                <w:sz w:val="24"/>
                <w:szCs w:val="21"/>
                <w:highlight w:val="none"/>
                <w14:textFill>
                  <w14:solidFill>
                    <w14:schemeClr w14:val="tx1"/>
                  </w14:solidFill>
                </w14:textFill>
              </w:rPr>
              <w:t>PDF格式</w:t>
            </w:r>
            <w:r>
              <w:rPr>
                <w:rFonts w:hint="eastAsia" w:ascii="宋体" w:hAnsi="宋体" w:eastAsia="宋体" w:cs="宋体"/>
                <w:color w:val="000000" w:themeColor="text1"/>
                <w:sz w:val="24"/>
                <w:szCs w:val="21"/>
                <w:highlight w:val="none"/>
                <w:lang w:eastAsia="zh-CN"/>
                <w14:textFill>
                  <w14:solidFill>
                    <w14:schemeClr w14:val="tx1"/>
                  </w14:solidFill>
                </w14:textFill>
              </w:rPr>
              <w:t>及</w:t>
            </w:r>
            <w:r>
              <w:rPr>
                <w:rFonts w:hint="eastAsia" w:ascii="宋体" w:hAnsi="宋体" w:eastAsia="宋体" w:cs="宋体"/>
                <w:color w:val="000000" w:themeColor="text1"/>
                <w:sz w:val="24"/>
                <w:szCs w:val="21"/>
                <w:highlight w:val="none"/>
                <w14:textFill>
                  <w14:solidFill>
                    <w14:schemeClr w14:val="tx1"/>
                  </w14:solidFill>
                </w14:textFill>
              </w:rPr>
              <w:t>WORD版格式）</w:t>
            </w:r>
            <w:r>
              <w:rPr>
                <w:rFonts w:hint="eastAsia" w:ascii="宋体" w:hAnsi="宋体" w:eastAsia="宋体" w:cs="宋体"/>
                <w:sz w:val="24"/>
                <w:szCs w:val="21"/>
                <w:highlight w:val="none"/>
              </w:rPr>
              <w:t>，具有同等法律效力。</w:t>
            </w:r>
            <w:r>
              <w:rPr>
                <w:rFonts w:hint="eastAsia" w:ascii="宋体" w:hAnsi="宋体" w:eastAsia="宋体" w:cs="宋体"/>
                <w:sz w:val="24"/>
                <w:szCs w:val="24"/>
                <w:highlight w:val="none"/>
              </w:rPr>
              <w:t>电子版放置“正本”密封袋内。</w:t>
            </w:r>
          </w:p>
        </w:tc>
      </w:tr>
      <w:tr w14:paraId="5CC8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39741225">
            <w:pPr>
              <w:pageBreakBefore w:val="0"/>
              <w:kinsoku/>
              <w:overflowPunct/>
              <w:topLinePunct w:val="0"/>
              <w:bidi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2194" w:type="dxa"/>
            <w:vAlign w:val="center"/>
          </w:tcPr>
          <w:p w14:paraId="5B50ECBE">
            <w:pPr>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评标办法及标准</w:t>
            </w:r>
          </w:p>
        </w:tc>
        <w:tc>
          <w:tcPr>
            <w:tcW w:w="6430" w:type="dxa"/>
            <w:vAlign w:val="center"/>
          </w:tcPr>
          <w:p w14:paraId="7D86AF3E">
            <w:pPr>
              <w:pStyle w:val="42"/>
              <w:pageBreakBefore w:val="0"/>
              <w:kinsoku/>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第二部分。</w:t>
            </w:r>
          </w:p>
        </w:tc>
      </w:tr>
      <w:tr w14:paraId="04C2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4018A2CA">
            <w:pPr>
              <w:pageBreakBefore w:val="0"/>
              <w:kinsoku/>
              <w:overflowPunct/>
              <w:topLinePunct w:val="0"/>
              <w:bidi w:val="0"/>
              <w:spacing w:line="360" w:lineRule="auto"/>
              <w:jc w:val="both"/>
              <w:textAlignment w:val="auto"/>
              <w:rPr>
                <w:rFonts w:hint="default" w:ascii="宋体" w:hAnsi="宋体" w:eastAsia="宋体" w:cs="宋体"/>
                <w:sz w:val="24"/>
                <w:szCs w:val="24"/>
                <w:highlight w:val="none"/>
                <w:lang w:val="en-US" w:eastAsia="zh-CN"/>
              </w:rPr>
            </w:pPr>
            <w:bookmarkStart w:id="10" w:name="_Toc27693"/>
            <w:r>
              <w:rPr>
                <w:rFonts w:hint="eastAsia" w:ascii="宋体" w:hAnsi="宋体" w:eastAsia="宋体" w:cs="宋体"/>
                <w:sz w:val="24"/>
                <w:szCs w:val="24"/>
                <w:highlight w:val="none"/>
                <w:lang w:val="en-US" w:eastAsia="zh-CN"/>
              </w:rPr>
              <w:t>22</w:t>
            </w:r>
          </w:p>
        </w:tc>
        <w:tc>
          <w:tcPr>
            <w:tcW w:w="2194" w:type="dxa"/>
            <w:vAlign w:val="center"/>
          </w:tcPr>
          <w:p w14:paraId="4F68749C">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是否为专门面向</w:t>
            </w:r>
            <w:r>
              <w:rPr>
                <w:rFonts w:hint="eastAsia" w:ascii="宋体" w:hAnsi="宋体" w:eastAsia="宋体" w:cs="宋体"/>
                <w:b/>
                <w:bCs/>
                <w:sz w:val="21"/>
                <w:szCs w:val="21"/>
                <w:highlight w:val="none"/>
                <w:lang w:val="en-US" w:eastAsia="zh-CN"/>
              </w:rPr>
              <w:t>中小</w:t>
            </w:r>
            <w:r>
              <w:rPr>
                <w:rFonts w:hint="eastAsia" w:ascii="宋体" w:hAnsi="宋体" w:eastAsia="宋体" w:cs="宋体"/>
                <w:b/>
                <w:bCs/>
                <w:sz w:val="21"/>
                <w:szCs w:val="21"/>
                <w:highlight w:val="none"/>
                <w:lang w:eastAsia="zh-CN"/>
              </w:rPr>
              <w:t>企业采购</w:t>
            </w:r>
          </w:p>
        </w:tc>
        <w:tc>
          <w:tcPr>
            <w:tcW w:w="6430" w:type="dxa"/>
            <w:vAlign w:val="center"/>
          </w:tcPr>
          <w:p w14:paraId="61AEC8DB">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w:t>
            </w:r>
          </w:p>
        </w:tc>
      </w:tr>
      <w:tr w14:paraId="041B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674BA077">
            <w:pPr>
              <w:pageBreakBefore w:val="0"/>
              <w:kinsoku/>
              <w:overflowPunct/>
              <w:topLinePunct w:val="0"/>
              <w:bidi w:val="0"/>
              <w:spacing w:line="360" w:lineRule="auto"/>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2194" w:type="dxa"/>
            <w:vAlign w:val="center"/>
          </w:tcPr>
          <w:p w14:paraId="38649CE6">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关于中小企业 </w:t>
            </w:r>
          </w:p>
          <w:p w14:paraId="6FB47875">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划分标准</w:t>
            </w:r>
          </w:p>
        </w:tc>
        <w:tc>
          <w:tcPr>
            <w:tcW w:w="6430" w:type="dxa"/>
            <w:vAlign w:val="center"/>
          </w:tcPr>
          <w:p w14:paraId="61D0D56E">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根据《工业和信息化部、国家统计局、国家发展和改革委员会、财政部关于印发中小企业划型标准规定的通知》（工信部联企业〔2011〕 300 号）对中小企业的划分标准的规定，本项目采购标的对应的所属行业划分为：</w:t>
            </w:r>
            <w:r>
              <w:rPr>
                <w:rFonts w:hint="default" w:ascii="宋体" w:hAnsi="宋体" w:eastAsia="宋体" w:cs="宋体"/>
                <w:b/>
                <w:bCs/>
                <w:color w:val="auto"/>
                <w:sz w:val="24"/>
                <w:szCs w:val="24"/>
                <w:highlight w:val="none"/>
                <w:lang w:val="en-US" w:eastAsia="zh-CN"/>
              </w:rPr>
              <w:t>建筑业</w:t>
            </w:r>
            <w:r>
              <w:rPr>
                <w:rFonts w:hint="default" w:ascii="宋体" w:hAnsi="宋体" w:eastAsia="宋体" w:cs="宋体"/>
                <w:color w:val="auto"/>
                <w:sz w:val="24"/>
                <w:szCs w:val="24"/>
                <w:highlight w:val="none"/>
                <w:lang w:val="en-US" w:eastAsia="zh-CN"/>
              </w:rPr>
              <w:t>。</w:t>
            </w:r>
          </w:p>
        </w:tc>
      </w:tr>
      <w:tr w14:paraId="747E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1D9943BE">
            <w:pPr>
              <w:pageBreakBefore w:val="0"/>
              <w:kinsoku/>
              <w:overflowPunct/>
              <w:topLinePunct w:val="0"/>
              <w:bidi w:val="0"/>
              <w:spacing w:line="360" w:lineRule="auto"/>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w:t>
            </w:r>
          </w:p>
        </w:tc>
        <w:tc>
          <w:tcPr>
            <w:tcW w:w="2194" w:type="dxa"/>
            <w:vAlign w:val="center"/>
          </w:tcPr>
          <w:p w14:paraId="37BE0447">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特别提醒</w:t>
            </w:r>
          </w:p>
        </w:tc>
        <w:tc>
          <w:tcPr>
            <w:tcW w:w="6430" w:type="dxa"/>
            <w:vAlign w:val="center"/>
          </w:tcPr>
          <w:p w14:paraId="5F0E1437">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本项目为“全流程电子化”“不见面”采购模式，实行线上电子投标方式，各供应商须自行在网上下载磋商文件、缴纳磋商保证金、递交磋商文件、在线参与磋商过程，并登录全国公共资源交易平台（陕西省宝鸡市）宝鸡市公共资源交易中心（http://bj.sxggzyjy.cn/）-服务指南-下载专区-下载“政府采购电子交易-不见面系统操作手册-投标人”，并下载政府采购电子标书制作工具，按照流程制作电子标书并在规定的投标截止时前上传电子投标文件；建议使用IE11浏览器或360极速浏览器兼容模式，同时必须安装陕西省公共资源CA驱动，供应商须自备配音耳麦，确保磋商及报价环节能顺利进行；为了保证远程不见面开标顺利进行，投标人需使用配备相关设备的电脑提前一小时登录网络开标大厅签到。因投标人自身设施故障或自身原因导致无法完成投标的，由投标人自行承担后果。</w:t>
            </w:r>
          </w:p>
          <w:p w14:paraId="2CF06A4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温馨提示：因图纸较大，系统无法上传。请各投标单位报名后及时电话联系，若因投标单位自身问题，没有按时获取图纸而导致无法参与本次招标，后果自负。联系电话：18291724231；QQ邮箱：2133632860@qq.com。</w:t>
            </w:r>
            <w:bookmarkStart w:id="739" w:name="_GoBack"/>
            <w:bookmarkEnd w:id="739"/>
          </w:p>
        </w:tc>
      </w:tr>
    </w:tbl>
    <w:p w14:paraId="1879D47C">
      <w:pPr>
        <w:pageBreakBefore w:val="0"/>
        <w:kinsoku/>
        <w:wordWrap/>
        <w:overflowPunct/>
        <w:topLinePunct w:val="0"/>
        <w:bidi w:val="0"/>
        <w:spacing w:line="360" w:lineRule="auto"/>
        <w:ind w:firstLine="482" w:firstLineChars="20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二、项目说明</w:t>
      </w:r>
      <w:bookmarkEnd w:id="10"/>
    </w:p>
    <w:p w14:paraId="768DA4FA">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本项目说明详见供应商须知前附表。</w:t>
      </w:r>
      <w:bookmarkStart w:id="11" w:name="_Toc458617455"/>
      <w:bookmarkEnd w:id="11"/>
      <w:bookmarkStart w:id="12" w:name="_Toc458617783"/>
      <w:bookmarkEnd w:id="12"/>
      <w:bookmarkStart w:id="13" w:name="_Toc458617732"/>
      <w:bookmarkEnd w:id="13"/>
    </w:p>
    <w:p w14:paraId="2DDAE1DD">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本项目按照《</w:t>
      </w:r>
      <w:r>
        <w:rPr>
          <w:rFonts w:hint="eastAsia" w:ascii="宋体" w:hAnsi="宋体" w:eastAsia="宋体" w:cs="宋体"/>
          <w:sz w:val="24"/>
          <w:szCs w:val="24"/>
          <w:lang w:eastAsia="zh-CN"/>
        </w:rPr>
        <w:t>中华人民共和国政府采购法</w:t>
      </w:r>
      <w:r>
        <w:rPr>
          <w:rFonts w:hint="eastAsia" w:ascii="宋体" w:hAnsi="宋体" w:eastAsia="宋体" w:cs="宋体"/>
          <w:sz w:val="24"/>
          <w:szCs w:val="24"/>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《政府采购竞争性磋商采购方式管理暂行办法》（财库[2014]214号）等</w:t>
      </w:r>
      <w:r>
        <w:rPr>
          <w:rFonts w:hint="eastAsia" w:ascii="宋体" w:hAnsi="宋体" w:eastAsia="宋体" w:cs="宋体"/>
          <w:sz w:val="24"/>
          <w:szCs w:val="24"/>
        </w:rPr>
        <w:t>有关法律、行政法规和部门规章，通过竞争性磋商方式择优选定成交供应商。</w:t>
      </w:r>
    </w:p>
    <w:p w14:paraId="55EA7C08">
      <w:pPr>
        <w:pageBreakBefore w:val="0"/>
        <w:kinsoku/>
        <w:wordWrap/>
        <w:overflowPunct/>
        <w:topLinePunct w:val="0"/>
        <w:bidi w:val="0"/>
        <w:spacing w:line="360" w:lineRule="auto"/>
        <w:ind w:firstLine="482" w:firstLineChars="200"/>
        <w:textAlignment w:val="auto"/>
        <w:outlineLvl w:val="1"/>
        <w:rPr>
          <w:rFonts w:hint="eastAsia" w:ascii="宋体" w:hAnsi="宋体" w:eastAsia="宋体" w:cs="宋体"/>
          <w:b/>
          <w:bCs/>
          <w:sz w:val="24"/>
          <w:szCs w:val="24"/>
        </w:rPr>
      </w:pPr>
      <w:bookmarkStart w:id="14" w:name="_Toc21554"/>
      <w:bookmarkEnd w:id="14"/>
      <w:bookmarkStart w:id="15" w:name="_Toc458617733"/>
      <w:bookmarkEnd w:id="15"/>
      <w:bookmarkStart w:id="16" w:name="_Toc458617784"/>
      <w:bookmarkEnd w:id="16"/>
      <w:bookmarkStart w:id="17" w:name="_Toc458617456"/>
      <w:bookmarkEnd w:id="17"/>
      <w:bookmarkStart w:id="18" w:name="_Toc25718"/>
      <w:r>
        <w:rPr>
          <w:rFonts w:hint="eastAsia" w:ascii="宋体" w:hAnsi="宋体" w:eastAsia="宋体" w:cs="宋体"/>
          <w:b/>
          <w:bCs/>
          <w:sz w:val="24"/>
          <w:szCs w:val="24"/>
        </w:rPr>
        <w:t>三、磋商文件</w:t>
      </w:r>
      <w:bookmarkEnd w:id="18"/>
    </w:p>
    <w:p w14:paraId="1C1BB387">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磋商文件购买：供应商须经过正常渠道购买磋商文件，且供应商名称与登记领取磋商文件的单位名称一致，否则将作为无效响应处理。</w:t>
      </w:r>
    </w:p>
    <w:p w14:paraId="19A084C3">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磋商文件的组成：包括目录中所列的前五部分。</w:t>
      </w:r>
    </w:p>
    <w:p w14:paraId="0BB2DF1F">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供应商应认真审阅和充分理解磋商文件所有的事项、格式、条款和规范要求等，在磋商响应文件中对磋商文件的各方面都做出实质性的响应，按照磋商文件的要求提交全部资料。</w:t>
      </w:r>
    </w:p>
    <w:p w14:paraId="01116824">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竞争性磋商文件的澄清或修改：</w:t>
      </w:r>
    </w:p>
    <w:p w14:paraId="1798D9E4">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4-1提交磋商响应文件截止时间前，</w:t>
      </w:r>
      <w:r>
        <w:rPr>
          <w:rFonts w:hint="eastAsia" w:ascii="宋体" w:hAnsi="宋体" w:eastAsia="宋体" w:cs="宋体"/>
          <w:sz w:val="24"/>
          <w:szCs w:val="24"/>
          <w:lang w:eastAsia="zh-CN"/>
        </w:rPr>
        <w:t>采购人</w:t>
      </w:r>
      <w:r>
        <w:rPr>
          <w:rFonts w:hint="eastAsia" w:ascii="宋体" w:hAnsi="宋体" w:eastAsia="宋体" w:cs="宋体"/>
          <w:sz w:val="24"/>
          <w:szCs w:val="24"/>
        </w:rPr>
        <w:t>、代理机构可以以书面形式对竞争性磋商文件进行必要的澄清或修改，其内容均为竞争性磋商文件的组成部分，并对</w:t>
      </w:r>
      <w:r>
        <w:rPr>
          <w:rFonts w:hint="eastAsia" w:ascii="宋体" w:hAnsi="宋体" w:eastAsia="宋体" w:cs="宋体"/>
          <w:sz w:val="24"/>
          <w:szCs w:val="24"/>
          <w:lang w:eastAsia="zh-CN"/>
        </w:rPr>
        <w:t>采购人</w:t>
      </w:r>
      <w:r>
        <w:rPr>
          <w:rFonts w:hint="eastAsia" w:ascii="宋体" w:hAnsi="宋体" w:eastAsia="宋体" w:cs="宋体"/>
          <w:sz w:val="24"/>
          <w:szCs w:val="24"/>
        </w:rPr>
        <w:t>及供应商起约束作用。澄清或修改的内容可能影响响应文件编制的，都将于提交磋商响应文件截止时间5日前以书面形式发送给所有参加磋商的供应商；不足5日的，</w:t>
      </w:r>
      <w:r>
        <w:rPr>
          <w:rFonts w:hint="eastAsia" w:ascii="宋体" w:hAnsi="宋体" w:eastAsia="宋体" w:cs="宋体"/>
          <w:sz w:val="24"/>
          <w:szCs w:val="24"/>
          <w:lang w:eastAsia="zh-CN"/>
        </w:rPr>
        <w:t>采购人</w:t>
      </w:r>
      <w:r>
        <w:rPr>
          <w:rFonts w:hint="eastAsia" w:ascii="宋体" w:hAnsi="宋体" w:eastAsia="宋体" w:cs="宋体"/>
          <w:sz w:val="24"/>
          <w:szCs w:val="24"/>
        </w:rPr>
        <w:t>、代理机构顺延递交竞争性磋商响应文件的截止时间。</w:t>
      </w:r>
    </w:p>
    <w:p w14:paraId="2C918503">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4-2供应商对竞争性磋商文件如有疑问要求澄清，或认为有必要与</w:t>
      </w:r>
      <w:r>
        <w:rPr>
          <w:rFonts w:hint="eastAsia" w:ascii="宋体" w:hAnsi="宋体" w:eastAsia="宋体" w:cs="宋体"/>
          <w:sz w:val="24"/>
          <w:szCs w:val="24"/>
          <w:lang w:eastAsia="zh-CN"/>
        </w:rPr>
        <w:t>采购人</w:t>
      </w:r>
      <w:r>
        <w:rPr>
          <w:rFonts w:hint="eastAsia" w:ascii="宋体" w:hAnsi="宋体" w:eastAsia="宋体" w:cs="宋体"/>
          <w:sz w:val="24"/>
          <w:szCs w:val="24"/>
        </w:rPr>
        <w:t>进行技术交流，应于提交磋商响应文件截止时间2日前以书面形式通知代理机构，代理机构以书面形式予以答复。在此之后提出的无效,因此带来的一切不利后果由供应商自负。</w:t>
      </w:r>
    </w:p>
    <w:p w14:paraId="020CAB58">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748989C9">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4-4在磋商截止时间前根据采购工作进展实际情况，</w:t>
      </w:r>
      <w:r>
        <w:rPr>
          <w:rFonts w:hint="eastAsia" w:ascii="宋体" w:hAnsi="宋体" w:eastAsia="宋体" w:cs="宋体"/>
          <w:sz w:val="24"/>
          <w:szCs w:val="24"/>
          <w:lang w:eastAsia="zh-CN"/>
        </w:rPr>
        <w:t>采购人</w:t>
      </w:r>
      <w:r>
        <w:rPr>
          <w:rFonts w:hint="eastAsia" w:ascii="宋体" w:hAnsi="宋体" w:eastAsia="宋体" w:cs="宋体"/>
          <w:sz w:val="24"/>
          <w:szCs w:val="24"/>
        </w:rPr>
        <w:t>可酌情延长递交竞争性磋商响应文件的截止时间，若延长将另行以书面形式通知各供应商或在原信息发布媒体上发布变更公告。代理机构和供应商的权利和义务将受到新的截止期的约束。</w:t>
      </w:r>
    </w:p>
    <w:p w14:paraId="6368D27A">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供应商必须从代理机构购买竞争性磋商文件，供应商自行转让或复制竞争性磋商文件视为无效。竞争性磋商文件售后不退，仅作为本次磋商使用。</w:t>
      </w:r>
    </w:p>
    <w:p w14:paraId="36021587">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竞争性磋商文件的解释权归代理机构，如发现竞争性磋商文件内容与现行法律法规不相符的情况，以现行法律法规为准。</w:t>
      </w:r>
    </w:p>
    <w:p w14:paraId="33F51C99">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现场勘查、标前答疑会：见须知前附表。</w:t>
      </w:r>
    </w:p>
    <w:p w14:paraId="755C57A3">
      <w:pPr>
        <w:pageBreakBefore w:val="0"/>
        <w:kinsoku/>
        <w:wordWrap/>
        <w:overflowPunct/>
        <w:topLinePunct w:val="0"/>
        <w:bidi w:val="0"/>
        <w:spacing w:line="360" w:lineRule="auto"/>
        <w:ind w:firstLine="482" w:firstLineChars="200"/>
        <w:textAlignment w:val="auto"/>
        <w:outlineLvl w:val="1"/>
        <w:rPr>
          <w:rFonts w:hint="eastAsia" w:ascii="宋体" w:hAnsi="宋体" w:eastAsia="宋体" w:cs="宋体"/>
          <w:b/>
          <w:bCs/>
          <w:sz w:val="24"/>
          <w:szCs w:val="24"/>
        </w:rPr>
      </w:pPr>
      <w:bookmarkStart w:id="19" w:name="_Toc30706"/>
      <w:bookmarkEnd w:id="19"/>
      <w:bookmarkStart w:id="20" w:name="_Toc32223"/>
      <w:r>
        <w:rPr>
          <w:rFonts w:hint="eastAsia" w:ascii="宋体" w:hAnsi="宋体" w:eastAsia="宋体" w:cs="宋体"/>
          <w:b/>
          <w:bCs/>
          <w:sz w:val="24"/>
          <w:szCs w:val="24"/>
        </w:rPr>
        <w:t>四、磋商响应文件</w:t>
      </w:r>
      <w:bookmarkEnd w:id="20"/>
    </w:p>
    <w:p w14:paraId="1A4A03A7">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供应商资格要求</w:t>
      </w:r>
    </w:p>
    <w:p w14:paraId="3EBB2F35">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具有独立承担民事责任能力的法人、其他组织或自然人，并出具合法有效的统一社会信用代码的营业执照或事业单位法人证书等国家规定的相关证明，自然人参与的提供其身份证明。</w:t>
      </w:r>
    </w:p>
    <w:p w14:paraId="55468941">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-2财务状况：</w:t>
      </w:r>
      <w:r>
        <w:rPr>
          <w:rFonts w:hint="eastAsia" w:ascii="宋体" w:hAnsi="宋体" w:eastAsia="宋体" w:cs="宋体"/>
          <w:i w:val="0"/>
          <w:iCs w:val="0"/>
          <w:caps w:val="0"/>
          <w:color w:val="auto"/>
          <w:spacing w:val="0"/>
          <w:sz w:val="24"/>
          <w:szCs w:val="24"/>
          <w:shd w:val="clear" w:fill="FFFFFF"/>
          <w:lang w:eastAsia="zh-CN"/>
        </w:rPr>
        <w:t>提供202</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eastAsia="zh-CN"/>
        </w:rPr>
        <w:t>年度或202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eastAsia="zh-CN"/>
        </w:rPr>
        <w:t>年度的财务审计报告（成立时间至提交投标文件截止时间不足一年的可提供成立后任意时段的资产负债表），或开标前半年内其基本存款账户开户银行出具的资信证明。</w:t>
      </w:r>
    </w:p>
    <w:p w14:paraId="20642803">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-3完税证明：</w:t>
      </w:r>
      <w:r>
        <w:rPr>
          <w:rFonts w:hint="eastAsia" w:ascii="宋体" w:hAnsi="宋体" w:eastAsia="宋体" w:cs="宋体"/>
          <w:i w:val="0"/>
          <w:iCs w:val="0"/>
          <w:caps w:val="0"/>
          <w:color w:val="auto"/>
          <w:spacing w:val="0"/>
          <w:sz w:val="24"/>
          <w:szCs w:val="24"/>
          <w:shd w:val="clear" w:fill="FFFFFF"/>
          <w:lang w:eastAsia="zh-CN"/>
        </w:rPr>
        <w:t>提供2024年7月至今已缴纳的至少三个月的纳税证明或完税证明，依法免税的单位应提供相关证明材料</w:t>
      </w:r>
      <w:r>
        <w:rPr>
          <w:rFonts w:hint="eastAsia" w:ascii="宋体" w:hAnsi="宋体" w:eastAsia="宋体" w:cs="宋体"/>
          <w:i w:val="0"/>
          <w:iCs w:val="0"/>
          <w:caps w:val="0"/>
          <w:color w:val="auto"/>
          <w:spacing w:val="0"/>
          <w:sz w:val="24"/>
          <w:szCs w:val="24"/>
          <w:shd w:val="clear" w:fill="FFFFFF"/>
        </w:rPr>
        <w:t>。</w:t>
      </w:r>
    </w:p>
    <w:p w14:paraId="32FCC191">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-4社保缴纳情况：</w:t>
      </w:r>
      <w:r>
        <w:rPr>
          <w:rFonts w:hint="eastAsia" w:ascii="宋体" w:hAnsi="宋体" w:eastAsia="宋体" w:cs="宋体"/>
          <w:i w:val="0"/>
          <w:iCs w:val="0"/>
          <w:caps w:val="0"/>
          <w:color w:val="auto"/>
          <w:spacing w:val="0"/>
          <w:sz w:val="24"/>
          <w:szCs w:val="24"/>
          <w:shd w:val="clear" w:fill="FFFFFF"/>
          <w:lang w:eastAsia="zh-CN"/>
        </w:rPr>
        <w:t>提供2024年7月至今已缴存的至少三个月的社会保障资金缴存单据或社保机构开具的社会保险参保缴费情况证明，依法不需要缴纳社会保障资金的单位应提供相关证明材料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t>。</w:t>
      </w:r>
    </w:p>
    <w:p w14:paraId="1C31664E">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-5参加本次政府采购活动前三年内，在经营活动中没有重大违法记录声明。</w:t>
      </w:r>
    </w:p>
    <w:p w14:paraId="6FC6D3FB">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-6提供具有履行合同所必需的设备和专业技术能力的承诺函（格式自拟）。</w:t>
      </w:r>
    </w:p>
    <w:p w14:paraId="3B00BFFC">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-7法定代表人授权书及被授权人身份证</w:t>
      </w:r>
      <w:r>
        <w:rPr>
          <w:rFonts w:hint="eastAsia" w:ascii="宋体" w:hAnsi="宋体" w:eastAsia="宋体" w:cs="宋体"/>
          <w:i w:val="0"/>
          <w:iCs w:val="0"/>
          <w:caps w:val="0"/>
          <w:color w:val="auto"/>
          <w:spacing w:val="0"/>
          <w:sz w:val="24"/>
          <w:szCs w:val="24"/>
          <w:shd w:val="clear" w:fill="FFFFFF"/>
          <w:lang w:eastAsia="zh-CN"/>
        </w:rPr>
        <w:t>复印件加盖公章</w:t>
      </w:r>
      <w:r>
        <w:rPr>
          <w:rFonts w:hint="eastAsia" w:ascii="宋体" w:hAnsi="宋体" w:eastAsia="宋体" w:cs="宋体"/>
          <w:i w:val="0"/>
          <w:iCs w:val="0"/>
          <w:caps w:val="0"/>
          <w:color w:val="auto"/>
          <w:spacing w:val="0"/>
          <w:sz w:val="24"/>
          <w:szCs w:val="24"/>
          <w:shd w:val="clear" w:fill="FFFFFF"/>
        </w:rPr>
        <w:t>（法定代表人直接参加投标须出具法定代表人证明书及法定代表人身份证</w:t>
      </w:r>
      <w:r>
        <w:rPr>
          <w:rFonts w:hint="eastAsia" w:ascii="宋体" w:hAnsi="宋体" w:eastAsia="宋体" w:cs="宋体"/>
          <w:i w:val="0"/>
          <w:iCs w:val="0"/>
          <w:caps w:val="0"/>
          <w:color w:val="auto"/>
          <w:spacing w:val="0"/>
          <w:sz w:val="24"/>
          <w:szCs w:val="24"/>
          <w:shd w:val="clear" w:fill="FFFFFF"/>
          <w:lang w:eastAsia="zh-CN"/>
        </w:rPr>
        <w:t>复印件加盖公章</w:t>
      </w:r>
      <w:r>
        <w:rPr>
          <w:rFonts w:hint="eastAsia" w:ascii="宋体" w:hAnsi="宋体" w:eastAsia="宋体" w:cs="宋体"/>
          <w:i w:val="0"/>
          <w:iCs w:val="0"/>
          <w:caps w:val="0"/>
          <w:color w:val="auto"/>
          <w:spacing w:val="0"/>
          <w:sz w:val="24"/>
          <w:szCs w:val="24"/>
          <w:shd w:val="clear" w:fill="FFFFFF"/>
        </w:rPr>
        <w:t>）。</w:t>
      </w:r>
    </w:p>
    <w:p w14:paraId="2879BEB7">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-8</w:t>
      </w:r>
      <w:r>
        <w:rPr>
          <w:rFonts w:hint="eastAsia" w:ascii="宋体" w:hAnsi="宋体" w:eastAsia="宋体" w:cs="宋体"/>
          <w:i w:val="0"/>
          <w:iCs w:val="0"/>
          <w:caps w:val="0"/>
          <w:color w:val="auto"/>
          <w:spacing w:val="0"/>
          <w:sz w:val="24"/>
          <w:szCs w:val="24"/>
          <w:shd w:val="clear" w:fill="FFFFFF"/>
          <w:lang w:eastAsia="zh-CN"/>
        </w:rPr>
        <w:t>供应商不得为“信用中国”网站（www.creditchina.gov.cn）中重大税收违法失信主体的供应商；不得为“中国执行信息公开网”网站（court.gov.cn）中失信被执行人；不得为中国政府采购网（www.ccgp.gov.cn）政府采购严重违法失信行为记录名单中被财政部门禁止参加政府采购活动的供应商</w:t>
      </w:r>
      <w:r>
        <w:rPr>
          <w:rFonts w:hint="eastAsia" w:ascii="宋体" w:hAnsi="宋体" w:eastAsia="宋体" w:cs="宋体"/>
          <w:i w:val="0"/>
          <w:iCs w:val="0"/>
          <w:caps w:val="0"/>
          <w:color w:val="auto"/>
          <w:spacing w:val="0"/>
          <w:sz w:val="24"/>
          <w:szCs w:val="24"/>
          <w:shd w:val="clear" w:fill="FFFFFF"/>
        </w:rPr>
        <w:t>。</w:t>
      </w:r>
    </w:p>
    <w:p w14:paraId="5B907B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1-9</w:t>
      </w:r>
      <w:r>
        <w:rPr>
          <w:rFonts w:hint="eastAsia" w:ascii="宋体" w:hAnsi="宋体" w:eastAsia="宋体" w:cs="宋体"/>
          <w:i w:val="0"/>
          <w:iCs w:val="0"/>
          <w:caps w:val="0"/>
          <w:color w:val="auto"/>
          <w:spacing w:val="0"/>
          <w:sz w:val="24"/>
          <w:szCs w:val="24"/>
          <w:highlight w:val="none"/>
          <w:shd w:val="clear" w:fill="FFFFFF"/>
          <w:lang w:eastAsia="zh-CN"/>
        </w:rPr>
        <w:t>供应商须具备建设行政主管部门核发的建筑工程施工总承包三级（含三级）及以上资质， 并且具备有效的安全生产许可证。</w:t>
      </w:r>
    </w:p>
    <w:p w14:paraId="5EF166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1-10</w:t>
      </w:r>
      <w:r>
        <w:rPr>
          <w:rFonts w:hint="eastAsia" w:ascii="宋体" w:hAnsi="宋体" w:eastAsia="宋体" w:cs="宋体"/>
          <w:i w:val="0"/>
          <w:iCs w:val="0"/>
          <w:caps w:val="0"/>
          <w:color w:val="auto"/>
          <w:spacing w:val="0"/>
          <w:sz w:val="24"/>
          <w:szCs w:val="24"/>
          <w:highlight w:val="none"/>
          <w:shd w:val="clear" w:fill="FFFFFF"/>
          <w:lang w:eastAsia="zh-CN"/>
        </w:rPr>
        <w:t xml:space="preserve">拟派项目经理须具备建筑工程专业注册二级（含二级）及以上注册建造师执业资格证， 提供有效的安全生产考核 B证，在本单位注册且无在建证明（提供无在建项目承诺书）。 </w:t>
      </w:r>
    </w:p>
    <w:p w14:paraId="5CEC91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11投标担保：</w:t>
      </w:r>
      <w:r>
        <w:rPr>
          <w:rFonts w:hint="eastAsia" w:ascii="宋体" w:hAnsi="宋体" w:eastAsia="宋体" w:cs="宋体"/>
          <w:i w:val="0"/>
          <w:iCs w:val="0"/>
          <w:caps w:val="0"/>
          <w:color w:val="auto"/>
          <w:spacing w:val="0"/>
          <w:sz w:val="24"/>
          <w:szCs w:val="24"/>
          <w:highlight w:val="none"/>
          <w:shd w:val="clear" w:fill="FFFFFF"/>
        </w:rPr>
        <w:t>投标保证金交纳凭证银行汇（存）款回执单（复印件须加盖供应商公章）或投标担保函。</w:t>
      </w:r>
    </w:p>
    <w:p w14:paraId="6F983E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lang w:eastAsia="zh-CN"/>
        </w:rPr>
        <w:t>本项目为专门面向中小企业（提供声明）</w:t>
      </w:r>
      <w:r>
        <w:rPr>
          <w:rFonts w:hint="eastAsia" w:ascii="宋体" w:hAnsi="宋体" w:eastAsia="宋体" w:cs="宋体"/>
          <w:i w:val="0"/>
          <w:iCs w:val="0"/>
          <w:caps w:val="0"/>
          <w:color w:val="auto"/>
          <w:spacing w:val="0"/>
          <w:sz w:val="24"/>
          <w:szCs w:val="24"/>
          <w:highlight w:val="none"/>
          <w:shd w:val="clear" w:fill="FFFFFF"/>
        </w:rPr>
        <w:t>。</w:t>
      </w:r>
    </w:p>
    <w:p w14:paraId="1E4627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eastAsia="zh-CN"/>
        </w:rPr>
        <w:t>本项目不接受联合体磋商（提供声明）</w:t>
      </w:r>
      <w:r>
        <w:rPr>
          <w:rFonts w:hint="eastAsia" w:ascii="宋体" w:hAnsi="宋体" w:eastAsia="宋体" w:cs="宋体"/>
          <w:i w:val="0"/>
          <w:iCs w:val="0"/>
          <w:caps w:val="0"/>
          <w:color w:val="auto"/>
          <w:spacing w:val="0"/>
          <w:sz w:val="24"/>
          <w:szCs w:val="24"/>
          <w:shd w:val="clear" w:fill="FFFFFF"/>
        </w:rPr>
        <w:t>。</w:t>
      </w:r>
    </w:p>
    <w:p w14:paraId="26FDFABA">
      <w:pPr>
        <w:pageBreakBefore w:val="0"/>
        <w:kinsoku/>
        <w:wordWrap/>
        <w:overflowPunct/>
        <w:topLinePunct w:val="0"/>
        <w:bidi w:val="0"/>
        <w:spacing w:line="360" w:lineRule="auto"/>
        <w:ind w:firstLine="560"/>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val="en-US" w:eastAsia="zh-CN"/>
        </w:rPr>
        <w:t>.</w:t>
      </w:r>
      <w:r>
        <w:rPr>
          <w:rFonts w:hint="eastAsia" w:ascii="宋体" w:hAnsi="宋体" w:eastAsia="宋体" w:cs="宋体"/>
          <w:b/>
          <w:sz w:val="24"/>
          <w:szCs w:val="24"/>
        </w:rPr>
        <w:t>合格供应商</w:t>
      </w:r>
    </w:p>
    <w:p w14:paraId="3CDFC633">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依照《中华人民共和国公司法》合法注册的法人或其他组织、符合《</w:t>
      </w:r>
      <w:r>
        <w:rPr>
          <w:rFonts w:hint="eastAsia" w:ascii="宋体" w:hAnsi="宋体" w:eastAsia="宋体" w:cs="宋体"/>
          <w:sz w:val="24"/>
          <w:szCs w:val="24"/>
          <w:lang w:eastAsia="zh-CN"/>
        </w:rPr>
        <w:t>中华人民共和国政府采购法</w:t>
      </w:r>
      <w:r>
        <w:rPr>
          <w:rFonts w:hint="eastAsia" w:ascii="宋体" w:hAnsi="宋体" w:eastAsia="宋体" w:cs="宋体"/>
          <w:sz w:val="24"/>
          <w:szCs w:val="24"/>
        </w:rPr>
        <w:t>》及其实施条例等有关法律法规的规定并满足本项目资格条件。不符合上述规定的供应商，磋商无效。</w:t>
      </w:r>
    </w:p>
    <w:p w14:paraId="3A6DDFFA">
      <w:pPr>
        <w:pageBreakBefore w:val="0"/>
        <w:kinsoku/>
        <w:wordWrap/>
        <w:overflowPunct/>
        <w:topLinePunct w:val="0"/>
        <w:bidi w:val="0"/>
        <w:spacing w:line="360" w:lineRule="auto"/>
        <w:ind w:firstLine="560"/>
        <w:textAlignment w:val="auto"/>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w:t>
      </w:r>
      <w:r>
        <w:rPr>
          <w:rFonts w:hint="eastAsia" w:ascii="宋体" w:hAnsi="宋体" w:eastAsia="宋体" w:cs="宋体"/>
          <w:b/>
          <w:sz w:val="24"/>
          <w:szCs w:val="24"/>
        </w:rPr>
        <w:t>供应商信用信息</w:t>
      </w:r>
    </w:p>
    <w:p w14:paraId="7EE65E08">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3-1供应商不得为“信用中国”网站（www.creditchina.gov.cn）中重大税收违法失信主体的供应商；不得为“中国执行信息公开网”网站（</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"http://zxgk.court.gov.cn/shixin/"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court.gov.cn</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）中失信被执行人；不得为中国政府采购网（www.ccgp.gov.cn）政府采购严重违法失信行为记录名单中被财政部门禁止参加政府采购活动的供应商</w:t>
      </w:r>
    </w:p>
    <w:p w14:paraId="0E419648">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特别说明：</w:t>
      </w:r>
    </w:p>
    <w:p w14:paraId="0DA2E451">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（1）供应商如在成交通知书发出前出现违法失信行为，</w:t>
      </w:r>
      <w:r>
        <w:rPr>
          <w:rFonts w:hint="eastAsia" w:ascii="宋体" w:hAnsi="宋体" w:eastAsia="宋体" w:cs="宋体"/>
          <w:sz w:val="24"/>
          <w:szCs w:val="24"/>
          <w:lang w:eastAsia="zh-CN"/>
        </w:rPr>
        <w:t>采购人</w:t>
      </w:r>
      <w:r>
        <w:rPr>
          <w:rFonts w:hint="eastAsia" w:ascii="宋体" w:hAnsi="宋体" w:eastAsia="宋体" w:cs="宋体"/>
          <w:sz w:val="24"/>
          <w:szCs w:val="24"/>
        </w:rPr>
        <w:t>仍有权利提请评标委员会取消其成交资格；</w:t>
      </w:r>
    </w:p>
    <w:p w14:paraId="329216E3">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（2）供应商在磋商响应文件中已出具的信用查询结果并不能取代</w:t>
      </w:r>
      <w:r>
        <w:rPr>
          <w:rFonts w:hint="eastAsia" w:ascii="宋体" w:hAnsi="宋体" w:eastAsia="宋体" w:cs="宋体"/>
          <w:sz w:val="24"/>
          <w:szCs w:val="24"/>
          <w:lang w:eastAsia="zh-CN"/>
        </w:rPr>
        <w:t>采购人</w:t>
      </w:r>
      <w:r>
        <w:rPr>
          <w:rFonts w:hint="eastAsia" w:ascii="宋体" w:hAnsi="宋体" w:eastAsia="宋体" w:cs="宋体"/>
          <w:sz w:val="24"/>
          <w:szCs w:val="24"/>
        </w:rPr>
        <w:t>或代理机构在评审前进行复查。</w:t>
      </w:r>
    </w:p>
    <w:p w14:paraId="40126BE0">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竞争性磋商响应文件的组成：</w:t>
      </w:r>
    </w:p>
    <w:p w14:paraId="494A62A2">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4-1各供应商应根据竞争性磋商文件要求编制响应文件。</w:t>
      </w:r>
    </w:p>
    <w:p w14:paraId="525730CC">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4-2竞争性磋商响应文件应由磋商函、磋商报价一览表、资格证明</w:t>
      </w:r>
      <w:r>
        <w:rPr>
          <w:rFonts w:hint="eastAsia" w:ascii="宋体" w:hAnsi="宋体" w:eastAsia="宋体" w:cs="宋体"/>
          <w:sz w:val="24"/>
          <w:szCs w:val="24"/>
          <w:lang w:eastAsia="zh-CN"/>
        </w:rPr>
        <w:t>文件</w:t>
      </w:r>
      <w:r>
        <w:rPr>
          <w:rFonts w:hint="eastAsia" w:ascii="宋体" w:hAnsi="宋体" w:eastAsia="宋体" w:cs="宋体"/>
          <w:sz w:val="24"/>
          <w:szCs w:val="24"/>
        </w:rPr>
        <w:t>、技术等部分组成。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详见第六部分 竞争性磋商响应文件格式</w:t>
      </w:r>
      <w:r>
        <w:rPr>
          <w:rFonts w:hint="eastAsia" w:ascii="宋体" w:hAnsi="宋体" w:eastAsia="宋体" w:cs="宋体"/>
          <w:sz w:val="24"/>
          <w:szCs w:val="24"/>
          <w:lang w:eastAsia="zh-CN"/>
        </w:rPr>
        <w:t>）</w:t>
      </w:r>
    </w:p>
    <w:p w14:paraId="275C9BF9">
      <w:pPr>
        <w:pageBreakBefore w:val="0"/>
        <w:kinsoku/>
        <w:wordWrap/>
        <w:overflowPunct/>
        <w:topLinePunct w:val="0"/>
        <w:bidi w:val="0"/>
        <w:spacing w:line="360" w:lineRule="auto"/>
        <w:ind w:firstLine="560"/>
        <w:textAlignment w:val="auto"/>
        <w:rPr>
          <w:rFonts w:hint="eastAsia"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en-US" w:eastAsia="zh-CN"/>
        </w:rPr>
        <w:t>.</w:t>
      </w:r>
      <w:r>
        <w:rPr>
          <w:rFonts w:hint="eastAsia" w:ascii="宋体" w:hAnsi="宋体" w:eastAsia="宋体" w:cs="宋体"/>
          <w:b/>
          <w:sz w:val="24"/>
          <w:szCs w:val="24"/>
        </w:rPr>
        <w:t>磋商响应文件编写说明</w:t>
      </w:r>
    </w:p>
    <w:p w14:paraId="3C7EB8E9">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5-1磋商响应文件格式：磋商响应文件应当使用磋商文件规定的全部格式（表格可以按同样格式扩展）编写，除明确允许供应商可以自行编写的外，供应商不得以“磋商响应文件格式”规定之外的方式填写相关内容。否则，将作为无效响应处理。</w:t>
      </w:r>
    </w:p>
    <w:p w14:paraId="42D5916D">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5-2供应商必须按照磋商文件的规定和要求由法定代表人或被授权人签字（或盖章），签字盖章的地方必须签字盖章，如有遗漏，将作为无效响应处理。</w:t>
      </w:r>
    </w:p>
    <w:p w14:paraId="4C48D803">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5-3除供应商对错误处需修改外，全套磋商响应文件应无涂改或行间插字或增删。如有修改，修改处应加盖供应商公章及法定代表人或被授权人签字（或盖章）确认。</w:t>
      </w:r>
    </w:p>
    <w:p w14:paraId="7037A281">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5-4磋商响应文件的正本和副本均需打印或用不褪色、不变质的墨水书写。因字迹潦草或表达不清所引起的后果由供应商自行负责。</w:t>
      </w:r>
    </w:p>
    <w:p w14:paraId="1151FF3A">
      <w:pPr>
        <w:pageBreakBefore w:val="0"/>
        <w:kinsoku/>
        <w:wordWrap/>
        <w:overflowPunct/>
        <w:topLinePunct w:val="0"/>
        <w:bidi w:val="0"/>
        <w:spacing w:line="360" w:lineRule="auto"/>
        <w:ind w:firstLine="560"/>
        <w:textAlignment w:val="auto"/>
        <w:rPr>
          <w:rFonts w:hint="eastAsia" w:ascii="宋体" w:hAnsi="宋体" w:eastAsia="宋体" w:cs="宋体"/>
          <w:b/>
          <w:sz w:val="24"/>
          <w:szCs w:val="24"/>
        </w:rPr>
      </w:pPr>
      <w:r>
        <w:rPr>
          <w:rFonts w:hint="eastAsia" w:ascii="宋体" w:hAnsi="宋体" w:eastAsia="宋体" w:cs="宋体"/>
          <w:sz w:val="24"/>
          <w:szCs w:val="24"/>
        </w:rPr>
        <w:t>5-5磋商响应文件电子版内容须与磋商响应文件纸质版正本中的内容一致，电子版中包含资质证明文件等材料的扫描件。</w:t>
      </w:r>
    </w:p>
    <w:p w14:paraId="5C514C13">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5-6磋商报价一览表按格式要求填写。</w:t>
      </w:r>
    </w:p>
    <w:p w14:paraId="70075C2B">
      <w:pPr>
        <w:pageBreakBefore w:val="0"/>
        <w:numPr>
          <w:ilvl w:val="0"/>
          <w:numId w:val="2"/>
        </w:numPr>
        <w:kinsoku/>
        <w:wordWrap/>
        <w:overflowPunct/>
        <w:topLinePunct w:val="0"/>
        <w:bidi w:val="0"/>
        <w:spacing w:line="360" w:lineRule="auto"/>
        <w:ind w:firstLine="56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lang w:eastAsia="zh-CN"/>
        </w:rPr>
        <w:t>磋商响应文件</w:t>
      </w:r>
      <w:r>
        <w:rPr>
          <w:rFonts w:hint="eastAsia" w:ascii="宋体" w:hAnsi="宋体" w:eastAsia="宋体" w:cs="宋体"/>
          <w:sz w:val="24"/>
          <w:szCs w:val="24"/>
          <w:highlight w:val="none"/>
        </w:rPr>
        <w:t>数量、装订</w:t>
      </w:r>
      <w:r>
        <w:rPr>
          <w:rFonts w:hint="eastAsia" w:ascii="宋体" w:hAnsi="宋体" w:eastAsia="宋体" w:cs="宋体"/>
          <w:b/>
          <w:bCs/>
          <w:sz w:val="24"/>
          <w:szCs w:val="24"/>
          <w:highlight w:val="none"/>
          <w:lang w:eastAsia="zh-CN"/>
        </w:rPr>
        <w:t>（纸质版）</w:t>
      </w:r>
    </w:p>
    <w:p w14:paraId="6645D0AE">
      <w:pPr>
        <w:pageBreakBefore w:val="0"/>
        <w:kinsoku/>
        <w:overflowPunct/>
        <w:topLinePunct w:val="0"/>
        <w:bidi w:val="0"/>
        <w:spacing w:line="360" w:lineRule="auto"/>
        <w:ind w:firstLine="482" w:firstLineChars="200"/>
        <w:jc w:val="both"/>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rPr>
        <w:t>6-1</w:t>
      </w:r>
      <w:r>
        <w:rPr>
          <w:rFonts w:hint="eastAsia" w:ascii="宋体" w:hAnsi="宋体" w:eastAsia="宋体" w:cs="宋体"/>
          <w:b/>
          <w:bCs/>
          <w:sz w:val="24"/>
          <w:szCs w:val="24"/>
          <w:lang w:eastAsia="zh-CN"/>
        </w:rPr>
        <w:t>各供应商须在上传电子投标文件的同时，开标时还应密封提交纸质投标文件，以</w:t>
      </w:r>
      <w:r>
        <w:rPr>
          <w:rFonts w:hint="eastAsia" w:ascii="宋体" w:hAnsi="宋体" w:eastAsia="宋体" w:cs="宋体"/>
          <w:b/>
          <w:bCs/>
          <w:sz w:val="24"/>
          <w:szCs w:val="24"/>
          <w:highlight w:val="none"/>
          <w:lang w:eastAsia="zh-CN"/>
        </w:rPr>
        <w:t>便在线上交易系统出现故障、电子化开评标无法进行时，适时启动纸质评标，以应急解决项目的及时交易问题，未能按照要求提交纸质版文件，导致无法正常评标，后果自负。</w:t>
      </w:r>
    </w:p>
    <w:p w14:paraId="1493DDAC">
      <w:pPr>
        <w:pageBreakBefore w:val="0"/>
        <w:kinsoku/>
        <w:overflowPunct/>
        <w:topLinePunct w:val="0"/>
        <w:bidi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磋商响应文件</w:t>
      </w:r>
      <w:r>
        <w:rPr>
          <w:rFonts w:hint="eastAsia" w:ascii="宋体" w:hAnsi="宋体" w:eastAsia="宋体" w:cs="宋体"/>
          <w:sz w:val="24"/>
          <w:szCs w:val="24"/>
          <w:highlight w:val="none"/>
        </w:rPr>
        <w:t>一律采用书籍（胶装）方式装订。</w:t>
      </w:r>
    </w:p>
    <w:p w14:paraId="1655F86F">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none"/>
          <w:lang w:eastAsia="zh-CN"/>
        </w:rPr>
        <w:t>磋商响应文件</w:t>
      </w:r>
      <w:r>
        <w:rPr>
          <w:rFonts w:hint="eastAsia" w:ascii="宋体" w:hAnsi="宋体" w:eastAsia="宋体" w:cs="宋体"/>
          <w:sz w:val="24"/>
          <w:szCs w:val="24"/>
          <w:highlight w:val="none"/>
        </w:rPr>
        <w:t>共</w:t>
      </w: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份，其中正本一份，副本</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份，电子文件（</w:t>
      </w:r>
      <w:r>
        <w:rPr>
          <w:rFonts w:hint="eastAsia" w:ascii="宋体" w:hAnsi="宋体" w:eastAsia="宋体" w:cs="宋体"/>
          <w:color w:val="000000" w:themeColor="text1"/>
          <w:sz w:val="24"/>
          <w:szCs w:val="21"/>
          <w:highlight w:val="none"/>
          <w14:textFill>
            <w14:solidFill>
              <w14:schemeClr w14:val="tx1"/>
            </w14:solidFill>
          </w14:textFill>
        </w:rPr>
        <w:t>电子文件为</w:t>
      </w:r>
      <w:r>
        <w:rPr>
          <w:rFonts w:hint="eastAsia" w:ascii="宋体" w:hAnsi="宋体" w:eastAsia="宋体" w:cs="宋体"/>
          <w:color w:val="000000" w:themeColor="text1"/>
          <w:sz w:val="24"/>
          <w:szCs w:val="21"/>
          <w:highlight w:val="none"/>
          <w:lang w:eastAsia="zh-CN"/>
          <w14:textFill>
            <w14:solidFill>
              <w14:schemeClr w14:val="tx1"/>
            </w14:solidFill>
          </w14:textFill>
        </w:rPr>
        <w:t>签字盖章的</w:t>
      </w:r>
      <w:r>
        <w:rPr>
          <w:rFonts w:hint="eastAsia" w:ascii="宋体" w:hAnsi="宋体" w:eastAsia="宋体" w:cs="宋体"/>
          <w:color w:val="000000" w:themeColor="text1"/>
          <w:sz w:val="24"/>
          <w:szCs w:val="21"/>
          <w:highlight w:val="none"/>
          <w14:textFill>
            <w14:solidFill>
              <w14:schemeClr w14:val="tx1"/>
            </w14:solidFill>
          </w14:textFill>
        </w:rPr>
        <w:t>PDF格式</w:t>
      </w:r>
      <w:r>
        <w:rPr>
          <w:rFonts w:hint="eastAsia" w:ascii="宋体" w:hAnsi="宋体" w:eastAsia="宋体" w:cs="宋体"/>
          <w:color w:val="000000" w:themeColor="text1"/>
          <w:sz w:val="24"/>
          <w:szCs w:val="21"/>
          <w:highlight w:val="none"/>
          <w:lang w:eastAsia="zh-CN"/>
          <w14:textFill>
            <w14:solidFill>
              <w14:schemeClr w14:val="tx1"/>
            </w14:solidFill>
          </w14:textFill>
        </w:rPr>
        <w:t>及</w:t>
      </w:r>
      <w:r>
        <w:rPr>
          <w:rFonts w:hint="eastAsia" w:ascii="宋体" w:hAnsi="宋体" w:eastAsia="宋体" w:cs="宋体"/>
          <w:color w:val="000000" w:themeColor="text1"/>
          <w:sz w:val="24"/>
          <w:szCs w:val="21"/>
          <w:highlight w:val="none"/>
          <w14:textFill>
            <w14:solidFill>
              <w14:schemeClr w14:val="tx1"/>
            </w14:solidFill>
          </w14:textFill>
        </w:rPr>
        <w:t>WORD版格式</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sz w:val="24"/>
          <w:szCs w:val="24"/>
          <w:highlight w:val="none"/>
        </w:rPr>
        <w:t>U盘或移动硬盘，谢绝光盘）一份。正、副本分别各自装订成册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密封。正本须按规定和要求进行签字(或盖章），</w:t>
      </w:r>
      <w:r>
        <w:rPr>
          <w:rFonts w:hint="eastAsia" w:ascii="宋体" w:hAnsi="宋体" w:eastAsia="宋体" w:cs="宋体"/>
          <w:color w:val="000000"/>
          <w:sz w:val="24"/>
          <w:szCs w:val="24"/>
          <w:highlight w:val="none"/>
        </w:rPr>
        <w:t>并逐页</w:t>
      </w:r>
      <w:r>
        <w:rPr>
          <w:rFonts w:hint="eastAsia" w:ascii="宋体" w:hAnsi="宋体" w:eastAsia="宋体" w:cs="宋体"/>
          <w:sz w:val="24"/>
          <w:szCs w:val="24"/>
          <w:highlight w:val="none"/>
        </w:rPr>
        <w:t>加盖公章（鲜章），副</w:t>
      </w:r>
      <w:r>
        <w:rPr>
          <w:rFonts w:hint="eastAsia" w:ascii="宋体" w:hAnsi="宋体" w:eastAsia="宋体" w:cs="宋体"/>
          <w:color w:val="000000" w:themeColor="text1"/>
          <w:sz w:val="24"/>
          <w:szCs w:val="24"/>
          <w:highlight w:val="none"/>
          <w14:textFill>
            <w14:solidFill>
              <w14:schemeClr w14:val="tx1"/>
            </w14:solidFill>
          </w14:textFill>
        </w:rPr>
        <w:t>本可以是正本的复印件，</w:t>
      </w:r>
      <w:r>
        <w:rPr>
          <w:rFonts w:hint="eastAsia" w:ascii="宋体" w:hAnsi="宋体" w:eastAsia="宋体" w:cs="宋体"/>
          <w:color w:val="000000" w:themeColor="text1"/>
          <w:sz w:val="24"/>
          <w:szCs w:val="21"/>
          <w:highlight w:val="none"/>
          <w14:textFill>
            <w14:solidFill>
              <w14:schemeClr w14:val="tx1"/>
            </w14:solidFill>
          </w14:textFill>
        </w:rPr>
        <w:t>电子文件与正本保持一致（电子文件为</w:t>
      </w:r>
      <w:r>
        <w:rPr>
          <w:rFonts w:hint="eastAsia" w:ascii="宋体" w:hAnsi="宋体" w:eastAsia="宋体" w:cs="宋体"/>
          <w:color w:val="000000" w:themeColor="text1"/>
          <w:sz w:val="24"/>
          <w:szCs w:val="21"/>
          <w:highlight w:val="none"/>
          <w:lang w:eastAsia="zh-CN"/>
          <w14:textFill>
            <w14:solidFill>
              <w14:schemeClr w14:val="tx1"/>
            </w14:solidFill>
          </w14:textFill>
        </w:rPr>
        <w:t>签字盖章的</w:t>
      </w:r>
      <w:r>
        <w:rPr>
          <w:rFonts w:hint="eastAsia" w:ascii="宋体" w:hAnsi="宋体" w:eastAsia="宋体" w:cs="宋体"/>
          <w:color w:val="000000" w:themeColor="text1"/>
          <w:sz w:val="24"/>
          <w:szCs w:val="21"/>
          <w:highlight w:val="none"/>
          <w14:textFill>
            <w14:solidFill>
              <w14:schemeClr w14:val="tx1"/>
            </w14:solidFill>
          </w14:textFill>
        </w:rPr>
        <w:t>PDF格式</w:t>
      </w:r>
      <w:r>
        <w:rPr>
          <w:rFonts w:hint="eastAsia" w:ascii="宋体" w:hAnsi="宋体" w:eastAsia="宋体" w:cs="宋体"/>
          <w:color w:val="000000" w:themeColor="text1"/>
          <w:sz w:val="24"/>
          <w:szCs w:val="21"/>
          <w:highlight w:val="none"/>
          <w:lang w:eastAsia="zh-CN"/>
          <w14:textFill>
            <w14:solidFill>
              <w14:schemeClr w14:val="tx1"/>
            </w14:solidFill>
          </w14:textFill>
        </w:rPr>
        <w:t>及</w:t>
      </w:r>
      <w:r>
        <w:rPr>
          <w:rFonts w:hint="eastAsia" w:ascii="宋体" w:hAnsi="宋体" w:eastAsia="宋体" w:cs="宋体"/>
          <w:color w:val="000000" w:themeColor="text1"/>
          <w:sz w:val="24"/>
          <w:szCs w:val="21"/>
          <w:highlight w:val="none"/>
          <w14:textFill>
            <w14:solidFill>
              <w14:schemeClr w14:val="tx1"/>
            </w14:solidFill>
          </w14:textFill>
        </w:rPr>
        <w:t>WORD版格式）</w:t>
      </w:r>
      <w:r>
        <w:rPr>
          <w:rFonts w:hint="eastAsia" w:ascii="宋体" w:hAnsi="宋体" w:eastAsia="宋体" w:cs="宋体"/>
          <w:sz w:val="24"/>
          <w:szCs w:val="21"/>
          <w:highlight w:val="none"/>
        </w:rPr>
        <w:t>，具有同等法律效力。</w:t>
      </w:r>
      <w:r>
        <w:rPr>
          <w:rFonts w:hint="eastAsia" w:ascii="宋体" w:hAnsi="宋体" w:eastAsia="宋体" w:cs="宋体"/>
          <w:sz w:val="24"/>
          <w:szCs w:val="24"/>
          <w:highlight w:val="none"/>
        </w:rPr>
        <w:t>电子版放置“正本”密封袋内。</w:t>
      </w:r>
    </w:p>
    <w:p w14:paraId="58CA8902">
      <w:pPr>
        <w:pageBreakBefore w:val="0"/>
        <w:kinsoku/>
        <w:wordWrap/>
        <w:overflowPunct/>
        <w:topLinePunct w:val="0"/>
        <w:bidi w:val="0"/>
        <w:spacing w:line="360" w:lineRule="auto"/>
        <w:ind w:firstLine="560"/>
        <w:textAlignment w:val="auto"/>
        <w:rPr>
          <w:rFonts w:hint="eastAsia" w:ascii="宋体" w:hAnsi="宋体" w:eastAsia="宋体" w:cs="宋体"/>
          <w:b/>
          <w:bCs/>
          <w:sz w:val="24"/>
          <w:szCs w:val="24"/>
        </w:rPr>
      </w:pPr>
      <w:r>
        <w:rPr>
          <w:rFonts w:hint="eastAsia" w:ascii="宋体" w:hAnsi="宋体" w:eastAsia="宋体" w:cs="宋体"/>
          <w:b/>
          <w:sz w:val="24"/>
          <w:szCs w:val="24"/>
        </w:rPr>
        <w:t>7</w:t>
      </w:r>
      <w:r>
        <w:rPr>
          <w:rFonts w:hint="eastAsia" w:ascii="宋体" w:hAnsi="宋体" w:eastAsia="宋体" w:cs="宋体"/>
          <w:b/>
          <w:sz w:val="24"/>
          <w:szCs w:val="24"/>
          <w:lang w:val="en-US" w:eastAsia="zh-CN"/>
        </w:rPr>
        <w:t>.</w:t>
      </w:r>
      <w:r>
        <w:rPr>
          <w:rFonts w:hint="eastAsia" w:ascii="宋体" w:hAnsi="宋体" w:eastAsia="宋体" w:cs="宋体"/>
          <w:b/>
          <w:sz w:val="24"/>
          <w:szCs w:val="24"/>
        </w:rPr>
        <w:t>磋商响应文件的计量单位</w:t>
      </w:r>
    </w:p>
    <w:p w14:paraId="4E40B797">
      <w:pPr>
        <w:pageBreakBefore w:val="0"/>
        <w:kinsoku/>
        <w:wordWrap/>
        <w:overflowPunct/>
        <w:topLinePunct w:val="0"/>
        <w:bidi w:val="0"/>
        <w:spacing w:line="360" w:lineRule="auto"/>
        <w:ind w:firstLine="560"/>
        <w:textAlignment w:val="auto"/>
        <w:rPr>
          <w:rFonts w:hint="eastAsia" w:ascii="宋体" w:hAnsi="宋体" w:eastAsia="宋体" w:cs="宋体"/>
          <w:b/>
          <w:bCs/>
          <w:sz w:val="24"/>
          <w:szCs w:val="24"/>
        </w:rPr>
      </w:pPr>
      <w:r>
        <w:rPr>
          <w:rFonts w:hint="eastAsia" w:ascii="宋体" w:hAnsi="宋体" w:eastAsia="宋体" w:cs="宋体"/>
          <w:sz w:val="24"/>
          <w:szCs w:val="24"/>
        </w:rPr>
        <w:t>磋商响应文件中所使用的计量单位，除有特殊要求外，均采用国家法定计量单位。</w:t>
      </w:r>
    </w:p>
    <w:p w14:paraId="763ACD10">
      <w:pPr>
        <w:pageBreakBefore w:val="0"/>
        <w:kinsoku/>
        <w:wordWrap/>
        <w:overflowPunct/>
        <w:topLinePunct w:val="0"/>
        <w:bidi w:val="0"/>
        <w:spacing w:line="360" w:lineRule="auto"/>
        <w:ind w:firstLine="560"/>
        <w:textAlignment w:val="auto"/>
        <w:rPr>
          <w:rFonts w:hint="eastAsia"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磋商报价</w:t>
      </w:r>
    </w:p>
    <w:p w14:paraId="7C55C335">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8-1磋商货币：人民币单位：元。</w:t>
      </w:r>
    </w:p>
    <w:p w14:paraId="45CF99E1">
      <w:pPr>
        <w:pageBreakBefore w:val="0"/>
        <w:kinsoku/>
        <w:wordWrap/>
        <w:overflowPunct/>
        <w:topLinePunct w:val="0"/>
        <w:bidi w:val="0"/>
        <w:spacing w:line="360" w:lineRule="auto"/>
        <w:ind w:firstLine="560"/>
        <w:textAlignment w:val="auto"/>
        <w:rPr>
          <w:rFonts w:hint="eastAsia" w:ascii="宋体" w:hAnsi="宋体" w:eastAsia="宋体" w:cs="宋体"/>
          <w:b/>
          <w:sz w:val="24"/>
          <w:szCs w:val="24"/>
        </w:rPr>
      </w:pPr>
      <w:r>
        <w:rPr>
          <w:rFonts w:hint="eastAsia" w:ascii="宋体" w:hAnsi="宋体" w:eastAsia="宋体" w:cs="宋体"/>
          <w:sz w:val="24"/>
          <w:szCs w:val="24"/>
        </w:rPr>
        <w:t>8-2磋商报价是指报价包括</w:t>
      </w:r>
      <w:r>
        <w:rPr>
          <w:rFonts w:hint="eastAsia" w:ascii="宋体" w:hAnsi="宋体" w:eastAsia="宋体" w:cs="宋体"/>
          <w:sz w:val="24"/>
          <w:szCs w:val="24"/>
          <w:lang w:eastAsia="zh-CN"/>
        </w:rPr>
        <w:t>实施</w:t>
      </w:r>
      <w:r>
        <w:rPr>
          <w:rFonts w:hint="eastAsia" w:ascii="宋体" w:hAnsi="宋体" w:eastAsia="宋体" w:cs="宋体"/>
          <w:sz w:val="24"/>
          <w:szCs w:val="24"/>
        </w:rPr>
        <w:t>本项目所</w:t>
      </w:r>
      <w:r>
        <w:rPr>
          <w:rFonts w:hint="eastAsia" w:ascii="宋体" w:hAnsi="宋体" w:eastAsia="宋体" w:cs="宋体"/>
          <w:sz w:val="24"/>
          <w:szCs w:val="24"/>
          <w:lang w:eastAsia="zh-CN"/>
        </w:rPr>
        <w:t>发生的</w:t>
      </w:r>
      <w:r>
        <w:rPr>
          <w:rFonts w:hint="eastAsia" w:ascii="宋体" w:hAnsi="宋体" w:eastAsia="宋体" w:cs="宋体"/>
          <w:sz w:val="24"/>
          <w:szCs w:val="24"/>
        </w:rPr>
        <w:t>费用及各种应纳的税费。因供应商自身原因造成漏报、少报都由其自行承担责任，</w:t>
      </w:r>
      <w:r>
        <w:rPr>
          <w:rFonts w:hint="eastAsia" w:ascii="宋体" w:hAnsi="宋体" w:eastAsia="宋体" w:cs="宋体"/>
          <w:sz w:val="24"/>
          <w:szCs w:val="24"/>
          <w:lang w:eastAsia="zh-CN"/>
        </w:rPr>
        <w:t>采购人</w:t>
      </w:r>
      <w:r>
        <w:rPr>
          <w:rFonts w:hint="eastAsia" w:ascii="宋体" w:hAnsi="宋体" w:eastAsia="宋体" w:cs="宋体"/>
          <w:sz w:val="24"/>
          <w:szCs w:val="24"/>
        </w:rPr>
        <w:t>不再补偿。以磋商文件的内容和要求作为磋商依据。</w:t>
      </w:r>
    </w:p>
    <w:p w14:paraId="795C4F18">
      <w:pPr>
        <w:pageBreakBefore w:val="0"/>
        <w:kinsoku/>
        <w:wordWrap/>
        <w:overflowPunct/>
        <w:topLinePunct w:val="0"/>
        <w:bidi w:val="0"/>
        <w:spacing w:line="360" w:lineRule="auto"/>
        <w:ind w:firstLine="560"/>
        <w:textAlignment w:val="auto"/>
        <w:rPr>
          <w:rFonts w:hint="eastAsia" w:ascii="宋体" w:hAnsi="宋体" w:eastAsia="宋体" w:cs="宋体"/>
          <w:b/>
          <w:sz w:val="24"/>
          <w:szCs w:val="24"/>
          <w:lang w:eastAsia="zh-CN"/>
        </w:rPr>
      </w:pPr>
      <w:r>
        <w:rPr>
          <w:rFonts w:hint="eastAsia" w:ascii="宋体" w:hAnsi="宋体" w:eastAsia="宋体" w:cs="宋体"/>
          <w:b/>
          <w:sz w:val="24"/>
          <w:szCs w:val="24"/>
        </w:rPr>
        <w:t>8-3磋商报价=本项目</w:t>
      </w:r>
      <w:r>
        <w:rPr>
          <w:rFonts w:hint="eastAsia" w:ascii="宋体" w:hAnsi="宋体" w:eastAsia="宋体" w:cs="宋体"/>
          <w:b/>
          <w:sz w:val="24"/>
          <w:szCs w:val="24"/>
          <w:lang w:eastAsia="zh-CN"/>
        </w:rPr>
        <w:t>实施</w:t>
      </w:r>
      <w:r>
        <w:rPr>
          <w:rFonts w:hint="eastAsia" w:ascii="宋体" w:hAnsi="宋体" w:eastAsia="宋体" w:cs="宋体"/>
          <w:b/>
          <w:sz w:val="24"/>
          <w:szCs w:val="24"/>
        </w:rPr>
        <w:t>过程中所产生的一切费用。</w:t>
      </w:r>
    </w:p>
    <w:p w14:paraId="37AA79BF">
      <w:pPr>
        <w:pageBreakBefore w:val="0"/>
        <w:kinsoku/>
        <w:wordWrap/>
        <w:overflowPunct/>
        <w:topLinePunct w:val="0"/>
        <w:bidi w:val="0"/>
        <w:spacing w:line="360" w:lineRule="auto"/>
        <w:ind w:firstLine="560"/>
        <w:textAlignment w:val="auto"/>
        <w:rPr>
          <w:rFonts w:hint="eastAsia" w:ascii="宋体" w:hAnsi="宋体" w:eastAsia="宋体" w:cs="宋体"/>
          <w:b/>
          <w:color w:val="auto"/>
          <w:kern w:val="1"/>
          <w:sz w:val="24"/>
          <w:szCs w:val="24"/>
          <w:lang w:val="en-US" w:eastAsia="zh-CN" w:bidi="ar-SA"/>
        </w:rPr>
      </w:pPr>
      <w:r>
        <w:rPr>
          <w:rFonts w:hint="eastAsia" w:ascii="宋体" w:hAnsi="宋体" w:eastAsia="宋体" w:cs="宋体"/>
          <w:b/>
          <w:color w:val="auto"/>
          <w:kern w:val="1"/>
          <w:sz w:val="24"/>
          <w:szCs w:val="24"/>
          <w:lang w:val="en-US" w:eastAsia="zh-CN" w:bidi="ar-SA"/>
        </w:rPr>
        <w:t>供应商报价超出项目</w:t>
      </w:r>
      <w:r>
        <w:rPr>
          <w:rFonts w:hint="eastAsia" w:ascii="宋体" w:hAnsi="宋体" w:eastAsia="宋体" w:cs="宋体"/>
          <w:b/>
          <w:color w:val="auto"/>
          <w:kern w:val="1"/>
          <w:sz w:val="24"/>
          <w:szCs w:val="24"/>
          <w:highlight w:val="none"/>
          <w:lang w:val="en-US" w:eastAsia="zh-CN" w:bidi="ar-SA"/>
        </w:rPr>
        <w:t>最高限价</w:t>
      </w:r>
      <w:r>
        <w:rPr>
          <w:rFonts w:hint="eastAsia" w:ascii="宋体" w:hAnsi="宋体" w:eastAsia="宋体" w:cs="宋体"/>
          <w:b/>
          <w:color w:val="auto"/>
          <w:kern w:val="1"/>
          <w:sz w:val="24"/>
          <w:szCs w:val="24"/>
          <w:lang w:val="en-US" w:eastAsia="zh-CN" w:bidi="ar-SA"/>
        </w:rPr>
        <w:t>，视为不实质性响应磋商文件，按无效投标处理。</w:t>
      </w:r>
    </w:p>
    <w:p w14:paraId="6D5E3276">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8-4供应商须对《</w:t>
      </w:r>
      <w:r>
        <w:rPr>
          <w:rFonts w:hint="eastAsia" w:ascii="宋体" w:hAnsi="宋体" w:eastAsia="宋体" w:cs="宋体"/>
          <w:sz w:val="24"/>
          <w:szCs w:val="24"/>
          <w:lang w:eastAsia="zh-CN"/>
        </w:rPr>
        <w:t>工程量清单</w:t>
      </w:r>
      <w:r>
        <w:rPr>
          <w:rFonts w:hint="eastAsia" w:ascii="宋体" w:hAnsi="宋体" w:eastAsia="宋体" w:cs="宋体"/>
          <w:sz w:val="24"/>
          <w:szCs w:val="24"/>
        </w:rPr>
        <w:t>》要求进行完整报价，</w:t>
      </w:r>
      <w:r>
        <w:rPr>
          <w:rFonts w:hint="eastAsia" w:ascii="宋体" w:hAnsi="宋体" w:eastAsia="宋体" w:cs="宋体"/>
          <w:sz w:val="24"/>
          <w:szCs w:val="24"/>
          <w:lang w:eastAsia="zh-CN"/>
        </w:rPr>
        <w:t>评审小组</w:t>
      </w:r>
      <w:r>
        <w:rPr>
          <w:rFonts w:hint="eastAsia" w:ascii="宋体" w:hAnsi="宋体" w:eastAsia="宋体" w:cs="宋体"/>
          <w:sz w:val="24"/>
          <w:szCs w:val="24"/>
        </w:rPr>
        <w:t>拒绝只对部分</w:t>
      </w:r>
      <w:r>
        <w:rPr>
          <w:rFonts w:hint="eastAsia" w:ascii="宋体" w:hAnsi="宋体" w:eastAsia="宋体" w:cs="宋体"/>
          <w:sz w:val="24"/>
          <w:szCs w:val="24"/>
          <w:lang w:eastAsia="zh-CN"/>
        </w:rPr>
        <w:t>内容</w:t>
      </w:r>
      <w:r>
        <w:rPr>
          <w:rFonts w:hint="eastAsia" w:ascii="宋体" w:hAnsi="宋体" w:eastAsia="宋体" w:cs="宋体"/>
          <w:sz w:val="24"/>
          <w:szCs w:val="24"/>
        </w:rPr>
        <w:t>进行报价的磋商。任何有选择的报价将不予接受。</w:t>
      </w:r>
    </w:p>
    <w:p w14:paraId="06090181">
      <w:pPr>
        <w:pageBreakBefore w:val="0"/>
        <w:kinsoku/>
        <w:wordWrap/>
        <w:overflowPunct/>
        <w:topLinePunct w:val="0"/>
        <w:bidi w:val="0"/>
        <w:spacing w:line="360" w:lineRule="auto"/>
        <w:ind w:firstLine="560"/>
        <w:textAlignment w:val="auto"/>
        <w:rPr>
          <w:rFonts w:hint="eastAsia" w:ascii="宋体" w:hAnsi="宋体" w:eastAsia="宋体" w:cs="宋体"/>
          <w:b/>
          <w:bCs/>
          <w:sz w:val="24"/>
          <w:szCs w:val="24"/>
        </w:rPr>
      </w:pPr>
      <w:r>
        <w:rPr>
          <w:rFonts w:hint="eastAsia" w:ascii="宋体" w:hAnsi="宋体" w:eastAsia="宋体" w:cs="宋体"/>
          <w:b/>
          <w:bCs/>
          <w:sz w:val="24"/>
          <w:szCs w:val="24"/>
        </w:rPr>
        <w:t>9</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各供应商须对以下内容做出承诺</w:t>
      </w:r>
    </w:p>
    <w:p w14:paraId="4901C6E2">
      <w:pPr>
        <w:pageBreakBefore w:val="0"/>
        <w:kinsoku/>
        <w:wordWrap/>
        <w:overflowPunct/>
        <w:topLinePunct w:val="0"/>
        <w:bidi w:val="0"/>
        <w:spacing w:line="360" w:lineRule="auto"/>
        <w:ind w:firstLine="560"/>
        <w:textAlignment w:val="auto"/>
        <w:rPr>
          <w:rFonts w:hint="eastAsia" w:ascii="宋体" w:hAnsi="宋体" w:eastAsia="宋体" w:cs="宋体"/>
          <w:b/>
          <w:bCs/>
          <w:sz w:val="24"/>
          <w:szCs w:val="24"/>
        </w:rPr>
      </w:pPr>
      <w:r>
        <w:rPr>
          <w:rFonts w:hint="eastAsia" w:ascii="宋体" w:hAnsi="宋体" w:eastAsia="宋体" w:cs="宋体"/>
          <w:sz w:val="24"/>
          <w:szCs w:val="24"/>
        </w:rPr>
        <w:t>9-1供应商不得以他人名义磋商和串通磋商。</w:t>
      </w:r>
    </w:p>
    <w:p w14:paraId="5381821C">
      <w:pPr>
        <w:pageBreakBefore w:val="0"/>
        <w:kinsoku/>
        <w:wordWrap/>
        <w:overflowPunct/>
        <w:topLinePunct w:val="0"/>
        <w:bidi w:val="0"/>
        <w:spacing w:line="360" w:lineRule="auto"/>
        <w:ind w:firstLine="560"/>
        <w:textAlignment w:val="auto"/>
        <w:rPr>
          <w:rFonts w:hint="eastAsia" w:ascii="宋体" w:hAnsi="宋体" w:eastAsia="宋体" w:cs="宋体"/>
          <w:b/>
          <w:bCs/>
          <w:sz w:val="24"/>
          <w:szCs w:val="24"/>
        </w:rPr>
      </w:pPr>
      <w:r>
        <w:rPr>
          <w:rFonts w:hint="eastAsia" w:ascii="宋体" w:hAnsi="宋体" w:eastAsia="宋体" w:cs="宋体"/>
          <w:sz w:val="24"/>
          <w:szCs w:val="24"/>
        </w:rPr>
        <w:t>9-2必须根据磋商文件要求进行</w:t>
      </w:r>
      <w:r>
        <w:rPr>
          <w:rFonts w:hint="eastAsia" w:ascii="宋体" w:hAnsi="宋体" w:eastAsia="宋体" w:cs="宋体"/>
          <w:sz w:val="24"/>
          <w:szCs w:val="24"/>
          <w:lang w:eastAsia="zh-CN"/>
        </w:rPr>
        <w:t>施工安排</w:t>
      </w:r>
      <w:r>
        <w:rPr>
          <w:rFonts w:hint="eastAsia" w:ascii="宋体" w:hAnsi="宋体" w:eastAsia="宋体" w:cs="宋体"/>
          <w:sz w:val="24"/>
          <w:szCs w:val="24"/>
        </w:rPr>
        <w:t>等。</w:t>
      </w:r>
    </w:p>
    <w:p w14:paraId="163B51C3">
      <w:pPr>
        <w:pageBreakBefore w:val="0"/>
        <w:kinsoku/>
        <w:wordWrap/>
        <w:overflowPunct/>
        <w:topLinePunct w:val="0"/>
        <w:bidi w:val="0"/>
        <w:spacing w:line="360" w:lineRule="auto"/>
        <w:ind w:firstLine="560"/>
        <w:textAlignment w:val="auto"/>
        <w:rPr>
          <w:rFonts w:hint="eastAsia" w:ascii="宋体" w:hAnsi="宋体" w:eastAsia="宋体" w:cs="宋体"/>
          <w:b/>
          <w:bCs/>
          <w:sz w:val="24"/>
          <w:szCs w:val="24"/>
        </w:rPr>
      </w:pPr>
      <w:r>
        <w:rPr>
          <w:rFonts w:hint="eastAsia" w:ascii="宋体" w:hAnsi="宋体" w:eastAsia="宋体" w:cs="宋体"/>
          <w:sz w:val="24"/>
          <w:szCs w:val="24"/>
        </w:rPr>
        <w:t>9-3非经</w:t>
      </w:r>
      <w:r>
        <w:rPr>
          <w:rFonts w:hint="eastAsia" w:ascii="宋体" w:hAnsi="宋体" w:eastAsia="宋体" w:cs="宋体"/>
          <w:sz w:val="24"/>
          <w:szCs w:val="24"/>
          <w:lang w:eastAsia="zh-CN"/>
        </w:rPr>
        <w:t>采购人</w:t>
      </w:r>
      <w:r>
        <w:rPr>
          <w:rFonts w:hint="eastAsia" w:ascii="宋体" w:hAnsi="宋体" w:eastAsia="宋体" w:cs="宋体"/>
          <w:sz w:val="24"/>
          <w:szCs w:val="24"/>
        </w:rPr>
        <w:t>同意，不得将本项目内容进行分包实施，一经发现，立即取消其成交资格，并承担由此引起的一切经济损失；经</w:t>
      </w:r>
      <w:r>
        <w:rPr>
          <w:rFonts w:hint="eastAsia" w:ascii="宋体" w:hAnsi="宋体" w:eastAsia="宋体" w:cs="宋体"/>
          <w:sz w:val="24"/>
          <w:szCs w:val="24"/>
          <w:lang w:eastAsia="zh-CN"/>
        </w:rPr>
        <w:t>采购人</w:t>
      </w:r>
      <w:r>
        <w:rPr>
          <w:rFonts w:hint="eastAsia" w:ascii="宋体" w:hAnsi="宋体" w:eastAsia="宋体" w:cs="宋体"/>
          <w:sz w:val="24"/>
          <w:szCs w:val="24"/>
        </w:rPr>
        <w:t>同意，成交供应商可以依法采取分包方式履行合同。分包部分为成交项目的部分非主体、非关键性工作。</w:t>
      </w:r>
    </w:p>
    <w:p w14:paraId="7984C4F9">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9-4接受</w:t>
      </w:r>
      <w:r>
        <w:rPr>
          <w:rFonts w:hint="eastAsia" w:ascii="宋体" w:hAnsi="宋体" w:eastAsia="宋体" w:cs="宋体"/>
          <w:sz w:val="24"/>
          <w:szCs w:val="24"/>
          <w:lang w:eastAsia="zh-CN"/>
        </w:rPr>
        <w:t>采购人</w:t>
      </w:r>
      <w:r>
        <w:rPr>
          <w:rFonts w:hint="eastAsia" w:ascii="宋体" w:hAnsi="宋体" w:eastAsia="宋体" w:cs="宋体"/>
          <w:sz w:val="24"/>
          <w:szCs w:val="24"/>
        </w:rPr>
        <w:t>委托的相关单位对</w:t>
      </w:r>
      <w:r>
        <w:rPr>
          <w:rFonts w:hint="eastAsia" w:ascii="宋体" w:hAnsi="宋体" w:eastAsia="宋体" w:cs="宋体"/>
          <w:sz w:val="24"/>
          <w:szCs w:val="24"/>
          <w:lang w:eastAsia="zh-CN"/>
        </w:rPr>
        <w:t>项目实施</w:t>
      </w:r>
      <w:r>
        <w:rPr>
          <w:rFonts w:hint="eastAsia" w:ascii="宋体" w:hAnsi="宋体" w:eastAsia="宋体" w:cs="宋体"/>
          <w:sz w:val="24"/>
          <w:szCs w:val="24"/>
        </w:rPr>
        <w:t>内容、质量、进度、实施方案、价款支付与结算审核等的监督和管理。</w:t>
      </w:r>
    </w:p>
    <w:p w14:paraId="3978C458">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5</w:t>
      </w:r>
      <w:r>
        <w:rPr>
          <w:rFonts w:hint="eastAsia" w:ascii="宋体" w:hAnsi="宋体" w:eastAsia="宋体" w:cs="宋体"/>
          <w:sz w:val="24"/>
          <w:szCs w:val="24"/>
        </w:rPr>
        <w:t>供应商不能以“赠送”、“赠予”等任何名义提供</w:t>
      </w:r>
      <w:r>
        <w:rPr>
          <w:rFonts w:hint="eastAsia" w:ascii="宋体" w:hAnsi="宋体" w:eastAsia="宋体" w:cs="宋体"/>
          <w:sz w:val="24"/>
          <w:szCs w:val="24"/>
          <w:lang w:eastAsia="zh-CN"/>
        </w:rPr>
        <w:t>工程</w:t>
      </w:r>
      <w:r>
        <w:rPr>
          <w:rFonts w:hint="eastAsia" w:ascii="宋体" w:hAnsi="宋体" w:eastAsia="宋体" w:cs="宋体"/>
          <w:sz w:val="24"/>
          <w:szCs w:val="24"/>
          <w:lang w:val="en-US" w:eastAsia="zh-CN"/>
        </w:rPr>
        <w:t>/</w:t>
      </w:r>
      <w:r>
        <w:rPr>
          <w:rFonts w:hint="eastAsia" w:ascii="宋体" w:hAnsi="宋体" w:eastAsia="宋体" w:cs="宋体"/>
          <w:sz w:val="24"/>
          <w:szCs w:val="24"/>
        </w:rPr>
        <w:t>货物</w:t>
      </w:r>
      <w:r>
        <w:rPr>
          <w:rFonts w:hint="eastAsia" w:ascii="宋体" w:hAnsi="宋体" w:eastAsia="宋体" w:cs="宋体"/>
          <w:sz w:val="24"/>
          <w:szCs w:val="24"/>
          <w:lang w:val="en-US" w:eastAsia="zh-CN"/>
        </w:rPr>
        <w:t>/</w:t>
      </w:r>
      <w:r>
        <w:rPr>
          <w:rFonts w:hint="eastAsia" w:ascii="宋体" w:hAnsi="宋体" w:eastAsia="宋体" w:cs="宋体"/>
          <w:sz w:val="24"/>
          <w:szCs w:val="24"/>
        </w:rPr>
        <w:t>服务以规避磋商文件的约束。否则，将作为无效响应处理。供应商的行为将作为以不正当手段排挤其他供应商认定。</w:t>
      </w:r>
      <w:bookmarkStart w:id="21" w:name="_Toc458617458"/>
      <w:bookmarkEnd w:id="21"/>
      <w:bookmarkStart w:id="22" w:name="_Toc458617786"/>
      <w:bookmarkEnd w:id="22"/>
      <w:bookmarkStart w:id="23" w:name="_Toc458617735"/>
      <w:bookmarkEnd w:id="23"/>
    </w:p>
    <w:p w14:paraId="59FC0DAA">
      <w:pPr>
        <w:pageBreakBefore w:val="0"/>
        <w:kinsoku/>
        <w:wordWrap/>
        <w:overflowPunct/>
        <w:topLinePunct w:val="0"/>
        <w:bidi w:val="0"/>
        <w:spacing w:line="360" w:lineRule="auto"/>
        <w:ind w:firstLine="562"/>
        <w:textAlignment w:val="auto"/>
        <w:outlineLvl w:val="1"/>
        <w:rPr>
          <w:rFonts w:hint="eastAsia" w:ascii="宋体" w:hAnsi="宋体" w:eastAsia="宋体" w:cs="宋体"/>
          <w:b/>
          <w:bCs/>
          <w:sz w:val="24"/>
          <w:szCs w:val="24"/>
        </w:rPr>
      </w:pPr>
      <w:bookmarkStart w:id="24" w:name="_Toc4296"/>
      <w:bookmarkEnd w:id="24"/>
      <w:bookmarkStart w:id="25" w:name="_Toc14406"/>
      <w:r>
        <w:rPr>
          <w:rFonts w:hint="eastAsia" w:ascii="宋体" w:hAnsi="宋体" w:eastAsia="宋体" w:cs="宋体"/>
          <w:b/>
          <w:bCs/>
          <w:sz w:val="24"/>
          <w:szCs w:val="24"/>
        </w:rPr>
        <w:t>五、磋商担保</w:t>
      </w:r>
      <w:bookmarkEnd w:id="25"/>
    </w:p>
    <w:p w14:paraId="44715626">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担保方式：见供应商须知前附表。</w:t>
      </w:r>
    </w:p>
    <w:p w14:paraId="02D32AEB">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磋商担保递交截止时间：见供应商须知前附表。</w:t>
      </w:r>
    </w:p>
    <w:p w14:paraId="45F03692">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供应商磋商时，必须以磋商文件规定的方式提交磋商担保，并作为其磋商的一部分。磋商现场不办理磋商担保收取事宜。若</w:t>
      </w:r>
      <w:r>
        <w:rPr>
          <w:rFonts w:hint="eastAsia" w:ascii="宋体" w:hAnsi="宋体" w:eastAsia="宋体" w:cs="宋体"/>
          <w:sz w:val="24"/>
          <w:szCs w:val="24"/>
          <w:lang w:eastAsia="zh-CN"/>
        </w:rPr>
        <w:t>宝鸡市交易中心</w:t>
      </w:r>
      <w:r>
        <w:rPr>
          <w:rFonts w:hint="eastAsia" w:ascii="宋体" w:hAnsi="宋体" w:eastAsia="宋体" w:cs="宋体"/>
          <w:sz w:val="24"/>
          <w:szCs w:val="24"/>
        </w:rPr>
        <w:t>未在磋商担保递交截止时间收到足额磋商保证金或</w:t>
      </w:r>
      <w:r>
        <w:rPr>
          <w:rFonts w:hint="eastAsia" w:ascii="宋体" w:hAnsi="宋体" w:eastAsia="宋体" w:cs="宋体"/>
          <w:sz w:val="24"/>
          <w:szCs w:val="24"/>
          <w:lang w:val="en-US" w:eastAsia="zh-CN"/>
        </w:rPr>
        <w:t>代理机构未收到</w:t>
      </w:r>
      <w:r>
        <w:rPr>
          <w:rFonts w:hint="eastAsia" w:ascii="宋体" w:hAnsi="宋体" w:eastAsia="宋体" w:cs="宋体"/>
          <w:sz w:val="24"/>
          <w:szCs w:val="24"/>
        </w:rPr>
        <w:t>有效磋商担保函</w:t>
      </w:r>
      <w:r>
        <w:rPr>
          <w:rFonts w:hint="eastAsia" w:ascii="宋体" w:hAnsi="宋体" w:eastAsia="宋体" w:cs="宋体"/>
          <w:sz w:val="24"/>
          <w:szCs w:val="24"/>
          <w:lang w:val="en-US" w:eastAsia="zh-CN"/>
        </w:rPr>
        <w:t>及</w:t>
      </w:r>
      <w:r>
        <w:rPr>
          <w:rFonts w:hint="eastAsia" w:ascii="宋体" w:hAnsi="宋体" w:eastAsia="宋体" w:cs="宋体"/>
          <w:sz w:val="24"/>
          <w:szCs w:val="24"/>
        </w:rPr>
        <w:t>未在磋商响应文件中附磋商担保凭证的，其磋商无效。</w:t>
      </w:r>
    </w:p>
    <w:p w14:paraId="297AE780">
      <w:pPr>
        <w:pageBreakBefore w:val="0"/>
        <w:kinsoku/>
        <w:wordWrap/>
        <w:overflowPunct/>
        <w:topLinePunct w:val="0"/>
        <w:bidi w:val="0"/>
        <w:spacing w:line="360" w:lineRule="auto"/>
        <w:ind w:firstLine="560"/>
        <w:textAlignment w:val="auto"/>
        <w:rPr>
          <w:rFonts w:hint="eastAsia" w:ascii="宋体" w:hAnsi="宋体" w:eastAsia="宋体" w:cs="宋体"/>
          <w:b/>
          <w:sz w:val="24"/>
          <w:szCs w:val="24"/>
        </w:rPr>
      </w:pPr>
      <w:r>
        <w:rPr>
          <w:rFonts w:hint="eastAsia" w:ascii="宋体" w:hAnsi="宋体" w:eastAsia="宋体" w:cs="宋体"/>
          <w:b/>
          <w:sz w:val="24"/>
          <w:szCs w:val="24"/>
        </w:rPr>
        <w:t>4</w:t>
      </w:r>
      <w:r>
        <w:rPr>
          <w:rFonts w:hint="eastAsia" w:ascii="宋体" w:hAnsi="宋体" w:eastAsia="宋体" w:cs="宋体"/>
          <w:b/>
          <w:sz w:val="24"/>
          <w:szCs w:val="24"/>
          <w:lang w:val="en-US" w:eastAsia="zh-CN"/>
        </w:rPr>
        <w:t>.</w:t>
      </w:r>
      <w:r>
        <w:rPr>
          <w:rFonts w:hint="eastAsia" w:ascii="宋体" w:hAnsi="宋体" w:eastAsia="宋体" w:cs="宋体"/>
          <w:b/>
          <w:sz w:val="24"/>
          <w:szCs w:val="24"/>
        </w:rPr>
        <w:t>退还磋商保证金</w:t>
      </w:r>
    </w:p>
    <w:p w14:paraId="24C4E53A">
      <w:pPr>
        <w:pageBreakBefore w:val="0"/>
        <w:kinsoku/>
        <w:wordWrap/>
        <w:overflowPunct/>
        <w:topLinePunct w:val="0"/>
        <w:bidi w:val="0"/>
        <w:spacing w:line="360" w:lineRule="auto"/>
        <w:ind w:firstLine="562"/>
        <w:jc w:val="left"/>
        <w:textAlignment w:val="auto"/>
        <w:rPr>
          <w:rFonts w:hint="eastAsia" w:ascii="宋体" w:hAnsi="宋体" w:eastAsia="宋体" w:cs="宋体"/>
          <w:b/>
          <w:sz w:val="24"/>
          <w:szCs w:val="24"/>
        </w:rPr>
      </w:pPr>
      <w:r>
        <w:rPr>
          <w:rFonts w:hint="eastAsia" w:ascii="宋体" w:hAnsi="宋体" w:eastAsia="宋体" w:cs="宋体"/>
          <w:b/>
          <w:sz w:val="24"/>
          <w:szCs w:val="24"/>
        </w:rPr>
        <w:t>（1）在磋商截止时间前撤回已提交磋商响应文件的供应商的磋商保证金，将在代理机构收到供应商书面撤回通知之日起5个工作日内退还（无息）。</w:t>
      </w:r>
    </w:p>
    <w:p w14:paraId="47DB68E6">
      <w:pPr>
        <w:pageBreakBefore w:val="0"/>
        <w:kinsoku/>
        <w:wordWrap/>
        <w:overflowPunct/>
        <w:topLinePunct w:val="0"/>
        <w:bidi w:val="0"/>
        <w:spacing w:line="360" w:lineRule="auto"/>
        <w:ind w:firstLine="530"/>
        <w:textAlignment w:val="auto"/>
        <w:rPr>
          <w:rFonts w:hint="eastAsia" w:ascii="宋体" w:hAnsi="宋体" w:eastAsia="宋体" w:cs="宋体"/>
          <w:b/>
          <w:spacing w:val="-6"/>
          <w:sz w:val="24"/>
          <w:szCs w:val="24"/>
        </w:rPr>
      </w:pPr>
      <w:r>
        <w:rPr>
          <w:rFonts w:hint="eastAsia" w:ascii="宋体" w:hAnsi="宋体" w:eastAsia="宋体" w:cs="宋体"/>
          <w:b/>
          <w:spacing w:val="-6"/>
          <w:sz w:val="24"/>
          <w:szCs w:val="24"/>
        </w:rPr>
        <w:t>（2）所有</w:t>
      </w:r>
      <w:r>
        <w:rPr>
          <w:rFonts w:hint="eastAsia" w:ascii="宋体" w:hAnsi="宋体" w:eastAsia="宋体" w:cs="宋体"/>
          <w:b/>
          <w:sz w:val="24"/>
          <w:szCs w:val="24"/>
        </w:rPr>
        <w:t>未成交供应商</w:t>
      </w:r>
      <w:r>
        <w:rPr>
          <w:rFonts w:hint="eastAsia" w:ascii="宋体" w:hAnsi="宋体" w:eastAsia="宋体" w:cs="宋体"/>
          <w:b/>
          <w:spacing w:val="-6"/>
          <w:sz w:val="24"/>
          <w:szCs w:val="24"/>
        </w:rPr>
        <w:t>的磋商保证金，将在成交通知书发出5个工作日后退还（无息）。</w:t>
      </w:r>
    </w:p>
    <w:p w14:paraId="665C48AC">
      <w:pPr>
        <w:pageBreakBefore w:val="0"/>
        <w:kinsoku/>
        <w:wordWrap/>
        <w:overflowPunct/>
        <w:topLinePunct w:val="0"/>
        <w:bidi w:val="0"/>
        <w:spacing w:line="360" w:lineRule="auto"/>
        <w:ind w:firstLine="530"/>
        <w:jc w:val="left"/>
        <w:textAlignment w:val="auto"/>
        <w:rPr>
          <w:rFonts w:hint="eastAsia" w:ascii="宋体" w:hAnsi="宋体" w:eastAsia="宋体" w:cs="宋体"/>
          <w:b/>
          <w:bCs/>
          <w:spacing w:val="-6"/>
          <w:sz w:val="24"/>
          <w:szCs w:val="24"/>
        </w:rPr>
      </w:pPr>
      <w:r>
        <w:rPr>
          <w:rFonts w:hint="eastAsia" w:ascii="宋体" w:hAnsi="宋体" w:eastAsia="宋体" w:cs="宋体"/>
          <w:b/>
          <w:bCs/>
          <w:spacing w:val="-6"/>
          <w:sz w:val="24"/>
          <w:szCs w:val="24"/>
        </w:rPr>
        <w:t>（3）成</w:t>
      </w:r>
      <w:r>
        <w:rPr>
          <w:rFonts w:hint="eastAsia" w:ascii="宋体" w:hAnsi="宋体" w:eastAsia="宋体" w:cs="宋体"/>
          <w:b/>
          <w:sz w:val="24"/>
          <w:szCs w:val="24"/>
        </w:rPr>
        <w:t>交供应商</w:t>
      </w:r>
      <w:r>
        <w:rPr>
          <w:rFonts w:hint="eastAsia" w:ascii="宋体" w:hAnsi="宋体" w:eastAsia="宋体" w:cs="宋体"/>
          <w:b/>
          <w:bCs/>
          <w:spacing w:val="-6"/>
          <w:sz w:val="24"/>
          <w:szCs w:val="24"/>
        </w:rPr>
        <w:t>的磋商保证金，</w:t>
      </w:r>
      <w:r>
        <w:rPr>
          <w:rFonts w:hint="eastAsia" w:ascii="宋体" w:hAnsi="宋体" w:eastAsia="宋体" w:cs="宋体"/>
          <w:b/>
          <w:spacing w:val="-6"/>
          <w:sz w:val="24"/>
          <w:szCs w:val="24"/>
        </w:rPr>
        <w:t>将在签订合同后5个工作日内执合同予以退还（无息）</w:t>
      </w:r>
      <w:r>
        <w:rPr>
          <w:rFonts w:hint="eastAsia" w:ascii="宋体" w:hAnsi="宋体" w:eastAsia="宋体" w:cs="宋体"/>
          <w:b/>
          <w:bCs/>
          <w:spacing w:val="-6"/>
          <w:sz w:val="24"/>
          <w:szCs w:val="24"/>
        </w:rPr>
        <w:t>。</w:t>
      </w:r>
    </w:p>
    <w:p w14:paraId="3DC1C834">
      <w:pPr>
        <w:pageBreakBefore w:val="0"/>
        <w:tabs>
          <w:tab w:val="left" w:pos="2700"/>
        </w:tabs>
        <w:kinsoku/>
        <w:wordWrap/>
        <w:overflowPunct/>
        <w:topLinePunct w:val="0"/>
        <w:bidi w:val="0"/>
        <w:spacing w:line="360" w:lineRule="auto"/>
        <w:ind w:firstLine="56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发生下列情况之一时，磋商保证金将不予退还，提供担保函的供应商将由专业担保机构先行偿付</w:t>
      </w:r>
      <w:r>
        <w:rPr>
          <w:rFonts w:hint="eastAsia" w:ascii="宋体" w:hAnsi="宋体" w:eastAsia="宋体" w:cs="宋体"/>
          <w:b w:val="0"/>
          <w:bCs/>
          <w:sz w:val="24"/>
          <w:szCs w:val="24"/>
          <w:lang w:eastAsia="zh-CN"/>
        </w:rPr>
        <w:t>采购人</w:t>
      </w:r>
      <w:r>
        <w:rPr>
          <w:rFonts w:hint="eastAsia" w:ascii="宋体" w:hAnsi="宋体" w:eastAsia="宋体" w:cs="宋体"/>
          <w:b w:val="0"/>
          <w:bCs/>
          <w:sz w:val="24"/>
          <w:szCs w:val="24"/>
        </w:rPr>
        <w:t>损失：</w:t>
      </w:r>
    </w:p>
    <w:p w14:paraId="5C583414">
      <w:pPr>
        <w:pageBreakBefore w:val="0"/>
        <w:tabs>
          <w:tab w:val="left" w:pos="2700"/>
        </w:tabs>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5-1供应商提供虚假资质谋取成交的；</w:t>
      </w:r>
    </w:p>
    <w:p w14:paraId="48B50CF6">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5-2供应商有围标、串标现象，经查证属实的；</w:t>
      </w:r>
    </w:p>
    <w:p w14:paraId="71D25EE6">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5-3供应商在该项目磋商期间擅自退出磋商活动的；</w:t>
      </w:r>
    </w:p>
    <w:p w14:paraId="15BB4823">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5-4磋商截止时间后供应商撤销磋商响应文件的；</w:t>
      </w:r>
    </w:p>
    <w:p w14:paraId="36642F6B">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5-5供应商自行放弃成交资格的；</w:t>
      </w:r>
    </w:p>
    <w:p w14:paraId="30706D2A">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5-6成交供应商不在规定的时效内领取《成交通知书》的；</w:t>
      </w:r>
    </w:p>
    <w:p w14:paraId="564CDC87">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5-7成交供应商不按规定支付磋商服务费的；</w:t>
      </w:r>
    </w:p>
    <w:p w14:paraId="17B2E906">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5-8成交供应商因自身原因未能在规定期限内与</w:t>
      </w:r>
      <w:r>
        <w:rPr>
          <w:rFonts w:hint="eastAsia" w:ascii="宋体" w:hAnsi="宋体" w:eastAsia="宋体" w:cs="宋体"/>
          <w:sz w:val="24"/>
          <w:szCs w:val="24"/>
          <w:lang w:eastAsia="zh-CN"/>
        </w:rPr>
        <w:t>采购人</w:t>
      </w:r>
      <w:r>
        <w:rPr>
          <w:rFonts w:hint="eastAsia" w:ascii="宋体" w:hAnsi="宋体" w:eastAsia="宋体" w:cs="宋体"/>
          <w:sz w:val="24"/>
          <w:szCs w:val="24"/>
        </w:rPr>
        <w:t>签订合同的。</w:t>
      </w:r>
    </w:p>
    <w:p w14:paraId="5093B5CC">
      <w:pPr>
        <w:pageBreakBefore w:val="0"/>
        <w:kinsoku/>
        <w:wordWrap/>
        <w:overflowPunct/>
        <w:topLinePunct w:val="0"/>
        <w:bidi w:val="0"/>
        <w:spacing w:line="360" w:lineRule="auto"/>
        <w:ind w:firstLine="551"/>
        <w:textAlignment w:val="auto"/>
        <w:outlineLvl w:val="1"/>
        <w:rPr>
          <w:rFonts w:hint="eastAsia" w:ascii="宋体" w:hAnsi="宋体" w:eastAsia="宋体" w:cs="宋体"/>
          <w:b/>
          <w:sz w:val="24"/>
          <w:szCs w:val="24"/>
        </w:rPr>
      </w:pPr>
      <w:bookmarkStart w:id="26" w:name="_Toc3290"/>
      <w:r>
        <w:rPr>
          <w:rFonts w:hint="eastAsia" w:ascii="宋体" w:hAnsi="宋体" w:eastAsia="宋体" w:cs="宋体"/>
          <w:b/>
          <w:sz w:val="24"/>
          <w:szCs w:val="24"/>
        </w:rPr>
        <w:t>六、磋商响应</w:t>
      </w:r>
      <w:bookmarkEnd w:id="26"/>
    </w:p>
    <w:p w14:paraId="2FE80CF8">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磋商响应文件、必备资质文件的递交：</w:t>
      </w:r>
    </w:p>
    <w:p w14:paraId="5544038C">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1-1供应商应在磋商截止时间前将磋商响应文件密封送达磋商地点；</w:t>
      </w:r>
    </w:p>
    <w:p w14:paraId="52BDEEAB">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本次磋商不接受邮寄的磋商响应文件。</w:t>
      </w:r>
    </w:p>
    <w:p w14:paraId="79C72C2F">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bCs/>
          <w:sz w:val="24"/>
          <w:szCs w:val="24"/>
        </w:rPr>
        <w:t>竞争性磋商</w:t>
      </w:r>
      <w:r>
        <w:rPr>
          <w:rFonts w:hint="eastAsia" w:ascii="宋体" w:hAnsi="宋体" w:eastAsia="宋体" w:cs="宋体"/>
          <w:sz w:val="24"/>
          <w:szCs w:val="24"/>
        </w:rPr>
        <w:t>响应文件的补充、修改与撤回：</w:t>
      </w:r>
    </w:p>
    <w:p w14:paraId="6CE86F19">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2-1供应商在递交</w:t>
      </w:r>
      <w:r>
        <w:rPr>
          <w:rFonts w:hint="eastAsia" w:ascii="宋体" w:hAnsi="宋体" w:eastAsia="宋体" w:cs="宋体"/>
          <w:bCs/>
          <w:sz w:val="24"/>
          <w:szCs w:val="24"/>
        </w:rPr>
        <w:t>磋商</w:t>
      </w:r>
      <w:r>
        <w:rPr>
          <w:rFonts w:hint="eastAsia" w:ascii="宋体" w:hAnsi="宋体" w:eastAsia="宋体" w:cs="宋体"/>
          <w:sz w:val="24"/>
          <w:szCs w:val="24"/>
        </w:rPr>
        <w:t>响应文件以后，在规定的磋商截止时间之前,可以书面形式补充、修改或撤回已递交的</w:t>
      </w:r>
      <w:r>
        <w:rPr>
          <w:rFonts w:hint="eastAsia" w:ascii="宋体" w:hAnsi="宋体" w:eastAsia="宋体" w:cs="宋体"/>
          <w:bCs/>
          <w:sz w:val="24"/>
          <w:szCs w:val="24"/>
        </w:rPr>
        <w:t>磋商</w:t>
      </w:r>
      <w:r>
        <w:rPr>
          <w:rFonts w:hint="eastAsia" w:ascii="宋体" w:hAnsi="宋体" w:eastAsia="宋体" w:cs="宋体"/>
          <w:sz w:val="24"/>
          <w:szCs w:val="24"/>
        </w:rPr>
        <w:t>响应文件，并以书面形式通知代理机构。补充、修改的内容应当按磋商文件要求密封、签署、盖章，并作为</w:t>
      </w:r>
      <w:r>
        <w:rPr>
          <w:rFonts w:hint="eastAsia" w:ascii="宋体" w:hAnsi="宋体" w:eastAsia="宋体" w:cs="宋体"/>
          <w:bCs/>
          <w:sz w:val="24"/>
          <w:szCs w:val="24"/>
        </w:rPr>
        <w:t>磋商</w:t>
      </w:r>
      <w:r>
        <w:rPr>
          <w:rFonts w:hint="eastAsia" w:ascii="宋体" w:hAnsi="宋体" w:eastAsia="宋体" w:cs="宋体"/>
          <w:sz w:val="24"/>
          <w:szCs w:val="24"/>
        </w:rPr>
        <w:t>响应文件的组成部分；补充、修改的内容与相应文件不一致的，以补充、修改的内容为准。</w:t>
      </w:r>
    </w:p>
    <w:p w14:paraId="465FDF88">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w:t>
      </w:r>
      <w:r>
        <w:rPr>
          <w:rFonts w:hint="eastAsia" w:ascii="宋体" w:hAnsi="宋体" w:eastAsia="宋体" w:cs="宋体"/>
          <w:sz w:val="24"/>
          <w:szCs w:val="24"/>
        </w:rPr>
        <w:t>供应商提出修改和撤标要求的，须在磋商截止时间前密封送到代理机构，并在封面上加注“修改”字样。</w:t>
      </w:r>
    </w:p>
    <w:p w14:paraId="05881B63">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val="en-US" w:eastAsia="zh-CN"/>
        </w:rPr>
        <w:t>.</w:t>
      </w:r>
      <w:r>
        <w:rPr>
          <w:rFonts w:hint="eastAsia" w:ascii="宋体" w:hAnsi="宋体" w:eastAsia="宋体" w:cs="宋体"/>
          <w:sz w:val="24"/>
          <w:szCs w:val="24"/>
        </w:rPr>
        <w:t>供应商提出撤标要求的，须在磋商截止时间前以书面形式（经由法定代表人或被授权人签字）通知代理机构。如采取传真形式撤回磋商，随后必须补充有法定代表人或被授权人签署的要求撤回磋商的正式文件。代理机构摄像留存后，将要“撤回”的磋商响应文件（包含纸质及电子版）退还供应商，供应商签字确认领取。</w:t>
      </w:r>
    </w:p>
    <w:p w14:paraId="29AD71D5">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lang w:val="en-US" w:eastAsia="zh-CN"/>
        </w:rPr>
        <w:t>.</w:t>
      </w:r>
      <w:r>
        <w:rPr>
          <w:rFonts w:hint="eastAsia" w:ascii="宋体" w:hAnsi="宋体" w:eastAsia="宋体" w:cs="宋体"/>
          <w:sz w:val="24"/>
          <w:szCs w:val="24"/>
        </w:rPr>
        <w:t>磋商截止时间之后，供应商不得补充、修改</w:t>
      </w:r>
      <w:r>
        <w:rPr>
          <w:rFonts w:hint="eastAsia" w:ascii="宋体" w:hAnsi="宋体" w:eastAsia="宋体" w:cs="宋体"/>
          <w:bCs/>
          <w:sz w:val="24"/>
          <w:szCs w:val="24"/>
        </w:rPr>
        <w:t>磋商</w:t>
      </w:r>
      <w:r>
        <w:rPr>
          <w:rFonts w:hint="eastAsia" w:ascii="宋体" w:hAnsi="宋体" w:eastAsia="宋体" w:cs="宋体"/>
          <w:sz w:val="24"/>
          <w:szCs w:val="24"/>
        </w:rPr>
        <w:t>响应文件；</w:t>
      </w:r>
    </w:p>
    <w:p w14:paraId="47830790">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lang w:val="en-US" w:eastAsia="zh-CN"/>
        </w:rPr>
        <w:t>.</w:t>
      </w:r>
      <w:r>
        <w:rPr>
          <w:rFonts w:hint="eastAsia" w:ascii="宋体" w:hAnsi="宋体" w:eastAsia="宋体" w:cs="宋体"/>
          <w:sz w:val="24"/>
          <w:szCs w:val="24"/>
        </w:rPr>
        <w:t>在磋商截止时间至磋商有效期满之前，供应商不得撤回其</w:t>
      </w:r>
      <w:r>
        <w:rPr>
          <w:rFonts w:hint="eastAsia" w:ascii="宋体" w:hAnsi="宋体" w:eastAsia="宋体" w:cs="宋体"/>
          <w:bCs/>
          <w:sz w:val="24"/>
          <w:szCs w:val="24"/>
        </w:rPr>
        <w:t>磋商</w:t>
      </w:r>
      <w:r>
        <w:rPr>
          <w:rFonts w:hint="eastAsia" w:ascii="宋体" w:hAnsi="宋体" w:eastAsia="宋体" w:cs="宋体"/>
          <w:sz w:val="24"/>
          <w:szCs w:val="24"/>
        </w:rPr>
        <w:t>响应文件，否则其磋商保证金将不予退还，提供磋商担保的供应商将由专业担保机构先行偿付损失。</w:t>
      </w:r>
    </w:p>
    <w:p w14:paraId="51C63F85">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磋商有效期：</w:t>
      </w:r>
    </w:p>
    <w:p w14:paraId="5358147F">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3-1自磋商之日起算90个日历日。</w:t>
      </w:r>
      <w:bookmarkStart w:id="27" w:name="OLE_LINK15"/>
      <w:bookmarkEnd w:id="27"/>
      <w:r>
        <w:rPr>
          <w:rFonts w:hint="eastAsia" w:ascii="宋体" w:hAnsi="宋体" w:eastAsia="宋体" w:cs="宋体"/>
          <w:sz w:val="24"/>
          <w:szCs w:val="24"/>
        </w:rPr>
        <w:t>供应商磋商有效期短于磋商文件规定的磋商有效期，按无效响应处理。成交单位的磋商有效期延长至合同执行完毕。</w:t>
      </w:r>
    </w:p>
    <w:p w14:paraId="3B2637F8">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3-2在原磋商有效期结束前，代理机构可要求供应商延长磋商有效期。拒绝延长磋商有效期的供应商有权收回磋商保证金，但不得参与该项目后续采购活动。同意延长磋商有效期的供应商应相应延长磋商担保的有效期，但不得修改</w:t>
      </w:r>
      <w:r>
        <w:rPr>
          <w:rFonts w:hint="eastAsia" w:ascii="宋体" w:hAnsi="宋体" w:eastAsia="宋体" w:cs="宋体"/>
          <w:bCs/>
          <w:sz w:val="24"/>
          <w:szCs w:val="24"/>
        </w:rPr>
        <w:t>磋商</w:t>
      </w:r>
      <w:r>
        <w:rPr>
          <w:rFonts w:hint="eastAsia" w:ascii="宋体" w:hAnsi="宋体" w:eastAsia="宋体" w:cs="宋体"/>
          <w:sz w:val="24"/>
          <w:szCs w:val="24"/>
        </w:rPr>
        <w:t>响应文件的实质性内容。</w:t>
      </w:r>
    </w:p>
    <w:p w14:paraId="274BEFAB">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供应商有下列情形之一的，属于恶意串通，对其依照《</w:t>
      </w:r>
      <w:r>
        <w:rPr>
          <w:rFonts w:hint="eastAsia" w:ascii="宋体" w:hAnsi="宋体" w:eastAsia="宋体" w:cs="宋体"/>
          <w:sz w:val="24"/>
          <w:szCs w:val="24"/>
          <w:lang w:eastAsia="zh-CN"/>
        </w:rPr>
        <w:t>中华人民共和国政府采购法</w:t>
      </w:r>
      <w:r>
        <w:rPr>
          <w:rFonts w:hint="eastAsia" w:ascii="宋体" w:hAnsi="宋体" w:eastAsia="宋体" w:cs="宋体"/>
          <w:sz w:val="24"/>
          <w:szCs w:val="24"/>
        </w:rPr>
        <w:t>》第七十七条第一款的规定追究法律责任，磋商无效：</w:t>
      </w:r>
    </w:p>
    <w:p w14:paraId="03325D77">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4-1供应商直接或者间接从</w:t>
      </w:r>
      <w:r>
        <w:rPr>
          <w:rFonts w:hint="eastAsia" w:ascii="宋体" w:hAnsi="宋体" w:eastAsia="宋体" w:cs="宋体"/>
          <w:sz w:val="24"/>
          <w:szCs w:val="24"/>
          <w:lang w:eastAsia="zh-CN"/>
        </w:rPr>
        <w:t>采购人</w:t>
      </w:r>
      <w:r>
        <w:rPr>
          <w:rFonts w:hint="eastAsia" w:ascii="宋体" w:hAnsi="宋体" w:eastAsia="宋体" w:cs="宋体"/>
          <w:sz w:val="24"/>
          <w:szCs w:val="24"/>
        </w:rPr>
        <w:t>或代理机构处获得其他供应商的相关情况并修改其磋商响应文件；</w:t>
      </w:r>
    </w:p>
    <w:p w14:paraId="4058BE87">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4-2供应商按照</w:t>
      </w:r>
      <w:r>
        <w:rPr>
          <w:rFonts w:hint="eastAsia" w:ascii="宋体" w:hAnsi="宋体" w:eastAsia="宋体" w:cs="宋体"/>
          <w:sz w:val="24"/>
          <w:szCs w:val="24"/>
          <w:lang w:eastAsia="zh-CN"/>
        </w:rPr>
        <w:t>采购人</w:t>
      </w:r>
      <w:r>
        <w:rPr>
          <w:rFonts w:hint="eastAsia" w:ascii="宋体" w:hAnsi="宋体" w:eastAsia="宋体" w:cs="宋体"/>
          <w:sz w:val="24"/>
          <w:szCs w:val="24"/>
        </w:rPr>
        <w:t>或代理机构的授意撤换、修改磋商响应文件；</w:t>
      </w:r>
    </w:p>
    <w:p w14:paraId="25ADFBFB">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4-3供应商之间协商报价、技术方案等磋商响应文件的实质性内容；</w:t>
      </w:r>
    </w:p>
    <w:p w14:paraId="02021907">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4-4属于同一集团、协会、商会等组织成员的供应商按照该组织要求协同参加政府采购活动；</w:t>
      </w:r>
    </w:p>
    <w:p w14:paraId="32C2431D">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4-5供应商之间事先约定由某一特定供应商成交；</w:t>
      </w:r>
    </w:p>
    <w:p w14:paraId="62F82510">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4-6供应商之间商定部分供应商放弃参加政府采购活动或放弃成交；</w:t>
      </w:r>
    </w:p>
    <w:p w14:paraId="11A88168">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4-7供应商相互之间，为谋求特定供应商成交或排斥其他供应商的其他串通行为。</w:t>
      </w:r>
    </w:p>
    <w:p w14:paraId="681E3911">
      <w:pPr>
        <w:pageBreakBefore w:val="0"/>
        <w:kinsoku/>
        <w:wordWrap/>
        <w:overflowPunct/>
        <w:topLinePunct w:val="0"/>
        <w:bidi w:val="0"/>
        <w:spacing w:line="360" w:lineRule="auto"/>
        <w:ind w:firstLine="560"/>
        <w:textAlignment w:val="auto"/>
        <w:rPr>
          <w:rFonts w:hint="eastAsia" w:ascii="宋体" w:hAnsi="宋体" w:eastAsia="宋体" w:cs="宋体"/>
          <w:b/>
          <w:sz w:val="24"/>
          <w:szCs w:val="24"/>
        </w:rPr>
      </w:pPr>
      <w:r>
        <w:rPr>
          <w:rFonts w:hint="eastAsia" w:ascii="宋体" w:hAnsi="宋体" w:eastAsia="宋体" w:cs="宋体"/>
          <w:b/>
          <w:sz w:val="24"/>
          <w:szCs w:val="24"/>
        </w:rPr>
        <w:t>5</w:t>
      </w:r>
      <w:r>
        <w:rPr>
          <w:rFonts w:hint="eastAsia" w:ascii="宋体" w:hAnsi="宋体" w:eastAsia="宋体" w:cs="宋体"/>
          <w:b/>
          <w:sz w:val="24"/>
          <w:szCs w:val="24"/>
          <w:lang w:val="en-US" w:eastAsia="zh-CN"/>
        </w:rPr>
        <w:t>.</w:t>
      </w:r>
      <w:r>
        <w:rPr>
          <w:rFonts w:hint="eastAsia" w:ascii="宋体" w:hAnsi="宋体" w:eastAsia="宋体" w:cs="宋体"/>
          <w:b/>
          <w:sz w:val="24"/>
          <w:szCs w:val="24"/>
        </w:rPr>
        <w:t>有下列情形之一的，视为供应商串通磋商，其磋商无效：</w:t>
      </w:r>
    </w:p>
    <w:p w14:paraId="76395301">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5-1不同供应商的磋商响应文件由同一单位或者个人编制；</w:t>
      </w:r>
    </w:p>
    <w:p w14:paraId="4A488932">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5-2不同供应商委托同一单位或者个人办理磋商事宜；</w:t>
      </w:r>
    </w:p>
    <w:p w14:paraId="51B03B8F">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5-3不同供应商的磋商响应文件载明的项目管理成员或者联系人为同一人；</w:t>
      </w:r>
    </w:p>
    <w:p w14:paraId="6AEFF218">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5-4不同供应商的磋商响应文件异常一致或者磋商报价呈现规律性差异；</w:t>
      </w:r>
    </w:p>
    <w:p w14:paraId="711F408F">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5-5不同供应商的磋商响应文件相互混装；</w:t>
      </w:r>
    </w:p>
    <w:p w14:paraId="2019B9F1">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5-6不同供应商的磋商保证金从同一单位或者个人的账户转出。</w:t>
      </w:r>
    </w:p>
    <w:p w14:paraId="080C181B">
      <w:pPr>
        <w:pageBreakBefore w:val="0"/>
        <w:tabs>
          <w:tab w:val="left" w:pos="2700"/>
        </w:tabs>
        <w:kinsoku/>
        <w:wordWrap/>
        <w:overflowPunct/>
        <w:topLinePunct w:val="0"/>
        <w:bidi w:val="0"/>
        <w:spacing w:line="360" w:lineRule="auto"/>
        <w:ind w:firstLine="560"/>
        <w:textAlignment w:val="auto"/>
        <w:rPr>
          <w:rFonts w:hint="eastAsia" w:ascii="宋体" w:hAnsi="宋体" w:eastAsia="宋体" w:cs="宋体"/>
          <w:b/>
          <w:sz w:val="24"/>
          <w:szCs w:val="24"/>
        </w:rPr>
      </w:pPr>
      <w:r>
        <w:rPr>
          <w:rFonts w:hint="eastAsia" w:ascii="宋体" w:hAnsi="宋体" w:eastAsia="宋体" w:cs="宋体"/>
          <w:b/>
          <w:sz w:val="24"/>
          <w:szCs w:val="24"/>
        </w:rPr>
        <w:t>6</w:t>
      </w:r>
      <w:r>
        <w:rPr>
          <w:rFonts w:hint="eastAsia" w:ascii="宋体" w:hAnsi="宋体" w:eastAsia="宋体" w:cs="宋体"/>
          <w:b/>
          <w:sz w:val="24"/>
          <w:szCs w:val="24"/>
          <w:lang w:val="en-US" w:eastAsia="zh-CN"/>
        </w:rPr>
        <w:t>.</w:t>
      </w:r>
      <w:r>
        <w:rPr>
          <w:rFonts w:hint="eastAsia" w:ascii="宋体" w:hAnsi="宋体" w:eastAsia="宋体" w:cs="宋体"/>
          <w:b/>
          <w:sz w:val="24"/>
          <w:szCs w:val="24"/>
        </w:rPr>
        <w:t>磋商无效的情形：</w:t>
      </w:r>
    </w:p>
    <w:p w14:paraId="1D6CA0B0">
      <w:pPr>
        <w:pageBreakBefore w:val="0"/>
        <w:tabs>
          <w:tab w:val="left" w:pos="2700"/>
        </w:tabs>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6-1未按照磋商文件的规定提交磋商保证金的；</w:t>
      </w:r>
    </w:p>
    <w:p w14:paraId="1A3B1C63">
      <w:pPr>
        <w:pageBreakBefore w:val="0"/>
        <w:tabs>
          <w:tab w:val="left" w:pos="2700"/>
        </w:tabs>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6-2磋商响应文件未按磋商文件要求签署、盖章的；</w:t>
      </w:r>
    </w:p>
    <w:p w14:paraId="4832964E">
      <w:pPr>
        <w:pageBreakBefore w:val="0"/>
        <w:tabs>
          <w:tab w:val="left" w:pos="2700"/>
        </w:tabs>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6-3不具备磋商文件中规定的资格要求的；</w:t>
      </w:r>
    </w:p>
    <w:p w14:paraId="330A6D5E">
      <w:pPr>
        <w:pageBreakBefore w:val="0"/>
        <w:tabs>
          <w:tab w:val="left" w:pos="2700"/>
        </w:tabs>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6-4报价超过磋商文件中规定的预算金额的；</w:t>
      </w:r>
    </w:p>
    <w:p w14:paraId="49C1FE7C">
      <w:pPr>
        <w:pageBreakBefore w:val="0"/>
        <w:tabs>
          <w:tab w:val="left" w:pos="2700"/>
        </w:tabs>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6-5磋商响应文件含有</w:t>
      </w:r>
      <w:r>
        <w:rPr>
          <w:rFonts w:hint="eastAsia" w:ascii="宋体" w:hAnsi="宋体" w:eastAsia="宋体" w:cs="宋体"/>
          <w:sz w:val="24"/>
          <w:szCs w:val="24"/>
          <w:lang w:eastAsia="zh-CN"/>
        </w:rPr>
        <w:t>采购人</w:t>
      </w:r>
      <w:r>
        <w:rPr>
          <w:rFonts w:hint="eastAsia" w:ascii="宋体" w:hAnsi="宋体" w:eastAsia="宋体" w:cs="宋体"/>
          <w:sz w:val="24"/>
          <w:szCs w:val="24"/>
        </w:rPr>
        <w:t>不能接受的附加条件的；</w:t>
      </w:r>
    </w:p>
    <w:p w14:paraId="67A60551">
      <w:pPr>
        <w:pageBreakBefore w:val="0"/>
        <w:tabs>
          <w:tab w:val="left" w:pos="2700"/>
        </w:tabs>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6-6提供虚假材料谋取成交的；</w:t>
      </w:r>
    </w:p>
    <w:p w14:paraId="5B7A6D65">
      <w:pPr>
        <w:pageBreakBefore w:val="0"/>
        <w:tabs>
          <w:tab w:val="left" w:pos="2700"/>
        </w:tabs>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6-7采取不正当手段诋毁、排挤其他供应商的；</w:t>
      </w:r>
    </w:p>
    <w:p w14:paraId="584692FE">
      <w:pPr>
        <w:pageBreakBefore w:val="0"/>
        <w:tabs>
          <w:tab w:val="left" w:pos="2700"/>
        </w:tabs>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6-8法律、法规和磋商文件规定的其他无效情形。</w:t>
      </w:r>
    </w:p>
    <w:p w14:paraId="6DA6B1EA">
      <w:pPr>
        <w:pageBreakBefore w:val="0"/>
        <w:kinsoku/>
        <w:wordWrap/>
        <w:overflowPunct/>
        <w:topLinePunct w:val="0"/>
        <w:bidi w:val="0"/>
        <w:spacing w:line="360" w:lineRule="auto"/>
        <w:ind w:firstLine="482" w:firstLineChars="200"/>
        <w:textAlignment w:val="auto"/>
        <w:outlineLvl w:val="1"/>
        <w:rPr>
          <w:rFonts w:hint="eastAsia" w:ascii="宋体" w:hAnsi="宋体" w:eastAsia="宋体" w:cs="宋体"/>
          <w:sz w:val="24"/>
          <w:szCs w:val="24"/>
        </w:rPr>
      </w:pPr>
      <w:bookmarkStart w:id="28" w:name="_Toc31921"/>
      <w:r>
        <w:rPr>
          <w:rFonts w:hint="eastAsia" w:ascii="宋体" w:hAnsi="宋体" w:eastAsia="宋体" w:cs="宋体"/>
          <w:b/>
          <w:sz w:val="24"/>
          <w:szCs w:val="24"/>
        </w:rPr>
        <w:t>七、磋商会议、评审及定标</w:t>
      </w:r>
      <w:bookmarkEnd w:id="28"/>
    </w:p>
    <w:p w14:paraId="6232D48F">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磋商会议</w:t>
      </w:r>
    </w:p>
    <w:p w14:paraId="58DC0C49">
      <w:pPr>
        <w:pageBreakBefore w:val="0"/>
        <w:kinsoku/>
        <w:wordWrap/>
        <w:overflowPunct/>
        <w:topLinePunct w:val="0"/>
        <w:bidi w:val="0"/>
        <w:spacing w:line="360" w:lineRule="auto"/>
        <w:ind w:firstLine="548"/>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1-1、采购代理机构按磋商文件规定的时间和地点组织磋商会议。</w:t>
      </w:r>
    </w:p>
    <w:p w14:paraId="4F1441CC">
      <w:pPr>
        <w:pageBreakBefore w:val="0"/>
        <w:kinsoku/>
        <w:wordWrap/>
        <w:overflowPunct/>
        <w:topLinePunct w:val="0"/>
        <w:bidi w:val="0"/>
        <w:spacing w:line="360" w:lineRule="auto"/>
        <w:ind w:firstLine="548"/>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1-2、所有参会人员应签名报到，以证明其出席。供应商未参加磋商的，视同认可磋商结果。</w:t>
      </w:r>
    </w:p>
    <w:p w14:paraId="0AC68A15">
      <w:pPr>
        <w:pageBreakBefore w:val="0"/>
        <w:kinsoku/>
        <w:wordWrap/>
        <w:overflowPunct/>
        <w:topLinePunct w:val="0"/>
        <w:bidi w:val="0"/>
        <w:spacing w:line="360" w:lineRule="auto"/>
        <w:ind w:firstLine="548"/>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1-3、磋商会议由采购代理机构主持。主持人宣读磋商会议开始，宣读会场纪律，宣布参加会议的供应商名单。</w:t>
      </w:r>
    </w:p>
    <w:p w14:paraId="72DBEA20">
      <w:pPr>
        <w:pageBreakBefore w:val="0"/>
        <w:kinsoku/>
        <w:wordWrap/>
        <w:overflowPunct/>
        <w:topLinePunct w:val="0"/>
        <w:bidi w:val="0"/>
        <w:spacing w:line="360" w:lineRule="auto"/>
        <w:ind w:firstLine="54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、供应商代表对磋商过程和磋商记录有疑义的，以及认为采购人、采购代理机构相关工作人员有需要回避的情形的，应当场提出询问或回避申请。</w:t>
      </w:r>
    </w:p>
    <w:p w14:paraId="5FD11FDC">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资格审查</w:t>
      </w:r>
    </w:p>
    <w:p w14:paraId="7F42A5F6">
      <w:pPr>
        <w:pageBreakBefore w:val="0"/>
        <w:kinsoku/>
        <w:wordWrap/>
        <w:overflowPunct/>
        <w:topLinePunct w:val="0"/>
        <w:bidi w:val="0"/>
        <w:spacing w:line="360" w:lineRule="auto"/>
        <w:ind w:firstLine="482" w:firstLineChars="200"/>
        <w:jc w:val="left"/>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磋商会议结束后，由</w:t>
      </w:r>
      <w:r>
        <w:rPr>
          <w:rFonts w:hint="eastAsia" w:ascii="宋体" w:hAnsi="宋体" w:eastAsia="宋体" w:cs="宋体"/>
          <w:b/>
          <w:bCs w:val="0"/>
          <w:sz w:val="24"/>
          <w:szCs w:val="24"/>
          <w:lang w:eastAsia="zh-CN"/>
        </w:rPr>
        <w:t>采购方代表</w:t>
      </w:r>
      <w:r>
        <w:rPr>
          <w:rFonts w:hint="eastAsia" w:ascii="宋体" w:hAnsi="宋体" w:eastAsia="宋体" w:cs="宋体"/>
          <w:b/>
          <w:bCs w:val="0"/>
          <w:sz w:val="24"/>
          <w:szCs w:val="24"/>
        </w:rPr>
        <w:t>对供应商的资格进行审查，审查合格的供应商方可进入评审阶段，不合格的供应商其磋商响应无效。</w:t>
      </w:r>
    </w:p>
    <w:tbl>
      <w:tblPr>
        <w:tblStyle w:val="22"/>
        <w:tblW w:w="49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8102"/>
        <w:gridCol w:w="848"/>
      </w:tblGrid>
      <w:tr w14:paraId="1E21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vAlign w:val="center"/>
          </w:tcPr>
          <w:p w14:paraId="06E84765">
            <w:pPr>
              <w:pageBreakBefore w:val="0"/>
              <w:kinsoku/>
              <w:overflowPunct/>
              <w:topLinePunct w:val="0"/>
              <w:bidi w:val="0"/>
              <w:spacing w:line="360" w:lineRule="auto"/>
              <w:jc w:val="center"/>
              <w:textAlignment w:val="auto"/>
              <w:rPr>
                <w:rFonts w:hint="eastAsia" w:ascii="宋体" w:hAnsi="宋体" w:eastAsia="宋体" w:cs="宋体"/>
                <w:sz w:val="22"/>
                <w:szCs w:val="22"/>
                <w:highlight w:val="none"/>
                <w:lang w:eastAsia="zh-CN"/>
              </w:rPr>
            </w:pPr>
            <w:r>
              <w:rPr>
                <w:rFonts w:hint="eastAsia" w:ascii="宋体" w:hAnsi="宋体" w:eastAsia="宋体" w:cs="宋体"/>
                <w:b/>
                <w:bCs/>
                <w:sz w:val="22"/>
                <w:szCs w:val="22"/>
                <w:highlight w:val="none"/>
                <w:lang w:eastAsia="zh-CN"/>
              </w:rPr>
              <w:t>供应商资格要求</w:t>
            </w:r>
          </w:p>
        </w:tc>
        <w:tc>
          <w:tcPr>
            <w:tcW w:w="4284" w:type="pct"/>
            <w:vAlign w:val="center"/>
          </w:tcPr>
          <w:p w14:paraId="5DA4033C">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具有独立承担民事责任能力的法人、其他组织或自然人，并出具合法有效的统一社会信用代码的营业执照或事业单位法人证书等国家规定的相关证明，自然人参与的提供其身份证明。</w:t>
            </w:r>
          </w:p>
          <w:p w14:paraId="25E8CD8F">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财务状况：</w:t>
            </w:r>
            <w:r>
              <w:rPr>
                <w:rFonts w:hint="eastAsia" w:ascii="宋体" w:hAnsi="宋体" w:eastAsia="宋体" w:cs="宋体"/>
                <w:i w:val="0"/>
                <w:iCs w:val="0"/>
                <w:caps w:val="0"/>
                <w:color w:val="auto"/>
                <w:spacing w:val="0"/>
                <w:sz w:val="24"/>
                <w:szCs w:val="24"/>
                <w:shd w:val="clear" w:fill="FFFFFF"/>
                <w:lang w:eastAsia="zh-CN"/>
              </w:rPr>
              <w:t>提供202</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eastAsia="zh-CN"/>
              </w:rPr>
              <w:t>年度或202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eastAsia="zh-CN"/>
              </w:rPr>
              <w:t>年度的财务审计报告（成立时间至提交投标文件截止时间不足一年的可提供成立后任意时段的资产负债表），或开标前半年内其基本存款账户开户银行出具的资信证明。</w:t>
            </w:r>
          </w:p>
          <w:p w14:paraId="6D63873C">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完税证明：</w:t>
            </w:r>
            <w:r>
              <w:rPr>
                <w:rFonts w:hint="eastAsia" w:ascii="宋体" w:hAnsi="宋体" w:eastAsia="宋体" w:cs="宋体"/>
                <w:i w:val="0"/>
                <w:iCs w:val="0"/>
                <w:caps w:val="0"/>
                <w:color w:val="auto"/>
                <w:spacing w:val="0"/>
                <w:sz w:val="24"/>
                <w:szCs w:val="24"/>
                <w:shd w:val="clear" w:fill="FFFFFF"/>
                <w:lang w:eastAsia="zh-CN"/>
              </w:rPr>
              <w:t>提供2024年7月至今已缴纳的至少三个月的纳税证明或完税证明，依法免税的单位应提供相关证明材料</w:t>
            </w:r>
            <w:r>
              <w:rPr>
                <w:rFonts w:hint="eastAsia" w:ascii="宋体" w:hAnsi="宋体" w:eastAsia="宋体" w:cs="宋体"/>
                <w:i w:val="0"/>
                <w:iCs w:val="0"/>
                <w:caps w:val="0"/>
                <w:color w:val="auto"/>
                <w:spacing w:val="0"/>
                <w:sz w:val="24"/>
                <w:szCs w:val="24"/>
                <w:shd w:val="clear" w:fill="FFFFFF"/>
              </w:rPr>
              <w:t>。</w:t>
            </w:r>
          </w:p>
          <w:p w14:paraId="2FEEEF4E">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4</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社保缴纳情况：</w:t>
            </w:r>
            <w:r>
              <w:rPr>
                <w:rFonts w:hint="eastAsia" w:ascii="宋体" w:hAnsi="宋体" w:eastAsia="宋体" w:cs="宋体"/>
                <w:i w:val="0"/>
                <w:iCs w:val="0"/>
                <w:caps w:val="0"/>
                <w:color w:val="auto"/>
                <w:spacing w:val="0"/>
                <w:sz w:val="24"/>
                <w:szCs w:val="24"/>
                <w:shd w:val="clear" w:fill="FFFFFF"/>
                <w:lang w:eastAsia="zh-CN"/>
              </w:rPr>
              <w:t>提供2024年7月至今已缴存的至少三个月的社会保障资金缴存单据或社保机构开具的社会保险参保缴费情况证明，依法不需要缴纳社会保障资金的单位应提供相关证明材料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t>。</w:t>
            </w:r>
          </w:p>
          <w:p w14:paraId="5571AC33">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5</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参加本次政府采购活动前三年内，在经营活动中没有重大违法记录声明。</w:t>
            </w:r>
          </w:p>
          <w:p w14:paraId="20809D4A">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6</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提供具有履行合同所必需的设备和专业技术能力的承诺函（格式自拟）。</w:t>
            </w:r>
          </w:p>
          <w:p w14:paraId="5635C62E">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7</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法定代表人授权书及被授权人身份证</w:t>
            </w:r>
            <w:r>
              <w:rPr>
                <w:rFonts w:hint="eastAsia" w:ascii="宋体" w:hAnsi="宋体" w:eastAsia="宋体" w:cs="宋体"/>
                <w:i w:val="0"/>
                <w:iCs w:val="0"/>
                <w:caps w:val="0"/>
                <w:color w:val="auto"/>
                <w:spacing w:val="0"/>
                <w:sz w:val="24"/>
                <w:szCs w:val="24"/>
                <w:shd w:val="clear" w:fill="FFFFFF"/>
                <w:lang w:eastAsia="zh-CN"/>
              </w:rPr>
              <w:t>复印件加盖公章</w:t>
            </w:r>
            <w:r>
              <w:rPr>
                <w:rFonts w:hint="eastAsia" w:ascii="宋体" w:hAnsi="宋体" w:eastAsia="宋体" w:cs="宋体"/>
                <w:i w:val="0"/>
                <w:iCs w:val="0"/>
                <w:caps w:val="0"/>
                <w:color w:val="auto"/>
                <w:spacing w:val="0"/>
                <w:sz w:val="24"/>
                <w:szCs w:val="24"/>
                <w:shd w:val="clear" w:fill="FFFFFF"/>
              </w:rPr>
              <w:t>（法定代表人直接参加投标须出具法定代表人证明书及法定代表人身份证</w:t>
            </w:r>
            <w:r>
              <w:rPr>
                <w:rFonts w:hint="eastAsia" w:ascii="宋体" w:hAnsi="宋体" w:eastAsia="宋体" w:cs="宋体"/>
                <w:i w:val="0"/>
                <w:iCs w:val="0"/>
                <w:caps w:val="0"/>
                <w:color w:val="auto"/>
                <w:spacing w:val="0"/>
                <w:sz w:val="24"/>
                <w:szCs w:val="24"/>
                <w:shd w:val="clear" w:fill="FFFFFF"/>
                <w:lang w:eastAsia="zh-CN"/>
              </w:rPr>
              <w:t>复印件加盖公章</w:t>
            </w:r>
            <w:r>
              <w:rPr>
                <w:rFonts w:hint="eastAsia" w:ascii="宋体" w:hAnsi="宋体" w:eastAsia="宋体" w:cs="宋体"/>
                <w:i w:val="0"/>
                <w:iCs w:val="0"/>
                <w:caps w:val="0"/>
                <w:color w:val="auto"/>
                <w:spacing w:val="0"/>
                <w:sz w:val="24"/>
                <w:szCs w:val="24"/>
                <w:shd w:val="clear" w:fill="FFFFFF"/>
              </w:rPr>
              <w:t>）。</w:t>
            </w:r>
          </w:p>
          <w:p w14:paraId="45B01202">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w:t>
            </w:r>
            <w:r>
              <w:rPr>
                <w:rFonts w:hint="eastAsia" w:ascii="宋体" w:hAnsi="宋体" w:eastAsia="宋体" w:cs="宋体"/>
                <w:i w:val="0"/>
                <w:iCs w:val="0"/>
                <w:caps w:val="0"/>
                <w:color w:val="auto"/>
                <w:spacing w:val="0"/>
                <w:sz w:val="24"/>
                <w:szCs w:val="24"/>
                <w:shd w:val="clear" w:fill="FFFFFF"/>
                <w:lang w:eastAsia="zh-CN"/>
              </w:rPr>
              <w:t>、供应商不得为“信用中国”网站（www.creditchina.gov.cn）中重大税收违法失信主体的供应商；不得为“中国执行信息公开网”网站（court.gov.cn）中失信被执行人；不得为中国政府采购网（www.ccgp.gov.cn）政府采购严重违法失信行为记录名单中被财政部门禁止参加政府采购活动的供应商</w:t>
            </w:r>
            <w:r>
              <w:rPr>
                <w:rFonts w:hint="eastAsia" w:ascii="宋体" w:hAnsi="宋体" w:eastAsia="宋体" w:cs="宋体"/>
                <w:i w:val="0"/>
                <w:iCs w:val="0"/>
                <w:caps w:val="0"/>
                <w:color w:val="auto"/>
                <w:spacing w:val="0"/>
                <w:sz w:val="24"/>
                <w:szCs w:val="24"/>
                <w:shd w:val="clear" w:fill="FFFFFF"/>
              </w:rPr>
              <w:t>。</w:t>
            </w:r>
          </w:p>
          <w:p w14:paraId="2DC4FF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lang w:eastAsia="zh-CN"/>
              </w:rPr>
              <w:t>供应商须具备建设行政主管部门核发的建筑工程施工总承包三级（含三级）及以上资质， 并且具备有效的安全生产许可证。</w:t>
            </w:r>
          </w:p>
          <w:p w14:paraId="005915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10、</w:t>
            </w:r>
            <w:r>
              <w:rPr>
                <w:rFonts w:hint="eastAsia" w:ascii="宋体" w:hAnsi="宋体" w:eastAsia="宋体" w:cs="宋体"/>
                <w:i w:val="0"/>
                <w:iCs w:val="0"/>
                <w:caps w:val="0"/>
                <w:color w:val="auto"/>
                <w:spacing w:val="0"/>
                <w:sz w:val="24"/>
                <w:szCs w:val="24"/>
                <w:highlight w:val="none"/>
                <w:shd w:val="clear" w:fill="FFFFFF"/>
                <w:lang w:eastAsia="zh-CN"/>
              </w:rPr>
              <w:t xml:space="preserve">拟派项目经理须具备建筑工程专业注册二级（含二级）及以上注册建造师执业资格证， 提供有效的安全生产考核 B证，在本单位注册且无在建证明（提供无在建项目承诺书）。 </w:t>
            </w:r>
          </w:p>
          <w:p w14:paraId="51CC81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11、投标担保：</w:t>
            </w:r>
            <w:r>
              <w:rPr>
                <w:rFonts w:hint="eastAsia" w:ascii="宋体" w:hAnsi="宋体" w:eastAsia="宋体" w:cs="宋体"/>
                <w:i w:val="0"/>
                <w:iCs w:val="0"/>
                <w:caps w:val="0"/>
                <w:color w:val="auto"/>
                <w:spacing w:val="0"/>
                <w:sz w:val="24"/>
                <w:szCs w:val="24"/>
                <w:highlight w:val="none"/>
                <w:shd w:val="clear" w:fill="FFFFFF"/>
              </w:rPr>
              <w:t>投标保证金交纳凭证银行汇（存）款回执单（复印件须加盖供应商公章）或投标担保函。</w:t>
            </w:r>
          </w:p>
          <w:p w14:paraId="45472F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lang w:eastAsia="zh-CN"/>
              </w:rPr>
              <w:t>本项目为专门面向中小企业（提供声明）</w:t>
            </w:r>
            <w:r>
              <w:rPr>
                <w:rFonts w:hint="eastAsia" w:ascii="宋体" w:hAnsi="宋体" w:eastAsia="宋体" w:cs="宋体"/>
                <w:i w:val="0"/>
                <w:iCs w:val="0"/>
                <w:caps w:val="0"/>
                <w:color w:val="auto"/>
                <w:spacing w:val="0"/>
                <w:sz w:val="24"/>
                <w:szCs w:val="24"/>
                <w:highlight w:val="none"/>
                <w:shd w:val="clear" w:fill="FFFFFF"/>
              </w:rPr>
              <w:t>。</w:t>
            </w:r>
          </w:p>
          <w:p w14:paraId="7F5C6B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eastAsia="zh-CN"/>
              </w:rPr>
              <w:t>本项目不接受联合体磋商（提供声明）</w:t>
            </w:r>
            <w:r>
              <w:rPr>
                <w:rFonts w:hint="eastAsia" w:ascii="宋体" w:hAnsi="宋体" w:eastAsia="宋体" w:cs="宋体"/>
                <w:i w:val="0"/>
                <w:iCs w:val="0"/>
                <w:caps w:val="0"/>
                <w:color w:val="auto"/>
                <w:spacing w:val="0"/>
                <w:sz w:val="24"/>
                <w:szCs w:val="24"/>
                <w:shd w:val="clear" w:fill="FFFFFF"/>
              </w:rPr>
              <w:t>。</w:t>
            </w:r>
          </w:p>
        </w:tc>
        <w:tc>
          <w:tcPr>
            <w:tcW w:w="448" w:type="pct"/>
            <w:vAlign w:val="center"/>
          </w:tcPr>
          <w:p w14:paraId="76B6C1CE">
            <w:pPr>
              <w:pStyle w:val="42"/>
              <w:pageBreakBefore w:val="0"/>
              <w:kinsoku/>
              <w:overflowPunct/>
              <w:topLinePunct w:val="0"/>
              <w:bidi w:val="0"/>
              <w:spacing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合格</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lang w:eastAsia="zh-CN"/>
              </w:rPr>
              <w:t>不合格</w:t>
            </w:r>
          </w:p>
        </w:tc>
      </w:tr>
    </w:tbl>
    <w:p w14:paraId="1446105B">
      <w:pPr>
        <w:pageBreakBefore w:val="0"/>
        <w:kinsoku/>
        <w:wordWrap/>
        <w:overflowPunct/>
        <w:topLinePunct w:val="0"/>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评审</w:t>
      </w:r>
    </w:p>
    <w:p w14:paraId="28C15261">
      <w:pPr>
        <w:pageBreakBefore w:val="0"/>
        <w:kinsoku/>
        <w:wordWrap/>
        <w:overflowPunct/>
        <w:topLinePunct w:val="0"/>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-1评审小组</w:t>
      </w:r>
    </w:p>
    <w:p w14:paraId="31E3BB4C">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（1）代理机构根据《</w:t>
      </w:r>
      <w:r>
        <w:rPr>
          <w:rFonts w:hint="eastAsia" w:ascii="宋体" w:hAnsi="宋体" w:eastAsia="宋体" w:cs="宋体"/>
          <w:sz w:val="24"/>
          <w:szCs w:val="24"/>
          <w:lang w:eastAsia="zh-CN"/>
        </w:rPr>
        <w:t>中华人民共和国政府采购法</w:t>
      </w:r>
      <w:r>
        <w:rPr>
          <w:rFonts w:hint="eastAsia" w:ascii="宋体" w:hAnsi="宋体" w:eastAsia="宋体" w:cs="宋体"/>
          <w:sz w:val="24"/>
          <w:szCs w:val="24"/>
        </w:rPr>
        <w:t>》及其实施条例、等规定，依法组建评审小组。</w:t>
      </w:r>
    </w:p>
    <w:p w14:paraId="162A9F0B">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采购人</w:t>
      </w:r>
      <w:r>
        <w:rPr>
          <w:rFonts w:hint="eastAsia" w:ascii="宋体" w:hAnsi="宋体" w:eastAsia="宋体" w:cs="宋体"/>
          <w:sz w:val="24"/>
          <w:szCs w:val="24"/>
        </w:rPr>
        <w:t>派代表进入评审小组时，须向代理机构出具授权函。</w:t>
      </w:r>
    </w:p>
    <w:p w14:paraId="622830C2">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（3）评审小组应推荐一名评审专家担任评审组长，并由评审组长牵头组织该项目评审工作，</w:t>
      </w:r>
      <w:r>
        <w:rPr>
          <w:rFonts w:hint="eastAsia" w:ascii="宋体" w:hAnsi="宋体" w:eastAsia="宋体" w:cs="宋体"/>
          <w:sz w:val="24"/>
          <w:szCs w:val="24"/>
          <w:lang w:eastAsia="zh-CN"/>
        </w:rPr>
        <w:t>采购人</w:t>
      </w:r>
      <w:r>
        <w:rPr>
          <w:rFonts w:hint="eastAsia" w:ascii="宋体" w:hAnsi="宋体" w:eastAsia="宋体" w:cs="宋体"/>
          <w:sz w:val="24"/>
          <w:szCs w:val="24"/>
        </w:rPr>
        <w:t>代表不得担任评审组长。</w:t>
      </w:r>
    </w:p>
    <w:p w14:paraId="1993DA95">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（4）评审委员会成员应当遵守并履行下列职责义务：</w:t>
      </w:r>
    </w:p>
    <w:p w14:paraId="78D3D73E">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a、遵纪守法，客观、公正、认真负责地履行职责，根据磋商文件规定的评审程序、评审方法和评审标准审查磋商响应文件；</w:t>
      </w:r>
    </w:p>
    <w:p w14:paraId="6F6C1E32">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b、符合性审查、评价磋商响应文件是否符合磋商文件的商务、技术等实质性要求；</w:t>
      </w:r>
    </w:p>
    <w:p w14:paraId="1768AE07">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c、要求供应商对磋商响应文件有关事项作澄清或者说明；</w:t>
      </w:r>
    </w:p>
    <w:p w14:paraId="562849AE">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d、对磋商响应文件进行比较和评价；</w:t>
      </w:r>
    </w:p>
    <w:p w14:paraId="2F3203FA">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e、确定成交候选人名单，以及根据</w:t>
      </w:r>
      <w:r>
        <w:rPr>
          <w:rFonts w:hint="eastAsia" w:ascii="宋体" w:hAnsi="宋体" w:eastAsia="宋体" w:cs="宋体"/>
          <w:sz w:val="24"/>
          <w:szCs w:val="24"/>
          <w:lang w:eastAsia="zh-CN"/>
        </w:rPr>
        <w:t>采购人</w:t>
      </w:r>
      <w:r>
        <w:rPr>
          <w:rFonts w:hint="eastAsia" w:ascii="宋体" w:hAnsi="宋体" w:eastAsia="宋体" w:cs="宋体"/>
          <w:sz w:val="24"/>
          <w:szCs w:val="24"/>
        </w:rPr>
        <w:t>委托直接确定成交人；</w:t>
      </w:r>
    </w:p>
    <w:p w14:paraId="3E4E8FE9">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f、向</w:t>
      </w:r>
      <w:r>
        <w:rPr>
          <w:rFonts w:hint="eastAsia" w:ascii="宋体" w:hAnsi="宋体" w:eastAsia="宋体" w:cs="宋体"/>
          <w:sz w:val="24"/>
          <w:szCs w:val="24"/>
          <w:lang w:eastAsia="zh-CN"/>
        </w:rPr>
        <w:t>采购人</w:t>
      </w:r>
      <w:r>
        <w:rPr>
          <w:rFonts w:hint="eastAsia" w:ascii="宋体" w:hAnsi="宋体" w:eastAsia="宋体" w:cs="宋体"/>
          <w:sz w:val="24"/>
          <w:szCs w:val="24"/>
        </w:rPr>
        <w:t>、代理机构或者有关部门报告评审中发现的违法行为；</w:t>
      </w:r>
    </w:p>
    <w:p w14:paraId="75A53BD8">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g、对评审过程及各供应商的商业机密予以保密；</w:t>
      </w:r>
    </w:p>
    <w:p w14:paraId="05BF8A37">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h、配合</w:t>
      </w:r>
      <w:r>
        <w:rPr>
          <w:rFonts w:hint="eastAsia" w:ascii="宋体" w:hAnsi="宋体" w:eastAsia="宋体" w:cs="宋体"/>
          <w:sz w:val="24"/>
          <w:szCs w:val="24"/>
          <w:lang w:eastAsia="zh-CN"/>
        </w:rPr>
        <w:t>采购人</w:t>
      </w:r>
      <w:r>
        <w:rPr>
          <w:rFonts w:hint="eastAsia" w:ascii="宋体" w:hAnsi="宋体" w:eastAsia="宋体" w:cs="宋体"/>
          <w:sz w:val="24"/>
          <w:szCs w:val="24"/>
        </w:rPr>
        <w:t>、代理机构答复各供应商提出的质疑；</w:t>
      </w:r>
    </w:p>
    <w:p w14:paraId="2EBB7F5B">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i、配合各部门的投诉处理和监督检查工作。</w:t>
      </w:r>
    </w:p>
    <w:p w14:paraId="3EE0D888">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-2在政府采购活动中，采购人员及相关人员（包括评审委员会）与供应商有下列利害关系之一的，应当回避：</w:t>
      </w:r>
    </w:p>
    <w:p w14:paraId="48913C98">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（1）参加采购活动前3年内与供应商存在劳动关系；</w:t>
      </w:r>
    </w:p>
    <w:p w14:paraId="3B5412D8">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（2）参加采购活动前3年内担任供应商的董事、监事；</w:t>
      </w:r>
    </w:p>
    <w:p w14:paraId="4B4863F9">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（3）参加采购活动前3年内是供应商的控股股东或者实际控制人；</w:t>
      </w:r>
    </w:p>
    <w:p w14:paraId="49094500">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（4）与供应商的法定代表人或者负责人有夫妻、直系血亲、三代以内旁系血亲或者近姻亲关系；</w:t>
      </w:r>
    </w:p>
    <w:p w14:paraId="50B7C258">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（5）与供应商有其他可能影响政府采购活动公平、公正进行的关系。</w:t>
      </w:r>
    </w:p>
    <w:p w14:paraId="3AD7E789">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3-3磋商原则：坚持公平、公正、科学、择优原则，禁止不正当竞争。</w:t>
      </w:r>
    </w:p>
    <w:p w14:paraId="370FE12D">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3-4评审办法：本次竞争性磋商采用综合评分法（详见本节评分标准）。</w:t>
      </w:r>
    </w:p>
    <w:p w14:paraId="50334073">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3-5</w:t>
      </w:r>
      <w:r>
        <w:rPr>
          <w:rFonts w:hint="eastAsia" w:ascii="宋体" w:hAnsi="宋体" w:eastAsia="宋体" w:cs="宋体"/>
          <w:sz w:val="24"/>
          <w:szCs w:val="24"/>
          <w:lang w:eastAsia="zh-CN"/>
        </w:rPr>
        <w:t>评审</w:t>
      </w:r>
      <w:r>
        <w:rPr>
          <w:rFonts w:hint="eastAsia" w:ascii="宋体" w:hAnsi="宋体" w:eastAsia="宋体" w:cs="宋体"/>
          <w:sz w:val="24"/>
          <w:szCs w:val="24"/>
        </w:rPr>
        <w:t>工作程序</w:t>
      </w:r>
      <w:r>
        <w:rPr>
          <w:rFonts w:hint="eastAsia" w:ascii="宋体" w:hAnsi="宋体" w:eastAsia="宋体" w:cs="宋体"/>
          <w:sz w:val="24"/>
          <w:szCs w:val="24"/>
          <w:lang w:eastAsia="zh-CN"/>
        </w:rPr>
        <w:t>：</w:t>
      </w:r>
      <w:r>
        <w:rPr>
          <w:rFonts w:hint="eastAsia" w:ascii="宋体" w:hAnsi="宋体" w:eastAsia="宋体" w:cs="宋体"/>
          <w:bCs/>
          <w:sz w:val="24"/>
          <w:szCs w:val="24"/>
        </w:rPr>
        <w:t>符合性审查、澄清、磋商、评价、推荐成交候选人的工作程序进行评审。</w:t>
      </w:r>
    </w:p>
    <w:p w14:paraId="5DBA3D8A">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lang w:val="en-US" w:eastAsia="zh-CN"/>
        </w:rPr>
      </w:pPr>
    </w:p>
    <w:p w14:paraId="411C4631">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3-5-1</w:t>
      </w:r>
      <w:r>
        <w:rPr>
          <w:rFonts w:hint="eastAsia" w:ascii="宋体" w:hAnsi="宋体" w:eastAsia="宋体" w:cs="宋体"/>
          <w:b/>
          <w:bCs/>
          <w:sz w:val="24"/>
          <w:szCs w:val="24"/>
        </w:rPr>
        <w:t>符合性审查</w:t>
      </w:r>
    </w:p>
    <w:p w14:paraId="6B8FB358">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依据磋商文件的规定，对资格合格者磋商响应文件的完整性、有效性和对磋商文件的响应程度进行审查，以确定是否对磋商文件的实质性内容做出响应，包含但不限于以下内容：</w:t>
      </w:r>
    </w:p>
    <w:tbl>
      <w:tblPr>
        <w:tblStyle w:val="22"/>
        <w:tblW w:w="4919" w:type="pct"/>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8137"/>
        <w:gridCol w:w="884"/>
      </w:tblGrid>
      <w:tr w14:paraId="5913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14:paraId="178135D9">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highlight w:val="none"/>
                <w:lang w:eastAsia="zh-CN"/>
              </w:rPr>
            </w:pPr>
            <w:r>
              <w:rPr>
                <w:rFonts w:hint="eastAsia" w:ascii="宋体" w:hAnsi="宋体" w:eastAsia="宋体" w:cs="宋体"/>
                <w:b/>
                <w:bCs/>
                <w:sz w:val="22"/>
                <w:szCs w:val="22"/>
                <w:highlight w:val="none"/>
                <w:lang w:eastAsia="zh-CN"/>
              </w:rPr>
              <w:t>符合性审查</w:t>
            </w:r>
          </w:p>
        </w:tc>
        <w:tc>
          <w:tcPr>
            <w:tcW w:w="4318" w:type="pct"/>
            <w:vAlign w:val="center"/>
          </w:tcPr>
          <w:p w14:paraId="38191E8A">
            <w:pPr>
              <w:pStyle w:val="42"/>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名称是否与购买</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文件的单位名称一致；</w:t>
            </w:r>
          </w:p>
          <w:p w14:paraId="650AF395">
            <w:pPr>
              <w:pStyle w:val="42"/>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（2）电子响应文件的“文件制作机器码”和“文件创建标识码”通过评标系统的雷同性分析；</w:t>
            </w:r>
          </w:p>
          <w:p w14:paraId="33CACA19">
            <w:pPr>
              <w:pStyle w:val="42"/>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是否按照</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的要求盖章签字；</w:t>
            </w:r>
          </w:p>
          <w:p w14:paraId="37496C53">
            <w:pPr>
              <w:pStyle w:val="42"/>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（4）投标内容是否有重大缺漏项；</w:t>
            </w:r>
          </w:p>
          <w:p w14:paraId="0A463FF9">
            <w:pPr>
              <w:pStyle w:val="42"/>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）投标报价是否</w:t>
            </w:r>
            <w:r>
              <w:rPr>
                <w:rFonts w:hint="eastAsia" w:ascii="宋体" w:hAnsi="宋体" w:eastAsia="宋体" w:cs="宋体"/>
                <w:sz w:val="24"/>
                <w:szCs w:val="24"/>
                <w:highlight w:val="none"/>
                <w:lang w:eastAsia="zh-CN"/>
              </w:rPr>
              <w:t>符合磋商文件要求的</w:t>
            </w:r>
            <w:r>
              <w:rPr>
                <w:rFonts w:hint="eastAsia" w:ascii="宋体" w:hAnsi="宋体" w:eastAsia="宋体" w:cs="宋体"/>
                <w:sz w:val="24"/>
                <w:szCs w:val="24"/>
                <w:highlight w:val="none"/>
              </w:rPr>
              <w:t>；</w:t>
            </w:r>
          </w:p>
          <w:p w14:paraId="4299ABA8">
            <w:pPr>
              <w:pStyle w:val="42"/>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）投标有效期是否符合</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的要求；</w:t>
            </w:r>
          </w:p>
          <w:p w14:paraId="2F992E53">
            <w:pPr>
              <w:pStyle w:val="42"/>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商务要求是否作了明确且实质性响应；</w:t>
            </w:r>
          </w:p>
          <w:p w14:paraId="7366BB46">
            <w:pPr>
              <w:pStyle w:val="42"/>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是否含有</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不能接受的附件条件；</w:t>
            </w:r>
          </w:p>
          <w:p w14:paraId="7BA4046E">
            <w:pPr>
              <w:pStyle w:val="42"/>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）是否符合法律、法规和</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规定的其他无效投标情形。</w:t>
            </w:r>
          </w:p>
        </w:tc>
        <w:tc>
          <w:tcPr>
            <w:tcW w:w="468" w:type="pct"/>
            <w:vAlign w:val="center"/>
          </w:tcPr>
          <w:p w14:paraId="7F7776C6">
            <w:pPr>
              <w:pStyle w:val="42"/>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合格</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lang w:eastAsia="zh-CN"/>
              </w:rPr>
              <w:t>不合格</w:t>
            </w:r>
          </w:p>
        </w:tc>
      </w:tr>
    </w:tbl>
    <w:p w14:paraId="10D4CC22">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3-5-2磋商采购形式：采取背对背的磋商采购方式。即磋商小组所有成员集中与各供应商分别进行一对一磋商。</w:t>
      </w:r>
    </w:p>
    <w:p w14:paraId="4B9CE05B">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3-5-3通过资质审查、磋商、澄清及承诺等程序且实质性响应磋商文件（资质、商务、技术）的各供应商，才有再次报价的机会。磋商小组按其最终承诺和报价内容，进行综合评比并排序。</w:t>
      </w:r>
    </w:p>
    <w:p w14:paraId="5C298A74">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3-5-4评审采取逐项分步评审方式，每一步评审不符合者，不进入下一步评审，全部评审合格的供应商进行最后的综合评审和打分，按最后得分由高向低排序，推荐成交候选人。</w:t>
      </w:r>
    </w:p>
    <w:p w14:paraId="029318C7">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5</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磋商响应文件的澄清</w:t>
      </w:r>
    </w:p>
    <w:p w14:paraId="1CDA1DE3">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（1）在评审期间,对于竞争性磋商响应文件中含义不明确、</w:t>
      </w:r>
      <w:r>
        <w:rPr>
          <w:rFonts w:hint="eastAsia" w:ascii="宋体" w:hAnsi="宋体" w:eastAsia="宋体" w:cs="宋体"/>
          <w:bCs/>
          <w:sz w:val="24"/>
          <w:szCs w:val="24"/>
          <w:lang w:eastAsia="zh-CN"/>
        </w:rPr>
        <w:t>类似</w:t>
      </w:r>
      <w:r>
        <w:rPr>
          <w:rFonts w:hint="eastAsia" w:ascii="宋体" w:hAnsi="宋体" w:eastAsia="宋体" w:cs="宋体"/>
          <w:bCs/>
          <w:sz w:val="24"/>
          <w:szCs w:val="24"/>
        </w:rPr>
        <w:t>问题表述不一致或者有明显文字和计算错误的内容，评审委员会应当以书面形式要求供应商作出必要的澄清、说明或者补正。供应商的澄清、说明或者补正应当采用书面形式，并加盖公章，或者由法定代表人或被授权人签字。供应商的澄清、说明或者补正不得超出竞争性磋商响应文件的范围或者改变竞争性磋商响应文件的实质性内容。</w:t>
      </w:r>
    </w:p>
    <w:p w14:paraId="1706C611">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（2）书写错误的评审标准：</w:t>
      </w:r>
    </w:p>
    <w:p w14:paraId="6C35F746">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评审委员会在评审过程中，发现磋商响应文件出现下列情况之一者，按以下原则修正：</w:t>
      </w:r>
    </w:p>
    <w:p w14:paraId="39D6B74A">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a、磋商响应文件有关内容与“一览表”不一致的，以“一览表”为准；</w:t>
      </w:r>
    </w:p>
    <w:p w14:paraId="64AD2181">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b、磋商响应文件大写与小写不一致时，以大写为准；</w:t>
      </w:r>
    </w:p>
    <w:p w14:paraId="5701C668">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c、单价乘以数量不等于总价时，以单价乘以数量为准修改总价；单价有明显小数点错误的，以总价为准，并修改单价；</w:t>
      </w:r>
    </w:p>
    <w:p w14:paraId="4B07DB16">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d、总价金额与按单价汇总金额不一致的，以单价乘以数量的计算结果为准；</w:t>
      </w:r>
    </w:p>
    <w:p w14:paraId="55FDEDBF">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e、磋商响应文件图表与文字不符时，以文字为准；</w:t>
      </w:r>
    </w:p>
    <w:p w14:paraId="6F3C19E3">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f、磋商响应文件正本与副本不符时，以正本为准；</w:t>
      </w:r>
    </w:p>
    <w:p w14:paraId="01A4429A">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g、对不同文字文本磋商响应文件的解释发生异议的，以中文文本为准；</w:t>
      </w:r>
    </w:p>
    <w:p w14:paraId="3CDDA321">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h、多处内容交叉不符时，以评审委员会评审结果为准。</w:t>
      </w:r>
    </w:p>
    <w:p w14:paraId="0E4745C9">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注：按上述方法修正的内容（其中，同时出现上述a至d两种以上不一致的，按上述规定的顺序修正），经供应商确认后产生约束力，供应商不确认的，其磋商响应无效。</w:t>
      </w:r>
    </w:p>
    <w:p w14:paraId="249F4E7E">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小组应当将其作为无效磋商响应处理。</w:t>
      </w:r>
    </w:p>
    <w:p w14:paraId="37D91F92">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3-5-6其他需说明的情况：</w:t>
      </w:r>
    </w:p>
    <w:p w14:paraId="47BF2AE8">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a、对于磋商响应文件中不构成实质性偏差的小的不正规、不一致或不规则，可以接受，但这种接受不能损害或影响任何供应商的相对排序；</w:t>
      </w:r>
    </w:p>
    <w:p w14:paraId="06B340BA">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b、最低报价不是成交的唯一条件；</w:t>
      </w:r>
    </w:p>
    <w:p w14:paraId="0191D106">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c、如果磋商实质上没有响应磋商文件的要求，其磋商将被拒绝，供应商不得通过修正或撤消不合要求的偏离或保留从而使其磋商成为实质上响应的磋商响应；</w:t>
      </w:r>
    </w:p>
    <w:p w14:paraId="462662A9">
      <w:pPr>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d、无论磋商的结果如何，磋商期间一切费用自理。</w:t>
      </w:r>
    </w:p>
    <w:p w14:paraId="6E8E0C62">
      <w:pPr>
        <w:pageBreakBefore w:val="0"/>
        <w:kinsoku/>
        <w:wordWrap/>
        <w:overflowPunct/>
        <w:topLinePunct w:val="0"/>
        <w:bidi w:val="0"/>
        <w:spacing w:line="360" w:lineRule="auto"/>
        <w:ind w:firstLine="562"/>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评分标准</w:t>
      </w:r>
    </w:p>
    <w:tbl>
      <w:tblPr>
        <w:tblStyle w:val="22"/>
        <w:tblW w:w="9988" w:type="dxa"/>
        <w:jc w:val="center"/>
        <w:tblLayout w:type="fixed"/>
        <w:tblCellMar>
          <w:top w:w="0" w:type="dxa"/>
          <w:left w:w="10" w:type="dxa"/>
          <w:bottom w:w="0" w:type="dxa"/>
          <w:right w:w="10" w:type="dxa"/>
        </w:tblCellMar>
      </w:tblPr>
      <w:tblGrid>
        <w:gridCol w:w="798"/>
        <w:gridCol w:w="845"/>
        <w:gridCol w:w="8345"/>
      </w:tblGrid>
      <w:tr w14:paraId="0657FB70">
        <w:tblPrEx>
          <w:tblCellMar>
            <w:top w:w="0" w:type="dxa"/>
            <w:left w:w="10" w:type="dxa"/>
            <w:bottom w:w="0" w:type="dxa"/>
            <w:right w:w="10" w:type="dxa"/>
          </w:tblCellMar>
        </w:tblPrEx>
        <w:trPr>
          <w:trHeight w:val="529" w:hRule="atLeast"/>
          <w:jc w:val="center"/>
        </w:trPr>
        <w:tc>
          <w:tcPr>
            <w:tcW w:w="7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D5B96E">
            <w:pPr>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磋商</w:t>
            </w:r>
          </w:p>
          <w:p w14:paraId="768A6E89">
            <w:pPr>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w:t>
            </w:r>
          </w:p>
        </w:tc>
        <w:tc>
          <w:tcPr>
            <w:tcW w:w="8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32102F">
            <w:pPr>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分</w:t>
            </w:r>
          </w:p>
        </w:tc>
        <w:tc>
          <w:tcPr>
            <w:tcW w:w="8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684BD0">
            <w:pPr>
              <w:pStyle w:val="45"/>
              <w:pageBreakBefore w:val="0"/>
              <w:wordWrap/>
              <w:overflowPunct/>
              <w:topLinePunct w:val="0"/>
              <w:bidi w:val="0"/>
              <w:spacing w:line="360" w:lineRule="auto"/>
              <w:textAlignment w:val="auto"/>
              <w:rPr>
                <w:rFonts w:hint="eastAsia" w:ascii="宋体" w:hAnsi="宋体" w:eastAsia="宋体" w:cs="宋体"/>
                <w:sz w:val="24"/>
                <w:szCs w:val="18"/>
                <w:highlight w:val="none"/>
              </w:rPr>
            </w:pPr>
            <w:r>
              <w:rPr>
                <w:rFonts w:hint="eastAsia" w:ascii="宋体" w:hAnsi="宋体" w:eastAsia="宋体" w:cs="宋体"/>
                <w:sz w:val="24"/>
                <w:szCs w:val="18"/>
                <w:highlight w:val="none"/>
              </w:rPr>
              <w:t>按照财政部《政府采购竞争性磋商采购方式管理暂行办法》（财库[2014]214号）的有关规定：价格分采用低价优先法计算，价格即满足磋商文件要求且磋商价格最低的磋商报价为评标基准价，其价格分为满分。其他供应商的价格分统一按照下列公式计算：</w:t>
            </w:r>
          </w:p>
          <w:p w14:paraId="1A6676BD">
            <w:pPr>
              <w:pStyle w:val="45"/>
              <w:pageBreakBefore w:val="0"/>
              <w:wordWrap/>
              <w:overflowPunct/>
              <w:topLinePunct w:val="0"/>
              <w:bidi w:val="0"/>
              <w:spacing w:line="360" w:lineRule="auto"/>
              <w:textAlignment w:val="auto"/>
              <w:rPr>
                <w:rFonts w:hint="eastAsia" w:ascii="宋体" w:hAnsi="宋体" w:eastAsia="宋体" w:cs="宋体"/>
                <w:sz w:val="24"/>
                <w:szCs w:val="18"/>
                <w:highlight w:val="none"/>
              </w:rPr>
            </w:pPr>
            <w:r>
              <w:rPr>
                <w:rFonts w:hint="eastAsia" w:ascii="宋体" w:hAnsi="宋体" w:eastAsia="宋体" w:cs="宋体"/>
                <w:sz w:val="24"/>
                <w:szCs w:val="18"/>
                <w:highlight w:val="none"/>
              </w:rPr>
              <w:t>磋商报价得分=（评审基准价/磋商报价）×价格权值×100</w:t>
            </w:r>
          </w:p>
          <w:p w14:paraId="761CCAB2">
            <w:pPr>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1"/>
                <w:highlight w:val="none"/>
              </w:rPr>
              <w:t>（因落实政府采购政策进行价格调整的，以调整后的价格计算评标基准价和磋商报价）</w:t>
            </w:r>
          </w:p>
        </w:tc>
      </w:tr>
      <w:tr w14:paraId="0C9F817D">
        <w:tblPrEx>
          <w:tblCellMar>
            <w:top w:w="0" w:type="dxa"/>
            <w:left w:w="10" w:type="dxa"/>
            <w:bottom w:w="0" w:type="dxa"/>
            <w:right w:w="10" w:type="dxa"/>
          </w:tblCellMar>
        </w:tblPrEx>
        <w:trPr>
          <w:trHeight w:val="1101" w:hRule="atLeast"/>
          <w:jc w:val="center"/>
        </w:trPr>
        <w:tc>
          <w:tcPr>
            <w:tcW w:w="79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D2CFAC6">
            <w:pPr>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商务</w:t>
            </w:r>
          </w:p>
          <w:p w14:paraId="3454B74B">
            <w:pPr>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响应</w:t>
            </w:r>
          </w:p>
        </w:tc>
        <w:tc>
          <w:tcPr>
            <w:tcW w:w="845"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607AA6A">
            <w:pPr>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p>
        </w:tc>
        <w:tc>
          <w:tcPr>
            <w:tcW w:w="8345"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92C0819">
            <w:pPr>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磋商响应文件对商务要求进行详细说明，完全响应竞争性磋商文件的计</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分，项目工期优于磋商文件要求的，加</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分。</w:t>
            </w:r>
          </w:p>
        </w:tc>
      </w:tr>
      <w:tr w14:paraId="0AD6B897">
        <w:tblPrEx>
          <w:tblCellMar>
            <w:top w:w="0" w:type="dxa"/>
            <w:left w:w="10" w:type="dxa"/>
            <w:bottom w:w="0" w:type="dxa"/>
            <w:right w:w="10" w:type="dxa"/>
          </w:tblCellMar>
        </w:tblPrEx>
        <w:trPr>
          <w:trHeight w:val="466" w:hRule="atLeast"/>
          <w:jc w:val="center"/>
        </w:trPr>
        <w:tc>
          <w:tcPr>
            <w:tcW w:w="79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5E7DECE4">
            <w:pPr>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技术</w:t>
            </w:r>
            <w:r>
              <w:rPr>
                <w:rFonts w:hint="eastAsia" w:ascii="宋体" w:hAnsi="宋体" w:eastAsia="宋体" w:cs="宋体"/>
                <w:sz w:val="24"/>
                <w:szCs w:val="24"/>
                <w:lang w:eastAsia="zh-CN"/>
              </w:rPr>
              <w:t>方案</w:t>
            </w:r>
          </w:p>
        </w:tc>
        <w:tc>
          <w:tcPr>
            <w:tcW w:w="845"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EA3EE27">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55</w:t>
            </w:r>
            <w:r>
              <w:rPr>
                <w:rFonts w:hint="eastAsia" w:ascii="宋体" w:hAnsi="宋体" w:eastAsia="宋体" w:cs="宋体"/>
                <w:sz w:val="24"/>
                <w:szCs w:val="24"/>
              </w:rPr>
              <w:t>分</w:t>
            </w:r>
          </w:p>
        </w:tc>
        <w:tc>
          <w:tcPr>
            <w:tcW w:w="8345"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3CE3CACA">
            <w:pPr>
              <w:pageBreakBefore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主要技术、管理人员的配备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根据响应程度计0-</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p w14:paraId="0B6943F5">
            <w:pPr>
              <w:pageBreakBefore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施工方案根据响应程度计0-</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p w14:paraId="7EBD21D9">
            <w:pPr>
              <w:pageBreakBefore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确保工期的技术组织措施根据响应程度计0-</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p w14:paraId="2C2DBD9C">
            <w:pPr>
              <w:pageBreakBefore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确保工程质量的技术措施根据响应程度计0-</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p w14:paraId="7572345E">
            <w:pPr>
              <w:pageBreakBefore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确保安全生产的技术组织措施根据响应程度计0-</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p w14:paraId="22DDCA55">
            <w:pPr>
              <w:pageBreakBefore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文明施工措施及环境保护措施的合理性、科学性根据响应程度计0-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560CE031">
            <w:pPr>
              <w:pageBreakBefore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主要机具、设备和劳动力的配置根据响应程度计0-5分；</w:t>
            </w:r>
          </w:p>
          <w:p w14:paraId="7E1B82FC">
            <w:pPr>
              <w:pageBreakBefore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进度计划和工期目标根据响应程度计0-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3B2EDDFC">
            <w:pPr>
              <w:pageBreakBefore w:val="0"/>
              <w:kinsoku/>
              <w:wordWrap/>
              <w:overflowPunct/>
              <w:topLinePunct w:val="0"/>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采用新技术、新工艺对提高质量、缩短工期、降低造价等的可行性根据响应程度计0-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tc>
      </w:tr>
      <w:tr w14:paraId="58F24DC0">
        <w:tblPrEx>
          <w:tblCellMar>
            <w:top w:w="0" w:type="dxa"/>
            <w:left w:w="10" w:type="dxa"/>
            <w:bottom w:w="0" w:type="dxa"/>
            <w:right w:w="10" w:type="dxa"/>
          </w:tblCellMar>
        </w:tblPrEx>
        <w:trPr>
          <w:trHeight w:val="1063" w:hRule="atLeast"/>
          <w:jc w:val="center"/>
        </w:trPr>
        <w:tc>
          <w:tcPr>
            <w:tcW w:w="79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602CA894">
            <w:pPr>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服务方案</w:t>
            </w:r>
          </w:p>
        </w:tc>
        <w:tc>
          <w:tcPr>
            <w:tcW w:w="845"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A8BD297">
            <w:pPr>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10分</w:t>
            </w:r>
          </w:p>
        </w:tc>
        <w:tc>
          <w:tcPr>
            <w:tcW w:w="8345"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0CA9C644">
            <w:pPr>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工程竣工验收合格后，发生质量问题有补救措施、质保期有承诺、方案切实可行，根据其方案的针对性、科学性、合理性和完善性横向对比，进行赋分,合理6～10分，较合理1～5分，缺项不得分。</w:t>
            </w:r>
          </w:p>
        </w:tc>
      </w:tr>
      <w:tr w14:paraId="440D85A6">
        <w:tblPrEx>
          <w:tblCellMar>
            <w:top w:w="0" w:type="dxa"/>
            <w:left w:w="10" w:type="dxa"/>
            <w:bottom w:w="0" w:type="dxa"/>
            <w:right w:w="10" w:type="dxa"/>
          </w:tblCellMar>
        </w:tblPrEx>
        <w:trPr>
          <w:trHeight w:val="1150" w:hRule="atLeast"/>
          <w:jc w:val="center"/>
        </w:trPr>
        <w:tc>
          <w:tcPr>
            <w:tcW w:w="79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B9CBDF">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业绩</w:t>
            </w:r>
          </w:p>
        </w:tc>
        <w:tc>
          <w:tcPr>
            <w:tcW w:w="845"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A94637">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8345"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293120">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提供202</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月</w:t>
            </w:r>
            <w:r>
              <w:rPr>
                <w:rFonts w:hint="eastAsia" w:ascii="宋体" w:hAnsi="宋体" w:eastAsia="宋体" w:cs="宋体"/>
                <w:sz w:val="24"/>
                <w:szCs w:val="24"/>
              </w:rPr>
              <w:t>至今</w:t>
            </w:r>
            <w:r>
              <w:rPr>
                <w:rFonts w:hint="eastAsia" w:ascii="宋体" w:hAnsi="宋体" w:eastAsia="宋体" w:cs="宋体"/>
                <w:sz w:val="24"/>
                <w:szCs w:val="24"/>
                <w:lang w:eastAsia="zh-CN"/>
              </w:rPr>
              <w:t>类似</w:t>
            </w:r>
            <w:r>
              <w:rPr>
                <w:rFonts w:hint="eastAsia" w:ascii="宋体" w:hAnsi="宋体" w:eastAsia="宋体" w:cs="宋体"/>
                <w:sz w:val="24"/>
                <w:szCs w:val="24"/>
              </w:rPr>
              <w:t>项目业绩（复印件加盖公章），每份计</w:t>
            </w:r>
            <w:r>
              <w:rPr>
                <w:rFonts w:hint="eastAsia" w:ascii="宋体" w:hAnsi="宋体" w:eastAsia="宋体" w:cs="宋体"/>
                <w:sz w:val="24"/>
                <w:szCs w:val="24"/>
                <w:lang w:val="en-US" w:eastAsia="zh-CN"/>
              </w:rPr>
              <w:t>1</w:t>
            </w:r>
            <w:r>
              <w:rPr>
                <w:rFonts w:hint="eastAsia" w:ascii="宋体" w:hAnsi="宋体" w:eastAsia="宋体" w:cs="宋体"/>
                <w:sz w:val="24"/>
                <w:szCs w:val="24"/>
              </w:rPr>
              <w:t>分，计满</w:t>
            </w:r>
            <w:r>
              <w:rPr>
                <w:rFonts w:hint="eastAsia" w:ascii="宋体" w:hAnsi="宋体" w:eastAsia="宋体" w:cs="宋体"/>
                <w:sz w:val="24"/>
                <w:szCs w:val="24"/>
                <w:lang w:val="en-US" w:eastAsia="zh-CN"/>
              </w:rPr>
              <w:t>3</w:t>
            </w:r>
            <w:r>
              <w:rPr>
                <w:rFonts w:hint="eastAsia" w:ascii="宋体" w:hAnsi="宋体" w:eastAsia="宋体" w:cs="宋体"/>
                <w:sz w:val="24"/>
                <w:szCs w:val="24"/>
              </w:rPr>
              <w:t>分为止。</w:t>
            </w:r>
          </w:p>
        </w:tc>
      </w:tr>
    </w:tbl>
    <w:p w14:paraId="2B4977B2">
      <w:pPr>
        <w:pageBreakBefore w:val="0"/>
        <w:widowControl/>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w:t>
      </w:r>
    </w:p>
    <w:p w14:paraId="024A291A">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1）评委打分超过得分界限或未按本方法赋分时，该评委的打分按废票处理。</w:t>
      </w:r>
    </w:p>
    <w:p w14:paraId="58B3F606">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2）各种计算数字均保留两位小数，第三位“四舍五入”。</w:t>
      </w:r>
    </w:p>
    <w:p w14:paraId="05E5E3C8">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3）特殊情况处理</w:t>
      </w:r>
    </w:p>
    <w:p w14:paraId="61B2B0ED">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a、当投标人某评分项出现未报、漏报或零报价时，该分项得零分，并不参与投标报价分的计算。</w:t>
      </w:r>
    </w:p>
    <w:p w14:paraId="0AA88167">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rPr>
        <w:t>b、相同品牌产品</w:t>
      </w:r>
      <w:r>
        <w:rPr>
          <w:rFonts w:hint="eastAsia" w:ascii="宋体" w:hAnsi="宋体" w:eastAsia="宋体" w:cs="宋体"/>
          <w:sz w:val="24"/>
          <w:szCs w:val="24"/>
          <w:lang w:eastAsia="zh-CN"/>
        </w:rPr>
        <w:t>（本项目不适用）</w:t>
      </w:r>
    </w:p>
    <w:p w14:paraId="4C2EE9E5">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提供相同品牌产品且通过资格审查、符合性审查的不同投标人参加同一合同项下投标的，按一家投标人计算，评审后得分最高的同品牌投标人获得中标人推荐资格；评审得分相同的，投标报价得分高者获得中标人推荐资格，若投标报价得分相同，技术得分高者获得中标人推荐资格，若上述两项得分相同，则由全体评标委员会成员无记名投票，得票高者获得中标人推荐资格，其他同品牌投标人不作为中标候选人。</w:t>
      </w:r>
    </w:p>
    <w:p w14:paraId="376400F7">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非单一产品采购项目，多家投标人提供的核心产品品牌相同的，按照前款规定处理。</w:t>
      </w:r>
    </w:p>
    <w:p w14:paraId="47D229EC">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c、若出现综合得分相同时，投标报价得分高者为第一中标候选人，若投标报价得分相同，技术得分高者为第一中标候选人，若上述两项得分相同，则由全体评标委员会成员无记名投票，得票高者为第一中标候选人。</w:t>
      </w:r>
    </w:p>
    <w:p w14:paraId="7B3AF99A">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d、评标过程中，若出现本评标方法以外的特殊情况时，将暂停评标，待评委商榷后再进行复会。</w:t>
      </w:r>
    </w:p>
    <w:p w14:paraId="2BE7BBCD">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rPr>
        <w:t>3-7政府采购政策评分标准</w:t>
      </w:r>
      <w:r>
        <w:rPr>
          <w:rFonts w:hint="eastAsia" w:ascii="宋体" w:hAnsi="宋体" w:eastAsia="宋体" w:cs="宋体"/>
          <w:sz w:val="24"/>
          <w:szCs w:val="24"/>
          <w:lang w:eastAsia="zh-CN"/>
        </w:rPr>
        <w:t>（本项目为专门面向中小企业，不再采用价格优惠）</w:t>
      </w:r>
    </w:p>
    <w:p w14:paraId="4B734A07">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3-7-1小微企业的价格评分标准</w:t>
      </w:r>
    </w:p>
    <w:p w14:paraId="2DAF6F10">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（1）对小型、微型企业产品的价格给予</w:t>
      </w:r>
      <w:r>
        <w:rPr>
          <w:rFonts w:hint="eastAsia" w:ascii="宋体" w:hAnsi="宋体" w:eastAsia="宋体" w:cs="宋体"/>
          <w:sz w:val="24"/>
          <w:szCs w:val="24"/>
          <w:lang w:val="en-US" w:eastAsia="zh-CN"/>
        </w:rPr>
        <w:t>5</w:t>
      </w:r>
      <w:r>
        <w:rPr>
          <w:rFonts w:hint="eastAsia" w:ascii="宋体" w:hAnsi="宋体" w:eastAsia="宋体" w:cs="宋体"/>
          <w:sz w:val="24"/>
          <w:szCs w:val="24"/>
        </w:rPr>
        <w:t>%的扣除，用扣除后的价格参与评审，其评标价=投标报价*（</w:t>
      </w:r>
      <w:r>
        <w:rPr>
          <w:rFonts w:hint="eastAsia" w:ascii="宋体" w:hAnsi="宋体" w:eastAsia="宋体" w:cs="宋体"/>
          <w:sz w:val="24"/>
          <w:szCs w:val="24"/>
          <w:lang w:val="en-US" w:eastAsia="zh-CN"/>
        </w:rPr>
        <w:t>1-5</w:t>
      </w:r>
      <w:r>
        <w:rPr>
          <w:rFonts w:hint="eastAsia" w:ascii="宋体" w:hAnsi="宋体" w:eastAsia="宋体" w:cs="宋体"/>
          <w:sz w:val="24"/>
          <w:szCs w:val="24"/>
        </w:rPr>
        <w:t>%）。</w:t>
      </w:r>
    </w:p>
    <w:p w14:paraId="575AA1AE">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8B09D7A">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（3）中小企业参加政府采购活动，应当出具本办法规定的《中小企业声明函》，否则不得享受相关中小企业扶持政策。任何单位和个人不得要求供应商提供《中小企业声明函》之外的中小企业身份证明文件。</w:t>
      </w:r>
    </w:p>
    <w:p w14:paraId="6863766D">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（4）供应商按照本办法规定提供声明函内容不实的，属于提供虚假材料谋取中标、成交，依照《中华人民共和国政府采购法》等国家有关规定追究相应责任。</w:t>
      </w:r>
    </w:p>
    <w:p w14:paraId="59C5A838">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（5）小微企业按《政府采购促进中小企业发展</w:t>
      </w:r>
      <w:r>
        <w:rPr>
          <w:rFonts w:hint="eastAsia" w:ascii="宋体" w:hAnsi="宋体" w:eastAsia="宋体" w:cs="宋体"/>
          <w:sz w:val="24"/>
          <w:szCs w:val="24"/>
          <w:lang w:eastAsia="zh-CN"/>
        </w:rPr>
        <w:t>管理</w:t>
      </w:r>
      <w:r>
        <w:rPr>
          <w:rFonts w:hint="eastAsia" w:ascii="宋体" w:hAnsi="宋体" w:eastAsia="宋体" w:cs="宋体"/>
          <w:sz w:val="24"/>
          <w:szCs w:val="24"/>
        </w:rPr>
        <w:t>办法》（财库【2020】46号）和《工业和信息化部、国家统计局、国家发展和改革委员会、财政部关于印发&lt;中小企业划型标准规定&gt;的通知》（工信部联企业【2011】300号）文件规定标准确认。</w:t>
      </w:r>
    </w:p>
    <w:p w14:paraId="3A5B3CAC">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各行业划型标准为： </w:t>
      </w:r>
    </w:p>
    <w:p w14:paraId="53B3CC56">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（一）农、林、牧、渔业。营业收入20000万元以下的为中小微型企业。其中， </w:t>
      </w:r>
    </w:p>
    <w:p w14:paraId="0E14A131">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营业收入500万元及以上的为中型企业，营业收入50万元及以上的为小型企业，营业收入50万元以下的为微型企业。 </w:t>
      </w:r>
    </w:p>
    <w:p w14:paraId="07095651">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0A347858">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151F57E6">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62484471">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6C895286">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66FB2300">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14:paraId="417499C7">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43F28755">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5860EBB3">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66A4D18D">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24449545">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71A3B9FE">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0F2FB12F">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14:paraId="5EB08CD3">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 </w:t>
      </w:r>
    </w:p>
    <w:p w14:paraId="30A360DA">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（十六）其他未列明行业。从业人员300人以下的为中小微型企业。其中，从业人员100人及以上的为中型企业；从业人员10人及以上的为小型企业；从业人员10人以下的为微型企业。</w:t>
      </w:r>
    </w:p>
    <w:p w14:paraId="7913DA1D">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3-7-2监狱企业的价格评分标准</w:t>
      </w:r>
    </w:p>
    <w:p w14:paraId="12BD1AFE">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（1）在政府采购活动中，监狱企业视同小型、微型企业，享受预留份额、评审中价格扣除等政府采购促进中小企业发展的政府采购政策。</w:t>
      </w:r>
    </w:p>
    <w:p w14:paraId="1785DBD2">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 xml:space="preserve">（2）监狱企业属于小型、微型企业的，不重复享受政策。 </w:t>
      </w:r>
    </w:p>
    <w:p w14:paraId="77D98CD3">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（3）监狱企业参加政府采购活动时，应当提供由省级以上监狱管理局、戒毒管理局（含新疆生产建设兵团）出具的属于监狱企业的证明文件。</w:t>
      </w:r>
    </w:p>
    <w:p w14:paraId="115C082A">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 xml:space="preserve"> （4）监狱企业按《财政部、司法部关于政府采购支持监狱企业发展有关问题的通知》（财库〔2014〕68号）文件规定标准执行。</w:t>
      </w:r>
    </w:p>
    <w:p w14:paraId="38A5BC41">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3-7-3残疾人福利性单位的价格评分标准</w:t>
      </w:r>
    </w:p>
    <w:p w14:paraId="4A5B9297">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（1）在政府采购活动中，残疾人福利性单位视同小型、微型企业，享受预留份额、评审中价格扣除等政府采购促进中小企业发展的政府采购政策。</w:t>
      </w:r>
    </w:p>
    <w:p w14:paraId="6E50E2FD">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（2）残疾人福利性单位属于小型、微型企业的，不重复享受政策。</w:t>
      </w:r>
    </w:p>
    <w:p w14:paraId="3C9FA69C">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（3）符合条件的残疾人福利性单位在参加政府采购活动时，应当提供本通知规定的《残疾人福利性单位声明函》（见附件），并对声明的真实性负责，未提供的不视为残疾人福利性单位。</w:t>
      </w:r>
    </w:p>
    <w:p w14:paraId="0856E48C">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3-7-4节能产品、环境标志产品政策</w:t>
      </w:r>
    </w:p>
    <w:p w14:paraId="2CA478DD">
      <w:pPr>
        <w:pageBreakBefore w:val="0"/>
        <w:widowControl/>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1）节能产品根据《财政部、国家发展和改革委员会关于印发&lt;节能产品政府采购实施意见&gt;的通知》（财库【2004】185号）、《国务院办公厅关于建立政府强制采购节能产品制度的通知》（国办发〔2007〕51号）的有关规定，以中国政府采购网（http://www.ccgp.gov.cn/）公布的最新一期节能产品政府采购清单为准。节能清单所列产品包括政府强制采购和优先采购的节能产品，标注“★”的品目为政府强制采购的节能产品，其他品目为政府优先采购的节能产品。</w:t>
      </w:r>
    </w:p>
    <w:p w14:paraId="51DA609A">
      <w:pPr>
        <w:pageBreakBefore w:val="0"/>
        <w:widowControl/>
        <w:kinsoku/>
        <w:wordWrap/>
        <w:overflowPunct/>
        <w:topLinePunct w:val="0"/>
        <w:bidi w:val="0"/>
        <w:spacing w:line="360" w:lineRule="auto"/>
        <w:ind w:firstLine="560"/>
        <w:textAlignment w:val="auto"/>
        <w:rPr>
          <w:rFonts w:hint="eastAsia"/>
          <w:sz w:val="20"/>
          <w:szCs w:val="21"/>
        </w:rPr>
      </w:pPr>
      <w:r>
        <w:rPr>
          <w:rFonts w:hint="eastAsia" w:ascii="宋体" w:hAnsi="宋体" w:eastAsia="宋体" w:cs="宋体"/>
          <w:sz w:val="24"/>
          <w:szCs w:val="24"/>
        </w:rPr>
        <w:t>（2）环境标志产品根据《财政部、国家环保总局联合印发&lt;关于环境标志产品政府采购实施的意见&gt;》（财库【2006】90号）的规定，以中国政府采购网（http://www.ccgp.gov.cn/）公布的最新一期环境标志产品政府采购清单为准。环保清单所列产品为政府优先采购产品。</w:t>
      </w:r>
    </w:p>
    <w:p w14:paraId="7479D24F">
      <w:pPr>
        <w:pageBreakBefore w:val="0"/>
        <w:kinsoku/>
        <w:wordWrap/>
        <w:overflowPunct/>
        <w:topLinePunct w:val="0"/>
        <w:bidi w:val="0"/>
        <w:spacing w:line="360" w:lineRule="auto"/>
        <w:ind w:firstLine="562"/>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定标</w:t>
      </w:r>
    </w:p>
    <w:p w14:paraId="6B067BCD">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3-1定标程序</w:t>
      </w:r>
    </w:p>
    <w:p w14:paraId="706E15A0">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评审委员会依据评审办法，经过评审、澄清、磋商报价、评价等程序后，在最大限度满足磋商文件实质性要求前提下进行综合评审，以评标总得分由高到低的顺序推荐3名以上成交候选供应商，并编写评审报告。</w:t>
      </w:r>
    </w:p>
    <w:p w14:paraId="2396278B">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bookmarkStart w:id="29" w:name="OLE_LINK12"/>
      <w:bookmarkEnd w:id="29"/>
      <w:r>
        <w:rPr>
          <w:rFonts w:hint="eastAsia" w:ascii="宋体" w:hAnsi="宋体" w:eastAsia="宋体" w:cs="宋体"/>
          <w:sz w:val="24"/>
          <w:szCs w:val="24"/>
        </w:rPr>
        <w:t>评审委员会成员应当在评审报告上签字，对自己的评审意见承担法律责任。评审委员会成员对评审报告有异议的，评审委员会按照少数服从多数的原则推荐成交候选人。对评审报告有异议的，应当在评审报告上签署不同意见，并说明理由，否则视为同意评审报告。</w:t>
      </w:r>
    </w:p>
    <w:p w14:paraId="124AFA4F">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（3）代理机构应当自评审结束之日起2个工作日内将评审报告送交</w:t>
      </w:r>
      <w:r>
        <w:rPr>
          <w:rFonts w:hint="eastAsia" w:ascii="宋体" w:hAnsi="宋体" w:eastAsia="宋体" w:cs="宋体"/>
          <w:sz w:val="24"/>
          <w:szCs w:val="24"/>
          <w:lang w:eastAsia="zh-CN"/>
        </w:rPr>
        <w:t>采购人</w:t>
      </w:r>
      <w:r>
        <w:rPr>
          <w:rFonts w:hint="eastAsia" w:ascii="宋体" w:hAnsi="宋体" w:eastAsia="宋体" w:cs="宋体"/>
          <w:sz w:val="24"/>
          <w:szCs w:val="24"/>
        </w:rPr>
        <w:t>。</w:t>
      </w:r>
      <w:r>
        <w:rPr>
          <w:rFonts w:hint="eastAsia" w:ascii="宋体" w:hAnsi="宋体" w:eastAsia="宋体" w:cs="宋体"/>
          <w:sz w:val="24"/>
          <w:szCs w:val="24"/>
          <w:lang w:eastAsia="zh-CN"/>
        </w:rPr>
        <w:t>采购人</w:t>
      </w:r>
      <w:r>
        <w:rPr>
          <w:rFonts w:hint="eastAsia" w:ascii="宋体" w:hAnsi="宋体" w:eastAsia="宋体" w:cs="宋体"/>
          <w:sz w:val="24"/>
          <w:szCs w:val="24"/>
        </w:rPr>
        <w:t>在收到评审报告5个工作日内，从评审报告推荐的成交候选人中，以评审总分最高的供应商作为成交供应商，向代理机构出具《定标复函》；逾期未确定成交供应商且不提出异议的，视为确定评审报告推荐的评审得分最高的供应商为成交供应商。</w:t>
      </w:r>
    </w:p>
    <w:p w14:paraId="0D70026A">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（4）代理机构接到</w:t>
      </w:r>
      <w:r>
        <w:rPr>
          <w:rFonts w:hint="eastAsia" w:ascii="宋体" w:hAnsi="宋体" w:eastAsia="宋体" w:cs="宋体"/>
          <w:sz w:val="24"/>
          <w:szCs w:val="24"/>
          <w:lang w:eastAsia="zh-CN"/>
        </w:rPr>
        <w:t>采购人</w:t>
      </w:r>
      <w:r>
        <w:rPr>
          <w:rFonts w:hint="eastAsia" w:ascii="宋体" w:hAnsi="宋体" w:eastAsia="宋体" w:cs="宋体"/>
          <w:sz w:val="24"/>
          <w:szCs w:val="24"/>
        </w:rPr>
        <w:t>的《</w:t>
      </w:r>
      <w:r>
        <w:rPr>
          <w:rFonts w:hint="eastAsia" w:ascii="宋体" w:hAnsi="宋体" w:eastAsia="宋体" w:cs="宋体"/>
          <w:sz w:val="24"/>
          <w:szCs w:val="24"/>
          <w:lang w:eastAsia="zh-CN"/>
        </w:rPr>
        <w:t>成交</w:t>
      </w:r>
      <w:r>
        <w:rPr>
          <w:rFonts w:hint="eastAsia" w:ascii="宋体" w:hAnsi="宋体" w:eastAsia="宋体" w:cs="宋体"/>
          <w:sz w:val="24"/>
          <w:szCs w:val="24"/>
        </w:rPr>
        <w:t>复函》后，在2个工作日内，将成交结果在</w:t>
      </w:r>
      <w:r>
        <w:rPr>
          <w:rFonts w:hint="eastAsia" w:ascii="宋体" w:hAnsi="宋体" w:eastAsia="宋体" w:cs="宋体"/>
          <w:sz w:val="24"/>
          <w:szCs w:val="24"/>
          <w:lang w:eastAsia="zh-CN"/>
        </w:rPr>
        <w:t>《陕西省政府采购网》、《</w:t>
      </w:r>
      <w:r>
        <w:rPr>
          <w:rFonts w:hint="eastAsia" w:ascii="宋体" w:hAnsi="宋体" w:eastAsia="宋体" w:cs="宋体"/>
          <w:sz w:val="24"/>
          <w:szCs w:val="24"/>
          <w:highlight w:val="none"/>
          <w:lang w:val="en-US" w:eastAsia="zh-CN"/>
        </w:rPr>
        <w:t>全国公共资源交易平台（陕西省·宝鸡市）</w:t>
      </w:r>
      <w:r>
        <w:rPr>
          <w:rFonts w:hint="eastAsia" w:ascii="宋体" w:hAnsi="宋体" w:eastAsia="宋体" w:cs="宋体"/>
          <w:sz w:val="24"/>
          <w:szCs w:val="24"/>
          <w:lang w:eastAsia="zh-CN"/>
        </w:rPr>
        <w:t>》</w:t>
      </w:r>
      <w:r>
        <w:rPr>
          <w:rFonts w:hint="eastAsia" w:ascii="宋体" w:hAnsi="宋体" w:eastAsia="宋体" w:cs="宋体"/>
          <w:sz w:val="24"/>
          <w:szCs w:val="24"/>
        </w:rPr>
        <w:t>上发布公告。公告发布1个工作日，其他供应商若有异议，按《</w:t>
      </w:r>
      <w:r>
        <w:rPr>
          <w:rFonts w:hint="eastAsia" w:ascii="宋体" w:hAnsi="宋体" w:eastAsia="宋体" w:cs="宋体"/>
          <w:sz w:val="24"/>
          <w:szCs w:val="24"/>
          <w:lang w:eastAsia="zh-CN"/>
        </w:rPr>
        <w:t>政府采购</w:t>
      </w:r>
      <w:r>
        <w:rPr>
          <w:rFonts w:hint="eastAsia" w:ascii="宋体" w:hAnsi="宋体" w:eastAsia="宋体" w:cs="宋体"/>
          <w:sz w:val="24"/>
          <w:szCs w:val="24"/>
        </w:rPr>
        <w:t>法》第52条执行。</w:t>
      </w:r>
    </w:p>
    <w:p w14:paraId="67A3F4EB">
      <w:pPr>
        <w:pageBreakBefore w:val="0"/>
        <w:tabs>
          <w:tab w:val="left" w:pos="2700"/>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-2成交供应商确定后，</w:t>
      </w:r>
      <w:r>
        <w:rPr>
          <w:rFonts w:hint="eastAsia" w:ascii="宋体" w:hAnsi="宋体" w:eastAsia="宋体" w:cs="宋体"/>
          <w:sz w:val="24"/>
          <w:szCs w:val="24"/>
          <w:lang w:eastAsia="zh-CN"/>
        </w:rPr>
        <w:t>采购人</w:t>
      </w:r>
      <w:r>
        <w:rPr>
          <w:rFonts w:hint="eastAsia" w:ascii="宋体" w:hAnsi="宋体" w:eastAsia="宋体" w:cs="宋体"/>
          <w:sz w:val="24"/>
          <w:szCs w:val="24"/>
        </w:rPr>
        <w:t>和代理机构对未成交原因不作任何解释，竞争性磋商响应文件不予退还（含纸质及电子版文件）。</w:t>
      </w:r>
    </w:p>
    <w:p w14:paraId="43C19DCF">
      <w:pPr>
        <w:pageBreakBefore w:val="0"/>
        <w:tabs>
          <w:tab w:val="left" w:pos="2700"/>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磋商无效的情形：</w:t>
      </w:r>
    </w:p>
    <w:p w14:paraId="68910AF4">
      <w:pPr>
        <w:pageBreakBefore w:val="0"/>
        <w:tabs>
          <w:tab w:val="left" w:pos="2700"/>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5-1未按照磋商文件的规定提交磋商保证金的；</w:t>
      </w:r>
    </w:p>
    <w:p w14:paraId="3839D876">
      <w:pPr>
        <w:pageBreakBefore w:val="0"/>
        <w:tabs>
          <w:tab w:val="left" w:pos="2700"/>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5-2磋商响应文件未按磋商文件要求签署、盖章的；</w:t>
      </w:r>
    </w:p>
    <w:p w14:paraId="74C51C3F">
      <w:pPr>
        <w:pageBreakBefore w:val="0"/>
        <w:tabs>
          <w:tab w:val="left" w:pos="2700"/>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5-3不具备磋商文件中规定的资格要求的；</w:t>
      </w:r>
    </w:p>
    <w:p w14:paraId="2FD05418">
      <w:pPr>
        <w:pageBreakBefore w:val="0"/>
        <w:tabs>
          <w:tab w:val="left" w:pos="2700"/>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5-4报价超过磋商文件中规定的预算金额的；</w:t>
      </w:r>
    </w:p>
    <w:p w14:paraId="349B74C1">
      <w:pPr>
        <w:pageBreakBefore w:val="0"/>
        <w:tabs>
          <w:tab w:val="left" w:pos="2700"/>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5-5磋商响应文件含有采购人不能接受的附加条件的；</w:t>
      </w:r>
    </w:p>
    <w:p w14:paraId="6A9ADACF">
      <w:pPr>
        <w:pageBreakBefore w:val="0"/>
        <w:tabs>
          <w:tab w:val="left" w:pos="2700"/>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5-6提供虚假材料谋取成交的；</w:t>
      </w:r>
    </w:p>
    <w:p w14:paraId="13B33A10">
      <w:pPr>
        <w:pageBreakBefore w:val="0"/>
        <w:tabs>
          <w:tab w:val="left" w:pos="2700"/>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5-7采取不正当手段诋毁、排挤其他供应商的；</w:t>
      </w:r>
    </w:p>
    <w:p w14:paraId="480AB6A7">
      <w:pPr>
        <w:pageBreakBefore w:val="0"/>
        <w:tabs>
          <w:tab w:val="left" w:pos="2700"/>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5-8法律、法规和磋商文件规定的其他无效情形。</w:t>
      </w:r>
    </w:p>
    <w:p w14:paraId="73E350E2">
      <w:pPr>
        <w:pageBreakBefore w:val="0"/>
        <w:kinsoku/>
        <w:wordWrap/>
        <w:overflowPunct/>
        <w:topLinePunct w:val="0"/>
        <w:bidi w:val="0"/>
        <w:spacing w:line="360" w:lineRule="auto"/>
        <w:ind w:firstLine="562"/>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成交通知书</w:t>
      </w:r>
    </w:p>
    <w:p w14:paraId="60942673">
      <w:pPr>
        <w:pageBreakBefore w:val="0"/>
        <w:tabs>
          <w:tab w:val="left" w:pos="2700"/>
        </w:tabs>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-1成交通知书将在成交公告发布的同时由代理机构发出。</w:t>
      </w:r>
    </w:p>
    <w:p w14:paraId="19C9F7DA">
      <w:pPr>
        <w:pageBreakBefore w:val="0"/>
        <w:tabs>
          <w:tab w:val="left" w:pos="2700"/>
        </w:tabs>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-2成交供应商应在接到代理机构通知之日起七日内领取成交通知书。未在规定时间内领取成交通知书的，磋商保证金不予退还。提供磋商担保的供应商将由专业担保机构先行偿付</w:t>
      </w:r>
      <w:r>
        <w:rPr>
          <w:rFonts w:hint="eastAsia" w:ascii="宋体" w:hAnsi="宋体" w:eastAsia="宋体" w:cs="宋体"/>
          <w:sz w:val="24"/>
          <w:szCs w:val="24"/>
          <w:lang w:eastAsia="zh-CN"/>
        </w:rPr>
        <w:t>采购人</w:t>
      </w:r>
      <w:r>
        <w:rPr>
          <w:rFonts w:hint="eastAsia" w:ascii="宋体" w:hAnsi="宋体" w:eastAsia="宋体" w:cs="宋体"/>
          <w:sz w:val="24"/>
          <w:szCs w:val="24"/>
        </w:rPr>
        <w:t>损失。</w:t>
      </w:r>
    </w:p>
    <w:p w14:paraId="05990DC7">
      <w:pPr>
        <w:pageBreakBefore w:val="0"/>
        <w:tabs>
          <w:tab w:val="left" w:pos="2700"/>
        </w:tabs>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-3成交通知书发出后，</w:t>
      </w:r>
      <w:r>
        <w:rPr>
          <w:rFonts w:hint="eastAsia" w:ascii="宋体" w:hAnsi="宋体" w:eastAsia="宋体" w:cs="宋体"/>
          <w:sz w:val="24"/>
          <w:szCs w:val="24"/>
          <w:lang w:eastAsia="zh-CN"/>
        </w:rPr>
        <w:t>采购人</w:t>
      </w:r>
      <w:r>
        <w:rPr>
          <w:rFonts w:hint="eastAsia" w:ascii="宋体" w:hAnsi="宋体" w:eastAsia="宋体" w:cs="宋体"/>
          <w:sz w:val="24"/>
          <w:szCs w:val="24"/>
        </w:rPr>
        <w:t>不得违法改变成交结果，成交供应商无正当理由不得弃成交。</w:t>
      </w:r>
    </w:p>
    <w:p w14:paraId="6290BF23">
      <w:pPr>
        <w:pageBreakBefore w:val="0"/>
        <w:kinsoku/>
        <w:wordWrap/>
        <w:overflowPunct/>
        <w:topLinePunct w:val="0"/>
        <w:bidi w:val="0"/>
        <w:spacing w:line="360" w:lineRule="auto"/>
        <w:ind w:firstLine="562"/>
        <w:textAlignment w:val="auto"/>
        <w:outlineLvl w:val="1"/>
        <w:rPr>
          <w:rFonts w:hint="eastAsia" w:ascii="宋体" w:hAnsi="宋体" w:eastAsia="宋体" w:cs="宋体"/>
          <w:sz w:val="24"/>
          <w:szCs w:val="24"/>
        </w:rPr>
      </w:pPr>
      <w:bookmarkStart w:id="30" w:name="_Toc14755"/>
      <w:r>
        <w:rPr>
          <w:rFonts w:hint="eastAsia" w:ascii="宋体" w:hAnsi="宋体" w:eastAsia="宋体" w:cs="宋体"/>
          <w:b/>
          <w:sz w:val="24"/>
          <w:szCs w:val="24"/>
        </w:rPr>
        <w:t>八、合同</w:t>
      </w:r>
      <w:bookmarkEnd w:id="30"/>
    </w:p>
    <w:p w14:paraId="52DF47EF">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成交供应商在收到成交通知书后</w:t>
      </w:r>
      <w:r>
        <w:rPr>
          <w:rFonts w:hint="eastAsia" w:ascii="宋体" w:hAnsi="宋体" w:eastAsia="宋体" w:cs="宋体"/>
          <w:sz w:val="24"/>
          <w:szCs w:val="24"/>
          <w:lang w:eastAsia="zh-CN"/>
        </w:rPr>
        <w:t>三十</w:t>
      </w:r>
      <w:r>
        <w:rPr>
          <w:rFonts w:hint="eastAsia" w:ascii="宋体" w:hAnsi="宋体" w:eastAsia="宋体" w:cs="宋体"/>
          <w:sz w:val="24"/>
          <w:szCs w:val="24"/>
        </w:rPr>
        <w:t>（</w:t>
      </w:r>
      <w:r>
        <w:rPr>
          <w:rFonts w:hint="eastAsia" w:ascii="宋体" w:hAnsi="宋体" w:eastAsia="宋体" w:cs="宋体"/>
          <w:sz w:val="24"/>
          <w:szCs w:val="24"/>
          <w:lang w:val="en-US" w:eastAsia="zh-CN"/>
        </w:rPr>
        <w:t>30</w:t>
      </w:r>
      <w:r>
        <w:rPr>
          <w:rFonts w:hint="eastAsia" w:ascii="宋体" w:hAnsi="宋体" w:eastAsia="宋体" w:cs="宋体"/>
          <w:sz w:val="24"/>
          <w:szCs w:val="24"/>
        </w:rPr>
        <w:t>）个日历日内，应按竞争性磋商文件的要求与</w:t>
      </w:r>
      <w:r>
        <w:rPr>
          <w:rFonts w:hint="eastAsia" w:ascii="宋体" w:hAnsi="宋体" w:eastAsia="宋体" w:cs="宋体"/>
          <w:sz w:val="24"/>
          <w:szCs w:val="24"/>
          <w:lang w:eastAsia="zh-CN"/>
        </w:rPr>
        <w:t>采购人</w:t>
      </w:r>
      <w:r>
        <w:rPr>
          <w:rFonts w:hint="eastAsia" w:ascii="宋体" w:hAnsi="宋体" w:eastAsia="宋体" w:cs="宋体"/>
          <w:sz w:val="24"/>
          <w:szCs w:val="24"/>
        </w:rPr>
        <w:t>签订合同。</w:t>
      </w:r>
    </w:p>
    <w:p w14:paraId="508DA6B9">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成交供应商因自身原因不按规定或拒绝与</w:t>
      </w:r>
      <w:r>
        <w:rPr>
          <w:rFonts w:hint="eastAsia" w:ascii="宋体" w:hAnsi="宋体" w:eastAsia="宋体" w:cs="宋体"/>
          <w:sz w:val="24"/>
          <w:szCs w:val="24"/>
          <w:lang w:eastAsia="zh-CN"/>
        </w:rPr>
        <w:t>采购人</w:t>
      </w:r>
      <w:r>
        <w:rPr>
          <w:rFonts w:hint="eastAsia" w:ascii="宋体" w:hAnsi="宋体" w:eastAsia="宋体" w:cs="宋体"/>
          <w:sz w:val="24"/>
          <w:szCs w:val="24"/>
        </w:rPr>
        <w:t>签订合同的，则</w:t>
      </w:r>
      <w:r>
        <w:rPr>
          <w:rFonts w:hint="eastAsia" w:ascii="宋体" w:hAnsi="宋体" w:eastAsia="宋体" w:cs="宋体"/>
          <w:sz w:val="24"/>
          <w:szCs w:val="24"/>
          <w:lang w:eastAsia="zh-CN"/>
        </w:rPr>
        <w:t>采购人</w:t>
      </w:r>
      <w:r>
        <w:rPr>
          <w:rFonts w:hint="eastAsia" w:ascii="宋体" w:hAnsi="宋体" w:eastAsia="宋体" w:cs="宋体"/>
          <w:sz w:val="24"/>
          <w:szCs w:val="24"/>
        </w:rPr>
        <w:t>将废除授标，磋商保证金不予退还。给</w:t>
      </w:r>
      <w:r>
        <w:rPr>
          <w:rFonts w:hint="eastAsia" w:ascii="宋体" w:hAnsi="宋体" w:eastAsia="宋体" w:cs="宋体"/>
          <w:sz w:val="24"/>
          <w:szCs w:val="24"/>
          <w:lang w:eastAsia="zh-CN"/>
        </w:rPr>
        <w:t>采购人</w:t>
      </w:r>
      <w:r>
        <w:rPr>
          <w:rFonts w:hint="eastAsia" w:ascii="宋体" w:hAnsi="宋体" w:eastAsia="宋体" w:cs="宋体"/>
          <w:sz w:val="24"/>
          <w:szCs w:val="24"/>
        </w:rPr>
        <w:t>造成损失超过磋商保证金额的，还应当对超过部分予以赔偿，并依法承担相应法律责任；同时，</w:t>
      </w:r>
      <w:r>
        <w:rPr>
          <w:rFonts w:hint="eastAsia" w:ascii="宋体" w:hAnsi="宋体" w:eastAsia="宋体" w:cs="宋体"/>
          <w:sz w:val="24"/>
          <w:szCs w:val="24"/>
          <w:lang w:eastAsia="zh-CN"/>
        </w:rPr>
        <w:t>采购人</w:t>
      </w:r>
      <w:r>
        <w:rPr>
          <w:rFonts w:hint="eastAsia" w:ascii="宋体" w:hAnsi="宋体" w:eastAsia="宋体" w:cs="宋体"/>
          <w:sz w:val="24"/>
          <w:szCs w:val="24"/>
        </w:rPr>
        <w:t>可以按照评审报告推荐的成交候选人名单排序，确定下一候选人为成交供应商，以此类推，也可以重新开展政府采购活动。因自身原因拒绝签订政府采购合同的或者未按合同约定进行履约的，成交供应商不得参加对该项目重新开展的磋商活动。</w:t>
      </w:r>
    </w:p>
    <w:p w14:paraId="0E3A59F8">
      <w:pPr>
        <w:pageBreakBefore w:val="0"/>
        <w:kinsoku/>
        <w:wordWrap/>
        <w:overflowPunct/>
        <w:topLinePunct w:val="0"/>
        <w:bidi w:val="0"/>
        <w:spacing w:line="360" w:lineRule="auto"/>
        <w:ind w:firstLine="560"/>
        <w:textAlignment w:val="auto"/>
        <w:rPr>
          <w:rFonts w:hint="eastAsia" w:ascii="宋体" w:hAnsi="宋体" w:eastAsia="宋体" w:cs="宋体"/>
          <w:b/>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成交通知书将是合同的重要组成部分。竞争性磋商文件、成交供应商的竞争性磋商响应文件及评议过程中有关的澄清文件均作为合同附件。</w:t>
      </w:r>
    </w:p>
    <w:p w14:paraId="1BD18698">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成交后，成交供应商应按照合同约定履行义务，完成磋商项目的供货，经</w:t>
      </w:r>
      <w:r>
        <w:rPr>
          <w:rFonts w:hint="eastAsia" w:ascii="宋体" w:hAnsi="宋体" w:eastAsia="宋体" w:cs="宋体"/>
          <w:sz w:val="24"/>
          <w:szCs w:val="24"/>
          <w:lang w:eastAsia="zh-CN"/>
        </w:rPr>
        <w:t>采购人</w:t>
      </w:r>
      <w:r>
        <w:rPr>
          <w:rFonts w:hint="eastAsia" w:ascii="宋体" w:hAnsi="宋体" w:eastAsia="宋体" w:cs="宋体"/>
          <w:sz w:val="24"/>
          <w:szCs w:val="24"/>
        </w:rPr>
        <w:t>同意，成交供应商可以依法采取分包方式履行合同。分包部分为成交项目的部分非主体、非关键性工作。接受分包的供应商应当具备相应的资格条件，并不得再次分包。分包履行的，成交供应商就采购项目和分包项目向</w:t>
      </w:r>
      <w:r>
        <w:rPr>
          <w:rFonts w:hint="eastAsia" w:ascii="宋体" w:hAnsi="宋体" w:eastAsia="宋体" w:cs="宋体"/>
          <w:sz w:val="24"/>
          <w:szCs w:val="24"/>
          <w:lang w:eastAsia="zh-CN"/>
        </w:rPr>
        <w:t>采购人</w:t>
      </w:r>
      <w:r>
        <w:rPr>
          <w:rFonts w:hint="eastAsia" w:ascii="宋体" w:hAnsi="宋体" w:eastAsia="宋体" w:cs="宋体"/>
          <w:sz w:val="24"/>
          <w:szCs w:val="24"/>
        </w:rPr>
        <w:t>负责，分包供应商就分包项目承担责任。</w:t>
      </w:r>
    </w:p>
    <w:p w14:paraId="36596FFA">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所签订的合同不得对磋商文件确定的事项和成交供应商磋商响应文件作实质性修改。</w:t>
      </w:r>
    </w:p>
    <w:p w14:paraId="298C1EDF">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采购人</w:t>
      </w:r>
      <w:r>
        <w:rPr>
          <w:rFonts w:hint="eastAsia" w:ascii="宋体" w:hAnsi="宋体" w:eastAsia="宋体" w:cs="宋体"/>
          <w:sz w:val="24"/>
          <w:szCs w:val="24"/>
        </w:rPr>
        <w:t>需追加与合同标的相同的货物、工程或服务的，在不改变合同其他条款的前提下，可以与供应商协商签订补充合同，但所有补充合同的采购金额不得超过原合同采购金额的百分之十。</w:t>
      </w:r>
    </w:p>
    <w:p w14:paraId="1E14688D">
      <w:pPr>
        <w:pageBreakBefore w:val="0"/>
        <w:kinsoku/>
        <w:wordWrap/>
        <w:overflowPunct/>
        <w:topLinePunct w:val="0"/>
        <w:bidi w:val="0"/>
        <w:spacing w:line="360" w:lineRule="auto"/>
        <w:ind w:firstLine="562"/>
        <w:jc w:val="left"/>
        <w:textAlignment w:val="auto"/>
        <w:outlineLvl w:val="1"/>
        <w:rPr>
          <w:rFonts w:hint="eastAsia" w:ascii="宋体" w:hAnsi="宋体" w:eastAsia="宋体" w:cs="宋体"/>
          <w:b/>
          <w:sz w:val="24"/>
          <w:szCs w:val="24"/>
        </w:rPr>
      </w:pPr>
      <w:bookmarkStart w:id="31" w:name="_Toc7645"/>
      <w:r>
        <w:rPr>
          <w:rFonts w:hint="eastAsia" w:ascii="宋体" w:hAnsi="宋体" w:eastAsia="宋体" w:cs="宋体"/>
          <w:b/>
          <w:sz w:val="24"/>
          <w:szCs w:val="24"/>
        </w:rPr>
        <w:t>九、合同的履约验收</w:t>
      </w:r>
      <w:bookmarkEnd w:id="31"/>
    </w:p>
    <w:p w14:paraId="42EC4235">
      <w:pPr>
        <w:pageBreakBefore w:val="0"/>
        <w:kinsoku/>
        <w:wordWrap/>
        <w:overflowPunct/>
        <w:topLinePunct w:val="0"/>
        <w:bidi w:val="0"/>
        <w:spacing w:line="360" w:lineRule="auto"/>
        <w:ind w:firstLine="56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采购人</w:t>
      </w:r>
      <w:r>
        <w:rPr>
          <w:rFonts w:hint="eastAsia" w:ascii="宋体" w:hAnsi="宋体" w:eastAsia="宋体" w:cs="宋体"/>
          <w:sz w:val="24"/>
          <w:szCs w:val="24"/>
        </w:rPr>
        <w:t>应按照政府采购合同约定的技术、服务、安全标准组织对供应商每一项技术、服务、安全标准的履约情况进行验收，并出具验收书。</w:t>
      </w:r>
    </w:p>
    <w:p w14:paraId="3386B6BC">
      <w:pPr>
        <w:pageBreakBefore w:val="0"/>
        <w:kinsoku/>
        <w:wordWrap/>
        <w:overflowPunct/>
        <w:topLinePunct w:val="0"/>
        <w:bidi w:val="0"/>
        <w:spacing w:line="360" w:lineRule="auto"/>
        <w:ind w:firstLine="562"/>
        <w:jc w:val="left"/>
        <w:textAlignment w:val="auto"/>
        <w:outlineLvl w:val="1"/>
        <w:rPr>
          <w:rFonts w:hint="eastAsia" w:ascii="宋体" w:hAnsi="宋体" w:eastAsia="宋体" w:cs="宋体"/>
          <w:sz w:val="24"/>
          <w:szCs w:val="24"/>
        </w:rPr>
      </w:pPr>
      <w:bookmarkStart w:id="32" w:name="_Toc7854"/>
      <w:r>
        <w:rPr>
          <w:rFonts w:hint="eastAsia" w:ascii="宋体" w:hAnsi="宋体" w:eastAsia="宋体" w:cs="宋体"/>
          <w:b/>
          <w:sz w:val="24"/>
          <w:szCs w:val="24"/>
        </w:rPr>
        <w:t>十、招标服务费</w:t>
      </w:r>
      <w:bookmarkEnd w:id="32"/>
    </w:p>
    <w:p w14:paraId="54368A85">
      <w:pPr>
        <w:pageBreakBefore w:val="0"/>
        <w:kinsoku/>
        <w:wordWrap/>
        <w:overflowPunct/>
        <w:topLinePunct w:val="0"/>
        <w:bidi w:val="0"/>
        <w:spacing w:line="360" w:lineRule="auto"/>
        <w:ind w:firstLine="56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参照国家发展与改革委员会办公厅发改办价格【2003】857号文的规定，经协商由成交供应商按国家发展和改革委员发改价格【2011】534号文规定取费标准向采购代理机构支付招标代理服务费（包含“招标代理费、会务费（如有）”），若代理服务费不足5000元，按5000元收取，招标代理服务费由</w:t>
      </w:r>
      <w:r>
        <w:rPr>
          <w:rFonts w:hint="eastAsia" w:ascii="宋体" w:hAnsi="宋体" w:eastAsia="宋体" w:cs="宋体"/>
          <w:b w:val="0"/>
          <w:bCs w:val="0"/>
          <w:sz w:val="24"/>
          <w:szCs w:val="24"/>
          <w:u w:val="single"/>
          <w:lang w:val="en-US" w:eastAsia="zh-CN"/>
        </w:rPr>
        <w:t>成交单位</w:t>
      </w:r>
      <w:r>
        <w:rPr>
          <w:rFonts w:hint="eastAsia" w:ascii="宋体" w:hAnsi="宋体" w:eastAsia="宋体" w:cs="宋体"/>
          <w:b w:val="0"/>
          <w:bCs w:val="0"/>
          <w:sz w:val="24"/>
          <w:szCs w:val="24"/>
          <w:lang w:val="en-US" w:eastAsia="zh-CN"/>
        </w:rPr>
        <w:t>支付，在领取《成交通知书》前，成交单位一次性支付给陕西建政项目管理有限公司。</w:t>
      </w:r>
    </w:p>
    <w:p w14:paraId="6DFB8DC0">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成交服务费应按竞争性磋商文件要求的方式缴纳，不得用磋商保证金冲抵。</w:t>
      </w:r>
    </w:p>
    <w:p w14:paraId="6FF3519B">
      <w:pPr>
        <w:pageBreakBefore w:val="0"/>
        <w:kinsoku/>
        <w:wordWrap/>
        <w:overflowPunct/>
        <w:topLinePunct w:val="0"/>
        <w:bidi w:val="0"/>
        <w:spacing w:line="360" w:lineRule="auto"/>
        <w:ind w:firstLine="562"/>
        <w:jc w:val="left"/>
        <w:textAlignment w:val="auto"/>
        <w:outlineLvl w:val="1"/>
        <w:rPr>
          <w:rFonts w:hint="eastAsia" w:ascii="宋体" w:hAnsi="宋体" w:eastAsia="宋体" w:cs="宋体"/>
          <w:b/>
          <w:sz w:val="24"/>
          <w:szCs w:val="24"/>
        </w:rPr>
      </w:pPr>
      <w:bookmarkStart w:id="33" w:name="_Toc22443"/>
      <w:r>
        <w:rPr>
          <w:rFonts w:hint="eastAsia" w:ascii="宋体" w:hAnsi="宋体" w:eastAsia="宋体" w:cs="宋体"/>
          <w:b/>
          <w:sz w:val="24"/>
          <w:szCs w:val="24"/>
        </w:rPr>
        <w:t>十一、废标、重新组织采购</w:t>
      </w:r>
      <w:bookmarkEnd w:id="33"/>
    </w:p>
    <w:p w14:paraId="71DF83D0">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如果发生下列情况之一的，</w:t>
      </w:r>
      <w:r>
        <w:rPr>
          <w:rFonts w:hint="eastAsia" w:ascii="宋体" w:hAnsi="宋体" w:eastAsia="宋体" w:cs="宋体"/>
          <w:sz w:val="24"/>
          <w:szCs w:val="24"/>
          <w:lang w:eastAsia="zh-CN"/>
        </w:rPr>
        <w:t>采购人</w:t>
      </w:r>
      <w:r>
        <w:rPr>
          <w:rFonts w:hint="eastAsia" w:ascii="宋体" w:hAnsi="宋体" w:eastAsia="宋体" w:cs="宋体"/>
          <w:sz w:val="24"/>
          <w:szCs w:val="24"/>
        </w:rPr>
        <w:t>或代理机构将按有关规定重新组织采购：</w:t>
      </w:r>
    </w:p>
    <w:p w14:paraId="5F05052A">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6393C8AB">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7C68B084">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（3）磋商小组三分之二以上的专家认定所有磋商报价存在价格不实的现象。</w:t>
      </w:r>
    </w:p>
    <w:p w14:paraId="35E4ECD1">
      <w:pPr>
        <w:pageBreakBefore w:val="0"/>
        <w:kinsoku/>
        <w:wordWrap/>
        <w:overflowPunct/>
        <w:topLinePunct w:val="0"/>
        <w:bidi w:val="0"/>
        <w:spacing w:line="360" w:lineRule="auto"/>
        <w:ind w:firstLine="562"/>
        <w:textAlignment w:val="auto"/>
        <w:outlineLvl w:val="1"/>
        <w:rPr>
          <w:rFonts w:hint="eastAsia" w:ascii="宋体" w:hAnsi="宋体" w:eastAsia="宋体" w:cs="宋体"/>
          <w:b/>
          <w:sz w:val="24"/>
          <w:szCs w:val="24"/>
        </w:rPr>
      </w:pPr>
      <w:bookmarkStart w:id="34" w:name="_Toc28309"/>
      <w:r>
        <w:rPr>
          <w:rFonts w:hint="eastAsia" w:ascii="宋体" w:hAnsi="宋体" w:eastAsia="宋体" w:cs="宋体"/>
          <w:b/>
          <w:sz w:val="24"/>
          <w:szCs w:val="24"/>
        </w:rPr>
        <w:t>十二、询问、质疑与投诉</w:t>
      </w:r>
      <w:bookmarkEnd w:id="34"/>
    </w:p>
    <w:p w14:paraId="29C2F005">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w:t>
      </w:r>
      <w:r>
        <w:rPr>
          <w:rFonts w:hint="eastAsia" w:ascii="宋体" w:hAnsi="宋体" w:eastAsia="宋体" w:cs="宋体"/>
          <w:bCs/>
          <w:sz w:val="24"/>
          <w:szCs w:val="24"/>
        </w:rPr>
        <w:t>询问</w:t>
      </w:r>
    </w:p>
    <w:p w14:paraId="6A9329AE">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供应商对政府采购活动事项有疑问的，可以向采购人、采购代理机构提出询问。</w:t>
      </w:r>
    </w:p>
    <w:p w14:paraId="13989557">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w:t>
      </w:r>
      <w:r>
        <w:rPr>
          <w:rFonts w:hint="eastAsia" w:ascii="宋体" w:hAnsi="宋体" w:eastAsia="宋体" w:cs="宋体"/>
          <w:bCs/>
          <w:sz w:val="24"/>
          <w:szCs w:val="24"/>
        </w:rPr>
        <w:t>质疑</w:t>
      </w:r>
    </w:p>
    <w:p w14:paraId="657A9486">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2-1供应商认为磋商文件、采购过程和成交结果使自己的权益受到损害的，可以在知道或者应知其权益受到损害之日起七个工作日内，以书面形式向采购人或者采购代理机构提出质疑。</w:t>
      </w:r>
    </w:p>
    <w:p w14:paraId="554AF4A2">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2-2提出质疑的应当是参与所质疑项目采购活动的供应商。</w:t>
      </w:r>
    </w:p>
    <w:p w14:paraId="4CC955A3">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2-3提出质疑应当提交质疑函和必要的证明材料。质疑函应当包括下列内容：</w:t>
      </w:r>
    </w:p>
    <w:p w14:paraId="3F0E5332">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（1）供应商的姓名或者名称、地址、邮编、联系人及联系电话；</w:t>
      </w:r>
    </w:p>
    <w:p w14:paraId="7A278F0A">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（2）质疑项目的名称、编号；</w:t>
      </w:r>
    </w:p>
    <w:p w14:paraId="01697A08">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（3）具体、明确的质疑事项和与质疑事项相关的请求；</w:t>
      </w:r>
    </w:p>
    <w:p w14:paraId="45098640">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（4）事实依据；</w:t>
      </w:r>
    </w:p>
    <w:p w14:paraId="2517601C">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（5）必要的法律依据；</w:t>
      </w:r>
    </w:p>
    <w:p w14:paraId="40746CC9">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（6）提出质疑的日期。</w:t>
      </w:r>
    </w:p>
    <w:p w14:paraId="478039D4">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供应商为自然人的，应当由本人签字；供应商为法人或者其他组织的，应当由法定代表人、主要负责人，或者其授权代表签字或者盖章，并加盖公章。</w:t>
      </w:r>
    </w:p>
    <w:p w14:paraId="0B186C04">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2-4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0693D4EA">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2-5有下列情形之一的，属于无效质疑：</w:t>
      </w:r>
    </w:p>
    <w:p w14:paraId="07E89336">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①质疑人不是参与本次政府采购项目的服务商或潜在服务商；</w:t>
      </w:r>
    </w:p>
    <w:p w14:paraId="38A95816">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②质疑人与质疑事项不存在利害关系的；</w:t>
      </w:r>
    </w:p>
    <w:p w14:paraId="63FB9420">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③未在法定期限内提出质疑的；</w:t>
      </w:r>
    </w:p>
    <w:p w14:paraId="5EE3DF98">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④质疑未以书面形式提出，或质疑函主要内容构成不完整的；</w:t>
      </w:r>
    </w:p>
    <w:p w14:paraId="75757394">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⑤质疑函没有合法有效的签字、盖章或授权的；</w:t>
      </w:r>
    </w:p>
    <w:p w14:paraId="5B943E4E">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⑥以非法手段取得证据、材料的；</w:t>
      </w:r>
    </w:p>
    <w:p w14:paraId="4CD2D30E">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⑦质疑答复后，同一质疑人就同一事项再次提出质疑的；</w:t>
      </w:r>
    </w:p>
    <w:p w14:paraId="3C9ED54C">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⑧不符合法律、法规、规章和政府采购监管机构规定的其他条件的。</w:t>
      </w:r>
    </w:p>
    <w:p w14:paraId="2077A4E3">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2-6符合要求的质疑，采购代理机构将予以受理并答复，具体联系方式如下：</w:t>
      </w:r>
    </w:p>
    <w:p w14:paraId="3E61B001">
      <w:pPr>
        <w:pageBreakBefore w:val="0"/>
        <w:kinsoku/>
        <w:wordWrap/>
        <w:overflowPunct/>
        <w:topLinePunct w:val="0"/>
        <w:bidi w:val="0"/>
        <w:spacing w:line="360" w:lineRule="auto"/>
        <w:ind w:left="239" w:leftChars="114" w:firstLine="398" w:firstLineChars="166"/>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联系电话：</w:t>
      </w:r>
      <w:r>
        <w:rPr>
          <w:rFonts w:hint="eastAsia" w:ascii="宋体" w:hAnsi="宋体" w:eastAsia="宋体" w:cs="宋体"/>
          <w:bCs/>
          <w:sz w:val="24"/>
          <w:szCs w:val="24"/>
          <w:lang w:val="en-US" w:eastAsia="zh-CN"/>
        </w:rPr>
        <w:t>18291724231</w:t>
      </w:r>
    </w:p>
    <w:p w14:paraId="2E8753C3">
      <w:pPr>
        <w:pageBreakBefore w:val="0"/>
        <w:kinsoku/>
        <w:wordWrap/>
        <w:overflowPunct/>
        <w:topLinePunct w:val="0"/>
        <w:bidi w:val="0"/>
        <w:spacing w:line="360" w:lineRule="auto"/>
        <w:ind w:left="239" w:leftChars="114" w:firstLine="398" w:firstLineChars="166"/>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地址：</w:t>
      </w:r>
      <w:r>
        <w:rPr>
          <w:rFonts w:hint="eastAsia" w:ascii="宋体" w:hAnsi="宋体" w:eastAsia="宋体" w:cs="宋体"/>
          <w:bCs/>
          <w:sz w:val="24"/>
          <w:szCs w:val="24"/>
          <w:lang w:val="en-US" w:eastAsia="zh-CN"/>
        </w:rPr>
        <w:t>陕西省西安市雁塔区农林巷1号蓝山国际公寓508室</w:t>
      </w:r>
    </w:p>
    <w:p w14:paraId="73B3B46F">
      <w:pPr>
        <w:pageBreakBefore w:val="0"/>
        <w:kinsoku/>
        <w:wordWrap/>
        <w:overflowPunct/>
        <w:topLinePunct w:val="0"/>
        <w:bidi w:val="0"/>
        <w:spacing w:line="360" w:lineRule="auto"/>
        <w:ind w:left="239" w:leftChars="114" w:firstLine="398" w:firstLineChars="166"/>
        <w:textAlignment w:val="auto"/>
        <w:rPr>
          <w:rFonts w:hint="eastAsia" w:ascii="宋体" w:hAnsi="宋体" w:eastAsia="宋体" w:cs="宋体"/>
          <w:bCs/>
          <w:sz w:val="24"/>
          <w:szCs w:val="24"/>
        </w:rPr>
      </w:pPr>
      <w:r>
        <w:rPr>
          <w:rFonts w:hint="eastAsia" w:ascii="宋体" w:hAnsi="宋体" w:eastAsia="宋体" w:cs="宋体"/>
          <w:bCs/>
          <w:sz w:val="24"/>
          <w:szCs w:val="24"/>
        </w:rPr>
        <w:t>2-7采购代理机构或采购人将在收到书面质疑后7个工作日内做出答复，并以书面形式通知质疑人和其他有关供应商。</w:t>
      </w:r>
    </w:p>
    <w:p w14:paraId="11B4B682">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w:t>
      </w:r>
      <w:r>
        <w:rPr>
          <w:rFonts w:hint="eastAsia" w:ascii="宋体" w:hAnsi="宋体" w:eastAsia="宋体" w:cs="宋体"/>
          <w:bCs/>
          <w:sz w:val="24"/>
          <w:szCs w:val="24"/>
        </w:rPr>
        <w:t>投诉</w:t>
      </w:r>
    </w:p>
    <w:p w14:paraId="24E558FB">
      <w:pPr>
        <w:pageBreakBefore w:val="0"/>
        <w:kinsoku/>
        <w:wordWrap/>
        <w:overflowPunct/>
        <w:topLinePunct w:val="0"/>
        <w:bidi w:val="0"/>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3-1质疑人对采购代理机构或采购人的答复不满意，以及采购代理机构或采购人未在规定时间内做出答复的，可以在答复期满后15个工作日内向政府采购监管机构提出投诉。</w:t>
      </w:r>
    </w:p>
    <w:p w14:paraId="7F5999DF">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bCs/>
          <w:sz w:val="24"/>
          <w:szCs w:val="24"/>
        </w:rPr>
      </w:pPr>
      <w:r>
        <w:rPr>
          <w:rFonts w:hint="eastAsia" w:ascii="宋体" w:hAnsi="宋体" w:eastAsia="宋体" w:cs="宋体"/>
          <w:bCs/>
          <w:sz w:val="24"/>
          <w:szCs w:val="24"/>
        </w:rPr>
        <w:t>3-2投诉的事项不得超出已质疑事项的范围，但基于质疑答复内容提出的投诉事项除外。</w:t>
      </w:r>
    </w:p>
    <w:p w14:paraId="0A9B61B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sz w:val="20"/>
          <w:szCs w:val="21"/>
          <w:highlight w:val="none"/>
        </w:rPr>
      </w:pPr>
      <w:bookmarkStart w:id="35" w:name="_Toc18338"/>
      <w:bookmarkStart w:id="36" w:name="_Toc26519376"/>
      <w:bookmarkStart w:id="37" w:name="_Toc19091852"/>
      <w:bookmarkStart w:id="38" w:name="_Toc19091861"/>
      <w:bookmarkStart w:id="39" w:name="_Toc26519377"/>
      <w:r>
        <w:rPr>
          <w:rFonts w:hint="eastAsia" w:ascii="宋体" w:hAnsi="宋体" w:eastAsia="宋体" w:cs="宋体"/>
          <w:b/>
          <w:sz w:val="24"/>
          <w:szCs w:val="24"/>
        </w:rPr>
        <w:t>十三、拒绝商业贿赂</w:t>
      </w:r>
      <w:bookmarkEnd w:id="35"/>
    </w:p>
    <w:p w14:paraId="39B641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bCs/>
          <w:sz w:val="24"/>
          <w:szCs w:val="24"/>
        </w:rPr>
        <w:t>遵照</w:t>
      </w:r>
      <w:r>
        <w:rPr>
          <w:rFonts w:hint="eastAsia" w:ascii="宋体" w:hAnsi="宋体" w:eastAsia="宋体" w:cs="宋体"/>
          <w:bCs/>
          <w:sz w:val="24"/>
          <w:szCs w:val="24"/>
          <w:lang w:eastAsia="zh-CN"/>
        </w:rPr>
        <w:t>扶风县教育体育局</w:t>
      </w:r>
      <w:r>
        <w:rPr>
          <w:rFonts w:hint="eastAsia" w:ascii="宋体" w:hAnsi="宋体" w:eastAsia="宋体" w:cs="宋体"/>
          <w:bCs/>
          <w:sz w:val="24"/>
          <w:szCs w:val="24"/>
        </w:rPr>
        <w:t>的规定，采购人、采购代理机构、供应商和评审专家在磋商活动中，都要签订相应的《拒绝政府采购领域商业贿赂承诺书》，并对违反承诺的行为承担全部责任。</w:t>
      </w:r>
      <w:r>
        <w:rPr>
          <w:rFonts w:hint="eastAsia" w:ascii="宋体" w:hAnsi="宋体" w:eastAsia="宋体" w:cs="宋体"/>
          <w:highlight w:val="none"/>
        </w:rPr>
        <w:br w:type="page"/>
      </w:r>
    </w:p>
    <w:p w14:paraId="4E163E63">
      <w:pPr>
        <w:pStyle w:val="3"/>
        <w:pageBreakBefore w:val="0"/>
        <w:kinsoku/>
        <w:wordWrap/>
        <w:overflowPunct/>
        <w:topLinePunct w:val="0"/>
        <w:bidi w:val="0"/>
        <w:spacing w:before="0" w:after="0" w:line="360" w:lineRule="auto"/>
        <w:jc w:val="center"/>
        <w:textAlignment w:val="auto"/>
        <w:rPr>
          <w:rFonts w:hint="eastAsia" w:ascii="宋体" w:hAnsi="宋体" w:eastAsia="宋体" w:cs="宋体"/>
          <w:sz w:val="22"/>
          <w:szCs w:val="22"/>
          <w:highlight w:val="none"/>
          <w:lang w:eastAsia="zh-CN"/>
        </w:rPr>
      </w:pPr>
      <w:bookmarkStart w:id="40" w:name="_Toc30927"/>
      <w:r>
        <w:rPr>
          <w:rFonts w:hint="eastAsia" w:ascii="宋体" w:hAnsi="宋体" w:eastAsia="宋体" w:cs="宋体"/>
          <w:sz w:val="36"/>
          <w:szCs w:val="36"/>
          <w:highlight w:val="none"/>
        </w:rPr>
        <w:t xml:space="preserve">第三部分  </w:t>
      </w:r>
      <w:bookmarkEnd w:id="36"/>
      <w:bookmarkEnd w:id="37"/>
      <w:bookmarkStart w:id="41" w:name="_Hlt113759197"/>
      <w:bookmarkEnd w:id="41"/>
      <w:bookmarkStart w:id="42" w:name="_Hlt178421374"/>
      <w:bookmarkEnd w:id="42"/>
      <w:r>
        <w:rPr>
          <w:rFonts w:hint="eastAsia" w:ascii="宋体" w:hAnsi="宋体" w:eastAsia="宋体" w:cs="宋体"/>
          <w:sz w:val="36"/>
          <w:szCs w:val="36"/>
          <w:highlight w:val="none"/>
          <w:lang w:eastAsia="zh-CN"/>
        </w:rPr>
        <w:t>工程量清单</w:t>
      </w:r>
      <w:bookmarkEnd w:id="40"/>
    </w:p>
    <w:p w14:paraId="1E6157F6">
      <w:pPr>
        <w:pStyle w:val="14"/>
        <w:jc w:val="center"/>
        <w:rPr>
          <w:rFonts w:hint="eastAsia" w:ascii="宋体" w:hAnsi="宋体" w:eastAsia="宋体" w:cs="宋体"/>
          <w:b w:val="0"/>
          <w:bCs w:val="0"/>
          <w:kern w:val="1"/>
          <w:sz w:val="28"/>
          <w:szCs w:val="28"/>
          <w:highlight w:val="none"/>
          <w:lang w:val="en-US" w:eastAsia="zh-CN" w:bidi="ar-SA"/>
        </w:rPr>
      </w:pPr>
      <w:bookmarkStart w:id="43" w:name="_Toc500142208"/>
      <w:r>
        <w:rPr>
          <w:rFonts w:hint="eastAsia" w:ascii="宋体" w:hAnsi="宋体" w:eastAsia="宋体" w:cs="宋体"/>
          <w:b w:val="0"/>
          <w:bCs w:val="0"/>
          <w:kern w:val="1"/>
          <w:sz w:val="28"/>
          <w:szCs w:val="28"/>
          <w:highlight w:val="none"/>
          <w:lang w:val="en-US" w:eastAsia="zh-CN" w:bidi="ar-SA"/>
        </w:rPr>
        <w:t>（另附）</w:t>
      </w:r>
    </w:p>
    <w:p w14:paraId="41B6BDCA">
      <w:pPr>
        <w:pStyle w:val="14"/>
        <w:rPr>
          <w:rFonts w:hint="eastAsia" w:ascii="宋体" w:hAnsi="宋体" w:eastAsia="宋体" w:cs="宋体"/>
        </w:rPr>
      </w:pPr>
    </w:p>
    <w:p w14:paraId="44B05CC6">
      <w:pPr>
        <w:pStyle w:val="14"/>
        <w:rPr>
          <w:rFonts w:hint="eastAsia" w:ascii="宋体" w:hAnsi="宋体" w:eastAsia="宋体" w:cs="宋体"/>
        </w:rPr>
      </w:pPr>
    </w:p>
    <w:p w14:paraId="251F4FE1">
      <w:pPr>
        <w:pStyle w:val="14"/>
        <w:rPr>
          <w:rFonts w:hint="eastAsia" w:ascii="宋体" w:hAnsi="宋体" w:eastAsia="宋体" w:cs="宋体"/>
        </w:rPr>
      </w:pPr>
    </w:p>
    <w:p w14:paraId="47D534D1">
      <w:pPr>
        <w:pStyle w:val="14"/>
        <w:rPr>
          <w:rFonts w:hint="eastAsia" w:ascii="宋体" w:hAnsi="宋体" w:eastAsia="宋体" w:cs="宋体"/>
        </w:rPr>
      </w:pPr>
    </w:p>
    <w:p w14:paraId="20852B3D">
      <w:pPr>
        <w:pStyle w:val="14"/>
        <w:rPr>
          <w:rFonts w:hint="eastAsia" w:ascii="宋体" w:hAnsi="宋体" w:eastAsia="宋体" w:cs="宋体"/>
        </w:rPr>
      </w:pPr>
    </w:p>
    <w:p w14:paraId="658B6A43">
      <w:pPr>
        <w:pStyle w:val="14"/>
        <w:rPr>
          <w:rFonts w:hint="eastAsia" w:ascii="宋体" w:hAnsi="宋体" w:eastAsia="宋体" w:cs="宋体"/>
        </w:rPr>
      </w:pPr>
    </w:p>
    <w:p w14:paraId="7C293D72">
      <w:pPr>
        <w:pStyle w:val="14"/>
        <w:rPr>
          <w:rFonts w:hint="eastAsia" w:ascii="宋体" w:hAnsi="宋体" w:eastAsia="宋体" w:cs="宋体"/>
        </w:rPr>
      </w:pPr>
    </w:p>
    <w:p w14:paraId="6B2F49CC">
      <w:pPr>
        <w:pStyle w:val="14"/>
        <w:rPr>
          <w:rFonts w:hint="eastAsia" w:ascii="宋体" w:hAnsi="宋体" w:eastAsia="宋体" w:cs="宋体"/>
        </w:rPr>
      </w:pPr>
    </w:p>
    <w:p w14:paraId="3A63D2CB">
      <w:pPr>
        <w:pStyle w:val="14"/>
        <w:jc w:val="center"/>
        <w:rPr>
          <w:rFonts w:hint="eastAsia" w:ascii="宋体" w:hAnsi="宋体" w:eastAsia="宋体" w:cs="宋体"/>
        </w:rPr>
      </w:pPr>
    </w:p>
    <w:p w14:paraId="2EA98E9E">
      <w:pPr>
        <w:pStyle w:val="14"/>
        <w:rPr>
          <w:rFonts w:hint="eastAsia" w:ascii="宋体" w:hAnsi="宋体" w:eastAsia="宋体" w:cs="宋体"/>
        </w:rPr>
      </w:pPr>
    </w:p>
    <w:p w14:paraId="6D053327">
      <w:pPr>
        <w:pStyle w:val="14"/>
        <w:rPr>
          <w:rFonts w:hint="eastAsia" w:ascii="宋体" w:hAnsi="宋体" w:eastAsia="宋体" w:cs="宋体"/>
        </w:rPr>
      </w:pPr>
    </w:p>
    <w:p w14:paraId="3F715A82">
      <w:pPr>
        <w:pStyle w:val="14"/>
        <w:rPr>
          <w:rFonts w:hint="eastAsia" w:ascii="宋体" w:hAnsi="宋体" w:eastAsia="宋体" w:cs="宋体"/>
        </w:rPr>
      </w:pPr>
    </w:p>
    <w:p w14:paraId="4A35445A">
      <w:pPr>
        <w:pStyle w:val="14"/>
        <w:rPr>
          <w:rFonts w:hint="eastAsia" w:ascii="宋体" w:hAnsi="宋体" w:eastAsia="宋体" w:cs="宋体"/>
        </w:rPr>
      </w:pPr>
    </w:p>
    <w:p w14:paraId="061F0F1B">
      <w:pPr>
        <w:pStyle w:val="14"/>
        <w:rPr>
          <w:rFonts w:hint="eastAsia" w:ascii="宋体" w:hAnsi="宋体" w:eastAsia="宋体" w:cs="宋体"/>
        </w:rPr>
      </w:pPr>
    </w:p>
    <w:p w14:paraId="6DA264E8">
      <w:pPr>
        <w:pStyle w:val="14"/>
        <w:rPr>
          <w:rFonts w:hint="eastAsia" w:ascii="宋体" w:hAnsi="宋体" w:eastAsia="宋体" w:cs="宋体"/>
        </w:rPr>
      </w:pPr>
    </w:p>
    <w:p w14:paraId="6EED938F">
      <w:pPr>
        <w:pStyle w:val="14"/>
        <w:rPr>
          <w:rFonts w:hint="eastAsia" w:ascii="宋体" w:hAnsi="宋体" w:eastAsia="宋体" w:cs="宋体"/>
        </w:rPr>
      </w:pPr>
    </w:p>
    <w:p w14:paraId="35F20DBA">
      <w:pPr>
        <w:pStyle w:val="14"/>
        <w:rPr>
          <w:rFonts w:hint="eastAsia" w:ascii="宋体" w:hAnsi="宋体" w:eastAsia="宋体" w:cs="宋体"/>
        </w:rPr>
      </w:pPr>
    </w:p>
    <w:p w14:paraId="4CFAF988">
      <w:pPr>
        <w:pStyle w:val="14"/>
        <w:rPr>
          <w:rFonts w:hint="eastAsia" w:ascii="宋体" w:hAnsi="宋体" w:eastAsia="宋体" w:cs="宋体"/>
        </w:rPr>
      </w:pPr>
    </w:p>
    <w:p w14:paraId="0D420B40">
      <w:pPr>
        <w:pStyle w:val="14"/>
        <w:rPr>
          <w:rFonts w:hint="eastAsia" w:ascii="宋体" w:hAnsi="宋体" w:eastAsia="宋体" w:cs="宋体"/>
        </w:rPr>
      </w:pPr>
    </w:p>
    <w:p w14:paraId="3D65E900">
      <w:pPr>
        <w:pStyle w:val="14"/>
        <w:rPr>
          <w:rFonts w:hint="eastAsia" w:ascii="宋体" w:hAnsi="宋体" w:eastAsia="宋体" w:cs="宋体"/>
        </w:rPr>
      </w:pPr>
    </w:p>
    <w:p w14:paraId="1E19B797">
      <w:pPr>
        <w:pStyle w:val="14"/>
        <w:rPr>
          <w:rFonts w:hint="eastAsia" w:ascii="宋体" w:hAnsi="宋体" w:eastAsia="宋体" w:cs="宋体"/>
        </w:rPr>
      </w:pPr>
    </w:p>
    <w:p w14:paraId="1983A2C1">
      <w:pPr>
        <w:pStyle w:val="14"/>
        <w:rPr>
          <w:rFonts w:hint="eastAsia" w:ascii="宋体" w:hAnsi="宋体" w:eastAsia="宋体" w:cs="宋体"/>
        </w:rPr>
      </w:pPr>
    </w:p>
    <w:p w14:paraId="7A1A148C">
      <w:pPr>
        <w:pStyle w:val="14"/>
        <w:rPr>
          <w:rFonts w:hint="eastAsia" w:ascii="宋体" w:hAnsi="宋体" w:eastAsia="宋体" w:cs="宋体"/>
        </w:rPr>
      </w:pPr>
    </w:p>
    <w:p w14:paraId="322939CF">
      <w:pPr>
        <w:pStyle w:val="14"/>
        <w:rPr>
          <w:rFonts w:hint="eastAsia" w:ascii="宋体" w:hAnsi="宋体" w:eastAsia="宋体" w:cs="宋体"/>
        </w:rPr>
      </w:pPr>
    </w:p>
    <w:p w14:paraId="512BE1EA">
      <w:pPr>
        <w:pStyle w:val="14"/>
        <w:rPr>
          <w:rFonts w:hint="eastAsia" w:ascii="宋体" w:hAnsi="宋体" w:eastAsia="宋体" w:cs="宋体"/>
        </w:rPr>
      </w:pPr>
    </w:p>
    <w:p w14:paraId="0568D9A0">
      <w:pPr>
        <w:pStyle w:val="14"/>
        <w:rPr>
          <w:rFonts w:hint="eastAsia" w:ascii="宋体" w:hAnsi="宋体" w:eastAsia="宋体" w:cs="宋体"/>
        </w:rPr>
      </w:pPr>
    </w:p>
    <w:p w14:paraId="7FFE5FE8">
      <w:pPr>
        <w:pStyle w:val="14"/>
        <w:rPr>
          <w:rFonts w:hint="eastAsia" w:ascii="宋体" w:hAnsi="宋体" w:eastAsia="宋体" w:cs="宋体"/>
        </w:rPr>
      </w:pPr>
    </w:p>
    <w:p w14:paraId="2BDA731F">
      <w:pPr>
        <w:pStyle w:val="14"/>
        <w:rPr>
          <w:rFonts w:hint="eastAsia" w:ascii="宋体" w:hAnsi="宋体" w:eastAsia="宋体" w:cs="宋体"/>
        </w:rPr>
      </w:pPr>
    </w:p>
    <w:p w14:paraId="3379334E">
      <w:pPr>
        <w:pStyle w:val="14"/>
        <w:rPr>
          <w:rFonts w:hint="eastAsia" w:ascii="宋体" w:hAnsi="宋体" w:eastAsia="宋体" w:cs="宋体"/>
        </w:rPr>
      </w:pPr>
    </w:p>
    <w:p w14:paraId="05F557A5">
      <w:pPr>
        <w:pStyle w:val="14"/>
        <w:rPr>
          <w:rFonts w:hint="eastAsia" w:ascii="宋体" w:hAnsi="宋体" w:eastAsia="宋体" w:cs="宋体"/>
        </w:rPr>
      </w:pPr>
    </w:p>
    <w:p w14:paraId="2038515F">
      <w:pPr>
        <w:pStyle w:val="14"/>
        <w:rPr>
          <w:rFonts w:hint="eastAsia" w:ascii="宋体" w:hAnsi="宋体" w:eastAsia="宋体" w:cs="宋体"/>
        </w:rPr>
      </w:pPr>
    </w:p>
    <w:p w14:paraId="2D5E743D">
      <w:pPr>
        <w:pStyle w:val="14"/>
        <w:rPr>
          <w:rFonts w:hint="eastAsia" w:ascii="宋体" w:hAnsi="宋体" w:eastAsia="宋体" w:cs="宋体"/>
        </w:rPr>
      </w:pPr>
    </w:p>
    <w:p w14:paraId="4D8B88B9">
      <w:pPr>
        <w:pStyle w:val="14"/>
        <w:rPr>
          <w:rFonts w:hint="eastAsia" w:ascii="宋体" w:hAnsi="宋体" w:eastAsia="宋体" w:cs="宋体"/>
        </w:rPr>
      </w:pPr>
    </w:p>
    <w:p w14:paraId="23905EC4">
      <w:pPr>
        <w:pStyle w:val="14"/>
        <w:rPr>
          <w:rFonts w:hint="eastAsia" w:ascii="宋体" w:hAnsi="宋体" w:eastAsia="宋体" w:cs="宋体"/>
        </w:rPr>
      </w:pPr>
    </w:p>
    <w:p w14:paraId="2D3961A8">
      <w:pPr>
        <w:pStyle w:val="14"/>
        <w:rPr>
          <w:rFonts w:hint="eastAsia" w:ascii="宋体" w:hAnsi="宋体" w:eastAsia="宋体" w:cs="宋体"/>
        </w:rPr>
      </w:pPr>
    </w:p>
    <w:p w14:paraId="70B49C83">
      <w:pPr>
        <w:pStyle w:val="14"/>
        <w:rPr>
          <w:rFonts w:hint="eastAsia" w:ascii="宋体" w:hAnsi="宋体" w:eastAsia="宋体" w:cs="宋体"/>
        </w:rPr>
      </w:pPr>
    </w:p>
    <w:p w14:paraId="342A02EF">
      <w:pPr>
        <w:pStyle w:val="14"/>
        <w:rPr>
          <w:rFonts w:hint="eastAsia" w:ascii="宋体" w:hAnsi="宋体" w:eastAsia="宋体" w:cs="宋体"/>
        </w:rPr>
      </w:pPr>
    </w:p>
    <w:p w14:paraId="1259AE26">
      <w:pPr>
        <w:pStyle w:val="14"/>
        <w:rPr>
          <w:rFonts w:hint="eastAsia" w:ascii="宋体" w:hAnsi="宋体" w:eastAsia="宋体" w:cs="宋体"/>
        </w:rPr>
      </w:pPr>
    </w:p>
    <w:p w14:paraId="57992384">
      <w:pPr>
        <w:pStyle w:val="14"/>
        <w:rPr>
          <w:rFonts w:hint="eastAsia" w:ascii="宋体" w:hAnsi="宋体" w:eastAsia="宋体" w:cs="宋体"/>
        </w:rPr>
      </w:pPr>
    </w:p>
    <w:p w14:paraId="73E9B6EC">
      <w:pPr>
        <w:pStyle w:val="14"/>
        <w:rPr>
          <w:rFonts w:hint="eastAsia" w:ascii="宋体" w:hAnsi="宋体" w:eastAsia="宋体" w:cs="宋体"/>
        </w:rPr>
      </w:pPr>
    </w:p>
    <w:p w14:paraId="34638011">
      <w:pPr>
        <w:pStyle w:val="14"/>
        <w:rPr>
          <w:rFonts w:hint="eastAsia" w:ascii="宋体" w:hAnsi="宋体" w:eastAsia="宋体" w:cs="宋体"/>
        </w:rPr>
      </w:pPr>
    </w:p>
    <w:p w14:paraId="3668BDCF">
      <w:pPr>
        <w:pStyle w:val="14"/>
        <w:rPr>
          <w:rFonts w:hint="eastAsia" w:ascii="宋体" w:hAnsi="宋体" w:eastAsia="宋体" w:cs="宋体"/>
        </w:rPr>
      </w:pPr>
    </w:p>
    <w:p w14:paraId="4DAD37A0">
      <w:pPr>
        <w:pStyle w:val="14"/>
        <w:rPr>
          <w:rFonts w:hint="eastAsia" w:ascii="宋体" w:hAnsi="宋体" w:eastAsia="宋体" w:cs="宋体"/>
        </w:rPr>
      </w:pPr>
    </w:p>
    <w:p w14:paraId="643AAB1E">
      <w:pPr>
        <w:pStyle w:val="14"/>
        <w:rPr>
          <w:rFonts w:hint="eastAsia" w:ascii="宋体" w:hAnsi="宋体" w:eastAsia="宋体" w:cs="宋体"/>
        </w:rPr>
      </w:pPr>
    </w:p>
    <w:p w14:paraId="30F82B60">
      <w:pPr>
        <w:pStyle w:val="14"/>
        <w:rPr>
          <w:rFonts w:hint="eastAsia" w:ascii="宋体" w:hAnsi="宋体" w:eastAsia="宋体" w:cs="宋体"/>
        </w:rPr>
      </w:pPr>
    </w:p>
    <w:p w14:paraId="5FEC4A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p w14:paraId="5031CD34">
      <w:pPr>
        <w:pStyle w:val="12"/>
        <w:rPr>
          <w:rFonts w:hint="eastAsia"/>
        </w:rPr>
      </w:pPr>
    </w:p>
    <w:p w14:paraId="18DD81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p w14:paraId="3FE063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p w14:paraId="50BDBA23">
      <w:pPr>
        <w:pStyle w:val="3"/>
        <w:pageBreakBefore w:val="0"/>
        <w:kinsoku/>
        <w:wordWrap/>
        <w:overflowPunct/>
        <w:topLinePunct w:val="0"/>
        <w:bidi w:val="0"/>
        <w:spacing w:before="0" w:after="0" w:line="360" w:lineRule="auto"/>
        <w:ind w:firstLine="2650"/>
        <w:textAlignment w:val="auto"/>
        <w:rPr>
          <w:rFonts w:hint="eastAsia" w:ascii="宋体" w:hAnsi="宋体" w:eastAsia="宋体" w:cs="宋体"/>
          <w:sz w:val="36"/>
          <w:szCs w:val="36"/>
        </w:rPr>
      </w:pPr>
      <w:bookmarkStart w:id="44" w:name="_Toc12095"/>
      <w:r>
        <w:rPr>
          <w:rFonts w:hint="eastAsia" w:ascii="宋体" w:hAnsi="宋体" w:eastAsia="宋体" w:cs="宋体"/>
          <w:sz w:val="36"/>
          <w:szCs w:val="36"/>
        </w:rPr>
        <w:t>第四部分  商务要求</w:t>
      </w:r>
      <w:bookmarkEnd w:id="43"/>
      <w:bookmarkEnd w:id="44"/>
    </w:p>
    <w:p w14:paraId="25DF0A0D">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1"/>
        <w:rPr>
          <w:rFonts w:hint="eastAsia" w:ascii="宋体" w:hAnsi="宋体" w:eastAsia="宋体" w:cs="宋体"/>
          <w:b/>
          <w:bCs/>
          <w:sz w:val="24"/>
          <w:szCs w:val="21"/>
          <w:highlight w:val="none"/>
          <w:lang w:val="en-US" w:eastAsia="zh-CN"/>
        </w:rPr>
      </w:pPr>
      <w:bookmarkStart w:id="45" w:name="_Toc28986"/>
      <w:r>
        <w:rPr>
          <w:rFonts w:hint="eastAsia" w:ascii="宋体" w:hAnsi="宋体" w:eastAsia="宋体" w:cs="宋体"/>
          <w:b/>
          <w:bCs/>
          <w:sz w:val="24"/>
          <w:szCs w:val="21"/>
          <w:highlight w:val="none"/>
          <w:lang w:val="en-US" w:eastAsia="zh-CN"/>
        </w:rPr>
        <w:t>一、工期、施工地点及工程质量</w:t>
      </w:r>
      <w:bookmarkEnd w:id="45"/>
    </w:p>
    <w:p w14:paraId="53BC69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bookmarkStart w:id="46" w:name="_Toc167712839"/>
      <w:bookmarkStart w:id="47" w:name="_Toc167715234"/>
      <w:bookmarkStart w:id="48" w:name="_Toc167714037"/>
      <w:r>
        <w:rPr>
          <w:rFonts w:hint="eastAsia" w:ascii="宋体" w:hAnsi="宋体" w:eastAsia="宋体" w:cs="宋体"/>
          <w:b w:val="0"/>
          <w:bCs w:val="0"/>
          <w:color w:val="auto"/>
          <w:sz w:val="24"/>
          <w:szCs w:val="24"/>
          <w:highlight w:val="none"/>
        </w:rPr>
        <w:t>1</w:t>
      </w:r>
      <w:bookmarkEnd w:id="46"/>
      <w:bookmarkEnd w:id="47"/>
      <w:bookmarkEnd w:id="48"/>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工期：</w:t>
      </w:r>
      <w:r>
        <w:rPr>
          <w:rFonts w:hint="eastAsia" w:ascii="宋体" w:hAnsi="宋体" w:eastAsia="宋体" w:cs="宋体"/>
          <w:b w:val="0"/>
          <w:bCs w:val="0"/>
          <w:color w:val="auto"/>
          <w:sz w:val="24"/>
          <w:szCs w:val="24"/>
          <w:highlight w:val="none"/>
          <w:lang w:val="en-US" w:eastAsia="zh-CN"/>
        </w:rPr>
        <w:t>自合同签订之日起2025年8月25日前完成</w:t>
      </w:r>
      <w:r>
        <w:rPr>
          <w:rFonts w:hint="eastAsia" w:ascii="宋体" w:hAnsi="宋体" w:eastAsia="宋体" w:cs="宋体"/>
          <w:b w:val="0"/>
          <w:bCs w:val="0"/>
          <w:color w:val="auto"/>
          <w:sz w:val="24"/>
          <w:szCs w:val="24"/>
          <w:highlight w:val="none"/>
          <w:lang w:eastAsia="zh-CN"/>
        </w:rPr>
        <w:t>。</w:t>
      </w:r>
    </w:p>
    <w:p w14:paraId="0AFE80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施工地点：</w:t>
      </w:r>
      <w:r>
        <w:rPr>
          <w:rFonts w:hint="eastAsia" w:ascii="宋体" w:hAnsi="宋体" w:eastAsia="宋体" w:cs="宋体"/>
          <w:b w:val="0"/>
          <w:bCs w:val="0"/>
          <w:sz w:val="24"/>
          <w:szCs w:val="24"/>
          <w:highlight w:val="none"/>
          <w:lang w:eastAsia="zh-CN"/>
        </w:rPr>
        <w:t>采购方指定地点。</w:t>
      </w:r>
    </w:p>
    <w:p w14:paraId="7A226DAA">
      <w:pPr>
        <w:pageBreakBefore w:val="0"/>
        <w:kinsoku/>
        <w:wordWrap/>
        <w:overflowPunct/>
        <w:topLinePunct w:val="0"/>
        <w:autoSpaceDE/>
        <w:autoSpaceDN/>
        <w:bidi w:val="0"/>
        <w:adjustRightInd/>
        <w:snapToGrid/>
        <w:spacing w:line="360" w:lineRule="auto"/>
        <w:ind w:firstLine="480" w:firstLineChars="200"/>
        <w:rPr>
          <w:rFonts w:hint="eastAsia"/>
          <w:highlight w:val="none"/>
          <w:lang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工程质量</w:t>
      </w:r>
      <w:r>
        <w:rPr>
          <w:rFonts w:hint="eastAsia" w:ascii="宋体" w:hAnsi="宋体" w:eastAsia="宋体" w:cs="宋体"/>
          <w:b w:val="0"/>
          <w:bCs w:val="0"/>
          <w:sz w:val="24"/>
          <w:szCs w:val="24"/>
          <w:highlight w:val="none"/>
        </w:rPr>
        <w:t>：合格</w:t>
      </w:r>
      <w:r>
        <w:rPr>
          <w:rFonts w:hint="eastAsia" w:ascii="宋体" w:hAnsi="宋体" w:eastAsia="宋体" w:cs="宋体"/>
          <w:b w:val="0"/>
          <w:bCs w:val="0"/>
          <w:sz w:val="24"/>
          <w:szCs w:val="24"/>
          <w:highlight w:val="none"/>
          <w:lang w:eastAsia="zh-CN"/>
        </w:rPr>
        <w:t>。</w:t>
      </w:r>
    </w:p>
    <w:p w14:paraId="2D41D070">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1"/>
        <w:rPr>
          <w:rFonts w:hint="eastAsia" w:ascii="宋体" w:hAnsi="宋体" w:eastAsia="宋体" w:cs="宋体"/>
          <w:b/>
          <w:bCs/>
          <w:sz w:val="24"/>
          <w:szCs w:val="21"/>
          <w:highlight w:val="none"/>
          <w:lang w:val="en-US" w:eastAsia="zh-CN"/>
        </w:rPr>
      </w:pPr>
      <w:bookmarkStart w:id="49" w:name="_Toc29143"/>
      <w:bookmarkStart w:id="50" w:name="_Toc167712840"/>
      <w:bookmarkStart w:id="51" w:name="_Toc167714038"/>
      <w:bookmarkStart w:id="52" w:name="_Toc167715235"/>
      <w:r>
        <w:rPr>
          <w:rFonts w:hint="eastAsia" w:ascii="宋体" w:hAnsi="宋体" w:eastAsia="宋体" w:cs="宋体"/>
          <w:b/>
          <w:bCs/>
          <w:sz w:val="24"/>
          <w:szCs w:val="21"/>
          <w:highlight w:val="none"/>
          <w:lang w:val="en-US" w:eastAsia="zh-CN"/>
        </w:rPr>
        <w:t>二、运输、进度</w:t>
      </w:r>
      <w:bookmarkStart w:id="53" w:name="_Toc167712841"/>
      <w:bookmarkStart w:id="54" w:name="_Toc167714039"/>
      <w:bookmarkStart w:id="55" w:name="_Toc167715236"/>
    </w:p>
    <w:p w14:paraId="65C9A53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lang w:eastAsia="zh-CN"/>
        </w:rPr>
        <w:t>成交单位</w:t>
      </w:r>
      <w:r>
        <w:rPr>
          <w:rFonts w:hint="eastAsia" w:ascii="宋体" w:hAnsi="宋体" w:eastAsia="宋体" w:cs="宋体"/>
          <w:b/>
          <w:bCs/>
          <w:sz w:val="24"/>
          <w:szCs w:val="24"/>
          <w:highlight w:val="none"/>
        </w:rPr>
        <w:t>负责施工过程中的材料的运输等</w:t>
      </w:r>
      <w:r>
        <w:rPr>
          <w:rFonts w:hint="eastAsia" w:ascii="宋体" w:hAnsi="宋体" w:eastAsia="宋体" w:cs="宋体"/>
          <w:b/>
          <w:bCs/>
          <w:sz w:val="24"/>
          <w:szCs w:val="24"/>
          <w:highlight w:val="none"/>
          <w:lang w:eastAsia="zh-CN"/>
        </w:rPr>
        <w:t>（采购材料进场前，需经</w:t>
      </w:r>
      <w:r>
        <w:rPr>
          <w:rFonts w:hint="eastAsia" w:hAnsi="宋体" w:cs="宋体"/>
          <w:b/>
          <w:bCs/>
          <w:sz w:val="24"/>
          <w:szCs w:val="24"/>
          <w:highlight w:val="none"/>
          <w:lang w:eastAsia="zh-CN"/>
        </w:rPr>
        <w:t>招标人同意，方可入场</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w:t>
      </w:r>
      <w:bookmarkEnd w:id="49"/>
      <w:bookmarkEnd w:id="53"/>
      <w:bookmarkEnd w:id="54"/>
      <w:bookmarkEnd w:id="55"/>
    </w:p>
    <w:bookmarkEnd w:id="50"/>
    <w:bookmarkEnd w:id="51"/>
    <w:bookmarkEnd w:id="52"/>
    <w:p w14:paraId="3827D5B6">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1"/>
        <w:rPr>
          <w:rFonts w:hint="eastAsia" w:ascii="宋体" w:hAnsi="宋体" w:eastAsia="宋体" w:cs="宋体"/>
          <w:b/>
          <w:bCs/>
          <w:sz w:val="24"/>
          <w:szCs w:val="21"/>
          <w:highlight w:val="none"/>
          <w:lang w:val="en-US" w:eastAsia="zh-CN"/>
        </w:rPr>
      </w:pPr>
      <w:bookmarkStart w:id="56" w:name="_Toc167715241"/>
      <w:bookmarkStart w:id="57" w:name="_Toc167712846"/>
      <w:bookmarkStart w:id="58" w:name="_Toc167714044"/>
      <w:r>
        <w:rPr>
          <w:rFonts w:hint="eastAsia" w:ascii="宋体" w:hAnsi="宋体" w:eastAsia="宋体" w:cs="宋体"/>
          <w:b/>
          <w:bCs/>
          <w:sz w:val="24"/>
          <w:szCs w:val="21"/>
          <w:highlight w:val="none"/>
          <w:lang w:val="en-US" w:eastAsia="zh-CN"/>
        </w:rPr>
        <w:t>三、付款方式</w:t>
      </w:r>
    </w:p>
    <w:p w14:paraId="146793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具体付款方式签订合同时协商拟定。</w:t>
      </w:r>
    </w:p>
    <w:p w14:paraId="4971FE1F">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1"/>
        <w:rPr>
          <w:rFonts w:hint="eastAsia" w:ascii="宋体" w:hAnsi="宋体" w:eastAsia="宋体" w:cs="宋体"/>
          <w:b/>
          <w:bCs/>
          <w:sz w:val="24"/>
          <w:szCs w:val="21"/>
          <w:highlight w:val="none"/>
          <w:lang w:val="en-US" w:eastAsia="zh-CN"/>
        </w:rPr>
      </w:pPr>
      <w:bookmarkStart w:id="59" w:name="_Toc29289"/>
      <w:r>
        <w:rPr>
          <w:rFonts w:hint="eastAsia" w:ascii="宋体" w:hAnsi="宋体" w:eastAsia="宋体" w:cs="宋体"/>
          <w:b/>
          <w:bCs/>
          <w:sz w:val="24"/>
          <w:szCs w:val="21"/>
          <w:highlight w:val="none"/>
          <w:lang w:val="en-US" w:eastAsia="zh-CN"/>
        </w:rPr>
        <w:t>四、项目验收</w:t>
      </w:r>
      <w:bookmarkEnd w:id="59"/>
    </w:p>
    <w:bookmarkEnd w:id="56"/>
    <w:bookmarkEnd w:id="57"/>
    <w:bookmarkEnd w:id="58"/>
    <w:p w14:paraId="39FC68AE">
      <w:pPr>
        <w:keepNext w:val="0"/>
        <w:keepLines w:val="0"/>
        <w:pageBreakBefore w:val="0"/>
        <w:widowControl w:val="0"/>
        <w:kinsoku/>
        <w:wordWrap/>
        <w:overflowPunct/>
        <w:topLinePunct w:val="0"/>
        <w:autoSpaceDE/>
        <w:autoSpaceDN/>
        <w:bidi w:val="0"/>
        <w:adjustRightInd w:val="0"/>
        <w:snapToGrid w:val="0"/>
        <w:spacing w:line="360" w:lineRule="auto"/>
        <w:ind w:left="315" w:leftChars="150" w:firstLine="240" w:firstLineChars="100"/>
        <w:textAlignment w:val="auto"/>
        <w:rPr>
          <w:rFonts w:hint="eastAsia" w:ascii="宋体" w:hAnsi="宋体" w:eastAsia="宋体" w:cs="宋体"/>
          <w:sz w:val="24"/>
          <w:szCs w:val="21"/>
          <w:highlight w:val="none"/>
          <w:lang w:eastAsia="zh-CN"/>
        </w:rPr>
      </w:pPr>
      <w:bookmarkStart w:id="60" w:name="_Toc7079"/>
      <w:r>
        <w:rPr>
          <w:rFonts w:hint="eastAsia" w:ascii="宋体" w:hAnsi="宋体" w:eastAsia="宋体" w:cs="宋体"/>
          <w:sz w:val="24"/>
          <w:szCs w:val="21"/>
          <w:highlight w:val="none"/>
        </w:rPr>
        <w:t>1</w:t>
      </w:r>
      <w:r>
        <w:rPr>
          <w:rFonts w:hint="eastAsia" w:ascii="宋体" w:hAnsi="宋体" w:eastAsia="宋体" w:cs="宋体"/>
          <w:sz w:val="24"/>
          <w:szCs w:val="21"/>
          <w:highlight w:val="none"/>
          <w:lang w:val="en-US" w:eastAsia="zh-CN"/>
        </w:rPr>
        <w:t>.</w:t>
      </w:r>
      <w:r>
        <w:rPr>
          <w:rFonts w:hint="eastAsia" w:ascii="宋体" w:hAnsi="宋体" w:eastAsia="宋体" w:cs="宋体"/>
          <w:sz w:val="24"/>
          <w:szCs w:val="21"/>
          <w:highlight w:val="none"/>
        </w:rPr>
        <w:t>项目验收分初验和终验</w:t>
      </w:r>
      <w:r>
        <w:rPr>
          <w:rFonts w:hint="eastAsia" w:ascii="宋体" w:hAnsi="宋体" w:eastAsia="宋体" w:cs="宋体"/>
          <w:sz w:val="24"/>
          <w:szCs w:val="21"/>
          <w:highlight w:val="none"/>
          <w:lang w:eastAsia="zh-CN"/>
        </w:rPr>
        <w:t>：</w:t>
      </w:r>
    </w:p>
    <w:p w14:paraId="55E7DDC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初验：工程施工完毕后，由</w:t>
      </w:r>
      <w:r>
        <w:rPr>
          <w:rFonts w:hint="eastAsia" w:ascii="宋体" w:hAnsi="宋体" w:eastAsia="宋体" w:cs="宋体"/>
          <w:sz w:val="24"/>
          <w:szCs w:val="21"/>
          <w:highlight w:val="none"/>
          <w:lang w:eastAsia="zh-CN"/>
        </w:rPr>
        <w:t>采购方</w:t>
      </w:r>
      <w:r>
        <w:rPr>
          <w:rFonts w:hint="eastAsia" w:ascii="宋体" w:hAnsi="宋体" w:eastAsia="宋体" w:cs="宋体"/>
          <w:sz w:val="24"/>
          <w:szCs w:val="21"/>
          <w:highlight w:val="none"/>
        </w:rPr>
        <w:t>根据合同对工程进行初验。</w:t>
      </w:r>
    </w:p>
    <w:p w14:paraId="3ABB908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终验：工程完毕后，正常使用一个月后，由</w:t>
      </w:r>
      <w:r>
        <w:rPr>
          <w:rFonts w:hint="eastAsia" w:ascii="宋体" w:hAnsi="宋体" w:eastAsia="宋体" w:cs="宋体"/>
          <w:sz w:val="24"/>
          <w:szCs w:val="21"/>
          <w:highlight w:val="none"/>
          <w:lang w:eastAsia="zh-CN"/>
        </w:rPr>
        <w:t>采购方</w:t>
      </w:r>
      <w:r>
        <w:rPr>
          <w:rFonts w:hint="eastAsia" w:ascii="宋体" w:hAnsi="宋体" w:eastAsia="宋体" w:cs="宋体"/>
          <w:sz w:val="24"/>
          <w:szCs w:val="21"/>
          <w:lang w:eastAsia="zh-CN"/>
        </w:rPr>
        <w:t>组织相关单位</w:t>
      </w:r>
      <w:r>
        <w:rPr>
          <w:rFonts w:hint="eastAsia" w:ascii="宋体" w:hAnsi="宋体" w:eastAsia="宋体" w:cs="宋体"/>
          <w:sz w:val="24"/>
          <w:szCs w:val="21"/>
          <w:highlight w:val="none"/>
        </w:rPr>
        <w:t>进行终验（最终验收），合格后签发《终验合格单》。</w:t>
      </w:r>
    </w:p>
    <w:p w14:paraId="2FBDD4B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1"/>
          <w:highlight w:val="none"/>
        </w:rPr>
        <w:t>2</w:t>
      </w:r>
      <w:r>
        <w:rPr>
          <w:rFonts w:hint="eastAsia" w:ascii="宋体" w:hAnsi="宋体" w:eastAsia="宋体" w:cs="宋体"/>
          <w:sz w:val="24"/>
          <w:szCs w:val="21"/>
          <w:highlight w:val="none"/>
          <w:lang w:val="en-US" w:eastAsia="zh-CN"/>
        </w:rPr>
        <w:t>.</w:t>
      </w:r>
      <w:r>
        <w:rPr>
          <w:rFonts w:hint="eastAsia" w:ascii="宋体" w:hAnsi="宋体" w:eastAsia="宋体" w:cs="宋体"/>
          <w:sz w:val="24"/>
          <w:szCs w:val="21"/>
          <w:highlight w:val="none"/>
        </w:rPr>
        <w:t>验收不合格的</w:t>
      </w:r>
      <w:r>
        <w:rPr>
          <w:rFonts w:hint="eastAsia" w:ascii="宋体" w:hAnsi="宋体" w:eastAsia="宋体" w:cs="宋体"/>
          <w:sz w:val="24"/>
          <w:szCs w:val="21"/>
          <w:highlight w:val="none"/>
          <w:lang w:eastAsia="zh-CN"/>
        </w:rPr>
        <w:t>成交单位</w:t>
      </w:r>
      <w:r>
        <w:rPr>
          <w:rFonts w:hint="eastAsia" w:ascii="宋体" w:hAnsi="宋体" w:eastAsia="宋体" w:cs="宋体"/>
          <w:sz w:val="24"/>
          <w:szCs w:val="21"/>
          <w:highlight w:val="none"/>
        </w:rPr>
        <w:t>，必须在接到通知后7个日历日内确保工程通过验收。如接到通知后7个日历日内验收仍不合格，</w:t>
      </w:r>
      <w:r>
        <w:rPr>
          <w:rFonts w:hint="eastAsia" w:ascii="宋体" w:hAnsi="宋体" w:eastAsia="宋体" w:cs="宋体"/>
          <w:sz w:val="24"/>
          <w:szCs w:val="21"/>
          <w:highlight w:val="none"/>
          <w:lang w:eastAsia="zh-CN"/>
        </w:rPr>
        <w:t>采购方</w:t>
      </w:r>
      <w:r>
        <w:rPr>
          <w:rFonts w:hint="eastAsia" w:ascii="宋体" w:hAnsi="宋体" w:eastAsia="宋体" w:cs="宋体"/>
          <w:sz w:val="24"/>
          <w:szCs w:val="21"/>
          <w:highlight w:val="none"/>
        </w:rPr>
        <w:t>可提出索赔或取消其合同。采购代理机构将把</w:t>
      </w:r>
      <w:r>
        <w:rPr>
          <w:rFonts w:hint="eastAsia" w:ascii="宋体" w:hAnsi="宋体" w:eastAsia="宋体" w:cs="宋体"/>
          <w:sz w:val="24"/>
          <w:szCs w:val="21"/>
          <w:highlight w:val="none"/>
          <w:lang w:eastAsia="zh-CN"/>
        </w:rPr>
        <w:t>成交</w:t>
      </w:r>
      <w:r>
        <w:rPr>
          <w:rFonts w:hint="eastAsia" w:ascii="宋体" w:hAnsi="宋体" w:eastAsia="宋体" w:cs="宋体"/>
          <w:sz w:val="24"/>
          <w:szCs w:val="21"/>
          <w:highlight w:val="none"/>
        </w:rPr>
        <w:t>资格授予评审排序下一名的</w:t>
      </w:r>
      <w:r>
        <w:rPr>
          <w:rFonts w:hint="eastAsia" w:ascii="宋体" w:hAnsi="宋体" w:eastAsia="宋体" w:cs="宋体"/>
          <w:sz w:val="24"/>
          <w:szCs w:val="21"/>
          <w:highlight w:val="none"/>
          <w:lang w:eastAsia="zh-CN"/>
        </w:rPr>
        <w:t>供应商</w:t>
      </w:r>
      <w:r>
        <w:rPr>
          <w:rFonts w:hint="eastAsia" w:ascii="宋体" w:hAnsi="宋体" w:eastAsia="宋体" w:cs="宋体"/>
          <w:sz w:val="24"/>
          <w:szCs w:val="21"/>
          <w:highlight w:val="none"/>
        </w:rPr>
        <w:t>。</w:t>
      </w:r>
    </w:p>
    <w:p w14:paraId="119035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验收依据</w:t>
      </w:r>
      <w:bookmarkStart w:id="61" w:name="_Toc167714047"/>
      <w:bookmarkStart w:id="62" w:name="_Toc167715244"/>
      <w:bookmarkStart w:id="63" w:name="_Toc167712849"/>
    </w:p>
    <w:p w14:paraId="00FD16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（1）合同文本及合同补充文件（条款）。</w:t>
      </w:r>
    </w:p>
    <w:p w14:paraId="7D0286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（2）磋商文件。</w:t>
      </w:r>
    </w:p>
    <w:p w14:paraId="1917235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（3）成交单位的磋商响应文件。</w:t>
      </w:r>
    </w:p>
    <w:p w14:paraId="35FA5CB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4"/>
          <w:highlight w:val="none"/>
        </w:rPr>
        <w:t>（4）</w:t>
      </w:r>
      <w:r>
        <w:rPr>
          <w:rFonts w:hint="eastAsia" w:ascii="宋体" w:hAnsi="宋体" w:eastAsia="宋体" w:cs="宋体"/>
          <w:sz w:val="24"/>
          <w:szCs w:val="21"/>
          <w:highlight w:val="none"/>
        </w:rPr>
        <w:t>国家相关法律法规。</w:t>
      </w:r>
      <w:bookmarkEnd w:id="61"/>
      <w:bookmarkEnd w:id="62"/>
      <w:bookmarkEnd w:id="63"/>
    </w:p>
    <w:p w14:paraId="5CF4306D">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1"/>
        <w:rPr>
          <w:rFonts w:hint="eastAsia" w:ascii="宋体" w:hAnsi="宋体" w:eastAsia="宋体" w:cs="宋体"/>
          <w:b/>
          <w:bCs/>
          <w:sz w:val="24"/>
          <w:szCs w:val="21"/>
          <w:highlight w:val="none"/>
          <w:lang w:val="en-US" w:eastAsia="zh-CN"/>
        </w:rPr>
      </w:pPr>
      <w:r>
        <w:rPr>
          <w:rFonts w:hint="eastAsia" w:ascii="宋体" w:hAnsi="宋体" w:eastAsia="宋体" w:cs="宋体"/>
          <w:b/>
          <w:bCs/>
          <w:sz w:val="24"/>
          <w:szCs w:val="21"/>
          <w:highlight w:val="none"/>
          <w:lang w:val="en-US" w:eastAsia="zh-CN"/>
        </w:rPr>
        <w:t>五、</w:t>
      </w:r>
      <w:bookmarkStart w:id="64" w:name="_Toc167715248"/>
      <w:bookmarkStart w:id="65" w:name="_Toc167714051"/>
      <w:bookmarkStart w:id="66" w:name="_Toc167712853"/>
      <w:r>
        <w:rPr>
          <w:rFonts w:hint="eastAsia" w:ascii="宋体" w:hAnsi="宋体" w:eastAsia="宋体" w:cs="宋体"/>
          <w:b/>
          <w:bCs/>
          <w:sz w:val="24"/>
          <w:szCs w:val="21"/>
          <w:highlight w:val="none"/>
          <w:lang w:val="en-US" w:eastAsia="zh-CN"/>
        </w:rPr>
        <w:t>质量保证</w:t>
      </w:r>
      <w:bookmarkEnd w:id="60"/>
      <w:bookmarkEnd w:id="64"/>
      <w:bookmarkEnd w:id="65"/>
      <w:bookmarkEnd w:id="66"/>
    </w:p>
    <w:p w14:paraId="1D52DA54">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1"/>
          <w:highlight w:val="green"/>
        </w:rPr>
      </w:pPr>
      <w:r>
        <w:rPr>
          <w:rFonts w:hint="eastAsia" w:ascii="宋体" w:hAnsi="宋体" w:eastAsia="宋体" w:cs="宋体"/>
          <w:b/>
          <w:sz w:val="24"/>
          <w:szCs w:val="21"/>
          <w:highlight w:val="none"/>
          <w:lang w:val="en-US" w:eastAsia="zh-CN"/>
        </w:rPr>
        <w:t>1、</w:t>
      </w:r>
      <w:r>
        <w:rPr>
          <w:rFonts w:hint="eastAsia" w:ascii="宋体" w:hAnsi="宋体" w:eastAsia="宋体" w:cs="宋体"/>
          <w:b/>
          <w:sz w:val="24"/>
          <w:szCs w:val="21"/>
          <w:highlight w:val="none"/>
        </w:rPr>
        <w:t>本工程质量等级为符合国家验收相关标准，并达到合格标准</w:t>
      </w:r>
      <w:r>
        <w:rPr>
          <w:rFonts w:hint="eastAsia" w:ascii="宋体" w:hAnsi="宋体" w:eastAsia="宋体" w:cs="宋体"/>
          <w:b/>
          <w:sz w:val="24"/>
          <w:szCs w:val="21"/>
          <w:highlight w:val="none"/>
          <w:lang w:eastAsia="zh-CN"/>
        </w:rPr>
        <w:t>（</w:t>
      </w:r>
      <w:r>
        <w:rPr>
          <w:rFonts w:hint="eastAsia" w:ascii="宋体" w:hAnsi="宋体" w:eastAsia="宋体" w:cs="宋体"/>
          <w:b/>
          <w:sz w:val="24"/>
          <w:szCs w:val="21"/>
          <w:highlight w:val="none"/>
          <w:lang w:val="en-US" w:eastAsia="zh-CN"/>
        </w:rPr>
        <w:t>两</w:t>
      </w:r>
      <w:r>
        <w:rPr>
          <w:rFonts w:hint="eastAsia" w:ascii="宋体" w:hAnsi="宋体" w:eastAsia="宋体" w:cs="宋体"/>
          <w:b/>
          <w:sz w:val="24"/>
          <w:szCs w:val="21"/>
          <w:highlight w:val="none"/>
          <w:lang w:eastAsia="zh-CN"/>
        </w:rPr>
        <w:t>年）</w:t>
      </w:r>
      <w:r>
        <w:rPr>
          <w:rFonts w:hint="eastAsia" w:ascii="宋体" w:hAnsi="宋体" w:eastAsia="宋体" w:cs="宋体"/>
          <w:b/>
          <w:sz w:val="24"/>
          <w:szCs w:val="21"/>
          <w:highlight w:val="none"/>
        </w:rPr>
        <w:t>。</w:t>
      </w:r>
    </w:p>
    <w:p w14:paraId="2F57564D">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1"/>
        <w:rPr>
          <w:rFonts w:hint="eastAsia" w:ascii="宋体" w:hAnsi="宋体" w:eastAsia="宋体" w:cs="宋体"/>
          <w:b/>
          <w:bCs/>
          <w:sz w:val="24"/>
          <w:szCs w:val="21"/>
          <w:highlight w:val="none"/>
          <w:lang w:val="en-US" w:eastAsia="zh-CN"/>
        </w:rPr>
      </w:pPr>
      <w:bookmarkStart w:id="67" w:name="_Toc22799"/>
      <w:r>
        <w:rPr>
          <w:rFonts w:hint="eastAsia" w:ascii="宋体" w:hAnsi="宋体" w:eastAsia="宋体" w:cs="宋体"/>
          <w:b/>
          <w:bCs/>
          <w:sz w:val="24"/>
          <w:szCs w:val="21"/>
          <w:highlight w:val="none"/>
          <w:lang w:val="en-US" w:eastAsia="zh-CN"/>
        </w:rPr>
        <w:t>六、</w:t>
      </w:r>
      <w:bookmarkStart w:id="68" w:name="_Toc167714066"/>
      <w:bookmarkStart w:id="69" w:name="_Toc167715263"/>
      <w:bookmarkStart w:id="70" w:name="_Toc167712868"/>
      <w:r>
        <w:rPr>
          <w:rFonts w:hint="eastAsia" w:ascii="宋体" w:hAnsi="宋体" w:eastAsia="宋体" w:cs="宋体"/>
          <w:b/>
          <w:bCs/>
          <w:sz w:val="24"/>
          <w:szCs w:val="21"/>
          <w:highlight w:val="none"/>
          <w:lang w:val="en-US" w:eastAsia="zh-CN"/>
        </w:rPr>
        <w:t>合同实施</w:t>
      </w:r>
      <w:bookmarkEnd w:id="67"/>
      <w:bookmarkEnd w:id="68"/>
      <w:bookmarkEnd w:id="69"/>
      <w:bookmarkEnd w:id="70"/>
      <w:bookmarkStart w:id="71" w:name="_Toc167715264"/>
      <w:bookmarkStart w:id="72" w:name="_Toc167712869"/>
      <w:bookmarkStart w:id="73" w:name="_Toc167714067"/>
    </w:p>
    <w:p w14:paraId="4BA8EBF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w:t>
      </w:r>
      <w:bookmarkEnd w:id="71"/>
      <w:bookmarkEnd w:id="72"/>
      <w:bookmarkEnd w:id="73"/>
      <w:r>
        <w:rPr>
          <w:rFonts w:hint="eastAsia" w:ascii="宋体" w:hAnsi="宋体" w:eastAsia="宋体" w:cs="宋体"/>
          <w:sz w:val="24"/>
          <w:szCs w:val="21"/>
          <w:highlight w:val="none"/>
          <w:lang w:val="en-US" w:eastAsia="zh-CN"/>
        </w:rPr>
        <w:t>.</w:t>
      </w:r>
      <w:r>
        <w:rPr>
          <w:rFonts w:hint="eastAsia" w:ascii="宋体" w:hAnsi="宋体" w:eastAsia="宋体" w:cs="宋体"/>
          <w:sz w:val="24"/>
          <w:szCs w:val="21"/>
          <w:highlight w:val="none"/>
          <w:lang w:eastAsia="zh-CN"/>
        </w:rPr>
        <w:t>成交单位</w:t>
      </w:r>
      <w:r>
        <w:rPr>
          <w:rFonts w:hint="eastAsia" w:ascii="宋体" w:hAnsi="宋体" w:eastAsia="宋体" w:cs="宋体"/>
          <w:sz w:val="24"/>
          <w:szCs w:val="21"/>
          <w:highlight w:val="none"/>
        </w:rPr>
        <w:t>应在合同签订后</w:t>
      </w:r>
      <w:r>
        <w:rPr>
          <w:rFonts w:hint="eastAsia" w:ascii="宋体" w:hAnsi="宋体" w:eastAsia="宋体" w:cs="宋体"/>
          <w:sz w:val="24"/>
          <w:szCs w:val="21"/>
          <w:highlight w:val="none"/>
          <w:lang w:val="en-US" w:eastAsia="zh-CN"/>
        </w:rPr>
        <w:t>5</w:t>
      </w:r>
      <w:r>
        <w:rPr>
          <w:rFonts w:hint="eastAsia" w:ascii="宋体" w:hAnsi="宋体" w:eastAsia="宋体" w:cs="宋体"/>
          <w:sz w:val="24"/>
          <w:szCs w:val="21"/>
          <w:highlight w:val="none"/>
        </w:rPr>
        <w:t>个日历日内安排人员（项目组成人员简历表所列）与使用单位就施工进度等工作进行安排、部署。</w:t>
      </w:r>
      <w:bookmarkStart w:id="74" w:name="_Toc167714068"/>
      <w:bookmarkStart w:id="75" w:name="_Toc167715265"/>
      <w:bookmarkStart w:id="76" w:name="_Toc167712870"/>
    </w:p>
    <w:p w14:paraId="5F70FCE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w:t>
      </w:r>
      <w:bookmarkEnd w:id="74"/>
      <w:bookmarkEnd w:id="75"/>
      <w:bookmarkEnd w:id="76"/>
      <w:r>
        <w:rPr>
          <w:rFonts w:hint="eastAsia" w:ascii="宋体" w:hAnsi="宋体" w:eastAsia="宋体" w:cs="宋体"/>
          <w:sz w:val="24"/>
          <w:szCs w:val="21"/>
          <w:highlight w:val="none"/>
          <w:lang w:val="en-US" w:eastAsia="zh-CN"/>
        </w:rPr>
        <w:t>.</w:t>
      </w:r>
      <w:r>
        <w:rPr>
          <w:rFonts w:hint="eastAsia" w:ascii="宋体" w:hAnsi="宋体" w:eastAsia="宋体" w:cs="宋体"/>
          <w:sz w:val="24"/>
          <w:szCs w:val="21"/>
          <w:highlight w:val="none"/>
        </w:rPr>
        <w:t>若未能在项目工期内完成合同规定的义务，由此对</w:t>
      </w:r>
      <w:r>
        <w:rPr>
          <w:rFonts w:hint="eastAsia" w:ascii="宋体" w:hAnsi="宋体" w:eastAsia="宋体" w:cs="宋体"/>
          <w:sz w:val="24"/>
          <w:szCs w:val="21"/>
          <w:highlight w:val="none"/>
          <w:lang w:eastAsia="zh-CN"/>
        </w:rPr>
        <w:t>采购方</w:t>
      </w:r>
      <w:r>
        <w:rPr>
          <w:rFonts w:hint="eastAsia" w:ascii="宋体" w:hAnsi="宋体" w:eastAsia="宋体" w:cs="宋体"/>
          <w:sz w:val="24"/>
          <w:szCs w:val="21"/>
          <w:highlight w:val="none"/>
        </w:rPr>
        <w:t>造成的延误和一切损失，由</w:t>
      </w:r>
      <w:r>
        <w:rPr>
          <w:rFonts w:hint="eastAsia" w:ascii="宋体" w:hAnsi="宋体" w:eastAsia="宋体" w:cs="宋体"/>
          <w:sz w:val="24"/>
          <w:szCs w:val="21"/>
          <w:highlight w:val="none"/>
          <w:lang w:eastAsia="zh-CN"/>
        </w:rPr>
        <w:t>成交单位</w:t>
      </w:r>
      <w:r>
        <w:rPr>
          <w:rFonts w:hint="eastAsia" w:ascii="宋体" w:hAnsi="宋体" w:eastAsia="宋体" w:cs="宋体"/>
          <w:sz w:val="24"/>
          <w:szCs w:val="21"/>
          <w:highlight w:val="none"/>
        </w:rPr>
        <w:t>承担和赔偿。</w:t>
      </w:r>
    </w:p>
    <w:p w14:paraId="6716B4E3">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1"/>
        <w:rPr>
          <w:rFonts w:hint="eastAsia" w:ascii="宋体" w:hAnsi="宋体" w:eastAsia="宋体" w:cs="宋体"/>
          <w:b/>
          <w:bCs/>
          <w:sz w:val="24"/>
          <w:szCs w:val="21"/>
          <w:highlight w:val="none"/>
          <w:lang w:val="en-US" w:eastAsia="zh-CN"/>
        </w:rPr>
      </w:pPr>
      <w:bookmarkStart w:id="77" w:name="_Toc18722"/>
      <w:r>
        <w:rPr>
          <w:rFonts w:hint="eastAsia" w:ascii="宋体" w:hAnsi="宋体" w:eastAsia="宋体" w:cs="宋体"/>
          <w:b/>
          <w:bCs/>
          <w:sz w:val="24"/>
          <w:szCs w:val="21"/>
          <w:highlight w:val="none"/>
          <w:lang w:val="en-US" w:eastAsia="zh-CN"/>
        </w:rPr>
        <w:t>七、违约责任</w:t>
      </w:r>
      <w:bookmarkEnd w:id="77"/>
    </w:p>
    <w:p w14:paraId="2A50A5C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w:t>
      </w:r>
      <w:r>
        <w:rPr>
          <w:rFonts w:hint="eastAsia" w:ascii="宋体" w:hAnsi="宋体" w:eastAsia="宋体" w:cs="宋体"/>
          <w:sz w:val="24"/>
          <w:szCs w:val="21"/>
          <w:highlight w:val="none"/>
          <w:lang w:val="en-US" w:eastAsia="zh-CN"/>
        </w:rPr>
        <w:t>.</w:t>
      </w:r>
      <w:r>
        <w:rPr>
          <w:rFonts w:hint="eastAsia" w:ascii="宋体" w:hAnsi="宋体" w:eastAsia="宋体" w:cs="宋体"/>
          <w:sz w:val="24"/>
          <w:szCs w:val="21"/>
          <w:highlight w:val="none"/>
        </w:rPr>
        <w:t>按《中华人民共和国</w:t>
      </w:r>
      <w:r>
        <w:rPr>
          <w:rFonts w:hint="eastAsia" w:ascii="宋体" w:hAnsi="宋体" w:eastAsia="宋体" w:cs="宋体"/>
          <w:sz w:val="24"/>
          <w:szCs w:val="21"/>
          <w:highlight w:val="none"/>
          <w:lang w:eastAsia="zh-CN"/>
        </w:rPr>
        <w:t>民法典</w:t>
      </w:r>
      <w:r>
        <w:rPr>
          <w:rFonts w:hint="eastAsia" w:ascii="宋体" w:hAnsi="宋体" w:eastAsia="宋体" w:cs="宋体"/>
          <w:sz w:val="24"/>
          <w:szCs w:val="21"/>
          <w:highlight w:val="none"/>
        </w:rPr>
        <w:t>》中的相关条款执行。</w:t>
      </w:r>
    </w:p>
    <w:p w14:paraId="1CD2228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1"/>
          <w:highlight w:val="none"/>
          <w:lang w:eastAsia="zh-CN"/>
        </w:rPr>
      </w:pPr>
      <w:r>
        <w:rPr>
          <w:rFonts w:hint="eastAsia" w:ascii="宋体" w:hAnsi="宋体" w:eastAsia="宋体" w:cs="宋体"/>
          <w:sz w:val="24"/>
          <w:szCs w:val="21"/>
          <w:highlight w:val="none"/>
        </w:rPr>
        <w:t>2</w:t>
      </w:r>
      <w:r>
        <w:rPr>
          <w:rFonts w:hint="eastAsia" w:ascii="宋体" w:hAnsi="宋体" w:eastAsia="宋体" w:cs="宋体"/>
          <w:sz w:val="24"/>
          <w:szCs w:val="21"/>
          <w:highlight w:val="none"/>
          <w:lang w:val="en-US" w:eastAsia="zh-CN"/>
        </w:rPr>
        <w:t>.</w:t>
      </w:r>
      <w:r>
        <w:rPr>
          <w:rFonts w:hint="eastAsia" w:ascii="宋体" w:hAnsi="宋体" w:eastAsia="宋体" w:cs="宋体"/>
          <w:sz w:val="24"/>
          <w:szCs w:val="21"/>
          <w:highlight w:val="none"/>
        </w:rPr>
        <w:t>未按合同要求工程质量不能满足技术要求，</w:t>
      </w:r>
      <w:r>
        <w:rPr>
          <w:rFonts w:hint="eastAsia" w:ascii="宋体" w:hAnsi="宋体" w:eastAsia="宋体" w:cs="宋体"/>
          <w:sz w:val="24"/>
          <w:szCs w:val="21"/>
          <w:highlight w:val="none"/>
          <w:lang w:eastAsia="zh-CN"/>
        </w:rPr>
        <w:t>采购方</w:t>
      </w:r>
      <w:r>
        <w:rPr>
          <w:rFonts w:hint="eastAsia" w:ascii="宋体" w:hAnsi="宋体" w:eastAsia="宋体" w:cs="宋体"/>
          <w:sz w:val="24"/>
          <w:szCs w:val="21"/>
          <w:highlight w:val="none"/>
        </w:rPr>
        <w:t>有权终止合同，并对供方违约行为进行追究，同时按《</w:t>
      </w:r>
      <w:r>
        <w:rPr>
          <w:rFonts w:hint="eastAsia" w:ascii="宋体" w:hAnsi="宋体" w:eastAsia="宋体" w:cs="宋体"/>
          <w:sz w:val="24"/>
          <w:szCs w:val="21"/>
          <w:highlight w:val="none"/>
          <w:lang w:eastAsia="zh-CN"/>
        </w:rPr>
        <w:t>中华人民共和国政府采购法</w:t>
      </w:r>
      <w:r>
        <w:rPr>
          <w:rFonts w:hint="eastAsia" w:ascii="宋体" w:hAnsi="宋体" w:eastAsia="宋体" w:cs="宋体"/>
          <w:sz w:val="24"/>
          <w:szCs w:val="21"/>
          <w:highlight w:val="none"/>
        </w:rPr>
        <w:t>》的有关规定进行处罚</w:t>
      </w:r>
      <w:r>
        <w:rPr>
          <w:rFonts w:hint="eastAsia" w:ascii="宋体" w:hAnsi="宋体" w:eastAsia="宋体" w:cs="宋体"/>
          <w:sz w:val="24"/>
          <w:szCs w:val="21"/>
          <w:highlight w:val="none"/>
          <w:lang w:eastAsia="zh-CN"/>
        </w:rPr>
        <w:t>。</w:t>
      </w:r>
    </w:p>
    <w:p w14:paraId="1A6D20F4">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sz w:val="24"/>
          <w:szCs w:val="21"/>
          <w:highlight w:val="none"/>
        </w:rPr>
      </w:pPr>
      <w:r>
        <w:rPr>
          <w:rFonts w:hint="eastAsia" w:ascii="宋体" w:hAnsi="宋体" w:eastAsia="宋体" w:cs="宋体"/>
          <w:b/>
          <w:sz w:val="24"/>
          <w:szCs w:val="24"/>
          <w:highlight w:val="none"/>
        </w:rPr>
        <w:t>注：商务要求为实质性要求，不得负偏离。</w:t>
      </w:r>
    </w:p>
    <w:p w14:paraId="441BD871">
      <w:pPr>
        <w:pageBreakBefore w:val="0"/>
        <w:kinsoku/>
        <w:wordWrap/>
        <w:overflowPunct/>
        <w:topLinePunct w:val="0"/>
        <w:bidi w:val="0"/>
        <w:adjustRightInd w:val="0"/>
        <w:spacing w:line="360" w:lineRule="auto"/>
        <w:ind w:left="105" w:firstLine="562" w:firstLineChars="200"/>
        <w:textAlignment w:val="auto"/>
        <w:rPr>
          <w:rFonts w:hint="eastAsia" w:ascii="宋体" w:hAnsi="宋体" w:eastAsia="宋体" w:cs="宋体"/>
          <w:b/>
          <w:sz w:val="28"/>
          <w:szCs w:val="28"/>
        </w:rPr>
      </w:pPr>
    </w:p>
    <w:p w14:paraId="34DE4685">
      <w:pPr>
        <w:pageBreakBefore w:val="0"/>
        <w:kinsoku/>
        <w:wordWrap/>
        <w:overflowPunct/>
        <w:topLinePunct w:val="0"/>
        <w:bidi w:val="0"/>
        <w:adjustRightInd w:val="0"/>
        <w:spacing w:line="360" w:lineRule="auto"/>
        <w:ind w:left="105" w:firstLine="562" w:firstLineChars="200"/>
        <w:textAlignment w:val="auto"/>
        <w:rPr>
          <w:rFonts w:hint="eastAsia" w:ascii="宋体" w:hAnsi="宋体" w:eastAsia="宋体" w:cs="宋体"/>
          <w:b/>
          <w:sz w:val="28"/>
          <w:szCs w:val="28"/>
        </w:rPr>
      </w:pPr>
    </w:p>
    <w:p w14:paraId="75A2F58F">
      <w:pPr>
        <w:pageBreakBefore w:val="0"/>
        <w:kinsoku/>
        <w:wordWrap/>
        <w:overflowPunct/>
        <w:topLinePunct w:val="0"/>
        <w:bidi w:val="0"/>
        <w:adjustRightInd w:val="0"/>
        <w:spacing w:line="360" w:lineRule="auto"/>
        <w:ind w:left="105" w:firstLine="562" w:firstLineChars="200"/>
        <w:textAlignment w:val="auto"/>
        <w:rPr>
          <w:rFonts w:hint="eastAsia" w:ascii="宋体" w:hAnsi="宋体" w:eastAsia="宋体" w:cs="宋体"/>
          <w:b/>
          <w:sz w:val="28"/>
          <w:szCs w:val="28"/>
        </w:rPr>
      </w:pPr>
    </w:p>
    <w:p w14:paraId="7E4EB4ED">
      <w:pPr>
        <w:pageBreakBefore w:val="0"/>
        <w:kinsoku/>
        <w:wordWrap/>
        <w:overflowPunct/>
        <w:topLinePunct w:val="0"/>
        <w:bidi w:val="0"/>
        <w:adjustRightInd w:val="0"/>
        <w:spacing w:line="360" w:lineRule="auto"/>
        <w:ind w:left="105" w:firstLine="562" w:firstLineChars="200"/>
        <w:textAlignment w:val="auto"/>
        <w:rPr>
          <w:rFonts w:hint="eastAsia" w:ascii="宋体" w:hAnsi="宋体" w:eastAsia="宋体" w:cs="宋体"/>
          <w:b/>
          <w:sz w:val="28"/>
          <w:szCs w:val="28"/>
          <w:lang w:eastAsia="zh-CN"/>
        </w:rPr>
      </w:pPr>
    </w:p>
    <w:p w14:paraId="5413AB73">
      <w:pPr>
        <w:pStyle w:val="14"/>
        <w:rPr>
          <w:rFonts w:hint="eastAsia"/>
          <w:lang w:eastAsia="zh-CN"/>
        </w:rPr>
      </w:pPr>
    </w:p>
    <w:p w14:paraId="2B03CF4F">
      <w:pPr>
        <w:pStyle w:val="14"/>
        <w:rPr>
          <w:rFonts w:hint="eastAsia"/>
          <w:lang w:eastAsia="zh-CN"/>
        </w:rPr>
      </w:pPr>
    </w:p>
    <w:p w14:paraId="3DA8AB05">
      <w:pPr>
        <w:pStyle w:val="14"/>
        <w:rPr>
          <w:rFonts w:hint="eastAsia"/>
          <w:lang w:eastAsia="zh-CN"/>
        </w:rPr>
      </w:pPr>
    </w:p>
    <w:p w14:paraId="702C0260">
      <w:pPr>
        <w:pStyle w:val="14"/>
        <w:rPr>
          <w:rFonts w:hint="eastAsia"/>
          <w:lang w:eastAsia="zh-CN"/>
        </w:rPr>
      </w:pPr>
    </w:p>
    <w:p w14:paraId="1A4A75D7">
      <w:pPr>
        <w:pStyle w:val="14"/>
        <w:rPr>
          <w:rFonts w:hint="eastAsia"/>
          <w:lang w:eastAsia="zh-CN"/>
        </w:rPr>
      </w:pPr>
    </w:p>
    <w:p w14:paraId="37485EFD">
      <w:pPr>
        <w:pStyle w:val="14"/>
        <w:rPr>
          <w:rFonts w:hint="eastAsia"/>
          <w:lang w:eastAsia="zh-CN"/>
        </w:rPr>
      </w:pPr>
    </w:p>
    <w:p w14:paraId="1F4ED86D">
      <w:pPr>
        <w:pStyle w:val="14"/>
        <w:rPr>
          <w:rFonts w:hint="eastAsia"/>
          <w:lang w:eastAsia="zh-CN"/>
        </w:rPr>
      </w:pPr>
    </w:p>
    <w:p w14:paraId="2F707753">
      <w:pPr>
        <w:pStyle w:val="14"/>
        <w:rPr>
          <w:rFonts w:hint="eastAsia"/>
          <w:lang w:eastAsia="zh-CN"/>
        </w:rPr>
      </w:pPr>
    </w:p>
    <w:p w14:paraId="0BFBE54D">
      <w:pPr>
        <w:pStyle w:val="14"/>
        <w:rPr>
          <w:rFonts w:hint="eastAsia"/>
          <w:lang w:eastAsia="zh-CN"/>
        </w:rPr>
      </w:pPr>
    </w:p>
    <w:p w14:paraId="78F0A96D">
      <w:pPr>
        <w:pStyle w:val="14"/>
        <w:rPr>
          <w:rFonts w:hint="eastAsia"/>
          <w:lang w:eastAsia="zh-CN"/>
        </w:rPr>
      </w:pPr>
    </w:p>
    <w:p w14:paraId="2FACA2F0">
      <w:pPr>
        <w:pStyle w:val="14"/>
        <w:rPr>
          <w:rFonts w:hint="eastAsia"/>
          <w:lang w:eastAsia="zh-CN"/>
        </w:rPr>
      </w:pPr>
    </w:p>
    <w:p w14:paraId="0B979C41">
      <w:pPr>
        <w:pStyle w:val="14"/>
        <w:rPr>
          <w:rFonts w:hint="eastAsia"/>
          <w:lang w:eastAsia="zh-CN"/>
        </w:rPr>
      </w:pPr>
    </w:p>
    <w:p w14:paraId="01B9A812">
      <w:pPr>
        <w:pStyle w:val="14"/>
        <w:rPr>
          <w:rFonts w:hint="eastAsia"/>
          <w:lang w:eastAsia="zh-CN"/>
        </w:rPr>
      </w:pPr>
    </w:p>
    <w:p w14:paraId="3D348A31">
      <w:pPr>
        <w:pStyle w:val="14"/>
        <w:rPr>
          <w:rFonts w:hint="eastAsia"/>
          <w:lang w:eastAsia="zh-CN"/>
        </w:rPr>
      </w:pPr>
    </w:p>
    <w:p w14:paraId="574322F8">
      <w:pPr>
        <w:pStyle w:val="14"/>
        <w:rPr>
          <w:rFonts w:hint="eastAsia"/>
          <w:lang w:eastAsia="zh-CN"/>
        </w:rPr>
      </w:pPr>
    </w:p>
    <w:p w14:paraId="191B1E87">
      <w:pPr>
        <w:pStyle w:val="14"/>
        <w:rPr>
          <w:rFonts w:hint="eastAsia"/>
          <w:lang w:eastAsia="zh-CN"/>
        </w:rPr>
      </w:pPr>
    </w:p>
    <w:p w14:paraId="3E29040D">
      <w:pPr>
        <w:pStyle w:val="14"/>
        <w:rPr>
          <w:rFonts w:hint="eastAsia"/>
          <w:lang w:eastAsia="zh-CN"/>
        </w:rPr>
      </w:pPr>
    </w:p>
    <w:p w14:paraId="7CEC2343">
      <w:pPr>
        <w:pStyle w:val="14"/>
        <w:rPr>
          <w:rFonts w:hint="eastAsia"/>
          <w:lang w:eastAsia="zh-CN"/>
        </w:rPr>
      </w:pPr>
    </w:p>
    <w:p w14:paraId="0353B9C9">
      <w:pPr>
        <w:pStyle w:val="14"/>
        <w:rPr>
          <w:rFonts w:hint="eastAsia"/>
          <w:lang w:eastAsia="zh-CN"/>
        </w:rPr>
      </w:pPr>
    </w:p>
    <w:p w14:paraId="2DAE3AB9">
      <w:pPr>
        <w:pStyle w:val="14"/>
        <w:rPr>
          <w:rFonts w:hint="eastAsia"/>
          <w:lang w:eastAsia="zh-CN"/>
        </w:rPr>
      </w:pPr>
    </w:p>
    <w:p w14:paraId="020550BA">
      <w:pPr>
        <w:pStyle w:val="14"/>
        <w:rPr>
          <w:rFonts w:hint="eastAsia"/>
          <w:lang w:eastAsia="zh-CN"/>
        </w:rPr>
      </w:pPr>
    </w:p>
    <w:p w14:paraId="261031D7">
      <w:pPr>
        <w:pStyle w:val="14"/>
        <w:rPr>
          <w:rFonts w:hint="eastAsia"/>
          <w:lang w:eastAsia="zh-CN"/>
        </w:rPr>
      </w:pPr>
    </w:p>
    <w:p w14:paraId="4876015A">
      <w:pPr>
        <w:pStyle w:val="14"/>
        <w:rPr>
          <w:rFonts w:hint="eastAsia"/>
          <w:lang w:eastAsia="zh-CN"/>
        </w:rPr>
      </w:pPr>
    </w:p>
    <w:p w14:paraId="5951EA2C">
      <w:pPr>
        <w:pStyle w:val="14"/>
        <w:rPr>
          <w:rFonts w:hint="eastAsia"/>
          <w:lang w:eastAsia="zh-CN"/>
        </w:rPr>
      </w:pPr>
    </w:p>
    <w:p w14:paraId="6C45B7FA">
      <w:pPr>
        <w:pStyle w:val="14"/>
        <w:rPr>
          <w:rFonts w:hint="eastAsia"/>
          <w:lang w:eastAsia="zh-CN"/>
        </w:rPr>
      </w:pPr>
    </w:p>
    <w:p w14:paraId="43AFC404">
      <w:pPr>
        <w:pStyle w:val="14"/>
        <w:rPr>
          <w:rFonts w:hint="eastAsia"/>
          <w:lang w:eastAsia="zh-CN"/>
        </w:rPr>
      </w:pPr>
    </w:p>
    <w:p w14:paraId="7F09C52F">
      <w:pPr>
        <w:pStyle w:val="14"/>
        <w:rPr>
          <w:rFonts w:hint="eastAsia"/>
          <w:lang w:eastAsia="zh-CN"/>
        </w:rPr>
      </w:pPr>
    </w:p>
    <w:p w14:paraId="4447CED0">
      <w:pPr>
        <w:pStyle w:val="14"/>
        <w:rPr>
          <w:rFonts w:hint="eastAsia"/>
          <w:lang w:eastAsia="zh-CN"/>
        </w:rPr>
      </w:pPr>
    </w:p>
    <w:p w14:paraId="69561538">
      <w:pPr>
        <w:pStyle w:val="14"/>
        <w:rPr>
          <w:rFonts w:hint="eastAsia"/>
          <w:lang w:eastAsia="zh-CN"/>
        </w:rPr>
      </w:pPr>
    </w:p>
    <w:p w14:paraId="77236EC2">
      <w:pPr>
        <w:pStyle w:val="14"/>
        <w:rPr>
          <w:rFonts w:hint="eastAsia"/>
          <w:lang w:eastAsia="zh-CN"/>
        </w:rPr>
      </w:pPr>
    </w:p>
    <w:p w14:paraId="3EAA58C0">
      <w:pPr>
        <w:pStyle w:val="14"/>
        <w:rPr>
          <w:rFonts w:hint="eastAsia"/>
          <w:lang w:eastAsia="zh-CN"/>
        </w:rPr>
      </w:pPr>
    </w:p>
    <w:p w14:paraId="56EDCBFD">
      <w:pPr>
        <w:pStyle w:val="14"/>
        <w:rPr>
          <w:rFonts w:hint="eastAsia"/>
          <w:lang w:eastAsia="zh-CN"/>
        </w:rPr>
      </w:pPr>
    </w:p>
    <w:p w14:paraId="0399706C">
      <w:pPr>
        <w:pStyle w:val="14"/>
        <w:rPr>
          <w:rFonts w:hint="eastAsia"/>
          <w:lang w:eastAsia="zh-CN"/>
        </w:rPr>
      </w:pPr>
    </w:p>
    <w:p w14:paraId="05135006">
      <w:pPr>
        <w:pStyle w:val="14"/>
        <w:rPr>
          <w:rFonts w:hint="eastAsia"/>
          <w:lang w:eastAsia="zh-CN"/>
        </w:rPr>
      </w:pPr>
    </w:p>
    <w:p w14:paraId="2F75A4E3">
      <w:pPr>
        <w:pStyle w:val="14"/>
        <w:rPr>
          <w:rFonts w:hint="eastAsia"/>
          <w:lang w:eastAsia="zh-CN"/>
        </w:rPr>
      </w:pPr>
    </w:p>
    <w:p w14:paraId="54973933">
      <w:pPr>
        <w:pStyle w:val="14"/>
        <w:rPr>
          <w:rFonts w:hint="eastAsia"/>
          <w:lang w:eastAsia="zh-CN"/>
        </w:rPr>
      </w:pPr>
    </w:p>
    <w:p w14:paraId="69A0B49C">
      <w:pPr>
        <w:pStyle w:val="14"/>
        <w:rPr>
          <w:rFonts w:hint="eastAsia"/>
          <w:lang w:eastAsia="zh-CN"/>
        </w:rPr>
      </w:pPr>
    </w:p>
    <w:p w14:paraId="319E7F87">
      <w:pPr>
        <w:pStyle w:val="14"/>
        <w:rPr>
          <w:rFonts w:hint="eastAsia"/>
          <w:lang w:eastAsia="zh-CN"/>
        </w:rPr>
      </w:pPr>
    </w:p>
    <w:p w14:paraId="54E30C7E">
      <w:pPr>
        <w:pStyle w:val="3"/>
        <w:pageBreakBefore w:val="0"/>
        <w:kinsoku/>
        <w:wordWrap/>
        <w:overflowPunct/>
        <w:topLinePunct w:val="0"/>
        <w:bidi w:val="0"/>
        <w:spacing w:before="0" w:after="0" w:line="360" w:lineRule="auto"/>
        <w:jc w:val="center"/>
        <w:textAlignment w:val="auto"/>
        <w:rPr>
          <w:rFonts w:hint="eastAsia" w:ascii="宋体" w:hAnsi="宋体" w:eastAsia="宋体" w:cs="宋体"/>
          <w:sz w:val="36"/>
          <w:szCs w:val="36"/>
        </w:rPr>
      </w:pPr>
      <w:bookmarkStart w:id="78" w:name="_Toc17650"/>
      <w:r>
        <w:rPr>
          <w:rFonts w:hint="eastAsia" w:ascii="宋体" w:hAnsi="宋体" w:eastAsia="宋体" w:cs="宋体"/>
          <w:sz w:val="36"/>
          <w:szCs w:val="36"/>
        </w:rPr>
        <w:t>第</w:t>
      </w:r>
      <w:r>
        <w:rPr>
          <w:rFonts w:hint="eastAsia" w:ascii="宋体" w:hAnsi="宋体" w:eastAsia="宋体" w:cs="宋体"/>
          <w:sz w:val="36"/>
          <w:szCs w:val="36"/>
          <w:lang w:eastAsia="zh-CN"/>
        </w:rPr>
        <w:t>五</w:t>
      </w:r>
      <w:r>
        <w:rPr>
          <w:rFonts w:hint="eastAsia" w:ascii="宋体" w:hAnsi="宋体" w:eastAsia="宋体" w:cs="宋体"/>
          <w:sz w:val="36"/>
          <w:szCs w:val="36"/>
        </w:rPr>
        <w:t>部分  合同条款</w:t>
      </w:r>
      <w:bookmarkEnd w:id="38"/>
      <w:bookmarkEnd w:id="39"/>
      <w:bookmarkEnd w:id="78"/>
      <w:r>
        <w:rPr>
          <w:rFonts w:hint="eastAsia" w:ascii="宋体" w:hAnsi="宋体" w:eastAsia="宋体" w:cs="宋体"/>
          <w:sz w:val="32"/>
          <w:szCs w:val="32"/>
          <w:lang w:eastAsia="zh-CN"/>
        </w:rPr>
        <w:t>（本合同为参考）</w:t>
      </w:r>
    </w:p>
    <w:p w14:paraId="097679A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bookmarkStart w:id="79" w:name="_Toc459647661"/>
      <w:bookmarkEnd w:id="79"/>
      <w:bookmarkStart w:id="80" w:name="_Toc19131_WPSOffice_Level1"/>
      <w:bookmarkEnd w:id="80"/>
      <w:bookmarkStart w:id="81" w:name="_Toc19077_WPSOffice_Level1"/>
      <w:bookmarkEnd w:id="81"/>
      <w:bookmarkStart w:id="82" w:name="_Toc3274_WPSOffice_Level1"/>
      <w:bookmarkEnd w:id="82"/>
      <w:bookmarkStart w:id="83" w:name="_Toc26519378"/>
      <w:bookmarkStart w:id="84" w:name="_Toc19091862"/>
      <w:r>
        <w:rPr>
          <w:rFonts w:hint="eastAsia" w:ascii="宋体" w:hAnsi="宋体" w:eastAsia="宋体" w:cs="宋体"/>
          <w:sz w:val="24"/>
          <w:szCs w:val="21"/>
          <w:highlight w:val="none"/>
        </w:rPr>
        <w:t>使用住房城乡建设部、国家工商行政管理总局印发的《建设工程施工合同》（示范文本）（GF-2017-0201）</w:t>
      </w:r>
    </w:p>
    <w:p w14:paraId="7AD11F6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r>
        <w:rPr>
          <w:rFonts w:hint="eastAsia" w:ascii="宋体" w:hAnsi="宋体" w:eastAsia="宋体" w:cs="宋体"/>
          <w:bCs/>
          <w:sz w:val="24"/>
          <w:szCs w:val="21"/>
          <w:highlight w:val="none"/>
        </w:rPr>
        <w:t>（GF—2017—0201）</w:t>
      </w:r>
    </w:p>
    <w:p w14:paraId="6DABA78A">
      <w:pPr>
        <w:pageBreakBefore w:val="0"/>
        <w:kinsoku/>
        <w:wordWrap/>
        <w:overflowPunct/>
        <w:topLinePunct w:val="0"/>
        <w:bidi w:val="0"/>
        <w:adjustRightInd w:val="0"/>
        <w:spacing w:line="360" w:lineRule="auto"/>
        <w:ind w:left="420" w:leftChars="200"/>
        <w:jc w:val="center"/>
        <w:textAlignment w:val="auto"/>
        <w:rPr>
          <w:rFonts w:hint="eastAsia" w:ascii="宋体" w:hAnsi="宋体" w:eastAsia="宋体" w:cs="宋体"/>
          <w:b/>
          <w:sz w:val="28"/>
          <w:highlight w:val="none"/>
        </w:rPr>
      </w:pPr>
    </w:p>
    <w:p w14:paraId="17B6BB68">
      <w:pPr>
        <w:pageBreakBefore w:val="0"/>
        <w:kinsoku/>
        <w:wordWrap/>
        <w:overflowPunct/>
        <w:topLinePunct w:val="0"/>
        <w:bidi w:val="0"/>
        <w:adjustRightInd w:val="0"/>
        <w:spacing w:line="360" w:lineRule="auto"/>
        <w:ind w:left="420" w:leftChars="200"/>
        <w:jc w:val="center"/>
        <w:textAlignment w:val="auto"/>
        <w:rPr>
          <w:rFonts w:hint="eastAsia" w:ascii="宋体" w:hAnsi="宋体" w:eastAsia="宋体" w:cs="宋体"/>
          <w:b/>
          <w:sz w:val="28"/>
          <w:highlight w:val="none"/>
        </w:rPr>
      </w:pPr>
    </w:p>
    <w:p w14:paraId="7F9C9580">
      <w:pPr>
        <w:pageBreakBefore w:val="0"/>
        <w:kinsoku/>
        <w:wordWrap/>
        <w:overflowPunct/>
        <w:topLinePunct w:val="0"/>
        <w:bidi w:val="0"/>
        <w:adjustRightInd w:val="0"/>
        <w:spacing w:line="360" w:lineRule="auto"/>
        <w:ind w:left="420" w:leftChars="200"/>
        <w:jc w:val="center"/>
        <w:textAlignment w:val="auto"/>
        <w:rPr>
          <w:rFonts w:hint="eastAsia" w:ascii="宋体" w:hAnsi="宋体" w:eastAsia="宋体" w:cs="宋体"/>
          <w:b/>
          <w:sz w:val="28"/>
          <w:highlight w:val="none"/>
        </w:rPr>
      </w:pPr>
    </w:p>
    <w:p w14:paraId="10698612">
      <w:pPr>
        <w:pageBreakBefore w:val="0"/>
        <w:kinsoku/>
        <w:wordWrap/>
        <w:overflowPunct/>
        <w:topLinePunct w:val="0"/>
        <w:bidi w:val="0"/>
        <w:adjustRightInd w:val="0"/>
        <w:spacing w:line="360" w:lineRule="auto"/>
        <w:ind w:left="420" w:leftChars="200"/>
        <w:jc w:val="center"/>
        <w:textAlignment w:val="auto"/>
        <w:rPr>
          <w:rFonts w:hint="eastAsia" w:ascii="宋体" w:hAnsi="宋体" w:eastAsia="宋体" w:cs="宋体"/>
          <w:b/>
          <w:sz w:val="40"/>
          <w:szCs w:val="32"/>
          <w:highlight w:val="none"/>
          <w:lang w:eastAsia="zh-CN"/>
        </w:rPr>
      </w:pPr>
      <w:r>
        <w:rPr>
          <w:rFonts w:hint="eastAsia" w:ascii="宋体" w:hAnsi="宋体" w:eastAsia="宋体" w:cs="宋体"/>
          <w:b/>
          <w:sz w:val="40"/>
          <w:szCs w:val="32"/>
          <w:highlight w:val="none"/>
        </w:rPr>
        <w:t>建设工程施工合同</w:t>
      </w:r>
    </w:p>
    <w:p w14:paraId="6E9BE2E5">
      <w:pPr>
        <w:pageBreakBefore w:val="0"/>
        <w:kinsoku/>
        <w:wordWrap/>
        <w:overflowPunct/>
        <w:topLinePunct w:val="0"/>
        <w:bidi w:val="0"/>
        <w:adjustRightInd w:val="0"/>
        <w:spacing w:line="360" w:lineRule="auto"/>
        <w:ind w:left="420" w:leftChars="200"/>
        <w:jc w:val="center"/>
        <w:textAlignment w:val="auto"/>
        <w:rPr>
          <w:rFonts w:hint="eastAsia" w:ascii="宋体" w:hAnsi="宋体" w:eastAsia="宋体" w:cs="宋体"/>
          <w:b/>
          <w:sz w:val="28"/>
          <w:highlight w:val="none"/>
        </w:rPr>
      </w:pPr>
      <w:r>
        <w:rPr>
          <w:rFonts w:hint="eastAsia" w:ascii="宋体" w:hAnsi="宋体" w:eastAsia="宋体" w:cs="宋体"/>
          <w:b/>
          <w:sz w:val="28"/>
          <w:highlight w:val="none"/>
        </w:rPr>
        <w:t>（示范文本）</w:t>
      </w:r>
    </w:p>
    <w:p w14:paraId="247FCE81">
      <w:pPr>
        <w:pageBreakBefore w:val="0"/>
        <w:kinsoku/>
        <w:wordWrap/>
        <w:overflowPunct/>
        <w:topLinePunct w:val="0"/>
        <w:bidi w:val="0"/>
        <w:adjustRightInd w:val="0"/>
        <w:spacing w:line="360" w:lineRule="auto"/>
        <w:ind w:firstLine="562" w:firstLineChars="200"/>
        <w:textAlignment w:val="auto"/>
        <w:rPr>
          <w:rFonts w:hint="eastAsia" w:ascii="宋体" w:hAnsi="宋体" w:eastAsia="宋体" w:cs="宋体"/>
          <w:b/>
          <w:sz w:val="28"/>
          <w:highlight w:val="none"/>
        </w:rPr>
      </w:pPr>
    </w:p>
    <w:p w14:paraId="24942830">
      <w:pPr>
        <w:pageBreakBefore w:val="0"/>
        <w:kinsoku/>
        <w:wordWrap/>
        <w:overflowPunct/>
        <w:topLinePunct w:val="0"/>
        <w:bidi w:val="0"/>
        <w:adjustRightInd w:val="0"/>
        <w:spacing w:line="360" w:lineRule="auto"/>
        <w:ind w:firstLine="562" w:firstLineChars="200"/>
        <w:textAlignment w:val="auto"/>
        <w:rPr>
          <w:rFonts w:hint="eastAsia" w:ascii="宋体" w:hAnsi="宋体" w:eastAsia="宋体" w:cs="宋体"/>
          <w:b/>
          <w:sz w:val="28"/>
          <w:highlight w:val="none"/>
        </w:rPr>
      </w:pPr>
    </w:p>
    <w:p w14:paraId="6DFC0BAD">
      <w:pPr>
        <w:pageBreakBefore w:val="0"/>
        <w:kinsoku/>
        <w:wordWrap/>
        <w:overflowPunct/>
        <w:topLinePunct w:val="0"/>
        <w:bidi w:val="0"/>
        <w:adjustRightInd w:val="0"/>
        <w:spacing w:line="360" w:lineRule="auto"/>
        <w:ind w:firstLine="562" w:firstLineChars="200"/>
        <w:textAlignment w:val="auto"/>
        <w:rPr>
          <w:rFonts w:hint="eastAsia" w:ascii="宋体" w:hAnsi="宋体" w:eastAsia="宋体" w:cs="宋体"/>
          <w:b/>
          <w:sz w:val="28"/>
          <w:highlight w:val="none"/>
        </w:rPr>
      </w:pPr>
    </w:p>
    <w:p w14:paraId="1C20FB0E">
      <w:pPr>
        <w:pageBreakBefore w:val="0"/>
        <w:kinsoku/>
        <w:wordWrap/>
        <w:overflowPunct/>
        <w:topLinePunct w:val="0"/>
        <w:bidi w:val="0"/>
        <w:adjustRightInd w:val="0"/>
        <w:spacing w:line="360" w:lineRule="auto"/>
        <w:ind w:firstLine="562" w:firstLineChars="200"/>
        <w:textAlignment w:val="auto"/>
        <w:rPr>
          <w:rFonts w:hint="eastAsia" w:ascii="宋体" w:hAnsi="宋体" w:eastAsia="宋体" w:cs="宋体"/>
          <w:b/>
          <w:sz w:val="28"/>
          <w:highlight w:val="none"/>
        </w:rPr>
      </w:pPr>
    </w:p>
    <w:p w14:paraId="0E945CC2">
      <w:pPr>
        <w:pageBreakBefore w:val="0"/>
        <w:kinsoku/>
        <w:wordWrap/>
        <w:overflowPunct/>
        <w:topLinePunct w:val="0"/>
        <w:bidi w:val="0"/>
        <w:adjustRightInd w:val="0"/>
        <w:spacing w:line="360" w:lineRule="auto"/>
        <w:ind w:firstLine="562" w:firstLineChars="200"/>
        <w:textAlignment w:val="auto"/>
        <w:rPr>
          <w:rFonts w:hint="eastAsia" w:ascii="宋体" w:hAnsi="宋体" w:eastAsia="宋体" w:cs="宋体"/>
          <w:b/>
          <w:sz w:val="28"/>
          <w:highlight w:val="none"/>
        </w:rPr>
      </w:pPr>
    </w:p>
    <w:p w14:paraId="3AB3BA9B">
      <w:pPr>
        <w:pageBreakBefore w:val="0"/>
        <w:kinsoku/>
        <w:wordWrap/>
        <w:overflowPunct/>
        <w:topLinePunct w:val="0"/>
        <w:bidi w:val="0"/>
        <w:adjustRightInd w:val="0"/>
        <w:spacing w:line="360" w:lineRule="auto"/>
        <w:ind w:firstLine="562" w:firstLineChars="200"/>
        <w:textAlignment w:val="auto"/>
        <w:rPr>
          <w:rFonts w:hint="eastAsia" w:ascii="宋体" w:hAnsi="宋体" w:eastAsia="宋体" w:cs="宋体"/>
          <w:b/>
          <w:sz w:val="28"/>
          <w:highlight w:val="none"/>
        </w:rPr>
      </w:pPr>
    </w:p>
    <w:p w14:paraId="22F47E02">
      <w:pPr>
        <w:pageBreakBefore w:val="0"/>
        <w:kinsoku/>
        <w:wordWrap/>
        <w:overflowPunct/>
        <w:topLinePunct w:val="0"/>
        <w:bidi w:val="0"/>
        <w:adjustRightInd w:val="0"/>
        <w:spacing w:line="360" w:lineRule="auto"/>
        <w:ind w:firstLine="562" w:firstLineChars="200"/>
        <w:textAlignment w:val="auto"/>
        <w:rPr>
          <w:rFonts w:hint="eastAsia" w:ascii="宋体" w:hAnsi="宋体" w:eastAsia="宋体" w:cs="宋体"/>
          <w:b/>
          <w:sz w:val="28"/>
          <w:highlight w:val="none"/>
        </w:rPr>
      </w:pPr>
    </w:p>
    <w:p w14:paraId="32EA68A6">
      <w:pPr>
        <w:pageBreakBefore w:val="0"/>
        <w:kinsoku/>
        <w:wordWrap/>
        <w:overflowPunct/>
        <w:topLinePunct w:val="0"/>
        <w:bidi w:val="0"/>
        <w:adjustRightInd w:val="0"/>
        <w:spacing w:line="360" w:lineRule="auto"/>
        <w:ind w:firstLine="562" w:firstLineChars="200"/>
        <w:textAlignment w:val="auto"/>
        <w:rPr>
          <w:rFonts w:hint="eastAsia" w:ascii="宋体" w:hAnsi="宋体" w:eastAsia="宋体" w:cs="宋体"/>
          <w:b/>
          <w:sz w:val="28"/>
          <w:highlight w:val="none"/>
        </w:rPr>
      </w:pPr>
    </w:p>
    <w:p w14:paraId="066AFA04">
      <w:pPr>
        <w:pageBreakBefore w:val="0"/>
        <w:kinsoku/>
        <w:wordWrap/>
        <w:overflowPunct/>
        <w:topLinePunct w:val="0"/>
        <w:bidi w:val="0"/>
        <w:adjustRightInd w:val="0"/>
        <w:spacing w:line="360" w:lineRule="auto"/>
        <w:ind w:firstLine="562" w:firstLineChars="200"/>
        <w:textAlignment w:val="auto"/>
        <w:rPr>
          <w:rFonts w:hint="eastAsia" w:ascii="宋体" w:hAnsi="宋体" w:eastAsia="宋体" w:cs="宋体"/>
          <w:b/>
          <w:sz w:val="28"/>
          <w:highlight w:val="none"/>
        </w:rPr>
      </w:pPr>
    </w:p>
    <w:p w14:paraId="0E8B60D2">
      <w:pPr>
        <w:pageBreakBefore w:val="0"/>
        <w:kinsoku/>
        <w:wordWrap/>
        <w:overflowPunct/>
        <w:topLinePunct w:val="0"/>
        <w:bidi w:val="0"/>
        <w:adjustRightInd w:val="0"/>
        <w:spacing w:line="360" w:lineRule="auto"/>
        <w:ind w:firstLine="562" w:firstLineChars="200"/>
        <w:textAlignment w:val="auto"/>
        <w:rPr>
          <w:rFonts w:hint="eastAsia" w:ascii="宋体" w:hAnsi="宋体" w:eastAsia="宋体" w:cs="宋体"/>
          <w:b/>
          <w:sz w:val="28"/>
          <w:highlight w:val="none"/>
        </w:rPr>
      </w:pPr>
    </w:p>
    <w:p w14:paraId="60410D5D">
      <w:pPr>
        <w:pageBreakBefore w:val="0"/>
        <w:kinsoku/>
        <w:wordWrap/>
        <w:overflowPunct/>
        <w:topLinePunct w:val="0"/>
        <w:bidi w:val="0"/>
        <w:adjustRightInd w:val="0"/>
        <w:spacing w:line="360" w:lineRule="auto"/>
        <w:ind w:firstLine="562" w:firstLineChars="200"/>
        <w:textAlignment w:val="auto"/>
        <w:rPr>
          <w:rFonts w:hint="eastAsia" w:ascii="宋体" w:hAnsi="宋体" w:eastAsia="宋体" w:cs="宋体"/>
          <w:b/>
          <w:sz w:val="28"/>
          <w:highlight w:val="none"/>
        </w:rPr>
      </w:pPr>
    </w:p>
    <w:p w14:paraId="322F644F">
      <w:pPr>
        <w:pageBreakBefore w:val="0"/>
        <w:kinsoku/>
        <w:wordWrap/>
        <w:overflowPunct/>
        <w:topLinePunct w:val="0"/>
        <w:bidi w:val="0"/>
        <w:adjustRightInd w:val="0"/>
        <w:spacing w:line="360" w:lineRule="auto"/>
        <w:ind w:firstLine="3080" w:firstLineChars="1100"/>
        <w:textAlignment w:val="auto"/>
        <w:rPr>
          <w:rFonts w:hint="eastAsia" w:ascii="宋体" w:hAnsi="宋体" w:eastAsia="宋体" w:cs="宋体"/>
          <w:b/>
          <w:sz w:val="28"/>
          <w:highlight w:val="none"/>
        </w:rPr>
      </w:pPr>
      <w:r>
        <w:rPr>
          <w:rFonts w:hint="eastAsia" w:ascii="宋体" w:hAnsi="宋体" w:eastAsia="宋体" w:cs="宋体"/>
          <w:sz w:val="28"/>
          <w:highlight w:val="none"/>
        </w:rPr>
        <mc:AlternateContent>
          <mc:Choice Requires="wps">
            <w:drawing>
              <wp:anchor distT="0" distB="0" distL="114300" distR="114300" simplePos="0" relativeHeight="251662336" behindDoc="0" locked="0" layoutInCell="1" allowOverlap="1">
                <wp:simplePos x="0" y="0"/>
                <wp:positionH relativeFrom="column">
                  <wp:posOffset>3880485</wp:posOffset>
                </wp:positionH>
                <wp:positionV relativeFrom="paragraph">
                  <wp:posOffset>111760</wp:posOffset>
                </wp:positionV>
                <wp:extent cx="72390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35724A4D">
                            <w:pPr>
                              <w:rPr>
                                <w:rFonts w:ascii="宋体" w:hAnsi="宋体" w:eastAsia="宋体"/>
                                <w:b/>
                                <w:bCs/>
                                <w:sz w:val="32"/>
                              </w:rPr>
                            </w:pPr>
                            <w:r>
                              <w:rPr>
                                <w:rFonts w:hint="eastAsia" w:ascii="宋体" w:hAnsi="宋体" w:eastAsia="宋体"/>
                                <w:b/>
                                <w:bCs/>
                                <w:sz w:val="32"/>
                              </w:rPr>
                              <w:t>制定</w:t>
                            </w:r>
                          </w:p>
                        </w:txbxContent>
                      </wps:txbx>
                      <wps:bodyPr upright="1"/>
                    </wps:wsp>
                  </a:graphicData>
                </a:graphic>
              </wp:anchor>
            </w:drawing>
          </mc:Choice>
          <mc:Fallback>
            <w:pict>
              <v:shape id="_x0000_s1026" o:spid="_x0000_s1026" o:spt="202" type="#_x0000_t202" style="position:absolute;left:0pt;margin-left:305.55pt;margin-top:8.8pt;height:36pt;width:57pt;z-index:251662336;mso-width-relative:page;mso-height-relative:page;" filled="f" stroked="t" coordsize="21600,21600" o:gfxdata="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YxFJX2AAAAAkBAAAPAAAAAAAAAAEAIAAAACIA&#10;AABkcnMvZG93bnJldi54bWxQSwECFAAUAAAACACHTuJA5IdkigkCAAAaBAAADgAAAAAAAAABACAA&#10;AAAnAQAAZHJzL2Uyb0RvYy54bWxQSwUGAAAAAAYABgBZAQAAogUAAAAA&#10;">
                <v:fill on="f" focussize="0,0"/>
                <v:stroke color="#FFFFFF" joinstyle="miter"/>
                <v:imagedata o:title=""/>
                <o:lock v:ext="edit" aspectratio="f"/>
                <v:textbox>
                  <w:txbxContent>
                    <w:p w14:paraId="35724A4D">
                      <w:pPr>
                        <w:rPr>
                          <w:rFonts w:ascii="宋体" w:hAnsi="宋体" w:eastAsia="宋体"/>
                          <w:b/>
                          <w:bCs/>
                          <w:sz w:val="32"/>
                        </w:rPr>
                      </w:pPr>
                      <w:r>
                        <w:rPr>
                          <w:rFonts w:hint="eastAsia" w:ascii="宋体" w:hAnsi="宋体" w:eastAsia="宋体"/>
                          <w:b/>
                          <w:bCs/>
                          <w:sz w:val="32"/>
                        </w:rPr>
                        <w:t>制定</w:t>
                      </w:r>
                    </w:p>
                  </w:txbxContent>
                </v:textbox>
              </v:shape>
            </w:pict>
          </mc:Fallback>
        </mc:AlternateContent>
      </w:r>
      <w:r>
        <w:rPr>
          <w:rFonts w:hint="eastAsia" w:ascii="宋体" w:hAnsi="宋体" w:eastAsia="宋体" w:cs="宋体"/>
          <w:b/>
          <w:sz w:val="28"/>
          <w:highlight w:val="none"/>
        </w:rPr>
        <w:t>住房城乡建设部</w:t>
      </w:r>
    </w:p>
    <w:p w14:paraId="3818A138">
      <w:pPr>
        <w:pageBreakBefore w:val="0"/>
        <w:kinsoku/>
        <w:wordWrap/>
        <w:overflowPunct/>
        <w:topLinePunct w:val="0"/>
        <w:bidi w:val="0"/>
        <w:adjustRightInd w:val="0"/>
        <w:spacing w:line="360" w:lineRule="auto"/>
        <w:ind w:firstLine="3078" w:firstLineChars="1095"/>
        <w:textAlignment w:val="auto"/>
        <w:rPr>
          <w:rFonts w:hint="eastAsia" w:ascii="宋体" w:hAnsi="宋体" w:eastAsia="宋体" w:cs="宋体"/>
          <w:b/>
          <w:sz w:val="28"/>
          <w:highlight w:val="none"/>
        </w:rPr>
      </w:pPr>
      <w:r>
        <w:rPr>
          <w:rFonts w:hint="eastAsia" w:ascii="宋体" w:hAnsi="宋体" w:eastAsia="宋体" w:cs="宋体"/>
          <w:b/>
          <w:sz w:val="28"/>
          <w:highlight w:val="none"/>
        </w:rPr>
        <w:t>国家工商行政管理总局</w:t>
      </w:r>
    </w:p>
    <w:p w14:paraId="65CD920E">
      <w:pPr>
        <w:pageBreakBefore w:val="0"/>
        <w:kinsoku/>
        <w:wordWrap/>
        <w:overflowPunct/>
        <w:topLinePunct w:val="0"/>
        <w:bidi w:val="0"/>
        <w:spacing w:line="360" w:lineRule="auto"/>
        <w:textAlignment w:val="auto"/>
        <w:rPr>
          <w:rFonts w:hint="eastAsia" w:ascii="宋体" w:hAnsi="宋体" w:eastAsia="宋体" w:cs="宋体"/>
          <w:b/>
          <w:bCs/>
          <w:sz w:val="28"/>
          <w:highlight w:val="none"/>
        </w:rPr>
      </w:pPr>
      <w:r>
        <w:rPr>
          <w:rFonts w:hint="eastAsia" w:ascii="宋体" w:hAnsi="宋体" w:eastAsia="宋体" w:cs="宋体"/>
          <w:b/>
          <w:bCs/>
          <w:sz w:val="28"/>
          <w:highlight w:val="none"/>
        </w:rPr>
        <w:br w:type="page"/>
      </w:r>
    </w:p>
    <w:p w14:paraId="6DEB0EE3">
      <w:pPr>
        <w:pageBreakBefore w:val="0"/>
        <w:kinsoku/>
        <w:wordWrap/>
        <w:overflowPunct/>
        <w:topLinePunct w:val="0"/>
        <w:bidi w:val="0"/>
        <w:adjustRightInd w:val="0"/>
        <w:spacing w:line="360" w:lineRule="auto"/>
        <w:ind w:firstLine="482" w:firstLineChars="200"/>
        <w:jc w:val="center"/>
        <w:textAlignment w:val="auto"/>
        <w:rPr>
          <w:rFonts w:hint="eastAsia" w:ascii="宋体" w:hAnsi="宋体" w:eastAsia="宋体" w:cs="宋体"/>
          <w:bCs/>
          <w:sz w:val="24"/>
          <w:szCs w:val="21"/>
          <w:highlight w:val="none"/>
        </w:rPr>
      </w:pPr>
      <w:r>
        <w:rPr>
          <w:rFonts w:hint="eastAsia" w:ascii="宋体" w:hAnsi="宋体" w:eastAsia="宋体" w:cs="宋体"/>
          <w:b/>
          <w:bCs/>
          <w:sz w:val="24"/>
          <w:szCs w:val="21"/>
          <w:highlight w:val="none"/>
        </w:rPr>
        <w:t>第一部分 合同协议书</w:t>
      </w:r>
    </w:p>
    <w:p w14:paraId="1BDFFE55">
      <w:pPr>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sz w:val="24"/>
          <w:szCs w:val="21"/>
          <w:highlight w:val="none"/>
          <w:u w:val="single"/>
        </w:rPr>
      </w:pPr>
      <w:r>
        <w:rPr>
          <w:rFonts w:hint="eastAsia" w:ascii="宋体" w:hAnsi="宋体" w:eastAsia="宋体" w:cs="宋体"/>
          <w:b/>
          <w:sz w:val="24"/>
          <w:szCs w:val="21"/>
          <w:highlight w:val="none"/>
        </w:rPr>
        <w:t>发包人（全称）：</w:t>
      </w:r>
      <w:r>
        <w:rPr>
          <w:rFonts w:hint="eastAsia" w:ascii="宋体" w:hAnsi="宋体" w:eastAsia="宋体" w:cs="宋体"/>
          <w:b/>
          <w:sz w:val="24"/>
          <w:szCs w:val="21"/>
          <w:highlight w:val="none"/>
          <w:u w:val="single"/>
        </w:rPr>
        <w:t>         </w:t>
      </w:r>
    </w:p>
    <w:p w14:paraId="3045195F">
      <w:pPr>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sz w:val="24"/>
          <w:szCs w:val="21"/>
          <w:highlight w:val="none"/>
          <w:u w:val="single"/>
        </w:rPr>
      </w:pPr>
      <w:r>
        <w:rPr>
          <w:rFonts w:hint="eastAsia" w:ascii="宋体" w:hAnsi="宋体" w:eastAsia="宋体" w:cs="宋体"/>
          <w:b/>
          <w:sz w:val="24"/>
          <w:szCs w:val="21"/>
          <w:highlight w:val="none"/>
        </w:rPr>
        <w:t>承包人（全称）：</w:t>
      </w:r>
      <w:r>
        <w:rPr>
          <w:rFonts w:hint="eastAsia" w:ascii="宋体" w:hAnsi="宋体" w:eastAsia="宋体" w:cs="宋体"/>
          <w:b/>
          <w:sz w:val="24"/>
          <w:szCs w:val="21"/>
          <w:highlight w:val="none"/>
          <w:u w:val="single"/>
        </w:rPr>
        <w:t>     </w:t>
      </w:r>
    </w:p>
    <w:p w14:paraId="13CC59C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根据《中华人民共和国</w:t>
      </w:r>
      <w:r>
        <w:rPr>
          <w:rFonts w:hint="eastAsia" w:ascii="宋体" w:hAnsi="宋体" w:eastAsia="宋体" w:cs="宋体"/>
          <w:sz w:val="24"/>
          <w:szCs w:val="21"/>
          <w:highlight w:val="none"/>
          <w:lang w:eastAsia="zh-CN"/>
        </w:rPr>
        <w:t>民法典</w:t>
      </w:r>
      <w:r>
        <w:rPr>
          <w:rFonts w:hint="eastAsia" w:ascii="宋体" w:hAnsi="宋体" w:eastAsia="宋体" w:cs="宋体"/>
          <w:sz w:val="24"/>
          <w:szCs w:val="21"/>
          <w:highlight w:val="none"/>
        </w:rPr>
        <w:t>》、《中华人民共和国建筑法》及有关法律规定，遵循平等、自愿、公平和诚实信用的原则，双方就</w:t>
      </w:r>
    </w:p>
    <w:p w14:paraId="660234F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工程施工及有关事项协商一致，共同达成如下协议：</w:t>
      </w:r>
    </w:p>
    <w:p w14:paraId="6ACA933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sz w:val="24"/>
          <w:szCs w:val="21"/>
          <w:highlight w:val="none"/>
        </w:rPr>
      </w:pPr>
      <w:bookmarkStart w:id="85" w:name="_Toc351203481"/>
      <w:r>
        <w:rPr>
          <w:rFonts w:hint="eastAsia" w:ascii="宋体" w:hAnsi="宋体" w:eastAsia="宋体" w:cs="宋体"/>
          <w:bCs/>
          <w:sz w:val="24"/>
          <w:szCs w:val="21"/>
          <w:highlight w:val="none"/>
        </w:rPr>
        <w:t>一、工程概况</w:t>
      </w:r>
      <w:bookmarkEnd w:id="85"/>
    </w:p>
    <w:p w14:paraId="109DB2D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bCs/>
          <w:sz w:val="24"/>
          <w:szCs w:val="21"/>
          <w:highlight w:val="none"/>
        </w:rPr>
        <w:t>1.工程名称</w:t>
      </w:r>
      <w:r>
        <w:rPr>
          <w:rFonts w:hint="eastAsia" w:ascii="宋体" w:hAnsi="宋体" w:eastAsia="宋体" w:cs="宋体"/>
          <w:sz w:val="24"/>
          <w:szCs w:val="21"/>
          <w:highlight w:val="none"/>
        </w:rPr>
        <w:t>：</w:t>
      </w: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rPr>
        <w:t>。</w:t>
      </w:r>
    </w:p>
    <w:p w14:paraId="3E5EC18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r>
        <w:rPr>
          <w:rFonts w:hint="eastAsia" w:ascii="宋体" w:hAnsi="宋体" w:eastAsia="宋体" w:cs="宋体"/>
          <w:bCs/>
          <w:sz w:val="24"/>
          <w:szCs w:val="21"/>
          <w:highlight w:val="none"/>
        </w:rPr>
        <w:t>2.工程地点：</w:t>
      </w: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rPr>
        <w:t>。</w:t>
      </w:r>
    </w:p>
    <w:p w14:paraId="5D1AE38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r>
        <w:rPr>
          <w:rFonts w:hint="eastAsia" w:ascii="宋体" w:hAnsi="宋体" w:eastAsia="宋体" w:cs="宋体"/>
          <w:bCs/>
          <w:sz w:val="24"/>
          <w:szCs w:val="21"/>
          <w:highlight w:val="none"/>
        </w:rPr>
        <w:t>3.工程立项批准文号：</w:t>
      </w:r>
      <w:r>
        <w:rPr>
          <w:rFonts w:hint="eastAsia" w:ascii="宋体" w:hAnsi="宋体" w:eastAsia="宋体" w:cs="宋体"/>
          <w:sz w:val="24"/>
          <w:szCs w:val="21"/>
          <w:highlight w:val="none"/>
          <w:u w:val="single"/>
        </w:rPr>
        <w:t></w:t>
      </w:r>
      <w:r>
        <w:rPr>
          <w:rFonts w:hint="eastAsia" w:ascii="宋体" w:hAnsi="宋体" w:eastAsia="宋体" w:cs="宋体"/>
          <w:bCs/>
          <w:sz w:val="24"/>
          <w:szCs w:val="21"/>
          <w:highlight w:val="none"/>
        </w:rPr>
        <w:t>。</w:t>
      </w:r>
    </w:p>
    <w:p w14:paraId="10604CD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r>
        <w:rPr>
          <w:rFonts w:hint="eastAsia" w:ascii="宋体" w:hAnsi="宋体" w:eastAsia="宋体" w:cs="宋体"/>
          <w:bCs/>
          <w:sz w:val="24"/>
          <w:szCs w:val="21"/>
          <w:highlight w:val="none"/>
        </w:rPr>
        <w:t>4.资金来源：</w:t>
      </w:r>
      <w:r>
        <w:rPr>
          <w:rFonts w:hint="eastAsia" w:ascii="宋体" w:hAnsi="宋体" w:eastAsia="宋体" w:cs="宋体"/>
          <w:sz w:val="24"/>
          <w:szCs w:val="21"/>
          <w:highlight w:val="none"/>
          <w:u w:val="single"/>
        </w:rPr>
        <w:t></w:t>
      </w:r>
      <w:r>
        <w:rPr>
          <w:rFonts w:hint="eastAsia" w:ascii="宋体" w:hAnsi="宋体" w:eastAsia="宋体" w:cs="宋体"/>
          <w:bCs/>
          <w:sz w:val="24"/>
          <w:szCs w:val="21"/>
          <w:highlight w:val="none"/>
        </w:rPr>
        <w:t>。</w:t>
      </w:r>
    </w:p>
    <w:p w14:paraId="6FFF611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r>
        <w:rPr>
          <w:rFonts w:hint="eastAsia" w:ascii="宋体" w:hAnsi="宋体" w:eastAsia="宋体" w:cs="宋体"/>
          <w:bCs/>
          <w:sz w:val="24"/>
          <w:szCs w:val="21"/>
          <w:highlight w:val="none"/>
        </w:rPr>
        <w:t>5.工程内容：</w:t>
      </w:r>
      <w:r>
        <w:rPr>
          <w:rFonts w:hint="eastAsia" w:ascii="宋体" w:hAnsi="宋体" w:eastAsia="宋体" w:cs="宋体"/>
          <w:sz w:val="24"/>
          <w:szCs w:val="21"/>
          <w:highlight w:val="none"/>
          <w:u w:val="single"/>
        </w:rPr>
        <w:t></w:t>
      </w:r>
      <w:r>
        <w:rPr>
          <w:rFonts w:hint="eastAsia" w:ascii="宋体" w:hAnsi="宋体" w:eastAsia="宋体" w:cs="宋体"/>
          <w:bCs/>
          <w:sz w:val="24"/>
          <w:szCs w:val="21"/>
          <w:highlight w:val="none"/>
        </w:rPr>
        <w:t>。</w:t>
      </w:r>
    </w:p>
    <w:p w14:paraId="6D00DCA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r>
        <w:rPr>
          <w:rFonts w:hint="eastAsia" w:ascii="宋体" w:hAnsi="宋体" w:eastAsia="宋体" w:cs="宋体"/>
          <w:sz w:val="24"/>
          <w:szCs w:val="21"/>
          <w:highlight w:val="none"/>
        </w:rPr>
        <w:t>群体工程应附《承包人承揽工程项目一览表》（附件1）。</w:t>
      </w:r>
    </w:p>
    <w:p w14:paraId="1EA3EEC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r>
        <w:rPr>
          <w:rFonts w:hint="eastAsia" w:ascii="宋体" w:hAnsi="宋体" w:eastAsia="宋体" w:cs="宋体"/>
          <w:bCs/>
          <w:sz w:val="24"/>
          <w:szCs w:val="21"/>
          <w:highlight w:val="none"/>
        </w:rPr>
        <w:t>6.工程承包范围：</w:t>
      </w:r>
    </w:p>
    <w:p w14:paraId="4AB841E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rPr>
        <w:t>。</w:t>
      </w:r>
    </w:p>
    <w:p w14:paraId="662F00BB">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bookmarkStart w:id="86" w:name="_Toc351203482"/>
      <w:r>
        <w:rPr>
          <w:rFonts w:hint="eastAsia" w:ascii="宋体" w:hAnsi="宋体" w:eastAsia="宋体" w:cs="宋体"/>
          <w:bCs/>
          <w:sz w:val="24"/>
          <w:szCs w:val="21"/>
          <w:highlight w:val="none"/>
        </w:rPr>
        <w:t>二、合同工期</w:t>
      </w:r>
      <w:bookmarkEnd w:id="86"/>
    </w:p>
    <w:p w14:paraId="1C44197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计划开工日期：</w:t>
      </w: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rPr>
        <w:t>年</w:t>
      </w: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rPr>
        <w:t>月</w:t>
      </w: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rPr>
        <w:t>日。</w:t>
      </w:r>
    </w:p>
    <w:p w14:paraId="07E048E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计划竣工日期：</w:t>
      </w: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rPr>
        <w:t>年</w:t>
      </w: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rPr>
        <w:t>月</w:t>
      </w: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rPr>
        <w:t>日。</w:t>
      </w:r>
    </w:p>
    <w:p w14:paraId="0AB8E13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工期总日历天数：</w:t>
      </w: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rPr>
        <w:t>天。工期总日历天数与根据前述计划开竣工日期计算的工期天数不一致的，以工期总日历天数为准。</w:t>
      </w:r>
    </w:p>
    <w:p w14:paraId="2163079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sz w:val="24"/>
          <w:szCs w:val="21"/>
          <w:highlight w:val="none"/>
        </w:rPr>
      </w:pPr>
      <w:bookmarkStart w:id="87" w:name="_Toc351203483"/>
      <w:r>
        <w:rPr>
          <w:rFonts w:hint="eastAsia" w:ascii="宋体" w:hAnsi="宋体" w:eastAsia="宋体" w:cs="宋体"/>
          <w:bCs/>
          <w:sz w:val="24"/>
          <w:szCs w:val="21"/>
          <w:highlight w:val="none"/>
        </w:rPr>
        <w:t>三、质量标准</w:t>
      </w:r>
      <w:bookmarkEnd w:id="87"/>
    </w:p>
    <w:p w14:paraId="7842612A">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工程质量符合</w:t>
      </w: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rPr>
        <w:t>标准。</w:t>
      </w:r>
    </w:p>
    <w:p w14:paraId="04910E7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sz w:val="24"/>
          <w:szCs w:val="21"/>
          <w:highlight w:val="none"/>
        </w:rPr>
      </w:pPr>
      <w:bookmarkStart w:id="88" w:name="_Toc351203484"/>
      <w:r>
        <w:rPr>
          <w:rFonts w:hint="eastAsia" w:ascii="宋体" w:hAnsi="宋体" w:eastAsia="宋体" w:cs="宋体"/>
          <w:bCs/>
          <w:sz w:val="24"/>
          <w:szCs w:val="21"/>
          <w:highlight w:val="none"/>
        </w:rPr>
        <w:t>四、签约合同价与合同价格形式</w:t>
      </w:r>
      <w:bookmarkEnd w:id="88"/>
      <w:r>
        <w:rPr>
          <w:rFonts w:hint="eastAsia" w:ascii="宋体" w:hAnsi="宋体" w:eastAsia="宋体" w:cs="宋体"/>
          <w:bCs/>
          <w:sz w:val="24"/>
          <w:szCs w:val="21"/>
          <w:highlight w:val="none"/>
        </w:rPr>
        <w:tab/>
      </w:r>
    </w:p>
    <w:p w14:paraId="0D196C2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1.签约合同价为：</w:t>
      </w:r>
    </w:p>
    <w:p w14:paraId="3CED9DC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人民币（大写）(¥元)；</w:t>
      </w:r>
    </w:p>
    <w:p w14:paraId="47871D9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其中：</w:t>
      </w:r>
    </w:p>
    <w:p w14:paraId="5B0E200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（1）安全文明施工费：</w:t>
      </w:r>
    </w:p>
    <w:p w14:paraId="7D1691D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人民币（大写）(¥元)；</w:t>
      </w:r>
    </w:p>
    <w:p w14:paraId="0C80EF7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（2）材料和工程设备暂估价金额：</w:t>
      </w:r>
    </w:p>
    <w:p w14:paraId="4DE5116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人民币（大写） (¥元)；</w:t>
      </w:r>
    </w:p>
    <w:p w14:paraId="0A697C6C">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（3）专业工程暂估价金额：</w:t>
      </w:r>
    </w:p>
    <w:p w14:paraId="4E3073F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人民币（大写） (¥元)；</w:t>
      </w:r>
    </w:p>
    <w:p w14:paraId="2DC00CF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（4）暂列金额：</w:t>
      </w:r>
    </w:p>
    <w:p w14:paraId="1CE550B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人民币（大写） (¥元)。</w:t>
      </w:r>
    </w:p>
    <w:p w14:paraId="75933A4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2.合同价格形式：</w:t>
      </w:r>
      <w:r>
        <w:rPr>
          <w:rFonts w:hint="eastAsia" w:ascii="宋体" w:hAnsi="宋体" w:eastAsia="宋体" w:cs="宋体"/>
          <w:sz w:val="24"/>
          <w:szCs w:val="21"/>
          <w:highlight w:val="none"/>
          <w:u w:val="single"/>
        </w:rPr>
        <w:t>           </w:t>
      </w:r>
      <w:r>
        <w:rPr>
          <w:rFonts w:hint="eastAsia" w:ascii="宋体" w:hAnsi="宋体" w:eastAsia="宋体" w:cs="宋体"/>
          <w:sz w:val="24"/>
          <w:szCs w:val="21"/>
          <w:highlight w:val="none"/>
        </w:rPr>
        <w:t>。</w:t>
      </w:r>
    </w:p>
    <w:p w14:paraId="376B810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bookmarkStart w:id="89" w:name="_Toc351203485"/>
      <w:r>
        <w:rPr>
          <w:rFonts w:hint="eastAsia" w:ascii="宋体" w:hAnsi="宋体" w:eastAsia="宋体" w:cs="宋体"/>
          <w:bCs/>
          <w:sz w:val="24"/>
          <w:szCs w:val="21"/>
          <w:highlight w:val="none"/>
        </w:rPr>
        <w:t>五、</w:t>
      </w:r>
      <w:bookmarkEnd w:id="89"/>
      <w:r>
        <w:rPr>
          <w:rFonts w:hint="eastAsia" w:ascii="宋体" w:hAnsi="宋体" w:eastAsia="宋体" w:cs="宋体"/>
          <w:bCs/>
          <w:sz w:val="24"/>
          <w:szCs w:val="21"/>
          <w:highlight w:val="none"/>
        </w:rPr>
        <w:t>项目经理</w:t>
      </w:r>
    </w:p>
    <w:p w14:paraId="6D3468E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承包人项目经理：</w:t>
      </w:r>
      <w:r>
        <w:rPr>
          <w:rFonts w:hint="eastAsia" w:ascii="宋体" w:hAnsi="宋体" w:eastAsia="宋体" w:cs="宋体"/>
          <w:sz w:val="24"/>
          <w:szCs w:val="21"/>
          <w:highlight w:val="none"/>
          <w:u w:val="single"/>
        </w:rPr>
        <w:t>         </w:t>
      </w:r>
      <w:r>
        <w:rPr>
          <w:rFonts w:hint="eastAsia" w:ascii="宋体" w:hAnsi="宋体" w:eastAsia="宋体" w:cs="宋体"/>
          <w:sz w:val="24"/>
          <w:szCs w:val="21"/>
          <w:highlight w:val="none"/>
        </w:rPr>
        <w:t>。</w:t>
      </w:r>
    </w:p>
    <w:p w14:paraId="6A742BC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sz w:val="24"/>
          <w:szCs w:val="21"/>
          <w:highlight w:val="none"/>
        </w:rPr>
      </w:pPr>
      <w:bookmarkStart w:id="90" w:name="_Toc351203486"/>
      <w:r>
        <w:rPr>
          <w:rFonts w:hint="eastAsia" w:ascii="宋体" w:hAnsi="宋体" w:eastAsia="宋体" w:cs="宋体"/>
          <w:bCs/>
          <w:sz w:val="24"/>
          <w:szCs w:val="21"/>
          <w:highlight w:val="none"/>
        </w:rPr>
        <w:t>六、合同文件构成</w:t>
      </w:r>
      <w:bookmarkEnd w:id="90"/>
    </w:p>
    <w:p w14:paraId="3547FA2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r>
        <w:rPr>
          <w:rFonts w:hint="eastAsia" w:ascii="宋体" w:hAnsi="宋体" w:eastAsia="宋体" w:cs="宋体"/>
          <w:bCs/>
          <w:sz w:val="24"/>
          <w:szCs w:val="21"/>
          <w:highlight w:val="none"/>
        </w:rPr>
        <w:t>本协议书与下列文件一起构成合同文件：</w:t>
      </w:r>
    </w:p>
    <w:p w14:paraId="58C1BD3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（1）中标通知书（如果有）；</w:t>
      </w:r>
    </w:p>
    <w:p w14:paraId="2823DDFB">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 xml:space="preserve">（2）投标函及其附录（如果有）； </w:t>
      </w:r>
    </w:p>
    <w:p w14:paraId="37D0B2D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（3）专用合同条款及其附件；</w:t>
      </w:r>
    </w:p>
    <w:p w14:paraId="3B597D7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（4）通用合同条款；</w:t>
      </w:r>
    </w:p>
    <w:p w14:paraId="4739CCC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（5）技术标准和要求；</w:t>
      </w:r>
    </w:p>
    <w:p w14:paraId="4F823C2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（6）图纸；</w:t>
      </w:r>
    </w:p>
    <w:p w14:paraId="0B57822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（7）已标价工程量清单或预算书；</w:t>
      </w:r>
    </w:p>
    <w:p w14:paraId="375F6F9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（8）其他合同文件。</w:t>
      </w:r>
    </w:p>
    <w:p w14:paraId="4264EE4A">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在合同订立及履行过程中形成的与合同有关的文件均构成合同文件组成部分。</w:t>
      </w:r>
    </w:p>
    <w:p w14:paraId="19C728F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上述各项合同文件包括合同当事人就该项合同文件所作出的补充和修改，属于同一类内容的文件，应以最新签署的为准。专用合同条款及其附件须经合同当事人签字或盖章。</w:t>
      </w:r>
    </w:p>
    <w:p w14:paraId="11D3D49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bookmarkStart w:id="91" w:name="_Toc351203487"/>
      <w:r>
        <w:rPr>
          <w:rFonts w:hint="eastAsia" w:ascii="宋体" w:hAnsi="宋体" w:eastAsia="宋体" w:cs="宋体"/>
          <w:bCs/>
          <w:sz w:val="24"/>
          <w:szCs w:val="21"/>
          <w:highlight w:val="none"/>
        </w:rPr>
        <w:t>七、承诺</w:t>
      </w:r>
      <w:bookmarkEnd w:id="91"/>
    </w:p>
    <w:p w14:paraId="732FDF0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r>
        <w:rPr>
          <w:rFonts w:hint="eastAsia" w:ascii="宋体" w:hAnsi="宋体" w:eastAsia="宋体" w:cs="宋体"/>
          <w:bCs/>
          <w:sz w:val="24"/>
          <w:szCs w:val="21"/>
          <w:highlight w:val="none"/>
        </w:rPr>
        <w:t>1.发包人承诺按照法律规定履行项目审批手续、筹集工程建设资金并按照合同约定的期限和方式支付合同价款。</w:t>
      </w:r>
    </w:p>
    <w:p w14:paraId="2408BC2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r>
        <w:rPr>
          <w:rFonts w:hint="eastAsia" w:ascii="宋体" w:hAnsi="宋体" w:eastAsia="宋体" w:cs="宋体"/>
          <w:bCs/>
          <w:sz w:val="24"/>
          <w:szCs w:val="21"/>
          <w:highlight w:val="none"/>
        </w:rPr>
        <w:t>2.承包人承诺按照法律规定及合同约定组织完成工程施工，确保工程质量和安全，不进行转包及违法分包，并在缺陷责任期及保修期内承担相应的工程维修责任。</w:t>
      </w:r>
    </w:p>
    <w:p w14:paraId="1094CFD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r>
        <w:rPr>
          <w:rFonts w:hint="eastAsia" w:ascii="宋体" w:hAnsi="宋体" w:eastAsia="宋体" w:cs="宋体"/>
          <w:bCs/>
          <w:sz w:val="24"/>
          <w:szCs w:val="21"/>
          <w:highlight w:val="none"/>
        </w:rPr>
        <w:t>3.发包人和承包人通过招投标形式签订合同的，双方理解并承诺不再就同一工程另行签订与合同实质性内容相背离的协议。</w:t>
      </w:r>
    </w:p>
    <w:p w14:paraId="1603C9B7">
      <w:pPr>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Cs/>
          <w:sz w:val="24"/>
          <w:szCs w:val="21"/>
          <w:highlight w:val="none"/>
        </w:rPr>
      </w:pPr>
      <w:bookmarkStart w:id="92" w:name="_Toc351203488"/>
      <w:r>
        <w:rPr>
          <w:rFonts w:hint="eastAsia" w:ascii="宋体" w:hAnsi="宋体" w:eastAsia="宋体" w:cs="宋体"/>
          <w:b/>
          <w:sz w:val="24"/>
          <w:szCs w:val="21"/>
          <w:highlight w:val="none"/>
        </w:rPr>
        <w:t>八、词语含义</w:t>
      </w:r>
      <w:bookmarkEnd w:id="92"/>
    </w:p>
    <w:p w14:paraId="5B5E144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r>
        <w:rPr>
          <w:rFonts w:hint="eastAsia" w:ascii="宋体" w:hAnsi="宋体" w:eastAsia="宋体" w:cs="宋体"/>
          <w:bCs/>
          <w:sz w:val="24"/>
          <w:szCs w:val="21"/>
          <w:highlight w:val="none"/>
        </w:rPr>
        <w:t>本协议书中词语含义与第二部分通用合同条款中赋予的含义相同。</w:t>
      </w:r>
    </w:p>
    <w:p w14:paraId="1B10A99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sz w:val="24"/>
          <w:szCs w:val="21"/>
          <w:highlight w:val="none"/>
        </w:rPr>
      </w:pPr>
      <w:bookmarkStart w:id="93" w:name="_Toc351203489"/>
      <w:r>
        <w:rPr>
          <w:rFonts w:hint="eastAsia" w:ascii="宋体" w:hAnsi="宋体" w:eastAsia="宋体" w:cs="宋体"/>
          <w:bCs/>
          <w:sz w:val="24"/>
          <w:szCs w:val="21"/>
          <w:highlight w:val="none"/>
        </w:rPr>
        <w:t>九、签订时间</w:t>
      </w:r>
      <w:bookmarkEnd w:id="93"/>
    </w:p>
    <w:p w14:paraId="11201F6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r>
        <w:rPr>
          <w:rFonts w:hint="eastAsia" w:ascii="宋体" w:hAnsi="宋体" w:eastAsia="宋体" w:cs="宋体"/>
          <w:bCs/>
          <w:sz w:val="24"/>
          <w:szCs w:val="21"/>
          <w:highlight w:val="none"/>
        </w:rPr>
        <w:t>本合同于年月日签订。</w:t>
      </w:r>
    </w:p>
    <w:p w14:paraId="2E90F79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sz w:val="24"/>
          <w:szCs w:val="21"/>
          <w:highlight w:val="none"/>
        </w:rPr>
      </w:pPr>
      <w:bookmarkStart w:id="94" w:name="_Toc351203490"/>
      <w:r>
        <w:rPr>
          <w:rFonts w:hint="eastAsia" w:ascii="宋体" w:hAnsi="宋体" w:eastAsia="宋体" w:cs="宋体"/>
          <w:bCs/>
          <w:sz w:val="24"/>
          <w:szCs w:val="21"/>
          <w:highlight w:val="none"/>
        </w:rPr>
        <w:t>十、签订地点</w:t>
      </w:r>
      <w:bookmarkEnd w:id="94"/>
    </w:p>
    <w:p w14:paraId="590FC3A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r>
        <w:rPr>
          <w:rFonts w:hint="eastAsia" w:ascii="宋体" w:hAnsi="宋体" w:eastAsia="宋体" w:cs="宋体"/>
          <w:bCs/>
          <w:sz w:val="24"/>
          <w:szCs w:val="21"/>
          <w:highlight w:val="none"/>
        </w:rPr>
        <w:t>本合同在签订。</w:t>
      </w:r>
    </w:p>
    <w:p w14:paraId="55C4601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sz w:val="24"/>
          <w:szCs w:val="21"/>
          <w:highlight w:val="none"/>
        </w:rPr>
      </w:pPr>
      <w:bookmarkStart w:id="95" w:name="_Toc351203491"/>
      <w:r>
        <w:rPr>
          <w:rFonts w:hint="eastAsia" w:ascii="宋体" w:hAnsi="宋体" w:eastAsia="宋体" w:cs="宋体"/>
          <w:bCs/>
          <w:sz w:val="24"/>
          <w:szCs w:val="21"/>
          <w:highlight w:val="none"/>
        </w:rPr>
        <w:t>十一、补充协议</w:t>
      </w:r>
      <w:bookmarkEnd w:id="95"/>
    </w:p>
    <w:p w14:paraId="1912DB6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bCs/>
          <w:sz w:val="24"/>
          <w:szCs w:val="21"/>
          <w:highlight w:val="none"/>
        </w:rPr>
      </w:pPr>
      <w:r>
        <w:rPr>
          <w:rFonts w:hint="eastAsia" w:ascii="宋体" w:hAnsi="宋体" w:eastAsia="宋体" w:cs="宋体"/>
          <w:bCs/>
          <w:sz w:val="24"/>
          <w:szCs w:val="21"/>
          <w:highlight w:val="none"/>
        </w:rPr>
        <w:t>合同未尽事宜，合同当事人另行签订补充协议，补充协议是合同的组成部分。</w:t>
      </w:r>
    </w:p>
    <w:p w14:paraId="349306A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sz w:val="24"/>
          <w:szCs w:val="21"/>
          <w:highlight w:val="none"/>
        </w:rPr>
      </w:pPr>
      <w:bookmarkStart w:id="96" w:name="_Toc351203492"/>
      <w:r>
        <w:rPr>
          <w:rFonts w:hint="eastAsia" w:ascii="宋体" w:hAnsi="宋体" w:eastAsia="宋体" w:cs="宋体"/>
          <w:bCs/>
          <w:sz w:val="24"/>
          <w:szCs w:val="21"/>
          <w:highlight w:val="none"/>
        </w:rPr>
        <w:t>十二、合同生效</w:t>
      </w:r>
      <w:bookmarkEnd w:id="96"/>
    </w:p>
    <w:p w14:paraId="137DAE3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r>
        <w:rPr>
          <w:rFonts w:hint="eastAsia" w:ascii="宋体" w:hAnsi="宋体" w:eastAsia="宋体" w:cs="宋体"/>
          <w:bCs/>
          <w:sz w:val="24"/>
          <w:szCs w:val="21"/>
          <w:highlight w:val="none"/>
        </w:rPr>
        <w:t>本合同自生效。</w:t>
      </w:r>
    </w:p>
    <w:p w14:paraId="418F302B">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sz w:val="24"/>
          <w:szCs w:val="21"/>
          <w:highlight w:val="none"/>
        </w:rPr>
      </w:pPr>
      <w:bookmarkStart w:id="97" w:name="_Toc351203493"/>
      <w:r>
        <w:rPr>
          <w:rFonts w:hint="eastAsia" w:ascii="宋体" w:hAnsi="宋体" w:eastAsia="宋体" w:cs="宋体"/>
          <w:bCs/>
          <w:sz w:val="24"/>
          <w:szCs w:val="21"/>
          <w:highlight w:val="none"/>
        </w:rPr>
        <w:t>十三、合同份数</w:t>
      </w:r>
      <w:bookmarkEnd w:id="97"/>
    </w:p>
    <w:p w14:paraId="787E53C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r>
        <w:rPr>
          <w:rFonts w:hint="eastAsia" w:ascii="宋体" w:hAnsi="宋体" w:eastAsia="宋体" w:cs="宋体"/>
          <w:bCs/>
          <w:sz w:val="24"/>
          <w:szCs w:val="21"/>
          <w:highlight w:val="none"/>
        </w:rPr>
        <w:t>本合同一式份，均具有同等法律效力，发包人执份，承包人执份。</w:t>
      </w:r>
    </w:p>
    <w:p w14:paraId="583AC13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发包人：  (公章)</w:t>
      </w:r>
      <w:r>
        <w:rPr>
          <w:rFonts w:hint="eastAsia" w:ascii="宋体" w:hAnsi="宋体" w:eastAsia="宋体" w:cs="宋体"/>
          <w:sz w:val="24"/>
          <w:szCs w:val="21"/>
          <w:highlight w:val="none"/>
          <w:lang w:val="en-US" w:eastAsia="zh-CN"/>
        </w:rPr>
        <w:t xml:space="preserve">            </w:t>
      </w:r>
      <w:r>
        <w:rPr>
          <w:rFonts w:hint="eastAsia" w:ascii="宋体" w:hAnsi="宋体" w:eastAsia="宋体" w:cs="宋体"/>
          <w:sz w:val="24"/>
          <w:szCs w:val="21"/>
          <w:highlight w:val="none"/>
        </w:rPr>
        <w:t>承包人：  (公章)</w:t>
      </w:r>
    </w:p>
    <w:p w14:paraId="349632E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p>
    <w:p w14:paraId="1A6F4AE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法定代表人或其委托代理人：  法定代表人或其委托代理人：</w:t>
      </w:r>
    </w:p>
    <w:p w14:paraId="61BA5C3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（签字）                    （签字）</w:t>
      </w:r>
    </w:p>
    <w:p w14:paraId="6D1769C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p>
    <w:p w14:paraId="2351680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组织机构代码：</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rPr>
        <w:t>组织机构代码：</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 xml:space="preserve">   </w:t>
      </w:r>
    </w:p>
    <w:p w14:paraId="523C47F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地  址：</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rPr>
        <w:t>地  址：</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 xml:space="preserve">  </w:t>
      </w:r>
    </w:p>
    <w:p w14:paraId="310FA8D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邮政编码：</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rPr>
        <w:t>邮政编码：</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 xml:space="preserve">    </w:t>
      </w:r>
    </w:p>
    <w:p w14:paraId="65AA5EDA">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法定代表人：</w:t>
      </w: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rPr>
        <w:t>法定代表人：</w:t>
      </w: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u w:val="single"/>
          <w:lang w:val="en-US" w:eastAsia="zh-CN"/>
        </w:rPr>
        <w:t xml:space="preserve">            </w:t>
      </w:r>
    </w:p>
    <w:p w14:paraId="3BFED9F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委托代理人：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rPr>
        <w:t>委托代理人：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 xml:space="preserve">           </w:t>
      </w:r>
    </w:p>
    <w:p w14:paraId="5BEE69FB">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电  话：</w:t>
      </w: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rPr>
        <w:t>电  话：</w:t>
      </w: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u w:val="single"/>
          <w:lang w:val="en-US" w:eastAsia="zh-CN"/>
        </w:rPr>
        <w:t xml:space="preserve">    </w:t>
      </w:r>
    </w:p>
    <w:p w14:paraId="3AEA830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传  真：</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rPr>
        <w:t>传  真：</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 xml:space="preserve">   </w:t>
      </w:r>
    </w:p>
    <w:p w14:paraId="66AE630A">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电子信箱：</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电子信箱：</w:t>
      </w:r>
      <w:r>
        <w:rPr>
          <w:rFonts w:hint="eastAsia" w:ascii="宋体" w:hAnsi="宋体" w:eastAsia="宋体" w:cs="宋体"/>
          <w:sz w:val="24"/>
          <w:szCs w:val="21"/>
          <w:highlight w:val="none"/>
          <w:u w:val="single"/>
        </w:rPr>
        <w:t xml:space="preserve">  </w:t>
      </w:r>
    </w:p>
    <w:p w14:paraId="48399A5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开户银行：</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开户银行：</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u w:val="single"/>
        </w:rPr>
        <w:t xml:space="preserve"> </w:t>
      </w:r>
    </w:p>
    <w:p w14:paraId="4D3DE6A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lang w:val="en-US" w:eastAsia="zh-CN"/>
        </w:rPr>
      </w:pPr>
      <w:r>
        <w:rPr>
          <w:rFonts w:hint="eastAsia" w:ascii="宋体" w:hAnsi="宋体" w:eastAsia="宋体" w:cs="宋体"/>
          <w:sz w:val="24"/>
          <w:szCs w:val="21"/>
          <w:highlight w:val="none"/>
        </w:rPr>
        <w:t>账  号：</w:t>
      </w: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rPr>
        <w:t xml:space="preserve">账 </w:t>
      </w:r>
      <w:r>
        <w:rPr>
          <w:rFonts w:hint="eastAsia" w:ascii="宋体" w:hAnsi="宋体" w:eastAsia="宋体" w:cs="宋体"/>
          <w:sz w:val="24"/>
          <w:szCs w:val="21"/>
          <w:highlight w:val="none"/>
          <w:lang w:val="en-US" w:eastAsia="zh-CN"/>
        </w:rPr>
        <w:t xml:space="preserve"> </w:t>
      </w:r>
      <w:r>
        <w:rPr>
          <w:rFonts w:hint="eastAsia" w:ascii="宋体" w:hAnsi="宋体" w:eastAsia="宋体" w:cs="宋体"/>
          <w:sz w:val="24"/>
          <w:szCs w:val="21"/>
          <w:highlight w:val="none"/>
        </w:rPr>
        <w:t>号：</w:t>
      </w: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u w:val="single"/>
          <w:lang w:val="en-US" w:eastAsia="zh-CN"/>
        </w:rPr>
        <w:t xml:space="preserve">    </w:t>
      </w:r>
    </w:p>
    <w:p w14:paraId="764C0538">
      <w:pPr>
        <w:pageBreakBefore w:val="0"/>
        <w:kinsoku/>
        <w:wordWrap/>
        <w:overflowPunct/>
        <w:topLinePunct w:val="0"/>
        <w:bidi w:val="0"/>
        <w:adjustRightInd w:val="0"/>
        <w:spacing w:line="360" w:lineRule="auto"/>
        <w:ind w:firstLine="480" w:firstLineChars="200"/>
        <w:jc w:val="center"/>
        <w:textAlignment w:val="auto"/>
        <w:rPr>
          <w:rFonts w:hint="eastAsia" w:ascii="宋体" w:hAnsi="宋体" w:eastAsia="宋体" w:cs="宋体"/>
          <w:b/>
          <w:bCs/>
          <w:sz w:val="24"/>
          <w:szCs w:val="21"/>
          <w:highlight w:val="none"/>
        </w:rPr>
      </w:pPr>
      <w:r>
        <w:rPr>
          <w:rFonts w:hint="eastAsia" w:ascii="宋体" w:hAnsi="宋体" w:eastAsia="宋体" w:cs="宋体"/>
          <w:sz w:val="24"/>
          <w:szCs w:val="21"/>
          <w:highlight w:val="none"/>
          <w:u w:val="single"/>
          <w:lang w:val="en-US" w:eastAsia="zh-CN"/>
        </w:rPr>
        <w:br w:type="page"/>
      </w:r>
      <w:r>
        <w:rPr>
          <w:rFonts w:hint="eastAsia" w:ascii="宋体" w:hAnsi="宋体" w:eastAsia="宋体" w:cs="宋体"/>
          <w:b/>
          <w:bCs/>
          <w:sz w:val="24"/>
          <w:szCs w:val="21"/>
          <w:highlight w:val="none"/>
        </w:rPr>
        <w:t>第二部分  通用条款</w:t>
      </w:r>
    </w:p>
    <w:p w14:paraId="02FE836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r>
        <w:rPr>
          <w:rFonts w:hint="eastAsia" w:ascii="宋体" w:hAnsi="宋体" w:eastAsia="宋体" w:cs="宋体"/>
          <w:bCs/>
          <w:sz w:val="24"/>
          <w:szCs w:val="21"/>
          <w:highlight w:val="none"/>
        </w:rPr>
        <w:t>略</w:t>
      </w:r>
    </w:p>
    <w:p w14:paraId="448A99BB">
      <w:pPr>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bCs/>
          <w:sz w:val="24"/>
          <w:szCs w:val="21"/>
          <w:highlight w:val="none"/>
        </w:rPr>
      </w:pPr>
      <w:r>
        <w:rPr>
          <w:rFonts w:hint="eastAsia" w:ascii="宋体" w:hAnsi="宋体" w:eastAsia="宋体" w:cs="宋体"/>
          <w:b/>
          <w:bCs/>
          <w:sz w:val="24"/>
          <w:szCs w:val="21"/>
          <w:highlight w:val="none"/>
        </w:rPr>
        <w:t>第三部分 专用合同条款</w:t>
      </w:r>
    </w:p>
    <w:p w14:paraId="52368B3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bookmarkStart w:id="98" w:name="_Toc351203633"/>
      <w:r>
        <w:rPr>
          <w:rFonts w:hint="eastAsia" w:ascii="宋体" w:hAnsi="宋体" w:eastAsia="宋体" w:cs="宋体"/>
          <w:bCs/>
          <w:sz w:val="24"/>
          <w:szCs w:val="21"/>
          <w:highlight w:val="none"/>
        </w:rPr>
        <w:t>1</w:t>
      </w:r>
      <w:bookmarkStart w:id="99" w:name="_Toc296891196"/>
      <w:bookmarkStart w:id="100" w:name="_Toc296347155"/>
      <w:bookmarkStart w:id="101" w:name="_Toc292559866"/>
      <w:bookmarkStart w:id="102" w:name="_Toc296503156"/>
      <w:bookmarkStart w:id="103" w:name="_Toc297120456"/>
      <w:bookmarkStart w:id="104" w:name="_Toc292559361"/>
      <w:bookmarkStart w:id="105" w:name="_Toc297048342"/>
      <w:bookmarkStart w:id="106" w:name="_Toc296890984"/>
      <w:bookmarkStart w:id="107" w:name="_Toc296346657"/>
      <w:bookmarkStart w:id="108" w:name="_Toc296944495"/>
      <w:r>
        <w:rPr>
          <w:rFonts w:hint="eastAsia" w:ascii="宋体" w:hAnsi="宋体" w:eastAsia="宋体" w:cs="宋体"/>
          <w:bCs/>
          <w:sz w:val="24"/>
          <w:szCs w:val="21"/>
          <w:highlight w:val="none"/>
        </w:rPr>
        <w:t>. 一般约定</w:t>
      </w:r>
      <w:bookmarkEnd w:id="98"/>
    </w:p>
    <w:bookmarkEnd w:id="99"/>
    <w:bookmarkEnd w:id="100"/>
    <w:bookmarkEnd w:id="101"/>
    <w:bookmarkEnd w:id="102"/>
    <w:bookmarkEnd w:id="103"/>
    <w:bookmarkEnd w:id="104"/>
    <w:bookmarkEnd w:id="105"/>
    <w:bookmarkEnd w:id="106"/>
    <w:bookmarkEnd w:id="107"/>
    <w:bookmarkEnd w:id="108"/>
    <w:p w14:paraId="537295C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1.1 词语定义</w:t>
      </w:r>
    </w:p>
    <w:p w14:paraId="155526F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1.1.1合同</w:t>
      </w:r>
    </w:p>
    <w:p w14:paraId="7FEA3A0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1.1.1.10其他合同文件包括：</w:t>
      </w:r>
      <w:r>
        <w:rPr>
          <w:rFonts w:hint="eastAsia" w:ascii="宋体" w:hAnsi="宋体" w:eastAsia="宋体" w:cs="宋体"/>
          <w:sz w:val="24"/>
          <w:szCs w:val="21"/>
          <w:highlight w:val="none"/>
          <w:u w:val="single"/>
        </w:rPr>
        <w:t xml:space="preserve">                      </w:t>
      </w:r>
    </w:p>
    <w:p w14:paraId="40F8296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u w:val="single"/>
        </w:rPr>
        <w:t></w:t>
      </w:r>
    </w:p>
    <w:p w14:paraId="219227DC">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w:t>
      </w:r>
    </w:p>
    <w:p w14:paraId="3199703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1.1.2 合同当事人及其他相关方</w:t>
      </w:r>
    </w:p>
    <w:p w14:paraId="3EBBE51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1.1.2.4监理人：</w:t>
      </w:r>
    </w:p>
    <w:p w14:paraId="0111A84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名    称：</w:t>
      </w:r>
      <w:r>
        <w:rPr>
          <w:rFonts w:hint="eastAsia" w:ascii="宋体" w:hAnsi="宋体" w:eastAsia="宋体" w:cs="宋体"/>
          <w:sz w:val="24"/>
          <w:szCs w:val="21"/>
          <w:highlight w:val="none"/>
          <w:u w:val="single"/>
        </w:rPr>
        <w:t xml:space="preserve">    </w:t>
      </w:r>
      <w:r>
        <w:rPr>
          <w:rFonts w:hint="eastAsia" w:ascii="宋体" w:hAnsi="宋体" w:eastAsia="宋体" w:cs="宋体"/>
          <w:sz w:val="24"/>
          <w:szCs w:val="21"/>
          <w:highlight w:val="none"/>
        </w:rPr>
        <w:t>；</w:t>
      </w:r>
    </w:p>
    <w:p w14:paraId="0910092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资质类别和等级：</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2025C57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联系电话：</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5654FA8B">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电子信箱：</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687A5F1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通信地址：</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2CC84C7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1.1.2.5 设计人：</w:t>
      </w:r>
    </w:p>
    <w:p w14:paraId="3DB090D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名    称：</w:t>
      </w:r>
      <w:r>
        <w:rPr>
          <w:rFonts w:hint="eastAsia" w:ascii="宋体" w:hAnsi="宋体" w:eastAsia="宋体" w:cs="宋体"/>
          <w:sz w:val="24"/>
          <w:szCs w:val="21"/>
          <w:highlight w:val="none"/>
          <w:u w:val="single"/>
        </w:rPr>
        <w:t xml:space="preserve">    </w:t>
      </w:r>
      <w:r>
        <w:rPr>
          <w:rFonts w:hint="eastAsia" w:ascii="宋体" w:hAnsi="宋体" w:eastAsia="宋体" w:cs="宋体"/>
          <w:sz w:val="24"/>
          <w:szCs w:val="21"/>
          <w:highlight w:val="none"/>
        </w:rPr>
        <w:t>；</w:t>
      </w:r>
    </w:p>
    <w:p w14:paraId="6BCDCED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资质类别和等级：</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1EF37F9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联系电话：</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4CD0338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电子信箱：</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617088EB">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通信地址：</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63E1FACA">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1.1.3 工程和设备</w:t>
      </w:r>
    </w:p>
    <w:p w14:paraId="4F8EF21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1.1.3.7 作为施工现场组成部分的其他场所包括：</w:t>
      </w:r>
    </w:p>
    <w:p w14:paraId="0EE6A27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u w:val="single"/>
        </w:rPr>
        <w:t>                            </w:t>
      </w:r>
      <w:r>
        <w:rPr>
          <w:rFonts w:hint="eastAsia" w:ascii="宋体" w:hAnsi="宋体" w:eastAsia="宋体" w:cs="宋体"/>
          <w:sz w:val="24"/>
          <w:szCs w:val="21"/>
          <w:highlight w:val="none"/>
        </w:rPr>
        <w:t>。</w:t>
      </w:r>
    </w:p>
    <w:p w14:paraId="04E3CA4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1.1.3.9 永久占地包括：</w:t>
      </w:r>
      <w:r>
        <w:rPr>
          <w:rFonts w:hint="eastAsia" w:ascii="宋体" w:hAnsi="宋体" w:eastAsia="宋体" w:cs="宋体"/>
          <w:sz w:val="24"/>
          <w:szCs w:val="21"/>
          <w:highlight w:val="none"/>
          <w:u w:val="single"/>
        </w:rPr>
        <w:t xml:space="preserve">                </w:t>
      </w:r>
      <w:r>
        <w:rPr>
          <w:rFonts w:hint="eastAsia" w:ascii="宋体" w:hAnsi="宋体" w:eastAsia="宋体" w:cs="宋体"/>
          <w:sz w:val="24"/>
          <w:szCs w:val="21"/>
          <w:highlight w:val="none"/>
        </w:rPr>
        <w:t>。</w:t>
      </w:r>
    </w:p>
    <w:p w14:paraId="58A4CDF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1.1.3.10 临时占地包括：</w:t>
      </w:r>
      <w:r>
        <w:rPr>
          <w:rFonts w:hint="eastAsia" w:ascii="宋体" w:hAnsi="宋体" w:eastAsia="宋体" w:cs="宋体"/>
          <w:sz w:val="24"/>
          <w:szCs w:val="21"/>
          <w:highlight w:val="none"/>
          <w:u w:val="single"/>
        </w:rPr>
        <w:t xml:space="preserve">               </w:t>
      </w:r>
      <w:r>
        <w:rPr>
          <w:rFonts w:hint="eastAsia" w:ascii="宋体" w:hAnsi="宋体" w:eastAsia="宋体" w:cs="宋体"/>
          <w:sz w:val="24"/>
          <w:szCs w:val="21"/>
          <w:highlight w:val="none"/>
        </w:rPr>
        <w:t>。</w:t>
      </w:r>
    </w:p>
    <w:p w14:paraId="1D0E5D8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 xml:space="preserve">1.3法律 </w:t>
      </w:r>
    </w:p>
    <w:p w14:paraId="36EC7B3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适用于合同的其他规范性文件：</w:t>
      </w:r>
      <w:r>
        <w:rPr>
          <w:rFonts w:hint="eastAsia" w:ascii="宋体" w:hAnsi="宋体" w:eastAsia="宋体" w:cs="宋体"/>
          <w:sz w:val="24"/>
          <w:szCs w:val="21"/>
          <w:highlight w:val="none"/>
          <w:u w:val="single"/>
        </w:rPr>
        <w:t></w:t>
      </w:r>
    </w:p>
    <w:p w14:paraId="3E1D8F5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w:t>
      </w:r>
    </w:p>
    <w:p w14:paraId="08F8825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1.4 标准和规范</w:t>
      </w:r>
    </w:p>
    <w:p w14:paraId="284E8DB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1.4.1适用于工程的标准规范包括：</w:t>
      </w:r>
      <w:r>
        <w:rPr>
          <w:rFonts w:hint="eastAsia" w:ascii="宋体" w:hAnsi="宋体" w:eastAsia="宋体" w:cs="宋体"/>
          <w:sz w:val="24"/>
          <w:szCs w:val="21"/>
          <w:highlight w:val="none"/>
          <w:u w:val="single"/>
        </w:rPr>
        <w:t></w:t>
      </w:r>
    </w:p>
    <w:p w14:paraId="33B7DEB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44496FE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1.4.2 发包人提供国外标准、规范的名称：</w:t>
      </w:r>
    </w:p>
    <w:p w14:paraId="6928D71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w:t>
      </w:r>
    </w:p>
    <w:p w14:paraId="2DAE770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发包人提供国外标准、规范的份数：；</w:t>
      </w:r>
    </w:p>
    <w:p w14:paraId="23BDC05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发包人提供国外标准、规范的名称：。</w:t>
      </w:r>
    </w:p>
    <w:p w14:paraId="45CA03F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1.4.3发包人对工程的技术标准和功能要求的特殊要求：</w:t>
      </w:r>
    </w:p>
    <w:p w14:paraId="620C3DE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u w:val="single"/>
        </w:rPr>
        <w:t xml:space="preserve">            </w:t>
      </w:r>
      <w:r>
        <w:rPr>
          <w:rFonts w:hint="eastAsia" w:ascii="宋体" w:hAnsi="宋体" w:eastAsia="宋体" w:cs="宋体"/>
          <w:sz w:val="24"/>
          <w:szCs w:val="21"/>
          <w:highlight w:val="none"/>
        </w:rPr>
        <w:t>。</w:t>
      </w:r>
    </w:p>
    <w:p w14:paraId="6EF26FE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1.5 合同文件的优先顺序</w:t>
      </w:r>
    </w:p>
    <w:p w14:paraId="40C997E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合同文件组成及优先顺序为：</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1774E5A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1.6 图纸和承包人文件</w:t>
      </w:r>
      <w:r>
        <w:rPr>
          <w:rFonts w:hint="eastAsia" w:ascii="宋体" w:hAnsi="宋体" w:eastAsia="宋体" w:cs="宋体"/>
          <w:sz w:val="24"/>
          <w:szCs w:val="21"/>
          <w:highlight w:val="none"/>
        </w:rPr>
        <w:tab/>
      </w:r>
    </w:p>
    <w:p w14:paraId="08ECD13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1.6.1 图纸的提供</w:t>
      </w:r>
    </w:p>
    <w:p w14:paraId="3423460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发包人向承包人提供图纸的期限：</w:t>
      </w: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rPr>
        <w:t>；</w:t>
      </w:r>
    </w:p>
    <w:p w14:paraId="0F17679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发包人向承包人提供图纸的数量：</w:t>
      </w: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rPr>
        <w:t>；</w:t>
      </w:r>
    </w:p>
    <w:p w14:paraId="5EDD59D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发包人向承包人提供图纸的内容：</w:t>
      </w: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rPr>
        <w:t>。</w:t>
      </w:r>
    </w:p>
    <w:p w14:paraId="197416A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1.6.4 承包人文件</w:t>
      </w:r>
    </w:p>
    <w:p w14:paraId="5A727F8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需要由承包人提供的文件，包括：</w:t>
      </w:r>
      <w:r>
        <w:rPr>
          <w:rFonts w:hint="eastAsia" w:ascii="宋体" w:hAnsi="宋体" w:eastAsia="宋体" w:cs="宋体"/>
          <w:sz w:val="24"/>
          <w:szCs w:val="21"/>
          <w:highlight w:val="none"/>
          <w:u w:val="single"/>
        </w:rPr>
        <w:t></w:t>
      </w:r>
    </w:p>
    <w:p w14:paraId="259B52E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rPr>
        <w:t>；</w:t>
      </w:r>
    </w:p>
    <w:p w14:paraId="0337722A">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承包人提供的文件的期限为：</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59503A1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承包人提供的文件的数量为：</w:t>
      </w: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rPr>
        <w:t>；</w:t>
      </w:r>
    </w:p>
    <w:p w14:paraId="03B4E30A">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承包人提供的文件的形式为：</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62588FB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发包人审批承包人文件的期限：</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5C6663C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1.6.5 现场图纸准备</w:t>
      </w:r>
    </w:p>
    <w:p w14:paraId="34C7ED4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关于现场图纸准备的约定：</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6914C75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1.7 联络</w:t>
      </w:r>
    </w:p>
    <w:p w14:paraId="751725E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1.7.1发包人和承包人应当在</w:t>
      </w: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rPr>
        <w:t>天内将与合同有关的通知、批准、证明、证书、指示、指令、要求、请求、同意、意见、确定和决定等书面函件送达对方当事人。</w:t>
      </w:r>
    </w:p>
    <w:p w14:paraId="7D1F11BC">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1.7.2 发包人接收文件的地点：</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42B6983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发包人指定的接收人为：</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4A2DEA0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承包人接收文件的地点：</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3071969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承包人指定的接收人为：</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0EB76C9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监理人接收文件的地点：</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2CE5151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监理人指定的接收人为：</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421DC82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1.10 交通运输</w:t>
      </w:r>
    </w:p>
    <w:p w14:paraId="5120DB2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w:t>
      </w:r>
      <w:bookmarkStart w:id="109" w:name="_Toc303539100"/>
      <w:bookmarkStart w:id="110" w:name="_Toc304295521"/>
      <w:bookmarkStart w:id="111" w:name="_Toc318581155"/>
      <w:bookmarkStart w:id="112" w:name="_Toc312677986"/>
      <w:bookmarkStart w:id="113" w:name="_Toc300934943"/>
      <w:r>
        <w:rPr>
          <w:rFonts w:hint="eastAsia" w:ascii="宋体" w:hAnsi="宋体" w:eastAsia="宋体" w:cs="宋体"/>
          <w:sz w:val="24"/>
          <w:szCs w:val="21"/>
          <w:highlight w:val="none"/>
        </w:rPr>
        <w:t>.10.1 出入现场的权利</w:t>
      </w:r>
    </w:p>
    <w:p w14:paraId="009767B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关于出入现场的权利的约定：</w:t>
      </w:r>
      <w:r>
        <w:rPr>
          <w:rFonts w:hint="eastAsia" w:ascii="宋体" w:hAnsi="宋体" w:eastAsia="宋体" w:cs="宋体"/>
          <w:sz w:val="24"/>
          <w:szCs w:val="21"/>
          <w:highlight w:val="none"/>
          <w:u w:val="single"/>
        </w:rPr>
        <w:t> </w:t>
      </w:r>
    </w:p>
    <w:p w14:paraId="272589F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bookmarkEnd w:id="109"/>
    <w:bookmarkEnd w:id="110"/>
    <w:bookmarkEnd w:id="111"/>
    <w:bookmarkEnd w:id="112"/>
    <w:bookmarkEnd w:id="113"/>
    <w:p w14:paraId="7A99A86A">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w:t>
      </w:r>
      <w:bookmarkStart w:id="114" w:name="_Toc300934944"/>
      <w:bookmarkStart w:id="115" w:name="_Toc303539101"/>
      <w:bookmarkStart w:id="116" w:name="_Toc304295522"/>
      <w:bookmarkStart w:id="117" w:name="_Toc312677987"/>
      <w:bookmarkStart w:id="118" w:name="_Toc318581156"/>
      <w:r>
        <w:rPr>
          <w:rFonts w:hint="eastAsia" w:ascii="宋体" w:hAnsi="宋体" w:eastAsia="宋体" w:cs="宋体"/>
          <w:sz w:val="24"/>
          <w:szCs w:val="21"/>
          <w:highlight w:val="none"/>
        </w:rPr>
        <w:t>.10.3 场内交通</w:t>
      </w:r>
    </w:p>
    <w:p w14:paraId="3EB019FC">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关于场外交通和场内交通的边界的约定：</w:t>
      </w:r>
      <w:r>
        <w:rPr>
          <w:rFonts w:hint="eastAsia" w:ascii="宋体" w:hAnsi="宋体" w:eastAsia="宋体" w:cs="宋体"/>
          <w:sz w:val="24"/>
          <w:szCs w:val="21"/>
          <w:highlight w:val="none"/>
          <w:u w:val="single"/>
        </w:rPr>
        <w:t>     </w:t>
      </w:r>
      <w:r>
        <w:rPr>
          <w:rFonts w:hint="eastAsia" w:ascii="宋体" w:hAnsi="宋体" w:eastAsia="宋体" w:cs="宋体"/>
          <w:sz w:val="24"/>
          <w:szCs w:val="21"/>
          <w:highlight w:val="none"/>
        </w:rPr>
        <w:t>。</w:t>
      </w:r>
    </w:p>
    <w:p w14:paraId="1BEC674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关于发包人向承包人免费提供满足工程施工需要的场内道路和交通设施的约定：</w:t>
      </w:r>
      <w:r>
        <w:rPr>
          <w:rFonts w:hint="eastAsia" w:ascii="宋体" w:hAnsi="宋体" w:eastAsia="宋体" w:cs="宋体"/>
          <w:sz w:val="24"/>
          <w:szCs w:val="21"/>
          <w:highlight w:val="none"/>
          <w:u w:val="single"/>
        </w:rPr>
        <w:t>             </w:t>
      </w:r>
      <w:r>
        <w:rPr>
          <w:rFonts w:hint="eastAsia" w:ascii="宋体" w:hAnsi="宋体" w:eastAsia="宋体" w:cs="宋体"/>
          <w:sz w:val="24"/>
          <w:szCs w:val="21"/>
          <w:highlight w:val="none"/>
        </w:rPr>
        <w:t>。</w:t>
      </w:r>
      <w:bookmarkEnd w:id="114"/>
      <w:bookmarkEnd w:id="115"/>
      <w:bookmarkEnd w:id="116"/>
      <w:bookmarkEnd w:id="117"/>
      <w:bookmarkEnd w:id="118"/>
      <w:bookmarkStart w:id="119" w:name="_Toc318581157"/>
    </w:p>
    <w:p w14:paraId="6064FDA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1.10.4超大件和超重件的运输</w:t>
      </w:r>
    </w:p>
    <w:p w14:paraId="17B00F3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运输超大件或超重件所需的道路和桥梁临时加固改造费用和其他有关费用由承担。</w:t>
      </w:r>
    </w:p>
    <w:bookmarkEnd w:id="119"/>
    <w:p w14:paraId="71BB75A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1.11 知识产权</w:t>
      </w:r>
    </w:p>
    <w:p w14:paraId="0E7D515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4"/>
          <w:szCs w:val="21"/>
          <w:highlight w:val="none"/>
          <w:u w:val="single"/>
        </w:rPr>
        <w:t>                     </w:t>
      </w:r>
    </w:p>
    <w:p w14:paraId="13F9267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u w:val="single"/>
        </w:rPr>
        <w:t xml:space="preserve">                   </w:t>
      </w:r>
      <w:r>
        <w:rPr>
          <w:rFonts w:hint="eastAsia" w:ascii="宋体" w:hAnsi="宋体" w:eastAsia="宋体" w:cs="宋体"/>
          <w:sz w:val="24"/>
          <w:szCs w:val="21"/>
          <w:highlight w:val="none"/>
        </w:rPr>
        <w:t>。</w:t>
      </w:r>
    </w:p>
    <w:p w14:paraId="6D67833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关于发包人提供的上述文件的使用限制的要求：</w:t>
      </w:r>
    </w:p>
    <w:p w14:paraId="799A36F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w:t>
      </w:r>
    </w:p>
    <w:p w14:paraId="14C2F8D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1.11.2 关于承包人为实施工程所编制文件的著作权的归属：</w:t>
      </w:r>
    </w:p>
    <w:p w14:paraId="4348EED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u w:val="single"/>
        </w:rPr>
        <w:t>               </w:t>
      </w:r>
      <w:r>
        <w:rPr>
          <w:rFonts w:hint="eastAsia" w:ascii="宋体" w:hAnsi="宋体" w:eastAsia="宋体" w:cs="宋体"/>
          <w:sz w:val="24"/>
          <w:szCs w:val="21"/>
          <w:highlight w:val="none"/>
        </w:rPr>
        <w:t>。</w:t>
      </w:r>
    </w:p>
    <w:p w14:paraId="6A4EA96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关于承包人提供的上述文件的使用限制的要求：</w:t>
      </w:r>
      <w:r>
        <w:rPr>
          <w:rFonts w:hint="eastAsia" w:ascii="宋体" w:hAnsi="宋体" w:eastAsia="宋体" w:cs="宋体"/>
          <w:sz w:val="24"/>
          <w:szCs w:val="21"/>
          <w:highlight w:val="none"/>
          <w:u w:val="single"/>
        </w:rPr>
        <w:t>   </w:t>
      </w:r>
    </w:p>
    <w:p w14:paraId="6E3DC98C">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u w:val="single"/>
        </w:rPr>
        <w:t xml:space="preserve">                   </w:t>
      </w:r>
      <w:r>
        <w:rPr>
          <w:rFonts w:hint="eastAsia" w:ascii="宋体" w:hAnsi="宋体" w:eastAsia="宋体" w:cs="宋体"/>
          <w:sz w:val="24"/>
          <w:szCs w:val="21"/>
          <w:highlight w:val="none"/>
        </w:rPr>
        <w:t>。</w:t>
      </w:r>
    </w:p>
    <w:p w14:paraId="67A1DB9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1.11.4 承包人在施工过程中所采用的专利、专有技术、技术秘密的使用费的承担方式：</w:t>
      </w:r>
      <w:r>
        <w:rPr>
          <w:rFonts w:hint="eastAsia" w:ascii="宋体" w:hAnsi="宋体" w:eastAsia="宋体" w:cs="宋体"/>
          <w:sz w:val="24"/>
          <w:szCs w:val="21"/>
          <w:highlight w:val="none"/>
          <w:u w:val="single"/>
        </w:rPr>
        <w:t xml:space="preserve">             </w:t>
      </w:r>
      <w:r>
        <w:rPr>
          <w:rFonts w:hint="eastAsia" w:ascii="宋体" w:hAnsi="宋体" w:eastAsia="宋体" w:cs="宋体"/>
          <w:sz w:val="24"/>
          <w:szCs w:val="21"/>
          <w:highlight w:val="none"/>
        </w:rPr>
        <w:t>。</w:t>
      </w:r>
    </w:p>
    <w:p w14:paraId="32D8065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1.13工程量清单错误的修正</w:t>
      </w:r>
    </w:p>
    <w:p w14:paraId="70D5FDFA">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出现工程量清单错误时，是否调整合同价格：</w:t>
      </w:r>
      <w:r>
        <w:rPr>
          <w:rFonts w:hint="eastAsia" w:ascii="宋体" w:hAnsi="宋体" w:eastAsia="宋体" w:cs="宋体"/>
          <w:sz w:val="24"/>
          <w:szCs w:val="21"/>
          <w:highlight w:val="none"/>
          <w:u w:val="single"/>
        </w:rPr>
        <w:t xml:space="preserve">     </w:t>
      </w:r>
      <w:r>
        <w:rPr>
          <w:rFonts w:hint="eastAsia" w:ascii="宋体" w:hAnsi="宋体" w:eastAsia="宋体" w:cs="宋体"/>
          <w:sz w:val="24"/>
          <w:szCs w:val="21"/>
          <w:highlight w:val="none"/>
        </w:rPr>
        <w:t>。</w:t>
      </w:r>
    </w:p>
    <w:p w14:paraId="181DDF3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允许调整合同价格的工程量偏差范围：</w:t>
      </w:r>
      <w:r>
        <w:rPr>
          <w:rFonts w:hint="eastAsia" w:ascii="宋体" w:hAnsi="宋体" w:eastAsia="宋体" w:cs="宋体"/>
          <w:sz w:val="24"/>
          <w:szCs w:val="21"/>
          <w:highlight w:val="none"/>
          <w:u w:val="single"/>
        </w:rPr>
        <w:t xml:space="preserve">   </w:t>
      </w:r>
    </w:p>
    <w:p w14:paraId="7C3054E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u w:val="single"/>
        </w:rPr>
        <w:t xml:space="preserve">   </w:t>
      </w:r>
      <w:r>
        <w:rPr>
          <w:rFonts w:hint="eastAsia" w:ascii="宋体" w:hAnsi="宋体" w:eastAsia="宋体" w:cs="宋体"/>
          <w:sz w:val="24"/>
          <w:szCs w:val="21"/>
          <w:highlight w:val="none"/>
        </w:rPr>
        <w:t>。</w:t>
      </w:r>
    </w:p>
    <w:p w14:paraId="6CDFC92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bookmarkStart w:id="120" w:name="_Toc351203634"/>
      <w:r>
        <w:rPr>
          <w:rFonts w:hint="eastAsia" w:ascii="宋体" w:hAnsi="宋体" w:eastAsia="宋体" w:cs="宋体"/>
          <w:bCs/>
          <w:sz w:val="24"/>
          <w:szCs w:val="21"/>
          <w:highlight w:val="none"/>
        </w:rPr>
        <w:t>2</w:t>
      </w:r>
      <w:bookmarkStart w:id="121" w:name="_Toc296347156"/>
      <w:bookmarkStart w:id="122" w:name="_Toc296346658"/>
      <w:bookmarkStart w:id="123" w:name="_Toc296944496"/>
      <w:bookmarkStart w:id="124" w:name="_Toc292559362"/>
      <w:bookmarkStart w:id="125" w:name="_Toc297120457"/>
      <w:bookmarkStart w:id="126" w:name="_Toc296503157"/>
      <w:bookmarkStart w:id="127" w:name="_Toc296890985"/>
      <w:bookmarkStart w:id="128" w:name="_Toc292559867"/>
      <w:bookmarkStart w:id="129" w:name="_Toc296891197"/>
      <w:bookmarkStart w:id="130" w:name="_Toc297048343"/>
      <w:r>
        <w:rPr>
          <w:rFonts w:hint="eastAsia" w:ascii="宋体" w:hAnsi="宋体" w:eastAsia="宋体" w:cs="宋体"/>
          <w:bCs/>
          <w:sz w:val="24"/>
          <w:szCs w:val="21"/>
          <w:highlight w:val="none"/>
        </w:rPr>
        <w:t>. 发包人</w:t>
      </w:r>
      <w:bookmarkEnd w:id="120"/>
    </w:p>
    <w:bookmarkEnd w:id="121"/>
    <w:bookmarkEnd w:id="122"/>
    <w:bookmarkEnd w:id="123"/>
    <w:bookmarkEnd w:id="124"/>
    <w:bookmarkEnd w:id="125"/>
    <w:bookmarkEnd w:id="126"/>
    <w:bookmarkEnd w:id="127"/>
    <w:bookmarkEnd w:id="128"/>
    <w:bookmarkEnd w:id="129"/>
    <w:bookmarkEnd w:id="130"/>
    <w:p w14:paraId="59E30C1A">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2.2 发包人代表</w:t>
      </w:r>
    </w:p>
    <w:p w14:paraId="6905E2B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发包人代表：</w:t>
      </w:r>
    </w:p>
    <w:p w14:paraId="1C430FB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姓    名：</w:t>
      </w:r>
      <w:r>
        <w:rPr>
          <w:rFonts w:hint="eastAsia" w:ascii="宋体" w:hAnsi="宋体" w:eastAsia="宋体" w:cs="宋体"/>
          <w:sz w:val="24"/>
          <w:szCs w:val="21"/>
          <w:highlight w:val="none"/>
          <w:u w:val="single"/>
        </w:rPr>
        <w:t>   </w:t>
      </w:r>
      <w:r>
        <w:rPr>
          <w:rFonts w:hint="eastAsia" w:ascii="宋体" w:hAnsi="宋体" w:eastAsia="宋体" w:cs="宋体"/>
          <w:sz w:val="24"/>
          <w:szCs w:val="21"/>
          <w:highlight w:val="none"/>
        </w:rPr>
        <w:t>；</w:t>
      </w:r>
    </w:p>
    <w:p w14:paraId="01F672B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身份证号：</w:t>
      </w:r>
      <w:r>
        <w:rPr>
          <w:rFonts w:hint="eastAsia" w:ascii="宋体" w:hAnsi="宋体" w:eastAsia="宋体" w:cs="宋体"/>
          <w:sz w:val="24"/>
          <w:szCs w:val="21"/>
          <w:highlight w:val="none"/>
          <w:u w:val="single"/>
        </w:rPr>
        <w:t>    </w:t>
      </w:r>
      <w:r>
        <w:rPr>
          <w:rFonts w:hint="eastAsia" w:ascii="宋体" w:hAnsi="宋体" w:eastAsia="宋体" w:cs="宋体"/>
          <w:sz w:val="24"/>
          <w:szCs w:val="21"/>
          <w:highlight w:val="none"/>
        </w:rPr>
        <w:t>；</w:t>
      </w:r>
    </w:p>
    <w:p w14:paraId="11648B6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职    务：</w:t>
      </w:r>
      <w:r>
        <w:rPr>
          <w:rFonts w:hint="eastAsia" w:ascii="宋体" w:hAnsi="宋体" w:eastAsia="宋体" w:cs="宋体"/>
          <w:sz w:val="24"/>
          <w:szCs w:val="21"/>
          <w:highlight w:val="none"/>
          <w:u w:val="single"/>
        </w:rPr>
        <w:t>    </w:t>
      </w:r>
      <w:r>
        <w:rPr>
          <w:rFonts w:hint="eastAsia" w:ascii="宋体" w:hAnsi="宋体" w:eastAsia="宋体" w:cs="宋体"/>
          <w:sz w:val="24"/>
          <w:szCs w:val="21"/>
          <w:highlight w:val="none"/>
        </w:rPr>
        <w:t>；</w:t>
      </w:r>
    </w:p>
    <w:p w14:paraId="3989B80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联系电话：</w:t>
      </w:r>
      <w:r>
        <w:rPr>
          <w:rFonts w:hint="eastAsia" w:ascii="宋体" w:hAnsi="宋体" w:eastAsia="宋体" w:cs="宋体"/>
          <w:sz w:val="24"/>
          <w:szCs w:val="21"/>
          <w:highlight w:val="none"/>
          <w:u w:val="single"/>
        </w:rPr>
        <w:t>    </w:t>
      </w:r>
      <w:r>
        <w:rPr>
          <w:rFonts w:hint="eastAsia" w:ascii="宋体" w:hAnsi="宋体" w:eastAsia="宋体" w:cs="宋体"/>
          <w:sz w:val="24"/>
          <w:szCs w:val="21"/>
          <w:highlight w:val="none"/>
        </w:rPr>
        <w:t>；</w:t>
      </w:r>
    </w:p>
    <w:p w14:paraId="401B0A8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电子信箱：</w:t>
      </w:r>
      <w:r>
        <w:rPr>
          <w:rFonts w:hint="eastAsia" w:ascii="宋体" w:hAnsi="宋体" w:eastAsia="宋体" w:cs="宋体"/>
          <w:sz w:val="24"/>
          <w:szCs w:val="21"/>
          <w:highlight w:val="none"/>
          <w:u w:val="single"/>
        </w:rPr>
        <w:t>    </w:t>
      </w:r>
      <w:r>
        <w:rPr>
          <w:rFonts w:hint="eastAsia" w:ascii="宋体" w:hAnsi="宋体" w:eastAsia="宋体" w:cs="宋体"/>
          <w:sz w:val="24"/>
          <w:szCs w:val="21"/>
          <w:highlight w:val="none"/>
        </w:rPr>
        <w:t>；</w:t>
      </w:r>
    </w:p>
    <w:p w14:paraId="77DA4F7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通信地址：</w:t>
      </w:r>
      <w:r>
        <w:rPr>
          <w:rFonts w:hint="eastAsia" w:ascii="宋体" w:hAnsi="宋体" w:eastAsia="宋体" w:cs="宋体"/>
          <w:sz w:val="24"/>
          <w:szCs w:val="21"/>
          <w:highlight w:val="none"/>
          <w:u w:val="single"/>
        </w:rPr>
        <w:t>  </w:t>
      </w:r>
      <w:r>
        <w:rPr>
          <w:rFonts w:hint="eastAsia" w:ascii="宋体" w:hAnsi="宋体" w:eastAsia="宋体" w:cs="宋体"/>
          <w:sz w:val="24"/>
          <w:szCs w:val="21"/>
          <w:highlight w:val="none"/>
        </w:rPr>
        <w:t>。</w:t>
      </w:r>
    </w:p>
    <w:p w14:paraId="0709595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发包人对发包人代表的授权范围如下：</w:t>
      </w:r>
      <w:r>
        <w:rPr>
          <w:rFonts w:hint="eastAsia" w:ascii="宋体" w:hAnsi="宋体" w:eastAsia="宋体" w:cs="宋体"/>
          <w:sz w:val="24"/>
          <w:szCs w:val="21"/>
          <w:highlight w:val="none"/>
          <w:u w:val="single"/>
        </w:rPr>
        <w:t>     </w:t>
      </w:r>
    </w:p>
    <w:p w14:paraId="4361350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sz w:val="24"/>
          <w:szCs w:val="21"/>
          <w:highlight w:val="none"/>
        </w:rPr>
      </w:pP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w:t>
      </w:r>
    </w:p>
    <w:p w14:paraId="6FC1303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2.4 施工现场、施工条件和基础资料的提供</w:t>
      </w:r>
    </w:p>
    <w:p w14:paraId="4BB0120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2.4.1 提供施工现场</w:t>
      </w:r>
    </w:p>
    <w:p w14:paraId="49911C8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关于发包人移交施工现场的期限要求：</w:t>
      </w:r>
      <w:r>
        <w:rPr>
          <w:rFonts w:hint="eastAsia" w:ascii="宋体" w:hAnsi="宋体" w:eastAsia="宋体" w:cs="宋体"/>
          <w:sz w:val="24"/>
          <w:szCs w:val="21"/>
          <w:highlight w:val="none"/>
          <w:u w:val="single"/>
        </w:rPr>
        <w:t xml:space="preserve">                                                </w:t>
      </w:r>
      <w:r>
        <w:rPr>
          <w:rFonts w:hint="eastAsia" w:ascii="宋体" w:hAnsi="宋体" w:eastAsia="宋体" w:cs="宋体"/>
          <w:sz w:val="24"/>
          <w:szCs w:val="21"/>
          <w:highlight w:val="none"/>
        </w:rPr>
        <w:t>。</w:t>
      </w:r>
    </w:p>
    <w:p w14:paraId="078C402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2.4.2 提供施工条件</w:t>
      </w:r>
    </w:p>
    <w:p w14:paraId="03A9509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关于发包人应负责提供施工所需要的条件，包括：</w:t>
      </w:r>
      <w:r>
        <w:rPr>
          <w:rFonts w:hint="eastAsia" w:ascii="宋体" w:hAnsi="宋体" w:eastAsia="宋体" w:cs="宋体"/>
          <w:sz w:val="24"/>
          <w:szCs w:val="21"/>
          <w:highlight w:val="none"/>
          <w:u w:val="single"/>
        </w:rPr>
        <w:t xml:space="preserve">        </w:t>
      </w:r>
      <w:r>
        <w:rPr>
          <w:rFonts w:hint="eastAsia" w:ascii="宋体" w:hAnsi="宋体" w:eastAsia="宋体" w:cs="宋体"/>
          <w:sz w:val="24"/>
          <w:szCs w:val="21"/>
          <w:highlight w:val="none"/>
        </w:rPr>
        <w:t>。</w:t>
      </w:r>
    </w:p>
    <w:p w14:paraId="285DFE4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2.5 资金来源证明及支付担保</w:t>
      </w:r>
    </w:p>
    <w:p w14:paraId="26991BC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发包人提供资金来源证明的期限要求：</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w:t>
      </w:r>
    </w:p>
    <w:p w14:paraId="02BCBAB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发包人是否提供支付担保：</w:t>
      </w:r>
      <w:r>
        <w:rPr>
          <w:rFonts w:hint="eastAsia" w:ascii="宋体" w:hAnsi="宋体" w:eastAsia="宋体" w:cs="宋体"/>
          <w:sz w:val="24"/>
          <w:szCs w:val="21"/>
          <w:highlight w:val="none"/>
          <w:u w:val="single"/>
        </w:rPr>
        <w:t xml:space="preserve">                   </w:t>
      </w:r>
      <w:r>
        <w:rPr>
          <w:rFonts w:hint="eastAsia" w:ascii="宋体" w:hAnsi="宋体" w:eastAsia="宋体" w:cs="宋体"/>
          <w:sz w:val="24"/>
          <w:szCs w:val="21"/>
          <w:highlight w:val="none"/>
        </w:rPr>
        <w:t>。</w:t>
      </w:r>
    </w:p>
    <w:p w14:paraId="2B34278B">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发包人提供支付担保的形式：</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5689374C">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bookmarkStart w:id="131" w:name="_Toc351203635"/>
      <w:r>
        <w:rPr>
          <w:rFonts w:hint="eastAsia" w:ascii="宋体" w:hAnsi="宋体" w:eastAsia="宋体" w:cs="宋体"/>
          <w:bCs/>
          <w:sz w:val="24"/>
          <w:szCs w:val="21"/>
          <w:highlight w:val="none"/>
        </w:rPr>
        <w:t>3</w:t>
      </w:r>
      <w:bookmarkStart w:id="132" w:name="_Toc297048344"/>
      <w:bookmarkStart w:id="133" w:name="_Toc296346659"/>
      <w:bookmarkStart w:id="134" w:name="_Toc297120458"/>
      <w:bookmarkStart w:id="135" w:name="_Toc296891198"/>
      <w:bookmarkStart w:id="136" w:name="_Toc296503158"/>
      <w:bookmarkStart w:id="137" w:name="_Toc292559363"/>
      <w:bookmarkStart w:id="138" w:name="_Toc296944497"/>
      <w:bookmarkStart w:id="139" w:name="_Toc292559868"/>
      <w:bookmarkStart w:id="140" w:name="_Toc296890986"/>
      <w:bookmarkStart w:id="141" w:name="_Toc296347157"/>
      <w:r>
        <w:rPr>
          <w:rFonts w:hint="eastAsia" w:ascii="宋体" w:hAnsi="宋体" w:eastAsia="宋体" w:cs="宋体"/>
          <w:bCs/>
          <w:sz w:val="24"/>
          <w:szCs w:val="21"/>
          <w:highlight w:val="none"/>
        </w:rPr>
        <w:t>. 承包人</w:t>
      </w:r>
      <w:bookmarkEnd w:id="131"/>
    </w:p>
    <w:bookmarkEnd w:id="132"/>
    <w:bookmarkEnd w:id="133"/>
    <w:bookmarkEnd w:id="134"/>
    <w:bookmarkEnd w:id="135"/>
    <w:bookmarkEnd w:id="136"/>
    <w:bookmarkEnd w:id="137"/>
    <w:bookmarkEnd w:id="138"/>
    <w:bookmarkEnd w:id="139"/>
    <w:bookmarkEnd w:id="140"/>
    <w:bookmarkEnd w:id="141"/>
    <w:p w14:paraId="2E51F81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3.1 承包人的一般义务</w:t>
      </w:r>
    </w:p>
    <w:p w14:paraId="2068980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（9）承包人提交的竣工资料的内容：</w:t>
      </w:r>
    </w:p>
    <w:p w14:paraId="703B3AB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w:t>
      </w:r>
    </w:p>
    <w:p w14:paraId="5754853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承包人需要提交的竣工资料套数：。</w:t>
      </w:r>
    </w:p>
    <w:p w14:paraId="06DC6A7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承包人提交的竣工资料的费用承担：。</w:t>
      </w:r>
    </w:p>
    <w:p w14:paraId="43DD2E7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承包人提交的竣工资料移交时间：。</w:t>
      </w:r>
    </w:p>
    <w:p w14:paraId="4F2BBEAC">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承包人提交的竣工资料形式要求：。</w:t>
      </w:r>
    </w:p>
    <w:p w14:paraId="124F726C">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（10）承包人应履行的其他义务：</w:t>
      </w:r>
      <w:r>
        <w:rPr>
          <w:rFonts w:hint="eastAsia" w:ascii="宋体" w:hAnsi="宋体" w:eastAsia="宋体" w:cs="宋体"/>
          <w:sz w:val="24"/>
          <w:szCs w:val="21"/>
          <w:highlight w:val="none"/>
          <w:u w:val="single"/>
        </w:rPr>
        <w:t xml:space="preserve">                        </w:t>
      </w:r>
      <w:r>
        <w:rPr>
          <w:rFonts w:hint="eastAsia" w:ascii="宋体" w:hAnsi="宋体" w:eastAsia="宋体" w:cs="宋体"/>
          <w:sz w:val="24"/>
          <w:szCs w:val="21"/>
          <w:highlight w:val="none"/>
        </w:rPr>
        <w:t>。</w:t>
      </w:r>
    </w:p>
    <w:p w14:paraId="03F8955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3.2 项目经理</w:t>
      </w:r>
    </w:p>
    <w:p w14:paraId="480FCD2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3.2.1 项目经理：</w:t>
      </w:r>
    </w:p>
    <w:p w14:paraId="6F456A8C">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姓    名：</w:t>
      </w:r>
      <w:r>
        <w:rPr>
          <w:rFonts w:hint="eastAsia" w:ascii="宋体" w:hAnsi="宋体" w:eastAsia="宋体" w:cs="宋体"/>
          <w:sz w:val="24"/>
          <w:szCs w:val="21"/>
          <w:highlight w:val="none"/>
          <w:u w:val="single"/>
        </w:rPr>
        <w:t>   </w:t>
      </w:r>
      <w:r>
        <w:rPr>
          <w:rFonts w:hint="eastAsia" w:ascii="宋体" w:hAnsi="宋体" w:eastAsia="宋体" w:cs="宋体"/>
          <w:sz w:val="24"/>
          <w:szCs w:val="21"/>
          <w:highlight w:val="none"/>
        </w:rPr>
        <w:t>；</w:t>
      </w:r>
    </w:p>
    <w:p w14:paraId="3BA1C1C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身份证号：</w:t>
      </w:r>
      <w:r>
        <w:rPr>
          <w:rFonts w:hint="eastAsia" w:ascii="宋体" w:hAnsi="宋体" w:eastAsia="宋体" w:cs="宋体"/>
          <w:sz w:val="24"/>
          <w:szCs w:val="21"/>
          <w:highlight w:val="none"/>
          <w:u w:val="single"/>
        </w:rPr>
        <w:t>   </w:t>
      </w:r>
      <w:r>
        <w:rPr>
          <w:rFonts w:hint="eastAsia" w:ascii="宋体" w:hAnsi="宋体" w:eastAsia="宋体" w:cs="宋体"/>
          <w:sz w:val="24"/>
          <w:szCs w:val="21"/>
          <w:highlight w:val="none"/>
        </w:rPr>
        <w:t>；</w:t>
      </w:r>
    </w:p>
    <w:p w14:paraId="6171F94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建造师执业资格等级：</w:t>
      </w:r>
      <w:r>
        <w:rPr>
          <w:rFonts w:hint="eastAsia" w:ascii="宋体" w:hAnsi="宋体" w:eastAsia="宋体" w:cs="宋体"/>
          <w:sz w:val="24"/>
          <w:szCs w:val="21"/>
          <w:highlight w:val="none"/>
          <w:u w:val="single"/>
        </w:rPr>
        <w:t>   </w:t>
      </w:r>
      <w:r>
        <w:rPr>
          <w:rFonts w:hint="eastAsia" w:ascii="宋体" w:hAnsi="宋体" w:eastAsia="宋体" w:cs="宋体"/>
          <w:sz w:val="24"/>
          <w:szCs w:val="21"/>
          <w:highlight w:val="none"/>
        </w:rPr>
        <w:t>；</w:t>
      </w:r>
    </w:p>
    <w:p w14:paraId="678F0F8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建造师注册证书号：</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75E726C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建造师执业印章号：</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1ABA775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安全生产考核合格证书号：</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6DEB0B3B">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联系电话：</w:t>
      </w:r>
      <w:r>
        <w:rPr>
          <w:rFonts w:hint="eastAsia" w:ascii="宋体" w:hAnsi="宋体" w:eastAsia="宋体" w:cs="宋体"/>
          <w:sz w:val="24"/>
          <w:szCs w:val="21"/>
          <w:highlight w:val="none"/>
          <w:u w:val="single"/>
        </w:rPr>
        <w:t>   </w:t>
      </w:r>
      <w:r>
        <w:rPr>
          <w:rFonts w:hint="eastAsia" w:ascii="宋体" w:hAnsi="宋体" w:eastAsia="宋体" w:cs="宋体"/>
          <w:sz w:val="24"/>
          <w:szCs w:val="21"/>
          <w:highlight w:val="none"/>
        </w:rPr>
        <w:t>；</w:t>
      </w:r>
    </w:p>
    <w:p w14:paraId="506512B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电子信箱：</w:t>
      </w:r>
      <w:r>
        <w:rPr>
          <w:rFonts w:hint="eastAsia" w:ascii="宋体" w:hAnsi="宋体" w:eastAsia="宋体" w:cs="宋体"/>
          <w:sz w:val="24"/>
          <w:szCs w:val="21"/>
          <w:highlight w:val="none"/>
          <w:u w:val="single"/>
        </w:rPr>
        <w:t>   </w:t>
      </w:r>
      <w:r>
        <w:rPr>
          <w:rFonts w:hint="eastAsia" w:ascii="宋体" w:hAnsi="宋体" w:eastAsia="宋体" w:cs="宋体"/>
          <w:sz w:val="24"/>
          <w:szCs w:val="21"/>
          <w:highlight w:val="none"/>
        </w:rPr>
        <w:t>；</w:t>
      </w:r>
    </w:p>
    <w:p w14:paraId="79F88DC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通信地址：</w:t>
      </w:r>
      <w:r>
        <w:rPr>
          <w:rFonts w:hint="eastAsia" w:ascii="宋体" w:hAnsi="宋体" w:eastAsia="宋体" w:cs="宋体"/>
          <w:sz w:val="24"/>
          <w:szCs w:val="21"/>
          <w:highlight w:val="none"/>
          <w:u w:val="single"/>
        </w:rPr>
        <w:t>   </w:t>
      </w:r>
      <w:r>
        <w:rPr>
          <w:rFonts w:hint="eastAsia" w:ascii="宋体" w:hAnsi="宋体" w:eastAsia="宋体" w:cs="宋体"/>
          <w:sz w:val="24"/>
          <w:szCs w:val="21"/>
          <w:highlight w:val="none"/>
        </w:rPr>
        <w:t>；</w:t>
      </w:r>
    </w:p>
    <w:p w14:paraId="3CC6C1F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承包人对项目经理的授权范围如下：</w:t>
      </w: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rPr>
        <w:t>。</w:t>
      </w:r>
    </w:p>
    <w:p w14:paraId="03E272C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关于项目经理每月在施工现场的时间要求：</w:t>
      </w:r>
      <w:r>
        <w:rPr>
          <w:rFonts w:hint="eastAsia" w:ascii="宋体" w:hAnsi="宋体" w:eastAsia="宋体" w:cs="宋体"/>
          <w:sz w:val="24"/>
          <w:szCs w:val="21"/>
          <w:highlight w:val="none"/>
          <w:u w:val="single"/>
        </w:rPr>
        <w:t xml:space="preserve">            </w:t>
      </w:r>
      <w:r>
        <w:rPr>
          <w:rFonts w:hint="eastAsia" w:ascii="宋体" w:hAnsi="宋体" w:eastAsia="宋体" w:cs="宋体"/>
          <w:sz w:val="24"/>
          <w:szCs w:val="21"/>
          <w:highlight w:val="none"/>
        </w:rPr>
        <w:t>。</w:t>
      </w:r>
    </w:p>
    <w:p w14:paraId="4E184C0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承包人未提交劳动合同，以及没有为项目经理缴纳社会保险证明的违约责任：</w:t>
      </w:r>
      <w:r>
        <w:rPr>
          <w:rFonts w:hint="eastAsia" w:ascii="宋体" w:hAnsi="宋体" w:eastAsia="宋体" w:cs="宋体"/>
          <w:sz w:val="24"/>
          <w:szCs w:val="21"/>
          <w:highlight w:val="none"/>
          <w:u w:val="single"/>
        </w:rPr>
        <w:t>                    </w:t>
      </w:r>
      <w:r>
        <w:rPr>
          <w:rFonts w:hint="eastAsia" w:ascii="宋体" w:hAnsi="宋体" w:eastAsia="宋体" w:cs="宋体"/>
          <w:sz w:val="24"/>
          <w:szCs w:val="21"/>
          <w:highlight w:val="none"/>
        </w:rPr>
        <w:t>。</w:t>
      </w:r>
    </w:p>
    <w:p w14:paraId="6F7CDAAB">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项目经理未经批准，擅自离开施工现场的违约责任：</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u w:val="single"/>
        </w:rPr>
        <w:t xml:space="preserve">      </w:t>
      </w:r>
      <w:r>
        <w:rPr>
          <w:rFonts w:hint="eastAsia" w:ascii="宋体" w:hAnsi="宋体" w:eastAsia="宋体" w:cs="宋体"/>
          <w:sz w:val="24"/>
          <w:szCs w:val="21"/>
          <w:highlight w:val="none"/>
        </w:rPr>
        <w:t>。</w:t>
      </w:r>
    </w:p>
    <w:p w14:paraId="1A4DCED7">
      <w:pPr>
        <w:pageBreakBefore w:val="0"/>
        <w:kinsoku/>
        <w:wordWrap/>
        <w:overflowPunct/>
        <w:topLinePunct w:val="0"/>
        <w:bidi w:val="0"/>
        <w:adjustRightInd w:val="0"/>
        <w:spacing w:line="360" w:lineRule="auto"/>
        <w:ind w:firstLine="480" w:firstLineChars="200"/>
        <w:jc w:val="left"/>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3.2.3 承包人擅自更换项目经理的违约责任：</w:t>
      </w:r>
      <w:r>
        <w:rPr>
          <w:rFonts w:hint="eastAsia" w:ascii="宋体" w:hAnsi="宋体" w:eastAsia="宋体" w:cs="宋体"/>
          <w:sz w:val="24"/>
          <w:szCs w:val="21"/>
          <w:highlight w:val="none"/>
          <w:u w:val="single"/>
        </w:rPr>
        <w:t xml:space="preserve">                   </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w:t>
      </w:r>
    </w:p>
    <w:p w14:paraId="73E9F2E4">
      <w:pPr>
        <w:pageBreakBefore w:val="0"/>
        <w:kinsoku/>
        <w:wordWrap/>
        <w:overflowPunct/>
        <w:topLinePunct w:val="0"/>
        <w:bidi w:val="0"/>
        <w:adjustRightInd w:val="0"/>
        <w:spacing w:line="360" w:lineRule="auto"/>
        <w:ind w:firstLine="240" w:firstLineChars="100"/>
        <w:jc w:val="left"/>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 xml:space="preserve">  3.2.4 承包人无正当理由拒绝更换项目经理的违约责任：</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w:t>
      </w:r>
    </w:p>
    <w:p w14:paraId="28B8C86B">
      <w:pPr>
        <w:pageBreakBefore w:val="0"/>
        <w:kinsoku/>
        <w:wordWrap/>
        <w:overflowPunct/>
        <w:topLinePunct w:val="0"/>
        <w:bidi w:val="0"/>
        <w:adjustRightInd w:val="0"/>
        <w:spacing w:line="360" w:lineRule="auto"/>
        <w:ind w:firstLine="480" w:firstLineChars="200"/>
        <w:jc w:val="left"/>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3.3 承包人人员</w:t>
      </w:r>
    </w:p>
    <w:p w14:paraId="55DBAAB6">
      <w:pPr>
        <w:pageBreakBefore w:val="0"/>
        <w:kinsoku/>
        <w:wordWrap/>
        <w:overflowPunct/>
        <w:topLinePunct w:val="0"/>
        <w:bidi w:val="0"/>
        <w:adjustRightInd w:val="0"/>
        <w:spacing w:line="360" w:lineRule="auto"/>
        <w:ind w:firstLine="480" w:firstLineChars="200"/>
        <w:jc w:val="left"/>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3.3.1 承包人提交项目管理机构及施工现场管理人员安排报告的期限：</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w:t>
      </w:r>
    </w:p>
    <w:p w14:paraId="1D2260E3">
      <w:pPr>
        <w:pageBreakBefore w:val="0"/>
        <w:kinsoku/>
        <w:wordWrap/>
        <w:overflowPunct/>
        <w:topLinePunct w:val="0"/>
        <w:bidi w:val="0"/>
        <w:adjustRightInd w:val="0"/>
        <w:spacing w:line="360" w:lineRule="auto"/>
        <w:ind w:firstLine="480" w:firstLineChars="200"/>
        <w:jc w:val="left"/>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3.3.3 承包人无正当理由拒绝撤换主要施工管理人员的违约责任：</w:t>
      </w:r>
      <w:r>
        <w:rPr>
          <w:rFonts w:hint="eastAsia" w:ascii="宋体" w:hAnsi="宋体" w:eastAsia="宋体" w:cs="宋体"/>
          <w:sz w:val="24"/>
          <w:szCs w:val="21"/>
          <w:highlight w:val="none"/>
          <w:u w:val="single"/>
        </w:rPr>
        <w:t xml:space="preserve">            </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rPr>
        <w:t>。</w:t>
      </w:r>
    </w:p>
    <w:p w14:paraId="3F15679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3.3.4 承包人主要施工管理人员离开施工现场的批准要求：</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u w:val="single"/>
        </w:rPr>
        <w:t></w:t>
      </w:r>
      <w:r>
        <w:rPr>
          <w:rFonts w:hint="eastAsia" w:ascii="宋体" w:hAnsi="宋体" w:eastAsia="宋体" w:cs="宋体"/>
          <w:sz w:val="24"/>
          <w:szCs w:val="21"/>
          <w:highlight w:val="none"/>
        </w:rPr>
        <w:t>。</w:t>
      </w:r>
    </w:p>
    <w:p w14:paraId="6B4526D0">
      <w:pPr>
        <w:pageBreakBefore w:val="0"/>
        <w:kinsoku/>
        <w:wordWrap/>
        <w:overflowPunct/>
        <w:topLinePunct w:val="0"/>
        <w:bidi w:val="0"/>
        <w:adjustRightInd w:val="0"/>
        <w:spacing w:line="360" w:lineRule="auto"/>
        <w:ind w:firstLine="480" w:firstLineChars="200"/>
        <w:jc w:val="left"/>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3.3.5承包人擅自更换主要施工管理人员的违约责任：</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rPr>
        <w:t>。</w:t>
      </w:r>
    </w:p>
    <w:p w14:paraId="1A764AED">
      <w:pPr>
        <w:pageBreakBefore w:val="0"/>
        <w:kinsoku/>
        <w:wordWrap/>
        <w:overflowPunct/>
        <w:topLinePunct w:val="0"/>
        <w:bidi w:val="0"/>
        <w:adjustRightInd w:val="0"/>
        <w:spacing w:line="360" w:lineRule="auto"/>
        <w:ind w:firstLine="480" w:firstLineChars="200"/>
        <w:jc w:val="left"/>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承包人主要施工管理人员擅自离开施工现场的违约责任：</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w:t>
      </w:r>
    </w:p>
    <w:p w14:paraId="79212DDC">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w:t>
      </w:r>
      <w:bookmarkStart w:id="142" w:name="_Toc296503159"/>
      <w:bookmarkStart w:id="143" w:name="_Toc296346660"/>
      <w:bookmarkStart w:id="144" w:name="_Toc300934945"/>
      <w:bookmarkStart w:id="145" w:name="_Toc296347158"/>
      <w:bookmarkStart w:id="146" w:name="_Toc297048345"/>
      <w:bookmarkStart w:id="147" w:name="_Toc292559364"/>
      <w:bookmarkStart w:id="148" w:name="_Toc304295523"/>
      <w:bookmarkStart w:id="149" w:name="_Toc297216151"/>
      <w:bookmarkStart w:id="150" w:name="_Toc292559869"/>
      <w:bookmarkStart w:id="151" w:name="_Toc312677988"/>
      <w:bookmarkStart w:id="152" w:name="_Toc297123492"/>
      <w:bookmarkStart w:id="153" w:name="_Toc296891199"/>
      <w:bookmarkStart w:id="154" w:name="_Toc297120459"/>
      <w:bookmarkStart w:id="155" w:name="_Toc296944498"/>
      <w:bookmarkStart w:id="156" w:name="_Toc303539102"/>
      <w:bookmarkStart w:id="157" w:name="_Toc296890987"/>
      <w:r>
        <w:rPr>
          <w:rFonts w:hint="eastAsia" w:ascii="宋体" w:hAnsi="宋体" w:eastAsia="宋体" w:cs="宋体"/>
          <w:sz w:val="24"/>
          <w:szCs w:val="21"/>
          <w:highlight w:val="none"/>
        </w:rPr>
        <w:t>.5 分包</w:t>
      </w:r>
    </w:p>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14:paraId="2FFC57F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w:t>
      </w:r>
      <w:bookmarkStart w:id="158" w:name="_Toc300934946"/>
      <w:bookmarkStart w:id="159" w:name="_Toc292559365"/>
      <w:bookmarkStart w:id="160" w:name="_Toc303539103"/>
      <w:bookmarkStart w:id="161" w:name="_Toc296944499"/>
      <w:bookmarkStart w:id="162" w:name="_Toc296347159"/>
      <w:bookmarkStart w:id="163" w:name="_Toc297048346"/>
      <w:bookmarkStart w:id="164" w:name="_Toc297216152"/>
      <w:bookmarkStart w:id="165" w:name="_Toc292559870"/>
      <w:bookmarkStart w:id="166" w:name="_Toc296890988"/>
      <w:bookmarkStart w:id="167" w:name="_Toc304295524"/>
      <w:bookmarkStart w:id="168" w:name="_Toc296891200"/>
      <w:bookmarkStart w:id="169" w:name="_Toc297123493"/>
      <w:bookmarkStart w:id="170" w:name="_Toc296346661"/>
      <w:bookmarkStart w:id="171" w:name="_Toc296503160"/>
      <w:bookmarkStart w:id="172" w:name="_Toc297120460"/>
      <w:bookmarkStart w:id="173" w:name="_Toc318581158"/>
      <w:bookmarkStart w:id="174" w:name="_Toc312677989"/>
      <w:r>
        <w:rPr>
          <w:rFonts w:hint="eastAsia" w:ascii="宋体" w:hAnsi="宋体" w:eastAsia="宋体" w:cs="宋体"/>
          <w:sz w:val="24"/>
          <w:szCs w:val="21"/>
          <w:highlight w:val="none"/>
        </w:rPr>
        <w:t>.5.1 分包的一般约定</w:t>
      </w:r>
    </w:p>
    <w:p w14:paraId="755FD8F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禁止分包的工程包括：</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w:t>
      </w:r>
    </w:p>
    <w:p w14:paraId="0C2EC09A">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lang w:eastAsia="zh-CN"/>
        </w:rPr>
      </w:pPr>
      <w:r>
        <w:rPr>
          <w:rFonts w:hint="eastAsia" w:ascii="宋体" w:hAnsi="宋体" w:eastAsia="宋体" w:cs="宋体"/>
          <w:sz w:val="24"/>
          <w:szCs w:val="21"/>
          <w:highlight w:val="none"/>
        </w:rPr>
        <w:t>主体结构、关键性工作的范围：</w:t>
      </w:r>
      <w:r>
        <w:rPr>
          <w:rFonts w:hint="eastAsia" w:ascii="宋体" w:hAnsi="宋体" w:eastAsia="宋体" w:cs="宋体"/>
          <w:sz w:val="24"/>
          <w:szCs w:val="21"/>
          <w:highlight w:val="none"/>
          <w:u w:val="single"/>
        </w:rPr>
        <w:t xml:space="preserve">                 </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Start w:id="175" w:name="_Toc296891201"/>
      <w:bookmarkStart w:id="176" w:name="_Toc296890989"/>
      <w:bookmarkStart w:id="177" w:name="_Toc303539104"/>
      <w:bookmarkStart w:id="178" w:name="_Toc296347160"/>
      <w:bookmarkStart w:id="179" w:name="_Toc296944500"/>
      <w:bookmarkStart w:id="180" w:name="_Toc304295525"/>
      <w:bookmarkStart w:id="181" w:name="_Toc297120461"/>
      <w:bookmarkStart w:id="182" w:name="_Toc297048347"/>
      <w:bookmarkStart w:id="183" w:name="_Toc297123494"/>
      <w:bookmarkStart w:id="184" w:name="_Toc296503161"/>
      <w:bookmarkStart w:id="185" w:name="_Toc297216153"/>
      <w:bookmarkStart w:id="186" w:name="_Toc296346662"/>
      <w:bookmarkStart w:id="187" w:name="_Toc300934947"/>
      <w:r>
        <w:rPr>
          <w:rFonts w:hint="eastAsia" w:ascii="宋体" w:hAnsi="宋体" w:eastAsia="宋体" w:cs="宋体"/>
          <w:sz w:val="24"/>
          <w:szCs w:val="21"/>
          <w:highlight w:val="none"/>
          <w:u w:val="single"/>
          <w:lang w:eastAsia="zh-CN"/>
        </w:rPr>
        <w:t>。</w:t>
      </w:r>
    </w:p>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14:paraId="5625516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w:t>
      </w:r>
      <w:bookmarkStart w:id="188" w:name="_Toc318581159"/>
      <w:bookmarkStart w:id="189" w:name="_Toc312677990"/>
      <w:r>
        <w:rPr>
          <w:rFonts w:hint="eastAsia" w:ascii="宋体" w:hAnsi="宋体" w:eastAsia="宋体" w:cs="宋体"/>
          <w:sz w:val="24"/>
          <w:szCs w:val="21"/>
          <w:highlight w:val="none"/>
        </w:rPr>
        <w:t>.5.2分包的确定</w:t>
      </w:r>
    </w:p>
    <w:p w14:paraId="59B650E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允许分包的专业工程包括：</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w:t>
      </w:r>
    </w:p>
    <w:p w14:paraId="12BD800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其他关于分包的约定：</w:t>
      </w:r>
    </w:p>
    <w:p w14:paraId="031DF5C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3.5.4 分包合同价款</w:t>
      </w:r>
    </w:p>
    <w:p w14:paraId="5E5B8AC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关于分包合同价款支付的约定：</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w:t>
      </w:r>
    </w:p>
    <w:bookmarkEnd w:id="188"/>
    <w:bookmarkEnd w:id="189"/>
    <w:p w14:paraId="19D404E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3.6 工程照管与成品、半成品保护</w:t>
      </w:r>
    </w:p>
    <w:p w14:paraId="0787098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承包人负责照管工程及工程相关的材料、工程设备的起始时间：</w:t>
      </w:r>
    </w:p>
    <w:p w14:paraId="0FF6DA0A">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3.7 履约担保</w:t>
      </w:r>
    </w:p>
    <w:p w14:paraId="74EE954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承包人是否提供履约担保：</w:t>
      </w:r>
    </w:p>
    <w:p w14:paraId="2570213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承包人提供履约担保的形式、金额及期限的：</w:t>
      </w:r>
    </w:p>
    <w:p w14:paraId="727AA54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bookmarkStart w:id="190" w:name="_Toc351203636"/>
      <w:r>
        <w:rPr>
          <w:rFonts w:hint="eastAsia" w:ascii="宋体" w:hAnsi="宋体" w:eastAsia="宋体" w:cs="宋体"/>
          <w:bCs/>
          <w:sz w:val="24"/>
          <w:szCs w:val="21"/>
          <w:highlight w:val="none"/>
        </w:rPr>
        <w:t>4</w:t>
      </w:r>
      <w:bookmarkStart w:id="191" w:name="_Toc296346663"/>
      <w:bookmarkStart w:id="192" w:name="_Toc297120462"/>
      <w:bookmarkStart w:id="193" w:name="_Toc296944501"/>
      <w:bookmarkStart w:id="194" w:name="_Toc296503162"/>
      <w:bookmarkStart w:id="195" w:name="_Toc267251413"/>
      <w:bookmarkStart w:id="196" w:name="_Toc292559366"/>
      <w:bookmarkStart w:id="197" w:name="_Toc296347161"/>
      <w:bookmarkStart w:id="198" w:name="_Toc296890990"/>
      <w:bookmarkStart w:id="199" w:name="_Toc296891202"/>
      <w:bookmarkStart w:id="200" w:name="_Toc297048348"/>
      <w:bookmarkStart w:id="201" w:name="_Toc292559871"/>
      <w:r>
        <w:rPr>
          <w:rFonts w:hint="eastAsia" w:ascii="宋体" w:hAnsi="宋体" w:eastAsia="宋体" w:cs="宋体"/>
          <w:bCs/>
          <w:sz w:val="24"/>
          <w:szCs w:val="21"/>
          <w:highlight w:val="none"/>
        </w:rPr>
        <w:t>. 监</w:t>
      </w:r>
      <w:bookmarkEnd w:id="191"/>
      <w:bookmarkEnd w:id="192"/>
      <w:bookmarkEnd w:id="193"/>
      <w:bookmarkEnd w:id="194"/>
      <w:bookmarkEnd w:id="195"/>
      <w:bookmarkEnd w:id="196"/>
      <w:bookmarkEnd w:id="197"/>
      <w:bookmarkEnd w:id="198"/>
      <w:bookmarkEnd w:id="199"/>
      <w:bookmarkEnd w:id="200"/>
      <w:bookmarkEnd w:id="201"/>
      <w:r>
        <w:rPr>
          <w:rFonts w:hint="eastAsia" w:ascii="宋体" w:hAnsi="宋体" w:eastAsia="宋体" w:cs="宋体"/>
          <w:bCs/>
          <w:sz w:val="24"/>
          <w:szCs w:val="21"/>
          <w:highlight w:val="none"/>
        </w:rPr>
        <w:t>理人</w:t>
      </w:r>
      <w:bookmarkEnd w:id="190"/>
    </w:p>
    <w:p w14:paraId="0ABA256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4.1监理人的一般规定</w:t>
      </w:r>
    </w:p>
    <w:p w14:paraId="701FAD5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关于监理人的监理内容：</w:t>
      </w:r>
    </w:p>
    <w:p w14:paraId="1918876C">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关于监理人的监理权限：</w:t>
      </w:r>
    </w:p>
    <w:p w14:paraId="4748CC8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关于监理人在施工现场的办公场所、生活场所的提供和费用承担的约定：</w:t>
      </w:r>
    </w:p>
    <w:p w14:paraId="3D1F5D5B">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4.2 监理人员</w:t>
      </w:r>
    </w:p>
    <w:p w14:paraId="3068AB8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总监理工程师：</w:t>
      </w:r>
    </w:p>
    <w:p w14:paraId="21E6F13A">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姓    名：</w:t>
      </w:r>
      <w:r>
        <w:rPr>
          <w:rFonts w:hint="eastAsia" w:ascii="宋体" w:hAnsi="宋体" w:eastAsia="宋体" w:cs="宋体"/>
          <w:sz w:val="24"/>
          <w:szCs w:val="21"/>
          <w:highlight w:val="none"/>
          <w:u w:val="single"/>
        </w:rPr>
        <w:t>   </w:t>
      </w:r>
      <w:r>
        <w:rPr>
          <w:rFonts w:hint="eastAsia" w:ascii="宋体" w:hAnsi="宋体" w:eastAsia="宋体" w:cs="宋体"/>
          <w:sz w:val="24"/>
          <w:szCs w:val="21"/>
          <w:highlight w:val="none"/>
        </w:rPr>
        <w:t>；</w:t>
      </w:r>
    </w:p>
    <w:p w14:paraId="7991617C">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职    务：</w:t>
      </w:r>
      <w:r>
        <w:rPr>
          <w:rFonts w:hint="eastAsia" w:ascii="宋体" w:hAnsi="宋体" w:eastAsia="宋体" w:cs="宋体"/>
          <w:sz w:val="24"/>
          <w:szCs w:val="21"/>
          <w:highlight w:val="none"/>
          <w:u w:val="single"/>
        </w:rPr>
        <w:t>   </w:t>
      </w:r>
      <w:r>
        <w:rPr>
          <w:rFonts w:hint="eastAsia" w:ascii="宋体" w:hAnsi="宋体" w:eastAsia="宋体" w:cs="宋体"/>
          <w:sz w:val="24"/>
          <w:szCs w:val="21"/>
          <w:highlight w:val="none"/>
        </w:rPr>
        <w:t>；</w:t>
      </w:r>
    </w:p>
    <w:p w14:paraId="30A2CDA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监理工程师执业资格证书号：</w:t>
      </w:r>
      <w:r>
        <w:rPr>
          <w:rFonts w:hint="eastAsia" w:ascii="宋体" w:hAnsi="宋体" w:eastAsia="宋体" w:cs="宋体"/>
          <w:sz w:val="24"/>
          <w:szCs w:val="21"/>
          <w:highlight w:val="none"/>
          <w:u w:val="single"/>
        </w:rPr>
        <w:t> </w:t>
      </w:r>
      <w:r>
        <w:rPr>
          <w:rFonts w:hint="eastAsia" w:ascii="宋体" w:hAnsi="宋体" w:eastAsia="宋体" w:cs="宋体"/>
          <w:sz w:val="24"/>
          <w:szCs w:val="21"/>
          <w:highlight w:val="none"/>
        </w:rPr>
        <w:t>；</w:t>
      </w:r>
    </w:p>
    <w:p w14:paraId="315EE42C">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联系电话：</w:t>
      </w:r>
      <w:r>
        <w:rPr>
          <w:rFonts w:hint="eastAsia" w:ascii="宋体" w:hAnsi="宋体" w:eastAsia="宋体" w:cs="宋体"/>
          <w:sz w:val="24"/>
          <w:szCs w:val="21"/>
          <w:highlight w:val="none"/>
          <w:u w:val="single"/>
        </w:rPr>
        <w:t>   </w:t>
      </w:r>
      <w:r>
        <w:rPr>
          <w:rFonts w:hint="eastAsia" w:ascii="宋体" w:hAnsi="宋体" w:eastAsia="宋体" w:cs="宋体"/>
          <w:sz w:val="24"/>
          <w:szCs w:val="21"/>
          <w:highlight w:val="none"/>
        </w:rPr>
        <w:t>；</w:t>
      </w:r>
    </w:p>
    <w:p w14:paraId="18F8F5CB">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电子信箱：</w:t>
      </w:r>
      <w:r>
        <w:rPr>
          <w:rFonts w:hint="eastAsia" w:ascii="宋体" w:hAnsi="宋体" w:eastAsia="宋体" w:cs="宋体"/>
          <w:sz w:val="24"/>
          <w:szCs w:val="21"/>
          <w:highlight w:val="none"/>
          <w:u w:val="single"/>
        </w:rPr>
        <w:t>   </w:t>
      </w:r>
      <w:r>
        <w:rPr>
          <w:rFonts w:hint="eastAsia" w:ascii="宋体" w:hAnsi="宋体" w:eastAsia="宋体" w:cs="宋体"/>
          <w:sz w:val="24"/>
          <w:szCs w:val="21"/>
          <w:highlight w:val="none"/>
        </w:rPr>
        <w:t>；</w:t>
      </w:r>
    </w:p>
    <w:p w14:paraId="0CC57B8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通信地址：</w:t>
      </w:r>
      <w:r>
        <w:rPr>
          <w:rFonts w:hint="eastAsia" w:ascii="宋体" w:hAnsi="宋体" w:eastAsia="宋体" w:cs="宋体"/>
          <w:sz w:val="24"/>
          <w:szCs w:val="21"/>
          <w:highlight w:val="none"/>
          <w:u w:val="single"/>
        </w:rPr>
        <w:t>   </w:t>
      </w:r>
      <w:r>
        <w:rPr>
          <w:rFonts w:hint="eastAsia" w:ascii="宋体" w:hAnsi="宋体" w:eastAsia="宋体" w:cs="宋体"/>
          <w:sz w:val="24"/>
          <w:szCs w:val="21"/>
          <w:highlight w:val="none"/>
        </w:rPr>
        <w:t>；</w:t>
      </w:r>
    </w:p>
    <w:p w14:paraId="3EB3C8F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关于监理人的其他约定：</w:t>
      </w:r>
      <w:r>
        <w:rPr>
          <w:rFonts w:hint="eastAsia" w:ascii="宋体" w:hAnsi="宋体" w:eastAsia="宋体" w:cs="宋体"/>
          <w:sz w:val="24"/>
          <w:szCs w:val="21"/>
          <w:highlight w:val="none"/>
          <w:u w:val="single"/>
        </w:rPr>
        <w:t>   </w:t>
      </w:r>
      <w:r>
        <w:rPr>
          <w:rFonts w:hint="eastAsia" w:ascii="宋体" w:hAnsi="宋体" w:eastAsia="宋体" w:cs="宋体"/>
          <w:sz w:val="24"/>
          <w:szCs w:val="21"/>
          <w:highlight w:val="none"/>
        </w:rPr>
        <w:t>。</w:t>
      </w:r>
    </w:p>
    <w:p w14:paraId="328B3BEB">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4.4 商定或确定</w:t>
      </w:r>
    </w:p>
    <w:p w14:paraId="3F60812C">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bookmarkStart w:id="202" w:name="_Toc267251418"/>
      <w:r>
        <w:rPr>
          <w:rFonts w:hint="eastAsia" w:ascii="宋体" w:hAnsi="宋体" w:eastAsia="宋体" w:cs="宋体"/>
          <w:sz w:val="24"/>
          <w:szCs w:val="21"/>
          <w:highlight w:val="none"/>
        </w:rPr>
        <w:t>在发包人和承包人不能通过协商达成一致意见时，发包人授权监理人对以下事项进行确定：</w:t>
      </w:r>
    </w:p>
    <w:p w14:paraId="591CE17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w:t>
      </w:r>
    </w:p>
    <w:p w14:paraId="7922862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w:t>
      </w:r>
    </w:p>
    <w:p w14:paraId="1ED740B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lang w:eastAsia="zh-CN"/>
        </w:rPr>
      </w:pPr>
      <w:r>
        <w:rPr>
          <w:rFonts w:hint="eastAsia" w:ascii="宋体" w:hAnsi="宋体" w:eastAsia="宋体" w:cs="宋体"/>
          <w:sz w:val="24"/>
          <w:szCs w:val="21"/>
          <w:highlight w:val="none"/>
        </w:rPr>
        <w:t>（3）</w:t>
      </w:r>
      <w:r>
        <w:rPr>
          <w:rFonts w:hint="eastAsia" w:ascii="宋体" w:hAnsi="宋体" w:eastAsia="宋体" w:cs="宋体"/>
          <w:sz w:val="24"/>
          <w:szCs w:val="21"/>
          <w:highlight w:val="none"/>
          <w:lang w:eastAsia="zh-CN"/>
        </w:rPr>
        <w:t>；</w:t>
      </w:r>
    </w:p>
    <w:p w14:paraId="4E23EF4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bookmarkStart w:id="203" w:name="_Toc351203637"/>
      <w:r>
        <w:rPr>
          <w:rFonts w:hint="eastAsia" w:ascii="宋体" w:hAnsi="宋体" w:eastAsia="宋体" w:cs="宋体"/>
          <w:bCs/>
          <w:sz w:val="24"/>
          <w:szCs w:val="21"/>
          <w:highlight w:val="none"/>
        </w:rPr>
        <w:t>5</w:t>
      </w:r>
      <w:bookmarkEnd w:id="202"/>
      <w:bookmarkStart w:id="204" w:name="_Toc296347162"/>
      <w:bookmarkStart w:id="205" w:name="_Toc297048349"/>
      <w:bookmarkStart w:id="206" w:name="_Toc296944502"/>
      <w:bookmarkStart w:id="207" w:name="_Toc296503163"/>
      <w:bookmarkStart w:id="208" w:name="_Toc292559367"/>
      <w:bookmarkStart w:id="209" w:name="_Toc296891203"/>
      <w:bookmarkStart w:id="210" w:name="_Toc296346664"/>
      <w:bookmarkStart w:id="211" w:name="_Toc296890991"/>
      <w:bookmarkStart w:id="212" w:name="_Toc297120463"/>
      <w:bookmarkStart w:id="213" w:name="_Toc292559872"/>
      <w:r>
        <w:rPr>
          <w:rFonts w:hint="eastAsia" w:ascii="宋体" w:hAnsi="宋体" w:eastAsia="宋体" w:cs="宋体"/>
          <w:bCs/>
          <w:sz w:val="24"/>
          <w:szCs w:val="21"/>
          <w:highlight w:val="none"/>
        </w:rPr>
        <w:t>. 工程质量</w:t>
      </w:r>
      <w:bookmarkEnd w:id="203"/>
    </w:p>
    <w:p w14:paraId="625DAC0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5.1 质量要求</w:t>
      </w:r>
    </w:p>
    <w:p w14:paraId="6BC4403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5</w:t>
      </w:r>
      <w:bookmarkStart w:id="214" w:name="_Toc318581164"/>
      <w:bookmarkStart w:id="215" w:name="_Toc297123496"/>
      <w:bookmarkStart w:id="216" w:name="_Toc297216155"/>
      <w:bookmarkStart w:id="217" w:name="_Toc303539106"/>
      <w:bookmarkStart w:id="218" w:name="_Toc304295527"/>
      <w:bookmarkStart w:id="219" w:name="_Toc312677997"/>
      <w:bookmarkStart w:id="220" w:name="_Toc300934949"/>
      <w:r>
        <w:rPr>
          <w:rFonts w:hint="eastAsia" w:ascii="宋体" w:hAnsi="宋体" w:eastAsia="宋体" w:cs="宋体"/>
          <w:sz w:val="24"/>
          <w:szCs w:val="21"/>
          <w:highlight w:val="none"/>
        </w:rPr>
        <w:t>.1.1 特殊质量标准和要求：</w:t>
      </w:r>
    </w:p>
    <w:p w14:paraId="7EC9F4F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关于工程奖项的约定：</w:t>
      </w:r>
    </w:p>
    <w:p w14:paraId="338C9B0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5.3 隐蔽工程检查</w:t>
      </w:r>
    </w:p>
    <w:p w14:paraId="75473B2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5.3.2承包人提前通知监理人隐蔽工程检查的期限的约定：</w:t>
      </w:r>
    </w:p>
    <w:p w14:paraId="2E89777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监理人不能按时进行检查时，应提前小时提交书面延期要求。</w:t>
      </w:r>
    </w:p>
    <w:p w14:paraId="6264D0E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关于延期最长不得超过：小时。</w:t>
      </w:r>
    </w:p>
    <w:p w14:paraId="12A37D9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bookmarkStart w:id="221" w:name="_Toc351203638"/>
      <w:r>
        <w:rPr>
          <w:rFonts w:hint="eastAsia" w:ascii="宋体" w:hAnsi="宋体" w:eastAsia="宋体" w:cs="宋体"/>
          <w:bCs/>
          <w:sz w:val="24"/>
          <w:szCs w:val="21"/>
          <w:highlight w:val="none"/>
        </w:rPr>
        <w:t>6. 安全文明施工与环境保护</w:t>
      </w:r>
      <w:bookmarkEnd w:id="221"/>
    </w:p>
    <w:p w14:paraId="15D9779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6.1安全文明施工</w:t>
      </w:r>
    </w:p>
    <w:p w14:paraId="7A33D67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6.1.1 项目安全生产的达标目标及相应事项的约定：</w:t>
      </w:r>
    </w:p>
    <w:p w14:paraId="341A380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6.1.4 关于治安保卫的特别约定：</w:t>
      </w:r>
    </w:p>
    <w:p w14:paraId="6CBC0A5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lang w:eastAsia="zh-CN"/>
        </w:rPr>
      </w:pPr>
      <w:r>
        <w:rPr>
          <w:rFonts w:hint="eastAsia" w:ascii="宋体" w:hAnsi="宋体" w:eastAsia="宋体" w:cs="宋体"/>
          <w:sz w:val="24"/>
          <w:szCs w:val="21"/>
          <w:highlight w:val="none"/>
        </w:rPr>
        <w:t>关于编制施工场地治安管理计划的约定</w:t>
      </w:r>
      <w:r>
        <w:rPr>
          <w:rFonts w:hint="eastAsia" w:ascii="宋体" w:hAnsi="宋体" w:eastAsia="宋体" w:cs="宋体"/>
          <w:sz w:val="24"/>
          <w:szCs w:val="21"/>
          <w:highlight w:val="none"/>
          <w:lang w:eastAsia="zh-CN"/>
        </w:rPr>
        <w:t>：</w:t>
      </w:r>
    </w:p>
    <w:p w14:paraId="20ADD8E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6.1.5 文明施工</w:t>
      </w:r>
    </w:p>
    <w:p w14:paraId="6569214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合同当事人对文明施工的要求：</w:t>
      </w:r>
    </w:p>
    <w:p w14:paraId="2E8A82F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6.1.6 关于安全文明施工费支付比例和支付期限的约定：</w:t>
      </w:r>
    </w:p>
    <w:bookmarkEnd w:id="214"/>
    <w:bookmarkEnd w:id="215"/>
    <w:bookmarkEnd w:id="216"/>
    <w:bookmarkEnd w:id="217"/>
    <w:bookmarkEnd w:id="218"/>
    <w:bookmarkEnd w:id="219"/>
    <w:bookmarkEnd w:id="220"/>
    <w:p w14:paraId="538174C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bookmarkStart w:id="222" w:name="_Toc351203639"/>
      <w:r>
        <w:rPr>
          <w:rFonts w:hint="eastAsia" w:ascii="宋体" w:hAnsi="宋体" w:eastAsia="宋体" w:cs="宋体"/>
          <w:bCs/>
          <w:sz w:val="24"/>
          <w:szCs w:val="21"/>
          <w:highlight w:val="none"/>
        </w:rPr>
        <w:t>7. 工期和进度</w:t>
      </w:r>
      <w:bookmarkEnd w:id="222"/>
    </w:p>
    <w:p w14:paraId="28AAEB6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7.1 施工组织设计</w:t>
      </w:r>
    </w:p>
    <w:p w14:paraId="32511D9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7.1.1 合同当事人约定的施工组织设计应包括的其他内容：</w:t>
      </w:r>
    </w:p>
    <w:p w14:paraId="6584A19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7.1.2 施工组织设计的提交和修改</w:t>
      </w:r>
    </w:p>
    <w:p w14:paraId="2A11E45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承包人提交详细施工组织设计的期限的约定：</w:t>
      </w:r>
    </w:p>
    <w:p w14:paraId="225E941B">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发包人和监理人在收到详细的施工组织设计后确认或提出修改意见的期限：</w:t>
      </w:r>
    </w:p>
    <w:p w14:paraId="4A50D9A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7</w:t>
      </w:r>
      <w:bookmarkStart w:id="223" w:name="_Toc312677479"/>
      <w:bookmarkStart w:id="224" w:name="_Toc303539123"/>
      <w:bookmarkStart w:id="225" w:name="_Toc312678005"/>
      <w:bookmarkStart w:id="226" w:name="_Toc304295541"/>
      <w:bookmarkStart w:id="227" w:name="_Toc297216173"/>
      <w:bookmarkStart w:id="228" w:name="_Toc300934966"/>
      <w:bookmarkStart w:id="229" w:name="_Toc297123514"/>
      <w:r>
        <w:rPr>
          <w:rFonts w:hint="eastAsia" w:ascii="宋体" w:hAnsi="宋体" w:eastAsia="宋体" w:cs="宋体"/>
          <w:sz w:val="24"/>
          <w:szCs w:val="21"/>
          <w:highlight w:val="none"/>
        </w:rPr>
        <w:t>.2 施工进度计划</w:t>
      </w:r>
    </w:p>
    <w:p w14:paraId="33DB17C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7.2.2 施工进度计划的修订</w:t>
      </w:r>
    </w:p>
    <w:p w14:paraId="0DE86D7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发包人和监理人在收到修订的施工进度计划后确认或提出修改意见的期限：</w:t>
      </w:r>
    </w:p>
    <w:p w14:paraId="2580EB4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7.3 开工</w:t>
      </w:r>
    </w:p>
    <w:p w14:paraId="4AEAC1F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7.3.1 开工准备</w:t>
      </w:r>
    </w:p>
    <w:p w14:paraId="0EC7DA4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关于承包人提交工程开工报审表的期限：。</w:t>
      </w:r>
    </w:p>
    <w:p w14:paraId="237106AA">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关于发包人应完成的其他开工准备工作及期限：</w:t>
      </w:r>
    </w:p>
    <w:p w14:paraId="1DBDE4B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关于承包人应完成的其他开工准备工作及期限：</w:t>
      </w:r>
    </w:p>
    <w:p w14:paraId="7E81C1FA">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7.3.2开工通知</w:t>
      </w:r>
    </w:p>
    <w:p w14:paraId="74C7CE7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因发包人原因造成监理人未能在计划开工日期之日起天内发出开工通知的，承包人有权提出价格调整要求，或者解除合同。</w:t>
      </w:r>
    </w:p>
    <w:bookmarkEnd w:id="223"/>
    <w:bookmarkEnd w:id="224"/>
    <w:bookmarkEnd w:id="225"/>
    <w:bookmarkEnd w:id="226"/>
    <w:bookmarkEnd w:id="227"/>
    <w:bookmarkEnd w:id="228"/>
    <w:bookmarkEnd w:id="229"/>
    <w:p w14:paraId="7C24574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7.4 测量放线</w:t>
      </w:r>
    </w:p>
    <w:p w14:paraId="5B0B000B">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7.4.1发包人通过监理人向承包人提供测量基准点、基准线和水准点及其书面资料的期限：</w:t>
      </w:r>
    </w:p>
    <w:p w14:paraId="6EDF206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7</w:t>
      </w:r>
      <w:bookmarkStart w:id="230" w:name="_Toc312677484"/>
      <w:bookmarkStart w:id="231" w:name="_Toc297123516"/>
      <w:bookmarkStart w:id="232" w:name="_Toc300934968"/>
      <w:bookmarkStart w:id="233" w:name="_Toc312678010"/>
      <w:bookmarkStart w:id="234" w:name="_Toc297216175"/>
      <w:bookmarkStart w:id="235" w:name="_Toc304295546"/>
      <w:bookmarkStart w:id="236" w:name="_Toc303539125"/>
      <w:r>
        <w:rPr>
          <w:rFonts w:hint="eastAsia" w:ascii="宋体" w:hAnsi="宋体" w:eastAsia="宋体" w:cs="宋体"/>
          <w:sz w:val="24"/>
          <w:szCs w:val="21"/>
          <w:highlight w:val="none"/>
        </w:rPr>
        <w:t>.5 工期延误</w:t>
      </w:r>
    </w:p>
    <w:bookmarkEnd w:id="230"/>
    <w:bookmarkEnd w:id="231"/>
    <w:bookmarkEnd w:id="232"/>
    <w:bookmarkEnd w:id="233"/>
    <w:bookmarkEnd w:id="234"/>
    <w:bookmarkEnd w:id="235"/>
    <w:bookmarkEnd w:id="236"/>
    <w:p w14:paraId="236DE9A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7.5.1 因发包人原因导致工期延误</w:t>
      </w:r>
    </w:p>
    <w:p w14:paraId="1623349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（7）因发包人原因导致工期延误的其他情形：</w:t>
      </w:r>
    </w:p>
    <w:p w14:paraId="6219AE3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7</w:t>
      </w:r>
      <w:bookmarkStart w:id="237" w:name="_Toc318581169"/>
      <w:bookmarkStart w:id="238" w:name="_Toc312678012"/>
      <w:bookmarkStart w:id="239" w:name="_Toc312677486"/>
      <w:bookmarkStart w:id="240" w:name="_Toc300934970"/>
      <w:bookmarkStart w:id="241" w:name="_Toc297123518"/>
      <w:bookmarkStart w:id="242" w:name="_Toc303539127"/>
      <w:bookmarkStart w:id="243" w:name="_Toc304295548"/>
      <w:bookmarkStart w:id="244" w:name="_Toc297216177"/>
      <w:r>
        <w:rPr>
          <w:rFonts w:hint="eastAsia" w:ascii="宋体" w:hAnsi="宋体" w:eastAsia="宋体" w:cs="宋体"/>
          <w:sz w:val="24"/>
          <w:szCs w:val="21"/>
          <w:highlight w:val="none"/>
        </w:rPr>
        <w:t>.5.2 因承包人原因导致工期延误</w:t>
      </w:r>
    </w:p>
    <w:bookmarkEnd w:id="237"/>
    <w:bookmarkEnd w:id="238"/>
    <w:bookmarkEnd w:id="239"/>
    <w:p w14:paraId="33219D3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因</w:t>
      </w:r>
      <w:bookmarkStart w:id="245" w:name="_Toc312678013"/>
      <w:bookmarkStart w:id="246" w:name="_Toc312677487"/>
      <w:bookmarkStart w:id="247" w:name="_Toc318581170"/>
      <w:r>
        <w:rPr>
          <w:rFonts w:hint="eastAsia" w:ascii="宋体" w:hAnsi="宋体" w:eastAsia="宋体" w:cs="宋体"/>
          <w:sz w:val="24"/>
          <w:szCs w:val="21"/>
          <w:highlight w:val="none"/>
        </w:rPr>
        <w:t>承包人原因造成工期延误，逾期竣工违约金的计算方法为：</w:t>
      </w:r>
    </w:p>
    <w:bookmarkEnd w:id="240"/>
    <w:bookmarkEnd w:id="241"/>
    <w:bookmarkEnd w:id="242"/>
    <w:bookmarkEnd w:id="243"/>
    <w:bookmarkEnd w:id="244"/>
    <w:bookmarkEnd w:id="245"/>
    <w:bookmarkEnd w:id="246"/>
    <w:bookmarkEnd w:id="247"/>
    <w:p w14:paraId="7BE21E7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因承包人原因造成工期延误，逾</w:t>
      </w:r>
      <w:bookmarkStart w:id="248" w:name="_Toc318581171"/>
      <w:bookmarkStart w:id="249" w:name="_Toc312678014"/>
      <w:r>
        <w:rPr>
          <w:rFonts w:hint="eastAsia" w:ascii="宋体" w:hAnsi="宋体" w:eastAsia="宋体" w:cs="宋体"/>
          <w:sz w:val="24"/>
          <w:szCs w:val="21"/>
          <w:highlight w:val="none"/>
        </w:rPr>
        <w:t>期竣工违约金的上限：</w:t>
      </w:r>
    </w:p>
    <w:bookmarkEnd w:id="248"/>
    <w:bookmarkEnd w:id="249"/>
    <w:p w14:paraId="37EC8C2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7</w:t>
      </w:r>
      <w:bookmarkStart w:id="250" w:name="_Toc297216178"/>
      <w:bookmarkStart w:id="251" w:name="_Toc297123519"/>
      <w:bookmarkStart w:id="252" w:name="_Toc304295549"/>
      <w:bookmarkStart w:id="253" w:name="_Toc303539128"/>
      <w:bookmarkStart w:id="254" w:name="_Toc312678015"/>
      <w:bookmarkStart w:id="255" w:name="_Toc300934971"/>
      <w:r>
        <w:rPr>
          <w:rFonts w:hint="eastAsia" w:ascii="宋体" w:hAnsi="宋体" w:eastAsia="宋体" w:cs="宋体"/>
          <w:sz w:val="24"/>
          <w:szCs w:val="21"/>
          <w:highlight w:val="none"/>
        </w:rPr>
        <w:t>.6 不</w:t>
      </w:r>
      <w:bookmarkEnd w:id="250"/>
      <w:bookmarkEnd w:id="251"/>
      <w:bookmarkEnd w:id="252"/>
      <w:bookmarkEnd w:id="253"/>
      <w:bookmarkEnd w:id="254"/>
      <w:bookmarkEnd w:id="255"/>
      <w:r>
        <w:rPr>
          <w:rFonts w:hint="eastAsia" w:ascii="宋体" w:hAnsi="宋体" w:eastAsia="宋体" w:cs="宋体"/>
          <w:sz w:val="24"/>
          <w:szCs w:val="21"/>
          <w:highlight w:val="none"/>
        </w:rPr>
        <w:t>利物质条件</w:t>
      </w:r>
    </w:p>
    <w:p w14:paraId="0C6D443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bookmarkStart w:id="256" w:name="_Toc318581172"/>
      <w:bookmarkStart w:id="257" w:name="_Toc297216179"/>
      <w:bookmarkStart w:id="258" w:name="_Toc303539129"/>
      <w:bookmarkStart w:id="259" w:name="_Toc304295550"/>
      <w:bookmarkStart w:id="260" w:name="_Toc312678016"/>
      <w:bookmarkStart w:id="261" w:name="_Toc297123520"/>
      <w:bookmarkStart w:id="262" w:name="_Toc300934972"/>
      <w:r>
        <w:rPr>
          <w:rFonts w:hint="eastAsia" w:ascii="宋体" w:hAnsi="宋体" w:eastAsia="宋体" w:cs="宋体"/>
          <w:sz w:val="24"/>
          <w:szCs w:val="21"/>
          <w:highlight w:val="none"/>
        </w:rPr>
        <w:t>不利物质条件的其他情形和有关约定：</w:t>
      </w:r>
    </w:p>
    <w:bookmarkEnd w:id="256"/>
    <w:bookmarkEnd w:id="257"/>
    <w:bookmarkEnd w:id="258"/>
    <w:bookmarkEnd w:id="259"/>
    <w:bookmarkEnd w:id="260"/>
    <w:bookmarkEnd w:id="261"/>
    <w:bookmarkEnd w:id="262"/>
    <w:p w14:paraId="726BAD7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7</w:t>
      </w:r>
      <w:bookmarkStart w:id="263" w:name="_Toc312678017"/>
      <w:bookmarkStart w:id="264" w:name="_Toc297123521"/>
      <w:bookmarkStart w:id="265" w:name="_Toc300934973"/>
      <w:bookmarkStart w:id="266" w:name="_Toc297216180"/>
      <w:bookmarkStart w:id="267" w:name="_Toc303539130"/>
      <w:bookmarkStart w:id="268" w:name="_Toc304295551"/>
      <w:r>
        <w:rPr>
          <w:rFonts w:hint="eastAsia" w:ascii="宋体" w:hAnsi="宋体" w:eastAsia="宋体" w:cs="宋体"/>
          <w:sz w:val="24"/>
          <w:szCs w:val="21"/>
          <w:highlight w:val="none"/>
        </w:rPr>
        <w:t>.7异常恶劣的气候条件</w:t>
      </w:r>
    </w:p>
    <w:bookmarkEnd w:id="263"/>
    <w:bookmarkEnd w:id="264"/>
    <w:bookmarkEnd w:id="265"/>
    <w:bookmarkEnd w:id="266"/>
    <w:bookmarkEnd w:id="267"/>
    <w:bookmarkEnd w:id="268"/>
    <w:p w14:paraId="7AFD92F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发包人和承包人同意以下情形视为异常恶劣的气候条件：</w:t>
      </w:r>
    </w:p>
    <w:p w14:paraId="42D415AC">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w:t>
      </w:r>
    </w:p>
    <w:p w14:paraId="43963C7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w:t>
      </w:r>
    </w:p>
    <w:p w14:paraId="1687683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w:t>
      </w:r>
    </w:p>
    <w:p w14:paraId="3D9BBB2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7.9 提前竣工的奖励</w:t>
      </w:r>
    </w:p>
    <w:p w14:paraId="373A3FE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7.9.2提前竣工的奖励：</w:t>
      </w:r>
      <w:bookmarkStart w:id="269" w:name="_Toc351203640"/>
    </w:p>
    <w:p w14:paraId="36541C5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r>
        <w:rPr>
          <w:rFonts w:hint="eastAsia" w:ascii="宋体" w:hAnsi="宋体" w:eastAsia="宋体" w:cs="宋体"/>
          <w:bCs/>
          <w:sz w:val="24"/>
          <w:szCs w:val="21"/>
          <w:highlight w:val="none"/>
        </w:rPr>
        <w:t>8. 材料与设备</w:t>
      </w:r>
      <w:bookmarkEnd w:id="269"/>
    </w:p>
    <w:bookmarkEnd w:id="204"/>
    <w:bookmarkEnd w:id="205"/>
    <w:bookmarkEnd w:id="206"/>
    <w:bookmarkEnd w:id="207"/>
    <w:bookmarkEnd w:id="208"/>
    <w:bookmarkEnd w:id="209"/>
    <w:bookmarkEnd w:id="210"/>
    <w:bookmarkEnd w:id="211"/>
    <w:bookmarkEnd w:id="212"/>
    <w:bookmarkEnd w:id="213"/>
    <w:p w14:paraId="3B5668E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8</w:t>
      </w:r>
      <w:bookmarkStart w:id="270" w:name="_Toc297123527"/>
      <w:bookmarkStart w:id="271" w:name="_Toc296944506"/>
      <w:bookmarkStart w:id="272" w:name="_Toc296503167"/>
      <w:bookmarkStart w:id="273" w:name="_Toc304295556"/>
      <w:bookmarkStart w:id="274" w:name="_Toc296346668"/>
      <w:bookmarkStart w:id="275" w:name="_Toc296347166"/>
      <w:bookmarkStart w:id="276" w:name="_Toc300934979"/>
      <w:bookmarkStart w:id="277" w:name="_Toc312678019"/>
      <w:bookmarkStart w:id="278" w:name="_Toc292559877"/>
      <w:bookmarkStart w:id="279" w:name="_Toc297048353"/>
      <w:bookmarkStart w:id="280" w:name="_Toc296891207"/>
      <w:bookmarkStart w:id="281" w:name="_Toc297120467"/>
      <w:bookmarkStart w:id="282" w:name="_Toc280868654"/>
      <w:bookmarkStart w:id="283" w:name="_Toc292559372"/>
      <w:bookmarkStart w:id="284" w:name="_Toc312677493"/>
      <w:bookmarkStart w:id="285" w:name="_Toc296890995"/>
      <w:bookmarkStart w:id="286" w:name="_Toc303539136"/>
      <w:bookmarkStart w:id="287" w:name="_Toc297216186"/>
      <w:bookmarkStart w:id="288" w:name="_Toc280868656"/>
      <w:bookmarkStart w:id="289" w:name="_Toc280868655"/>
      <w:bookmarkStart w:id="290" w:name="_Toc267251424"/>
      <w:r>
        <w:rPr>
          <w:rFonts w:hint="eastAsia" w:ascii="宋体" w:hAnsi="宋体" w:eastAsia="宋体" w:cs="宋体"/>
          <w:sz w:val="24"/>
          <w:szCs w:val="21"/>
          <w:highlight w:val="none"/>
        </w:rPr>
        <w:t>.4材料与工程设备的保管与使用</w:t>
      </w:r>
    </w:p>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14:paraId="75DA5EF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8</w:t>
      </w:r>
      <w:bookmarkStart w:id="291" w:name="_Toc292559373"/>
      <w:bookmarkStart w:id="292" w:name="_Toc292559878"/>
      <w:bookmarkStart w:id="293" w:name="_Toc303539137"/>
      <w:bookmarkStart w:id="294" w:name="_Toc297123528"/>
      <w:bookmarkStart w:id="295" w:name="_Toc318581173"/>
      <w:bookmarkStart w:id="296" w:name="_Toc304295557"/>
      <w:bookmarkStart w:id="297" w:name="_Toc297048354"/>
      <w:bookmarkStart w:id="298" w:name="_Toc300934980"/>
      <w:bookmarkStart w:id="299" w:name="_Toc297216187"/>
      <w:bookmarkStart w:id="300" w:name="_Toc296890996"/>
      <w:bookmarkStart w:id="301" w:name="_Toc296347167"/>
      <w:bookmarkStart w:id="302" w:name="_Toc312678020"/>
      <w:bookmarkStart w:id="303" w:name="_Toc296503168"/>
      <w:bookmarkStart w:id="304" w:name="_Toc296346669"/>
      <w:bookmarkStart w:id="305" w:name="_Toc296944507"/>
      <w:bookmarkStart w:id="306" w:name="_Toc296891208"/>
      <w:bookmarkStart w:id="307" w:name="_Toc297120468"/>
      <w:bookmarkStart w:id="308" w:name="_Toc312677494"/>
      <w:r>
        <w:rPr>
          <w:rFonts w:hint="eastAsia" w:ascii="宋体" w:hAnsi="宋体" w:eastAsia="宋体" w:cs="宋体"/>
          <w:sz w:val="24"/>
          <w:szCs w:val="21"/>
          <w:highlight w:val="none"/>
        </w:rPr>
        <w:t>.4.1发包人供应的材料设备的保管费用的承担：</w:t>
      </w:r>
      <w:bookmarkEnd w:id="291"/>
      <w:bookmarkEnd w:id="292"/>
    </w:p>
    <w:p w14:paraId="5EF45C5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8.6 样品</w:t>
      </w:r>
    </w:p>
    <w:p w14:paraId="036A429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8.6.1</w:t>
      </w:r>
      <w:r>
        <w:rPr>
          <w:rFonts w:hint="eastAsia" w:ascii="宋体" w:hAnsi="宋体" w:eastAsia="宋体" w:cs="宋体"/>
          <w:sz w:val="24"/>
          <w:szCs w:val="21"/>
          <w:highlight w:val="none"/>
        </w:rPr>
        <w:tab/>
      </w:r>
      <w:r>
        <w:rPr>
          <w:rFonts w:hint="eastAsia" w:ascii="宋体" w:hAnsi="宋体" w:eastAsia="宋体" w:cs="宋体"/>
          <w:sz w:val="24"/>
          <w:szCs w:val="21"/>
          <w:highlight w:val="none"/>
        </w:rPr>
        <w:t>样品的报送与封存</w:t>
      </w:r>
    </w:p>
    <w:p w14:paraId="55712FC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需要承包人报送样品的材料或工程设备，样品的种类、名称、规格、数量要求：</w:t>
      </w:r>
    </w:p>
    <w:p w14:paraId="31D7C97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8.8 施工设备和临时设施</w:t>
      </w:r>
    </w:p>
    <w:p w14:paraId="2AE5DB8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8.8.1 承包人提供的施工设备和临时设施</w:t>
      </w:r>
    </w:p>
    <w:p w14:paraId="0CFC523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关于修建临时设施费用承担的约定：</w:t>
      </w:r>
    </w:p>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14:paraId="320D808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bookmarkStart w:id="309" w:name="_Toc351203641"/>
      <w:r>
        <w:rPr>
          <w:rFonts w:hint="eastAsia" w:ascii="宋体" w:hAnsi="宋体" w:eastAsia="宋体" w:cs="宋体"/>
          <w:bCs/>
          <w:sz w:val="24"/>
          <w:szCs w:val="21"/>
          <w:highlight w:val="none"/>
        </w:rPr>
        <w:t>9</w:t>
      </w:r>
      <w:bookmarkEnd w:id="288"/>
      <w:bookmarkEnd w:id="289"/>
      <w:bookmarkEnd w:id="290"/>
      <w:bookmarkStart w:id="310" w:name="_Toc300934982"/>
      <w:bookmarkStart w:id="311" w:name="_Toc312678021"/>
      <w:bookmarkStart w:id="312" w:name="_Toc303539139"/>
      <w:bookmarkStart w:id="313" w:name="_Toc312677495"/>
      <w:bookmarkStart w:id="314" w:name="_Toc297216192"/>
      <w:bookmarkStart w:id="315" w:name="_Toc297123533"/>
      <w:bookmarkStart w:id="316" w:name="_Toc304295559"/>
      <w:bookmarkStart w:id="317" w:name="_Toc297048359"/>
      <w:bookmarkStart w:id="318" w:name="_Toc296346674"/>
      <w:bookmarkStart w:id="319" w:name="_Toc292559883"/>
      <w:bookmarkStart w:id="320" w:name="_Toc296891213"/>
      <w:bookmarkStart w:id="321" w:name="_Toc267251428"/>
      <w:bookmarkStart w:id="322" w:name="_Toc296503173"/>
      <w:bookmarkStart w:id="323" w:name="_Toc292559378"/>
      <w:bookmarkStart w:id="324" w:name="_Toc296944512"/>
      <w:bookmarkStart w:id="325" w:name="_Toc297120473"/>
      <w:bookmarkStart w:id="326" w:name="_Toc267251427"/>
      <w:bookmarkStart w:id="327" w:name="_Toc296347172"/>
      <w:bookmarkStart w:id="328" w:name="_Toc296891001"/>
      <w:r>
        <w:rPr>
          <w:rFonts w:hint="eastAsia" w:ascii="宋体" w:hAnsi="宋体" w:eastAsia="宋体" w:cs="宋体"/>
          <w:bCs/>
          <w:sz w:val="24"/>
          <w:szCs w:val="21"/>
          <w:highlight w:val="none"/>
        </w:rPr>
        <w:t>. 试验与检验</w:t>
      </w:r>
      <w:bookmarkEnd w:id="309"/>
    </w:p>
    <w:bookmarkEnd w:id="310"/>
    <w:bookmarkEnd w:id="311"/>
    <w:bookmarkEnd w:id="312"/>
    <w:bookmarkEnd w:id="313"/>
    <w:bookmarkEnd w:id="314"/>
    <w:bookmarkEnd w:id="315"/>
    <w:bookmarkEnd w:id="316"/>
    <w:p w14:paraId="003372A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9</w:t>
      </w:r>
      <w:bookmarkStart w:id="329" w:name="_Toc303539140"/>
      <w:bookmarkStart w:id="330" w:name="_Toc312677496"/>
      <w:bookmarkStart w:id="331" w:name="_Toc300934983"/>
      <w:bookmarkStart w:id="332" w:name="_Toc312678022"/>
      <w:bookmarkStart w:id="333" w:name="_Toc297123534"/>
      <w:bookmarkStart w:id="334" w:name="_Toc304295560"/>
      <w:bookmarkStart w:id="335" w:name="_Toc297216193"/>
      <w:r>
        <w:rPr>
          <w:rFonts w:hint="eastAsia" w:ascii="宋体" w:hAnsi="宋体" w:eastAsia="宋体" w:cs="宋体"/>
          <w:sz w:val="24"/>
          <w:szCs w:val="21"/>
          <w:highlight w:val="none"/>
        </w:rPr>
        <w:t>.1试验设备与试验人员</w:t>
      </w:r>
    </w:p>
    <w:bookmarkEnd w:id="329"/>
    <w:bookmarkEnd w:id="330"/>
    <w:bookmarkEnd w:id="331"/>
    <w:bookmarkEnd w:id="332"/>
    <w:bookmarkEnd w:id="333"/>
    <w:bookmarkEnd w:id="334"/>
    <w:bookmarkEnd w:id="335"/>
    <w:p w14:paraId="47115F4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9</w:t>
      </w:r>
      <w:bookmarkStart w:id="336" w:name="_Toc312678023"/>
      <w:bookmarkStart w:id="337" w:name="_Toc303539141"/>
      <w:bookmarkStart w:id="338" w:name="_Toc297216194"/>
      <w:bookmarkStart w:id="339" w:name="_Toc300934984"/>
      <w:bookmarkStart w:id="340" w:name="_Toc312677497"/>
      <w:bookmarkStart w:id="341" w:name="_Toc304295561"/>
      <w:bookmarkStart w:id="342" w:name="_Toc297123535"/>
      <w:bookmarkStart w:id="343" w:name="_Toc318581174"/>
      <w:r>
        <w:rPr>
          <w:rFonts w:hint="eastAsia" w:ascii="宋体" w:hAnsi="宋体" w:eastAsia="宋体" w:cs="宋体"/>
          <w:sz w:val="24"/>
          <w:szCs w:val="21"/>
          <w:highlight w:val="none"/>
        </w:rPr>
        <w:t>.1.2 试验设备</w:t>
      </w:r>
    </w:p>
    <w:p w14:paraId="5277CDE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施工现场需要配置的试验场所：</w:t>
      </w:r>
      <w:bookmarkEnd w:id="336"/>
      <w:bookmarkEnd w:id="337"/>
      <w:bookmarkEnd w:id="338"/>
      <w:bookmarkEnd w:id="339"/>
      <w:bookmarkEnd w:id="340"/>
      <w:bookmarkEnd w:id="341"/>
      <w:bookmarkEnd w:id="342"/>
      <w:bookmarkStart w:id="344" w:name="_Toc312677498"/>
      <w:bookmarkStart w:id="345" w:name="_Toc304295562"/>
      <w:bookmarkStart w:id="346" w:name="_Toc303539142"/>
      <w:bookmarkStart w:id="347" w:name="_Toc312678024"/>
      <w:bookmarkStart w:id="348" w:name="_Toc297123536"/>
      <w:bookmarkStart w:id="349" w:name="_Toc297216195"/>
      <w:bookmarkStart w:id="350" w:name="_Toc300934985"/>
    </w:p>
    <w:p w14:paraId="7032557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施工现场需要配备的试验设备：</w:t>
      </w:r>
    </w:p>
    <w:p w14:paraId="02882C8C">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施工现场需要具备的其他试验条件：</w:t>
      </w:r>
    </w:p>
    <w:p w14:paraId="428F743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9.4 现场工艺试验</w:t>
      </w:r>
    </w:p>
    <w:p w14:paraId="3F94AF5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现场工艺试验的有关约定：</w:t>
      </w:r>
    </w:p>
    <w:bookmarkEnd w:id="343"/>
    <w:bookmarkEnd w:id="344"/>
    <w:bookmarkEnd w:id="345"/>
    <w:bookmarkEnd w:id="346"/>
    <w:bookmarkEnd w:id="347"/>
    <w:bookmarkEnd w:id="348"/>
    <w:bookmarkEnd w:id="349"/>
    <w:bookmarkEnd w:id="350"/>
    <w:p w14:paraId="2566873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bookmarkStart w:id="351" w:name="_Toc351203642"/>
      <w:r>
        <w:rPr>
          <w:rFonts w:hint="eastAsia" w:ascii="宋体" w:hAnsi="宋体" w:eastAsia="宋体" w:cs="宋体"/>
          <w:bCs/>
          <w:sz w:val="24"/>
          <w:szCs w:val="21"/>
          <w:highlight w:val="none"/>
        </w:rPr>
        <w:t>1</w:t>
      </w:r>
      <w:bookmarkEnd w:id="317"/>
      <w:bookmarkEnd w:id="318"/>
      <w:bookmarkEnd w:id="319"/>
      <w:bookmarkEnd w:id="320"/>
      <w:bookmarkEnd w:id="321"/>
      <w:bookmarkEnd w:id="322"/>
      <w:bookmarkEnd w:id="323"/>
      <w:bookmarkEnd w:id="324"/>
      <w:bookmarkEnd w:id="325"/>
      <w:bookmarkEnd w:id="326"/>
      <w:bookmarkEnd w:id="327"/>
      <w:bookmarkEnd w:id="328"/>
      <w:bookmarkStart w:id="352" w:name="_Toc296347192"/>
      <w:bookmarkStart w:id="353" w:name="_Toc297216199"/>
      <w:bookmarkStart w:id="354" w:name="_Toc296346694"/>
      <w:bookmarkStart w:id="355" w:name="_Toc297123540"/>
      <w:bookmarkStart w:id="356" w:name="_Toc292559398"/>
      <w:bookmarkStart w:id="357" w:name="_Toc296944532"/>
      <w:bookmarkStart w:id="358" w:name="_Toc292559903"/>
      <w:bookmarkStart w:id="359" w:name="_Toc296891233"/>
      <w:bookmarkStart w:id="360" w:name="_Toc297048379"/>
      <w:bookmarkStart w:id="361" w:name="_Toc296503193"/>
      <w:bookmarkStart w:id="362" w:name="_Toc296891021"/>
      <w:bookmarkStart w:id="363" w:name="_Toc303539146"/>
      <w:bookmarkStart w:id="364" w:name="_Toc300934989"/>
      <w:bookmarkStart w:id="365" w:name="_Toc297120493"/>
      <w:bookmarkStart w:id="366" w:name="_Toc304295566"/>
      <w:bookmarkStart w:id="367" w:name="_Toc312677499"/>
      <w:bookmarkStart w:id="368" w:name="_Toc312678025"/>
      <w:bookmarkStart w:id="369" w:name="_Toc267251440"/>
      <w:bookmarkStart w:id="370" w:name="_Toc267251437"/>
      <w:bookmarkStart w:id="371" w:name="_Toc267251433"/>
      <w:bookmarkStart w:id="372" w:name="_Toc267251435"/>
      <w:bookmarkStart w:id="373" w:name="_Toc267251439"/>
      <w:bookmarkStart w:id="374" w:name="_Toc267251441"/>
      <w:bookmarkStart w:id="375" w:name="_Toc267251442"/>
      <w:r>
        <w:rPr>
          <w:rFonts w:hint="eastAsia" w:ascii="宋体" w:hAnsi="宋体" w:eastAsia="宋体" w:cs="宋体"/>
          <w:bCs/>
          <w:sz w:val="24"/>
          <w:szCs w:val="21"/>
          <w:highlight w:val="none"/>
        </w:rPr>
        <w:t>0. 变更</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bookmarkEnd w:id="367"/>
    <w:bookmarkEnd w:id="368"/>
    <w:p w14:paraId="1BAFE2A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w:t>
      </w:r>
      <w:bookmarkStart w:id="376" w:name="_Toc297048380"/>
      <w:bookmarkStart w:id="377" w:name="_Toc312677500"/>
      <w:bookmarkStart w:id="378" w:name="_Toc312678026"/>
      <w:bookmarkStart w:id="379" w:name="_Toc303539147"/>
      <w:bookmarkStart w:id="380" w:name="_Toc300934990"/>
      <w:bookmarkStart w:id="381" w:name="_Toc296503194"/>
      <w:bookmarkStart w:id="382" w:name="_Toc296346695"/>
      <w:bookmarkStart w:id="383" w:name="_Toc292559399"/>
      <w:bookmarkStart w:id="384" w:name="_Toc296891234"/>
      <w:bookmarkStart w:id="385" w:name="_Toc292559904"/>
      <w:bookmarkStart w:id="386" w:name="_Toc296891022"/>
      <w:bookmarkStart w:id="387" w:name="_Toc297216200"/>
      <w:bookmarkStart w:id="388" w:name="_Toc297120494"/>
      <w:bookmarkStart w:id="389" w:name="_Toc296347193"/>
      <w:bookmarkStart w:id="390" w:name="_Toc304295567"/>
      <w:bookmarkStart w:id="391" w:name="_Toc297123541"/>
      <w:bookmarkStart w:id="392" w:name="_Toc296944533"/>
      <w:r>
        <w:rPr>
          <w:rFonts w:hint="eastAsia" w:ascii="宋体" w:hAnsi="宋体" w:eastAsia="宋体" w:cs="宋体"/>
          <w:sz w:val="24"/>
          <w:szCs w:val="21"/>
          <w:highlight w:val="none"/>
        </w:rPr>
        <w:t>0.1变更的范围</w:t>
      </w:r>
    </w:p>
    <w:p w14:paraId="0CDE65B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关于变更的范围的约定：</w:t>
      </w:r>
    </w:p>
    <w:p w14:paraId="5AF0923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10.4 变更估价</w:t>
      </w:r>
    </w:p>
    <w:p w14:paraId="5D86621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10.4.1 变更估价原则</w:t>
      </w:r>
    </w:p>
    <w:p w14:paraId="7C99098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 xml:space="preserve">关于变更估价的约定: </w:t>
      </w:r>
    </w:p>
    <w:p w14:paraId="529443E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Start w:id="393" w:name="_Toc296346698"/>
      <w:bookmarkStart w:id="394" w:name="_Toc296347196"/>
      <w:bookmarkStart w:id="395" w:name="_Toc297048383"/>
      <w:bookmarkStart w:id="396" w:name="_Toc303539150"/>
      <w:bookmarkStart w:id="397" w:name="_Toc296891237"/>
      <w:bookmarkStart w:id="398" w:name="_Toc296944536"/>
      <w:bookmarkStart w:id="399" w:name="_Toc297123544"/>
      <w:bookmarkStart w:id="400" w:name="_Toc292559907"/>
      <w:bookmarkStart w:id="401" w:name="_Toc296891025"/>
      <w:bookmarkStart w:id="402" w:name="_Toc300934993"/>
      <w:bookmarkStart w:id="403" w:name="_Toc297216203"/>
      <w:bookmarkStart w:id="404" w:name="_Toc296503197"/>
      <w:bookmarkStart w:id="405" w:name="_Toc297120497"/>
      <w:bookmarkStart w:id="406" w:name="_Toc292559402"/>
      <w:bookmarkStart w:id="407" w:name="_Toc312678029"/>
      <w:bookmarkStart w:id="408" w:name="_Toc312677503"/>
      <w:bookmarkStart w:id="409" w:name="_Toc304295570"/>
      <w:r>
        <w:rPr>
          <w:rFonts w:hint="eastAsia" w:ascii="宋体" w:hAnsi="宋体" w:eastAsia="宋体" w:cs="宋体"/>
          <w:sz w:val="24"/>
          <w:szCs w:val="21"/>
          <w:highlight w:val="none"/>
        </w:rPr>
        <w:t>0.5承</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Start w:id="410" w:name="_Toc296346704"/>
      <w:bookmarkStart w:id="411" w:name="_Toc296891031"/>
      <w:bookmarkStart w:id="412" w:name="_Toc296891243"/>
      <w:bookmarkStart w:id="413" w:name="_Toc296347202"/>
      <w:bookmarkStart w:id="414" w:name="_Toc303539151"/>
      <w:bookmarkStart w:id="415" w:name="_Toc297048389"/>
      <w:bookmarkStart w:id="416" w:name="_Toc297120503"/>
      <w:bookmarkStart w:id="417" w:name="_Toc300934994"/>
      <w:bookmarkStart w:id="418" w:name="_Toc292559408"/>
      <w:bookmarkStart w:id="419" w:name="_Toc297216204"/>
      <w:bookmarkStart w:id="420" w:name="_Toc296944542"/>
      <w:bookmarkStart w:id="421" w:name="_Toc292559913"/>
      <w:bookmarkStart w:id="422" w:name="_Toc296503203"/>
      <w:bookmarkStart w:id="423" w:name="_Toc297123545"/>
      <w:r>
        <w:rPr>
          <w:rFonts w:hint="eastAsia" w:ascii="宋体" w:hAnsi="宋体" w:eastAsia="宋体" w:cs="宋体"/>
          <w:sz w:val="24"/>
          <w:szCs w:val="21"/>
          <w:highlight w:val="none"/>
        </w:rPr>
        <w:t>包人的合理化建议</w:t>
      </w: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14:paraId="0E3C0FF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监理人审查承包人合理化建议的期限：</w:t>
      </w:r>
    </w:p>
    <w:p w14:paraId="6791146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发包人审批承包人合理化建议的期限：</w:t>
      </w:r>
    </w:p>
    <w:p w14:paraId="162B52C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承</w:t>
      </w:r>
      <w:bookmarkStart w:id="424" w:name="_Toc300934995"/>
      <w:bookmarkStart w:id="425" w:name="_Toc297123546"/>
      <w:bookmarkStart w:id="426" w:name="_Toc297216205"/>
      <w:bookmarkStart w:id="427" w:name="_Toc296346705"/>
      <w:bookmarkStart w:id="428" w:name="_Toc303539152"/>
      <w:bookmarkStart w:id="429" w:name="_Toc297120504"/>
      <w:bookmarkStart w:id="430" w:name="_Toc297048390"/>
      <w:bookmarkStart w:id="431" w:name="_Toc312678030"/>
      <w:bookmarkStart w:id="432" w:name="_Toc296347203"/>
      <w:bookmarkStart w:id="433" w:name="_Toc296891032"/>
      <w:bookmarkStart w:id="434" w:name="_Toc292559409"/>
      <w:bookmarkStart w:id="435" w:name="_Toc318581175"/>
      <w:bookmarkStart w:id="436" w:name="_Toc312677504"/>
      <w:bookmarkStart w:id="437" w:name="_Toc296503204"/>
      <w:bookmarkStart w:id="438" w:name="_Toc296944543"/>
      <w:bookmarkStart w:id="439" w:name="_Toc292559914"/>
      <w:bookmarkStart w:id="440" w:name="_Toc304295571"/>
      <w:bookmarkStart w:id="441" w:name="_Toc296891244"/>
      <w:r>
        <w:rPr>
          <w:rFonts w:hint="eastAsia" w:ascii="宋体" w:hAnsi="宋体" w:eastAsia="宋体" w:cs="宋体"/>
          <w:sz w:val="24"/>
          <w:szCs w:val="21"/>
          <w:highlight w:val="none"/>
        </w:rPr>
        <w:t>包人提出的合理化建议降低了合同价格或者提高了工程经济效益的奖励的方法和金额为：</w:t>
      </w:r>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14:paraId="14521C1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w:t>
      </w:r>
      <w:bookmarkStart w:id="442" w:name="_Toc297048385"/>
      <w:bookmarkStart w:id="443" w:name="_Toc292559404"/>
      <w:bookmarkStart w:id="444" w:name="_Toc312678033"/>
      <w:bookmarkStart w:id="445" w:name="_Toc296891027"/>
      <w:bookmarkStart w:id="446" w:name="_Toc296944538"/>
      <w:bookmarkStart w:id="447" w:name="_Toc296891239"/>
      <w:bookmarkStart w:id="448" w:name="_Toc303539154"/>
      <w:bookmarkStart w:id="449" w:name="_Toc297216207"/>
      <w:bookmarkStart w:id="450" w:name="_Toc300934997"/>
      <w:bookmarkStart w:id="451" w:name="_Toc304295574"/>
      <w:bookmarkStart w:id="452" w:name="_Toc296503199"/>
      <w:bookmarkStart w:id="453" w:name="_Toc292559909"/>
      <w:bookmarkStart w:id="454" w:name="_Toc297120499"/>
      <w:bookmarkStart w:id="455" w:name="_Toc296347198"/>
      <w:bookmarkStart w:id="456" w:name="_Toc296346700"/>
      <w:bookmarkStart w:id="457" w:name="_Toc297123548"/>
      <w:bookmarkStart w:id="458" w:name="_Toc312677507"/>
      <w:r>
        <w:rPr>
          <w:rFonts w:hint="eastAsia" w:ascii="宋体" w:hAnsi="宋体" w:eastAsia="宋体" w:cs="宋体"/>
          <w:sz w:val="24"/>
          <w:szCs w:val="21"/>
          <w:highlight w:val="none"/>
        </w:rPr>
        <w:t>0.7 暂估价</w:t>
      </w:r>
    </w:p>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14:paraId="1CBAEF0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暂</w:t>
      </w:r>
      <w:bookmarkStart w:id="459" w:name="_Toc318581176"/>
      <w:bookmarkStart w:id="460" w:name="_Toc312678034"/>
      <w:bookmarkStart w:id="461" w:name="_Toc312677508"/>
      <w:r>
        <w:rPr>
          <w:rFonts w:hint="eastAsia" w:ascii="宋体" w:hAnsi="宋体" w:eastAsia="宋体" w:cs="宋体"/>
          <w:sz w:val="24"/>
          <w:szCs w:val="21"/>
          <w:highlight w:val="none"/>
        </w:rPr>
        <w:t>估价材料和工程设备的明细详见附件11：《暂估价一览表》。</w:t>
      </w:r>
    </w:p>
    <w:bookmarkEnd w:id="459"/>
    <w:bookmarkEnd w:id="460"/>
    <w:bookmarkEnd w:id="461"/>
    <w:p w14:paraId="5D138C1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w:t>
      </w:r>
      <w:bookmarkStart w:id="462" w:name="_Toc318581177"/>
      <w:bookmarkStart w:id="463" w:name="_Toc312677509"/>
      <w:bookmarkStart w:id="464" w:name="_Toc312678035"/>
      <w:r>
        <w:rPr>
          <w:rFonts w:hint="eastAsia" w:ascii="宋体" w:hAnsi="宋体" w:eastAsia="宋体" w:cs="宋体"/>
          <w:sz w:val="24"/>
          <w:szCs w:val="21"/>
          <w:highlight w:val="none"/>
        </w:rPr>
        <w:t>0.7.1 依法必须招标的暂估价项目</w:t>
      </w:r>
    </w:p>
    <w:bookmarkEnd w:id="462"/>
    <w:bookmarkEnd w:id="463"/>
    <w:bookmarkEnd w:id="464"/>
    <w:p w14:paraId="0DAD24A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对于依法必须招标的暂估价项目的确认和批准采取第种方式确定。</w:t>
      </w:r>
    </w:p>
    <w:p w14:paraId="4BA7891C">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10.7.2 不属于依法必须招标的暂估价项目</w:t>
      </w:r>
    </w:p>
    <w:p w14:paraId="3C157E2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对于不属于依法必须招标的暂估价项目的确认和批准采取第 种方式确定。</w:t>
      </w:r>
    </w:p>
    <w:p w14:paraId="53AD4FDC">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第3种方式：承包人直接实施的暂估价项目</w:t>
      </w:r>
    </w:p>
    <w:p w14:paraId="400FE7F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承包人直接实施的暂估价项目的约定：</w:t>
      </w:r>
    </w:p>
    <w:p w14:paraId="7D4F375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10.8 暂列金额</w:t>
      </w:r>
    </w:p>
    <w:p w14:paraId="055F74F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合同当事人关于暂列金额使用的约定：</w:t>
      </w:r>
    </w:p>
    <w:p w14:paraId="3A828DB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bookmarkStart w:id="465" w:name="_Toc351203643"/>
      <w:r>
        <w:rPr>
          <w:rFonts w:hint="eastAsia" w:ascii="宋体" w:hAnsi="宋体" w:eastAsia="宋体" w:cs="宋体"/>
          <w:bCs/>
          <w:sz w:val="24"/>
          <w:szCs w:val="21"/>
          <w:highlight w:val="none"/>
        </w:rPr>
        <w:t>11. 价格调整</w:t>
      </w:r>
      <w:bookmarkEnd w:id="465"/>
    </w:p>
    <w:p w14:paraId="1EDBF88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bookmarkStart w:id="466" w:name="_Toc296891029"/>
      <w:bookmarkStart w:id="467" w:name="_Toc292559406"/>
      <w:bookmarkStart w:id="468" w:name="_Toc303539157"/>
      <w:bookmarkStart w:id="469" w:name="_Toc296346702"/>
      <w:bookmarkStart w:id="470" w:name="_Toc296891241"/>
      <w:bookmarkStart w:id="471" w:name="_Toc296503201"/>
      <w:bookmarkStart w:id="472" w:name="_Toc292559911"/>
      <w:bookmarkStart w:id="473" w:name="_Toc297120501"/>
      <w:bookmarkStart w:id="474" w:name="_Toc296944540"/>
      <w:bookmarkStart w:id="475" w:name="_Toc304295577"/>
      <w:bookmarkStart w:id="476" w:name="_Toc297048387"/>
      <w:bookmarkStart w:id="477" w:name="_Toc312678039"/>
      <w:bookmarkStart w:id="478" w:name="_Toc297123550"/>
      <w:bookmarkStart w:id="479" w:name="_Toc297216209"/>
      <w:bookmarkStart w:id="480" w:name="_Toc296347200"/>
      <w:bookmarkStart w:id="481" w:name="_Toc300935000"/>
      <w:r>
        <w:rPr>
          <w:rFonts w:hint="eastAsia" w:ascii="宋体" w:hAnsi="宋体" w:eastAsia="宋体" w:cs="宋体"/>
          <w:sz w:val="24"/>
          <w:szCs w:val="21"/>
          <w:highlight w:val="none"/>
        </w:rPr>
        <w:t>11.1 市场价格波动引起的调整</w:t>
      </w:r>
    </w:p>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14:paraId="74BD6BD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市场价格波动是否调整合同价格的约定：</w:t>
      </w:r>
    </w:p>
    <w:p w14:paraId="256E249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因市场价格波动调整合同价格，采用以下第种方式对合同价格进行调整：</w:t>
      </w:r>
    </w:p>
    <w:p w14:paraId="4834485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第1种方式：采用价格指数进行价格调整。</w:t>
      </w:r>
    </w:p>
    <w:p w14:paraId="743F2B3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关于各可调因子、定值和变值权重，以及基本价格指数及其来源的约定：；</w:t>
      </w:r>
    </w:p>
    <w:p w14:paraId="084A507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第2种方式：采用造价信息进行价格调整。</w:t>
      </w:r>
    </w:p>
    <w:p w14:paraId="5B6F782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（2）关于基准价格的约定：</w:t>
      </w:r>
    </w:p>
    <w:p w14:paraId="06111B9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00EF0FE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10375E5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③承包人在已标价工程量清单或预算书中载明的材料单价等于基准单价的：专用合同条款合同履行期间材料单价涨跌幅以基准单价为基础超过±%时，其超过部分据实调整。</w:t>
      </w:r>
    </w:p>
    <w:p w14:paraId="62F75CB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第3种方式：其他价格调整方式：</w:t>
      </w:r>
    </w:p>
    <w:bookmarkEnd w:id="369"/>
    <w:bookmarkEnd w:id="370"/>
    <w:bookmarkEnd w:id="371"/>
    <w:bookmarkEnd w:id="372"/>
    <w:bookmarkEnd w:id="373"/>
    <w:bookmarkEnd w:id="374"/>
    <w:p w14:paraId="2C0B4E5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bookmarkStart w:id="482" w:name="_Toc296944544"/>
      <w:bookmarkStart w:id="483" w:name="_Toc296347204"/>
      <w:bookmarkStart w:id="484" w:name="_Toc296891033"/>
      <w:bookmarkStart w:id="485" w:name="_Toc296346706"/>
      <w:bookmarkStart w:id="486" w:name="_Toc292559410"/>
      <w:bookmarkStart w:id="487" w:name="_Toc297120505"/>
      <w:bookmarkStart w:id="488" w:name="_Toc297048391"/>
      <w:bookmarkStart w:id="489" w:name="_Toc296503205"/>
      <w:bookmarkStart w:id="490" w:name="_Toc296891245"/>
      <w:bookmarkStart w:id="491" w:name="_Toc292559915"/>
      <w:bookmarkStart w:id="492" w:name="_Toc351203644"/>
      <w:bookmarkStart w:id="493" w:name="_Toc300935002"/>
      <w:bookmarkStart w:id="494" w:name="_Toc297216211"/>
      <w:bookmarkStart w:id="495" w:name="_Toc304295579"/>
      <w:bookmarkStart w:id="496" w:name="_Toc297123552"/>
      <w:bookmarkStart w:id="497" w:name="_Toc303539159"/>
      <w:bookmarkStart w:id="498" w:name="_Toc312678040"/>
      <w:r>
        <w:rPr>
          <w:rFonts w:hint="eastAsia" w:ascii="宋体" w:hAnsi="宋体" w:eastAsia="宋体" w:cs="宋体"/>
          <w:bCs/>
          <w:sz w:val="24"/>
          <w:szCs w:val="21"/>
          <w:highlight w:val="none"/>
        </w:rPr>
        <w:t xml:space="preserve">12. </w:t>
      </w:r>
      <w:bookmarkEnd w:id="482"/>
      <w:bookmarkEnd w:id="483"/>
      <w:bookmarkEnd w:id="484"/>
      <w:bookmarkEnd w:id="485"/>
      <w:bookmarkEnd w:id="486"/>
      <w:bookmarkEnd w:id="487"/>
      <w:bookmarkEnd w:id="488"/>
      <w:bookmarkEnd w:id="489"/>
      <w:bookmarkEnd w:id="490"/>
      <w:bookmarkEnd w:id="491"/>
      <w:r>
        <w:rPr>
          <w:rFonts w:hint="eastAsia" w:ascii="宋体" w:hAnsi="宋体" w:eastAsia="宋体" w:cs="宋体"/>
          <w:bCs/>
          <w:sz w:val="24"/>
          <w:szCs w:val="21"/>
          <w:highlight w:val="none"/>
        </w:rPr>
        <w:t>合同价格、计量与支付</w:t>
      </w:r>
      <w:bookmarkEnd w:id="492"/>
    </w:p>
    <w:bookmarkEnd w:id="493"/>
    <w:bookmarkEnd w:id="494"/>
    <w:bookmarkEnd w:id="495"/>
    <w:bookmarkEnd w:id="496"/>
    <w:bookmarkEnd w:id="497"/>
    <w:bookmarkEnd w:id="498"/>
    <w:p w14:paraId="794925A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bookmarkStart w:id="499" w:name="_Toc292559411"/>
      <w:bookmarkStart w:id="500" w:name="_Toc292559916"/>
      <w:bookmarkStart w:id="501" w:name="_Toc267251461"/>
      <w:bookmarkStart w:id="502" w:name="_Toc297120506"/>
      <w:bookmarkStart w:id="503" w:name="_Toc296891246"/>
      <w:bookmarkStart w:id="504" w:name="_Toc296944545"/>
      <w:bookmarkStart w:id="505" w:name="_Toc296347205"/>
      <w:bookmarkStart w:id="506" w:name="_Toc296346707"/>
      <w:bookmarkStart w:id="507" w:name="_Toc296503206"/>
      <w:bookmarkStart w:id="508" w:name="_Toc297048392"/>
      <w:bookmarkStart w:id="509" w:name="_Toc296891034"/>
      <w:bookmarkStart w:id="510" w:name="_Toc303539160"/>
      <w:bookmarkStart w:id="511" w:name="_Toc312678041"/>
      <w:bookmarkStart w:id="512" w:name="_Toc297216212"/>
      <w:bookmarkStart w:id="513" w:name="_Toc297123553"/>
      <w:bookmarkStart w:id="514" w:name="_Toc304295580"/>
      <w:bookmarkStart w:id="515" w:name="_Toc300935003"/>
      <w:r>
        <w:rPr>
          <w:rFonts w:hint="eastAsia" w:ascii="宋体" w:hAnsi="宋体" w:eastAsia="宋体" w:cs="宋体"/>
          <w:sz w:val="24"/>
          <w:szCs w:val="21"/>
          <w:highlight w:val="none"/>
        </w:rPr>
        <w:t>12.1 合</w:t>
      </w:r>
      <w:bookmarkEnd w:id="499"/>
      <w:bookmarkEnd w:id="500"/>
      <w:bookmarkEnd w:id="501"/>
      <w:r>
        <w:rPr>
          <w:rFonts w:hint="eastAsia" w:ascii="宋体" w:hAnsi="宋体" w:eastAsia="宋体" w:cs="宋体"/>
          <w:sz w:val="24"/>
          <w:szCs w:val="21"/>
          <w:highlight w:val="none"/>
        </w:rPr>
        <w:t>同价</w:t>
      </w:r>
      <w:bookmarkEnd w:id="502"/>
      <w:bookmarkEnd w:id="503"/>
      <w:bookmarkEnd w:id="504"/>
      <w:bookmarkEnd w:id="505"/>
      <w:bookmarkEnd w:id="506"/>
      <w:bookmarkEnd w:id="507"/>
      <w:bookmarkEnd w:id="508"/>
      <w:bookmarkEnd w:id="509"/>
      <w:r>
        <w:rPr>
          <w:rFonts w:hint="eastAsia" w:ascii="宋体" w:hAnsi="宋体" w:eastAsia="宋体" w:cs="宋体"/>
          <w:sz w:val="24"/>
          <w:szCs w:val="21"/>
          <w:highlight w:val="none"/>
        </w:rPr>
        <w:t>格形式</w:t>
      </w:r>
    </w:p>
    <w:bookmarkEnd w:id="510"/>
    <w:bookmarkEnd w:id="511"/>
    <w:bookmarkEnd w:id="512"/>
    <w:bookmarkEnd w:id="513"/>
    <w:bookmarkEnd w:id="514"/>
    <w:bookmarkEnd w:id="515"/>
    <w:p w14:paraId="02118A4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1、单价合同。</w:t>
      </w:r>
    </w:p>
    <w:p w14:paraId="5C90AD5B">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综合单价包含的风险范围：</w:t>
      </w:r>
    </w:p>
    <w:p w14:paraId="03D9B12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风险费用的计算方法：</w:t>
      </w:r>
    </w:p>
    <w:p w14:paraId="606D1B6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风险范围以外合同价格的调整方法：</w:t>
      </w:r>
    </w:p>
    <w:p w14:paraId="02B1BC9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2、总价合同。</w:t>
      </w:r>
    </w:p>
    <w:p w14:paraId="3000AB1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总价包含的风险范围：</w:t>
      </w:r>
    </w:p>
    <w:p w14:paraId="0BA84C2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风险费用的计算方法：</w:t>
      </w:r>
    </w:p>
    <w:p w14:paraId="0717550C">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风险范围以外合同价格的调整方法：</w:t>
      </w:r>
    </w:p>
    <w:p w14:paraId="6EB3451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3、其他价格方式：</w:t>
      </w:r>
    </w:p>
    <w:p w14:paraId="10E8775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bookmarkStart w:id="516" w:name="_Toc304295581"/>
      <w:bookmarkStart w:id="517" w:name="_Toc303539161"/>
      <w:bookmarkStart w:id="518" w:name="_Toc297123554"/>
      <w:bookmarkStart w:id="519" w:name="_Toc312678042"/>
      <w:bookmarkStart w:id="520" w:name="_Toc300935004"/>
      <w:bookmarkStart w:id="521" w:name="_Toc297216213"/>
      <w:bookmarkStart w:id="522" w:name="_Toc292559412"/>
      <w:bookmarkStart w:id="523" w:name="_Toc296944546"/>
      <w:bookmarkStart w:id="524" w:name="_Toc297120507"/>
      <w:bookmarkStart w:id="525" w:name="_Toc296891247"/>
      <w:bookmarkStart w:id="526" w:name="_Toc292559917"/>
      <w:bookmarkStart w:id="527" w:name="_Toc296891035"/>
      <w:bookmarkStart w:id="528" w:name="_Toc296503207"/>
      <w:bookmarkStart w:id="529" w:name="_Toc297048393"/>
      <w:bookmarkStart w:id="530" w:name="_Toc296346708"/>
      <w:bookmarkStart w:id="531" w:name="_Toc296347206"/>
      <w:r>
        <w:rPr>
          <w:rFonts w:hint="eastAsia" w:ascii="宋体" w:hAnsi="宋体" w:eastAsia="宋体" w:cs="宋体"/>
          <w:sz w:val="24"/>
          <w:szCs w:val="21"/>
          <w:highlight w:val="none"/>
        </w:rPr>
        <w:t>12.2 预付款</w:t>
      </w:r>
    </w:p>
    <w:bookmarkEnd w:id="516"/>
    <w:bookmarkEnd w:id="517"/>
    <w:bookmarkEnd w:id="518"/>
    <w:bookmarkEnd w:id="519"/>
    <w:bookmarkEnd w:id="520"/>
    <w:bookmarkEnd w:id="521"/>
    <w:p w14:paraId="6812EE7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12.2.1 预付款的支付</w:t>
      </w:r>
    </w:p>
    <w:p w14:paraId="64A7DBC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预付款支付比例或金额：</w:t>
      </w:r>
    </w:p>
    <w:p w14:paraId="7C61E28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预付款支付期限：</w:t>
      </w:r>
    </w:p>
    <w:p w14:paraId="7E63052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预付款扣回的方式：</w:t>
      </w:r>
    </w:p>
    <w:p w14:paraId="5713426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12.2.2 预付款担保</w:t>
      </w:r>
    </w:p>
    <w:p w14:paraId="4DFD4F6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承包人提交预付款担保的期限：</w:t>
      </w:r>
    </w:p>
    <w:p w14:paraId="5FA7217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预付款担保的形式为：</w:t>
      </w:r>
    </w:p>
    <w:bookmarkEnd w:id="522"/>
    <w:bookmarkEnd w:id="523"/>
    <w:bookmarkEnd w:id="524"/>
    <w:bookmarkEnd w:id="525"/>
    <w:bookmarkEnd w:id="526"/>
    <w:bookmarkEnd w:id="527"/>
    <w:bookmarkEnd w:id="528"/>
    <w:bookmarkEnd w:id="529"/>
    <w:bookmarkEnd w:id="530"/>
    <w:bookmarkEnd w:id="531"/>
    <w:p w14:paraId="7C86969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12.3 计量</w:t>
      </w:r>
    </w:p>
    <w:p w14:paraId="00B0547C">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12.3.1 计量原则</w:t>
      </w:r>
    </w:p>
    <w:p w14:paraId="4ADFA17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工程量计算规则：</w:t>
      </w:r>
    </w:p>
    <w:p w14:paraId="0CDD258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12.3.2 计量周期</w:t>
      </w:r>
    </w:p>
    <w:p w14:paraId="43464F2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关于计量周期的约定：</w:t>
      </w:r>
    </w:p>
    <w:p w14:paraId="533C321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12.3.3 单价合同的计量</w:t>
      </w:r>
    </w:p>
    <w:p w14:paraId="33C911C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关于单价合同计量的约定：</w:t>
      </w:r>
    </w:p>
    <w:p w14:paraId="62EF947B">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12.3.4 总价合同的计量</w:t>
      </w:r>
    </w:p>
    <w:p w14:paraId="226F894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关于总价合同计量的约定：</w:t>
      </w:r>
    </w:p>
    <w:p w14:paraId="133D2C7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12.3.5总价合同采用支付分解表计量支付的，是否适用第12.3.4 项〔总价合同的计量〕约定进行计量：</w:t>
      </w:r>
    </w:p>
    <w:p w14:paraId="34ADEFC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12.3.6 其他价格形式合同的计量</w:t>
      </w:r>
    </w:p>
    <w:p w14:paraId="5386336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其他价格形式的计量方式和程序：</w:t>
      </w:r>
    </w:p>
    <w:p w14:paraId="0A4AEB9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12.4 工程进度款支付</w:t>
      </w:r>
    </w:p>
    <w:p w14:paraId="1BD7F16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bookmarkStart w:id="532" w:name="_Toc292559921"/>
      <w:bookmarkStart w:id="533" w:name="_Toc297120511"/>
      <w:bookmarkStart w:id="534" w:name="_Toc296346712"/>
      <w:bookmarkStart w:id="535" w:name="_Toc296891039"/>
      <w:bookmarkStart w:id="536" w:name="_Toc297123556"/>
      <w:bookmarkStart w:id="537" w:name="_Toc296347210"/>
      <w:bookmarkStart w:id="538" w:name="_Toc300935006"/>
      <w:bookmarkStart w:id="539" w:name="_Toc296891251"/>
      <w:bookmarkStart w:id="540" w:name="_Toc292559416"/>
      <w:bookmarkStart w:id="541" w:name="_Toc297048397"/>
      <w:bookmarkStart w:id="542" w:name="_Toc303539163"/>
      <w:bookmarkStart w:id="543" w:name="_Toc297216215"/>
      <w:bookmarkStart w:id="544" w:name="_Toc296503211"/>
      <w:bookmarkStart w:id="545" w:name="_Toc296944550"/>
      <w:r>
        <w:rPr>
          <w:rFonts w:hint="eastAsia" w:ascii="宋体" w:hAnsi="宋体" w:eastAsia="宋体" w:cs="宋体"/>
          <w:sz w:val="24"/>
          <w:szCs w:val="21"/>
          <w:highlight w:val="none"/>
        </w:rPr>
        <w:t>12.4.1 付款周期</w:t>
      </w:r>
    </w:p>
    <w:p w14:paraId="2416000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关于付款周期的约定：</w:t>
      </w:r>
    </w:p>
    <w:p w14:paraId="3A02CD2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12.4.2 进度付款申请单的编制</w:t>
      </w:r>
    </w:p>
    <w:p w14:paraId="2FB4A34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关于进度付款申请单编制的约定：</w:t>
      </w:r>
    </w:p>
    <w:p w14:paraId="02AB8E4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Pr>
          <w:rFonts w:hint="eastAsia" w:ascii="宋体" w:hAnsi="宋体" w:eastAsia="宋体" w:cs="宋体"/>
          <w:sz w:val="24"/>
          <w:szCs w:val="21"/>
          <w:highlight w:val="none"/>
        </w:rPr>
        <w:t>2.4.3 进度付款申请单的提交</w:t>
      </w:r>
    </w:p>
    <w:p w14:paraId="52EE164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（1）单价合同进度付款申请单提交的约定：</w:t>
      </w:r>
    </w:p>
    <w:p w14:paraId="46E894A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（2）总价合同进度付款申请单提交的约定：</w:t>
      </w:r>
    </w:p>
    <w:p w14:paraId="74E26B4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（3）其他价格形式合同进度付款申请单提交的约定：</w:t>
      </w:r>
    </w:p>
    <w:p w14:paraId="214C649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12.4.4 进度款审核和支付</w:t>
      </w:r>
    </w:p>
    <w:p w14:paraId="5BEE092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（1）监理人审查并报送发包人的期限：</w:t>
      </w:r>
    </w:p>
    <w:p w14:paraId="5BFF53C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发包人完成审批并签发进度款支付证书的期限：</w:t>
      </w:r>
    </w:p>
    <w:p w14:paraId="1375FA4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lang w:eastAsia="zh-CN"/>
        </w:rPr>
      </w:pPr>
      <w:r>
        <w:rPr>
          <w:rFonts w:hint="eastAsia" w:ascii="宋体" w:hAnsi="宋体" w:eastAsia="宋体" w:cs="宋体"/>
          <w:sz w:val="24"/>
          <w:szCs w:val="21"/>
          <w:highlight w:val="none"/>
        </w:rPr>
        <w:t>（2）发包人支付进度款的期限</w:t>
      </w:r>
      <w:r>
        <w:rPr>
          <w:rFonts w:hint="eastAsia" w:ascii="宋体" w:hAnsi="宋体" w:eastAsia="宋体" w:cs="宋体"/>
          <w:sz w:val="24"/>
          <w:szCs w:val="21"/>
          <w:highlight w:val="none"/>
          <w:lang w:eastAsia="zh-CN"/>
        </w:rPr>
        <w:t>：</w:t>
      </w:r>
    </w:p>
    <w:p w14:paraId="6E96F6E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发包人逾期支付进度款的违约金的计算方式：</w:t>
      </w:r>
    </w:p>
    <w:p w14:paraId="353A265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12.4.6 支付分解表的编制</w:t>
      </w:r>
    </w:p>
    <w:p w14:paraId="27A242F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2、总价合同支付分解表的编制与审批：</w:t>
      </w:r>
    </w:p>
    <w:p w14:paraId="01B1032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3、单价合同的总价项目支付分解表的编制与审批：</w:t>
      </w:r>
    </w:p>
    <w:bookmarkEnd w:id="375"/>
    <w:p w14:paraId="7D5032F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bookmarkStart w:id="546" w:name="_Toc351203645"/>
      <w:bookmarkStart w:id="547" w:name="_Toc292559929"/>
      <w:bookmarkStart w:id="548" w:name="_Toc303539172"/>
      <w:bookmarkStart w:id="549" w:name="_Toc297216223"/>
      <w:bookmarkStart w:id="550" w:name="_Toc296891259"/>
      <w:bookmarkStart w:id="551" w:name="_Toc297120519"/>
      <w:bookmarkStart w:id="552" w:name="_Toc297123564"/>
      <w:bookmarkStart w:id="553" w:name="_Toc296944558"/>
      <w:bookmarkStart w:id="554" w:name="_Toc296346720"/>
      <w:bookmarkStart w:id="555" w:name="_Toc312678053"/>
      <w:bookmarkStart w:id="556" w:name="_Toc300935015"/>
      <w:bookmarkStart w:id="557" w:name="_Toc292559424"/>
      <w:bookmarkStart w:id="558" w:name="_Toc296891047"/>
      <w:bookmarkStart w:id="559" w:name="_Toc296347218"/>
      <w:bookmarkStart w:id="560" w:name="_Toc304295593"/>
      <w:bookmarkStart w:id="561" w:name="_Toc296503219"/>
      <w:bookmarkStart w:id="562" w:name="_Toc297048405"/>
      <w:r>
        <w:rPr>
          <w:rFonts w:hint="eastAsia" w:ascii="宋体" w:hAnsi="宋体" w:eastAsia="宋体" w:cs="宋体"/>
          <w:bCs/>
          <w:sz w:val="24"/>
          <w:szCs w:val="21"/>
          <w:highlight w:val="none"/>
        </w:rPr>
        <w:t>13.验收和工程试车</w:t>
      </w:r>
      <w:bookmarkEnd w:id="546"/>
    </w:p>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14:paraId="5B96348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13.1 分部分项工程验收</w:t>
      </w:r>
    </w:p>
    <w:p w14:paraId="447E7E3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13.1.2监理人不能按时进行验收时，应提前小时提交书面延期要求。</w:t>
      </w:r>
    </w:p>
    <w:p w14:paraId="1F0887FA">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sz w:val="24"/>
          <w:szCs w:val="21"/>
          <w:highlight w:val="none"/>
        </w:rPr>
      </w:pPr>
      <w:r>
        <w:rPr>
          <w:rFonts w:hint="eastAsia" w:ascii="宋体" w:hAnsi="宋体" w:eastAsia="宋体" w:cs="宋体"/>
          <w:sz w:val="24"/>
          <w:szCs w:val="21"/>
          <w:highlight w:val="none"/>
        </w:rPr>
        <w:t>关于延期最长不得超过：小时。</w:t>
      </w:r>
    </w:p>
    <w:p w14:paraId="6C25A35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bookmarkStart w:id="563" w:name="_Toc296891051"/>
      <w:bookmarkStart w:id="564" w:name="_Toc292559933"/>
      <w:bookmarkStart w:id="565" w:name="_Toc296503223"/>
      <w:bookmarkStart w:id="566" w:name="_Toc300935016"/>
      <w:bookmarkStart w:id="567" w:name="_Toc296891263"/>
      <w:bookmarkStart w:id="568" w:name="_Toc296346724"/>
      <w:bookmarkStart w:id="569" w:name="_Toc296347222"/>
      <w:bookmarkStart w:id="570" w:name="_Toc297216224"/>
      <w:bookmarkStart w:id="571" w:name="_Toc297120523"/>
      <w:bookmarkStart w:id="572" w:name="_Toc296944562"/>
      <w:bookmarkStart w:id="573" w:name="_Toc303539173"/>
      <w:bookmarkStart w:id="574" w:name="_Toc304295596"/>
      <w:bookmarkStart w:id="575" w:name="_Toc297048409"/>
      <w:bookmarkStart w:id="576" w:name="_Toc297123565"/>
      <w:bookmarkStart w:id="577" w:name="_Toc312678056"/>
      <w:bookmarkStart w:id="578" w:name="_Toc292559428"/>
      <w:bookmarkStart w:id="579" w:name="_Toc267251473"/>
      <w:bookmarkStart w:id="580" w:name="_Toc267251476"/>
      <w:bookmarkStart w:id="581" w:name="_Toc267251470"/>
      <w:bookmarkStart w:id="582" w:name="_Toc267251471"/>
      <w:bookmarkStart w:id="583" w:name="_Toc267251475"/>
      <w:bookmarkStart w:id="584" w:name="_Toc267251472"/>
      <w:bookmarkStart w:id="585" w:name="_Toc267251474"/>
      <w:r>
        <w:rPr>
          <w:rFonts w:hint="eastAsia" w:ascii="宋体" w:hAnsi="宋体" w:eastAsia="宋体" w:cs="宋体"/>
          <w:sz w:val="24"/>
          <w:szCs w:val="21"/>
          <w:highlight w:val="none"/>
        </w:rPr>
        <w:t>13.2 竣工验收</w:t>
      </w:r>
    </w:p>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14:paraId="285C20E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bookmarkStart w:id="586" w:name="_Toc280868704"/>
      <w:bookmarkStart w:id="587" w:name="_Toc280868705"/>
      <w:bookmarkStart w:id="588" w:name="_Toc280868706"/>
      <w:bookmarkStart w:id="589" w:name="_Toc280868707"/>
      <w:bookmarkStart w:id="590" w:name="_Toc280868708"/>
      <w:bookmarkStart w:id="591" w:name="_Toc280868709"/>
      <w:r>
        <w:rPr>
          <w:rFonts w:hint="eastAsia" w:ascii="宋体" w:hAnsi="宋体" w:eastAsia="宋体" w:cs="宋体"/>
          <w:sz w:val="24"/>
          <w:szCs w:val="21"/>
          <w:highlight w:val="none"/>
        </w:rPr>
        <w:t>13.2.2竣工验收程序</w:t>
      </w:r>
    </w:p>
    <w:bookmarkEnd w:id="586"/>
    <w:p w14:paraId="450BB21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关于竣工验收程序的约定：</w:t>
      </w:r>
    </w:p>
    <w:p w14:paraId="730C572A">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发包人不按照本项约定组织竣工验收、颁发工程接收证书的违约金的计算方法：</w:t>
      </w:r>
    </w:p>
    <w:bookmarkEnd w:id="587"/>
    <w:p w14:paraId="27DCFCB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13.2.5移交、接收全部与部分工程</w:t>
      </w:r>
    </w:p>
    <w:bookmarkEnd w:id="588"/>
    <w:p w14:paraId="4CEB3C4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承包人向发包人移交工程的期限：</w:t>
      </w:r>
    </w:p>
    <w:p w14:paraId="28B565F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发包人未按本合同约定接收全部或部分工程的，违约金的计算方法为：</w:t>
      </w:r>
    </w:p>
    <w:bookmarkEnd w:id="589"/>
    <w:p w14:paraId="03A91EE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承包人未按时移交工程的，违约金的计算方法为：</w:t>
      </w:r>
    </w:p>
    <w:p w14:paraId="405507D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13.3 工程试车</w:t>
      </w:r>
    </w:p>
    <w:bookmarkEnd w:id="590"/>
    <w:p w14:paraId="2076064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13.3.1 试车程序</w:t>
      </w:r>
    </w:p>
    <w:p w14:paraId="733A9D8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工程试车内容：</w:t>
      </w:r>
    </w:p>
    <w:p w14:paraId="347BFE5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（1）单机无负荷试车费用由承担；</w:t>
      </w:r>
    </w:p>
    <w:p w14:paraId="17E7226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（2）无负荷联动试车费用由承担。</w:t>
      </w:r>
    </w:p>
    <w:p w14:paraId="245B56AB">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13.3.3 投料试车</w:t>
      </w:r>
    </w:p>
    <w:p w14:paraId="7F8EF12B">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关于投料试车相关事项的约定：</w:t>
      </w:r>
    </w:p>
    <w:p w14:paraId="1536571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13.6 竣工退场</w:t>
      </w:r>
    </w:p>
    <w:p w14:paraId="61B038D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13.6.1 竣工退场</w:t>
      </w:r>
    </w:p>
    <w:p w14:paraId="7F97A38A">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承包人完成竣工退场的期限：</w:t>
      </w:r>
    </w:p>
    <w:p w14:paraId="30C5E72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bookmarkStart w:id="592" w:name="_Toc351203646"/>
      <w:r>
        <w:rPr>
          <w:rFonts w:hint="eastAsia" w:ascii="宋体" w:hAnsi="宋体" w:eastAsia="宋体" w:cs="宋体"/>
          <w:bCs/>
          <w:sz w:val="24"/>
          <w:szCs w:val="21"/>
          <w:highlight w:val="none"/>
        </w:rPr>
        <w:t>14. 竣工结算</w:t>
      </w:r>
      <w:bookmarkEnd w:id="592"/>
    </w:p>
    <w:p w14:paraId="7FD30D7B">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14.1 竣工结算申请</w:t>
      </w:r>
    </w:p>
    <w:p w14:paraId="37DED98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承包人提交竣工结算申请单的期限：</w:t>
      </w:r>
    </w:p>
    <w:p w14:paraId="7C451F5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竣工结算申请单应包括的内容：</w:t>
      </w:r>
    </w:p>
    <w:p w14:paraId="66A1BEB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14.2 竣工结算审核</w:t>
      </w:r>
    </w:p>
    <w:p w14:paraId="1813D40A">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发包人审批竣工付款申请单的期限：</w:t>
      </w:r>
    </w:p>
    <w:p w14:paraId="6BF4D9D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发包人完成竣工付款的期限：</w:t>
      </w:r>
    </w:p>
    <w:p w14:paraId="4F67B75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关于竣工付款证书异议部分复核的方式和程序：</w:t>
      </w:r>
    </w:p>
    <w:p w14:paraId="366F2DE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14.4 最终结清</w:t>
      </w:r>
    </w:p>
    <w:p w14:paraId="003F20F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14.4.1 最终结清申请单</w:t>
      </w:r>
    </w:p>
    <w:p w14:paraId="66DC93A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承包人提交最终结清申请单的份数：</w:t>
      </w:r>
    </w:p>
    <w:p w14:paraId="1432F38B">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承包人提交最终结算申请单的期限：</w:t>
      </w:r>
    </w:p>
    <w:p w14:paraId="3DEE105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14.4.2 最终结清证书和支付</w:t>
      </w:r>
    </w:p>
    <w:p w14:paraId="2B1C794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（1）发包人完成最终结清申请单的审批并颁发最终结清证书的期限：</w:t>
      </w:r>
    </w:p>
    <w:p w14:paraId="0DDF445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（2）发包人完成支付的期限：</w:t>
      </w:r>
    </w:p>
    <w:bookmarkEnd w:id="579"/>
    <w:bookmarkEnd w:id="580"/>
    <w:bookmarkEnd w:id="581"/>
    <w:bookmarkEnd w:id="582"/>
    <w:bookmarkEnd w:id="583"/>
    <w:bookmarkEnd w:id="584"/>
    <w:bookmarkEnd w:id="585"/>
    <w:bookmarkEnd w:id="591"/>
    <w:p w14:paraId="13B6756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bookmarkStart w:id="593" w:name="_Toc351203647"/>
      <w:bookmarkStart w:id="594" w:name="_Toc267251483"/>
      <w:bookmarkStart w:id="595" w:name="_Toc267251484"/>
      <w:bookmarkStart w:id="596" w:name="_Toc267251482"/>
      <w:bookmarkStart w:id="597" w:name="_Toc267251485"/>
      <w:bookmarkStart w:id="598" w:name="_Toc267251489"/>
      <w:bookmarkStart w:id="599" w:name="_Toc267251488"/>
      <w:bookmarkStart w:id="600" w:name="_Toc267251486"/>
      <w:bookmarkStart w:id="601" w:name="_Toc267251490"/>
      <w:bookmarkStart w:id="602" w:name="_Toc267251502"/>
      <w:bookmarkStart w:id="603" w:name="_Toc267251493"/>
      <w:bookmarkStart w:id="604" w:name="_Toc267251501"/>
      <w:bookmarkStart w:id="605" w:name="_Toc267251495"/>
      <w:bookmarkStart w:id="606" w:name="_Toc267251497"/>
      <w:bookmarkStart w:id="607" w:name="_Toc267251503"/>
      <w:bookmarkStart w:id="608" w:name="_Toc267251496"/>
      <w:bookmarkStart w:id="609" w:name="_Toc267251492"/>
      <w:bookmarkStart w:id="610" w:name="_Toc267251491"/>
      <w:bookmarkStart w:id="611" w:name="_Toc267251499"/>
      <w:bookmarkStart w:id="612" w:name="_Toc267251494"/>
      <w:bookmarkStart w:id="613" w:name="_Toc267251498"/>
      <w:bookmarkStart w:id="614" w:name="_Toc267251504"/>
      <w:bookmarkStart w:id="615" w:name="_Toc267251506"/>
      <w:bookmarkStart w:id="616" w:name="_Toc267251507"/>
      <w:bookmarkStart w:id="617" w:name="_Toc267251508"/>
      <w:bookmarkStart w:id="618" w:name="_Toc267251511"/>
      <w:bookmarkStart w:id="619" w:name="_Toc267251513"/>
      <w:bookmarkStart w:id="620" w:name="_Toc267251509"/>
      <w:bookmarkStart w:id="621" w:name="_Toc267251510"/>
      <w:bookmarkStart w:id="622" w:name="_Toc267251514"/>
      <w:bookmarkStart w:id="623" w:name="_Toc267251515"/>
      <w:r>
        <w:rPr>
          <w:rFonts w:hint="eastAsia" w:ascii="宋体" w:hAnsi="宋体" w:eastAsia="宋体" w:cs="宋体"/>
          <w:bCs/>
          <w:sz w:val="24"/>
          <w:szCs w:val="21"/>
          <w:highlight w:val="none"/>
        </w:rPr>
        <w:t>15. 缺陷责任期与保修</w:t>
      </w:r>
      <w:bookmarkEnd w:id="593"/>
    </w:p>
    <w:p w14:paraId="4D717DE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15.2缺陷责任期</w:t>
      </w:r>
      <w:bookmarkEnd w:id="594"/>
    </w:p>
    <w:p w14:paraId="24BE90A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缺陷责任期的具体期限：</w:t>
      </w:r>
    </w:p>
    <w:p w14:paraId="1A4C510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15.3 质量保证金</w:t>
      </w:r>
    </w:p>
    <w:p w14:paraId="49727AC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lang w:eastAsia="zh-CN"/>
        </w:rPr>
      </w:pPr>
      <w:r>
        <w:rPr>
          <w:rFonts w:hint="eastAsia" w:ascii="宋体" w:hAnsi="宋体" w:eastAsia="宋体" w:cs="宋体"/>
          <w:sz w:val="24"/>
          <w:szCs w:val="21"/>
          <w:highlight w:val="none"/>
        </w:rPr>
        <w:t>关于是否扣留质量保证金的约定：。在工程项目竣工前，承包人按专用合同条款第3.7条提供履约担保的，发包人不得同时预留工程质量保证金</w:t>
      </w:r>
      <w:r>
        <w:rPr>
          <w:rFonts w:hint="eastAsia" w:ascii="宋体" w:hAnsi="宋体" w:eastAsia="宋体" w:cs="宋体"/>
          <w:sz w:val="24"/>
          <w:szCs w:val="21"/>
          <w:highlight w:val="none"/>
          <w:lang w:eastAsia="zh-CN"/>
        </w:rPr>
        <w:t>。</w:t>
      </w:r>
    </w:p>
    <w:p w14:paraId="3D9BFC9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15.3.1 承包人提供质量保证金的方式</w:t>
      </w:r>
    </w:p>
    <w:p w14:paraId="64F5E99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质量保证金采用以下第种方式：</w:t>
      </w:r>
    </w:p>
    <w:p w14:paraId="1208BB2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 xml:space="preserve">（1）质量保证金保函，保证金额为：； </w:t>
      </w:r>
    </w:p>
    <w:p w14:paraId="2938AE4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（2）%的工程款；</w:t>
      </w:r>
    </w:p>
    <w:p w14:paraId="491FD9A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（3）其他方式:。</w:t>
      </w:r>
    </w:p>
    <w:p w14:paraId="683F9C2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 xml:space="preserve">15.3.2 质量保证金的扣留 </w:t>
      </w:r>
    </w:p>
    <w:p w14:paraId="0C6688F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质量保证金的扣留采取以下第种方式：</w:t>
      </w:r>
    </w:p>
    <w:p w14:paraId="668DDD5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（1）在支付工程进度款时逐次扣留，在此情形下，质量保证金的计算基数不包括预付款的支付、扣回以及价格调整的金额；</w:t>
      </w:r>
    </w:p>
    <w:p w14:paraId="5338AA0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（2）工程竣工结算时一次性扣留质量保证金；</w:t>
      </w:r>
    </w:p>
    <w:p w14:paraId="6C84EC4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（3）其他扣留方式:</w:t>
      </w:r>
    </w:p>
    <w:p w14:paraId="1063E62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关于质量保证金的补充约定：</w:t>
      </w:r>
    </w:p>
    <w:bookmarkEnd w:id="595"/>
    <w:bookmarkEnd w:id="596"/>
    <w:p w14:paraId="49F6F6E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15.4保修</w:t>
      </w:r>
    </w:p>
    <w:bookmarkEnd w:id="597"/>
    <w:p w14:paraId="5F2E461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15.4.1 保修责任</w:t>
      </w:r>
    </w:p>
    <w:p w14:paraId="1B452F4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工程保修期为：</w:t>
      </w:r>
    </w:p>
    <w:p w14:paraId="539CDC06">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15.4.3 修复通知</w:t>
      </w:r>
    </w:p>
    <w:p w14:paraId="722AE9DA">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承包人收到保修通知并到达工程现场的合理时间：</w:t>
      </w:r>
    </w:p>
    <w:bookmarkEnd w:id="598"/>
    <w:bookmarkEnd w:id="599"/>
    <w:bookmarkEnd w:id="600"/>
    <w:bookmarkEnd w:id="601"/>
    <w:p w14:paraId="0B257E2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bookmarkStart w:id="624" w:name="_Toc351203648"/>
      <w:bookmarkStart w:id="625" w:name="_Toc280868717"/>
      <w:bookmarkStart w:id="626" w:name="_Toc280868718"/>
      <w:r>
        <w:rPr>
          <w:rFonts w:hint="eastAsia" w:ascii="宋体" w:hAnsi="宋体" w:eastAsia="宋体" w:cs="宋体"/>
          <w:bCs/>
          <w:sz w:val="24"/>
          <w:szCs w:val="21"/>
          <w:highlight w:val="none"/>
        </w:rPr>
        <w:t>16. 违约</w:t>
      </w:r>
      <w:bookmarkEnd w:id="624"/>
    </w:p>
    <w:p w14:paraId="4606277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16.1 发包人违约</w:t>
      </w:r>
    </w:p>
    <w:p w14:paraId="3F045D1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16.1.1发包人违约的情形</w:t>
      </w:r>
    </w:p>
    <w:p w14:paraId="1B281EB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发包人违约的其他情形：</w:t>
      </w:r>
    </w:p>
    <w:p w14:paraId="67B4BDF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16.1.2 发包人违约的责任</w:t>
      </w:r>
    </w:p>
    <w:p w14:paraId="4BADFAE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发包人违约责任的承担方式和计算方法：</w:t>
      </w:r>
    </w:p>
    <w:p w14:paraId="13019FA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（1）因发包人原因未能在计划开工日期前7天内下达开工通知的违约责任：</w:t>
      </w:r>
    </w:p>
    <w:p w14:paraId="6D39EF3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（2）因发包人原因未能按合同约定支付合同价款的违约责任：</w:t>
      </w:r>
    </w:p>
    <w:p w14:paraId="664AF6D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（3）发包人违反第10.1款〔变更的范围〕第（2）项约定，自行实施被取消的工作或转由他人实施的违约责任：</w:t>
      </w:r>
    </w:p>
    <w:p w14:paraId="20425BC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（4）发包人提供的材料、工程设备的规格、数量或质量不符合合同约定，或因发包人原因导致交货日期延误或交货地点变更等情况的违约责任：</w:t>
      </w:r>
    </w:p>
    <w:p w14:paraId="59C5629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（5）因发包人违反合同约定造成暂停施工的违约责任：</w:t>
      </w:r>
    </w:p>
    <w:p w14:paraId="0B1DC05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（6）发包人无正当理由没有在约定期限内发出复工指示，导致承包人无法复工的违约责任：</w:t>
      </w:r>
    </w:p>
    <w:p w14:paraId="2C786ED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（7）其他：</w:t>
      </w:r>
    </w:p>
    <w:p w14:paraId="2A856BC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16.1.3 因发包人违约解除合同</w:t>
      </w:r>
    </w:p>
    <w:p w14:paraId="71E95A2C">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承包人按16.1.1项〔发包人违约的情形〕约定暂停施工满天后发包人仍不纠正其违约行为并致使合同目的不能实现的，承包人有权解除合同。</w:t>
      </w:r>
    </w:p>
    <w:p w14:paraId="4E77E56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16.2 承包人违约</w:t>
      </w:r>
    </w:p>
    <w:p w14:paraId="13C71DA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16.2.1 承包人违约的情形</w:t>
      </w:r>
    </w:p>
    <w:p w14:paraId="6FCB761A">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承包人违约的其他情形：</w:t>
      </w:r>
    </w:p>
    <w:p w14:paraId="6721B0A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16.2.2承包人违约的责任</w:t>
      </w:r>
    </w:p>
    <w:p w14:paraId="1964BCB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承包人违约责任的承担方式和计算方法：</w:t>
      </w:r>
    </w:p>
    <w:p w14:paraId="263352E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16.2.3 因承包人违约解除合同</w:t>
      </w:r>
    </w:p>
    <w:p w14:paraId="1C8AFFAA">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关于承包人违约解除合同的特别约定：</w:t>
      </w:r>
    </w:p>
    <w:p w14:paraId="4F502E5A">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发包人继续使用承包人在施工现场的材料、设备、临时工程、承包人文件和由承包人或以其名义编制的其他文件的费用承担方式：</w:t>
      </w:r>
    </w:p>
    <w:p w14:paraId="674D8C3B">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bookmarkStart w:id="627" w:name="_Toc351203649"/>
      <w:r>
        <w:rPr>
          <w:rFonts w:hint="eastAsia" w:ascii="宋体" w:hAnsi="宋体" w:eastAsia="宋体" w:cs="宋体"/>
          <w:bCs/>
          <w:sz w:val="24"/>
          <w:szCs w:val="21"/>
          <w:highlight w:val="none"/>
        </w:rPr>
        <w:t>17. 不可抗力</w:t>
      </w:r>
      <w:bookmarkEnd w:id="625"/>
      <w:bookmarkEnd w:id="627"/>
    </w:p>
    <w:p w14:paraId="31DC788B">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17.1 不可抗力的确认</w:t>
      </w:r>
    </w:p>
    <w:p w14:paraId="2379048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 xml:space="preserve">除通用合同条款约定的不可抗力事件之外，视为不可抗力的其他情形： </w:t>
      </w:r>
    </w:p>
    <w:p w14:paraId="759D1F0C">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17.4 因不可抗力解除合同</w:t>
      </w:r>
    </w:p>
    <w:p w14:paraId="27D9A5D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合同解除后，发包人应在商定或确定发包人应支付款项后天内完成款项的支付。</w:t>
      </w:r>
    </w:p>
    <w:p w14:paraId="4067492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bookmarkStart w:id="628" w:name="_Toc351203650"/>
      <w:r>
        <w:rPr>
          <w:rFonts w:hint="eastAsia" w:ascii="宋体" w:hAnsi="宋体" w:eastAsia="宋体" w:cs="宋体"/>
          <w:bCs/>
          <w:sz w:val="24"/>
          <w:szCs w:val="21"/>
          <w:highlight w:val="none"/>
        </w:rPr>
        <w:t>18. 保险</w:t>
      </w:r>
      <w:bookmarkEnd w:id="628"/>
    </w:p>
    <w:bookmarkEnd w:id="626"/>
    <w:p w14:paraId="6DC8BBCC">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18.1 工程保险</w:t>
      </w:r>
    </w:p>
    <w:p w14:paraId="72911FCE">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关于工程保险的特别约定：</w:t>
      </w:r>
    </w:p>
    <w:p w14:paraId="706182E3">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18.3 其他保险</w:t>
      </w:r>
    </w:p>
    <w:p w14:paraId="25697A1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关于其他保险的约定：</w:t>
      </w:r>
    </w:p>
    <w:p w14:paraId="450AA35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承包人是否应为其施工设备等办理财产保险：</w:t>
      </w:r>
    </w:p>
    <w:p w14:paraId="31AEF8E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18.7 通知义务</w:t>
      </w:r>
    </w:p>
    <w:p w14:paraId="3D80550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关于变更保险合同时的通知义务的约定：</w:t>
      </w:r>
    </w:p>
    <w:bookmarkEnd w:id="602"/>
    <w:bookmarkEnd w:id="603"/>
    <w:bookmarkEnd w:id="604"/>
    <w:bookmarkEnd w:id="605"/>
    <w:bookmarkEnd w:id="606"/>
    <w:bookmarkEnd w:id="607"/>
    <w:bookmarkEnd w:id="608"/>
    <w:bookmarkEnd w:id="609"/>
    <w:bookmarkEnd w:id="610"/>
    <w:bookmarkEnd w:id="611"/>
    <w:bookmarkEnd w:id="612"/>
    <w:bookmarkEnd w:id="613"/>
    <w:p w14:paraId="2F0367C8">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sz w:val="24"/>
          <w:szCs w:val="21"/>
          <w:highlight w:val="none"/>
        </w:rPr>
      </w:pPr>
      <w:bookmarkStart w:id="629" w:name="_Toc351203651"/>
      <w:r>
        <w:rPr>
          <w:rFonts w:hint="eastAsia" w:ascii="宋体" w:hAnsi="宋体" w:eastAsia="宋体" w:cs="宋体"/>
          <w:bCs/>
          <w:sz w:val="24"/>
          <w:szCs w:val="21"/>
          <w:highlight w:val="none"/>
        </w:rPr>
        <w:t>20. 争议解决</w:t>
      </w:r>
      <w:bookmarkEnd w:id="629"/>
    </w:p>
    <w:bookmarkEnd w:id="614"/>
    <w:bookmarkEnd w:id="615"/>
    <w:p w14:paraId="6A28308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20.3 争</w:t>
      </w:r>
      <w:bookmarkEnd w:id="616"/>
      <w:r>
        <w:rPr>
          <w:rFonts w:hint="eastAsia" w:ascii="宋体" w:hAnsi="宋体" w:eastAsia="宋体" w:cs="宋体"/>
          <w:sz w:val="24"/>
          <w:szCs w:val="21"/>
          <w:highlight w:val="none"/>
        </w:rPr>
        <w:t>议评审</w:t>
      </w:r>
    </w:p>
    <w:p w14:paraId="4535C581">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合同当事人是否同意将工程争议提交争议评审小组决定：</w:t>
      </w:r>
    </w:p>
    <w:p w14:paraId="031C140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20.3.1 争议评审小组的确定</w:t>
      </w:r>
    </w:p>
    <w:p w14:paraId="27AD9E7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争议评审小组成员的确定：</w:t>
      </w:r>
    </w:p>
    <w:p w14:paraId="63EA9D24">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选定争议评审员的期限：</w:t>
      </w:r>
    </w:p>
    <w:p w14:paraId="6CCEE160">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争议评审小组成员的报酬承担方式：</w:t>
      </w:r>
    </w:p>
    <w:p w14:paraId="741D8EEF">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其他事项的约定：</w:t>
      </w:r>
    </w:p>
    <w:p w14:paraId="6595B9C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20.3.2 争议评审小组的决定</w:t>
      </w:r>
    </w:p>
    <w:p w14:paraId="2CBDD9AD">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合同当事人关于本项的约定：</w:t>
      </w:r>
    </w:p>
    <w:p w14:paraId="51BB2B7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20.4仲裁或诉讼</w:t>
      </w:r>
      <w:bookmarkEnd w:id="617"/>
    </w:p>
    <w:p w14:paraId="112A2EB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因合同及合同有关事项发生的争议，按下列第种方式解决：</w:t>
      </w:r>
    </w:p>
    <w:p w14:paraId="28F07E69">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（1）向仲裁委员会申请仲裁；</w:t>
      </w:r>
    </w:p>
    <w:p w14:paraId="3EC9BB1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（2）向人民法院起诉。</w:t>
      </w:r>
      <w:bookmarkEnd w:id="618"/>
      <w:bookmarkEnd w:id="619"/>
      <w:bookmarkEnd w:id="620"/>
      <w:bookmarkEnd w:id="621"/>
      <w:bookmarkEnd w:id="622"/>
      <w:bookmarkEnd w:id="623"/>
      <w:bookmarkStart w:id="630" w:name="_Toc351203652"/>
    </w:p>
    <w:p w14:paraId="2E811175">
      <w:pPr>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sz w:val="24"/>
          <w:szCs w:val="21"/>
          <w:highlight w:val="none"/>
        </w:rPr>
      </w:pPr>
      <w:r>
        <w:rPr>
          <w:rFonts w:hint="eastAsia" w:ascii="宋体" w:hAnsi="宋体" w:eastAsia="宋体" w:cs="宋体"/>
          <w:b/>
          <w:sz w:val="24"/>
          <w:szCs w:val="21"/>
          <w:highlight w:val="none"/>
        </w:rPr>
        <w:t>附件</w:t>
      </w:r>
      <w:bookmarkEnd w:id="630"/>
    </w:p>
    <w:p w14:paraId="06E412D5">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协议书附件：</w:t>
      </w:r>
    </w:p>
    <w:p w14:paraId="0A66205B">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附件1：工程质量保修书</w:t>
      </w:r>
    </w:p>
    <w:p w14:paraId="1BA51C17">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附件2：主要建设工程文件目录</w:t>
      </w:r>
    </w:p>
    <w:p w14:paraId="6117E192">
      <w:pPr>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附件3：承包人用于本工程施工的机械设备表</w:t>
      </w:r>
    </w:p>
    <w:p w14:paraId="64F1439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1"/>
          <w:highlight w:val="none"/>
        </w:rPr>
        <w:t>附件4：承包人主要施工管理人员表</w:t>
      </w:r>
    </w:p>
    <w:p w14:paraId="286E0D4E">
      <w:pPr>
        <w:pStyle w:val="10"/>
        <w:pageBreakBefore w:val="0"/>
        <w:kinsoku/>
        <w:wordWrap/>
        <w:overflowPunct/>
        <w:topLinePunct w:val="0"/>
        <w:bidi w:val="0"/>
        <w:spacing w:line="360" w:lineRule="auto"/>
        <w:textAlignment w:val="auto"/>
        <w:rPr>
          <w:rFonts w:hint="eastAsia" w:ascii="宋体" w:hAnsi="宋体" w:eastAsia="宋体" w:cs="宋体"/>
          <w:highlight w:val="none"/>
        </w:rPr>
        <w:sectPr>
          <w:endnotePr>
            <w:numFmt w:val="decimal"/>
          </w:endnotePr>
          <w:pgSz w:w="11907" w:h="16840"/>
          <w:pgMar w:top="1418" w:right="1287" w:bottom="1446" w:left="1259" w:header="907" w:footer="654" w:gutter="0"/>
          <w:pgNumType w:fmt="decimal"/>
          <w:cols w:space="720" w:num="1"/>
          <w:titlePg/>
        </w:sectPr>
      </w:pPr>
    </w:p>
    <w:p w14:paraId="1B31E2B9">
      <w:pPr>
        <w:pageBreakBefore w:val="0"/>
        <w:kinsoku/>
        <w:wordWrap/>
        <w:overflowPunct/>
        <w:topLinePunct w:val="0"/>
        <w:bidi w:val="0"/>
        <w:spacing w:line="360" w:lineRule="auto"/>
        <w:textAlignment w:val="auto"/>
        <w:rPr>
          <w:rFonts w:hint="eastAsia" w:ascii="宋体" w:hAnsi="宋体" w:eastAsia="宋体" w:cs="宋体"/>
        </w:rPr>
      </w:pPr>
    </w:p>
    <w:p w14:paraId="2EECC4C1">
      <w:pPr>
        <w:pStyle w:val="3"/>
        <w:pageBreakBefore w:val="0"/>
        <w:kinsoku/>
        <w:wordWrap/>
        <w:overflowPunct/>
        <w:topLinePunct w:val="0"/>
        <w:bidi w:val="0"/>
        <w:spacing w:before="0" w:after="0" w:line="360" w:lineRule="auto"/>
        <w:ind w:firstLine="1446" w:firstLineChars="400"/>
        <w:jc w:val="both"/>
        <w:textAlignment w:val="auto"/>
        <w:rPr>
          <w:rFonts w:hint="eastAsia" w:ascii="宋体" w:hAnsi="宋体" w:eastAsia="宋体" w:cs="宋体"/>
          <w:sz w:val="36"/>
          <w:szCs w:val="36"/>
        </w:rPr>
      </w:pPr>
      <w:bookmarkStart w:id="631" w:name="_Toc24211"/>
      <w:r>
        <w:rPr>
          <w:rFonts w:hint="eastAsia" w:ascii="宋体" w:hAnsi="宋体" w:eastAsia="宋体" w:cs="宋体"/>
          <w:sz w:val="36"/>
          <w:szCs w:val="36"/>
        </w:rPr>
        <w:t>第</w:t>
      </w:r>
      <w:r>
        <w:rPr>
          <w:rFonts w:hint="eastAsia" w:ascii="宋体" w:hAnsi="宋体" w:eastAsia="宋体" w:cs="宋体"/>
          <w:sz w:val="36"/>
          <w:szCs w:val="36"/>
          <w:lang w:eastAsia="zh-CN"/>
        </w:rPr>
        <w:t>六</w:t>
      </w:r>
      <w:r>
        <w:rPr>
          <w:rFonts w:hint="eastAsia" w:ascii="宋体" w:hAnsi="宋体" w:eastAsia="宋体" w:cs="宋体"/>
          <w:sz w:val="36"/>
          <w:szCs w:val="36"/>
        </w:rPr>
        <w:t>部分  竞争性磋商响应文件格式</w:t>
      </w:r>
      <w:bookmarkEnd w:id="83"/>
      <w:bookmarkEnd w:id="84"/>
      <w:bookmarkEnd w:id="631"/>
    </w:p>
    <w:p w14:paraId="5D221A6A">
      <w:pPr>
        <w:pageBreakBefore w:val="0"/>
        <w:kinsoku/>
        <w:wordWrap/>
        <w:overflowPunct/>
        <w:topLinePunct w:val="0"/>
        <w:bidi w:val="0"/>
        <w:spacing w:line="360" w:lineRule="auto"/>
        <w:ind w:firstLine="562" w:firstLineChars="200"/>
        <w:jc w:val="center"/>
        <w:textAlignment w:val="auto"/>
        <w:rPr>
          <w:rFonts w:hint="eastAsia" w:ascii="宋体" w:hAnsi="宋体" w:eastAsia="宋体" w:cs="宋体"/>
          <w:b/>
          <w:sz w:val="28"/>
          <w:szCs w:val="28"/>
        </w:rPr>
      </w:pPr>
    </w:p>
    <w:p w14:paraId="7700F216">
      <w:pPr>
        <w:bidi w:val="0"/>
        <w:spacing w:line="360" w:lineRule="auto"/>
        <w:jc w:val="center"/>
        <w:rPr>
          <w:rFonts w:hint="eastAsia"/>
          <w:b/>
          <w:bCs/>
          <w:sz w:val="24"/>
          <w:szCs w:val="24"/>
        </w:rPr>
      </w:pPr>
      <w:bookmarkStart w:id="632" w:name="_Toc22256"/>
      <w:r>
        <w:rPr>
          <w:rFonts w:hint="eastAsia"/>
          <w:b/>
          <w:bCs/>
          <w:sz w:val="24"/>
          <w:szCs w:val="24"/>
        </w:rPr>
        <w:t>竞争性磋商响应文件编制说明</w:t>
      </w:r>
      <w:bookmarkEnd w:id="632"/>
    </w:p>
    <w:p w14:paraId="24B08959">
      <w:pPr>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竞争性磋商响应文件应当使用竞争性磋商文件规定的全部格式（表格可以按同样格式扩展）编写，除明确允许供应商可以自行编写的外，供应商不得以“竞争性磋商响应文件格式”规定之外的方式填写相关内容。</w:t>
      </w:r>
    </w:p>
    <w:p w14:paraId="61820A6C">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竞争性磋商响应文件的编制应按照样本格式提供的内容，做出逐一明确的答复；供应商认为有必要，还可以做其它补充说明。</w:t>
      </w:r>
    </w:p>
    <w:p w14:paraId="452B89DD">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供应商必须按照竞争性磋商文件的规定和要求由法定代表人或被授权人签字（或盖章），签字盖章的地方必须签字盖章，并加盖骑缝章（鲜章），副本可以是正本的复印件。纸质竞争性磋商响应文件均须A4纸双面或单面打印，分别各自装订成册</w:t>
      </w:r>
      <w:r>
        <w:rPr>
          <w:rFonts w:hint="eastAsia" w:ascii="宋体" w:hAnsi="宋体" w:eastAsia="宋体" w:cs="宋体"/>
          <w:sz w:val="24"/>
          <w:szCs w:val="24"/>
          <w:highlight w:val="none"/>
        </w:rPr>
        <w:t>并编制目录和页码。</w:t>
      </w:r>
    </w:p>
    <w:p w14:paraId="16570888">
      <w:pPr>
        <w:pageBreakBefore w:val="0"/>
        <w:kinsoku/>
        <w:wordWrap/>
        <w:overflowPunct/>
        <w:topLinePunct w:val="0"/>
        <w:bidi w:val="0"/>
        <w:spacing w:line="360" w:lineRule="auto"/>
        <w:ind w:firstLine="1134"/>
        <w:textAlignment w:val="auto"/>
        <w:rPr>
          <w:rFonts w:hint="eastAsia" w:ascii="宋体" w:hAnsi="宋体" w:eastAsia="宋体" w:cs="宋体"/>
          <w:sz w:val="24"/>
          <w:szCs w:val="24"/>
        </w:rPr>
      </w:pPr>
    </w:p>
    <w:p w14:paraId="1629B7A0">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p>
    <w:p w14:paraId="19AB4C78">
      <w:pPr>
        <w:pageBreakBefore w:val="0"/>
        <w:kinsoku/>
        <w:wordWrap/>
        <w:overflowPunct/>
        <w:topLinePunct w:val="0"/>
        <w:bidi w:val="0"/>
        <w:spacing w:line="360" w:lineRule="auto"/>
        <w:ind w:firstLine="560"/>
        <w:textAlignment w:val="auto"/>
        <w:rPr>
          <w:rFonts w:hint="eastAsia" w:ascii="宋体" w:hAnsi="宋体" w:eastAsia="宋体" w:cs="宋体"/>
          <w:sz w:val="24"/>
          <w:szCs w:val="24"/>
        </w:rPr>
      </w:pPr>
    </w:p>
    <w:p w14:paraId="5CE27730">
      <w:pPr>
        <w:pageBreakBefore w:val="0"/>
        <w:kinsoku/>
        <w:wordWrap/>
        <w:overflowPunct/>
        <w:topLinePunct w:val="0"/>
        <w:bidi w:val="0"/>
        <w:spacing w:line="360" w:lineRule="auto"/>
        <w:ind w:firstLine="560"/>
        <w:textAlignment w:val="auto"/>
        <w:rPr>
          <w:rFonts w:hint="eastAsia" w:ascii="宋体" w:hAnsi="宋体" w:eastAsia="宋体" w:cs="宋体"/>
          <w:sz w:val="28"/>
          <w:szCs w:val="28"/>
        </w:rPr>
      </w:pPr>
    </w:p>
    <w:p w14:paraId="7D3C5684">
      <w:pPr>
        <w:pageBreakBefore w:val="0"/>
        <w:kinsoku/>
        <w:wordWrap/>
        <w:overflowPunct/>
        <w:topLinePunct w:val="0"/>
        <w:bidi w:val="0"/>
        <w:spacing w:line="360" w:lineRule="auto"/>
        <w:ind w:firstLine="560"/>
        <w:textAlignment w:val="auto"/>
        <w:rPr>
          <w:rFonts w:hint="eastAsia" w:ascii="宋体" w:hAnsi="宋体" w:eastAsia="宋体" w:cs="宋体"/>
          <w:sz w:val="28"/>
          <w:szCs w:val="28"/>
        </w:rPr>
      </w:pPr>
    </w:p>
    <w:p w14:paraId="69115980">
      <w:pPr>
        <w:pageBreakBefore w:val="0"/>
        <w:kinsoku/>
        <w:wordWrap/>
        <w:overflowPunct/>
        <w:topLinePunct w:val="0"/>
        <w:bidi w:val="0"/>
        <w:spacing w:line="360" w:lineRule="auto"/>
        <w:ind w:firstLine="560"/>
        <w:textAlignment w:val="auto"/>
        <w:rPr>
          <w:rFonts w:hint="eastAsia" w:ascii="宋体" w:hAnsi="宋体" w:eastAsia="宋体" w:cs="宋体"/>
          <w:sz w:val="28"/>
          <w:szCs w:val="28"/>
        </w:rPr>
      </w:pPr>
    </w:p>
    <w:p w14:paraId="4C2302DF">
      <w:pPr>
        <w:pStyle w:val="14"/>
        <w:rPr>
          <w:rFonts w:hint="eastAsia" w:ascii="宋体" w:hAnsi="宋体" w:eastAsia="宋体" w:cs="宋体"/>
          <w:sz w:val="28"/>
          <w:szCs w:val="28"/>
        </w:rPr>
      </w:pPr>
    </w:p>
    <w:p w14:paraId="0C3FF7B1">
      <w:pPr>
        <w:pStyle w:val="14"/>
        <w:rPr>
          <w:rFonts w:hint="eastAsia" w:ascii="宋体" w:hAnsi="宋体" w:eastAsia="宋体" w:cs="宋体"/>
          <w:sz w:val="28"/>
          <w:szCs w:val="28"/>
        </w:rPr>
      </w:pPr>
    </w:p>
    <w:p w14:paraId="1A9D6979">
      <w:pPr>
        <w:pageBreakBefore w:val="0"/>
        <w:kinsoku/>
        <w:wordWrap/>
        <w:overflowPunct/>
        <w:topLinePunct w:val="0"/>
        <w:bidi w:val="0"/>
        <w:spacing w:line="360" w:lineRule="auto"/>
        <w:ind w:firstLine="560"/>
        <w:textAlignment w:val="auto"/>
        <w:rPr>
          <w:rFonts w:hint="eastAsia" w:ascii="宋体" w:hAnsi="宋体" w:eastAsia="宋体" w:cs="宋体"/>
          <w:sz w:val="28"/>
          <w:szCs w:val="28"/>
        </w:rPr>
      </w:pPr>
    </w:p>
    <w:p w14:paraId="37D44D0A">
      <w:pPr>
        <w:pageBreakBefore w:val="0"/>
        <w:kinsoku/>
        <w:wordWrap/>
        <w:overflowPunct/>
        <w:topLinePunct w:val="0"/>
        <w:bidi w:val="0"/>
        <w:spacing w:line="360" w:lineRule="auto"/>
        <w:ind w:firstLine="560"/>
        <w:textAlignment w:val="auto"/>
        <w:rPr>
          <w:rFonts w:hint="eastAsia" w:ascii="宋体" w:hAnsi="宋体" w:eastAsia="宋体" w:cs="宋体"/>
          <w:sz w:val="28"/>
          <w:szCs w:val="28"/>
        </w:rPr>
      </w:pPr>
    </w:p>
    <w:p w14:paraId="7A1F1A58">
      <w:pPr>
        <w:pageBreakBefore w:val="0"/>
        <w:kinsoku/>
        <w:wordWrap/>
        <w:overflowPunct/>
        <w:topLinePunct w:val="0"/>
        <w:bidi w:val="0"/>
        <w:spacing w:line="360" w:lineRule="auto"/>
        <w:ind w:firstLine="560"/>
        <w:textAlignment w:val="auto"/>
        <w:rPr>
          <w:rFonts w:hint="eastAsia" w:ascii="宋体" w:hAnsi="宋体" w:eastAsia="宋体" w:cs="宋体"/>
          <w:sz w:val="28"/>
          <w:szCs w:val="28"/>
        </w:rPr>
      </w:pPr>
    </w:p>
    <w:p w14:paraId="3EF175FF">
      <w:pPr>
        <w:pageBreakBefore w:val="0"/>
        <w:kinsoku/>
        <w:wordWrap/>
        <w:overflowPunct/>
        <w:topLinePunct w:val="0"/>
        <w:bidi w:val="0"/>
        <w:spacing w:line="360" w:lineRule="auto"/>
        <w:textAlignment w:val="auto"/>
        <w:rPr>
          <w:rFonts w:hint="eastAsia" w:ascii="宋体" w:hAnsi="宋体" w:eastAsia="宋体" w:cs="宋体"/>
          <w:sz w:val="28"/>
          <w:szCs w:val="28"/>
        </w:rPr>
      </w:pPr>
    </w:p>
    <w:p w14:paraId="49BB7036">
      <w:pPr>
        <w:pageBreakBefore w:val="0"/>
        <w:kinsoku/>
        <w:wordWrap/>
        <w:overflowPunct/>
        <w:topLinePunct w:val="0"/>
        <w:bidi w:val="0"/>
        <w:spacing w:line="360" w:lineRule="auto"/>
        <w:ind w:firstLine="560"/>
        <w:jc w:val="right"/>
        <w:textAlignment w:val="auto"/>
        <w:rPr>
          <w:rFonts w:hint="eastAsia" w:ascii="宋体" w:hAnsi="宋体" w:eastAsia="宋体" w:cs="宋体"/>
          <w:sz w:val="28"/>
          <w:szCs w:val="28"/>
        </w:rPr>
      </w:pPr>
    </w:p>
    <w:p w14:paraId="59E28CEF">
      <w:pPr>
        <w:pageBreakBefore w:val="0"/>
        <w:kinsoku/>
        <w:wordWrap/>
        <w:overflowPunct/>
        <w:topLinePunct w:val="0"/>
        <w:bidi w:val="0"/>
        <w:spacing w:line="360" w:lineRule="auto"/>
        <w:ind w:right="560"/>
        <w:textAlignment w:val="auto"/>
        <w:rPr>
          <w:rFonts w:hint="eastAsia" w:ascii="宋体" w:hAnsi="宋体" w:eastAsia="宋体" w:cs="宋体"/>
          <w:sz w:val="28"/>
          <w:szCs w:val="28"/>
        </w:rPr>
      </w:pPr>
    </w:p>
    <w:p w14:paraId="563D8AF3">
      <w:pPr>
        <w:pStyle w:val="12"/>
        <w:rPr>
          <w:rFonts w:hint="eastAsia" w:ascii="宋体" w:hAnsi="宋体" w:eastAsia="宋体" w:cs="宋体"/>
          <w:sz w:val="28"/>
          <w:szCs w:val="28"/>
        </w:rPr>
      </w:pPr>
    </w:p>
    <w:p w14:paraId="40FF8E55">
      <w:pPr>
        <w:pStyle w:val="12"/>
        <w:rPr>
          <w:rFonts w:hint="eastAsia" w:ascii="宋体" w:hAnsi="宋体" w:eastAsia="宋体" w:cs="宋体"/>
          <w:sz w:val="28"/>
          <w:szCs w:val="28"/>
        </w:rPr>
      </w:pPr>
    </w:p>
    <w:p w14:paraId="0C34EE4E">
      <w:pPr>
        <w:keepNext w:val="0"/>
        <w:keepLines w:val="0"/>
        <w:pageBreakBefore w:val="0"/>
        <w:widowControl w:val="0"/>
        <w:kinsoku/>
        <w:overflowPunct/>
        <w:topLinePunct w:val="0"/>
        <w:autoSpaceDE/>
        <w:autoSpaceDN/>
        <w:bidi w:val="0"/>
        <w:adjustRightInd/>
        <w:snapToGrid/>
        <w:spacing w:line="360" w:lineRule="auto"/>
        <w:jc w:val="right"/>
        <w:textAlignment w:val="auto"/>
        <w:rPr>
          <w:rFonts w:hint="eastAsia" w:ascii="宋体" w:hAnsi="宋体" w:eastAsia="宋体" w:cs="宋体"/>
          <w:b/>
          <w:kern w:val="2"/>
          <w:sz w:val="36"/>
          <w:szCs w:val="36"/>
          <w:highlight w:val="none"/>
          <w:lang w:eastAsia="zh-CN"/>
        </w:rPr>
      </w:pPr>
      <w:bookmarkStart w:id="633" w:name="_Toc1428"/>
      <w:r>
        <w:rPr>
          <w:rFonts w:hint="eastAsia" w:ascii="宋体" w:hAnsi="宋体" w:eastAsia="宋体" w:cs="宋体"/>
          <w:b/>
          <w:kern w:val="2"/>
          <w:sz w:val="36"/>
          <w:szCs w:val="36"/>
          <w:highlight w:val="none"/>
          <w:lang w:val="en-US" w:eastAsia="zh-CN" w:bidi="ar-SA"/>
        </w:rPr>
        <w:t>正/副本</w:t>
      </w:r>
      <w:bookmarkEnd w:id="633"/>
    </w:p>
    <w:p w14:paraId="7A6ADCEF">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
          <w:kern w:val="2"/>
          <w:sz w:val="36"/>
          <w:szCs w:val="36"/>
          <w:highlight w:val="none"/>
          <w:lang w:eastAsia="zh-CN"/>
        </w:rPr>
      </w:pPr>
    </w:p>
    <w:p w14:paraId="23EB1AE2">
      <w:pPr>
        <w:pageBreakBefore w:val="0"/>
        <w:kinsoku/>
        <w:wordWrap/>
        <w:overflowPunct/>
        <w:topLinePunct w:val="0"/>
        <w:bidi w:val="0"/>
        <w:spacing w:line="360" w:lineRule="auto"/>
        <w:jc w:val="left"/>
        <w:textAlignment w:val="auto"/>
        <w:rPr>
          <w:rFonts w:hint="eastAsia" w:ascii="宋体" w:hAnsi="宋体" w:eastAsia="宋体" w:cs="宋体"/>
          <w:b/>
          <w:kern w:val="2"/>
          <w:sz w:val="36"/>
          <w:szCs w:val="36"/>
          <w:highlight w:val="none"/>
          <w:lang w:eastAsia="zh-CN"/>
        </w:rPr>
      </w:pPr>
      <w:r>
        <w:rPr>
          <w:rFonts w:hint="eastAsia" w:ascii="宋体" w:hAnsi="宋体" w:eastAsia="宋体" w:cs="宋体"/>
          <w:b/>
          <w:kern w:val="2"/>
          <w:sz w:val="36"/>
          <w:szCs w:val="36"/>
          <w:highlight w:val="none"/>
          <w:lang w:eastAsia="zh-CN"/>
        </w:rPr>
        <w:t>项目编号:JZZB-2025-239</w:t>
      </w:r>
    </w:p>
    <w:p w14:paraId="0D9417F1">
      <w:pPr>
        <w:pageBreakBefore w:val="0"/>
        <w:kinsoku/>
        <w:wordWrap/>
        <w:overflowPunct/>
        <w:topLinePunct w:val="0"/>
        <w:bidi w:val="0"/>
        <w:spacing w:line="360" w:lineRule="auto"/>
        <w:jc w:val="left"/>
        <w:textAlignment w:val="auto"/>
        <w:rPr>
          <w:rFonts w:hint="eastAsia" w:ascii="宋体" w:hAnsi="宋体" w:eastAsia="宋体" w:cs="宋体"/>
          <w:b/>
          <w:sz w:val="56"/>
          <w:szCs w:val="56"/>
        </w:rPr>
      </w:pPr>
      <w:r>
        <w:rPr>
          <w:rFonts w:hint="eastAsia" w:ascii="宋体" w:hAnsi="宋体" w:eastAsia="宋体" w:cs="宋体"/>
          <w:b/>
          <w:kern w:val="2"/>
          <w:sz w:val="36"/>
          <w:szCs w:val="36"/>
          <w:highlight w:val="none"/>
          <w:lang w:eastAsia="zh-CN"/>
        </w:rPr>
        <w:t>项目名称：扶风县职业教育中心厨房、餐厅消防整改工程</w:t>
      </w:r>
    </w:p>
    <w:p w14:paraId="3D9E0D98">
      <w:pPr>
        <w:pageBreakBefore w:val="0"/>
        <w:kinsoku/>
        <w:wordWrap/>
        <w:overflowPunct/>
        <w:topLinePunct w:val="0"/>
        <w:bidi w:val="0"/>
        <w:spacing w:line="360" w:lineRule="auto"/>
        <w:jc w:val="center"/>
        <w:textAlignment w:val="auto"/>
        <w:rPr>
          <w:rFonts w:hint="eastAsia" w:ascii="宋体" w:hAnsi="宋体" w:eastAsia="宋体" w:cs="宋体"/>
          <w:b/>
          <w:sz w:val="44"/>
          <w:szCs w:val="44"/>
        </w:rPr>
      </w:pPr>
    </w:p>
    <w:p w14:paraId="0D6BDFD6">
      <w:pPr>
        <w:pStyle w:val="10"/>
        <w:rPr>
          <w:rFonts w:hint="eastAsia" w:ascii="宋体" w:hAnsi="宋体" w:eastAsia="宋体" w:cs="宋体"/>
          <w:b/>
          <w:sz w:val="44"/>
          <w:szCs w:val="44"/>
        </w:rPr>
      </w:pPr>
    </w:p>
    <w:p w14:paraId="7CD0CEA7">
      <w:pPr>
        <w:pageBreakBefore w:val="0"/>
        <w:kinsoku/>
        <w:wordWrap/>
        <w:overflowPunct/>
        <w:topLinePunct w:val="0"/>
        <w:bidi w:val="0"/>
        <w:spacing w:line="360" w:lineRule="auto"/>
        <w:jc w:val="both"/>
        <w:textAlignment w:val="auto"/>
        <w:rPr>
          <w:rFonts w:hint="eastAsia" w:ascii="宋体" w:hAnsi="宋体" w:eastAsia="宋体" w:cs="宋体"/>
          <w:b/>
          <w:sz w:val="44"/>
          <w:szCs w:val="44"/>
        </w:rPr>
      </w:pPr>
    </w:p>
    <w:p w14:paraId="1D438DB7">
      <w:pPr>
        <w:pageBreakBefore w:val="0"/>
        <w:kinsoku/>
        <w:wordWrap/>
        <w:overflowPunct/>
        <w:topLinePunct w:val="0"/>
        <w:bidi w:val="0"/>
        <w:spacing w:line="360" w:lineRule="auto"/>
        <w:jc w:val="center"/>
        <w:textAlignment w:val="auto"/>
        <w:rPr>
          <w:rFonts w:hint="eastAsia" w:ascii="宋体" w:hAnsi="宋体" w:eastAsia="宋体" w:cs="宋体"/>
          <w:b/>
          <w:sz w:val="52"/>
          <w:szCs w:val="52"/>
        </w:rPr>
      </w:pPr>
      <w:bookmarkStart w:id="634" w:name="_Toc146_WPSOffice_Level1"/>
      <w:bookmarkEnd w:id="634"/>
      <w:bookmarkStart w:id="635" w:name="_Toc1551_WPSOffice_Level1"/>
      <w:bookmarkEnd w:id="635"/>
      <w:bookmarkStart w:id="636" w:name="_Toc22878_WPSOffice_Level1"/>
      <w:r>
        <w:rPr>
          <w:rFonts w:hint="eastAsia" w:ascii="宋体" w:hAnsi="宋体" w:eastAsia="宋体" w:cs="宋体"/>
          <w:b/>
          <w:bCs/>
          <w:spacing w:val="20"/>
          <w:kern w:val="0"/>
          <w:sz w:val="72"/>
          <w:szCs w:val="72"/>
          <w:highlight w:val="none"/>
        </w:rPr>
        <w:t>竞争性磋商响应文件</w:t>
      </w:r>
      <w:bookmarkEnd w:id="636"/>
    </w:p>
    <w:p w14:paraId="24C40AA4">
      <w:pPr>
        <w:pageBreakBefore w:val="0"/>
        <w:kinsoku/>
        <w:wordWrap/>
        <w:overflowPunct/>
        <w:topLinePunct w:val="0"/>
        <w:bidi w:val="0"/>
        <w:spacing w:line="360" w:lineRule="auto"/>
        <w:textAlignment w:val="auto"/>
        <w:rPr>
          <w:rFonts w:hint="eastAsia" w:ascii="宋体" w:hAnsi="宋体" w:eastAsia="宋体" w:cs="宋体"/>
          <w:b/>
          <w:sz w:val="44"/>
          <w:szCs w:val="44"/>
        </w:rPr>
      </w:pPr>
    </w:p>
    <w:p w14:paraId="2D278552">
      <w:pPr>
        <w:pStyle w:val="10"/>
        <w:rPr>
          <w:rFonts w:hint="eastAsia" w:ascii="宋体" w:hAnsi="宋体" w:eastAsia="宋体" w:cs="宋体"/>
          <w:b/>
          <w:sz w:val="44"/>
          <w:szCs w:val="44"/>
        </w:rPr>
      </w:pPr>
    </w:p>
    <w:p w14:paraId="11F10421">
      <w:pPr>
        <w:rPr>
          <w:rFonts w:hint="eastAsia" w:ascii="宋体" w:hAnsi="宋体" w:eastAsia="宋体" w:cs="宋体"/>
          <w:b/>
          <w:sz w:val="44"/>
          <w:szCs w:val="44"/>
        </w:rPr>
      </w:pPr>
    </w:p>
    <w:p w14:paraId="01E1B82E">
      <w:pPr>
        <w:pStyle w:val="12"/>
        <w:rPr>
          <w:rFonts w:hint="eastAsia"/>
        </w:rPr>
      </w:pPr>
    </w:p>
    <w:p w14:paraId="09322A69">
      <w:pPr>
        <w:rPr>
          <w:rFonts w:hint="eastAsia"/>
        </w:rPr>
      </w:pPr>
    </w:p>
    <w:p w14:paraId="70B28503">
      <w:pPr>
        <w:pageBreakBefore w:val="0"/>
        <w:kinsoku/>
        <w:wordWrap/>
        <w:overflowPunct/>
        <w:topLinePunct w:val="0"/>
        <w:bidi w:val="0"/>
        <w:spacing w:line="360" w:lineRule="auto"/>
        <w:textAlignment w:val="auto"/>
        <w:rPr>
          <w:rFonts w:hint="eastAsia" w:ascii="宋体" w:hAnsi="宋体" w:eastAsia="宋体" w:cs="宋体"/>
          <w:b/>
          <w:sz w:val="44"/>
          <w:szCs w:val="44"/>
        </w:rPr>
      </w:pPr>
    </w:p>
    <w:p w14:paraId="59263912">
      <w:pPr>
        <w:pageBreakBefore w:val="0"/>
        <w:kinsoku/>
        <w:wordWrap/>
        <w:overflowPunct/>
        <w:topLinePunct w:val="0"/>
        <w:bidi w:val="0"/>
        <w:spacing w:line="360" w:lineRule="auto"/>
        <w:ind w:firstLine="1807"/>
        <w:textAlignment w:val="auto"/>
        <w:rPr>
          <w:rFonts w:hint="eastAsia" w:ascii="宋体" w:hAnsi="宋体" w:eastAsia="宋体" w:cs="宋体"/>
          <w:b/>
          <w:bCs/>
          <w:sz w:val="30"/>
          <w:szCs w:val="30"/>
          <w:u w:val="single"/>
        </w:rPr>
      </w:pPr>
      <w:bookmarkStart w:id="637" w:name="_Toc27635_WPSOffice_Level1"/>
      <w:bookmarkEnd w:id="637"/>
      <w:bookmarkStart w:id="638" w:name="_Toc3285_WPSOffice_Level1"/>
      <w:bookmarkEnd w:id="638"/>
      <w:bookmarkStart w:id="639" w:name="_Toc32461_WPSOffice_Level1"/>
      <w:r>
        <w:rPr>
          <w:rFonts w:hint="eastAsia" w:ascii="宋体" w:hAnsi="宋体" w:eastAsia="宋体" w:cs="宋体"/>
          <w:b/>
          <w:sz w:val="30"/>
          <w:szCs w:val="30"/>
        </w:rPr>
        <w:t>供</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应</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商：</w:t>
      </w:r>
      <w:bookmarkEnd w:id="639"/>
    </w:p>
    <w:p w14:paraId="261E6EBA">
      <w:pPr>
        <w:pageBreakBefore w:val="0"/>
        <w:kinsoku/>
        <w:wordWrap/>
        <w:overflowPunct/>
        <w:topLinePunct w:val="0"/>
        <w:bidi w:val="0"/>
        <w:spacing w:line="360" w:lineRule="auto"/>
        <w:ind w:firstLine="1780"/>
        <w:textAlignment w:val="auto"/>
        <w:rPr>
          <w:rFonts w:hint="eastAsia" w:ascii="宋体" w:hAnsi="宋体" w:eastAsia="宋体" w:cs="宋体"/>
          <w:b/>
          <w:bCs/>
          <w:sz w:val="30"/>
          <w:szCs w:val="30"/>
          <w:u w:val="single"/>
        </w:rPr>
      </w:pPr>
      <w:bookmarkStart w:id="640" w:name="_Toc5980_WPSOffice_Level1"/>
      <w:bookmarkEnd w:id="640"/>
      <w:bookmarkStart w:id="641" w:name="_Toc25187_WPSOffice_Level1"/>
      <w:bookmarkEnd w:id="641"/>
      <w:bookmarkStart w:id="642" w:name="_Toc538_WPSOffice_Level1"/>
      <w:r>
        <w:rPr>
          <w:rFonts w:hint="eastAsia" w:ascii="宋体" w:hAnsi="宋体" w:eastAsia="宋体" w:cs="宋体"/>
          <w:b/>
          <w:sz w:val="30"/>
          <w:szCs w:val="30"/>
        </w:rPr>
        <w:t>法定代表人或被授权人（签字或盖章）：</w:t>
      </w:r>
      <w:bookmarkEnd w:id="642"/>
    </w:p>
    <w:p w14:paraId="4B21A550">
      <w:pPr>
        <w:pageBreakBefore w:val="0"/>
        <w:kinsoku/>
        <w:wordWrap/>
        <w:overflowPunct/>
        <w:topLinePunct w:val="0"/>
        <w:bidi w:val="0"/>
        <w:spacing w:line="360" w:lineRule="auto"/>
        <w:ind w:firstLine="1780"/>
        <w:textAlignment w:val="auto"/>
        <w:rPr>
          <w:rFonts w:hint="eastAsia" w:ascii="宋体" w:hAnsi="宋体" w:eastAsia="宋体" w:cs="宋体"/>
          <w:b/>
          <w:sz w:val="44"/>
          <w:szCs w:val="44"/>
          <w:u w:val="single"/>
        </w:rPr>
      </w:pPr>
      <w:bookmarkStart w:id="643" w:name="_Toc1764_WPSOffice_Level1"/>
      <w:bookmarkEnd w:id="643"/>
      <w:bookmarkStart w:id="644" w:name="_Toc19927_WPSOffice_Level1"/>
      <w:bookmarkEnd w:id="644"/>
      <w:bookmarkStart w:id="645" w:name="_Toc18129_WPSOffice_Level1"/>
      <w:r>
        <w:rPr>
          <w:rFonts w:hint="eastAsia" w:ascii="宋体" w:hAnsi="宋体" w:eastAsia="宋体" w:cs="宋体"/>
          <w:b/>
          <w:sz w:val="30"/>
          <w:szCs w:val="30"/>
        </w:rPr>
        <w:t>时</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间：</w:t>
      </w:r>
      <w:bookmarkEnd w:id="645"/>
    </w:p>
    <w:p w14:paraId="1DC24415">
      <w:pPr>
        <w:pageBreakBefore w:val="0"/>
        <w:kinsoku/>
        <w:wordWrap/>
        <w:overflowPunct/>
        <w:topLinePunct w:val="0"/>
        <w:bidi w:val="0"/>
        <w:spacing w:line="360" w:lineRule="auto"/>
        <w:ind w:firstLine="2353"/>
        <w:textAlignment w:val="auto"/>
        <w:rPr>
          <w:rFonts w:hint="eastAsia" w:ascii="宋体" w:hAnsi="宋体" w:eastAsia="宋体" w:cs="宋体"/>
          <w:b/>
          <w:sz w:val="28"/>
          <w:szCs w:val="28"/>
        </w:rPr>
      </w:pPr>
    </w:p>
    <w:p w14:paraId="250C5478">
      <w:pPr>
        <w:pageBreakBefore w:val="0"/>
        <w:kinsoku/>
        <w:wordWrap/>
        <w:overflowPunct/>
        <w:topLinePunct w:val="0"/>
        <w:bidi w:val="0"/>
        <w:spacing w:line="360" w:lineRule="auto"/>
        <w:ind w:firstLine="2353"/>
        <w:textAlignment w:val="auto"/>
        <w:rPr>
          <w:rFonts w:hint="eastAsia" w:ascii="宋体" w:hAnsi="宋体" w:eastAsia="宋体" w:cs="宋体"/>
          <w:b/>
          <w:sz w:val="28"/>
          <w:szCs w:val="28"/>
        </w:rPr>
      </w:pPr>
    </w:p>
    <w:p w14:paraId="6DA42E40">
      <w:pPr>
        <w:pStyle w:val="10"/>
        <w:pageBreakBefore w:val="0"/>
        <w:kinsoku/>
        <w:wordWrap/>
        <w:overflowPunct/>
        <w:topLinePunct w:val="0"/>
        <w:bidi w:val="0"/>
        <w:spacing w:line="360" w:lineRule="auto"/>
        <w:textAlignment w:val="auto"/>
        <w:rPr>
          <w:rFonts w:hint="eastAsia" w:ascii="宋体" w:hAnsi="宋体" w:eastAsia="宋体" w:cs="宋体"/>
        </w:rPr>
      </w:pPr>
    </w:p>
    <w:p w14:paraId="31D48039">
      <w:pPr>
        <w:bidi w:val="0"/>
        <w:jc w:val="center"/>
        <w:rPr>
          <w:rFonts w:hint="eastAsia"/>
          <w:b/>
          <w:bCs/>
          <w:sz w:val="44"/>
          <w:szCs w:val="44"/>
        </w:rPr>
      </w:pPr>
      <w:bookmarkStart w:id="646" w:name="_Toc14900_WPSOffice_Level1"/>
      <w:bookmarkEnd w:id="646"/>
      <w:bookmarkStart w:id="647" w:name="_Toc11603_WPSOffice_Level1"/>
      <w:bookmarkEnd w:id="647"/>
      <w:bookmarkStart w:id="648" w:name="_Toc20596_WPSOffice_Level1"/>
      <w:bookmarkEnd w:id="648"/>
      <w:bookmarkStart w:id="649" w:name="_Toc4020_WPSOffice_Level1"/>
      <w:bookmarkStart w:id="650" w:name="_Toc6348"/>
      <w:bookmarkStart w:id="651" w:name="_Toc30089_WPSOffice_Level1"/>
      <w:bookmarkStart w:id="652" w:name="_Toc28760"/>
      <w:bookmarkStart w:id="653" w:name="_Toc32262_WPSOffice_Level1"/>
      <w:bookmarkStart w:id="654" w:name="_Toc32339_WPSOffice_Level1"/>
      <w:bookmarkStart w:id="655" w:name="_Toc16964_WPSOffice_Level1"/>
      <w:bookmarkStart w:id="656" w:name="_Toc6186"/>
      <w:bookmarkStart w:id="657" w:name="_Toc8327_WPSOffice_Level1"/>
      <w:r>
        <w:rPr>
          <w:rFonts w:hint="eastAsia"/>
          <w:b/>
          <w:bCs/>
          <w:sz w:val="44"/>
          <w:szCs w:val="44"/>
        </w:rPr>
        <w:t>目  录</w:t>
      </w:r>
      <w:bookmarkEnd w:id="649"/>
      <w:bookmarkEnd w:id="650"/>
      <w:bookmarkEnd w:id="651"/>
      <w:bookmarkEnd w:id="652"/>
      <w:bookmarkEnd w:id="653"/>
      <w:bookmarkEnd w:id="654"/>
      <w:bookmarkEnd w:id="655"/>
      <w:bookmarkEnd w:id="656"/>
      <w:bookmarkEnd w:id="657"/>
    </w:p>
    <w:p w14:paraId="0B7CA7F7">
      <w:pPr>
        <w:pageBreakBefore w:val="0"/>
        <w:overflowPunct/>
        <w:topLinePunct w:val="0"/>
        <w:bidi w:val="0"/>
        <w:spacing w:line="360" w:lineRule="auto"/>
        <w:ind w:left="1260" w:leftChars="600"/>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磋商函（格式）</w:t>
      </w:r>
    </w:p>
    <w:p w14:paraId="386B03A1">
      <w:pPr>
        <w:pageBreakBefore w:val="0"/>
        <w:overflowPunct/>
        <w:topLinePunct w:val="0"/>
        <w:bidi w:val="0"/>
        <w:spacing w:line="360" w:lineRule="auto"/>
        <w:ind w:left="1260" w:leftChars="600"/>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磋商报价一览表（格式）</w:t>
      </w:r>
    </w:p>
    <w:p w14:paraId="48B8912F">
      <w:pPr>
        <w:pageBreakBefore w:val="0"/>
        <w:overflowPunct/>
        <w:topLinePunct w:val="0"/>
        <w:bidi w:val="0"/>
        <w:spacing w:line="360" w:lineRule="auto"/>
        <w:ind w:left="1260" w:leftChars="600"/>
        <w:rPr>
          <w:rFonts w:hint="eastAsia" w:ascii="宋体" w:hAnsi="宋体" w:eastAsia="宋体" w:cs="宋体"/>
          <w:sz w:val="28"/>
          <w:szCs w:val="28"/>
          <w:highlight w:val="none"/>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商务条款响应偏离表（格式）</w:t>
      </w:r>
    </w:p>
    <w:p w14:paraId="3AE302D4">
      <w:pPr>
        <w:pageBreakBefore w:val="0"/>
        <w:overflowPunct/>
        <w:topLinePunct w:val="0"/>
        <w:bidi w:val="0"/>
        <w:spacing w:line="360" w:lineRule="auto"/>
        <w:ind w:left="1260" w:leftChars="600"/>
        <w:rPr>
          <w:rFonts w:hint="eastAsia" w:ascii="宋体" w:hAnsi="宋体" w:eastAsia="宋体" w:cs="宋体"/>
          <w:sz w:val="28"/>
          <w:szCs w:val="28"/>
          <w:highlight w:val="none"/>
        </w:rPr>
      </w:pPr>
      <w:r>
        <w:rPr>
          <w:rFonts w:hint="eastAsia" w:ascii="宋体" w:hAnsi="宋体" w:eastAsia="宋体" w:cs="宋体"/>
          <w:sz w:val="28"/>
          <w:szCs w:val="28"/>
          <w:highlight w:val="none"/>
        </w:rPr>
        <w:t>4</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法定代表人资格证明书及法定代表人授权委托书（格式）</w:t>
      </w:r>
    </w:p>
    <w:p w14:paraId="472EA488">
      <w:pPr>
        <w:pageBreakBefore w:val="0"/>
        <w:overflowPunct/>
        <w:topLinePunct w:val="0"/>
        <w:bidi w:val="0"/>
        <w:spacing w:line="360" w:lineRule="auto"/>
        <w:ind w:left="1260" w:leftChars="6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5</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eastAsia="zh-CN"/>
        </w:rPr>
        <w:t>资格证明文件</w:t>
      </w:r>
    </w:p>
    <w:p w14:paraId="214792BB">
      <w:pPr>
        <w:pageBreakBefore w:val="0"/>
        <w:overflowPunct/>
        <w:topLinePunct w:val="0"/>
        <w:bidi w:val="0"/>
        <w:spacing w:line="360" w:lineRule="auto"/>
        <w:ind w:left="1260" w:leftChars="6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6</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eastAsia="zh-CN"/>
        </w:rPr>
        <w:t>技术方案</w:t>
      </w:r>
    </w:p>
    <w:p w14:paraId="6A4D5CDC">
      <w:pPr>
        <w:pageBreakBefore w:val="0"/>
        <w:overflowPunct/>
        <w:topLinePunct w:val="0"/>
        <w:bidi w:val="0"/>
        <w:spacing w:line="360" w:lineRule="auto"/>
        <w:ind w:left="1260" w:leftChars="6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7.施工方案（根据施工内容及评分标准自拟）</w:t>
      </w:r>
    </w:p>
    <w:p w14:paraId="021082C0">
      <w:pPr>
        <w:pageBreakBefore w:val="0"/>
        <w:overflowPunct/>
        <w:topLinePunct w:val="0"/>
        <w:bidi w:val="0"/>
        <w:spacing w:line="360" w:lineRule="auto"/>
        <w:ind w:left="1260" w:leftChars="6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lang w:eastAsia="zh-CN"/>
        </w:rPr>
        <w:t>业绩</w:t>
      </w:r>
    </w:p>
    <w:p w14:paraId="56F1DE71">
      <w:pPr>
        <w:pageBreakBefore w:val="0"/>
        <w:overflowPunct/>
        <w:topLinePunct w:val="0"/>
        <w:bidi w:val="0"/>
        <w:spacing w:line="360" w:lineRule="auto"/>
        <w:ind w:left="1260" w:leftChars="6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rPr>
        <w:t>供应商认为有必要补充说明的事宜</w:t>
      </w:r>
    </w:p>
    <w:p w14:paraId="0B312E4E">
      <w:pPr>
        <w:pageBreakBefore w:val="0"/>
        <w:overflowPunct/>
        <w:topLinePunct w:val="0"/>
        <w:bidi w:val="0"/>
        <w:spacing w:line="360" w:lineRule="auto"/>
        <w:ind w:left="1260" w:leftChars="6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磋商声明书</w:t>
      </w:r>
    </w:p>
    <w:p w14:paraId="1EC385AF">
      <w:pPr>
        <w:pageBreakBefore w:val="0"/>
        <w:overflowPunct/>
        <w:topLinePunct w:val="0"/>
        <w:bidi w:val="0"/>
        <w:spacing w:line="360" w:lineRule="auto"/>
        <w:ind w:left="1260" w:leftChars="600"/>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《拒绝政府采购领域商业贿赂承诺书》（格式）</w:t>
      </w:r>
    </w:p>
    <w:p w14:paraId="79E16C28">
      <w:pPr>
        <w:pageBreakBefore w:val="0"/>
        <w:overflowPunct/>
        <w:topLinePunct w:val="0"/>
        <w:bidi w:val="0"/>
        <w:spacing w:line="360" w:lineRule="auto"/>
        <w:ind w:left="1260" w:leftChars="6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12.《中小企业声明函》及证明文件</w:t>
      </w:r>
    </w:p>
    <w:p w14:paraId="3B46E5EF">
      <w:pPr>
        <w:pageBreakBefore w:val="0"/>
        <w:overflowPunct/>
        <w:topLinePunct w:val="0"/>
        <w:bidi w:val="0"/>
        <w:spacing w:line="360" w:lineRule="auto"/>
        <w:ind w:left="1260" w:leftChars="6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13.《残疾人福利性单位声明函》</w:t>
      </w:r>
    </w:p>
    <w:p w14:paraId="7DC3A622">
      <w:pPr>
        <w:pageBreakBefore w:val="0"/>
        <w:overflowPunct/>
        <w:topLinePunct w:val="0"/>
        <w:bidi w:val="0"/>
        <w:spacing w:line="360" w:lineRule="auto"/>
        <w:ind w:left="1260" w:leftChars="6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14.《监狱企业证明函》（若有）</w:t>
      </w:r>
    </w:p>
    <w:p w14:paraId="68DCE661">
      <w:pPr>
        <w:pageBreakBefore w:val="0"/>
        <w:kinsoku/>
        <w:wordWrap/>
        <w:overflowPunct/>
        <w:topLinePunct w:val="0"/>
        <w:bidi w:val="0"/>
        <w:spacing w:line="360" w:lineRule="auto"/>
        <w:ind w:firstLine="1124" w:firstLineChars="400"/>
        <w:jc w:val="left"/>
        <w:textAlignment w:val="auto"/>
        <w:rPr>
          <w:rFonts w:hint="eastAsia" w:ascii="宋体" w:hAnsi="宋体" w:eastAsia="宋体" w:cs="宋体"/>
          <w:b/>
          <w:bCs/>
          <w:color w:val="auto"/>
          <w:sz w:val="28"/>
          <w:szCs w:val="28"/>
          <w:highlight w:val="none"/>
        </w:rPr>
      </w:pPr>
    </w:p>
    <w:p w14:paraId="705B8E5B">
      <w:pPr>
        <w:pageBreakBefore w:val="0"/>
        <w:kinsoku/>
        <w:wordWrap/>
        <w:overflowPunct/>
        <w:topLinePunct w:val="0"/>
        <w:bidi w:val="0"/>
        <w:spacing w:line="360" w:lineRule="auto"/>
        <w:ind w:firstLine="1124" w:firstLineChars="400"/>
        <w:jc w:val="left"/>
        <w:textAlignment w:val="auto"/>
        <w:rPr>
          <w:rFonts w:hint="eastAsia" w:ascii="宋体" w:hAnsi="宋体" w:eastAsia="宋体" w:cs="宋体"/>
          <w:b/>
          <w:bCs/>
          <w:color w:val="auto"/>
          <w:sz w:val="28"/>
          <w:szCs w:val="28"/>
          <w:highlight w:val="none"/>
        </w:rPr>
      </w:pPr>
    </w:p>
    <w:p w14:paraId="2F4057E2">
      <w:pPr>
        <w:pageBreakBefore w:val="0"/>
        <w:kinsoku/>
        <w:wordWrap/>
        <w:overflowPunct/>
        <w:topLinePunct w:val="0"/>
        <w:bidi w:val="0"/>
        <w:spacing w:line="360" w:lineRule="auto"/>
        <w:ind w:firstLine="1124" w:firstLineChars="400"/>
        <w:jc w:val="left"/>
        <w:textAlignment w:val="auto"/>
        <w:rPr>
          <w:rFonts w:hint="eastAsia" w:ascii="宋体" w:hAnsi="宋体" w:eastAsia="宋体" w:cs="宋体"/>
          <w:bCs/>
          <w:color w:val="auto"/>
          <w:kern w:val="0"/>
          <w:sz w:val="28"/>
          <w:szCs w:val="28"/>
          <w:highlight w:val="none"/>
        </w:rPr>
      </w:pPr>
      <w:r>
        <w:rPr>
          <w:rFonts w:hint="eastAsia" w:ascii="宋体" w:hAnsi="宋体" w:eastAsia="宋体" w:cs="宋体"/>
          <w:b/>
          <w:bCs/>
          <w:color w:val="auto"/>
          <w:sz w:val="28"/>
          <w:szCs w:val="28"/>
          <w:highlight w:val="none"/>
        </w:rPr>
        <w:t>备注：目录需添加连续页码</w:t>
      </w:r>
    </w:p>
    <w:p w14:paraId="719C6538">
      <w:pPr>
        <w:pageBreakBefore w:val="0"/>
        <w:kinsoku/>
        <w:wordWrap/>
        <w:overflowPunct/>
        <w:topLinePunct w:val="0"/>
        <w:bidi w:val="0"/>
        <w:spacing w:line="360" w:lineRule="auto"/>
        <w:textAlignment w:val="auto"/>
        <w:rPr>
          <w:rFonts w:hint="eastAsia" w:ascii="宋体" w:hAnsi="宋体" w:eastAsia="宋体" w:cs="宋体"/>
          <w:sz w:val="28"/>
          <w:szCs w:val="28"/>
          <w:highlight w:val="none"/>
        </w:rPr>
      </w:pPr>
    </w:p>
    <w:p w14:paraId="1B3695AE">
      <w:pPr>
        <w:pStyle w:val="10"/>
        <w:pageBreakBefore w:val="0"/>
        <w:kinsoku/>
        <w:wordWrap/>
        <w:overflowPunct/>
        <w:topLinePunct w:val="0"/>
        <w:bidi w:val="0"/>
        <w:spacing w:line="360" w:lineRule="auto"/>
        <w:textAlignment w:val="auto"/>
        <w:rPr>
          <w:rFonts w:hint="eastAsia" w:ascii="宋体" w:hAnsi="宋体" w:eastAsia="宋体" w:cs="宋体"/>
          <w:highlight w:val="none"/>
        </w:rPr>
        <w:sectPr>
          <w:endnotePr>
            <w:numFmt w:val="decimal"/>
          </w:endnotePr>
          <w:pgSz w:w="11907" w:h="16840"/>
          <w:pgMar w:top="1418" w:right="1287" w:bottom="936" w:left="1259" w:header="907" w:footer="654" w:gutter="0"/>
          <w:pgNumType w:fmt="decimal"/>
          <w:cols w:space="720" w:num="1"/>
          <w:titlePg/>
        </w:sectPr>
      </w:pPr>
    </w:p>
    <w:p w14:paraId="0BB1FC3D">
      <w:pPr>
        <w:pStyle w:val="4"/>
        <w:pageBreakBefore w:val="0"/>
        <w:overflowPunct/>
        <w:topLinePunct w:val="0"/>
        <w:bidi w:val="0"/>
        <w:spacing w:before="0" w:after="0" w:line="360" w:lineRule="auto"/>
        <w:rPr>
          <w:rFonts w:hint="eastAsia" w:ascii="宋体" w:hAnsi="宋体" w:eastAsia="宋体" w:cs="宋体"/>
          <w:sz w:val="28"/>
          <w:szCs w:val="28"/>
          <w:highlight w:val="none"/>
        </w:rPr>
      </w:pPr>
      <w:bookmarkStart w:id="658" w:name="_Toc14942_WPSOffice_Level1"/>
      <w:bookmarkEnd w:id="658"/>
      <w:bookmarkStart w:id="659" w:name="_Toc8784"/>
      <w:bookmarkStart w:id="660" w:name="_Toc20446_WPSOffice_Level1"/>
      <w:bookmarkStart w:id="661" w:name="_Toc16173_WPSOffice_Level1"/>
      <w:bookmarkStart w:id="662" w:name="_Toc5888413"/>
      <w:bookmarkStart w:id="663" w:name="_Toc20238"/>
      <w:bookmarkStart w:id="664" w:name="_Toc19279_WPSOffice_Level1"/>
      <w:bookmarkStart w:id="665" w:name="_Toc30859_WPSOffice_Level1"/>
      <w:bookmarkStart w:id="666" w:name="_Toc32664"/>
      <w:r>
        <w:rPr>
          <w:rFonts w:hint="eastAsia" w:ascii="宋体" w:hAnsi="宋体" w:eastAsia="宋体" w:cs="宋体"/>
          <w:sz w:val="28"/>
          <w:szCs w:val="28"/>
          <w:highlight w:val="none"/>
        </w:rPr>
        <w:t>1.磋商函（格式）</w:t>
      </w:r>
      <w:bookmarkEnd w:id="659"/>
    </w:p>
    <w:p w14:paraId="24CB8D97">
      <w:pPr>
        <w:pageBreakBefore w:val="0"/>
        <w:overflowPunct/>
        <w:topLinePunct w:val="0"/>
        <w:bidi w:val="0"/>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磋 商 函</w:t>
      </w:r>
    </w:p>
    <w:p w14:paraId="71955000">
      <w:pPr>
        <w:pageBreakBefore w:val="0"/>
        <w:overflowPunct/>
        <w:topLinePunct w:val="0"/>
        <w:bidi w:val="0"/>
        <w:spacing w:line="360" w:lineRule="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致：</w:t>
      </w:r>
      <w:r>
        <w:rPr>
          <w:rFonts w:hint="eastAsia" w:ascii="宋体" w:hAnsi="宋体" w:eastAsia="宋体" w:cs="宋体"/>
          <w:b/>
          <w:sz w:val="24"/>
          <w:szCs w:val="24"/>
          <w:highlight w:val="none"/>
          <w:lang w:eastAsia="zh-CN"/>
        </w:rPr>
        <w:t xml:space="preserve">陕西建政项目管理有限公司 </w:t>
      </w:r>
    </w:p>
    <w:p w14:paraId="63FC5571">
      <w:pPr>
        <w:pageBreakBefore w:val="0"/>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根据贵单位</w:t>
      </w:r>
      <w:r>
        <w:rPr>
          <w:rFonts w:hint="eastAsia" w:ascii="宋体" w:hAnsi="宋体" w:eastAsia="宋体" w:cs="宋体"/>
          <w:sz w:val="24"/>
          <w:szCs w:val="24"/>
          <w:highlight w:val="none"/>
          <w:u w:val="single"/>
        </w:rPr>
        <w:t xml:space="preserve">   （采购项目名称）    </w:t>
      </w:r>
      <w:r>
        <w:rPr>
          <w:rFonts w:hint="eastAsia" w:ascii="宋体" w:hAnsi="宋体" w:eastAsia="宋体" w:cs="宋体"/>
          <w:sz w:val="24"/>
          <w:szCs w:val="24"/>
          <w:highlight w:val="none"/>
        </w:rPr>
        <w:t>项目</w:t>
      </w:r>
      <w:r>
        <w:rPr>
          <w:rFonts w:hint="eastAsia" w:ascii="宋体" w:hAnsi="宋体" w:eastAsia="宋体" w:cs="宋体"/>
          <w:sz w:val="24"/>
          <w:szCs w:val="24"/>
          <w:highlight w:val="none"/>
          <w:u w:val="single"/>
        </w:rPr>
        <w:t>（项目编号）</w:t>
      </w:r>
      <w:r>
        <w:rPr>
          <w:rFonts w:hint="eastAsia" w:ascii="宋体" w:hAnsi="宋体" w:eastAsia="宋体" w:cs="宋体"/>
          <w:sz w:val="24"/>
          <w:szCs w:val="24"/>
          <w:highlight w:val="none"/>
        </w:rPr>
        <w:t>的磋商公告，我方代表</w:t>
      </w:r>
      <w:r>
        <w:rPr>
          <w:rFonts w:hint="eastAsia" w:ascii="宋体" w:hAnsi="宋体" w:eastAsia="宋体" w:cs="宋体"/>
          <w:sz w:val="24"/>
          <w:szCs w:val="24"/>
          <w:highlight w:val="none"/>
          <w:u w:val="single"/>
        </w:rPr>
        <w:t xml:space="preserve">  （姓名、职务）   </w:t>
      </w:r>
      <w:r>
        <w:rPr>
          <w:rFonts w:hint="eastAsia" w:ascii="宋体" w:hAnsi="宋体" w:eastAsia="宋体" w:cs="宋体"/>
          <w:sz w:val="24"/>
          <w:szCs w:val="24"/>
          <w:highlight w:val="none"/>
        </w:rPr>
        <w:t>经正式授权并代表</w:t>
      </w:r>
      <w:r>
        <w:rPr>
          <w:rFonts w:hint="eastAsia" w:ascii="宋体" w:hAnsi="宋体" w:eastAsia="宋体" w:cs="宋体"/>
          <w:sz w:val="24"/>
          <w:szCs w:val="24"/>
          <w:highlight w:val="none"/>
          <w:u w:val="single"/>
        </w:rPr>
        <w:t xml:space="preserve">   （供应商名称）   </w:t>
      </w:r>
      <w:r>
        <w:rPr>
          <w:rFonts w:hint="eastAsia" w:ascii="宋体" w:hAnsi="宋体" w:eastAsia="宋体" w:cs="宋体"/>
          <w:sz w:val="24"/>
          <w:szCs w:val="24"/>
          <w:highlight w:val="none"/>
        </w:rPr>
        <w:t>就该项目进行磋商。</w:t>
      </w:r>
    </w:p>
    <w:p w14:paraId="15BD43D2">
      <w:pPr>
        <w:pageBreakBefore w:val="0"/>
        <w:overflowPunct/>
        <w:topLinePunct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在此，我方郑重声明以下诸点，并负法律责任：</w:t>
      </w:r>
    </w:p>
    <w:p w14:paraId="51819D19">
      <w:pPr>
        <w:pageBreakBefore w:val="0"/>
        <w:overflowPunct/>
        <w:topLinePunct w:val="0"/>
        <w:bidi w:val="0"/>
        <w:spacing w:line="360" w:lineRule="auto"/>
        <w:ind w:firstLine="470" w:firstLineChars="196"/>
        <w:rPr>
          <w:rFonts w:hint="eastAsia" w:ascii="宋体" w:hAnsi="宋体" w:eastAsia="宋体" w:cs="宋体"/>
          <w:b/>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我方提交的磋商响应文件一式</w:t>
      </w: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份，正本一份，副本</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份，电子文件一份。</w:t>
      </w:r>
    </w:p>
    <w:p w14:paraId="4969712F">
      <w:pPr>
        <w:pageBreakBefore w:val="0"/>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我方兹以：</w:t>
      </w:r>
    </w:p>
    <w:p w14:paraId="6FD743D7">
      <w:pPr>
        <w:pageBreakBefore w:val="0"/>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7C8FB8A5">
      <w:pPr>
        <w:pageBreakBefore w:val="0"/>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RMB￥：</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75924526">
      <w:pPr>
        <w:pageBreakBefore w:val="0"/>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的投标价格和按合同约定有权得到的其它金额，并严格按照合同约定，施工、竣工和交付本工程并维修其中的任何缺陷。</w:t>
      </w:r>
    </w:p>
    <w:p w14:paraId="6FD80185">
      <w:pPr>
        <w:pageBreakBefore w:val="0"/>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如果我方中标，我方保证在自合同签订后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个日历日内施工验收完毕。并确保工程质量达到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标准。我方同意本磋商函在磋商文件规定的提交磋商响应文件截止时间后，在磋商文件规定的磋商有效期期满前对我方具有约束力，且随时准备接受你方发出的成交通知书。</w:t>
      </w:r>
    </w:p>
    <w:p w14:paraId="53BDD010">
      <w:pPr>
        <w:pageBreakBefore w:val="0"/>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我方已详细审查全部竞争性磋商文件，完全理解并同意放弃对这方面有不明及误解质疑的权力。</w:t>
      </w:r>
    </w:p>
    <w:p w14:paraId="4DB4A9E4">
      <w:pPr>
        <w:pageBreakBefore w:val="0"/>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我方完全理解并同意竞争性磋商文件中有关没收磋商保证金、要求专业担保机构现行偿付和拒绝磋商的条款。</w:t>
      </w:r>
    </w:p>
    <w:p w14:paraId="1041EA66">
      <w:pPr>
        <w:pageBreakBefore w:val="0"/>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我方</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（是、不是）为本项目提供整体设计、规范编制或者项目管理、监理、检测等服务的供应商。</w:t>
      </w:r>
    </w:p>
    <w:p w14:paraId="202D4A86">
      <w:pPr>
        <w:pageBreakBefore w:val="0"/>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我方同意按照要求提供磋商有关的一切数据或资料。</w:t>
      </w:r>
    </w:p>
    <w:p w14:paraId="499D3790">
      <w:pPr>
        <w:pageBreakBefore w:val="0"/>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我方将按竞争性磋商文件的规定履行合同责任和义务。</w:t>
      </w:r>
    </w:p>
    <w:p w14:paraId="29DD45AF">
      <w:pPr>
        <w:pageBreakBefore w:val="0"/>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我方完全理解最低报价不是成交的唯一条件。</w:t>
      </w:r>
    </w:p>
    <w:p w14:paraId="65DCA2B2">
      <w:pPr>
        <w:pageBreakBefore w:val="0"/>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我方同意按竞争性磋商文件规定，遵守贵方有关采购的各项规定。</w:t>
      </w:r>
    </w:p>
    <w:p w14:paraId="034D8D15">
      <w:pPr>
        <w:pageBreakBefore w:val="0"/>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若我方中标，我方保证按有关规定向贵方支付磋商服务费。</w:t>
      </w:r>
    </w:p>
    <w:p w14:paraId="446A8353">
      <w:pPr>
        <w:pageBreakBefore w:val="0"/>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磋商有效期为自磋商日起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个日历日。</w:t>
      </w:r>
    </w:p>
    <w:p w14:paraId="5C6CF9B7">
      <w:pPr>
        <w:pageBreakBefore w:val="0"/>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所有关于本项目的函电，请按下列地址联系：</w:t>
      </w:r>
    </w:p>
    <w:p w14:paraId="69552D62">
      <w:pPr>
        <w:pageBreakBefore w:val="0"/>
        <w:overflowPunct/>
        <w:topLinePunct w:val="0"/>
        <w:bidi w:val="0"/>
        <w:spacing w:line="360" w:lineRule="auto"/>
        <w:ind w:firstLine="480" w:firstLineChars="200"/>
        <w:rPr>
          <w:rFonts w:hint="eastAsia" w:ascii="宋体" w:hAnsi="宋体" w:eastAsia="宋体" w:cs="宋体"/>
          <w:sz w:val="24"/>
          <w:szCs w:val="24"/>
          <w:highlight w:val="none"/>
        </w:rPr>
      </w:pPr>
    </w:p>
    <w:p w14:paraId="13997963">
      <w:pPr>
        <w:pageBreakBefore w:val="0"/>
        <w:overflowPunct/>
        <w:topLinePunct w:val="0"/>
        <w:bidi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r>
        <w:rPr>
          <w:rFonts w:hint="eastAsia" w:ascii="宋体" w:hAnsi="宋体" w:eastAsia="宋体" w:cs="宋体"/>
          <w:sz w:val="24"/>
          <w:szCs w:val="24"/>
          <w:highlight w:val="none"/>
          <w:u w:val="single"/>
        </w:rPr>
        <w:t xml:space="preserve">                                </w:t>
      </w:r>
    </w:p>
    <w:p w14:paraId="556C7CBF">
      <w:pPr>
        <w:pageBreakBefore w:val="0"/>
        <w:overflowPunct/>
        <w:topLinePunct w:val="0"/>
        <w:bidi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详 细 地 址：</w:t>
      </w:r>
      <w:r>
        <w:rPr>
          <w:rFonts w:hint="eastAsia" w:ascii="宋体" w:hAnsi="宋体" w:eastAsia="宋体" w:cs="宋体"/>
          <w:sz w:val="24"/>
          <w:szCs w:val="24"/>
          <w:highlight w:val="none"/>
          <w:u w:val="single"/>
        </w:rPr>
        <w:t xml:space="preserve">                                      </w:t>
      </w:r>
    </w:p>
    <w:p w14:paraId="74923571">
      <w:pPr>
        <w:pageBreakBefore w:val="0"/>
        <w:tabs>
          <w:tab w:val="left" w:pos="360"/>
        </w:tabs>
        <w:overflowPunct/>
        <w:topLinePunct w:val="0"/>
        <w:bidi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邮 政 编 码：</w:t>
      </w:r>
      <w:r>
        <w:rPr>
          <w:rFonts w:hint="eastAsia" w:ascii="宋体" w:hAnsi="宋体" w:eastAsia="宋体" w:cs="宋体"/>
          <w:sz w:val="24"/>
          <w:szCs w:val="24"/>
          <w:highlight w:val="none"/>
          <w:u w:val="single"/>
        </w:rPr>
        <w:t xml:space="preserve">                   </w:t>
      </w:r>
    </w:p>
    <w:p w14:paraId="1C4A0ECF">
      <w:pPr>
        <w:pageBreakBefore w:val="0"/>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电       话：</w:t>
      </w:r>
      <w:r>
        <w:rPr>
          <w:rFonts w:hint="eastAsia" w:ascii="宋体" w:hAnsi="宋体" w:eastAsia="宋体" w:cs="宋体"/>
          <w:sz w:val="24"/>
          <w:szCs w:val="24"/>
          <w:highlight w:val="none"/>
          <w:u w:val="single"/>
          <w:lang w:val="zh-CN"/>
        </w:rPr>
        <w:t xml:space="preserve">                   </w:t>
      </w:r>
    </w:p>
    <w:p w14:paraId="3C10D3D7">
      <w:pPr>
        <w:pageBreakBefore w:val="0"/>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传       真：</w:t>
      </w:r>
      <w:r>
        <w:rPr>
          <w:rFonts w:hint="eastAsia" w:ascii="宋体" w:hAnsi="宋体" w:eastAsia="宋体" w:cs="宋体"/>
          <w:sz w:val="24"/>
          <w:szCs w:val="24"/>
          <w:highlight w:val="none"/>
          <w:u w:val="single"/>
          <w:lang w:val="zh-CN"/>
        </w:rPr>
        <w:t xml:space="preserve">                   </w:t>
      </w:r>
    </w:p>
    <w:p w14:paraId="6BC250F8">
      <w:pPr>
        <w:pageBreakBefore w:val="0"/>
        <w:tabs>
          <w:tab w:val="left" w:pos="360"/>
        </w:tabs>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 子 邮 件：</w:t>
      </w:r>
      <w:r>
        <w:rPr>
          <w:rFonts w:hint="eastAsia" w:ascii="宋体" w:hAnsi="宋体" w:eastAsia="宋体" w:cs="宋体"/>
          <w:sz w:val="24"/>
          <w:szCs w:val="24"/>
          <w:highlight w:val="none"/>
          <w:u w:val="single"/>
        </w:rPr>
        <w:t xml:space="preserve">                   </w:t>
      </w:r>
    </w:p>
    <w:p w14:paraId="34ABD915">
      <w:pPr>
        <w:pageBreakBefore w:val="0"/>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开 户 银 行：</w:t>
      </w:r>
      <w:r>
        <w:rPr>
          <w:rFonts w:hint="eastAsia" w:ascii="宋体" w:hAnsi="宋体" w:eastAsia="宋体" w:cs="宋体"/>
          <w:sz w:val="24"/>
          <w:szCs w:val="24"/>
          <w:highlight w:val="none"/>
          <w:u w:val="single"/>
          <w:lang w:val="zh-CN"/>
        </w:rPr>
        <w:t xml:space="preserve">                   </w:t>
      </w:r>
    </w:p>
    <w:p w14:paraId="7B437219">
      <w:pPr>
        <w:pageBreakBefore w:val="0"/>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帐       号：</w:t>
      </w:r>
      <w:r>
        <w:rPr>
          <w:rFonts w:hint="eastAsia" w:ascii="宋体" w:hAnsi="宋体" w:eastAsia="宋体" w:cs="宋体"/>
          <w:sz w:val="24"/>
          <w:szCs w:val="24"/>
          <w:highlight w:val="none"/>
          <w:u w:val="single"/>
          <w:lang w:val="zh-CN"/>
        </w:rPr>
        <w:t xml:space="preserve">                   </w:t>
      </w:r>
    </w:p>
    <w:p w14:paraId="51CBB28D">
      <w:pPr>
        <w:pageBreakBefore w:val="0"/>
        <w:overflowPunct/>
        <w:topLinePunct w:val="0"/>
        <w:autoSpaceDE w:val="0"/>
        <w:autoSpaceDN w:val="0"/>
        <w:bidi w:val="0"/>
        <w:adjustRightInd w:val="0"/>
        <w:spacing w:line="360" w:lineRule="auto"/>
        <w:ind w:hanging="6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p>
    <w:p w14:paraId="5E16655B">
      <w:pPr>
        <w:pageBreakBefore w:val="0"/>
        <w:overflowPunct/>
        <w:topLinePunct w:val="0"/>
        <w:autoSpaceDE w:val="0"/>
        <w:autoSpaceDN w:val="0"/>
        <w:bidi w:val="0"/>
        <w:adjustRightInd w:val="0"/>
        <w:spacing w:line="360" w:lineRule="auto"/>
        <w:ind w:hanging="600"/>
        <w:rPr>
          <w:rFonts w:hint="eastAsia" w:ascii="宋体" w:hAnsi="宋体" w:eastAsia="宋体" w:cs="宋体"/>
          <w:sz w:val="24"/>
          <w:szCs w:val="24"/>
          <w:highlight w:val="none"/>
          <w:lang w:val="zh-CN"/>
        </w:rPr>
      </w:pPr>
    </w:p>
    <w:p w14:paraId="5123C622">
      <w:pPr>
        <w:pageBreakBefore w:val="0"/>
        <w:overflowPunct/>
        <w:topLinePunct w:val="0"/>
        <w:autoSpaceDE w:val="0"/>
        <w:autoSpaceDN w:val="0"/>
        <w:bidi w:val="0"/>
        <w:adjustRightInd w:val="0"/>
        <w:spacing w:line="360" w:lineRule="auto"/>
        <w:ind w:hanging="600"/>
        <w:rPr>
          <w:rFonts w:hint="eastAsia" w:ascii="宋体" w:hAnsi="宋体" w:eastAsia="宋体" w:cs="宋体"/>
          <w:sz w:val="24"/>
          <w:szCs w:val="24"/>
          <w:highlight w:val="none"/>
          <w:lang w:val="zh-CN"/>
        </w:rPr>
      </w:pPr>
    </w:p>
    <w:p w14:paraId="2D960094">
      <w:pPr>
        <w:pageBreakBefore w:val="0"/>
        <w:overflowPunct/>
        <w:topLinePunct w:val="0"/>
        <w:autoSpaceDE w:val="0"/>
        <w:autoSpaceDN w:val="0"/>
        <w:bidi w:val="0"/>
        <w:adjustRightInd w:val="0"/>
        <w:spacing w:line="360" w:lineRule="auto"/>
        <w:ind w:hanging="600"/>
        <w:rPr>
          <w:rFonts w:hint="eastAsia" w:ascii="宋体" w:hAnsi="宋体" w:eastAsia="宋体" w:cs="宋体"/>
          <w:sz w:val="24"/>
          <w:szCs w:val="24"/>
          <w:highlight w:val="none"/>
          <w:lang w:val="zh-CN"/>
        </w:rPr>
      </w:pPr>
    </w:p>
    <w:p w14:paraId="013CF1AC">
      <w:pPr>
        <w:pageBreakBefore w:val="0"/>
        <w:overflowPunct/>
        <w:topLinePunct w:val="0"/>
        <w:autoSpaceDE w:val="0"/>
        <w:autoSpaceDN w:val="0"/>
        <w:bidi w:val="0"/>
        <w:adjustRightInd w:val="0"/>
        <w:spacing w:line="360" w:lineRule="auto"/>
        <w:ind w:hanging="600"/>
        <w:rPr>
          <w:rFonts w:hint="eastAsia" w:ascii="宋体" w:hAnsi="宋体" w:eastAsia="宋体" w:cs="宋体"/>
          <w:sz w:val="24"/>
          <w:szCs w:val="24"/>
          <w:highlight w:val="none"/>
          <w:lang w:val="zh-CN"/>
        </w:rPr>
      </w:pPr>
    </w:p>
    <w:p w14:paraId="6C2B6A46">
      <w:pPr>
        <w:pageBreakBefore w:val="0"/>
        <w:overflowPunct/>
        <w:topLinePunct w:val="0"/>
        <w:autoSpaceDE w:val="0"/>
        <w:autoSpaceDN w:val="0"/>
        <w:bidi w:val="0"/>
        <w:adjustRightInd w:val="0"/>
        <w:spacing w:line="360" w:lineRule="auto"/>
        <w:rPr>
          <w:rFonts w:hint="eastAsia" w:ascii="宋体" w:hAnsi="宋体" w:eastAsia="宋体" w:cs="宋体"/>
          <w:sz w:val="24"/>
          <w:szCs w:val="24"/>
          <w:highlight w:val="none"/>
          <w:lang w:val="zh-CN"/>
        </w:rPr>
      </w:pPr>
    </w:p>
    <w:p w14:paraId="6542142E">
      <w:pPr>
        <w:pageBreakBefore w:val="0"/>
        <w:overflowPunct/>
        <w:topLinePunct w:val="0"/>
        <w:autoSpaceDE w:val="0"/>
        <w:autoSpaceDN w:val="0"/>
        <w:bidi w:val="0"/>
        <w:adjustRightInd w:val="0"/>
        <w:spacing w:line="360" w:lineRule="auto"/>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供应商</w:t>
      </w:r>
      <w:r>
        <w:rPr>
          <w:rFonts w:hint="eastAsia" w:ascii="宋体" w:hAnsi="宋体" w:eastAsia="宋体" w:cs="宋体"/>
          <w:sz w:val="24"/>
          <w:szCs w:val="24"/>
          <w:highlight w:val="none"/>
        </w:rPr>
        <w:t>授权</w:t>
      </w:r>
      <w:r>
        <w:rPr>
          <w:rFonts w:hint="eastAsia" w:ascii="宋体" w:hAnsi="宋体" w:eastAsia="宋体" w:cs="宋体"/>
          <w:sz w:val="24"/>
          <w:szCs w:val="24"/>
          <w:highlight w:val="none"/>
          <w:lang w:val="zh-CN"/>
        </w:rPr>
        <w:t>代表签名：</w:t>
      </w:r>
      <w:r>
        <w:rPr>
          <w:rFonts w:hint="eastAsia" w:ascii="宋体" w:hAnsi="宋体" w:eastAsia="宋体" w:cs="宋体"/>
          <w:sz w:val="24"/>
          <w:szCs w:val="24"/>
          <w:highlight w:val="none"/>
          <w:u w:val="single"/>
        </w:rPr>
        <w:t xml:space="preserve">               </w:t>
      </w:r>
    </w:p>
    <w:p w14:paraId="57BCBAFD">
      <w:pPr>
        <w:pageBreakBefore w:val="0"/>
        <w:overflowPunct/>
        <w:topLinePunct w:val="0"/>
        <w:autoSpaceDE w:val="0"/>
        <w:autoSpaceDN w:val="0"/>
        <w:bidi w:val="0"/>
        <w:adjustRightInd w:val="0"/>
        <w:spacing w:line="360" w:lineRule="auto"/>
        <w:ind w:firstLine="3960" w:firstLineChars="165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联系电话/手机：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rPr>
        <w:t xml:space="preserve">  </w:t>
      </w:r>
    </w:p>
    <w:p w14:paraId="082A3E05">
      <w:pPr>
        <w:bidi w:val="0"/>
        <w:ind w:firstLine="480" w:firstLineChars="200"/>
        <w:rPr>
          <w:rFonts w:hint="eastAsia" w:ascii="宋体" w:hAnsi="宋体" w:eastAsia="宋体" w:cs="宋体"/>
          <w:sz w:val="28"/>
          <w:szCs w:val="28"/>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bookmarkStart w:id="667" w:name="_Toc26800"/>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bookmarkEnd w:id="667"/>
    </w:p>
    <w:p w14:paraId="1DD73E7B">
      <w:pPr>
        <w:pageBreakBefore w:val="0"/>
        <w:overflowPunct/>
        <w:topLinePunct w:val="0"/>
        <w:bidi w:val="0"/>
        <w:spacing w:line="360" w:lineRule="auto"/>
        <w:jc w:val="center"/>
        <w:rPr>
          <w:rFonts w:hint="eastAsia" w:ascii="宋体" w:hAnsi="宋体" w:eastAsia="宋体" w:cs="宋体"/>
          <w:sz w:val="28"/>
          <w:szCs w:val="28"/>
          <w:highlight w:val="none"/>
        </w:rPr>
      </w:pPr>
    </w:p>
    <w:p w14:paraId="7C4E5BF4">
      <w:pPr>
        <w:pageBreakBefore w:val="0"/>
        <w:overflowPunct/>
        <w:topLinePunct w:val="0"/>
        <w:autoSpaceDE w:val="0"/>
        <w:autoSpaceDN w:val="0"/>
        <w:bidi w:val="0"/>
        <w:adjustRightInd w:val="0"/>
        <w:spacing w:line="360" w:lineRule="auto"/>
        <w:rPr>
          <w:rFonts w:hint="eastAsia" w:ascii="宋体" w:hAnsi="宋体" w:eastAsia="宋体" w:cs="宋体"/>
          <w:sz w:val="28"/>
          <w:szCs w:val="28"/>
          <w:highlight w:val="none"/>
        </w:rPr>
      </w:pPr>
    </w:p>
    <w:p w14:paraId="277FCC87">
      <w:pPr>
        <w:pageBreakBefore w:val="0"/>
        <w:overflowPunct/>
        <w:topLinePunct w:val="0"/>
        <w:autoSpaceDE w:val="0"/>
        <w:autoSpaceDN w:val="0"/>
        <w:bidi w:val="0"/>
        <w:adjustRightInd w:val="0"/>
        <w:spacing w:line="360" w:lineRule="auto"/>
        <w:rPr>
          <w:rFonts w:hint="eastAsia" w:ascii="宋体" w:hAnsi="宋体" w:eastAsia="宋体" w:cs="宋体"/>
          <w:sz w:val="28"/>
          <w:szCs w:val="28"/>
          <w:highlight w:val="none"/>
        </w:rPr>
      </w:pPr>
    </w:p>
    <w:p w14:paraId="28C721B5">
      <w:pPr>
        <w:pageBreakBefore w:val="0"/>
        <w:overflowPunct/>
        <w:topLinePunct w:val="0"/>
        <w:autoSpaceDE w:val="0"/>
        <w:autoSpaceDN w:val="0"/>
        <w:bidi w:val="0"/>
        <w:adjustRightInd w:val="0"/>
        <w:spacing w:line="360" w:lineRule="auto"/>
        <w:rPr>
          <w:rFonts w:hint="eastAsia" w:ascii="宋体" w:hAnsi="宋体" w:eastAsia="宋体" w:cs="宋体"/>
          <w:sz w:val="28"/>
          <w:szCs w:val="28"/>
          <w:highlight w:val="none"/>
        </w:rPr>
      </w:pPr>
    </w:p>
    <w:p w14:paraId="7662CBE4">
      <w:pPr>
        <w:pageBreakBefore w:val="0"/>
        <w:overflowPunct/>
        <w:topLinePunct w:val="0"/>
        <w:autoSpaceDE w:val="0"/>
        <w:autoSpaceDN w:val="0"/>
        <w:bidi w:val="0"/>
        <w:adjustRightInd w:val="0"/>
        <w:spacing w:line="360" w:lineRule="auto"/>
        <w:rPr>
          <w:rFonts w:hint="eastAsia" w:ascii="宋体" w:hAnsi="宋体" w:eastAsia="宋体" w:cs="宋体"/>
          <w:sz w:val="28"/>
          <w:szCs w:val="28"/>
          <w:highlight w:val="none"/>
        </w:rPr>
        <w:sectPr>
          <w:headerReference r:id="rId7" w:type="first"/>
          <w:footerReference r:id="rId9" w:type="first"/>
          <w:headerReference r:id="rId6" w:type="default"/>
          <w:footerReference r:id="rId8" w:type="default"/>
          <w:pgSz w:w="11907" w:h="16840"/>
          <w:pgMar w:top="1418" w:right="988" w:bottom="1134" w:left="1259" w:header="907" w:footer="652" w:gutter="0"/>
          <w:pgNumType w:fmt="decimal"/>
          <w:cols w:space="720" w:num="1"/>
          <w:titlePg/>
          <w:docGrid w:linePitch="312" w:charSpace="0"/>
        </w:sectPr>
      </w:pPr>
    </w:p>
    <w:p w14:paraId="4D6728A3">
      <w:pPr>
        <w:pStyle w:val="4"/>
        <w:pageBreakBefore w:val="0"/>
        <w:overflowPunct/>
        <w:topLinePunct w:val="0"/>
        <w:bidi w:val="0"/>
        <w:spacing w:before="0" w:after="0" w:line="360" w:lineRule="auto"/>
        <w:rPr>
          <w:rFonts w:hint="eastAsia" w:ascii="宋体" w:hAnsi="宋体" w:eastAsia="宋体" w:cs="宋体"/>
          <w:sz w:val="28"/>
          <w:szCs w:val="28"/>
          <w:highlight w:val="none"/>
        </w:rPr>
      </w:pPr>
      <w:bookmarkStart w:id="668" w:name="_Toc15416"/>
      <w:r>
        <w:rPr>
          <w:rFonts w:hint="eastAsia" w:ascii="宋体" w:hAnsi="宋体" w:eastAsia="宋体" w:cs="宋体"/>
          <w:sz w:val="28"/>
          <w:szCs w:val="28"/>
          <w:highlight w:val="none"/>
        </w:rPr>
        <w:t>2.磋商报价一览表（格式）</w:t>
      </w:r>
      <w:bookmarkEnd w:id="668"/>
    </w:p>
    <w:p w14:paraId="6A7D4C59">
      <w:pPr>
        <w:pageBreakBefore w:val="0"/>
        <w:overflowPunct/>
        <w:topLinePunct w:val="0"/>
        <w:bidi w:val="0"/>
        <w:spacing w:line="360" w:lineRule="auto"/>
        <w:ind w:firstLine="643" w:firstLineChars="200"/>
        <w:jc w:val="center"/>
        <w:rPr>
          <w:rFonts w:hint="eastAsia" w:ascii="宋体" w:hAnsi="宋体" w:eastAsia="宋体" w:cs="宋体"/>
          <w:b/>
          <w:bCs/>
          <w:sz w:val="32"/>
          <w:szCs w:val="20"/>
          <w:highlight w:val="none"/>
        </w:rPr>
      </w:pPr>
    </w:p>
    <w:p w14:paraId="4FD53C77">
      <w:pPr>
        <w:pageBreakBefore w:val="0"/>
        <w:overflowPunct/>
        <w:topLinePunct w:val="0"/>
        <w:bidi w:val="0"/>
        <w:spacing w:line="360" w:lineRule="auto"/>
        <w:ind w:firstLine="643" w:firstLineChars="200"/>
        <w:jc w:val="center"/>
        <w:rPr>
          <w:rFonts w:hint="eastAsia" w:ascii="宋体" w:hAnsi="宋体" w:eastAsia="宋体" w:cs="宋体"/>
          <w:b/>
          <w:bCs/>
          <w:sz w:val="32"/>
          <w:szCs w:val="20"/>
          <w:highlight w:val="none"/>
        </w:rPr>
      </w:pPr>
      <w:r>
        <w:rPr>
          <w:rFonts w:hint="eastAsia" w:ascii="宋体" w:hAnsi="宋体" w:eastAsia="宋体" w:cs="宋体"/>
          <w:b/>
          <w:bCs/>
          <w:sz w:val="32"/>
          <w:szCs w:val="20"/>
          <w:highlight w:val="none"/>
        </w:rPr>
        <w:t>磋商报价一览表</w:t>
      </w:r>
    </w:p>
    <w:p w14:paraId="23697C38">
      <w:pPr>
        <w:pageBreakBefore w:val="0"/>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 xml:space="preserve">名称：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tbl>
      <w:tblPr>
        <w:tblStyle w:val="22"/>
        <w:tblW w:w="147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58"/>
        <w:gridCol w:w="3673"/>
        <w:gridCol w:w="3279"/>
        <w:gridCol w:w="3059"/>
        <w:gridCol w:w="2589"/>
      </w:tblGrid>
      <w:tr w14:paraId="007A68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1477" w:hRule="atLeast"/>
          <w:jc w:val="center"/>
        </w:trPr>
        <w:tc>
          <w:tcPr>
            <w:tcW w:w="2158" w:type="dxa"/>
            <w:noWrap w:val="0"/>
            <w:vAlign w:val="center"/>
          </w:tcPr>
          <w:p w14:paraId="6E0D7F30">
            <w:pPr>
              <w:pageBreakBefore w:val="0"/>
              <w:overflowPunct/>
              <w:topLinePunct w:val="0"/>
              <w:bidi w:val="0"/>
              <w:spacing w:line="360" w:lineRule="auto"/>
              <w:ind w:right="143" w:rightChars="68" w:firstLine="118" w:firstLineChars="49"/>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项目编号 </w:t>
            </w:r>
          </w:p>
        </w:tc>
        <w:tc>
          <w:tcPr>
            <w:tcW w:w="3673" w:type="dxa"/>
            <w:noWrap w:val="0"/>
            <w:vAlign w:val="center"/>
          </w:tcPr>
          <w:p w14:paraId="285AB22B">
            <w:pPr>
              <w:pageBreakBefore w:val="0"/>
              <w:overflowPunct/>
              <w:topLinePunct w:val="0"/>
              <w:bidi w:val="0"/>
              <w:spacing w:line="360" w:lineRule="auto"/>
              <w:ind w:left="210" w:leftChars="1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磋商</w:t>
            </w:r>
            <w:r>
              <w:rPr>
                <w:rFonts w:hint="eastAsia" w:ascii="宋体" w:hAnsi="宋体" w:eastAsia="宋体" w:cs="宋体"/>
                <w:b/>
                <w:sz w:val="24"/>
                <w:szCs w:val="24"/>
                <w:highlight w:val="none"/>
                <w:lang w:eastAsia="zh-CN"/>
              </w:rPr>
              <w:t>报</w:t>
            </w:r>
            <w:r>
              <w:rPr>
                <w:rFonts w:hint="eastAsia" w:ascii="宋体" w:hAnsi="宋体" w:eastAsia="宋体" w:cs="宋体"/>
                <w:b/>
                <w:sz w:val="24"/>
                <w:szCs w:val="24"/>
                <w:highlight w:val="none"/>
              </w:rPr>
              <w:t>价</w:t>
            </w:r>
          </w:p>
          <w:p w14:paraId="0C2904BC">
            <w:pPr>
              <w:pageBreakBefore w:val="0"/>
              <w:overflowPunct/>
              <w:topLinePunct w:val="0"/>
              <w:bidi w:val="0"/>
              <w:spacing w:line="360" w:lineRule="auto"/>
              <w:ind w:left="210" w:leftChars="1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（人民币:元）</w:t>
            </w:r>
          </w:p>
        </w:tc>
        <w:tc>
          <w:tcPr>
            <w:tcW w:w="3279" w:type="dxa"/>
            <w:noWrap w:val="0"/>
            <w:tcMar>
              <w:top w:w="57" w:type="dxa"/>
              <w:left w:w="28" w:type="dxa"/>
              <w:bottom w:w="57" w:type="dxa"/>
              <w:right w:w="28" w:type="dxa"/>
            </w:tcMar>
            <w:vAlign w:val="center"/>
          </w:tcPr>
          <w:p w14:paraId="14CB6CAE">
            <w:pPr>
              <w:pageBreakBefore w:val="0"/>
              <w:overflowPunct/>
              <w:topLinePunct w:val="0"/>
              <w:bidi w:val="0"/>
              <w:spacing w:line="360" w:lineRule="auto"/>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工期</w:t>
            </w:r>
          </w:p>
        </w:tc>
        <w:tc>
          <w:tcPr>
            <w:tcW w:w="3059" w:type="dxa"/>
            <w:noWrap w:val="0"/>
            <w:tcMar>
              <w:top w:w="57" w:type="dxa"/>
              <w:left w:w="28" w:type="dxa"/>
              <w:bottom w:w="57" w:type="dxa"/>
              <w:right w:w="28" w:type="dxa"/>
            </w:tcMar>
            <w:vAlign w:val="center"/>
          </w:tcPr>
          <w:p w14:paraId="4FF0B6E4">
            <w:pPr>
              <w:pageBreakBefore w:val="0"/>
              <w:overflowPunct/>
              <w:topLinePunct w:val="0"/>
              <w:bidi w:val="0"/>
              <w:spacing w:line="360" w:lineRule="auto"/>
              <w:jc w:val="center"/>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工程质量</w:t>
            </w:r>
          </w:p>
        </w:tc>
        <w:tc>
          <w:tcPr>
            <w:tcW w:w="2589" w:type="dxa"/>
            <w:noWrap w:val="0"/>
            <w:tcMar>
              <w:top w:w="57" w:type="dxa"/>
              <w:left w:w="28" w:type="dxa"/>
              <w:bottom w:w="57" w:type="dxa"/>
              <w:right w:w="28" w:type="dxa"/>
            </w:tcMar>
            <w:vAlign w:val="center"/>
          </w:tcPr>
          <w:p w14:paraId="48A8FE47">
            <w:pPr>
              <w:pageBreakBefore w:val="0"/>
              <w:overflowPunct/>
              <w:topLinePunct w:val="0"/>
              <w:bidi w:val="0"/>
              <w:spacing w:line="360" w:lineRule="auto"/>
              <w:ind w:left="210" w:leftChars="10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质保期</w:t>
            </w:r>
          </w:p>
        </w:tc>
      </w:tr>
      <w:tr w14:paraId="1F220D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2158" w:type="dxa"/>
            <w:vMerge w:val="restart"/>
            <w:noWrap w:val="0"/>
            <w:vAlign w:val="center"/>
          </w:tcPr>
          <w:p w14:paraId="21B3A562">
            <w:pPr>
              <w:pageBreakBefore w:val="0"/>
              <w:overflowPunct/>
              <w:topLinePunct w:val="0"/>
              <w:bidi w:val="0"/>
              <w:spacing w:line="360" w:lineRule="auto"/>
              <w:ind w:left="210" w:leftChars="100"/>
              <w:jc w:val="center"/>
              <w:rPr>
                <w:rFonts w:hint="eastAsia" w:ascii="宋体" w:hAnsi="宋体" w:eastAsia="宋体" w:cs="宋体"/>
                <w:sz w:val="24"/>
                <w:szCs w:val="24"/>
                <w:highlight w:val="none"/>
              </w:rPr>
            </w:pPr>
          </w:p>
        </w:tc>
        <w:tc>
          <w:tcPr>
            <w:tcW w:w="3673" w:type="dxa"/>
            <w:noWrap w:val="0"/>
            <w:vAlign w:val="center"/>
          </w:tcPr>
          <w:p w14:paraId="0D04D525">
            <w:pPr>
              <w:pageBreakBefore w:val="0"/>
              <w:overflowPunct/>
              <w:topLinePunct w:val="0"/>
              <w:bidi w:val="0"/>
              <w:spacing w:line="360" w:lineRule="auto"/>
              <w:ind w:left="210" w:leftChars="100"/>
              <w:jc w:val="center"/>
              <w:rPr>
                <w:rFonts w:hint="eastAsia" w:ascii="宋体" w:hAnsi="宋体" w:eastAsia="宋体" w:cs="宋体"/>
                <w:sz w:val="24"/>
                <w:szCs w:val="24"/>
                <w:highlight w:val="none"/>
              </w:rPr>
            </w:pPr>
          </w:p>
        </w:tc>
        <w:tc>
          <w:tcPr>
            <w:tcW w:w="3279" w:type="dxa"/>
            <w:noWrap w:val="0"/>
            <w:tcMar>
              <w:top w:w="57" w:type="dxa"/>
              <w:left w:w="28" w:type="dxa"/>
              <w:bottom w:w="57" w:type="dxa"/>
              <w:right w:w="28" w:type="dxa"/>
            </w:tcMar>
            <w:vAlign w:val="center"/>
          </w:tcPr>
          <w:p w14:paraId="12FDB7AD">
            <w:pPr>
              <w:pageBreakBefore w:val="0"/>
              <w:overflowPunct/>
              <w:topLinePunct w:val="0"/>
              <w:bidi w:val="0"/>
              <w:spacing w:line="360" w:lineRule="auto"/>
              <w:ind w:left="210" w:leftChars="100"/>
              <w:jc w:val="center"/>
              <w:rPr>
                <w:rFonts w:hint="eastAsia" w:ascii="宋体" w:hAnsi="宋体" w:eastAsia="宋体" w:cs="宋体"/>
                <w:sz w:val="24"/>
                <w:szCs w:val="24"/>
                <w:highlight w:val="none"/>
              </w:rPr>
            </w:pPr>
          </w:p>
        </w:tc>
        <w:tc>
          <w:tcPr>
            <w:tcW w:w="3059" w:type="dxa"/>
            <w:noWrap w:val="0"/>
            <w:tcMar>
              <w:top w:w="57" w:type="dxa"/>
              <w:left w:w="28" w:type="dxa"/>
              <w:bottom w:w="57" w:type="dxa"/>
              <w:right w:w="28" w:type="dxa"/>
            </w:tcMar>
            <w:vAlign w:val="center"/>
          </w:tcPr>
          <w:p w14:paraId="34A47A7C">
            <w:pPr>
              <w:pageBreakBefore w:val="0"/>
              <w:overflowPunct/>
              <w:topLinePunct w:val="0"/>
              <w:bidi w:val="0"/>
              <w:spacing w:line="360" w:lineRule="auto"/>
              <w:ind w:left="210" w:leftChars="100"/>
              <w:jc w:val="center"/>
              <w:rPr>
                <w:rFonts w:hint="eastAsia" w:ascii="宋体" w:hAnsi="宋体" w:eastAsia="宋体" w:cs="宋体"/>
                <w:sz w:val="24"/>
                <w:szCs w:val="24"/>
                <w:highlight w:val="none"/>
              </w:rPr>
            </w:pPr>
          </w:p>
        </w:tc>
        <w:tc>
          <w:tcPr>
            <w:tcW w:w="2589" w:type="dxa"/>
            <w:noWrap w:val="0"/>
            <w:tcMar>
              <w:top w:w="57" w:type="dxa"/>
              <w:left w:w="28" w:type="dxa"/>
              <w:bottom w:w="57" w:type="dxa"/>
              <w:right w:w="28" w:type="dxa"/>
            </w:tcMar>
            <w:vAlign w:val="center"/>
          </w:tcPr>
          <w:p w14:paraId="3CECD373">
            <w:pPr>
              <w:pageBreakBefore w:val="0"/>
              <w:overflowPunct/>
              <w:topLinePunct w:val="0"/>
              <w:bidi w:val="0"/>
              <w:spacing w:line="360" w:lineRule="auto"/>
              <w:ind w:left="210" w:leftChars="100"/>
              <w:jc w:val="center"/>
              <w:rPr>
                <w:rFonts w:hint="eastAsia" w:ascii="宋体" w:hAnsi="宋体" w:eastAsia="宋体" w:cs="宋体"/>
                <w:sz w:val="24"/>
                <w:szCs w:val="24"/>
                <w:highlight w:val="none"/>
              </w:rPr>
            </w:pPr>
          </w:p>
        </w:tc>
      </w:tr>
      <w:tr w14:paraId="6E146F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1195" w:hRule="atLeast"/>
          <w:jc w:val="center"/>
        </w:trPr>
        <w:tc>
          <w:tcPr>
            <w:tcW w:w="2158" w:type="dxa"/>
            <w:vMerge w:val="continue"/>
            <w:noWrap w:val="0"/>
            <w:tcMar>
              <w:top w:w="57" w:type="dxa"/>
              <w:left w:w="28" w:type="dxa"/>
              <w:bottom w:w="57" w:type="dxa"/>
              <w:right w:w="28" w:type="dxa"/>
            </w:tcMar>
            <w:vAlign w:val="center"/>
          </w:tcPr>
          <w:p w14:paraId="0D151CDD">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2600" w:type="dxa"/>
            <w:gridSpan w:val="4"/>
            <w:tcBorders>
              <w:top w:val="single" w:color="auto" w:sz="4" w:space="0"/>
            </w:tcBorders>
            <w:noWrap w:val="0"/>
            <w:vAlign w:val="center"/>
          </w:tcPr>
          <w:p w14:paraId="2F54DC31">
            <w:pPr>
              <w:pageBreakBefore w:val="0"/>
              <w:overflowPunct/>
              <w:topLinePunct w:val="0"/>
              <w:bidi w:val="0"/>
              <w:spacing w:line="360" w:lineRule="auto"/>
              <w:ind w:left="210" w:leftChars="10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（大写）                                </w:t>
            </w:r>
          </w:p>
        </w:tc>
      </w:tr>
    </w:tbl>
    <w:p w14:paraId="038EB367">
      <w:pPr>
        <w:pageBreakBefore w:val="0"/>
        <w:overflowPunct/>
        <w:topLinePunct w:val="0"/>
        <w:bidi w:val="0"/>
        <w:spacing w:line="360" w:lineRule="auto"/>
        <w:ind w:firstLine="440" w:firstLineChars="200"/>
        <w:rPr>
          <w:rFonts w:hint="eastAsia" w:ascii="宋体" w:hAnsi="宋体" w:eastAsia="宋体" w:cs="宋体"/>
          <w:sz w:val="22"/>
          <w:szCs w:val="21"/>
          <w:highlight w:val="none"/>
        </w:rPr>
      </w:pPr>
      <w:r>
        <w:rPr>
          <w:rFonts w:hint="eastAsia" w:ascii="宋体" w:hAnsi="宋体" w:eastAsia="宋体" w:cs="宋体"/>
          <w:sz w:val="22"/>
          <w:szCs w:val="21"/>
          <w:highlight w:val="none"/>
        </w:rPr>
        <w:t>注：1</w:t>
      </w:r>
      <w:r>
        <w:rPr>
          <w:rFonts w:hint="eastAsia" w:ascii="宋体" w:hAnsi="宋体" w:eastAsia="宋体" w:cs="宋体"/>
          <w:sz w:val="22"/>
          <w:szCs w:val="21"/>
          <w:highlight w:val="none"/>
          <w:lang w:val="en-US" w:eastAsia="zh-CN"/>
        </w:rPr>
        <w:t>.</w:t>
      </w:r>
      <w:r>
        <w:rPr>
          <w:rFonts w:hint="eastAsia" w:ascii="宋体" w:hAnsi="宋体" w:eastAsia="宋体" w:cs="宋体"/>
          <w:sz w:val="22"/>
          <w:szCs w:val="21"/>
          <w:highlight w:val="none"/>
        </w:rPr>
        <w:t>磋商报价包含项目施工过程中的全部费用。</w:t>
      </w:r>
    </w:p>
    <w:p w14:paraId="482E6640">
      <w:pPr>
        <w:pageBreakBefore w:val="0"/>
        <w:numPr>
          <w:ilvl w:val="0"/>
          <w:numId w:val="0"/>
        </w:numPr>
        <w:overflowPunct/>
        <w:topLinePunct w:val="0"/>
        <w:bidi w:val="0"/>
        <w:spacing w:line="360" w:lineRule="auto"/>
        <w:ind w:firstLine="880" w:firstLineChars="400"/>
        <w:rPr>
          <w:rFonts w:hint="eastAsia" w:ascii="宋体" w:hAnsi="宋体" w:eastAsia="宋体" w:cs="宋体"/>
          <w:sz w:val="22"/>
          <w:szCs w:val="21"/>
          <w:highlight w:val="none"/>
        </w:rPr>
      </w:pPr>
      <w:r>
        <w:rPr>
          <w:rFonts w:hint="eastAsia" w:ascii="宋体" w:hAnsi="宋体" w:eastAsia="宋体" w:cs="宋体"/>
          <w:sz w:val="22"/>
          <w:szCs w:val="21"/>
          <w:highlight w:val="none"/>
          <w:lang w:val="en-US" w:eastAsia="zh-CN"/>
        </w:rPr>
        <w:t>2.</w:t>
      </w:r>
      <w:r>
        <w:rPr>
          <w:rFonts w:hint="eastAsia" w:ascii="宋体" w:hAnsi="宋体" w:eastAsia="宋体" w:cs="宋体"/>
          <w:sz w:val="22"/>
          <w:szCs w:val="21"/>
          <w:highlight w:val="none"/>
        </w:rPr>
        <w:t>本表价格应按</w:t>
      </w:r>
      <w:r>
        <w:rPr>
          <w:rFonts w:hint="eastAsia" w:ascii="宋体" w:hAnsi="宋体" w:eastAsia="宋体" w:cs="宋体"/>
          <w:sz w:val="22"/>
          <w:szCs w:val="21"/>
          <w:highlight w:val="none"/>
          <w:lang w:val="en-US" w:eastAsia="zh-CN"/>
        </w:rPr>
        <w:t>最高限价</w:t>
      </w:r>
      <w:r>
        <w:rPr>
          <w:rFonts w:hint="eastAsia" w:ascii="宋体" w:hAnsi="宋体" w:eastAsia="宋体" w:cs="宋体"/>
          <w:sz w:val="22"/>
          <w:szCs w:val="21"/>
          <w:highlight w:val="none"/>
        </w:rPr>
        <w:t>填写，同时应保证磋商响应文件的正、副本中仍有此表且一致。</w:t>
      </w:r>
    </w:p>
    <w:p w14:paraId="4A2D3FA2">
      <w:pPr>
        <w:pageBreakBefore w:val="0"/>
        <w:numPr>
          <w:ilvl w:val="0"/>
          <w:numId w:val="0"/>
        </w:numPr>
        <w:overflowPunct/>
        <w:topLinePunct w:val="0"/>
        <w:bidi w:val="0"/>
        <w:spacing w:line="360" w:lineRule="auto"/>
        <w:ind w:firstLine="880" w:firstLineChars="400"/>
        <w:rPr>
          <w:rFonts w:hint="eastAsia" w:ascii="宋体" w:hAnsi="宋体" w:eastAsia="宋体" w:cs="宋体"/>
          <w:sz w:val="22"/>
          <w:szCs w:val="21"/>
          <w:highlight w:val="none"/>
        </w:rPr>
      </w:pPr>
      <w:r>
        <w:rPr>
          <w:rFonts w:hint="eastAsia" w:ascii="宋体" w:hAnsi="宋体" w:eastAsia="宋体" w:cs="宋体"/>
          <w:sz w:val="22"/>
          <w:szCs w:val="21"/>
          <w:highlight w:val="none"/>
          <w:lang w:val="en-US" w:eastAsia="zh-CN"/>
        </w:rPr>
        <w:t>3.</w:t>
      </w:r>
      <w:r>
        <w:rPr>
          <w:rFonts w:hint="eastAsia" w:ascii="宋体" w:hAnsi="宋体" w:eastAsia="宋体" w:cs="宋体"/>
          <w:sz w:val="22"/>
          <w:szCs w:val="21"/>
          <w:highlight w:val="none"/>
        </w:rPr>
        <w:t>报价精确到两位小数后两位。</w:t>
      </w:r>
    </w:p>
    <w:p w14:paraId="14C35B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名称（公章）：</w:t>
      </w:r>
      <w:r>
        <w:rPr>
          <w:rFonts w:hint="eastAsia" w:ascii="宋体" w:hAnsi="宋体" w:eastAsia="宋体" w:cs="宋体"/>
          <w:sz w:val="24"/>
          <w:szCs w:val="24"/>
          <w:highlight w:val="none"/>
          <w:u w:val="single"/>
          <w:lang w:val="en-US" w:eastAsia="zh-CN"/>
        </w:rPr>
        <w:t xml:space="preserve">                            </w:t>
      </w:r>
    </w:p>
    <w:p w14:paraId="5FE86D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法定代表人或被授权人</w:t>
      </w:r>
      <w:r>
        <w:rPr>
          <w:rFonts w:hint="eastAsia" w:ascii="宋体" w:hAnsi="宋体" w:eastAsia="宋体" w:cs="宋体"/>
          <w:sz w:val="24"/>
          <w:szCs w:val="24"/>
          <w:highlight w:val="none"/>
          <w:lang w:eastAsia="zh-CN"/>
        </w:rPr>
        <w:t>（签字或盖章）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14:paraId="3FCEEE3B">
      <w:pPr>
        <w:pageBreakBefore w:val="0"/>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 期：                           </w:t>
      </w:r>
    </w:p>
    <w:p w14:paraId="29FD3733">
      <w:pPr>
        <w:pStyle w:val="2"/>
        <w:ind w:left="0" w:leftChars="0" w:firstLine="0" w:firstLineChars="0"/>
        <w:rPr>
          <w:rFonts w:hint="eastAsia" w:ascii="宋体" w:hAnsi="宋体" w:eastAsia="宋体" w:cs="宋体"/>
          <w:b/>
          <w:bCs/>
          <w:sz w:val="20"/>
          <w:szCs w:val="20"/>
          <w:highlight w:val="none"/>
        </w:rPr>
        <w:sectPr>
          <w:headerReference r:id="rId11" w:type="first"/>
          <w:footerReference r:id="rId13" w:type="first"/>
          <w:headerReference r:id="rId10" w:type="default"/>
          <w:footerReference r:id="rId12" w:type="default"/>
          <w:pgSz w:w="16840" w:h="11907" w:orient="landscape"/>
          <w:pgMar w:top="1259" w:right="1418" w:bottom="1287" w:left="936" w:header="851" w:footer="1021" w:gutter="0"/>
          <w:pgNumType w:fmt="decimal"/>
          <w:cols w:space="720" w:num="1"/>
          <w:docGrid w:linePitch="312" w:charSpace="0"/>
        </w:sectPr>
      </w:pPr>
    </w:p>
    <w:p w14:paraId="39AE81E6">
      <w:pPr>
        <w:pStyle w:val="5"/>
        <w:pageBreakBefore w:val="0"/>
        <w:overflowPunct/>
        <w:topLinePunct w:val="0"/>
        <w:bidi w:val="0"/>
        <w:spacing w:before="0" w:after="0" w:line="360" w:lineRule="auto"/>
        <w:outlineLvl w:val="2"/>
        <w:rPr>
          <w:rFonts w:hint="eastAsia" w:ascii="宋体" w:hAnsi="宋体" w:eastAsia="宋体" w:cs="宋体"/>
          <w:szCs w:val="21"/>
          <w:highlight w:val="none"/>
        </w:rPr>
      </w:pPr>
      <w:bookmarkStart w:id="669" w:name="_Toc8023"/>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已标价工程量清单</w:t>
      </w:r>
      <w:bookmarkEnd w:id="669"/>
    </w:p>
    <w:p w14:paraId="45F396E4">
      <w:pPr>
        <w:pageBreakBefore w:val="0"/>
        <w:widowControl/>
        <w:overflowPunct/>
        <w:topLinePunct w:val="0"/>
        <w:bidi w:val="0"/>
        <w:spacing w:line="360" w:lineRule="auto"/>
        <w:jc w:val="left"/>
        <w:rPr>
          <w:rFonts w:hint="eastAsia" w:ascii="宋体" w:hAnsi="宋体" w:eastAsia="宋体" w:cs="宋体"/>
          <w:b/>
          <w:bCs/>
          <w:kern w:val="0"/>
          <w:sz w:val="28"/>
          <w:szCs w:val="28"/>
          <w:highlight w:val="none"/>
        </w:rPr>
      </w:pPr>
      <w:r>
        <w:rPr>
          <w:rFonts w:hint="eastAsia" w:ascii="宋体" w:hAnsi="宋体" w:eastAsia="宋体" w:cs="宋体"/>
          <w:sz w:val="24"/>
          <w:szCs w:val="24"/>
          <w:highlight w:val="none"/>
        </w:rPr>
        <w:t>说明：已标价工程量清单按第三部分“工程量清单”中的相关清单表格式填写</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采用相关造价软件填写</w:t>
      </w:r>
      <w:r>
        <w:rPr>
          <w:rFonts w:hint="eastAsia" w:ascii="宋体" w:hAnsi="宋体" w:eastAsia="宋体" w:cs="宋体"/>
          <w:b/>
          <w:bCs/>
          <w:sz w:val="24"/>
          <w:szCs w:val="24"/>
          <w:highlight w:val="none"/>
          <w:lang w:eastAsia="zh-CN"/>
        </w:rPr>
        <w:t>，</w:t>
      </w:r>
      <w:r>
        <w:rPr>
          <w:rFonts w:hint="eastAsia" w:ascii="宋体" w:hAnsi="宋体" w:eastAsia="宋体" w:cs="宋体"/>
          <w:b/>
          <w:bCs/>
          <w:kern w:val="0"/>
          <w:sz w:val="24"/>
          <w:highlight w:val="none"/>
        </w:rPr>
        <w:t>磋商报价包含项目施工过程中的全部费用.</w:t>
      </w:r>
    </w:p>
    <w:p w14:paraId="2034B103">
      <w:pPr>
        <w:pageBreakBefore w:val="0"/>
        <w:widowControl/>
        <w:overflowPunct/>
        <w:topLinePunct w:val="0"/>
        <w:bidi w:val="0"/>
        <w:spacing w:line="360" w:lineRule="auto"/>
        <w:jc w:val="left"/>
        <w:rPr>
          <w:rFonts w:hint="eastAsia" w:ascii="宋体" w:hAnsi="宋体" w:eastAsia="宋体" w:cs="宋体"/>
          <w:sz w:val="28"/>
          <w:szCs w:val="28"/>
          <w:highlight w:val="none"/>
        </w:rPr>
      </w:pPr>
    </w:p>
    <w:p w14:paraId="46B31F4E">
      <w:pPr>
        <w:pageBreakBefore w:val="0"/>
        <w:overflowPunct/>
        <w:topLinePunct w:val="0"/>
        <w:bidi w:val="0"/>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p w14:paraId="718100C8">
      <w:pPr>
        <w:pageBreakBefore w:val="0"/>
        <w:overflowPunct/>
        <w:topLinePunct w:val="0"/>
        <w:bidi w:val="0"/>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p w14:paraId="4690BBAE">
      <w:pPr>
        <w:pageBreakBefore w:val="0"/>
        <w:overflowPunct/>
        <w:topLinePunct w:val="0"/>
        <w:bidi w:val="0"/>
        <w:spacing w:line="360" w:lineRule="auto"/>
        <w:ind w:firstLine="480"/>
        <w:jc w:val="left"/>
        <w:rPr>
          <w:rFonts w:hint="eastAsia" w:ascii="宋体" w:hAnsi="宋体" w:eastAsia="宋体" w:cs="宋体"/>
          <w:kern w:val="0"/>
          <w:sz w:val="24"/>
          <w:highlight w:val="none"/>
        </w:rPr>
      </w:pPr>
    </w:p>
    <w:p w14:paraId="13213E1A">
      <w:pPr>
        <w:pageBreakBefore w:val="0"/>
        <w:overflowPunct/>
        <w:topLinePunct w:val="0"/>
        <w:bidi w:val="0"/>
        <w:spacing w:line="360" w:lineRule="auto"/>
        <w:ind w:firstLine="480"/>
        <w:jc w:val="left"/>
        <w:rPr>
          <w:rFonts w:hint="eastAsia" w:ascii="宋体" w:hAnsi="宋体" w:eastAsia="宋体" w:cs="宋体"/>
          <w:kern w:val="0"/>
          <w:sz w:val="24"/>
          <w:highlight w:val="none"/>
        </w:rPr>
      </w:pPr>
    </w:p>
    <w:p w14:paraId="1B2688D2">
      <w:pPr>
        <w:pageBreakBefore w:val="0"/>
        <w:overflowPunct/>
        <w:topLinePunct w:val="0"/>
        <w:bidi w:val="0"/>
        <w:spacing w:line="360" w:lineRule="auto"/>
        <w:ind w:firstLine="480"/>
        <w:jc w:val="left"/>
        <w:rPr>
          <w:rFonts w:hint="eastAsia" w:ascii="宋体" w:hAnsi="宋体" w:eastAsia="宋体" w:cs="宋体"/>
          <w:kern w:val="0"/>
          <w:sz w:val="24"/>
          <w:highlight w:val="none"/>
        </w:rPr>
      </w:pPr>
    </w:p>
    <w:p w14:paraId="468939E5">
      <w:pPr>
        <w:pageBreakBefore w:val="0"/>
        <w:overflowPunct/>
        <w:topLinePunct w:val="0"/>
        <w:bidi w:val="0"/>
        <w:spacing w:line="360" w:lineRule="auto"/>
        <w:ind w:firstLine="480"/>
        <w:jc w:val="left"/>
        <w:rPr>
          <w:rFonts w:hint="eastAsia" w:ascii="宋体" w:hAnsi="宋体" w:eastAsia="宋体" w:cs="宋体"/>
          <w:kern w:val="0"/>
          <w:sz w:val="24"/>
          <w:highlight w:val="none"/>
        </w:rPr>
      </w:pPr>
    </w:p>
    <w:p w14:paraId="33C1DEFE">
      <w:pPr>
        <w:pageBreakBefore w:val="0"/>
        <w:overflowPunct/>
        <w:topLinePunct w:val="0"/>
        <w:bidi w:val="0"/>
        <w:spacing w:line="360" w:lineRule="auto"/>
        <w:ind w:firstLine="480"/>
        <w:jc w:val="left"/>
        <w:rPr>
          <w:rFonts w:hint="eastAsia" w:ascii="宋体" w:hAnsi="宋体" w:eastAsia="宋体" w:cs="宋体"/>
          <w:kern w:val="0"/>
          <w:sz w:val="24"/>
          <w:highlight w:val="none"/>
        </w:rPr>
      </w:pPr>
    </w:p>
    <w:p w14:paraId="03128483">
      <w:pPr>
        <w:pageBreakBefore w:val="0"/>
        <w:overflowPunct/>
        <w:topLinePunct w:val="0"/>
        <w:bidi w:val="0"/>
        <w:spacing w:line="360" w:lineRule="auto"/>
        <w:ind w:firstLine="480"/>
        <w:jc w:val="left"/>
        <w:rPr>
          <w:rFonts w:hint="eastAsia" w:ascii="宋体" w:hAnsi="宋体" w:eastAsia="宋体" w:cs="宋体"/>
          <w:kern w:val="0"/>
          <w:sz w:val="24"/>
          <w:highlight w:val="none"/>
        </w:rPr>
      </w:pPr>
    </w:p>
    <w:p w14:paraId="4BFBF297">
      <w:pPr>
        <w:pageBreakBefore w:val="0"/>
        <w:overflowPunct/>
        <w:topLinePunct w:val="0"/>
        <w:bidi w:val="0"/>
        <w:spacing w:line="360" w:lineRule="auto"/>
        <w:ind w:firstLine="480"/>
        <w:jc w:val="left"/>
        <w:rPr>
          <w:rFonts w:hint="eastAsia" w:ascii="宋体" w:hAnsi="宋体" w:eastAsia="宋体" w:cs="宋体"/>
          <w:kern w:val="0"/>
          <w:sz w:val="24"/>
          <w:highlight w:val="none"/>
        </w:rPr>
      </w:pPr>
    </w:p>
    <w:p w14:paraId="3240A8AF">
      <w:pPr>
        <w:pageBreakBefore w:val="0"/>
        <w:overflowPunct/>
        <w:topLinePunct w:val="0"/>
        <w:bidi w:val="0"/>
        <w:spacing w:line="360" w:lineRule="auto"/>
        <w:ind w:firstLine="480"/>
        <w:jc w:val="left"/>
        <w:rPr>
          <w:rFonts w:hint="eastAsia" w:ascii="宋体" w:hAnsi="宋体" w:eastAsia="宋体" w:cs="宋体"/>
          <w:kern w:val="0"/>
          <w:sz w:val="24"/>
          <w:highlight w:val="none"/>
        </w:rPr>
      </w:pPr>
    </w:p>
    <w:p w14:paraId="2FA002D7">
      <w:pPr>
        <w:pageBreakBefore w:val="0"/>
        <w:overflowPunct/>
        <w:topLinePunct w:val="0"/>
        <w:bidi w:val="0"/>
        <w:spacing w:line="360" w:lineRule="auto"/>
        <w:ind w:firstLine="480"/>
        <w:jc w:val="left"/>
        <w:rPr>
          <w:rFonts w:hint="eastAsia" w:ascii="宋体" w:hAnsi="宋体" w:eastAsia="宋体" w:cs="宋体"/>
          <w:kern w:val="0"/>
          <w:sz w:val="24"/>
          <w:highlight w:val="none"/>
        </w:rPr>
      </w:pPr>
    </w:p>
    <w:p w14:paraId="1FAE2D8B">
      <w:pPr>
        <w:pageBreakBefore w:val="0"/>
        <w:overflowPunct/>
        <w:topLinePunct w:val="0"/>
        <w:bidi w:val="0"/>
        <w:spacing w:line="360" w:lineRule="auto"/>
        <w:ind w:firstLine="480"/>
        <w:jc w:val="left"/>
        <w:rPr>
          <w:rFonts w:hint="eastAsia" w:ascii="宋体" w:hAnsi="宋体" w:eastAsia="宋体" w:cs="宋体"/>
          <w:kern w:val="0"/>
          <w:sz w:val="24"/>
          <w:highlight w:val="none"/>
        </w:rPr>
      </w:pPr>
    </w:p>
    <w:p w14:paraId="692B2AA2">
      <w:pPr>
        <w:pageBreakBefore w:val="0"/>
        <w:overflowPunct/>
        <w:topLinePunct w:val="0"/>
        <w:bidi w:val="0"/>
        <w:spacing w:line="360" w:lineRule="auto"/>
        <w:ind w:firstLine="480"/>
        <w:jc w:val="left"/>
        <w:rPr>
          <w:rFonts w:hint="eastAsia" w:ascii="宋体" w:hAnsi="宋体" w:eastAsia="宋体" w:cs="宋体"/>
          <w:kern w:val="0"/>
          <w:sz w:val="24"/>
          <w:highlight w:val="none"/>
        </w:rPr>
      </w:pPr>
    </w:p>
    <w:p w14:paraId="319F0347">
      <w:pPr>
        <w:pageBreakBefore w:val="0"/>
        <w:overflowPunct/>
        <w:topLinePunct w:val="0"/>
        <w:bidi w:val="0"/>
        <w:spacing w:line="360" w:lineRule="auto"/>
        <w:ind w:firstLine="480"/>
        <w:jc w:val="left"/>
        <w:rPr>
          <w:rFonts w:hint="eastAsia" w:ascii="宋体" w:hAnsi="宋体" w:eastAsia="宋体" w:cs="宋体"/>
          <w:kern w:val="0"/>
          <w:sz w:val="24"/>
          <w:highlight w:val="none"/>
        </w:rPr>
      </w:pPr>
    </w:p>
    <w:p w14:paraId="7B2D8A61">
      <w:pPr>
        <w:pageBreakBefore w:val="0"/>
        <w:overflowPunct/>
        <w:topLinePunct w:val="0"/>
        <w:bidi w:val="0"/>
        <w:spacing w:line="360" w:lineRule="auto"/>
        <w:ind w:firstLine="480"/>
        <w:jc w:val="left"/>
        <w:rPr>
          <w:rFonts w:hint="eastAsia" w:ascii="宋体" w:hAnsi="宋体" w:eastAsia="宋体" w:cs="宋体"/>
          <w:kern w:val="0"/>
          <w:sz w:val="24"/>
          <w:highlight w:val="none"/>
        </w:rPr>
      </w:pPr>
    </w:p>
    <w:p w14:paraId="40E8C2AC">
      <w:pPr>
        <w:pageBreakBefore w:val="0"/>
        <w:overflowPunct/>
        <w:topLinePunct w:val="0"/>
        <w:bidi w:val="0"/>
        <w:spacing w:line="360" w:lineRule="auto"/>
        <w:ind w:firstLine="480"/>
        <w:jc w:val="left"/>
        <w:rPr>
          <w:rFonts w:hint="eastAsia" w:ascii="宋体" w:hAnsi="宋体" w:eastAsia="宋体" w:cs="宋体"/>
          <w:kern w:val="0"/>
          <w:sz w:val="24"/>
          <w:highlight w:val="none"/>
        </w:rPr>
      </w:pPr>
    </w:p>
    <w:p w14:paraId="602EAF5D">
      <w:pPr>
        <w:pageBreakBefore w:val="0"/>
        <w:overflowPunct/>
        <w:topLinePunct w:val="0"/>
        <w:bidi w:val="0"/>
        <w:spacing w:line="360" w:lineRule="auto"/>
        <w:ind w:firstLine="480"/>
        <w:jc w:val="left"/>
        <w:rPr>
          <w:rFonts w:hint="eastAsia" w:ascii="宋体" w:hAnsi="宋体" w:eastAsia="宋体" w:cs="宋体"/>
          <w:kern w:val="0"/>
          <w:sz w:val="24"/>
          <w:highlight w:val="none"/>
        </w:rPr>
      </w:pPr>
    </w:p>
    <w:p w14:paraId="7C6A6715">
      <w:pPr>
        <w:pageBreakBefore w:val="0"/>
        <w:overflowPunct/>
        <w:topLinePunct w:val="0"/>
        <w:bidi w:val="0"/>
        <w:spacing w:line="360" w:lineRule="auto"/>
        <w:ind w:firstLine="480"/>
        <w:jc w:val="left"/>
        <w:rPr>
          <w:rFonts w:hint="eastAsia" w:ascii="宋体" w:hAnsi="宋体" w:eastAsia="宋体" w:cs="宋体"/>
          <w:kern w:val="0"/>
          <w:sz w:val="24"/>
          <w:highlight w:val="none"/>
        </w:rPr>
      </w:pPr>
    </w:p>
    <w:p w14:paraId="3A131AC0">
      <w:pPr>
        <w:pageBreakBefore w:val="0"/>
        <w:overflowPunct/>
        <w:topLinePunct w:val="0"/>
        <w:bidi w:val="0"/>
        <w:spacing w:line="360" w:lineRule="auto"/>
        <w:ind w:firstLine="480"/>
        <w:jc w:val="left"/>
        <w:rPr>
          <w:rFonts w:hint="eastAsia" w:ascii="宋体" w:hAnsi="宋体" w:eastAsia="宋体" w:cs="宋体"/>
          <w:kern w:val="0"/>
          <w:sz w:val="24"/>
          <w:highlight w:val="none"/>
        </w:rPr>
      </w:pPr>
    </w:p>
    <w:p w14:paraId="35C3CA5B">
      <w:pPr>
        <w:pageBreakBefore w:val="0"/>
        <w:overflowPunct/>
        <w:topLinePunct w:val="0"/>
        <w:bidi w:val="0"/>
        <w:spacing w:line="360" w:lineRule="auto"/>
        <w:ind w:firstLine="480"/>
        <w:jc w:val="left"/>
        <w:rPr>
          <w:rFonts w:hint="eastAsia" w:ascii="宋体" w:hAnsi="宋体" w:eastAsia="宋体" w:cs="宋体"/>
          <w:kern w:val="0"/>
          <w:sz w:val="24"/>
          <w:highlight w:val="none"/>
        </w:rPr>
      </w:pPr>
    </w:p>
    <w:p w14:paraId="0E7B5DF9">
      <w:pPr>
        <w:pageBreakBefore w:val="0"/>
        <w:overflowPunct/>
        <w:topLinePunct w:val="0"/>
        <w:bidi w:val="0"/>
        <w:spacing w:line="360" w:lineRule="auto"/>
        <w:ind w:firstLine="480"/>
        <w:jc w:val="left"/>
        <w:rPr>
          <w:rFonts w:hint="eastAsia" w:ascii="宋体" w:hAnsi="宋体" w:eastAsia="宋体" w:cs="宋体"/>
          <w:kern w:val="0"/>
          <w:sz w:val="24"/>
          <w:highlight w:val="none"/>
        </w:rPr>
      </w:pPr>
    </w:p>
    <w:p w14:paraId="0E28CF5D">
      <w:pPr>
        <w:pageBreakBefore w:val="0"/>
        <w:overflowPunct/>
        <w:topLinePunct w:val="0"/>
        <w:bidi w:val="0"/>
        <w:spacing w:line="360" w:lineRule="auto"/>
        <w:jc w:val="left"/>
        <w:rPr>
          <w:rFonts w:hint="eastAsia" w:ascii="宋体" w:hAnsi="宋体" w:eastAsia="宋体" w:cs="宋体"/>
          <w:kern w:val="0"/>
          <w:sz w:val="24"/>
          <w:highlight w:val="none"/>
        </w:rPr>
      </w:pPr>
    </w:p>
    <w:p w14:paraId="5A624F37">
      <w:pPr>
        <w:pStyle w:val="21"/>
        <w:rPr>
          <w:rFonts w:hint="eastAsia"/>
          <w:highlight w:val="none"/>
        </w:rPr>
      </w:pPr>
    </w:p>
    <w:p w14:paraId="3741918F">
      <w:pPr>
        <w:pStyle w:val="10"/>
        <w:pageBreakBefore w:val="0"/>
        <w:overflowPunct/>
        <w:topLinePunct w:val="0"/>
        <w:bidi w:val="0"/>
        <w:spacing w:line="360" w:lineRule="auto"/>
        <w:rPr>
          <w:rFonts w:hint="eastAsia" w:ascii="宋体" w:hAnsi="宋体" w:eastAsia="宋体" w:cs="宋体"/>
          <w:highlight w:val="none"/>
        </w:rPr>
      </w:pPr>
    </w:p>
    <w:p w14:paraId="75903973">
      <w:pPr>
        <w:bidi w:val="0"/>
        <w:rPr>
          <w:rFonts w:hint="eastAsia"/>
        </w:rPr>
      </w:pPr>
    </w:p>
    <w:p w14:paraId="64CD57E5">
      <w:pPr>
        <w:bidi w:val="0"/>
        <w:rPr>
          <w:rFonts w:hint="eastAsia"/>
        </w:rPr>
      </w:pPr>
    </w:p>
    <w:p w14:paraId="62174F71">
      <w:pPr>
        <w:bidi w:val="0"/>
        <w:rPr>
          <w:rFonts w:hint="eastAsia"/>
        </w:rPr>
      </w:pPr>
    </w:p>
    <w:p w14:paraId="68FBE7B9">
      <w:pPr>
        <w:pageBreakBefore w:val="0"/>
        <w:overflowPunct/>
        <w:topLinePunct w:val="0"/>
        <w:bidi w:val="0"/>
        <w:spacing w:line="360" w:lineRule="auto"/>
        <w:jc w:val="left"/>
        <w:outlineLvl w:val="1"/>
        <w:rPr>
          <w:rFonts w:hint="eastAsia" w:ascii="宋体" w:hAnsi="宋体" w:eastAsia="宋体" w:cs="宋体"/>
          <w:b/>
          <w:sz w:val="32"/>
          <w:szCs w:val="32"/>
          <w:highlight w:val="none"/>
        </w:rPr>
      </w:pPr>
      <w:bookmarkStart w:id="670" w:name="_Toc10184"/>
      <w:r>
        <w:rPr>
          <w:rFonts w:hint="eastAsia" w:ascii="宋体" w:hAnsi="宋体" w:eastAsia="宋体" w:cs="宋体"/>
          <w:b/>
          <w:sz w:val="32"/>
          <w:szCs w:val="32"/>
          <w:highlight w:val="none"/>
        </w:rPr>
        <w:t>3</w:t>
      </w:r>
      <w:r>
        <w:rPr>
          <w:rFonts w:hint="eastAsia" w:ascii="宋体" w:hAnsi="宋体" w:eastAsia="宋体" w:cs="宋体"/>
          <w:b/>
          <w:sz w:val="28"/>
          <w:szCs w:val="28"/>
          <w:highlight w:val="none"/>
        </w:rPr>
        <w:t>.商务条款响应偏离表（格式）</w:t>
      </w:r>
      <w:bookmarkEnd w:id="670"/>
    </w:p>
    <w:p w14:paraId="28385C50">
      <w:pPr>
        <w:pageBreakBefore w:val="0"/>
        <w:overflowPunct/>
        <w:topLinePunct w:val="0"/>
        <w:bidi w:val="0"/>
        <w:spacing w:line="360" w:lineRule="auto"/>
        <w:ind w:left="210" w:leftChars="100"/>
        <w:jc w:val="center"/>
        <w:rPr>
          <w:rFonts w:hint="eastAsia" w:ascii="宋体" w:hAnsi="宋体" w:eastAsia="宋体" w:cs="宋体"/>
          <w:b/>
          <w:bCs/>
          <w:sz w:val="36"/>
          <w:szCs w:val="21"/>
          <w:highlight w:val="none"/>
        </w:rPr>
      </w:pPr>
      <w:r>
        <w:rPr>
          <w:rFonts w:hint="eastAsia" w:ascii="宋体" w:hAnsi="宋体" w:eastAsia="宋体" w:cs="宋体"/>
          <w:b/>
          <w:bCs/>
          <w:sz w:val="36"/>
          <w:szCs w:val="21"/>
          <w:highlight w:val="none"/>
        </w:rPr>
        <w:t>商务条款响应偏离表</w:t>
      </w:r>
    </w:p>
    <w:p w14:paraId="30D2FB74">
      <w:pPr>
        <w:pageBreakBefore w:val="0"/>
        <w:overflowPunct/>
        <w:topLinePunct w:val="0"/>
        <w:bidi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项目编号：</w:t>
      </w:r>
      <w:r>
        <w:rPr>
          <w:rFonts w:hint="eastAsia" w:ascii="宋体" w:hAnsi="宋体" w:eastAsia="宋体" w:cs="宋体"/>
          <w:sz w:val="24"/>
          <w:szCs w:val="24"/>
          <w:highlight w:val="none"/>
          <w:u w:val="single"/>
        </w:rPr>
        <w:t xml:space="preserve">             </w:t>
      </w: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379"/>
        <w:gridCol w:w="1650"/>
        <w:gridCol w:w="1438"/>
      </w:tblGrid>
      <w:tr w14:paraId="2027DD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45C6EE1F">
            <w:pPr>
              <w:pageBreakBefore w:val="0"/>
              <w:overflowPunct/>
              <w:topLinePunct w:val="0"/>
              <w:bidi w:val="0"/>
              <w:spacing w:line="360" w:lineRule="auto"/>
              <w:ind w:left="-97" w:leftChars="-46"/>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950" w:type="dxa"/>
            <w:noWrap w:val="0"/>
            <w:tcMar>
              <w:top w:w="57" w:type="dxa"/>
              <w:left w:w="28" w:type="dxa"/>
              <w:bottom w:w="57" w:type="dxa"/>
              <w:right w:w="28" w:type="dxa"/>
            </w:tcMar>
            <w:vAlign w:val="center"/>
          </w:tcPr>
          <w:p w14:paraId="7CE17930">
            <w:pPr>
              <w:pageBreakBefore w:val="0"/>
              <w:overflowPunct/>
              <w:topLinePunct w:val="0"/>
              <w:bidi w:val="0"/>
              <w:spacing w:line="360" w:lineRule="auto"/>
              <w:ind w:left="210" w:leftChars="1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磋商文件</w:t>
            </w:r>
          </w:p>
          <w:p w14:paraId="5A6B47DE">
            <w:pPr>
              <w:pageBreakBefore w:val="0"/>
              <w:overflowPunct/>
              <w:topLinePunct w:val="0"/>
              <w:bidi w:val="0"/>
              <w:spacing w:line="360" w:lineRule="auto"/>
              <w:ind w:left="210" w:leftChars="1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商务要求</w:t>
            </w:r>
          </w:p>
        </w:tc>
        <w:tc>
          <w:tcPr>
            <w:tcW w:w="2379" w:type="dxa"/>
            <w:noWrap w:val="0"/>
            <w:tcMar>
              <w:top w:w="57" w:type="dxa"/>
              <w:left w:w="28" w:type="dxa"/>
              <w:bottom w:w="57" w:type="dxa"/>
              <w:right w:w="28" w:type="dxa"/>
            </w:tcMar>
            <w:vAlign w:val="center"/>
          </w:tcPr>
          <w:p w14:paraId="0EE9287E">
            <w:pPr>
              <w:pageBreakBefore w:val="0"/>
              <w:overflowPunct/>
              <w:topLinePunct w:val="0"/>
              <w:bidi w:val="0"/>
              <w:spacing w:line="360" w:lineRule="auto"/>
              <w:ind w:left="210" w:leftChars="1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磋商响应文件</w:t>
            </w:r>
          </w:p>
          <w:p w14:paraId="79DE05AA">
            <w:pPr>
              <w:pageBreakBefore w:val="0"/>
              <w:overflowPunct/>
              <w:topLinePunct w:val="0"/>
              <w:bidi w:val="0"/>
              <w:spacing w:line="360" w:lineRule="auto"/>
              <w:ind w:left="210" w:leftChars="1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商务响应</w:t>
            </w:r>
          </w:p>
        </w:tc>
        <w:tc>
          <w:tcPr>
            <w:tcW w:w="1650" w:type="dxa"/>
            <w:noWrap w:val="0"/>
            <w:tcMar>
              <w:top w:w="57" w:type="dxa"/>
              <w:left w:w="28" w:type="dxa"/>
              <w:bottom w:w="57" w:type="dxa"/>
              <w:right w:w="28" w:type="dxa"/>
            </w:tcMar>
            <w:vAlign w:val="center"/>
          </w:tcPr>
          <w:p w14:paraId="4AAF5D4C">
            <w:pPr>
              <w:pageBreakBefore w:val="0"/>
              <w:overflowPunct/>
              <w:topLinePunct w:val="0"/>
              <w:bidi w:val="0"/>
              <w:spacing w:line="360" w:lineRule="auto"/>
              <w:ind w:left="210" w:leftChars="1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偏离情况</w:t>
            </w:r>
          </w:p>
        </w:tc>
        <w:tc>
          <w:tcPr>
            <w:tcW w:w="1438" w:type="dxa"/>
            <w:noWrap w:val="0"/>
            <w:vAlign w:val="center"/>
          </w:tcPr>
          <w:p w14:paraId="1C4971C3">
            <w:pPr>
              <w:pageBreakBefore w:val="0"/>
              <w:overflowPunct/>
              <w:topLinePunct w:val="0"/>
              <w:bidi w:val="0"/>
              <w:spacing w:line="360" w:lineRule="auto"/>
              <w:ind w:left="210" w:leftChars="1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1D9B72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noWrap w:val="0"/>
            <w:tcMar>
              <w:top w:w="57" w:type="dxa"/>
              <w:left w:w="28" w:type="dxa"/>
              <w:bottom w:w="57" w:type="dxa"/>
              <w:right w:w="28" w:type="dxa"/>
            </w:tcMar>
            <w:vAlign w:val="center"/>
          </w:tcPr>
          <w:p w14:paraId="5B3A7700">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950" w:type="dxa"/>
            <w:tcBorders>
              <w:bottom w:val="single" w:color="auto" w:sz="4" w:space="0"/>
            </w:tcBorders>
            <w:noWrap w:val="0"/>
            <w:tcMar>
              <w:top w:w="57" w:type="dxa"/>
              <w:left w:w="28" w:type="dxa"/>
              <w:bottom w:w="57" w:type="dxa"/>
              <w:right w:w="28" w:type="dxa"/>
            </w:tcMar>
            <w:vAlign w:val="center"/>
          </w:tcPr>
          <w:p w14:paraId="6A108BA1">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379" w:type="dxa"/>
            <w:tcBorders>
              <w:bottom w:val="single" w:color="auto" w:sz="4" w:space="0"/>
            </w:tcBorders>
            <w:noWrap w:val="0"/>
            <w:tcMar>
              <w:top w:w="57" w:type="dxa"/>
              <w:left w:w="28" w:type="dxa"/>
              <w:bottom w:w="57" w:type="dxa"/>
              <w:right w:w="28" w:type="dxa"/>
            </w:tcMar>
            <w:vAlign w:val="center"/>
          </w:tcPr>
          <w:p w14:paraId="2A97F801">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650" w:type="dxa"/>
            <w:tcBorders>
              <w:bottom w:val="single" w:color="auto" w:sz="4" w:space="0"/>
            </w:tcBorders>
            <w:noWrap w:val="0"/>
            <w:tcMar>
              <w:top w:w="57" w:type="dxa"/>
              <w:left w:w="28" w:type="dxa"/>
              <w:bottom w:w="57" w:type="dxa"/>
              <w:right w:w="28" w:type="dxa"/>
            </w:tcMar>
            <w:vAlign w:val="center"/>
          </w:tcPr>
          <w:p w14:paraId="275B893D">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438" w:type="dxa"/>
            <w:tcBorders>
              <w:bottom w:val="single" w:color="auto" w:sz="4" w:space="0"/>
            </w:tcBorders>
            <w:noWrap w:val="0"/>
            <w:vAlign w:val="center"/>
          </w:tcPr>
          <w:p w14:paraId="735CFA3C">
            <w:pPr>
              <w:pageBreakBefore w:val="0"/>
              <w:overflowPunct/>
              <w:topLinePunct w:val="0"/>
              <w:bidi w:val="0"/>
              <w:spacing w:line="360" w:lineRule="auto"/>
              <w:ind w:left="210" w:leftChars="100"/>
              <w:rPr>
                <w:rFonts w:hint="eastAsia" w:ascii="宋体" w:hAnsi="宋体" w:eastAsia="宋体" w:cs="宋体"/>
                <w:sz w:val="24"/>
                <w:szCs w:val="24"/>
                <w:highlight w:val="none"/>
              </w:rPr>
            </w:pPr>
          </w:p>
        </w:tc>
      </w:tr>
      <w:tr w14:paraId="010B15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noWrap w:val="0"/>
            <w:tcMar>
              <w:top w:w="57" w:type="dxa"/>
              <w:left w:w="28" w:type="dxa"/>
              <w:bottom w:w="57" w:type="dxa"/>
              <w:right w:w="28" w:type="dxa"/>
            </w:tcMar>
            <w:vAlign w:val="center"/>
          </w:tcPr>
          <w:p w14:paraId="2AFFDB68">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950" w:type="dxa"/>
            <w:tcBorders>
              <w:bottom w:val="single" w:color="auto" w:sz="4" w:space="0"/>
            </w:tcBorders>
            <w:noWrap w:val="0"/>
            <w:tcMar>
              <w:top w:w="57" w:type="dxa"/>
              <w:left w:w="28" w:type="dxa"/>
              <w:bottom w:w="57" w:type="dxa"/>
              <w:right w:w="28" w:type="dxa"/>
            </w:tcMar>
            <w:vAlign w:val="center"/>
          </w:tcPr>
          <w:p w14:paraId="178FEFDF">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379" w:type="dxa"/>
            <w:tcBorders>
              <w:bottom w:val="single" w:color="auto" w:sz="4" w:space="0"/>
            </w:tcBorders>
            <w:noWrap w:val="0"/>
            <w:tcMar>
              <w:top w:w="57" w:type="dxa"/>
              <w:left w:w="28" w:type="dxa"/>
              <w:bottom w:w="57" w:type="dxa"/>
              <w:right w:w="28" w:type="dxa"/>
            </w:tcMar>
            <w:vAlign w:val="center"/>
          </w:tcPr>
          <w:p w14:paraId="73E07E7C">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650" w:type="dxa"/>
            <w:tcBorders>
              <w:bottom w:val="single" w:color="auto" w:sz="4" w:space="0"/>
            </w:tcBorders>
            <w:noWrap w:val="0"/>
            <w:tcMar>
              <w:top w:w="57" w:type="dxa"/>
              <w:left w:w="28" w:type="dxa"/>
              <w:bottom w:w="57" w:type="dxa"/>
              <w:right w:w="28" w:type="dxa"/>
            </w:tcMar>
            <w:vAlign w:val="center"/>
          </w:tcPr>
          <w:p w14:paraId="2C100843">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438" w:type="dxa"/>
            <w:tcBorders>
              <w:bottom w:val="single" w:color="auto" w:sz="4" w:space="0"/>
            </w:tcBorders>
            <w:noWrap w:val="0"/>
            <w:vAlign w:val="center"/>
          </w:tcPr>
          <w:p w14:paraId="5F1497F4">
            <w:pPr>
              <w:pageBreakBefore w:val="0"/>
              <w:overflowPunct/>
              <w:topLinePunct w:val="0"/>
              <w:bidi w:val="0"/>
              <w:spacing w:line="360" w:lineRule="auto"/>
              <w:ind w:left="210" w:leftChars="100"/>
              <w:rPr>
                <w:rFonts w:hint="eastAsia" w:ascii="宋体" w:hAnsi="宋体" w:eastAsia="宋体" w:cs="宋体"/>
                <w:sz w:val="24"/>
                <w:szCs w:val="24"/>
                <w:highlight w:val="none"/>
              </w:rPr>
            </w:pPr>
          </w:p>
        </w:tc>
      </w:tr>
      <w:tr w14:paraId="106D2B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3C0ED31B">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950" w:type="dxa"/>
            <w:noWrap w:val="0"/>
            <w:tcMar>
              <w:top w:w="57" w:type="dxa"/>
              <w:left w:w="28" w:type="dxa"/>
              <w:bottom w:w="57" w:type="dxa"/>
              <w:right w:w="28" w:type="dxa"/>
            </w:tcMar>
            <w:vAlign w:val="center"/>
          </w:tcPr>
          <w:p w14:paraId="5CE2768E">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379" w:type="dxa"/>
            <w:noWrap w:val="0"/>
            <w:tcMar>
              <w:top w:w="57" w:type="dxa"/>
              <w:left w:w="28" w:type="dxa"/>
              <w:bottom w:w="57" w:type="dxa"/>
              <w:right w:w="28" w:type="dxa"/>
            </w:tcMar>
            <w:vAlign w:val="center"/>
          </w:tcPr>
          <w:p w14:paraId="31B17781">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650" w:type="dxa"/>
            <w:noWrap w:val="0"/>
            <w:tcMar>
              <w:top w:w="57" w:type="dxa"/>
              <w:left w:w="28" w:type="dxa"/>
              <w:bottom w:w="57" w:type="dxa"/>
              <w:right w:w="28" w:type="dxa"/>
            </w:tcMar>
            <w:vAlign w:val="center"/>
          </w:tcPr>
          <w:p w14:paraId="392344A7">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438" w:type="dxa"/>
            <w:noWrap w:val="0"/>
            <w:vAlign w:val="center"/>
          </w:tcPr>
          <w:p w14:paraId="16643C8D">
            <w:pPr>
              <w:pageBreakBefore w:val="0"/>
              <w:overflowPunct/>
              <w:topLinePunct w:val="0"/>
              <w:bidi w:val="0"/>
              <w:spacing w:line="360" w:lineRule="auto"/>
              <w:ind w:left="210" w:leftChars="100"/>
              <w:rPr>
                <w:rFonts w:hint="eastAsia" w:ascii="宋体" w:hAnsi="宋体" w:eastAsia="宋体" w:cs="宋体"/>
                <w:sz w:val="24"/>
                <w:szCs w:val="24"/>
                <w:highlight w:val="none"/>
              </w:rPr>
            </w:pPr>
          </w:p>
        </w:tc>
      </w:tr>
      <w:tr w14:paraId="5D5656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5A332F76">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950" w:type="dxa"/>
            <w:noWrap w:val="0"/>
            <w:tcMar>
              <w:top w:w="57" w:type="dxa"/>
              <w:left w:w="28" w:type="dxa"/>
              <w:bottom w:w="57" w:type="dxa"/>
              <w:right w:w="28" w:type="dxa"/>
            </w:tcMar>
            <w:vAlign w:val="center"/>
          </w:tcPr>
          <w:p w14:paraId="0F1EB65E">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379" w:type="dxa"/>
            <w:noWrap w:val="0"/>
            <w:tcMar>
              <w:top w:w="57" w:type="dxa"/>
              <w:left w:w="28" w:type="dxa"/>
              <w:bottom w:w="57" w:type="dxa"/>
              <w:right w:w="28" w:type="dxa"/>
            </w:tcMar>
            <w:vAlign w:val="center"/>
          </w:tcPr>
          <w:p w14:paraId="675DBD07">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650" w:type="dxa"/>
            <w:noWrap w:val="0"/>
            <w:tcMar>
              <w:top w:w="57" w:type="dxa"/>
              <w:left w:w="28" w:type="dxa"/>
              <w:bottom w:w="57" w:type="dxa"/>
              <w:right w:w="28" w:type="dxa"/>
            </w:tcMar>
            <w:vAlign w:val="center"/>
          </w:tcPr>
          <w:p w14:paraId="056C6358">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438" w:type="dxa"/>
            <w:noWrap w:val="0"/>
            <w:vAlign w:val="center"/>
          </w:tcPr>
          <w:p w14:paraId="5F10EF81">
            <w:pPr>
              <w:pageBreakBefore w:val="0"/>
              <w:overflowPunct/>
              <w:topLinePunct w:val="0"/>
              <w:bidi w:val="0"/>
              <w:spacing w:line="360" w:lineRule="auto"/>
              <w:ind w:left="210" w:leftChars="100"/>
              <w:rPr>
                <w:rFonts w:hint="eastAsia" w:ascii="宋体" w:hAnsi="宋体" w:eastAsia="宋体" w:cs="宋体"/>
                <w:sz w:val="24"/>
                <w:szCs w:val="24"/>
                <w:highlight w:val="none"/>
              </w:rPr>
            </w:pPr>
          </w:p>
        </w:tc>
      </w:tr>
      <w:tr w14:paraId="557607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6A851C94">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950" w:type="dxa"/>
            <w:noWrap w:val="0"/>
            <w:tcMar>
              <w:top w:w="57" w:type="dxa"/>
              <w:left w:w="28" w:type="dxa"/>
              <w:bottom w:w="57" w:type="dxa"/>
              <w:right w:w="28" w:type="dxa"/>
            </w:tcMar>
            <w:vAlign w:val="center"/>
          </w:tcPr>
          <w:p w14:paraId="2C70A80D">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379" w:type="dxa"/>
            <w:noWrap w:val="0"/>
            <w:tcMar>
              <w:top w:w="57" w:type="dxa"/>
              <w:left w:w="28" w:type="dxa"/>
              <w:bottom w:w="57" w:type="dxa"/>
              <w:right w:w="28" w:type="dxa"/>
            </w:tcMar>
            <w:vAlign w:val="center"/>
          </w:tcPr>
          <w:p w14:paraId="6338C825">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650" w:type="dxa"/>
            <w:noWrap w:val="0"/>
            <w:tcMar>
              <w:top w:w="57" w:type="dxa"/>
              <w:left w:w="28" w:type="dxa"/>
              <w:bottom w:w="57" w:type="dxa"/>
              <w:right w:w="28" w:type="dxa"/>
            </w:tcMar>
            <w:vAlign w:val="center"/>
          </w:tcPr>
          <w:p w14:paraId="3E3BA4B5">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438" w:type="dxa"/>
            <w:noWrap w:val="0"/>
            <w:vAlign w:val="center"/>
          </w:tcPr>
          <w:p w14:paraId="6B550B9D">
            <w:pPr>
              <w:pageBreakBefore w:val="0"/>
              <w:overflowPunct/>
              <w:topLinePunct w:val="0"/>
              <w:bidi w:val="0"/>
              <w:spacing w:line="360" w:lineRule="auto"/>
              <w:ind w:left="210" w:leftChars="100"/>
              <w:rPr>
                <w:rFonts w:hint="eastAsia" w:ascii="宋体" w:hAnsi="宋体" w:eastAsia="宋体" w:cs="宋体"/>
                <w:sz w:val="24"/>
                <w:szCs w:val="24"/>
                <w:highlight w:val="none"/>
              </w:rPr>
            </w:pPr>
          </w:p>
        </w:tc>
      </w:tr>
      <w:tr w14:paraId="3AEA07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0C969622">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950" w:type="dxa"/>
            <w:noWrap w:val="0"/>
            <w:tcMar>
              <w:top w:w="57" w:type="dxa"/>
              <w:left w:w="28" w:type="dxa"/>
              <w:bottom w:w="57" w:type="dxa"/>
              <w:right w:w="28" w:type="dxa"/>
            </w:tcMar>
            <w:vAlign w:val="center"/>
          </w:tcPr>
          <w:p w14:paraId="065F084B">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379" w:type="dxa"/>
            <w:noWrap w:val="0"/>
            <w:tcMar>
              <w:top w:w="57" w:type="dxa"/>
              <w:left w:w="28" w:type="dxa"/>
              <w:bottom w:w="57" w:type="dxa"/>
              <w:right w:w="28" w:type="dxa"/>
            </w:tcMar>
            <w:vAlign w:val="center"/>
          </w:tcPr>
          <w:p w14:paraId="49C13AFC">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650" w:type="dxa"/>
            <w:noWrap w:val="0"/>
            <w:tcMar>
              <w:top w:w="57" w:type="dxa"/>
              <w:left w:w="28" w:type="dxa"/>
              <w:bottom w:w="57" w:type="dxa"/>
              <w:right w:w="28" w:type="dxa"/>
            </w:tcMar>
            <w:vAlign w:val="center"/>
          </w:tcPr>
          <w:p w14:paraId="78777282">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438" w:type="dxa"/>
            <w:noWrap w:val="0"/>
            <w:vAlign w:val="center"/>
          </w:tcPr>
          <w:p w14:paraId="48C035C2">
            <w:pPr>
              <w:pageBreakBefore w:val="0"/>
              <w:overflowPunct/>
              <w:topLinePunct w:val="0"/>
              <w:bidi w:val="0"/>
              <w:spacing w:line="360" w:lineRule="auto"/>
              <w:ind w:left="210" w:leftChars="100"/>
              <w:rPr>
                <w:rFonts w:hint="eastAsia" w:ascii="宋体" w:hAnsi="宋体" w:eastAsia="宋体" w:cs="宋体"/>
                <w:sz w:val="24"/>
                <w:szCs w:val="24"/>
                <w:highlight w:val="none"/>
              </w:rPr>
            </w:pPr>
          </w:p>
        </w:tc>
      </w:tr>
      <w:tr w14:paraId="4D5E54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5B2FA93F">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950" w:type="dxa"/>
            <w:noWrap w:val="0"/>
            <w:tcMar>
              <w:top w:w="57" w:type="dxa"/>
              <w:left w:w="28" w:type="dxa"/>
              <w:bottom w:w="57" w:type="dxa"/>
              <w:right w:w="28" w:type="dxa"/>
            </w:tcMar>
            <w:vAlign w:val="center"/>
          </w:tcPr>
          <w:p w14:paraId="4C990824">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379" w:type="dxa"/>
            <w:noWrap w:val="0"/>
            <w:tcMar>
              <w:top w:w="57" w:type="dxa"/>
              <w:left w:w="28" w:type="dxa"/>
              <w:bottom w:w="57" w:type="dxa"/>
              <w:right w:w="28" w:type="dxa"/>
            </w:tcMar>
            <w:vAlign w:val="center"/>
          </w:tcPr>
          <w:p w14:paraId="3C593A00">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650" w:type="dxa"/>
            <w:noWrap w:val="0"/>
            <w:tcMar>
              <w:top w:w="57" w:type="dxa"/>
              <w:left w:w="28" w:type="dxa"/>
              <w:bottom w:w="57" w:type="dxa"/>
              <w:right w:w="28" w:type="dxa"/>
            </w:tcMar>
            <w:vAlign w:val="center"/>
          </w:tcPr>
          <w:p w14:paraId="4E17BC4B">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438" w:type="dxa"/>
            <w:noWrap w:val="0"/>
            <w:vAlign w:val="center"/>
          </w:tcPr>
          <w:p w14:paraId="78E192EE">
            <w:pPr>
              <w:pageBreakBefore w:val="0"/>
              <w:overflowPunct/>
              <w:topLinePunct w:val="0"/>
              <w:bidi w:val="0"/>
              <w:spacing w:line="360" w:lineRule="auto"/>
              <w:ind w:left="210" w:leftChars="100"/>
              <w:rPr>
                <w:rFonts w:hint="eastAsia" w:ascii="宋体" w:hAnsi="宋体" w:eastAsia="宋体" w:cs="宋体"/>
                <w:sz w:val="24"/>
                <w:szCs w:val="24"/>
                <w:highlight w:val="none"/>
              </w:rPr>
            </w:pPr>
          </w:p>
        </w:tc>
      </w:tr>
      <w:tr w14:paraId="5C0A0B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42427552">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950" w:type="dxa"/>
            <w:noWrap w:val="0"/>
            <w:tcMar>
              <w:top w:w="57" w:type="dxa"/>
              <w:left w:w="28" w:type="dxa"/>
              <w:bottom w:w="57" w:type="dxa"/>
              <w:right w:w="28" w:type="dxa"/>
            </w:tcMar>
            <w:vAlign w:val="center"/>
          </w:tcPr>
          <w:p w14:paraId="50C3A8C7">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379" w:type="dxa"/>
            <w:noWrap w:val="0"/>
            <w:tcMar>
              <w:top w:w="57" w:type="dxa"/>
              <w:left w:w="28" w:type="dxa"/>
              <w:bottom w:w="57" w:type="dxa"/>
              <w:right w:w="28" w:type="dxa"/>
            </w:tcMar>
            <w:vAlign w:val="center"/>
          </w:tcPr>
          <w:p w14:paraId="4A265C72">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650" w:type="dxa"/>
            <w:noWrap w:val="0"/>
            <w:tcMar>
              <w:top w:w="57" w:type="dxa"/>
              <w:left w:w="28" w:type="dxa"/>
              <w:bottom w:w="57" w:type="dxa"/>
              <w:right w:w="28" w:type="dxa"/>
            </w:tcMar>
            <w:vAlign w:val="center"/>
          </w:tcPr>
          <w:p w14:paraId="647B7783">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438" w:type="dxa"/>
            <w:noWrap w:val="0"/>
            <w:vAlign w:val="center"/>
          </w:tcPr>
          <w:p w14:paraId="55CF8C32">
            <w:pPr>
              <w:pageBreakBefore w:val="0"/>
              <w:overflowPunct/>
              <w:topLinePunct w:val="0"/>
              <w:bidi w:val="0"/>
              <w:spacing w:line="360" w:lineRule="auto"/>
              <w:ind w:left="210" w:leftChars="100"/>
              <w:rPr>
                <w:rFonts w:hint="eastAsia" w:ascii="宋体" w:hAnsi="宋体" w:eastAsia="宋体" w:cs="宋体"/>
                <w:sz w:val="24"/>
                <w:szCs w:val="24"/>
                <w:highlight w:val="none"/>
              </w:rPr>
            </w:pPr>
          </w:p>
        </w:tc>
      </w:tr>
      <w:tr w14:paraId="4AF4AF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6F8B335C">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950" w:type="dxa"/>
            <w:noWrap w:val="0"/>
            <w:tcMar>
              <w:top w:w="57" w:type="dxa"/>
              <w:left w:w="28" w:type="dxa"/>
              <w:bottom w:w="57" w:type="dxa"/>
              <w:right w:w="28" w:type="dxa"/>
            </w:tcMar>
            <w:vAlign w:val="center"/>
          </w:tcPr>
          <w:p w14:paraId="13BB614E">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379" w:type="dxa"/>
            <w:noWrap w:val="0"/>
            <w:tcMar>
              <w:top w:w="57" w:type="dxa"/>
              <w:left w:w="28" w:type="dxa"/>
              <w:bottom w:w="57" w:type="dxa"/>
              <w:right w:w="28" w:type="dxa"/>
            </w:tcMar>
            <w:vAlign w:val="center"/>
          </w:tcPr>
          <w:p w14:paraId="35A3B499">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650" w:type="dxa"/>
            <w:noWrap w:val="0"/>
            <w:tcMar>
              <w:top w:w="57" w:type="dxa"/>
              <w:left w:w="28" w:type="dxa"/>
              <w:bottom w:w="57" w:type="dxa"/>
              <w:right w:w="28" w:type="dxa"/>
            </w:tcMar>
            <w:vAlign w:val="center"/>
          </w:tcPr>
          <w:p w14:paraId="1A9B8EAF">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438" w:type="dxa"/>
            <w:noWrap w:val="0"/>
            <w:vAlign w:val="center"/>
          </w:tcPr>
          <w:p w14:paraId="0FF723E9">
            <w:pPr>
              <w:pageBreakBefore w:val="0"/>
              <w:overflowPunct/>
              <w:topLinePunct w:val="0"/>
              <w:bidi w:val="0"/>
              <w:spacing w:line="360" w:lineRule="auto"/>
              <w:ind w:left="210" w:leftChars="100"/>
              <w:rPr>
                <w:rFonts w:hint="eastAsia" w:ascii="宋体" w:hAnsi="宋体" w:eastAsia="宋体" w:cs="宋体"/>
                <w:sz w:val="24"/>
                <w:szCs w:val="24"/>
                <w:highlight w:val="none"/>
              </w:rPr>
            </w:pPr>
          </w:p>
        </w:tc>
      </w:tr>
      <w:tr w14:paraId="773C9F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8B9C024">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950" w:type="dxa"/>
            <w:noWrap w:val="0"/>
            <w:tcMar>
              <w:top w:w="57" w:type="dxa"/>
              <w:left w:w="28" w:type="dxa"/>
              <w:bottom w:w="57" w:type="dxa"/>
              <w:right w:w="28" w:type="dxa"/>
            </w:tcMar>
            <w:vAlign w:val="center"/>
          </w:tcPr>
          <w:p w14:paraId="3C1D2B2B">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379" w:type="dxa"/>
            <w:noWrap w:val="0"/>
            <w:tcMar>
              <w:top w:w="57" w:type="dxa"/>
              <w:left w:w="28" w:type="dxa"/>
              <w:bottom w:w="57" w:type="dxa"/>
              <w:right w:w="28" w:type="dxa"/>
            </w:tcMar>
            <w:vAlign w:val="center"/>
          </w:tcPr>
          <w:p w14:paraId="0BAF9380">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650" w:type="dxa"/>
            <w:noWrap w:val="0"/>
            <w:tcMar>
              <w:top w:w="57" w:type="dxa"/>
              <w:left w:w="28" w:type="dxa"/>
              <w:bottom w:w="57" w:type="dxa"/>
              <w:right w:w="28" w:type="dxa"/>
            </w:tcMar>
            <w:vAlign w:val="center"/>
          </w:tcPr>
          <w:p w14:paraId="0AD4F2B8">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438" w:type="dxa"/>
            <w:noWrap w:val="0"/>
            <w:vAlign w:val="center"/>
          </w:tcPr>
          <w:p w14:paraId="40E825FE">
            <w:pPr>
              <w:pageBreakBefore w:val="0"/>
              <w:overflowPunct/>
              <w:topLinePunct w:val="0"/>
              <w:bidi w:val="0"/>
              <w:spacing w:line="360" w:lineRule="auto"/>
              <w:ind w:left="210" w:leftChars="100"/>
              <w:rPr>
                <w:rFonts w:hint="eastAsia" w:ascii="宋体" w:hAnsi="宋体" w:eastAsia="宋体" w:cs="宋体"/>
                <w:sz w:val="24"/>
                <w:szCs w:val="24"/>
                <w:highlight w:val="none"/>
              </w:rPr>
            </w:pPr>
          </w:p>
        </w:tc>
      </w:tr>
      <w:tr w14:paraId="7E4EA5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4743870">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950" w:type="dxa"/>
            <w:noWrap w:val="0"/>
            <w:tcMar>
              <w:top w:w="57" w:type="dxa"/>
              <w:left w:w="28" w:type="dxa"/>
              <w:bottom w:w="57" w:type="dxa"/>
              <w:right w:w="28" w:type="dxa"/>
            </w:tcMar>
            <w:vAlign w:val="center"/>
          </w:tcPr>
          <w:p w14:paraId="3C6FF136">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379" w:type="dxa"/>
            <w:noWrap w:val="0"/>
            <w:tcMar>
              <w:top w:w="57" w:type="dxa"/>
              <w:left w:w="28" w:type="dxa"/>
              <w:bottom w:w="57" w:type="dxa"/>
              <w:right w:w="28" w:type="dxa"/>
            </w:tcMar>
            <w:vAlign w:val="center"/>
          </w:tcPr>
          <w:p w14:paraId="713F3035">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650" w:type="dxa"/>
            <w:noWrap w:val="0"/>
            <w:tcMar>
              <w:top w:w="57" w:type="dxa"/>
              <w:left w:w="28" w:type="dxa"/>
              <w:bottom w:w="57" w:type="dxa"/>
              <w:right w:w="28" w:type="dxa"/>
            </w:tcMar>
            <w:vAlign w:val="center"/>
          </w:tcPr>
          <w:p w14:paraId="21A80BC6">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438" w:type="dxa"/>
            <w:noWrap w:val="0"/>
            <w:vAlign w:val="center"/>
          </w:tcPr>
          <w:p w14:paraId="5EE99DFF">
            <w:pPr>
              <w:pageBreakBefore w:val="0"/>
              <w:overflowPunct/>
              <w:topLinePunct w:val="0"/>
              <w:bidi w:val="0"/>
              <w:spacing w:line="360" w:lineRule="auto"/>
              <w:ind w:left="210" w:leftChars="100"/>
              <w:rPr>
                <w:rFonts w:hint="eastAsia" w:ascii="宋体" w:hAnsi="宋体" w:eastAsia="宋体" w:cs="宋体"/>
                <w:sz w:val="24"/>
                <w:szCs w:val="24"/>
                <w:highlight w:val="none"/>
              </w:rPr>
            </w:pPr>
          </w:p>
        </w:tc>
      </w:tr>
      <w:tr w14:paraId="22F803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noWrap w:val="0"/>
            <w:tcMar>
              <w:top w:w="57" w:type="dxa"/>
              <w:left w:w="28" w:type="dxa"/>
              <w:bottom w:w="57" w:type="dxa"/>
              <w:right w:w="28" w:type="dxa"/>
            </w:tcMar>
            <w:vAlign w:val="center"/>
          </w:tcPr>
          <w:p w14:paraId="47C188A9">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950" w:type="dxa"/>
            <w:tcBorders>
              <w:bottom w:val="single" w:color="auto" w:sz="4" w:space="0"/>
            </w:tcBorders>
            <w:noWrap w:val="0"/>
            <w:tcMar>
              <w:top w:w="57" w:type="dxa"/>
              <w:left w:w="28" w:type="dxa"/>
              <w:bottom w:w="57" w:type="dxa"/>
              <w:right w:w="28" w:type="dxa"/>
            </w:tcMar>
            <w:vAlign w:val="center"/>
          </w:tcPr>
          <w:p w14:paraId="133D5A4B">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379" w:type="dxa"/>
            <w:tcBorders>
              <w:bottom w:val="single" w:color="auto" w:sz="4" w:space="0"/>
            </w:tcBorders>
            <w:noWrap w:val="0"/>
            <w:tcMar>
              <w:top w:w="57" w:type="dxa"/>
              <w:left w:w="28" w:type="dxa"/>
              <w:bottom w:w="57" w:type="dxa"/>
              <w:right w:w="28" w:type="dxa"/>
            </w:tcMar>
            <w:vAlign w:val="center"/>
          </w:tcPr>
          <w:p w14:paraId="46F87A4B">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650" w:type="dxa"/>
            <w:tcBorders>
              <w:bottom w:val="single" w:color="auto" w:sz="4" w:space="0"/>
            </w:tcBorders>
            <w:noWrap w:val="0"/>
            <w:tcMar>
              <w:top w:w="57" w:type="dxa"/>
              <w:left w:w="28" w:type="dxa"/>
              <w:bottom w:w="57" w:type="dxa"/>
              <w:right w:w="28" w:type="dxa"/>
            </w:tcMar>
            <w:vAlign w:val="center"/>
          </w:tcPr>
          <w:p w14:paraId="7C4AC288">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438" w:type="dxa"/>
            <w:tcBorders>
              <w:bottom w:val="single" w:color="auto" w:sz="4" w:space="0"/>
            </w:tcBorders>
            <w:noWrap w:val="0"/>
            <w:vAlign w:val="center"/>
          </w:tcPr>
          <w:p w14:paraId="5A7029EE">
            <w:pPr>
              <w:pageBreakBefore w:val="0"/>
              <w:overflowPunct/>
              <w:topLinePunct w:val="0"/>
              <w:bidi w:val="0"/>
              <w:spacing w:line="360" w:lineRule="auto"/>
              <w:ind w:left="210" w:leftChars="100"/>
              <w:rPr>
                <w:rFonts w:hint="eastAsia" w:ascii="宋体" w:hAnsi="宋体" w:eastAsia="宋体" w:cs="宋体"/>
                <w:sz w:val="24"/>
                <w:szCs w:val="24"/>
                <w:highlight w:val="none"/>
              </w:rPr>
            </w:pPr>
          </w:p>
        </w:tc>
      </w:tr>
      <w:tr w14:paraId="5713E7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180436CA">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950" w:type="dxa"/>
            <w:noWrap w:val="0"/>
            <w:tcMar>
              <w:top w:w="57" w:type="dxa"/>
              <w:left w:w="28" w:type="dxa"/>
              <w:bottom w:w="57" w:type="dxa"/>
              <w:right w:w="28" w:type="dxa"/>
            </w:tcMar>
            <w:vAlign w:val="center"/>
          </w:tcPr>
          <w:p w14:paraId="6B9B8650">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2379" w:type="dxa"/>
            <w:noWrap w:val="0"/>
            <w:tcMar>
              <w:top w:w="57" w:type="dxa"/>
              <w:left w:w="28" w:type="dxa"/>
              <w:bottom w:w="57" w:type="dxa"/>
              <w:right w:w="28" w:type="dxa"/>
            </w:tcMar>
            <w:vAlign w:val="center"/>
          </w:tcPr>
          <w:p w14:paraId="7575D6FE">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650" w:type="dxa"/>
            <w:noWrap w:val="0"/>
            <w:tcMar>
              <w:top w:w="57" w:type="dxa"/>
              <w:left w:w="28" w:type="dxa"/>
              <w:bottom w:w="57" w:type="dxa"/>
              <w:right w:w="28" w:type="dxa"/>
            </w:tcMar>
            <w:vAlign w:val="center"/>
          </w:tcPr>
          <w:p w14:paraId="60C7F311">
            <w:pPr>
              <w:pageBreakBefore w:val="0"/>
              <w:overflowPunct/>
              <w:topLinePunct w:val="0"/>
              <w:bidi w:val="0"/>
              <w:spacing w:line="360" w:lineRule="auto"/>
              <w:ind w:left="210" w:leftChars="100"/>
              <w:rPr>
                <w:rFonts w:hint="eastAsia" w:ascii="宋体" w:hAnsi="宋体" w:eastAsia="宋体" w:cs="宋体"/>
                <w:sz w:val="24"/>
                <w:szCs w:val="24"/>
                <w:highlight w:val="none"/>
              </w:rPr>
            </w:pPr>
          </w:p>
        </w:tc>
        <w:tc>
          <w:tcPr>
            <w:tcW w:w="1438" w:type="dxa"/>
            <w:noWrap w:val="0"/>
            <w:vAlign w:val="center"/>
          </w:tcPr>
          <w:p w14:paraId="3549E90F">
            <w:pPr>
              <w:pageBreakBefore w:val="0"/>
              <w:overflowPunct/>
              <w:topLinePunct w:val="0"/>
              <w:bidi w:val="0"/>
              <w:spacing w:line="360" w:lineRule="auto"/>
              <w:ind w:left="210" w:leftChars="100"/>
              <w:rPr>
                <w:rFonts w:hint="eastAsia" w:ascii="宋体" w:hAnsi="宋体" w:eastAsia="宋体" w:cs="宋体"/>
                <w:sz w:val="24"/>
                <w:szCs w:val="24"/>
                <w:highlight w:val="none"/>
              </w:rPr>
            </w:pPr>
          </w:p>
        </w:tc>
      </w:tr>
    </w:tbl>
    <w:p w14:paraId="5AE3FA55">
      <w:pPr>
        <w:pageBreakBefore w:val="0"/>
        <w:overflowPunct/>
        <w:topLinePunct w:val="0"/>
        <w:bidi w:val="0"/>
        <w:spacing w:line="360" w:lineRule="auto"/>
        <w:ind w:left="210" w:left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注：如有漏报、瞒报竞争性磋商文件所要求的性能指标等将视为没有实质性响应竞争性磋商文件</w:t>
      </w:r>
      <w:r>
        <w:rPr>
          <w:rFonts w:hint="eastAsia" w:ascii="宋体" w:hAnsi="宋体" w:eastAsia="宋体" w:cs="宋体"/>
          <w:sz w:val="24"/>
          <w:szCs w:val="24"/>
          <w:highlight w:val="none"/>
          <w:lang w:eastAsia="zh-CN"/>
        </w:rPr>
        <w:t>。</w:t>
      </w:r>
    </w:p>
    <w:p w14:paraId="48DA4A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名称（公章）：</w:t>
      </w:r>
      <w:r>
        <w:rPr>
          <w:rFonts w:hint="eastAsia" w:ascii="宋体" w:hAnsi="宋体" w:eastAsia="宋体" w:cs="宋体"/>
          <w:sz w:val="24"/>
          <w:szCs w:val="24"/>
          <w:highlight w:val="none"/>
          <w:u w:val="single"/>
          <w:lang w:val="en-US" w:eastAsia="zh-CN"/>
        </w:rPr>
        <w:t xml:space="preserve">                            </w:t>
      </w:r>
    </w:p>
    <w:p w14:paraId="5C4A17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法定代表人或被授权人</w:t>
      </w:r>
      <w:r>
        <w:rPr>
          <w:rFonts w:hint="eastAsia" w:ascii="宋体" w:hAnsi="宋体" w:eastAsia="宋体" w:cs="宋体"/>
          <w:sz w:val="24"/>
          <w:szCs w:val="24"/>
          <w:highlight w:val="none"/>
          <w:lang w:eastAsia="zh-CN"/>
        </w:rPr>
        <w:t>（签字或盖章）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14:paraId="67CEA1A4">
      <w:pPr>
        <w:pageBreakBefore w:val="0"/>
        <w:overflowPunct/>
        <w:topLinePunct w:val="0"/>
        <w:bidi w:val="0"/>
        <w:spacing w:line="360" w:lineRule="auto"/>
        <w:ind w:firstLine="480" w:firstLineChars="200"/>
        <w:jc w:val="left"/>
        <w:rPr>
          <w:rFonts w:hint="eastAsia" w:ascii="宋体" w:hAnsi="宋体" w:eastAsia="宋体" w:cs="宋体"/>
          <w:kern w:val="0"/>
          <w:sz w:val="22"/>
          <w:szCs w:val="21"/>
          <w:highlight w:val="none"/>
        </w:rPr>
      </w:pPr>
      <w:r>
        <w:rPr>
          <w:rFonts w:hint="eastAsia" w:ascii="宋体" w:hAnsi="宋体" w:eastAsia="宋体" w:cs="宋体"/>
          <w:sz w:val="24"/>
          <w:szCs w:val="24"/>
          <w:highlight w:val="none"/>
        </w:rPr>
        <w:t>日 期：</w:t>
      </w:r>
    </w:p>
    <w:p w14:paraId="53B0EDF5">
      <w:pPr>
        <w:bidi w:val="0"/>
        <w:rPr>
          <w:rFonts w:hint="eastAsia"/>
        </w:rPr>
      </w:pPr>
      <w:bookmarkStart w:id="671" w:name="_Toc497842262"/>
      <w:bookmarkStart w:id="672" w:name="_Toc22588"/>
    </w:p>
    <w:p w14:paraId="564DC125">
      <w:pPr>
        <w:bidi w:val="0"/>
        <w:rPr>
          <w:rFonts w:hint="eastAsia"/>
        </w:rPr>
      </w:pPr>
    </w:p>
    <w:p w14:paraId="7E76943B">
      <w:pPr>
        <w:pStyle w:val="8"/>
        <w:rPr>
          <w:rFonts w:hint="eastAsia"/>
        </w:rPr>
      </w:pPr>
    </w:p>
    <w:p w14:paraId="445087A4">
      <w:pPr>
        <w:pageBreakBefore w:val="0"/>
        <w:overflowPunct/>
        <w:topLinePunct w:val="0"/>
        <w:bidi w:val="0"/>
        <w:spacing w:line="360" w:lineRule="auto"/>
        <w:jc w:val="left"/>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4.法定代表人资格证明书及法定代表人授权委托书</w:t>
      </w:r>
      <w:bookmarkEnd w:id="671"/>
      <w:bookmarkEnd w:id="672"/>
    </w:p>
    <w:p w14:paraId="3917B433">
      <w:pPr>
        <w:bidi w:val="0"/>
        <w:spacing w:line="360" w:lineRule="auto"/>
        <w:jc w:val="center"/>
        <w:rPr>
          <w:rFonts w:hint="eastAsia"/>
          <w:b/>
          <w:bCs/>
          <w:sz w:val="24"/>
          <w:szCs w:val="24"/>
        </w:rPr>
      </w:pPr>
      <w:bookmarkStart w:id="673" w:name="_Toc3070"/>
      <w:r>
        <w:rPr>
          <w:rFonts w:hint="eastAsia"/>
          <w:b/>
          <w:bCs/>
          <w:sz w:val="24"/>
          <w:szCs w:val="24"/>
        </w:rPr>
        <w:t>法定代表人证明书</w:t>
      </w:r>
      <w:bookmarkEnd w:id="673"/>
    </w:p>
    <w:tbl>
      <w:tblPr>
        <w:tblStyle w:val="22"/>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767"/>
      </w:tblGrid>
      <w:tr w14:paraId="7F5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159" w:type="dxa"/>
            <w:gridSpan w:val="5"/>
            <w:noWrap w:val="0"/>
            <w:vAlign w:val="center"/>
          </w:tcPr>
          <w:p w14:paraId="4FF7B19C">
            <w:pPr>
              <w:pageBreakBefore w:val="0"/>
              <w:overflowPunct/>
              <w:topLinePunct w:val="0"/>
              <w:bidi w:val="0"/>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致：</w:t>
            </w:r>
            <w:r>
              <w:rPr>
                <w:rFonts w:hint="eastAsia" w:ascii="宋体" w:hAnsi="宋体" w:eastAsia="宋体" w:cs="宋体"/>
                <w:bCs/>
                <w:sz w:val="24"/>
                <w:szCs w:val="24"/>
                <w:highlight w:val="none"/>
                <w:lang w:eastAsia="zh-CN"/>
              </w:rPr>
              <w:t xml:space="preserve">陕西建政项目管理有限公司 </w:t>
            </w:r>
          </w:p>
        </w:tc>
      </w:tr>
      <w:tr w14:paraId="5C12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21" w:type="dxa"/>
            <w:noWrap w:val="0"/>
            <w:vAlign w:val="center"/>
          </w:tcPr>
          <w:p w14:paraId="107F5237">
            <w:pPr>
              <w:pageBreakBefore w:val="0"/>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项目名称</w:t>
            </w:r>
          </w:p>
        </w:tc>
        <w:tc>
          <w:tcPr>
            <w:tcW w:w="8538" w:type="dxa"/>
            <w:gridSpan w:val="4"/>
            <w:noWrap w:val="0"/>
            <w:vAlign w:val="top"/>
          </w:tcPr>
          <w:p w14:paraId="36C5D373">
            <w:pPr>
              <w:pageBreakBefore w:val="0"/>
              <w:overflowPunct/>
              <w:topLinePunct w:val="0"/>
              <w:bidi w:val="0"/>
              <w:spacing w:line="360" w:lineRule="auto"/>
              <w:rPr>
                <w:rFonts w:hint="eastAsia" w:ascii="宋体" w:hAnsi="宋体" w:eastAsia="宋体" w:cs="宋体"/>
                <w:bCs/>
                <w:sz w:val="24"/>
                <w:szCs w:val="24"/>
                <w:highlight w:val="none"/>
              </w:rPr>
            </w:pPr>
          </w:p>
        </w:tc>
      </w:tr>
      <w:tr w14:paraId="0BDA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21" w:type="dxa"/>
            <w:noWrap w:val="0"/>
            <w:vAlign w:val="center"/>
          </w:tcPr>
          <w:p w14:paraId="307DDD79">
            <w:pPr>
              <w:pageBreakBefore w:val="0"/>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项目编号</w:t>
            </w:r>
          </w:p>
        </w:tc>
        <w:tc>
          <w:tcPr>
            <w:tcW w:w="8538" w:type="dxa"/>
            <w:gridSpan w:val="4"/>
            <w:noWrap w:val="0"/>
            <w:vAlign w:val="top"/>
          </w:tcPr>
          <w:p w14:paraId="3AA787EB">
            <w:pPr>
              <w:pageBreakBefore w:val="0"/>
              <w:overflowPunct/>
              <w:topLinePunct w:val="0"/>
              <w:bidi w:val="0"/>
              <w:spacing w:line="360" w:lineRule="auto"/>
              <w:rPr>
                <w:rFonts w:hint="eastAsia" w:ascii="宋体" w:hAnsi="宋体" w:eastAsia="宋体" w:cs="宋体"/>
                <w:bCs/>
                <w:sz w:val="24"/>
                <w:szCs w:val="24"/>
                <w:highlight w:val="none"/>
              </w:rPr>
            </w:pPr>
          </w:p>
        </w:tc>
      </w:tr>
      <w:tr w14:paraId="3720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noWrap w:val="0"/>
            <w:vAlign w:val="center"/>
          </w:tcPr>
          <w:p w14:paraId="22AA9E19">
            <w:pPr>
              <w:pageBreakBefore w:val="0"/>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权   限</w:t>
            </w:r>
          </w:p>
        </w:tc>
        <w:tc>
          <w:tcPr>
            <w:tcW w:w="8538" w:type="dxa"/>
            <w:gridSpan w:val="4"/>
            <w:noWrap w:val="0"/>
            <w:vAlign w:val="center"/>
          </w:tcPr>
          <w:p w14:paraId="4481D62F">
            <w:pPr>
              <w:pageBreakBefore w:val="0"/>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办理本次采购项目的磋商、联系、洽谈、签约、执行等具体事务，签署全部有关文件、文书、协议及合同。</w:t>
            </w:r>
          </w:p>
        </w:tc>
      </w:tr>
      <w:tr w14:paraId="7C33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21" w:type="dxa"/>
            <w:noWrap w:val="0"/>
            <w:vAlign w:val="center"/>
          </w:tcPr>
          <w:p w14:paraId="630B5DAD">
            <w:pPr>
              <w:pageBreakBefore w:val="0"/>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有效期</w:t>
            </w:r>
          </w:p>
        </w:tc>
        <w:tc>
          <w:tcPr>
            <w:tcW w:w="8538" w:type="dxa"/>
            <w:gridSpan w:val="4"/>
            <w:noWrap w:val="0"/>
            <w:vAlign w:val="center"/>
          </w:tcPr>
          <w:p w14:paraId="5139B16E">
            <w:pPr>
              <w:pageBreakBefore w:val="0"/>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自磋商之日起计算有效期为</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天</w:t>
            </w:r>
          </w:p>
        </w:tc>
      </w:tr>
      <w:tr w14:paraId="6CEA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21" w:type="dxa"/>
            <w:vMerge w:val="restart"/>
            <w:noWrap w:val="0"/>
            <w:vAlign w:val="center"/>
          </w:tcPr>
          <w:p w14:paraId="460867D4">
            <w:pPr>
              <w:pageBreakBefore w:val="0"/>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企业</w:t>
            </w:r>
          </w:p>
          <w:p w14:paraId="5914102E">
            <w:pPr>
              <w:pageBreakBefore w:val="0"/>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信息</w:t>
            </w:r>
          </w:p>
        </w:tc>
        <w:tc>
          <w:tcPr>
            <w:tcW w:w="2470" w:type="dxa"/>
            <w:noWrap w:val="0"/>
            <w:vAlign w:val="center"/>
          </w:tcPr>
          <w:p w14:paraId="7B162894">
            <w:pPr>
              <w:pageBreakBefore w:val="0"/>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企 业 名 称 </w:t>
            </w:r>
          </w:p>
        </w:tc>
        <w:tc>
          <w:tcPr>
            <w:tcW w:w="6068" w:type="dxa"/>
            <w:gridSpan w:val="3"/>
            <w:noWrap w:val="0"/>
            <w:vAlign w:val="top"/>
          </w:tcPr>
          <w:p w14:paraId="066A7BA6">
            <w:pPr>
              <w:pageBreakBefore w:val="0"/>
              <w:overflowPunct/>
              <w:topLinePunct w:val="0"/>
              <w:bidi w:val="0"/>
              <w:spacing w:line="360" w:lineRule="auto"/>
              <w:rPr>
                <w:rFonts w:hint="eastAsia" w:ascii="宋体" w:hAnsi="宋体" w:eastAsia="宋体" w:cs="宋体"/>
                <w:bCs/>
                <w:sz w:val="24"/>
                <w:szCs w:val="24"/>
                <w:highlight w:val="none"/>
              </w:rPr>
            </w:pPr>
          </w:p>
        </w:tc>
      </w:tr>
      <w:tr w14:paraId="3E6D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21" w:type="dxa"/>
            <w:vMerge w:val="continue"/>
            <w:noWrap w:val="0"/>
            <w:vAlign w:val="center"/>
          </w:tcPr>
          <w:p w14:paraId="4350953F">
            <w:pPr>
              <w:pageBreakBefore w:val="0"/>
              <w:overflowPunct/>
              <w:topLinePunct w:val="0"/>
              <w:bidi w:val="0"/>
              <w:spacing w:line="360" w:lineRule="auto"/>
              <w:jc w:val="center"/>
              <w:rPr>
                <w:rFonts w:hint="eastAsia" w:ascii="宋体" w:hAnsi="宋体" w:eastAsia="宋体" w:cs="宋体"/>
                <w:bCs/>
                <w:sz w:val="24"/>
                <w:szCs w:val="24"/>
                <w:highlight w:val="none"/>
              </w:rPr>
            </w:pPr>
          </w:p>
        </w:tc>
        <w:tc>
          <w:tcPr>
            <w:tcW w:w="2470" w:type="dxa"/>
            <w:noWrap w:val="0"/>
            <w:vAlign w:val="center"/>
          </w:tcPr>
          <w:p w14:paraId="65C80A96">
            <w:pPr>
              <w:pageBreakBefore w:val="0"/>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 定 地 址</w:t>
            </w:r>
          </w:p>
        </w:tc>
        <w:tc>
          <w:tcPr>
            <w:tcW w:w="6068" w:type="dxa"/>
            <w:gridSpan w:val="3"/>
            <w:noWrap w:val="0"/>
            <w:vAlign w:val="top"/>
          </w:tcPr>
          <w:p w14:paraId="41193877">
            <w:pPr>
              <w:pageBreakBefore w:val="0"/>
              <w:overflowPunct/>
              <w:topLinePunct w:val="0"/>
              <w:bidi w:val="0"/>
              <w:spacing w:line="360" w:lineRule="auto"/>
              <w:rPr>
                <w:rFonts w:hint="eastAsia" w:ascii="宋体" w:hAnsi="宋体" w:eastAsia="宋体" w:cs="宋体"/>
                <w:bCs/>
                <w:sz w:val="24"/>
                <w:szCs w:val="24"/>
                <w:highlight w:val="none"/>
              </w:rPr>
            </w:pPr>
          </w:p>
        </w:tc>
      </w:tr>
      <w:tr w14:paraId="5AB3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621" w:type="dxa"/>
            <w:vMerge w:val="continue"/>
            <w:noWrap w:val="0"/>
            <w:vAlign w:val="center"/>
          </w:tcPr>
          <w:p w14:paraId="4B635C31">
            <w:pPr>
              <w:pageBreakBefore w:val="0"/>
              <w:overflowPunct/>
              <w:topLinePunct w:val="0"/>
              <w:bidi w:val="0"/>
              <w:spacing w:line="360" w:lineRule="auto"/>
              <w:jc w:val="center"/>
              <w:rPr>
                <w:rFonts w:hint="eastAsia" w:ascii="宋体" w:hAnsi="宋体" w:eastAsia="宋体" w:cs="宋体"/>
                <w:bCs/>
                <w:sz w:val="24"/>
                <w:szCs w:val="24"/>
                <w:highlight w:val="none"/>
              </w:rPr>
            </w:pPr>
          </w:p>
        </w:tc>
        <w:tc>
          <w:tcPr>
            <w:tcW w:w="2470" w:type="dxa"/>
            <w:noWrap w:val="0"/>
            <w:vAlign w:val="center"/>
          </w:tcPr>
          <w:p w14:paraId="0A8ECE26">
            <w:pPr>
              <w:pageBreakBefore w:val="0"/>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营业执照注册证号</w:t>
            </w:r>
          </w:p>
        </w:tc>
        <w:tc>
          <w:tcPr>
            <w:tcW w:w="6068" w:type="dxa"/>
            <w:gridSpan w:val="3"/>
            <w:noWrap w:val="0"/>
            <w:vAlign w:val="top"/>
          </w:tcPr>
          <w:p w14:paraId="428757C9">
            <w:pPr>
              <w:pageBreakBefore w:val="0"/>
              <w:overflowPunct/>
              <w:topLinePunct w:val="0"/>
              <w:bidi w:val="0"/>
              <w:spacing w:line="360" w:lineRule="auto"/>
              <w:rPr>
                <w:rFonts w:hint="eastAsia" w:ascii="宋体" w:hAnsi="宋体" w:eastAsia="宋体" w:cs="宋体"/>
                <w:bCs/>
                <w:sz w:val="24"/>
                <w:szCs w:val="24"/>
                <w:highlight w:val="none"/>
              </w:rPr>
            </w:pPr>
          </w:p>
        </w:tc>
      </w:tr>
      <w:tr w14:paraId="2222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21" w:type="dxa"/>
            <w:vMerge w:val="continue"/>
            <w:noWrap w:val="0"/>
            <w:vAlign w:val="center"/>
          </w:tcPr>
          <w:p w14:paraId="67C86D52">
            <w:pPr>
              <w:pageBreakBefore w:val="0"/>
              <w:overflowPunct/>
              <w:topLinePunct w:val="0"/>
              <w:bidi w:val="0"/>
              <w:spacing w:line="360" w:lineRule="auto"/>
              <w:jc w:val="center"/>
              <w:rPr>
                <w:rFonts w:hint="eastAsia" w:ascii="宋体" w:hAnsi="宋体" w:eastAsia="宋体" w:cs="宋体"/>
                <w:bCs/>
                <w:sz w:val="24"/>
                <w:szCs w:val="24"/>
                <w:highlight w:val="none"/>
              </w:rPr>
            </w:pPr>
          </w:p>
        </w:tc>
        <w:tc>
          <w:tcPr>
            <w:tcW w:w="2470" w:type="dxa"/>
            <w:noWrap w:val="0"/>
            <w:vAlign w:val="center"/>
          </w:tcPr>
          <w:p w14:paraId="5B2E4D36">
            <w:pPr>
              <w:pageBreakBefore w:val="0"/>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工商登记机关</w:t>
            </w:r>
          </w:p>
        </w:tc>
        <w:tc>
          <w:tcPr>
            <w:tcW w:w="6068" w:type="dxa"/>
            <w:gridSpan w:val="3"/>
            <w:noWrap w:val="0"/>
            <w:vAlign w:val="top"/>
          </w:tcPr>
          <w:p w14:paraId="7705E303">
            <w:pPr>
              <w:pageBreakBefore w:val="0"/>
              <w:overflowPunct/>
              <w:topLinePunct w:val="0"/>
              <w:bidi w:val="0"/>
              <w:spacing w:line="360" w:lineRule="auto"/>
              <w:rPr>
                <w:rFonts w:hint="eastAsia" w:ascii="宋体" w:hAnsi="宋体" w:eastAsia="宋体" w:cs="宋体"/>
                <w:bCs/>
                <w:sz w:val="24"/>
                <w:szCs w:val="24"/>
                <w:highlight w:val="none"/>
              </w:rPr>
            </w:pPr>
          </w:p>
        </w:tc>
      </w:tr>
      <w:tr w14:paraId="780C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21" w:type="dxa"/>
            <w:vMerge w:val="continue"/>
            <w:noWrap w:val="0"/>
            <w:vAlign w:val="center"/>
          </w:tcPr>
          <w:p w14:paraId="0798091F">
            <w:pPr>
              <w:pageBreakBefore w:val="0"/>
              <w:overflowPunct/>
              <w:topLinePunct w:val="0"/>
              <w:bidi w:val="0"/>
              <w:spacing w:line="360" w:lineRule="auto"/>
              <w:jc w:val="center"/>
              <w:rPr>
                <w:rFonts w:hint="eastAsia" w:ascii="宋体" w:hAnsi="宋体" w:eastAsia="宋体" w:cs="宋体"/>
                <w:bCs/>
                <w:sz w:val="24"/>
                <w:szCs w:val="24"/>
                <w:highlight w:val="none"/>
              </w:rPr>
            </w:pPr>
          </w:p>
        </w:tc>
        <w:tc>
          <w:tcPr>
            <w:tcW w:w="2470" w:type="dxa"/>
            <w:noWrap w:val="0"/>
            <w:vAlign w:val="center"/>
          </w:tcPr>
          <w:p w14:paraId="59B361BE">
            <w:pPr>
              <w:pageBreakBefore w:val="0"/>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网    址</w:t>
            </w:r>
          </w:p>
        </w:tc>
        <w:tc>
          <w:tcPr>
            <w:tcW w:w="6068" w:type="dxa"/>
            <w:gridSpan w:val="3"/>
            <w:noWrap w:val="0"/>
            <w:vAlign w:val="top"/>
          </w:tcPr>
          <w:p w14:paraId="275098F3">
            <w:pPr>
              <w:pageBreakBefore w:val="0"/>
              <w:overflowPunct/>
              <w:topLinePunct w:val="0"/>
              <w:bidi w:val="0"/>
              <w:spacing w:line="360" w:lineRule="auto"/>
              <w:rPr>
                <w:rFonts w:hint="eastAsia" w:ascii="宋体" w:hAnsi="宋体" w:eastAsia="宋体" w:cs="宋体"/>
                <w:bCs/>
                <w:sz w:val="24"/>
                <w:szCs w:val="24"/>
                <w:highlight w:val="none"/>
              </w:rPr>
            </w:pPr>
          </w:p>
        </w:tc>
      </w:tr>
      <w:tr w14:paraId="571B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21" w:type="dxa"/>
            <w:vMerge w:val="restart"/>
            <w:noWrap w:val="0"/>
            <w:vAlign w:val="center"/>
          </w:tcPr>
          <w:p w14:paraId="25CCA92F">
            <w:pPr>
              <w:pageBreakBefore w:val="0"/>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w:t>
            </w:r>
          </w:p>
          <w:p w14:paraId="5769B196">
            <w:pPr>
              <w:pageBreakBefore w:val="0"/>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表人</w:t>
            </w:r>
          </w:p>
        </w:tc>
        <w:tc>
          <w:tcPr>
            <w:tcW w:w="2470" w:type="dxa"/>
            <w:noWrap w:val="0"/>
            <w:vAlign w:val="center"/>
          </w:tcPr>
          <w:p w14:paraId="37604EC2">
            <w:pPr>
              <w:pageBreakBefore w:val="0"/>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    名</w:t>
            </w:r>
          </w:p>
        </w:tc>
        <w:tc>
          <w:tcPr>
            <w:tcW w:w="1965" w:type="dxa"/>
            <w:noWrap w:val="0"/>
            <w:vAlign w:val="top"/>
          </w:tcPr>
          <w:p w14:paraId="7FDA2045">
            <w:pPr>
              <w:pageBreakBefore w:val="0"/>
              <w:overflowPunct/>
              <w:topLinePunct w:val="0"/>
              <w:bidi w:val="0"/>
              <w:spacing w:line="360" w:lineRule="auto"/>
              <w:rPr>
                <w:rFonts w:hint="eastAsia" w:ascii="宋体" w:hAnsi="宋体" w:eastAsia="宋体" w:cs="宋体"/>
                <w:bCs/>
                <w:sz w:val="24"/>
                <w:szCs w:val="24"/>
                <w:highlight w:val="none"/>
              </w:rPr>
            </w:pPr>
          </w:p>
        </w:tc>
        <w:tc>
          <w:tcPr>
            <w:tcW w:w="1336" w:type="dxa"/>
            <w:noWrap w:val="0"/>
            <w:vAlign w:val="center"/>
          </w:tcPr>
          <w:p w14:paraId="323C9373">
            <w:pPr>
              <w:pageBreakBefore w:val="0"/>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性    别</w:t>
            </w:r>
          </w:p>
        </w:tc>
        <w:tc>
          <w:tcPr>
            <w:tcW w:w="2767" w:type="dxa"/>
            <w:noWrap w:val="0"/>
            <w:vAlign w:val="top"/>
          </w:tcPr>
          <w:p w14:paraId="67969FA3">
            <w:pPr>
              <w:pageBreakBefore w:val="0"/>
              <w:overflowPunct/>
              <w:topLinePunct w:val="0"/>
              <w:bidi w:val="0"/>
              <w:spacing w:line="360" w:lineRule="auto"/>
              <w:rPr>
                <w:rFonts w:hint="eastAsia" w:ascii="宋体" w:hAnsi="宋体" w:eastAsia="宋体" w:cs="宋体"/>
                <w:bCs/>
                <w:sz w:val="24"/>
                <w:szCs w:val="24"/>
                <w:highlight w:val="none"/>
              </w:rPr>
            </w:pPr>
          </w:p>
        </w:tc>
      </w:tr>
      <w:tr w14:paraId="7ED3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21" w:type="dxa"/>
            <w:vMerge w:val="continue"/>
            <w:noWrap w:val="0"/>
            <w:vAlign w:val="center"/>
          </w:tcPr>
          <w:p w14:paraId="7B464EFB">
            <w:pPr>
              <w:pageBreakBefore w:val="0"/>
              <w:overflowPunct/>
              <w:topLinePunct w:val="0"/>
              <w:bidi w:val="0"/>
              <w:spacing w:line="360" w:lineRule="auto"/>
              <w:rPr>
                <w:rFonts w:hint="eastAsia" w:ascii="宋体" w:hAnsi="宋体" w:eastAsia="宋体" w:cs="宋体"/>
                <w:bCs/>
                <w:sz w:val="24"/>
                <w:szCs w:val="24"/>
                <w:highlight w:val="none"/>
              </w:rPr>
            </w:pPr>
          </w:p>
        </w:tc>
        <w:tc>
          <w:tcPr>
            <w:tcW w:w="2470" w:type="dxa"/>
            <w:noWrap w:val="0"/>
            <w:vAlign w:val="center"/>
          </w:tcPr>
          <w:p w14:paraId="1FAB0805">
            <w:pPr>
              <w:pageBreakBefore w:val="0"/>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职    务</w:t>
            </w:r>
          </w:p>
        </w:tc>
        <w:tc>
          <w:tcPr>
            <w:tcW w:w="1965" w:type="dxa"/>
            <w:noWrap w:val="0"/>
            <w:vAlign w:val="top"/>
          </w:tcPr>
          <w:p w14:paraId="7F6AF590">
            <w:pPr>
              <w:pageBreakBefore w:val="0"/>
              <w:overflowPunct/>
              <w:topLinePunct w:val="0"/>
              <w:bidi w:val="0"/>
              <w:spacing w:line="360" w:lineRule="auto"/>
              <w:rPr>
                <w:rFonts w:hint="eastAsia" w:ascii="宋体" w:hAnsi="宋体" w:eastAsia="宋体" w:cs="宋体"/>
                <w:bCs/>
                <w:sz w:val="24"/>
                <w:szCs w:val="24"/>
                <w:highlight w:val="none"/>
              </w:rPr>
            </w:pPr>
          </w:p>
        </w:tc>
        <w:tc>
          <w:tcPr>
            <w:tcW w:w="1336" w:type="dxa"/>
            <w:noWrap w:val="0"/>
            <w:vAlign w:val="center"/>
          </w:tcPr>
          <w:p w14:paraId="4542151A">
            <w:pPr>
              <w:pageBreakBefore w:val="0"/>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联系电话</w:t>
            </w:r>
          </w:p>
        </w:tc>
        <w:tc>
          <w:tcPr>
            <w:tcW w:w="2767" w:type="dxa"/>
            <w:noWrap w:val="0"/>
            <w:vAlign w:val="top"/>
          </w:tcPr>
          <w:p w14:paraId="13B6C468">
            <w:pPr>
              <w:pageBreakBefore w:val="0"/>
              <w:overflowPunct/>
              <w:topLinePunct w:val="0"/>
              <w:bidi w:val="0"/>
              <w:spacing w:line="360" w:lineRule="auto"/>
              <w:rPr>
                <w:rFonts w:hint="eastAsia" w:ascii="宋体" w:hAnsi="宋体" w:eastAsia="宋体" w:cs="宋体"/>
                <w:bCs/>
                <w:sz w:val="24"/>
                <w:szCs w:val="24"/>
                <w:highlight w:val="none"/>
              </w:rPr>
            </w:pPr>
          </w:p>
        </w:tc>
      </w:tr>
      <w:tr w14:paraId="5BFB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noWrap w:val="0"/>
            <w:vAlign w:val="center"/>
          </w:tcPr>
          <w:p w14:paraId="75256DFC">
            <w:pPr>
              <w:pageBreakBefore w:val="0"/>
              <w:overflowPunct/>
              <w:topLinePunct w:val="0"/>
              <w:bidi w:val="0"/>
              <w:spacing w:line="360" w:lineRule="auto"/>
              <w:rPr>
                <w:rFonts w:hint="eastAsia" w:ascii="宋体" w:hAnsi="宋体" w:eastAsia="宋体" w:cs="宋体"/>
                <w:bCs/>
                <w:sz w:val="24"/>
                <w:szCs w:val="24"/>
                <w:highlight w:val="none"/>
              </w:rPr>
            </w:pPr>
          </w:p>
        </w:tc>
        <w:tc>
          <w:tcPr>
            <w:tcW w:w="2470" w:type="dxa"/>
            <w:noWrap w:val="0"/>
            <w:vAlign w:val="center"/>
          </w:tcPr>
          <w:p w14:paraId="0EBA13E5">
            <w:pPr>
              <w:pageBreakBefore w:val="0"/>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传    真</w:t>
            </w:r>
          </w:p>
        </w:tc>
        <w:tc>
          <w:tcPr>
            <w:tcW w:w="6068" w:type="dxa"/>
            <w:gridSpan w:val="3"/>
            <w:noWrap w:val="0"/>
            <w:vAlign w:val="top"/>
          </w:tcPr>
          <w:p w14:paraId="45A6DE4E">
            <w:pPr>
              <w:pageBreakBefore w:val="0"/>
              <w:overflowPunct/>
              <w:topLinePunct w:val="0"/>
              <w:bidi w:val="0"/>
              <w:spacing w:line="360" w:lineRule="auto"/>
              <w:rPr>
                <w:rFonts w:hint="eastAsia" w:ascii="宋体" w:hAnsi="宋体" w:eastAsia="宋体" w:cs="宋体"/>
                <w:bCs/>
                <w:sz w:val="24"/>
                <w:szCs w:val="24"/>
                <w:highlight w:val="none"/>
              </w:rPr>
            </w:pPr>
          </w:p>
        </w:tc>
      </w:tr>
      <w:tr w14:paraId="2FA9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noWrap w:val="0"/>
            <w:vAlign w:val="center"/>
          </w:tcPr>
          <w:p w14:paraId="16747C0B">
            <w:pPr>
              <w:pageBreakBefore w:val="0"/>
              <w:overflowPunct/>
              <w:topLinePunct w:val="0"/>
              <w:bidi w:val="0"/>
              <w:spacing w:line="360" w:lineRule="auto"/>
              <w:rPr>
                <w:rFonts w:hint="eastAsia" w:ascii="宋体" w:hAnsi="宋体" w:eastAsia="宋体" w:cs="宋体"/>
                <w:bCs/>
                <w:sz w:val="24"/>
                <w:szCs w:val="24"/>
                <w:highlight w:val="none"/>
              </w:rPr>
            </w:pPr>
          </w:p>
        </w:tc>
        <w:tc>
          <w:tcPr>
            <w:tcW w:w="2470" w:type="dxa"/>
            <w:noWrap w:val="0"/>
            <w:vAlign w:val="center"/>
          </w:tcPr>
          <w:p w14:paraId="37DABAF1">
            <w:pPr>
              <w:pageBreakBefore w:val="0"/>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通讯地址</w:t>
            </w:r>
          </w:p>
        </w:tc>
        <w:tc>
          <w:tcPr>
            <w:tcW w:w="6068" w:type="dxa"/>
            <w:gridSpan w:val="3"/>
            <w:noWrap w:val="0"/>
            <w:vAlign w:val="top"/>
          </w:tcPr>
          <w:p w14:paraId="1F68F185">
            <w:pPr>
              <w:pageBreakBefore w:val="0"/>
              <w:overflowPunct/>
              <w:topLinePunct w:val="0"/>
              <w:bidi w:val="0"/>
              <w:spacing w:line="360" w:lineRule="auto"/>
              <w:rPr>
                <w:rFonts w:hint="eastAsia" w:ascii="宋体" w:hAnsi="宋体" w:eastAsia="宋体" w:cs="宋体"/>
                <w:bCs/>
                <w:sz w:val="24"/>
                <w:szCs w:val="24"/>
                <w:highlight w:val="none"/>
              </w:rPr>
            </w:pPr>
          </w:p>
        </w:tc>
      </w:tr>
      <w:tr w14:paraId="5ACD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exact"/>
          <w:jc w:val="center"/>
        </w:trPr>
        <w:tc>
          <w:tcPr>
            <w:tcW w:w="10159" w:type="dxa"/>
            <w:gridSpan w:val="5"/>
            <w:noWrap w:val="0"/>
            <w:vAlign w:val="top"/>
          </w:tcPr>
          <w:p w14:paraId="520BFE06">
            <w:pPr>
              <w:pageBreakBefore w:val="0"/>
              <w:overflowPunct/>
              <w:topLinePunct w:val="0"/>
              <w:bidi w:val="0"/>
              <w:spacing w:line="360" w:lineRule="auto"/>
              <w:jc w:val="center"/>
              <w:rPr>
                <w:rFonts w:hint="eastAsia" w:ascii="宋体" w:hAnsi="宋体" w:eastAsia="宋体" w:cs="宋体"/>
                <w:bCs/>
                <w:sz w:val="24"/>
                <w:szCs w:val="24"/>
                <w:highlight w:val="none"/>
              </w:rPr>
            </w:pPr>
          </w:p>
          <w:p w14:paraId="002512E5">
            <w:pPr>
              <w:pStyle w:val="10"/>
              <w:pageBreakBefore w:val="0"/>
              <w:overflowPunct/>
              <w:topLinePunct w:val="0"/>
              <w:bidi w:val="0"/>
              <w:spacing w:line="360" w:lineRule="auto"/>
              <w:rPr>
                <w:rFonts w:hint="eastAsia" w:ascii="宋体" w:hAnsi="宋体" w:eastAsia="宋体" w:cs="宋体"/>
                <w:sz w:val="22"/>
                <w:szCs w:val="18"/>
                <w:highlight w:val="none"/>
              </w:rPr>
            </w:pPr>
          </w:p>
          <w:p w14:paraId="23EFB9B9">
            <w:pPr>
              <w:pageBreakBefore w:val="0"/>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法定代表人身份证复印件</w:t>
            </w:r>
          </w:p>
          <w:p w14:paraId="3CF90376">
            <w:pPr>
              <w:pageBreakBefore w:val="0"/>
              <w:overflowPunct/>
              <w:topLinePunct w:val="0"/>
              <w:bidi w:val="0"/>
              <w:spacing w:line="360" w:lineRule="auto"/>
              <w:jc w:val="center"/>
              <w:rPr>
                <w:rFonts w:hint="eastAsia" w:ascii="宋体" w:hAnsi="宋体" w:eastAsia="宋体" w:cs="宋体"/>
                <w:bCs/>
                <w:sz w:val="24"/>
                <w:szCs w:val="24"/>
                <w:highlight w:val="none"/>
              </w:rPr>
            </w:pPr>
          </w:p>
          <w:p w14:paraId="0AAA8CC5">
            <w:pPr>
              <w:pageBreakBefore w:val="0"/>
              <w:overflowPunct/>
              <w:topLinePunct w:val="0"/>
              <w:bidi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二代身份证正、反两面都需复印</w:t>
            </w:r>
          </w:p>
          <w:p w14:paraId="40CDD721">
            <w:pPr>
              <w:pageBreakBefore w:val="0"/>
              <w:overflowPunct/>
              <w:topLinePunct w:val="0"/>
              <w:bidi w:val="0"/>
              <w:spacing w:line="360" w:lineRule="auto"/>
              <w:rPr>
                <w:rFonts w:hint="eastAsia" w:ascii="宋体" w:hAnsi="宋体" w:eastAsia="宋体" w:cs="宋体"/>
                <w:bCs/>
                <w:sz w:val="24"/>
                <w:szCs w:val="24"/>
                <w:highlight w:val="none"/>
              </w:rPr>
            </w:pPr>
          </w:p>
          <w:p w14:paraId="0DA2563E">
            <w:pPr>
              <w:pageBreakBefore w:val="0"/>
              <w:overflowPunct/>
              <w:topLinePunct w:val="0"/>
              <w:bidi w:val="0"/>
              <w:spacing w:line="360" w:lineRule="auto"/>
              <w:rPr>
                <w:rFonts w:hint="eastAsia" w:ascii="宋体" w:hAnsi="宋体" w:eastAsia="宋体" w:cs="宋体"/>
                <w:bCs/>
                <w:sz w:val="24"/>
                <w:szCs w:val="24"/>
                <w:highlight w:val="none"/>
              </w:rPr>
            </w:pPr>
          </w:p>
        </w:tc>
      </w:tr>
      <w:tr w14:paraId="79B0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159" w:type="dxa"/>
            <w:gridSpan w:val="5"/>
            <w:noWrap w:val="0"/>
            <w:vAlign w:val="center"/>
          </w:tcPr>
          <w:p w14:paraId="146C4842">
            <w:pPr>
              <w:pageBreakBefore w:val="0"/>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法定代表人签字或盖章：</w:t>
            </w:r>
          </w:p>
        </w:tc>
      </w:tr>
    </w:tbl>
    <w:p w14:paraId="03831FEA">
      <w:pPr>
        <w:pageBreakBefore w:val="0"/>
        <w:overflowPunct/>
        <w:topLinePunct w:val="0"/>
        <w:bidi w:val="0"/>
        <w:spacing w:line="360" w:lineRule="auto"/>
        <w:ind w:left="-146" w:leftChars="-176" w:hanging="224" w:hangingChars="102"/>
        <w:rPr>
          <w:rFonts w:hint="eastAsia" w:ascii="宋体" w:hAnsi="宋体" w:eastAsia="宋体" w:cs="宋体"/>
          <w:b/>
          <w:bCs/>
          <w:sz w:val="24"/>
          <w:szCs w:val="20"/>
          <w:highlight w:val="none"/>
        </w:rPr>
      </w:pPr>
      <w:r>
        <w:rPr>
          <w:rFonts w:hint="eastAsia" w:ascii="宋体" w:hAnsi="宋体" w:eastAsia="宋体" w:cs="宋体"/>
          <w:bCs/>
          <w:sz w:val="22"/>
          <w:szCs w:val="21"/>
          <w:highlight w:val="none"/>
        </w:rPr>
        <w:t>供应商名称：</w:t>
      </w:r>
      <w:r>
        <w:rPr>
          <w:rFonts w:hint="eastAsia" w:ascii="宋体" w:hAnsi="宋体" w:eastAsia="宋体" w:cs="宋体"/>
          <w:bCs/>
          <w:sz w:val="22"/>
          <w:szCs w:val="21"/>
          <w:highlight w:val="none"/>
          <w:u w:val="single"/>
        </w:rPr>
        <w:t xml:space="preserve">                        </w:t>
      </w:r>
      <w:r>
        <w:rPr>
          <w:rFonts w:hint="eastAsia" w:ascii="宋体" w:hAnsi="宋体" w:eastAsia="宋体" w:cs="宋体"/>
          <w:bCs/>
          <w:sz w:val="22"/>
          <w:szCs w:val="21"/>
          <w:highlight w:val="none"/>
        </w:rPr>
        <w:t>（单位公章）            日 期：</w:t>
      </w:r>
      <w:r>
        <w:rPr>
          <w:rFonts w:hint="eastAsia" w:ascii="宋体" w:hAnsi="宋体" w:eastAsia="宋体" w:cs="宋体"/>
          <w:bCs/>
          <w:sz w:val="22"/>
          <w:szCs w:val="21"/>
          <w:highlight w:val="none"/>
          <w:u w:val="single"/>
        </w:rPr>
        <w:t xml:space="preserve">             </w:t>
      </w:r>
    </w:p>
    <w:p w14:paraId="47F27C69">
      <w:pPr>
        <w:bidi w:val="0"/>
        <w:rPr>
          <w:rFonts w:hint="eastAsia"/>
        </w:rPr>
        <w:sectPr>
          <w:headerReference r:id="rId15" w:type="first"/>
          <w:footerReference r:id="rId17" w:type="first"/>
          <w:headerReference r:id="rId14" w:type="default"/>
          <w:footerReference r:id="rId16" w:type="default"/>
          <w:endnotePr>
            <w:numFmt w:val="decimal"/>
          </w:endnotePr>
          <w:pgSz w:w="11907" w:h="16840"/>
          <w:pgMar w:top="1418" w:right="992" w:bottom="1418" w:left="1418" w:header="851" w:footer="850" w:gutter="0"/>
          <w:pgNumType w:fmt="decimal"/>
          <w:cols w:space="720" w:num="1"/>
          <w:titlePg/>
        </w:sectPr>
      </w:pPr>
      <w:bookmarkStart w:id="674" w:name="_Toc31243"/>
    </w:p>
    <w:p w14:paraId="43CC3D7D">
      <w:pPr>
        <w:bidi w:val="0"/>
        <w:spacing w:line="360" w:lineRule="auto"/>
        <w:jc w:val="center"/>
        <w:rPr>
          <w:rFonts w:hint="eastAsia" w:cs="Times New Roman"/>
          <w:b/>
          <w:bCs/>
          <w:sz w:val="24"/>
          <w:szCs w:val="24"/>
        </w:rPr>
      </w:pPr>
      <w:r>
        <w:rPr>
          <w:rFonts w:hint="eastAsia" w:cs="Times New Roman"/>
          <w:b/>
          <w:bCs/>
          <w:sz w:val="24"/>
          <w:szCs w:val="24"/>
        </w:rPr>
        <w:t>法定代表人授权书</w:t>
      </w:r>
      <w:bookmarkEnd w:id="674"/>
    </w:p>
    <w:tbl>
      <w:tblPr>
        <w:tblStyle w:val="22"/>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19"/>
        <w:gridCol w:w="840"/>
        <w:gridCol w:w="1559"/>
        <w:gridCol w:w="2511"/>
      </w:tblGrid>
      <w:tr w14:paraId="781B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0" w:type="dxa"/>
            <w:gridSpan w:val="7"/>
            <w:noWrap w:val="0"/>
            <w:vAlign w:val="top"/>
          </w:tcPr>
          <w:p w14:paraId="4B82F4AF">
            <w:pPr>
              <w:pageBreakBefore w:val="0"/>
              <w:tabs>
                <w:tab w:val="right" w:leader="dot" w:pos="9022"/>
              </w:tabs>
              <w:overflowPunct/>
              <w:topLinePunct w:val="0"/>
              <w:autoSpaceDE w:val="0"/>
              <w:autoSpaceDN w:val="0"/>
              <w:bidi w:val="0"/>
              <w:adjustRightInd w:val="0"/>
              <w:spacing w:line="360" w:lineRule="auto"/>
              <w:jc w:val="left"/>
              <w:rPr>
                <w:rFonts w:hint="eastAsia" w:ascii="宋体" w:hAnsi="宋体" w:eastAsia="宋体" w:cs="宋体"/>
                <w:bCs/>
                <w:caps/>
                <w:sz w:val="24"/>
                <w:szCs w:val="24"/>
                <w:highlight w:val="none"/>
                <w:lang w:eastAsia="zh-CN"/>
              </w:rPr>
            </w:pPr>
            <w:r>
              <w:rPr>
                <w:rFonts w:hint="eastAsia" w:ascii="宋体" w:hAnsi="宋体" w:eastAsia="宋体" w:cs="宋体"/>
                <w:bCs/>
                <w:caps/>
                <w:sz w:val="24"/>
                <w:szCs w:val="24"/>
                <w:highlight w:val="none"/>
              </w:rPr>
              <w:t>致：</w:t>
            </w:r>
            <w:r>
              <w:rPr>
                <w:rFonts w:hint="eastAsia" w:ascii="宋体" w:hAnsi="宋体" w:eastAsia="宋体" w:cs="宋体"/>
                <w:bCs/>
                <w:caps/>
                <w:sz w:val="24"/>
                <w:szCs w:val="24"/>
                <w:highlight w:val="none"/>
                <w:lang w:eastAsia="zh-CN"/>
              </w:rPr>
              <w:t xml:space="preserve">陕西建政项目管理有限公司 </w:t>
            </w:r>
          </w:p>
        </w:tc>
      </w:tr>
      <w:tr w14:paraId="4D70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noWrap w:val="0"/>
            <w:vAlign w:val="center"/>
          </w:tcPr>
          <w:p w14:paraId="2310877E">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被授</w:t>
            </w:r>
          </w:p>
          <w:p w14:paraId="12D44829">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权项</w:t>
            </w:r>
          </w:p>
          <w:p w14:paraId="59C4F31B">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目与</w:t>
            </w:r>
          </w:p>
          <w:p w14:paraId="5CFB143C">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内容</w:t>
            </w:r>
          </w:p>
        </w:tc>
        <w:tc>
          <w:tcPr>
            <w:tcW w:w="1355" w:type="dxa"/>
            <w:noWrap w:val="0"/>
            <w:vAlign w:val="top"/>
          </w:tcPr>
          <w:p w14:paraId="02B852FF">
            <w:pPr>
              <w:pageBreakBefore w:val="0"/>
              <w:tabs>
                <w:tab w:val="right" w:leader="dot" w:pos="9022"/>
              </w:tabs>
              <w:overflowPunct/>
              <w:topLinePunct w:val="0"/>
              <w:autoSpaceDE w:val="0"/>
              <w:autoSpaceDN w:val="0"/>
              <w:bidi w:val="0"/>
              <w:adjustRightInd w:val="0"/>
              <w:spacing w:line="360" w:lineRule="auto"/>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项目名称</w:t>
            </w:r>
          </w:p>
        </w:tc>
        <w:tc>
          <w:tcPr>
            <w:tcW w:w="6763" w:type="dxa"/>
            <w:gridSpan w:val="5"/>
            <w:noWrap w:val="0"/>
            <w:vAlign w:val="top"/>
          </w:tcPr>
          <w:p w14:paraId="7FA97C49">
            <w:pPr>
              <w:pageBreakBefore w:val="0"/>
              <w:tabs>
                <w:tab w:val="right" w:leader="dot" w:pos="9022"/>
              </w:tabs>
              <w:overflowPunct/>
              <w:topLinePunct w:val="0"/>
              <w:autoSpaceDE w:val="0"/>
              <w:autoSpaceDN w:val="0"/>
              <w:bidi w:val="0"/>
              <w:adjustRightInd w:val="0"/>
              <w:spacing w:line="360" w:lineRule="auto"/>
              <w:jc w:val="left"/>
              <w:rPr>
                <w:rFonts w:hint="eastAsia" w:ascii="宋体" w:hAnsi="宋体" w:eastAsia="宋体" w:cs="宋体"/>
                <w:bCs/>
                <w:caps/>
                <w:sz w:val="24"/>
                <w:szCs w:val="24"/>
                <w:highlight w:val="none"/>
              </w:rPr>
            </w:pPr>
          </w:p>
        </w:tc>
      </w:tr>
      <w:tr w14:paraId="4DB3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top"/>
          </w:tcPr>
          <w:p w14:paraId="5FD14199">
            <w:pPr>
              <w:pageBreakBefore w:val="0"/>
              <w:tabs>
                <w:tab w:val="right" w:leader="dot" w:pos="9022"/>
              </w:tabs>
              <w:overflowPunct/>
              <w:topLinePunct w:val="0"/>
              <w:autoSpaceDE w:val="0"/>
              <w:autoSpaceDN w:val="0"/>
              <w:bidi w:val="0"/>
              <w:adjustRightInd w:val="0"/>
              <w:spacing w:line="360" w:lineRule="auto"/>
              <w:jc w:val="left"/>
              <w:rPr>
                <w:rFonts w:hint="eastAsia" w:ascii="宋体" w:hAnsi="宋体" w:eastAsia="宋体" w:cs="宋体"/>
                <w:bCs/>
                <w:caps/>
                <w:sz w:val="24"/>
                <w:szCs w:val="24"/>
                <w:highlight w:val="none"/>
              </w:rPr>
            </w:pPr>
          </w:p>
        </w:tc>
        <w:tc>
          <w:tcPr>
            <w:tcW w:w="1355" w:type="dxa"/>
            <w:noWrap w:val="0"/>
            <w:vAlign w:val="top"/>
          </w:tcPr>
          <w:p w14:paraId="6A6B0FB2">
            <w:pPr>
              <w:pageBreakBefore w:val="0"/>
              <w:tabs>
                <w:tab w:val="right" w:leader="dot" w:pos="9022"/>
              </w:tabs>
              <w:overflowPunct/>
              <w:topLinePunct w:val="0"/>
              <w:autoSpaceDE w:val="0"/>
              <w:autoSpaceDN w:val="0"/>
              <w:bidi w:val="0"/>
              <w:adjustRightInd w:val="0"/>
              <w:spacing w:line="360" w:lineRule="auto"/>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项目编号</w:t>
            </w:r>
          </w:p>
        </w:tc>
        <w:tc>
          <w:tcPr>
            <w:tcW w:w="6763" w:type="dxa"/>
            <w:gridSpan w:val="5"/>
            <w:noWrap w:val="0"/>
            <w:vAlign w:val="top"/>
          </w:tcPr>
          <w:p w14:paraId="467163E5">
            <w:pPr>
              <w:pageBreakBefore w:val="0"/>
              <w:tabs>
                <w:tab w:val="right" w:leader="dot" w:pos="9022"/>
              </w:tabs>
              <w:overflowPunct/>
              <w:topLinePunct w:val="0"/>
              <w:autoSpaceDE w:val="0"/>
              <w:autoSpaceDN w:val="0"/>
              <w:bidi w:val="0"/>
              <w:adjustRightInd w:val="0"/>
              <w:spacing w:line="360" w:lineRule="auto"/>
              <w:ind w:firstLine="1200" w:firstLineChars="500"/>
              <w:jc w:val="left"/>
              <w:rPr>
                <w:rFonts w:hint="eastAsia" w:ascii="宋体" w:hAnsi="宋体" w:eastAsia="宋体" w:cs="宋体"/>
                <w:bCs/>
                <w:caps/>
                <w:sz w:val="24"/>
                <w:szCs w:val="24"/>
                <w:highlight w:val="none"/>
              </w:rPr>
            </w:pPr>
          </w:p>
        </w:tc>
      </w:tr>
      <w:tr w14:paraId="5175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top"/>
          </w:tcPr>
          <w:p w14:paraId="1BDBD0D4">
            <w:pPr>
              <w:pageBreakBefore w:val="0"/>
              <w:tabs>
                <w:tab w:val="right" w:leader="dot" w:pos="9022"/>
              </w:tabs>
              <w:overflowPunct/>
              <w:topLinePunct w:val="0"/>
              <w:autoSpaceDE w:val="0"/>
              <w:autoSpaceDN w:val="0"/>
              <w:bidi w:val="0"/>
              <w:adjustRightInd w:val="0"/>
              <w:spacing w:line="360" w:lineRule="auto"/>
              <w:jc w:val="left"/>
              <w:rPr>
                <w:rFonts w:hint="eastAsia" w:ascii="宋体" w:hAnsi="宋体" w:eastAsia="宋体" w:cs="宋体"/>
                <w:bCs/>
                <w:caps/>
                <w:sz w:val="24"/>
                <w:szCs w:val="24"/>
                <w:highlight w:val="none"/>
              </w:rPr>
            </w:pPr>
          </w:p>
        </w:tc>
        <w:tc>
          <w:tcPr>
            <w:tcW w:w="1355" w:type="dxa"/>
            <w:noWrap w:val="0"/>
            <w:vAlign w:val="center"/>
          </w:tcPr>
          <w:p w14:paraId="1AEAEF1C">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授权范围</w:t>
            </w:r>
          </w:p>
        </w:tc>
        <w:tc>
          <w:tcPr>
            <w:tcW w:w="6763" w:type="dxa"/>
            <w:gridSpan w:val="5"/>
            <w:noWrap w:val="0"/>
            <w:vAlign w:val="top"/>
          </w:tcPr>
          <w:p w14:paraId="73D83D4E">
            <w:pPr>
              <w:pageBreakBefore w:val="0"/>
              <w:tabs>
                <w:tab w:val="right" w:leader="dot" w:pos="9022"/>
              </w:tabs>
              <w:overflowPunct/>
              <w:topLinePunct w:val="0"/>
              <w:autoSpaceDE w:val="0"/>
              <w:autoSpaceDN w:val="0"/>
              <w:bidi w:val="0"/>
              <w:adjustRightInd w:val="0"/>
              <w:spacing w:line="360" w:lineRule="auto"/>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全权办理本次采购项目的</w:t>
            </w:r>
            <w:r>
              <w:rPr>
                <w:rFonts w:hint="eastAsia" w:ascii="宋体" w:hAnsi="宋体" w:eastAsia="宋体" w:cs="宋体"/>
                <w:bCs/>
                <w:sz w:val="24"/>
                <w:szCs w:val="24"/>
                <w:highlight w:val="none"/>
              </w:rPr>
              <w:t>磋商</w:t>
            </w:r>
            <w:r>
              <w:rPr>
                <w:rFonts w:hint="eastAsia" w:ascii="宋体" w:hAnsi="宋体" w:eastAsia="宋体" w:cs="宋体"/>
                <w:bCs/>
                <w:caps/>
                <w:sz w:val="24"/>
                <w:szCs w:val="24"/>
                <w:highlight w:val="none"/>
              </w:rPr>
              <w:t>、联系、洽谈、签约、执行等具体事务，签署全部有关文件、文书、协议及合同。</w:t>
            </w:r>
          </w:p>
        </w:tc>
      </w:tr>
      <w:tr w14:paraId="59CC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top"/>
          </w:tcPr>
          <w:p w14:paraId="14C18C61">
            <w:pPr>
              <w:pageBreakBefore w:val="0"/>
              <w:tabs>
                <w:tab w:val="right" w:leader="dot" w:pos="9022"/>
              </w:tabs>
              <w:overflowPunct/>
              <w:topLinePunct w:val="0"/>
              <w:autoSpaceDE w:val="0"/>
              <w:autoSpaceDN w:val="0"/>
              <w:bidi w:val="0"/>
              <w:adjustRightInd w:val="0"/>
              <w:spacing w:line="360" w:lineRule="auto"/>
              <w:jc w:val="left"/>
              <w:rPr>
                <w:rFonts w:hint="eastAsia" w:ascii="宋体" w:hAnsi="宋体" w:eastAsia="宋体" w:cs="宋体"/>
                <w:bCs/>
                <w:caps/>
                <w:sz w:val="24"/>
                <w:szCs w:val="24"/>
                <w:highlight w:val="none"/>
              </w:rPr>
            </w:pPr>
          </w:p>
        </w:tc>
        <w:tc>
          <w:tcPr>
            <w:tcW w:w="1355" w:type="dxa"/>
            <w:noWrap w:val="0"/>
            <w:vAlign w:val="top"/>
          </w:tcPr>
          <w:p w14:paraId="33DA7E20">
            <w:pPr>
              <w:pageBreakBefore w:val="0"/>
              <w:tabs>
                <w:tab w:val="right" w:leader="dot" w:pos="9022"/>
              </w:tabs>
              <w:overflowPunct/>
              <w:topLinePunct w:val="0"/>
              <w:autoSpaceDE w:val="0"/>
              <w:autoSpaceDN w:val="0"/>
              <w:bidi w:val="0"/>
              <w:adjustRightInd w:val="0"/>
              <w:spacing w:line="360" w:lineRule="auto"/>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法律责任</w:t>
            </w:r>
          </w:p>
        </w:tc>
        <w:tc>
          <w:tcPr>
            <w:tcW w:w="6763" w:type="dxa"/>
            <w:gridSpan w:val="5"/>
            <w:noWrap w:val="0"/>
            <w:vAlign w:val="top"/>
          </w:tcPr>
          <w:p w14:paraId="3C63A652">
            <w:pPr>
              <w:pageBreakBefore w:val="0"/>
              <w:tabs>
                <w:tab w:val="right" w:leader="dot" w:pos="9022"/>
              </w:tabs>
              <w:overflowPunct/>
              <w:topLinePunct w:val="0"/>
              <w:autoSpaceDE w:val="0"/>
              <w:autoSpaceDN w:val="0"/>
              <w:bidi w:val="0"/>
              <w:adjustRightInd w:val="0"/>
              <w:spacing w:line="360" w:lineRule="auto"/>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本公司对被授权人在本项目中的签名承担全部法律责任。</w:t>
            </w:r>
          </w:p>
        </w:tc>
      </w:tr>
      <w:tr w14:paraId="6F00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top"/>
          </w:tcPr>
          <w:p w14:paraId="5703038C">
            <w:pPr>
              <w:pageBreakBefore w:val="0"/>
              <w:tabs>
                <w:tab w:val="right" w:leader="dot" w:pos="9022"/>
              </w:tabs>
              <w:overflowPunct/>
              <w:topLinePunct w:val="0"/>
              <w:autoSpaceDE w:val="0"/>
              <w:autoSpaceDN w:val="0"/>
              <w:bidi w:val="0"/>
              <w:adjustRightInd w:val="0"/>
              <w:spacing w:line="360" w:lineRule="auto"/>
              <w:jc w:val="left"/>
              <w:rPr>
                <w:rFonts w:hint="eastAsia" w:ascii="宋体" w:hAnsi="宋体" w:eastAsia="宋体" w:cs="宋体"/>
                <w:bCs/>
                <w:caps/>
                <w:sz w:val="24"/>
                <w:szCs w:val="24"/>
                <w:highlight w:val="none"/>
              </w:rPr>
            </w:pPr>
          </w:p>
        </w:tc>
        <w:tc>
          <w:tcPr>
            <w:tcW w:w="1355" w:type="dxa"/>
            <w:noWrap w:val="0"/>
            <w:vAlign w:val="center"/>
          </w:tcPr>
          <w:p w14:paraId="4C6ED7CA">
            <w:pPr>
              <w:pageBreakBefore w:val="0"/>
              <w:tabs>
                <w:tab w:val="right" w:leader="dot" w:pos="9022"/>
              </w:tabs>
              <w:overflowPunct/>
              <w:topLinePunct w:val="0"/>
              <w:autoSpaceDE w:val="0"/>
              <w:autoSpaceDN w:val="0"/>
              <w:bidi w:val="0"/>
              <w:adjustRightInd w:val="0"/>
              <w:spacing w:line="360" w:lineRule="auto"/>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授权期限</w:t>
            </w:r>
          </w:p>
        </w:tc>
        <w:tc>
          <w:tcPr>
            <w:tcW w:w="6763" w:type="dxa"/>
            <w:gridSpan w:val="5"/>
            <w:noWrap w:val="0"/>
            <w:vAlign w:val="center"/>
          </w:tcPr>
          <w:p w14:paraId="64D1F9B3">
            <w:pPr>
              <w:pageBreakBefore w:val="0"/>
              <w:tabs>
                <w:tab w:val="right" w:leader="dot" w:pos="9022"/>
              </w:tabs>
              <w:overflowPunct/>
              <w:topLinePunct w:val="0"/>
              <w:autoSpaceDE w:val="0"/>
              <w:autoSpaceDN w:val="0"/>
              <w:bidi w:val="0"/>
              <w:adjustRightInd w:val="0"/>
              <w:spacing w:line="360" w:lineRule="auto"/>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本授权书自</w:t>
            </w:r>
            <w:r>
              <w:rPr>
                <w:rFonts w:hint="eastAsia" w:ascii="宋体" w:hAnsi="宋体" w:eastAsia="宋体" w:cs="宋体"/>
                <w:bCs/>
                <w:sz w:val="24"/>
                <w:szCs w:val="24"/>
                <w:highlight w:val="none"/>
              </w:rPr>
              <w:t>磋商</w:t>
            </w:r>
            <w:r>
              <w:rPr>
                <w:rFonts w:hint="eastAsia" w:ascii="宋体" w:hAnsi="宋体" w:eastAsia="宋体" w:cs="宋体"/>
                <w:bCs/>
                <w:caps/>
                <w:sz w:val="24"/>
                <w:szCs w:val="24"/>
                <w:highlight w:val="none"/>
              </w:rPr>
              <w:t>之日起计算有效期为</w:t>
            </w:r>
            <w:r>
              <w:rPr>
                <w:rFonts w:hint="eastAsia" w:ascii="宋体" w:hAnsi="宋体" w:eastAsia="宋体" w:cs="宋体"/>
                <w:bCs/>
                <w:caps/>
                <w:sz w:val="24"/>
                <w:szCs w:val="24"/>
                <w:highlight w:val="none"/>
                <w:u w:val="single"/>
              </w:rPr>
              <w:t xml:space="preserve">  </w:t>
            </w:r>
            <w:r>
              <w:rPr>
                <w:rFonts w:hint="eastAsia" w:ascii="宋体" w:hAnsi="宋体" w:eastAsia="宋体" w:cs="宋体"/>
                <w:bCs/>
                <w:caps/>
                <w:sz w:val="24"/>
                <w:szCs w:val="24"/>
                <w:highlight w:val="none"/>
              </w:rPr>
              <w:t>天</w:t>
            </w:r>
          </w:p>
        </w:tc>
      </w:tr>
      <w:tr w14:paraId="7B38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noWrap w:val="0"/>
            <w:vAlign w:val="center"/>
          </w:tcPr>
          <w:p w14:paraId="38919CD8">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企业信息</w:t>
            </w:r>
          </w:p>
        </w:tc>
        <w:tc>
          <w:tcPr>
            <w:tcW w:w="2489" w:type="dxa"/>
            <w:gridSpan w:val="2"/>
            <w:noWrap w:val="0"/>
            <w:vAlign w:val="top"/>
          </w:tcPr>
          <w:p w14:paraId="21197DA5">
            <w:pPr>
              <w:pageBreakBefore w:val="0"/>
              <w:tabs>
                <w:tab w:val="right" w:leader="dot" w:pos="9022"/>
              </w:tabs>
              <w:overflowPunct/>
              <w:topLinePunct w:val="0"/>
              <w:autoSpaceDE w:val="0"/>
              <w:autoSpaceDN w:val="0"/>
              <w:bidi w:val="0"/>
              <w:adjustRightInd w:val="0"/>
              <w:spacing w:line="360" w:lineRule="auto"/>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 xml:space="preserve">企 业 名 称 </w:t>
            </w:r>
          </w:p>
        </w:tc>
        <w:tc>
          <w:tcPr>
            <w:tcW w:w="5629" w:type="dxa"/>
            <w:gridSpan w:val="4"/>
            <w:noWrap w:val="0"/>
            <w:vAlign w:val="center"/>
          </w:tcPr>
          <w:p w14:paraId="553FE834">
            <w:pPr>
              <w:pageBreakBefore w:val="0"/>
              <w:tabs>
                <w:tab w:val="right" w:leader="dot" w:pos="9022"/>
              </w:tabs>
              <w:overflowPunct/>
              <w:topLinePunct w:val="0"/>
              <w:autoSpaceDE w:val="0"/>
              <w:autoSpaceDN w:val="0"/>
              <w:bidi w:val="0"/>
              <w:adjustRightInd w:val="0"/>
              <w:spacing w:line="360" w:lineRule="auto"/>
              <w:rPr>
                <w:rFonts w:hint="eastAsia" w:ascii="宋体" w:hAnsi="宋体" w:eastAsia="宋体" w:cs="宋体"/>
                <w:bCs/>
                <w:caps/>
                <w:sz w:val="24"/>
                <w:szCs w:val="24"/>
                <w:highlight w:val="none"/>
              </w:rPr>
            </w:pPr>
          </w:p>
        </w:tc>
      </w:tr>
      <w:tr w14:paraId="1440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top"/>
          </w:tcPr>
          <w:p w14:paraId="57797B2E">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p>
        </w:tc>
        <w:tc>
          <w:tcPr>
            <w:tcW w:w="2489" w:type="dxa"/>
            <w:gridSpan w:val="2"/>
            <w:noWrap w:val="0"/>
            <w:vAlign w:val="top"/>
          </w:tcPr>
          <w:p w14:paraId="2B838944">
            <w:pPr>
              <w:pageBreakBefore w:val="0"/>
              <w:tabs>
                <w:tab w:val="right" w:leader="dot" w:pos="9022"/>
              </w:tabs>
              <w:overflowPunct/>
              <w:topLinePunct w:val="0"/>
              <w:autoSpaceDE w:val="0"/>
              <w:autoSpaceDN w:val="0"/>
              <w:bidi w:val="0"/>
              <w:adjustRightInd w:val="0"/>
              <w:spacing w:line="360" w:lineRule="auto"/>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法 定 地 址</w:t>
            </w:r>
          </w:p>
        </w:tc>
        <w:tc>
          <w:tcPr>
            <w:tcW w:w="5629" w:type="dxa"/>
            <w:gridSpan w:val="4"/>
            <w:noWrap w:val="0"/>
            <w:vAlign w:val="center"/>
          </w:tcPr>
          <w:p w14:paraId="28EA6E07">
            <w:pPr>
              <w:pageBreakBefore w:val="0"/>
              <w:tabs>
                <w:tab w:val="right" w:leader="dot" w:pos="9022"/>
              </w:tabs>
              <w:overflowPunct/>
              <w:topLinePunct w:val="0"/>
              <w:autoSpaceDE w:val="0"/>
              <w:autoSpaceDN w:val="0"/>
              <w:bidi w:val="0"/>
              <w:adjustRightInd w:val="0"/>
              <w:spacing w:line="360" w:lineRule="auto"/>
              <w:rPr>
                <w:rFonts w:hint="eastAsia" w:ascii="宋体" w:hAnsi="宋体" w:eastAsia="宋体" w:cs="宋体"/>
                <w:bCs/>
                <w:caps/>
                <w:sz w:val="24"/>
                <w:szCs w:val="24"/>
                <w:highlight w:val="none"/>
              </w:rPr>
            </w:pPr>
          </w:p>
        </w:tc>
      </w:tr>
      <w:tr w14:paraId="277C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top"/>
          </w:tcPr>
          <w:p w14:paraId="5FD322BB">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p>
        </w:tc>
        <w:tc>
          <w:tcPr>
            <w:tcW w:w="2489" w:type="dxa"/>
            <w:gridSpan w:val="2"/>
            <w:noWrap w:val="0"/>
            <w:vAlign w:val="top"/>
          </w:tcPr>
          <w:p w14:paraId="0170B4CC">
            <w:pPr>
              <w:pageBreakBefore w:val="0"/>
              <w:tabs>
                <w:tab w:val="right" w:leader="dot" w:pos="9022"/>
              </w:tabs>
              <w:overflowPunct/>
              <w:topLinePunct w:val="0"/>
              <w:autoSpaceDE w:val="0"/>
              <w:autoSpaceDN w:val="0"/>
              <w:bidi w:val="0"/>
              <w:adjustRightInd w:val="0"/>
              <w:spacing w:line="360" w:lineRule="auto"/>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营业执照注册证号</w:t>
            </w:r>
          </w:p>
        </w:tc>
        <w:tc>
          <w:tcPr>
            <w:tcW w:w="5629" w:type="dxa"/>
            <w:gridSpan w:val="4"/>
            <w:noWrap w:val="0"/>
            <w:vAlign w:val="center"/>
          </w:tcPr>
          <w:p w14:paraId="6550922E">
            <w:pPr>
              <w:pageBreakBefore w:val="0"/>
              <w:tabs>
                <w:tab w:val="right" w:leader="dot" w:pos="9022"/>
              </w:tabs>
              <w:overflowPunct/>
              <w:topLinePunct w:val="0"/>
              <w:autoSpaceDE w:val="0"/>
              <w:autoSpaceDN w:val="0"/>
              <w:bidi w:val="0"/>
              <w:adjustRightInd w:val="0"/>
              <w:spacing w:line="360" w:lineRule="auto"/>
              <w:rPr>
                <w:rFonts w:hint="eastAsia" w:ascii="宋体" w:hAnsi="宋体" w:eastAsia="宋体" w:cs="宋体"/>
                <w:bCs/>
                <w:caps/>
                <w:sz w:val="24"/>
                <w:szCs w:val="24"/>
                <w:highlight w:val="none"/>
              </w:rPr>
            </w:pPr>
          </w:p>
        </w:tc>
      </w:tr>
      <w:tr w14:paraId="6DA3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noWrap w:val="0"/>
            <w:vAlign w:val="center"/>
          </w:tcPr>
          <w:p w14:paraId="3BCC9AEE">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法定代表人</w:t>
            </w:r>
          </w:p>
        </w:tc>
        <w:tc>
          <w:tcPr>
            <w:tcW w:w="1355" w:type="dxa"/>
            <w:noWrap w:val="0"/>
            <w:vAlign w:val="center"/>
          </w:tcPr>
          <w:p w14:paraId="28D8BE2D">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姓名</w:t>
            </w:r>
          </w:p>
        </w:tc>
        <w:tc>
          <w:tcPr>
            <w:tcW w:w="2693" w:type="dxa"/>
            <w:gridSpan w:val="3"/>
            <w:noWrap w:val="0"/>
            <w:vAlign w:val="center"/>
          </w:tcPr>
          <w:p w14:paraId="50B5DFE9">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p>
        </w:tc>
        <w:tc>
          <w:tcPr>
            <w:tcW w:w="1559" w:type="dxa"/>
            <w:noWrap w:val="0"/>
            <w:vAlign w:val="center"/>
          </w:tcPr>
          <w:p w14:paraId="2424E948">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性    别</w:t>
            </w:r>
          </w:p>
        </w:tc>
        <w:tc>
          <w:tcPr>
            <w:tcW w:w="2511" w:type="dxa"/>
            <w:noWrap w:val="0"/>
            <w:vAlign w:val="center"/>
          </w:tcPr>
          <w:p w14:paraId="3121C548">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p>
        </w:tc>
      </w:tr>
      <w:tr w14:paraId="034D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center"/>
          </w:tcPr>
          <w:p w14:paraId="7C76E3D7">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p>
        </w:tc>
        <w:tc>
          <w:tcPr>
            <w:tcW w:w="1355" w:type="dxa"/>
            <w:noWrap w:val="0"/>
            <w:vAlign w:val="center"/>
          </w:tcPr>
          <w:p w14:paraId="4E668021">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职务</w:t>
            </w:r>
          </w:p>
        </w:tc>
        <w:tc>
          <w:tcPr>
            <w:tcW w:w="2693" w:type="dxa"/>
            <w:gridSpan w:val="3"/>
            <w:noWrap w:val="0"/>
            <w:vAlign w:val="center"/>
          </w:tcPr>
          <w:p w14:paraId="3660B549">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p>
        </w:tc>
        <w:tc>
          <w:tcPr>
            <w:tcW w:w="1559" w:type="dxa"/>
            <w:noWrap w:val="0"/>
            <w:vAlign w:val="center"/>
          </w:tcPr>
          <w:p w14:paraId="52F10562">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手机号码</w:t>
            </w:r>
          </w:p>
        </w:tc>
        <w:tc>
          <w:tcPr>
            <w:tcW w:w="2511" w:type="dxa"/>
            <w:noWrap w:val="0"/>
            <w:vAlign w:val="center"/>
          </w:tcPr>
          <w:p w14:paraId="05578E58">
            <w:pPr>
              <w:pageBreakBefore w:val="0"/>
              <w:tabs>
                <w:tab w:val="right" w:leader="dot" w:pos="9022"/>
              </w:tabs>
              <w:overflowPunct/>
              <w:topLinePunct w:val="0"/>
              <w:autoSpaceDE w:val="0"/>
              <w:autoSpaceDN w:val="0"/>
              <w:bidi w:val="0"/>
              <w:adjustRightInd w:val="0"/>
              <w:spacing w:line="360" w:lineRule="auto"/>
              <w:rPr>
                <w:rFonts w:hint="eastAsia" w:ascii="宋体" w:hAnsi="宋体" w:eastAsia="宋体" w:cs="宋体"/>
                <w:bCs/>
                <w:caps/>
                <w:sz w:val="24"/>
                <w:szCs w:val="24"/>
                <w:highlight w:val="none"/>
              </w:rPr>
            </w:pPr>
          </w:p>
        </w:tc>
      </w:tr>
      <w:tr w14:paraId="0F46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noWrap w:val="0"/>
            <w:vAlign w:val="center"/>
          </w:tcPr>
          <w:p w14:paraId="0F54D154">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被授权人</w:t>
            </w:r>
          </w:p>
        </w:tc>
        <w:tc>
          <w:tcPr>
            <w:tcW w:w="1355" w:type="dxa"/>
            <w:noWrap w:val="0"/>
            <w:vAlign w:val="center"/>
          </w:tcPr>
          <w:p w14:paraId="3B175CC9">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姓名</w:t>
            </w:r>
          </w:p>
        </w:tc>
        <w:tc>
          <w:tcPr>
            <w:tcW w:w="2693" w:type="dxa"/>
            <w:gridSpan w:val="3"/>
            <w:noWrap w:val="0"/>
            <w:vAlign w:val="center"/>
          </w:tcPr>
          <w:p w14:paraId="52FAB62A">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p>
        </w:tc>
        <w:tc>
          <w:tcPr>
            <w:tcW w:w="1559" w:type="dxa"/>
            <w:noWrap w:val="0"/>
            <w:vAlign w:val="center"/>
          </w:tcPr>
          <w:p w14:paraId="2A169318">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性    别</w:t>
            </w:r>
          </w:p>
        </w:tc>
        <w:tc>
          <w:tcPr>
            <w:tcW w:w="2511" w:type="dxa"/>
            <w:noWrap w:val="0"/>
            <w:vAlign w:val="center"/>
          </w:tcPr>
          <w:p w14:paraId="57B5E581">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p>
        </w:tc>
      </w:tr>
      <w:tr w14:paraId="6A3C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top"/>
          </w:tcPr>
          <w:p w14:paraId="536D3BC2">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p>
        </w:tc>
        <w:tc>
          <w:tcPr>
            <w:tcW w:w="1355" w:type="dxa"/>
            <w:noWrap w:val="0"/>
            <w:vAlign w:val="center"/>
          </w:tcPr>
          <w:p w14:paraId="47B06F22">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职务</w:t>
            </w:r>
          </w:p>
        </w:tc>
        <w:tc>
          <w:tcPr>
            <w:tcW w:w="2693" w:type="dxa"/>
            <w:gridSpan w:val="3"/>
            <w:noWrap w:val="0"/>
            <w:vAlign w:val="center"/>
          </w:tcPr>
          <w:p w14:paraId="14CB37F4">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p>
        </w:tc>
        <w:tc>
          <w:tcPr>
            <w:tcW w:w="1559" w:type="dxa"/>
            <w:noWrap w:val="0"/>
            <w:vAlign w:val="center"/>
          </w:tcPr>
          <w:p w14:paraId="7FF1B90A">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手机号码</w:t>
            </w:r>
          </w:p>
        </w:tc>
        <w:tc>
          <w:tcPr>
            <w:tcW w:w="2511" w:type="dxa"/>
            <w:noWrap w:val="0"/>
            <w:vAlign w:val="top"/>
          </w:tcPr>
          <w:p w14:paraId="185FFDF3">
            <w:pPr>
              <w:pageBreakBefore w:val="0"/>
              <w:tabs>
                <w:tab w:val="right" w:leader="dot" w:pos="9022"/>
              </w:tabs>
              <w:overflowPunct/>
              <w:topLinePunct w:val="0"/>
              <w:autoSpaceDE w:val="0"/>
              <w:autoSpaceDN w:val="0"/>
              <w:bidi w:val="0"/>
              <w:adjustRightInd w:val="0"/>
              <w:spacing w:line="360" w:lineRule="auto"/>
              <w:rPr>
                <w:rFonts w:hint="eastAsia" w:ascii="宋体" w:hAnsi="宋体" w:eastAsia="宋体" w:cs="宋体"/>
                <w:bCs/>
                <w:caps/>
                <w:sz w:val="24"/>
                <w:szCs w:val="24"/>
                <w:highlight w:val="none"/>
              </w:rPr>
            </w:pPr>
          </w:p>
        </w:tc>
      </w:tr>
      <w:tr w14:paraId="0549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top"/>
          </w:tcPr>
          <w:p w14:paraId="50F15A5D">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通讯地址</w:t>
            </w:r>
          </w:p>
        </w:tc>
        <w:tc>
          <w:tcPr>
            <w:tcW w:w="8118" w:type="dxa"/>
            <w:gridSpan w:val="6"/>
            <w:noWrap w:val="0"/>
            <w:vAlign w:val="top"/>
          </w:tcPr>
          <w:p w14:paraId="37F8F784">
            <w:pPr>
              <w:pageBreakBefore w:val="0"/>
              <w:tabs>
                <w:tab w:val="right" w:leader="dot" w:pos="9022"/>
              </w:tabs>
              <w:overflowPunct/>
              <w:topLinePunct w:val="0"/>
              <w:autoSpaceDE w:val="0"/>
              <w:autoSpaceDN w:val="0"/>
              <w:bidi w:val="0"/>
              <w:adjustRightInd w:val="0"/>
              <w:spacing w:line="360" w:lineRule="auto"/>
              <w:jc w:val="left"/>
              <w:rPr>
                <w:rFonts w:hint="eastAsia" w:ascii="宋体" w:hAnsi="宋体" w:eastAsia="宋体" w:cs="宋体"/>
                <w:bCs/>
                <w:caps/>
                <w:sz w:val="24"/>
                <w:szCs w:val="24"/>
                <w:highlight w:val="none"/>
              </w:rPr>
            </w:pPr>
          </w:p>
        </w:tc>
      </w:tr>
      <w:tr w14:paraId="1214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4910" w:type="dxa"/>
            <w:gridSpan w:val="4"/>
            <w:noWrap w:val="0"/>
            <w:vAlign w:val="center"/>
          </w:tcPr>
          <w:p w14:paraId="2BB9B7AA">
            <w:pPr>
              <w:pageBreakBefore w:val="0"/>
              <w:tabs>
                <w:tab w:val="right" w:leader="dot" w:pos="9022"/>
              </w:tabs>
              <w:overflowPunct/>
              <w:topLinePunct w:val="0"/>
              <w:autoSpaceDE w:val="0"/>
              <w:autoSpaceDN w:val="0"/>
              <w:bidi w:val="0"/>
              <w:adjustRightInd w:val="0"/>
              <w:spacing w:line="360" w:lineRule="auto"/>
              <w:rPr>
                <w:rFonts w:hint="eastAsia" w:ascii="宋体" w:hAnsi="宋体" w:eastAsia="宋体" w:cs="宋体"/>
                <w:bCs/>
                <w:caps/>
                <w:sz w:val="24"/>
                <w:szCs w:val="24"/>
                <w:highlight w:val="none"/>
              </w:rPr>
            </w:pPr>
          </w:p>
          <w:p w14:paraId="7DEF0DFB">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法定代表人身份证复印件</w:t>
            </w:r>
          </w:p>
          <w:p w14:paraId="5DBECA34">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p>
          <w:p w14:paraId="5A3988B7">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二代身份证正、反两面都需复印</w:t>
            </w:r>
          </w:p>
          <w:p w14:paraId="7C399D7A">
            <w:pPr>
              <w:pStyle w:val="10"/>
              <w:pageBreakBefore w:val="0"/>
              <w:overflowPunct/>
              <w:topLinePunct w:val="0"/>
              <w:bidi w:val="0"/>
              <w:spacing w:line="360" w:lineRule="auto"/>
              <w:ind w:left="0" w:leftChars="0" w:firstLine="0" w:firstLineChars="0"/>
              <w:rPr>
                <w:rFonts w:hint="eastAsia" w:ascii="宋体" w:hAnsi="宋体" w:eastAsia="宋体" w:cs="宋体"/>
                <w:sz w:val="22"/>
                <w:szCs w:val="18"/>
                <w:highlight w:val="none"/>
              </w:rPr>
            </w:pPr>
          </w:p>
        </w:tc>
        <w:tc>
          <w:tcPr>
            <w:tcW w:w="4910" w:type="dxa"/>
            <w:gridSpan w:val="3"/>
            <w:noWrap w:val="0"/>
            <w:vAlign w:val="center"/>
          </w:tcPr>
          <w:p w14:paraId="7B9450E7">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被授权人身份证复印件</w:t>
            </w:r>
          </w:p>
          <w:p w14:paraId="5501A78B">
            <w:pPr>
              <w:pageBreakBefore w:val="0"/>
              <w:tabs>
                <w:tab w:val="right" w:leader="dot" w:pos="9022"/>
              </w:tabs>
              <w:overflowPunct/>
              <w:topLinePunct w:val="0"/>
              <w:autoSpaceDE w:val="0"/>
              <w:autoSpaceDN w:val="0"/>
              <w:bidi w:val="0"/>
              <w:adjustRightInd w:val="0"/>
              <w:spacing w:line="360" w:lineRule="auto"/>
              <w:jc w:val="left"/>
              <w:rPr>
                <w:rFonts w:hint="eastAsia" w:ascii="宋体" w:hAnsi="宋体" w:eastAsia="宋体" w:cs="宋体"/>
                <w:bCs/>
                <w:caps/>
                <w:sz w:val="24"/>
                <w:szCs w:val="24"/>
                <w:highlight w:val="none"/>
              </w:rPr>
            </w:pPr>
          </w:p>
          <w:p w14:paraId="1235A358">
            <w:pPr>
              <w:pageBreakBefore w:val="0"/>
              <w:tabs>
                <w:tab w:val="right" w:leader="dot" w:pos="9022"/>
              </w:tabs>
              <w:overflowPunct/>
              <w:topLinePunct w:val="0"/>
              <w:autoSpaceDE w:val="0"/>
              <w:autoSpaceDN w:val="0"/>
              <w:bidi w:val="0"/>
              <w:adjustRightInd w:val="0"/>
              <w:spacing w:line="360" w:lineRule="auto"/>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二代身份证正、反两面都需复印</w:t>
            </w:r>
          </w:p>
        </w:tc>
      </w:tr>
      <w:tr w14:paraId="0FA1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820" w:type="dxa"/>
            <w:gridSpan w:val="7"/>
            <w:tcBorders>
              <w:bottom w:val="single" w:color="auto" w:sz="4" w:space="0"/>
            </w:tcBorders>
            <w:noWrap w:val="0"/>
            <w:vAlign w:val="center"/>
          </w:tcPr>
          <w:p w14:paraId="35D325E3">
            <w:pPr>
              <w:pageBreakBefore w:val="0"/>
              <w:tabs>
                <w:tab w:val="right" w:leader="dot" w:pos="9022"/>
              </w:tabs>
              <w:overflowPunct/>
              <w:topLinePunct w:val="0"/>
              <w:autoSpaceDE w:val="0"/>
              <w:autoSpaceDN w:val="0"/>
              <w:bidi w:val="0"/>
              <w:adjustRightInd w:val="0"/>
              <w:spacing w:line="360" w:lineRule="auto"/>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法定代表人及被授权人签字或盖章：</w:t>
            </w:r>
          </w:p>
        </w:tc>
      </w:tr>
    </w:tbl>
    <w:p w14:paraId="0F410C3F">
      <w:pPr>
        <w:pageBreakBefore w:val="0"/>
        <w:overflowPunct/>
        <w:topLinePunct w:val="0"/>
        <w:bidi w:val="0"/>
        <w:spacing w:line="360" w:lineRule="auto"/>
        <w:rPr>
          <w:rFonts w:hint="eastAsia" w:ascii="宋体" w:hAnsi="宋体" w:eastAsia="宋体" w:cs="宋体"/>
          <w:bCs/>
          <w:sz w:val="22"/>
          <w:szCs w:val="21"/>
          <w:highlight w:val="none"/>
          <w:u w:val="single"/>
        </w:rPr>
      </w:pPr>
      <w:r>
        <w:rPr>
          <w:rFonts w:hint="eastAsia" w:ascii="宋体" w:hAnsi="宋体" w:eastAsia="宋体" w:cs="宋体"/>
          <w:bCs/>
          <w:sz w:val="22"/>
          <w:szCs w:val="20"/>
          <w:highlight w:val="none"/>
        </w:rPr>
        <w:t>供应商名称：</w:t>
      </w:r>
      <w:r>
        <w:rPr>
          <w:rFonts w:hint="eastAsia" w:ascii="宋体" w:hAnsi="宋体" w:eastAsia="宋体" w:cs="宋体"/>
          <w:bCs/>
          <w:sz w:val="22"/>
          <w:szCs w:val="20"/>
          <w:highlight w:val="none"/>
          <w:u w:val="single"/>
        </w:rPr>
        <w:t xml:space="preserve">             </w:t>
      </w:r>
      <w:r>
        <w:rPr>
          <w:rFonts w:hint="eastAsia" w:ascii="宋体" w:hAnsi="宋体" w:eastAsia="宋体" w:cs="宋体"/>
          <w:bCs/>
          <w:sz w:val="22"/>
          <w:szCs w:val="20"/>
          <w:highlight w:val="none"/>
        </w:rPr>
        <w:t>（单位公章）                     日 期：</w:t>
      </w:r>
      <w:r>
        <w:rPr>
          <w:rFonts w:hint="eastAsia" w:ascii="宋体" w:hAnsi="宋体" w:eastAsia="宋体" w:cs="宋体"/>
          <w:bCs/>
          <w:sz w:val="22"/>
          <w:szCs w:val="21"/>
          <w:highlight w:val="none"/>
          <w:u w:val="single"/>
        </w:rPr>
        <w:t xml:space="preserve">             </w:t>
      </w:r>
    </w:p>
    <w:p w14:paraId="21FBE2BA">
      <w:pPr>
        <w:bidi w:val="0"/>
        <w:rPr>
          <w:rFonts w:hint="eastAsia"/>
        </w:rPr>
        <w:sectPr>
          <w:endnotePr>
            <w:numFmt w:val="decimal"/>
          </w:endnotePr>
          <w:pgSz w:w="11907" w:h="16840"/>
          <w:pgMar w:top="1418" w:right="992" w:bottom="1418" w:left="1418" w:header="851" w:footer="850" w:gutter="0"/>
          <w:pgNumType w:fmt="decimal"/>
          <w:cols w:space="720" w:num="1"/>
          <w:titlePg/>
        </w:sectPr>
      </w:pPr>
      <w:bookmarkStart w:id="675" w:name="_Toc492391877"/>
      <w:bookmarkStart w:id="676" w:name="_Toc497842266"/>
      <w:bookmarkStart w:id="677" w:name="_Toc18901"/>
    </w:p>
    <w:p w14:paraId="7839AE0B">
      <w:pPr>
        <w:pageBreakBefore w:val="0"/>
        <w:widowControl/>
        <w:overflowPunct/>
        <w:topLinePunct w:val="0"/>
        <w:bidi w:val="0"/>
        <w:spacing w:line="360" w:lineRule="auto"/>
        <w:jc w:val="left"/>
        <w:outlineLvl w:val="1"/>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5.</w:t>
      </w:r>
      <w:bookmarkEnd w:id="675"/>
      <w:bookmarkEnd w:id="676"/>
      <w:bookmarkEnd w:id="677"/>
      <w:r>
        <w:rPr>
          <w:rFonts w:hint="eastAsia" w:ascii="宋体" w:hAnsi="宋体" w:eastAsia="宋体" w:cs="宋体"/>
          <w:b/>
          <w:sz w:val="28"/>
          <w:szCs w:val="28"/>
          <w:highlight w:val="none"/>
          <w:lang w:eastAsia="zh-CN"/>
        </w:rPr>
        <w:t>资格证明文件</w:t>
      </w:r>
    </w:p>
    <w:p w14:paraId="5B130F40">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lang w:eastAsia="zh-CN"/>
        </w:rPr>
      </w:pPr>
      <w:bookmarkStart w:id="678" w:name="_Toc497842263"/>
      <w:bookmarkStart w:id="679" w:name="_Toc194663941"/>
      <w:bookmarkStart w:id="680" w:name="_Toc193187110"/>
      <w:bookmarkStart w:id="681" w:name="_Toc193126904"/>
      <w:bookmarkStart w:id="682" w:name="_Toc188808854"/>
      <w:bookmarkStart w:id="683" w:name="_Toc188808842"/>
      <w:bookmarkStart w:id="684" w:name="_Toc193126891"/>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1具有独立承担民事责任能力的法人、其他组织或自然人，并出具合法有效的统一社会信用代码的营业执照或事业单位法人证书等国家规定的相关证明，自然人参与的提供其身份证明。</w:t>
      </w:r>
    </w:p>
    <w:p w14:paraId="274099E3">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-2财务状况：</w:t>
      </w:r>
      <w:r>
        <w:rPr>
          <w:rFonts w:hint="eastAsia" w:ascii="宋体" w:hAnsi="宋体" w:eastAsia="宋体" w:cs="宋体"/>
          <w:i w:val="0"/>
          <w:iCs w:val="0"/>
          <w:caps w:val="0"/>
          <w:color w:val="auto"/>
          <w:spacing w:val="0"/>
          <w:sz w:val="24"/>
          <w:szCs w:val="24"/>
          <w:shd w:val="clear" w:fill="FFFFFF"/>
          <w:lang w:eastAsia="zh-CN"/>
        </w:rPr>
        <w:t>提供202</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eastAsia="zh-CN"/>
        </w:rPr>
        <w:t>年度或202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eastAsia="zh-CN"/>
        </w:rPr>
        <w:t>年度的财务审计报告（成立时间至提交投标文件截止时间不足一年的可提供成立后任意时段的资产负债表），或开标前半年内其基本存款账户开户银行出具的资信证明。</w:t>
      </w:r>
    </w:p>
    <w:p w14:paraId="46B5C6E0">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-3完税证明：</w:t>
      </w:r>
      <w:r>
        <w:rPr>
          <w:rFonts w:hint="eastAsia" w:ascii="宋体" w:hAnsi="宋体" w:eastAsia="宋体" w:cs="宋体"/>
          <w:i w:val="0"/>
          <w:iCs w:val="0"/>
          <w:caps w:val="0"/>
          <w:color w:val="auto"/>
          <w:spacing w:val="0"/>
          <w:sz w:val="24"/>
          <w:szCs w:val="24"/>
          <w:shd w:val="clear" w:fill="FFFFFF"/>
          <w:lang w:eastAsia="zh-CN"/>
        </w:rPr>
        <w:t>提供2024年7月至今已缴纳的至少三个月的纳税证明或完税证明，依法免税的单位应提供相关证明材料</w:t>
      </w:r>
      <w:r>
        <w:rPr>
          <w:rFonts w:hint="eastAsia" w:ascii="宋体" w:hAnsi="宋体" w:eastAsia="宋体" w:cs="宋体"/>
          <w:i w:val="0"/>
          <w:iCs w:val="0"/>
          <w:caps w:val="0"/>
          <w:color w:val="auto"/>
          <w:spacing w:val="0"/>
          <w:sz w:val="24"/>
          <w:szCs w:val="24"/>
          <w:shd w:val="clear" w:fill="FFFFFF"/>
        </w:rPr>
        <w:t>。</w:t>
      </w:r>
    </w:p>
    <w:p w14:paraId="483DE411">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-4社保缴纳情况：</w:t>
      </w:r>
      <w:r>
        <w:rPr>
          <w:rFonts w:hint="eastAsia" w:ascii="宋体" w:hAnsi="宋体" w:eastAsia="宋体" w:cs="宋体"/>
          <w:i w:val="0"/>
          <w:iCs w:val="0"/>
          <w:caps w:val="0"/>
          <w:color w:val="auto"/>
          <w:spacing w:val="0"/>
          <w:sz w:val="24"/>
          <w:szCs w:val="24"/>
          <w:shd w:val="clear" w:fill="FFFFFF"/>
          <w:lang w:eastAsia="zh-CN"/>
        </w:rPr>
        <w:t>提供2024年7月至今已缴存的至少三个月的社会保障资金缴存单据或社保机构开具的社会保险参保缴费情况证明，依法不需要缴纳社会保障资金的单位应提供相关证明材料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t>。</w:t>
      </w:r>
    </w:p>
    <w:p w14:paraId="79AB0AA8">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-5参加本次政府采购活动前三年内，在经营活动中没有重大违法记录声明。</w:t>
      </w:r>
    </w:p>
    <w:p w14:paraId="01ED8ABB">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-6提供具有履行合同所必需的设备和专业技术能力的承诺函（格式自拟）。</w:t>
      </w:r>
    </w:p>
    <w:p w14:paraId="6CC6FD04">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-7法定代表人授权书及被授权人身份证</w:t>
      </w:r>
      <w:r>
        <w:rPr>
          <w:rFonts w:hint="eastAsia" w:ascii="宋体" w:hAnsi="宋体" w:eastAsia="宋体" w:cs="宋体"/>
          <w:i w:val="0"/>
          <w:iCs w:val="0"/>
          <w:caps w:val="0"/>
          <w:color w:val="auto"/>
          <w:spacing w:val="0"/>
          <w:sz w:val="24"/>
          <w:szCs w:val="24"/>
          <w:shd w:val="clear" w:fill="FFFFFF"/>
          <w:lang w:eastAsia="zh-CN"/>
        </w:rPr>
        <w:t>复印件加盖公章</w:t>
      </w:r>
      <w:r>
        <w:rPr>
          <w:rFonts w:hint="eastAsia" w:ascii="宋体" w:hAnsi="宋体" w:eastAsia="宋体" w:cs="宋体"/>
          <w:i w:val="0"/>
          <w:iCs w:val="0"/>
          <w:caps w:val="0"/>
          <w:color w:val="auto"/>
          <w:spacing w:val="0"/>
          <w:sz w:val="24"/>
          <w:szCs w:val="24"/>
          <w:shd w:val="clear" w:fill="FFFFFF"/>
        </w:rPr>
        <w:t>（法定代表人直接参加投标须出具法定代表人证明书及法定代表人身份证</w:t>
      </w:r>
      <w:r>
        <w:rPr>
          <w:rFonts w:hint="eastAsia" w:ascii="宋体" w:hAnsi="宋体" w:eastAsia="宋体" w:cs="宋体"/>
          <w:i w:val="0"/>
          <w:iCs w:val="0"/>
          <w:caps w:val="0"/>
          <w:color w:val="auto"/>
          <w:spacing w:val="0"/>
          <w:sz w:val="24"/>
          <w:szCs w:val="24"/>
          <w:shd w:val="clear" w:fill="FFFFFF"/>
          <w:lang w:eastAsia="zh-CN"/>
        </w:rPr>
        <w:t>复印件加盖公章</w:t>
      </w:r>
      <w:r>
        <w:rPr>
          <w:rFonts w:hint="eastAsia" w:ascii="宋体" w:hAnsi="宋体" w:eastAsia="宋体" w:cs="宋体"/>
          <w:i w:val="0"/>
          <w:iCs w:val="0"/>
          <w:caps w:val="0"/>
          <w:color w:val="auto"/>
          <w:spacing w:val="0"/>
          <w:sz w:val="24"/>
          <w:szCs w:val="24"/>
          <w:shd w:val="clear" w:fill="FFFFFF"/>
        </w:rPr>
        <w:t>）。</w:t>
      </w:r>
    </w:p>
    <w:p w14:paraId="7DB2FA94">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left"/>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-8</w:t>
      </w:r>
      <w:r>
        <w:rPr>
          <w:rFonts w:hint="eastAsia" w:ascii="宋体" w:hAnsi="宋体" w:eastAsia="宋体" w:cs="宋体"/>
          <w:i w:val="0"/>
          <w:iCs w:val="0"/>
          <w:caps w:val="0"/>
          <w:color w:val="auto"/>
          <w:spacing w:val="0"/>
          <w:sz w:val="24"/>
          <w:szCs w:val="24"/>
          <w:shd w:val="clear" w:fill="FFFFFF"/>
          <w:lang w:eastAsia="zh-CN"/>
        </w:rPr>
        <w:t>供应商不得为“信用中国”网站（www.creditchina.gov.cn）中重大税收违法失信主体的供应商；不得为“中国执行信息公开网”网站（court.gov.cn）中失信被执行人；不</w:t>
      </w:r>
      <w:r>
        <w:rPr>
          <w:rFonts w:hint="eastAsia" w:ascii="宋体" w:hAnsi="宋体" w:eastAsia="宋体" w:cs="宋体"/>
          <w:i w:val="0"/>
          <w:iCs w:val="0"/>
          <w:caps w:val="0"/>
          <w:color w:val="auto"/>
          <w:spacing w:val="0"/>
          <w:sz w:val="24"/>
          <w:szCs w:val="24"/>
          <w:shd w:val="clear" w:fill="FFFFFF"/>
          <w:lang w:val="en-US" w:eastAsia="zh-CN"/>
        </w:rPr>
        <w:t>得为中国政府采购网（www.ccgp.gov.cn）政府采购严重违法失信行为记录名单中被财政部门禁止参加政府采购活动的供应商。</w:t>
      </w:r>
    </w:p>
    <w:p w14:paraId="6F6D3F4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5-9供应商须具备建设行政主管部门核发的建筑工程施工总承包三级（含三级）及以上资质， 并且具备有效的安全生产许可证。</w:t>
      </w:r>
    </w:p>
    <w:p w14:paraId="0A71F61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5-10拟派项目经理须具备建筑工程专业注册二级（含二级）及以上注册建造师执业资格证， 提供有效的安全生产考核 B证，在本单位注册且无在建证明（提供无在建项目承诺书）。 </w:t>
      </w:r>
    </w:p>
    <w:p w14:paraId="3ECABF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11投标担保：</w:t>
      </w:r>
      <w:r>
        <w:rPr>
          <w:rFonts w:hint="eastAsia" w:ascii="宋体" w:hAnsi="宋体" w:eastAsia="宋体" w:cs="宋体"/>
          <w:i w:val="0"/>
          <w:iCs w:val="0"/>
          <w:caps w:val="0"/>
          <w:color w:val="auto"/>
          <w:spacing w:val="0"/>
          <w:sz w:val="24"/>
          <w:szCs w:val="24"/>
          <w:highlight w:val="none"/>
          <w:shd w:val="clear" w:fill="FFFFFF"/>
        </w:rPr>
        <w:t>投标保证金交纳凭证银行汇（存）款回执单（复印件须加盖供应商公章）或投标担保函。</w:t>
      </w:r>
    </w:p>
    <w:p w14:paraId="046737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lang w:eastAsia="zh-CN"/>
        </w:rPr>
        <w:t>本项目为专门面向中小企业（提供声明）</w:t>
      </w:r>
      <w:r>
        <w:rPr>
          <w:rFonts w:hint="eastAsia" w:ascii="宋体" w:hAnsi="宋体" w:eastAsia="宋体" w:cs="宋体"/>
          <w:i w:val="0"/>
          <w:iCs w:val="0"/>
          <w:caps w:val="0"/>
          <w:color w:val="auto"/>
          <w:spacing w:val="0"/>
          <w:sz w:val="24"/>
          <w:szCs w:val="24"/>
          <w:highlight w:val="none"/>
          <w:shd w:val="clear" w:fill="FFFFFF"/>
        </w:rPr>
        <w:t>。</w:t>
      </w:r>
    </w:p>
    <w:p w14:paraId="1D957B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eastAsia="zh-CN"/>
        </w:rPr>
        <w:t>本项目不接受联合体磋商（提供声明）</w:t>
      </w:r>
      <w:r>
        <w:rPr>
          <w:rFonts w:hint="eastAsia" w:ascii="宋体" w:hAnsi="宋体" w:eastAsia="宋体" w:cs="宋体"/>
          <w:i w:val="0"/>
          <w:iCs w:val="0"/>
          <w:caps w:val="0"/>
          <w:color w:val="auto"/>
          <w:spacing w:val="0"/>
          <w:sz w:val="24"/>
          <w:szCs w:val="24"/>
          <w:shd w:val="clear" w:fill="FFFFFF"/>
        </w:rPr>
        <w:t>。</w:t>
      </w:r>
    </w:p>
    <w:p w14:paraId="6EF9C34D">
      <w:pPr>
        <w:pageBreakBefore w:val="0"/>
        <w:kinsoku/>
        <w:overflowPunct/>
        <w:topLinePunct w:val="0"/>
        <w:bidi w:val="0"/>
        <w:spacing w:line="360" w:lineRule="auto"/>
        <w:ind w:firstLine="480" w:firstLineChars="200"/>
        <w:jc w:val="both"/>
        <w:textAlignment w:val="auto"/>
        <w:rPr>
          <w:rFonts w:hint="eastAsia" w:ascii="宋体" w:hAnsi="宋体" w:eastAsia="宋体" w:cs="宋体"/>
          <w:sz w:val="24"/>
          <w:szCs w:val="21"/>
          <w:highlight w:val="none"/>
          <w:lang w:val="en-US" w:eastAsia="zh-CN"/>
        </w:rPr>
      </w:pPr>
    </w:p>
    <w:p w14:paraId="12C6E26B">
      <w:pPr>
        <w:bidi w:val="0"/>
        <w:rPr>
          <w:rFonts w:hint="eastAsia"/>
          <w:b/>
          <w:bCs/>
          <w:sz w:val="24"/>
          <w:szCs w:val="24"/>
          <w:lang w:val="en-US" w:eastAsia="zh-CN"/>
        </w:rPr>
      </w:pPr>
      <w:r>
        <w:rPr>
          <w:rFonts w:hint="eastAsia"/>
          <w:b/>
          <w:bCs/>
          <w:sz w:val="24"/>
          <w:szCs w:val="24"/>
          <w:lang w:eastAsia="zh-CN"/>
        </w:rPr>
        <w:t>附</w:t>
      </w:r>
      <w:r>
        <w:rPr>
          <w:rFonts w:hint="eastAsia"/>
          <w:b/>
          <w:bCs/>
          <w:sz w:val="24"/>
          <w:szCs w:val="24"/>
          <w:lang w:val="en-US" w:eastAsia="zh-CN"/>
        </w:rPr>
        <w:t xml:space="preserve"> </w:t>
      </w:r>
      <w:r>
        <w:rPr>
          <w:rFonts w:hint="eastAsia"/>
          <w:b/>
          <w:bCs/>
          <w:sz w:val="24"/>
          <w:szCs w:val="24"/>
          <w:lang w:eastAsia="zh-CN"/>
        </w:rPr>
        <w:t>件</w:t>
      </w:r>
      <w:r>
        <w:rPr>
          <w:rFonts w:hint="eastAsia"/>
          <w:b/>
          <w:bCs/>
          <w:sz w:val="24"/>
          <w:szCs w:val="24"/>
          <w:lang w:val="en-US" w:eastAsia="zh-CN"/>
        </w:rPr>
        <w:t xml:space="preserve">  </w:t>
      </w:r>
    </w:p>
    <w:p w14:paraId="1BE8CFC1">
      <w:pPr>
        <w:bidi w:val="0"/>
        <w:spacing w:line="360" w:lineRule="auto"/>
        <w:jc w:val="center"/>
        <w:rPr>
          <w:rFonts w:hint="default" w:cs="Times New Roman"/>
          <w:b/>
          <w:bCs/>
          <w:sz w:val="24"/>
          <w:szCs w:val="24"/>
          <w:lang w:val="en-US" w:eastAsia="zh-CN"/>
        </w:rPr>
      </w:pPr>
      <w:r>
        <w:rPr>
          <w:rFonts w:hint="eastAsia" w:cs="Times New Roman"/>
          <w:b/>
          <w:bCs/>
          <w:sz w:val="24"/>
          <w:szCs w:val="24"/>
          <w:lang w:eastAsia="zh-CN"/>
        </w:rPr>
        <w:t>投标担保函</w:t>
      </w:r>
      <w:r>
        <w:rPr>
          <w:rFonts w:hint="eastAsia" w:cs="Times New Roman"/>
          <w:b/>
          <w:bCs/>
          <w:sz w:val="24"/>
          <w:szCs w:val="24"/>
          <w:lang w:val="en-US" w:eastAsia="zh-CN"/>
        </w:rPr>
        <w:t xml:space="preserve">  （格式）</w:t>
      </w:r>
    </w:p>
    <w:p w14:paraId="6F7AA37B">
      <w:pPr>
        <w:keepNext w:val="0"/>
        <w:keepLines w:val="0"/>
        <w:pageBreakBefore w:val="0"/>
        <w:widowControl/>
        <w:shd w:val="clear"/>
        <w:kinsoku/>
        <w:wordWrap/>
        <w:overflowPunct/>
        <w:topLinePunct w:val="0"/>
        <w:autoSpaceDE/>
        <w:autoSpaceDN/>
        <w:bidi w:val="0"/>
        <w:adjustRightInd/>
        <w:snapToGrid w:val="0"/>
        <w:spacing w:before="100" w:beforeAutospacing="1" w:after="100" w:afterAutospacing="1"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（适用于保证金保函）</w:t>
      </w:r>
    </w:p>
    <w:p w14:paraId="37CF863A">
      <w:pPr>
        <w:keepNext w:val="0"/>
        <w:keepLines w:val="0"/>
        <w:pageBreakBefore w:val="0"/>
        <w:shd w:val="clear"/>
        <w:kinsoku/>
        <w:wordWrap/>
        <w:overflowPunct/>
        <w:topLinePunct w:val="0"/>
        <w:autoSpaceDE/>
        <w:autoSpaceDN/>
        <w:bidi w:val="0"/>
        <w:adjustRightInd/>
        <w:snapToGrid w:val="0"/>
        <w:spacing w:line="360" w:lineRule="auto"/>
        <w:ind w:right="48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保函编号:</w:t>
      </w:r>
    </w:p>
    <w:p w14:paraId="31F58548">
      <w:pPr>
        <w:keepNext w:val="0"/>
        <w:keepLines w:val="0"/>
        <w:pageBreakBefore w:val="0"/>
        <w:shd w:val="clear"/>
        <w:kinsoku/>
        <w:wordWrap/>
        <w:overflowPunct/>
        <w:topLinePunct w:val="0"/>
        <w:autoSpaceDE/>
        <w:autoSpaceDN/>
        <w:bidi w:val="0"/>
        <w:adjustRightInd/>
        <w:snapToGrid w:val="0"/>
        <w:spacing w:line="360" w:lineRule="auto"/>
        <w:ind w:right="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eastAsia="zh-CN"/>
        </w:rPr>
        <w:t xml:space="preserve">陕西建政项目管理有限公司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(下称受益人)</w:t>
      </w:r>
    </w:p>
    <w:p w14:paraId="2E7E8B67">
      <w:pPr>
        <w:pageBreakBefore w:val="0"/>
        <w:shd w:val="clear"/>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鉴于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(下称被保证人)将于</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参加贵方</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,我方接受被保证人的委托,在此向受益人提供不可撤销的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保证：</w:t>
      </w:r>
    </w:p>
    <w:p w14:paraId="5CC88091">
      <w:pPr>
        <w:pageBreakBefore w:val="0"/>
        <w:numPr>
          <w:ilvl w:val="0"/>
          <w:numId w:val="3"/>
        </w:numPr>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本保证担保的担保金额为</w:t>
      </w:r>
      <w:r>
        <w:rPr>
          <w:rFonts w:hint="eastAsia" w:ascii="宋体" w:hAnsi="宋体" w:eastAsia="宋体" w:cs="宋体"/>
          <w:color w:val="auto"/>
          <w:sz w:val="24"/>
          <w:szCs w:val="24"/>
          <w:highlight w:val="none"/>
          <w:u w:val="single"/>
        </w:rPr>
        <w:t>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(币种</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元(小写)</w:t>
      </w:r>
      <w:r>
        <w:rPr>
          <w:rFonts w:hint="eastAsia" w:ascii="宋体" w:hAnsi="宋体" w:eastAsia="宋体" w:cs="宋体"/>
          <w:color w:val="auto"/>
          <w:sz w:val="24"/>
          <w:szCs w:val="24"/>
          <w:highlight w:val="none"/>
          <w:u w:val="single"/>
        </w:rPr>
        <w:t xml:space="preserve">     元整</w:t>
      </w:r>
      <w:r>
        <w:rPr>
          <w:rFonts w:hint="eastAsia" w:ascii="宋体" w:hAnsi="宋体" w:eastAsia="宋体" w:cs="宋体"/>
          <w:color w:val="auto"/>
          <w:sz w:val="24"/>
          <w:szCs w:val="24"/>
          <w:highlight w:val="none"/>
        </w:rPr>
        <w:t>(大写）。</w:t>
      </w:r>
    </w:p>
    <w:p w14:paraId="2D36A19B">
      <w:pPr>
        <w:pageBreakBefore w:val="0"/>
        <w:numPr>
          <w:ilvl w:val="0"/>
          <w:numId w:val="0"/>
        </w:numPr>
        <w:shd w:val="clear"/>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二、本保证担保的保证期间为</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的有效期(或延长的有效期),延长有效期无须通知我方。</w:t>
      </w:r>
    </w:p>
    <w:p w14:paraId="69AA67CB">
      <w:pPr>
        <w:pageBreakBefore w:val="0"/>
        <w:numPr>
          <w:ilvl w:val="0"/>
          <w:numId w:val="0"/>
        </w:numPr>
        <w:shd w:val="clear"/>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三、在本保证担保的保证期间内,如果被保证人出现下列情形之一,受益人可以向我方提起索赔：</w:t>
      </w:r>
    </w:p>
    <w:p w14:paraId="5D9726A7">
      <w:pPr>
        <w:pageBreakBefore w:val="0"/>
        <w:numPr>
          <w:ilvl w:val="0"/>
          <w:numId w:val="0"/>
        </w:numPr>
        <w:shd w:val="clear"/>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1.被保证人在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有效期内撤回其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p>
    <w:p w14:paraId="134ACD98">
      <w:pPr>
        <w:pageBreakBefore w:val="0"/>
        <w:numPr>
          <w:ilvl w:val="0"/>
          <w:numId w:val="0"/>
        </w:numPr>
        <w:shd w:val="clear"/>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2.被保证人在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有效期内收到受益人发出的</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通知书后,不能或拒绝按</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文件的要求签署合同；</w:t>
      </w:r>
    </w:p>
    <w:p w14:paraId="02EADA54">
      <w:pPr>
        <w:pageBreakBefore w:val="0"/>
        <w:numPr>
          <w:ilvl w:val="0"/>
          <w:numId w:val="0"/>
        </w:numPr>
        <w:shd w:val="clear"/>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3.被保证人在有效期内收到受益人发出的</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通知书后,不能或拒绝按</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文件的规定提交履约担保；</w:t>
      </w:r>
    </w:p>
    <w:p w14:paraId="4B306309">
      <w:pPr>
        <w:pageBreakBefore w:val="0"/>
        <w:numPr>
          <w:ilvl w:val="0"/>
          <w:numId w:val="0"/>
        </w:numPr>
        <w:shd w:val="clear"/>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4.被保证人成交后未按照</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文件规定交纳代理服务费。</w:t>
      </w:r>
    </w:p>
    <w:p w14:paraId="57D79088">
      <w:pPr>
        <w:pageBreakBefore w:val="0"/>
        <w:numPr>
          <w:ilvl w:val="0"/>
          <w:numId w:val="0"/>
        </w:numPr>
        <w:shd w:val="clear"/>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四、在本保证担保的保证期间内,我方收到受益人经法定代表人或其授权委托代理人签字并加盖公章的书面索赔通知后,将不争辩、不挑剔、不可撤销地立即向受益人支付本保证担保的担保金额。</w:t>
      </w:r>
    </w:p>
    <w:p w14:paraId="0F3E9C34">
      <w:pPr>
        <w:pageBreakBefore w:val="0"/>
        <w:numPr>
          <w:ilvl w:val="0"/>
          <w:numId w:val="0"/>
        </w:numPr>
        <w:shd w:val="clear"/>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五、受益人的索赔通知应当说明索赔理由,并必须在本保证担保的保证期间内送达我方。</w:t>
      </w:r>
    </w:p>
    <w:p w14:paraId="07486342">
      <w:pPr>
        <w:pageBreakBefore w:val="0"/>
        <w:numPr>
          <w:ilvl w:val="0"/>
          <w:numId w:val="0"/>
        </w:numPr>
        <w:shd w:val="clear"/>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六、本保证担保项下的权利不得转让。</w:t>
      </w:r>
    </w:p>
    <w:p w14:paraId="067E0D3D">
      <w:pPr>
        <w:pageBreakBefore w:val="0"/>
        <w:numPr>
          <w:ilvl w:val="0"/>
          <w:numId w:val="0"/>
        </w:numPr>
        <w:shd w:val="clear"/>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七、本保证担保的保证期间届满,或我方已向受益人支付本保证担保的担保金额,我方的保证责任免除。</w:t>
      </w:r>
    </w:p>
    <w:p w14:paraId="7D9A6CE9">
      <w:pPr>
        <w:pageBreakBefore w:val="0"/>
        <w:numPr>
          <w:ilvl w:val="0"/>
          <w:numId w:val="0"/>
        </w:numPr>
        <w:shd w:val="clear"/>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八、本保证担保适用中华人民共和国法律。</w:t>
      </w:r>
    </w:p>
    <w:p w14:paraId="06B12303">
      <w:pPr>
        <w:pageBreakBefore w:val="0"/>
        <w:numPr>
          <w:ilvl w:val="0"/>
          <w:numId w:val="0"/>
        </w:numPr>
        <w:shd w:val="clear"/>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九、本保证担保以中文文本为准,涂改无效。</w:t>
      </w:r>
    </w:p>
    <w:p w14:paraId="7FF2E373">
      <w:pPr>
        <w:pageBreakBefore w:val="0"/>
        <w:shd w:val="clea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p>
    <w:p w14:paraId="1A5AA9B8">
      <w:pPr>
        <w:pageBreakBefore w:val="0"/>
        <w:shd w:val="clea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保证人(盖章):</w:t>
      </w:r>
      <w:r>
        <w:rPr>
          <w:rFonts w:hint="eastAsia" w:ascii="宋体" w:hAnsi="宋体" w:eastAsia="宋体" w:cs="宋体"/>
          <w:color w:val="auto"/>
          <w:sz w:val="24"/>
          <w:szCs w:val="24"/>
          <w:highlight w:val="none"/>
          <w:u w:val="single"/>
        </w:rPr>
        <w:t xml:space="preserve">     </w:t>
      </w:r>
    </w:p>
    <w:p w14:paraId="449DB234">
      <w:pPr>
        <w:pageBreakBefore w:val="0"/>
        <w:shd w:val="clea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法定代表人或其授权委托代理人(签字或盖章）： </w:t>
      </w:r>
      <w:r>
        <w:rPr>
          <w:rFonts w:hint="eastAsia" w:ascii="宋体" w:hAnsi="宋体" w:eastAsia="宋体" w:cs="宋体"/>
          <w:color w:val="auto"/>
          <w:sz w:val="24"/>
          <w:szCs w:val="24"/>
          <w:highlight w:val="none"/>
          <w:u w:val="single"/>
        </w:rPr>
        <w:t xml:space="preserve">               </w:t>
      </w:r>
    </w:p>
    <w:p w14:paraId="0612F74E">
      <w:pPr>
        <w:pageBreakBefore w:val="0"/>
        <w:shd w:val="clea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u w:val="single"/>
        </w:rPr>
        <w:t xml:space="preserve">     </w:t>
      </w:r>
    </w:p>
    <w:p w14:paraId="17CCE869">
      <w:pPr>
        <w:pageBreakBefore w:val="0"/>
        <w:shd w:val="clea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p>
    <w:p w14:paraId="767143C9">
      <w:pPr>
        <w:pageBreakBefore w:val="0"/>
        <w:shd w:val="clea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654B0000">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8"/>
          <w:szCs w:val="28"/>
          <w:highlight w:val="none"/>
          <w:lang w:eastAsia="zh-CN"/>
        </w:rPr>
      </w:pPr>
      <w:r>
        <w:rPr>
          <w:rFonts w:hint="eastAsia" w:ascii="宋体" w:hAnsi="宋体" w:eastAsia="宋体" w:cs="宋体"/>
          <w:b/>
          <w:bCs/>
          <w:sz w:val="28"/>
          <w:szCs w:val="28"/>
          <w:highlight w:val="none"/>
        </w:rPr>
        <w:br w:type="page"/>
      </w:r>
      <w:bookmarkEnd w:id="678"/>
    </w:p>
    <w:p w14:paraId="2B97E99D">
      <w:pPr>
        <w:pStyle w:val="4"/>
        <w:pageBreakBefore w:val="0"/>
        <w:kinsoku/>
        <w:wordWrap/>
        <w:overflowPunct/>
        <w:topLinePunct w:val="0"/>
        <w:bidi w:val="0"/>
        <w:spacing w:line="360" w:lineRule="auto"/>
        <w:rPr>
          <w:rFonts w:hint="eastAsia" w:asciiTheme="minorEastAsia" w:hAnsiTheme="minorEastAsia" w:eastAsiaTheme="minorEastAsia" w:cstheme="minorEastAsia"/>
          <w:sz w:val="28"/>
          <w:szCs w:val="28"/>
          <w:highlight w:val="none"/>
          <w:lang w:eastAsia="zh-CN"/>
        </w:rPr>
      </w:pPr>
      <w:bookmarkStart w:id="685" w:name="_Toc31803"/>
      <w:bookmarkStart w:id="686" w:name="_Toc497842264"/>
      <w:bookmarkStart w:id="687" w:name="_Toc19114"/>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w:t>
      </w:r>
      <w:bookmarkEnd w:id="685"/>
      <w:bookmarkEnd w:id="686"/>
      <w:bookmarkEnd w:id="687"/>
      <w:r>
        <w:rPr>
          <w:rFonts w:hint="eastAsia" w:asciiTheme="minorEastAsia" w:hAnsiTheme="minorEastAsia" w:eastAsiaTheme="minorEastAsia" w:cstheme="minorEastAsia"/>
          <w:sz w:val="28"/>
          <w:szCs w:val="28"/>
          <w:highlight w:val="none"/>
          <w:lang w:eastAsia="zh-CN"/>
        </w:rPr>
        <w:t>技术方案（包含但不限于以下内容）</w:t>
      </w:r>
    </w:p>
    <w:p w14:paraId="7AFA24B7">
      <w:pPr>
        <w:pageBreakBefore w:val="0"/>
        <w:overflowPunct/>
        <w:topLinePunct w:val="0"/>
        <w:bidi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1主要技术、管理人员的配备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根据响应程度计</w:t>
      </w:r>
      <w:r>
        <w:rPr>
          <w:rFonts w:hint="eastAsia" w:ascii="宋体" w:hAnsi="宋体" w:eastAsia="宋体" w:cs="宋体"/>
          <w:sz w:val="24"/>
          <w:szCs w:val="24"/>
          <w:highlight w:val="none"/>
          <w:lang w:eastAsia="zh-CN"/>
        </w:rPr>
        <w:t>；</w:t>
      </w:r>
    </w:p>
    <w:p w14:paraId="3B378124">
      <w:pPr>
        <w:pageBreakBefore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2施工方案根据响应程度计；</w:t>
      </w:r>
    </w:p>
    <w:p w14:paraId="14E2A524">
      <w:pPr>
        <w:pageBreakBefore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3确保工期的技术组织措施根据响应程度计；</w:t>
      </w:r>
    </w:p>
    <w:p w14:paraId="75E9D61F">
      <w:pPr>
        <w:pageBreakBefore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4确保工程质量的技术措施根据响应程度计；</w:t>
      </w:r>
    </w:p>
    <w:p w14:paraId="6DACBFED">
      <w:pPr>
        <w:pageBreakBefore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5确保安全生产的技术组织措施根据响应程度计；</w:t>
      </w:r>
    </w:p>
    <w:p w14:paraId="2C55C909">
      <w:pPr>
        <w:pageBreakBefore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6文明施工措施及环境保护措施的合理性、科学性根据响应程度计；</w:t>
      </w:r>
    </w:p>
    <w:p w14:paraId="14063790">
      <w:pPr>
        <w:pageBreakBefore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7主要机具、设备和劳动力的配置根据响应程度计；</w:t>
      </w:r>
    </w:p>
    <w:p w14:paraId="6601DD45">
      <w:pPr>
        <w:pageBreakBefore w:val="0"/>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8进度计划和工期目标根据响应程度计；</w:t>
      </w:r>
    </w:p>
    <w:p w14:paraId="784ECFEE">
      <w:pPr>
        <w:rPr>
          <w:rStyle w:val="56"/>
          <w:rFonts w:ascii="宋体" w:hAnsi="宋体" w:eastAsia="宋体"/>
          <w:b/>
          <w:kern w:val="2"/>
          <w:sz w:val="28"/>
          <w:szCs w:val="28"/>
          <w:highlight w:val="none"/>
          <w:lang w:val="en-US" w:eastAsia="zh-CN" w:bidi="ar-SA"/>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9采用新技术、新工艺对提高质量、缩短工期、降低造价等的可行性根据响应程度计</w:t>
      </w:r>
      <w:r>
        <w:rPr>
          <w:rFonts w:hint="eastAsia" w:ascii="宋体" w:hAnsi="宋体" w:eastAsia="宋体" w:cs="宋体"/>
          <w:sz w:val="24"/>
          <w:szCs w:val="24"/>
          <w:highlight w:val="none"/>
          <w:lang w:eastAsia="zh-CN"/>
        </w:rPr>
        <w:t>。</w:t>
      </w:r>
      <w:r>
        <w:rPr>
          <w:rStyle w:val="56"/>
          <w:rFonts w:ascii="宋体" w:hAnsi="宋体" w:eastAsia="宋体"/>
          <w:b/>
          <w:kern w:val="2"/>
          <w:sz w:val="28"/>
          <w:szCs w:val="28"/>
          <w:highlight w:val="none"/>
          <w:lang w:val="en-US" w:eastAsia="zh-CN" w:bidi="ar-SA"/>
        </w:rPr>
        <w:br w:type="page"/>
      </w:r>
    </w:p>
    <w:p w14:paraId="0A86AC97">
      <w:pPr>
        <w:pStyle w:val="13"/>
        <w:pageBreakBefore w:val="0"/>
        <w:kinsoku/>
        <w:wordWrap/>
        <w:overflowPunct/>
        <w:topLinePunct w:val="0"/>
        <w:bidi w:val="0"/>
        <w:spacing w:line="360" w:lineRule="auto"/>
        <w:ind w:left="0" w:leftChars="0" w:firstLine="0" w:firstLineChars="0"/>
        <w:jc w:val="both"/>
        <w:textAlignment w:val="auto"/>
        <w:rPr>
          <w:rStyle w:val="56"/>
          <w:rFonts w:ascii="宋体" w:hAnsi="宋体" w:eastAsia="宋体"/>
          <w:b/>
          <w:kern w:val="2"/>
          <w:sz w:val="24"/>
          <w:szCs w:val="24"/>
          <w:highlight w:val="none"/>
          <w:lang w:val="en-US" w:eastAsia="zh-CN" w:bidi="ar-SA"/>
        </w:rPr>
      </w:pPr>
      <w:r>
        <w:rPr>
          <w:rStyle w:val="56"/>
          <w:rFonts w:ascii="宋体" w:hAnsi="宋体" w:eastAsia="宋体"/>
          <w:b/>
          <w:kern w:val="2"/>
          <w:sz w:val="24"/>
          <w:szCs w:val="24"/>
          <w:highlight w:val="none"/>
          <w:lang w:val="en-US" w:eastAsia="zh-CN" w:bidi="ar-SA"/>
        </w:rPr>
        <w:t>附表</w:t>
      </w:r>
    </w:p>
    <w:p w14:paraId="740520E6">
      <w:pPr>
        <w:bidi w:val="0"/>
        <w:spacing w:line="360" w:lineRule="auto"/>
        <w:jc w:val="center"/>
        <w:rPr>
          <w:b/>
          <w:bCs/>
          <w:sz w:val="24"/>
          <w:szCs w:val="24"/>
          <w:lang w:val="en-US" w:eastAsia="zh-CN"/>
        </w:rPr>
      </w:pPr>
      <w:bookmarkStart w:id="688" w:name="_Toc24456"/>
      <w:r>
        <w:rPr>
          <w:b/>
          <w:bCs/>
          <w:sz w:val="24"/>
          <w:szCs w:val="24"/>
          <w:lang w:val="en-US" w:eastAsia="zh-CN"/>
        </w:rPr>
        <w:t>拟在本合同工程任职的主要人员简历表</w:t>
      </w:r>
      <w:bookmarkEnd w:id="688"/>
    </w:p>
    <w:tbl>
      <w:tblPr>
        <w:tblStyle w:val="22"/>
        <w:tblW w:w="976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49"/>
        <w:gridCol w:w="379"/>
        <w:gridCol w:w="1248"/>
        <w:gridCol w:w="1627"/>
        <w:gridCol w:w="721"/>
        <w:gridCol w:w="906"/>
        <w:gridCol w:w="608"/>
        <w:gridCol w:w="1122"/>
        <w:gridCol w:w="203"/>
        <w:gridCol w:w="1325"/>
      </w:tblGrid>
      <w:tr w14:paraId="7A9ADC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90" w:hRule="atLeast"/>
          <w:jc w:val="center"/>
        </w:trPr>
        <w:tc>
          <w:tcPr>
            <w:tcW w:w="1629" w:type="dxa"/>
            <w:gridSpan w:val="2"/>
            <w:tcBorders>
              <w:top w:val="single" w:color="000000" w:sz="12" w:space="0"/>
              <w:left w:val="single" w:color="000000" w:sz="12" w:space="0"/>
              <w:bottom w:val="single" w:color="000000" w:sz="4" w:space="0"/>
              <w:right w:val="single" w:color="000000" w:sz="4" w:space="0"/>
            </w:tcBorders>
            <w:noWrap w:val="0"/>
            <w:vAlign w:val="center"/>
          </w:tcPr>
          <w:p w14:paraId="40A1CA43">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r>
              <w:rPr>
                <w:rStyle w:val="56"/>
                <w:rFonts w:ascii="宋体" w:hAnsi="宋体" w:eastAsia="宋体"/>
                <w:kern w:val="0"/>
                <w:sz w:val="24"/>
                <w:szCs w:val="22"/>
                <w:highlight w:val="none"/>
                <w:lang w:val="en-US" w:eastAsia="zh-CN" w:bidi="ar-SA"/>
              </w:rPr>
              <w:t>姓  名</w:t>
            </w:r>
          </w:p>
        </w:tc>
        <w:tc>
          <w:tcPr>
            <w:tcW w:w="1627" w:type="dxa"/>
            <w:gridSpan w:val="2"/>
            <w:tcBorders>
              <w:top w:val="single" w:color="000000" w:sz="12" w:space="0"/>
              <w:left w:val="single" w:color="000000" w:sz="4" w:space="0"/>
              <w:bottom w:val="single" w:color="000000" w:sz="4" w:space="0"/>
              <w:right w:val="single" w:color="000000" w:sz="4" w:space="0"/>
            </w:tcBorders>
            <w:noWrap w:val="0"/>
            <w:vAlign w:val="center"/>
          </w:tcPr>
          <w:p w14:paraId="6CCEE536">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p>
        </w:tc>
        <w:tc>
          <w:tcPr>
            <w:tcW w:w="1627" w:type="dxa"/>
            <w:tcBorders>
              <w:top w:val="single" w:color="000000" w:sz="12" w:space="0"/>
              <w:left w:val="single" w:color="000000" w:sz="4" w:space="0"/>
              <w:bottom w:val="single" w:color="000000" w:sz="4" w:space="0"/>
              <w:right w:val="single" w:color="000000" w:sz="4" w:space="0"/>
            </w:tcBorders>
            <w:noWrap w:val="0"/>
            <w:vAlign w:val="center"/>
          </w:tcPr>
          <w:p w14:paraId="5128CD39">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r>
              <w:rPr>
                <w:rStyle w:val="56"/>
                <w:rFonts w:ascii="宋体" w:hAnsi="宋体" w:eastAsia="宋体"/>
                <w:kern w:val="0"/>
                <w:sz w:val="24"/>
                <w:szCs w:val="22"/>
                <w:highlight w:val="none"/>
                <w:lang w:val="en-US" w:eastAsia="zh-CN" w:bidi="ar-SA"/>
              </w:rPr>
              <w:t>年  龄</w:t>
            </w:r>
          </w:p>
        </w:tc>
        <w:tc>
          <w:tcPr>
            <w:tcW w:w="1627" w:type="dxa"/>
            <w:gridSpan w:val="2"/>
            <w:tcBorders>
              <w:top w:val="single" w:color="000000" w:sz="12" w:space="0"/>
              <w:left w:val="single" w:color="000000" w:sz="4" w:space="0"/>
              <w:bottom w:val="single" w:color="000000" w:sz="4" w:space="0"/>
              <w:right w:val="single" w:color="000000" w:sz="4" w:space="0"/>
            </w:tcBorders>
            <w:noWrap w:val="0"/>
            <w:vAlign w:val="center"/>
          </w:tcPr>
          <w:p w14:paraId="1FA74440">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p>
        </w:tc>
        <w:tc>
          <w:tcPr>
            <w:tcW w:w="1730" w:type="dxa"/>
            <w:gridSpan w:val="2"/>
            <w:tcBorders>
              <w:top w:val="single" w:color="000000" w:sz="12" w:space="0"/>
              <w:left w:val="single" w:color="000000" w:sz="4" w:space="0"/>
              <w:bottom w:val="single" w:color="000000" w:sz="4" w:space="0"/>
              <w:right w:val="single" w:color="000000" w:sz="4" w:space="0"/>
            </w:tcBorders>
            <w:noWrap w:val="0"/>
            <w:vAlign w:val="center"/>
          </w:tcPr>
          <w:p w14:paraId="535D3883">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r>
              <w:rPr>
                <w:rStyle w:val="56"/>
                <w:rFonts w:ascii="宋体" w:hAnsi="宋体" w:eastAsia="宋体"/>
                <w:kern w:val="0"/>
                <w:sz w:val="24"/>
                <w:szCs w:val="22"/>
                <w:highlight w:val="none"/>
                <w:lang w:val="en-US" w:eastAsia="zh-CN" w:bidi="ar-SA"/>
              </w:rPr>
              <w:t>专  业</w:t>
            </w:r>
          </w:p>
        </w:tc>
        <w:tc>
          <w:tcPr>
            <w:tcW w:w="1528" w:type="dxa"/>
            <w:gridSpan w:val="2"/>
            <w:tcBorders>
              <w:top w:val="single" w:color="000000" w:sz="12" w:space="0"/>
              <w:left w:val="single" w:color="000000" w:sz="4" w:space="0"/>
              <w:bottom w:val="single" w:color="000000" w:sz="4" w:space="0"/>
              <w:right w:val="single" w:color="000000" w:sz="12" w:space="0"/>
            </w:tcBorders>
            <w:noWrap w:val="0"/>
            <w:vAlign w:val="center"/>
          </w:tcPr>
          <w:p w14:paraId="1FBF55C3">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p>
        </w:tc>
      </w:tr>
      <w:tr w14:paraId="1C3D13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1629" w:type="dxa"/>
            <w:gridSpan w:val="2"/>
            <w:tcBorders>
              <w:top w:val="single" w:color="000000" w:sz="4" w:space="0"/>
              <w:left w:val="single" w:color="000000" w:sz="12" w:space="0"/>
              <w:bottom w:val="single" w:color="000000" w:sz="4" w:space="0"/>
              <w:right w:val="single" w:color="000000" w:sz="4" w:space="0"/>
            </w:tcBorders>
            <w:noWrap w:val="0"/>
            <w:vAlign w:val="center"/>
          </w:tcPr>
          <w:p w14:paraId="75117544">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r>
              <w:rPr>
                <w:rStyle w:val="56"/>
                <w:rFonts w:ascii="宋体" w:hAnsi="宋体" w:eastAsia="宋体"/>
                <w:kern w:val="0"/>
                <w:sz w:val="24"/>
                <w:szCs w:val="22"/>
                <w:highlight w:val="none"/>
                <w:lang w:val="en-US" w:eastAsia="zh-CN" w:bidi="ar-SA"/>
              </w:rPr>
              <w:t>职  称</w:t>
            </w:r>
          </w:p>
        </w:tc>
        <w:tc>
          <w:tcPr>
            <w:tcW w:w="1627" w:type="dxa"/>
            <w:gridSpan w:val="2"/>
            <w:tcBorders>
              <w:top w:val="single" w:color="000000" w:sz="4" w:space="0"/>
              <w:left w:val="single" w:color="000000" w:sz="4" w:space="0"/>
              <w:bottom w:val="single" w:color="000000" w:sz="4" w:space="0"/>
              <w:right w:val="single" w:color="000000" w:sz="4" w:space="0"/>
            </w:tcBorders>
            <w:noWrap w:val="0"/>
            <w:vAlign w:val="center"/>
          </w:tcPr>
          <w:p w14:paraId="0B42AF2C">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266245E0">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r>
              <w:rPr>
                <w:rStyle w:val="56"/>
                <w:rFonts w:ascii="宋体" w:hAnsi="宋体" w:eastAsia="宋体"/>
                <w:kern w:val="0"/>
                <w:sz w:val="24"/>
                <w:szCs w:val="22"/>
                <w:highlight w:val="none"/>
                <w:lang w:val="en-US" w:eastAsia="zh-CN" w:bidi="ar-SA"/>
              </w:rPr>
              <w:t>职  务</w:t>
            </w:r>
          </w:p>
        </w:tc>
        <w:tc>
          <w:tcPr>
            <w:tcW w:w="1627" w:type="dxa"/>
            <w:gridSpan w:val="2"/>
            <w:tcBorders>
              <w:top w:val="single" w:color="000000" w:sz="4" w:space="0"/>
              <w:left w:val="single" w:color="000000" w:sz="4" w:space="0"/>
              <w:bottom w:val="single" w:color="000000" w:sz="4" w:space="0"/>
              <w:right w:val="single" w:color="000000" w:sz="4" w:space="0"/>
            </w:tcBorders>
            <w:noWrap w:val="0"/>
            <w:vAlign w:val="center"/>
          </w:tcPr>
          <w:p w14:paraId="0230E420">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p>
        </w:tc>
        <w:tc>
          <w:tcPr>
            <w:tcW w:w="1730" w:type="dxa"/>
            <w:gridSpan w:val="2"/>
            <w:tcBorders>
              <w:top w:val="single" w:color="000000" w:sz="4" w:space="0"/>
              <w:left w:val="single" w:color="000000" w:sz="4" w:space="0"/>
              <w:bottom w:val="single" w:color="000000" w:sz="4" w:space="0"/>
              <w:right w:val="single" w:color="000000" w:sz="4" w:space="0"/>
            </w:tcBorders>
            <w:noWrap w:val="0"/>
            <w:vAlign w:val="center"/>
          </w:tcPr>
          <w:p w14:paraId="1BAD8C38">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r>
              <w:rPr>
                <w:rStyle w:val="56"/>
                <w:rFonts w:ascii="宋体" w:hAnsi="宋体" w:eastAsia="宋体"/>
                <w:kern w:val="0"/>
                <w:sz w:val="24"/>
                <w:szCs w:val="22"/>
                <w:highlight w:val="none"/>
                <w:lang w:val="en-US" w:eastAsia="zh-CN" w:bidi="ar-SA"/>
              </w:rPr>
              <w:t>拟在本合同工程担任职务</w:t>
            </w:r>
          </w:p>
        </w:tc>
        <w:tc>
          <w:tcPr>
            <w:tcW w:w="1528" w:type="dxa"/>
            <w:gridSpan w:val="2"/>
            <w:tcBorders>
              <w:top w:val="single" w:color="000000" w:sz="4" w:space="0"/>
              <w:left w:val="single" w:color="000000" w:sz="4" w:space="0"/>
              <w:bottom w:val="single" w:color="000000" w:sz="4" w:space="0"/>
              <w:right w:val="single" w:color="000000" w:sz="12" w:space="0"/>
            </w:tcBorders>
            <w:noWrap w:val="0"/>
            <w:vAlign w:val="center"/>
          </w:tcPr>
          <w:p w14:paraId="0123F12E">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p>
        </w:tc>
      </w:tr>
      <w:tr w14:paraId="5779F8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680" w:type="dxa"/>
            <w:vMerge w:val="restart"/>
            <w:tcBorders>
              <w:top w:val="single" w:color="000000" w:sz="4" w:space="0"/>
              <w:left w:val="single" w:color="000000" w:sz="12" w:space="0"/>
              <w:bottom w:val="single" w:color="000000" w:sz="4" w:space="0"/>
              <w:right w:val="single" w:color="000000" w:sz="4" w:space="0"/>
            </w:tcBorders>
            <w:noWrap w:val="0"/>
            <w:vAlign w:val="center"/>
          </w:tcPr>
          <w:p w14:paraId="7BF786E8">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r>
              <w:rPr>
                <w:rStyle w:val="56"/>
                <w:rFonts w:ascii="宋体" w:hAnsi="宋体" w:eastAsia="宋体"/>
                <w:kern w:val="0"/>
                <w:sz w:val="24"/>
                <w:szCs w:val="22"/>
                <w:highlight w:val="none"/>
                <w:lang w:val="en-US" w:eastAsia="zh-CN" w:bidi="ar-SA"/>
              </w:rPr>
              <w:t>从</w:t>
            </w:r>
          </w:p>
          <w:p w14:paraId="054460CD">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r>
              <w:rPr>
                <w:rStyle w:val="56"/>
                <w:rFonts w:ascii="宋体" w:hAnsi="宋体" w:eastAsia="宋体"/>
                <w:kern w:val="0"/>
                <w:sz w:val="24"/>
                <w:szCs w:val="22"/>
                <w:highlight w:val="none"/>
                <w:lang w:val="en-US" w:eastAsia="zh-CN" w:bidi="ar-SA"/>
              </w:rPr>
              <w:t>事</w:t>
            </w:r>
          </w:p>
          <w:p w14:paraId="62253A5F">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r>
              <w:rPr>
                <w:rStyle w:val="56"/>
                <w:rFonts w:ascii="宋体" w:hAnsi="宋体" w:eastAsia="宋体"/>
                <w:kern w:val="0"/>
                <w:sz w:val="24"/>
                <w:szCs w:val="22"/>
                <w:highlight w:val="none"/>
                <w:lang w:val="en-US" w:eastAsia="zh-CN" w:bidi="ar-SA"/>
              </w:rPr>
              <w:t>类</w:t>
            </w:r>
          </w:p>
          <w:p w14:paraId="02FB815E">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r>
              <w:rPr>
                <w:rStyle w:val="56"/>
                <w:rFonts w:ascii="宋体" w:hAnsi="宋体" w:eastAsia="宋体"/>
                <w:kern w:val="0"/>
                <w:sz w:val="24"/>
                <w:szCs w:val="22"/>
                <w:highlight w:val="none"/>
                <w:lang w:val="en-US" w:eastAsia="zh-CN" w:bidi="ar-SA"/>
              </w:rPr>
              <w:t>似</w:t>
            </w:r>
          </w:p>
          <w:p w14:paraId="348D758C">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r>
              <w:rPr>
                <w:rStyle w:val="56"/>
                <w:rFonts w:ascii="宋体" w:hAnsi="宋体" w:eastAsia="宋体"/>
                <w:kern w:val="0"/>
                <w:sz w:val="24"/>
                <w:szCs w:val="22"/>
                <w:highlight w:val="none"/>
                <w:lang w:val="en-US" w:eastAsia="zh-CN" w:bidi="ar-SA"/>
              </w:rPr>
              <w:t>工</w:t>
            </w:r>
          </w:p>
          <w:p w14:paraId="239EF2DF">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r>
              <w:rPr>
                <w:rStyle w:val="56"/>
                <w:rFonts w:ascii="宋体" w:hAnsi="宋体" w:eastAsia="宋体"/>
                <w:kern w:val="0"/>
                <w:sz w:val="24"/>
                <w:szCs w:val="22"/>
                <w:highlight w:val="none"/>
                <w:lang w:val="en-US" w:eastAsia="zh-CN" w:bidi="ar-SA"/>
              </w:rPr>
              <w:t>程</w:t>
            </w:r>
          </w:p>
          <w:p w14:paraId="0CE068F8">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r>
              <w:rPr>
                <w:rStyle w:val="56"/>
                <w:rFonts w:ascii="宋体" w:hAnsi="宋体" w:eastAsia="宋体"/>
                <w:kern w:val="0"/>
                <w:sz w:val="24"/>
                <w:szCs w:val="22"/>
                <w:highlight w:val="none"/>
                <w:lang w:val="en-US" w:eastAsia="zh-CN" w:bidi="ar-SA"/>
              </w:rPr>
              <w:t>施</w:t>
            </w:r>
          </w:p>
          <w:p w14:paraId="189C71A8">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r>
              <w:rPr>
                <w:rStyle w:val="56"/>
                <w:rFonts w:ascii="宋体" w:hAnsi="宋体" w:eastAsia="宋体"/>
                <w:kern w:val="0"/>
                <w:sz w:val="24"/>
                <w:szCs w:val="22"/>
                <w:highlight w:val="none"/>
                <w:lang w:val="en-US" w:eastAsia="zh-CN" w:bidi="ar-SA"/>
              </w:rPr>
              <w:t>工</w:t>
            </w:r>
          </w:p>
          <w:p w14:paraId="410E920E">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r>
              <w:rPr>
                <w:rStyle w:val="56"/>
                <w:rFonts w:ascii="宋体" w:hAnsi="宋体" w:eastAsia="宋体"/>
                <w:kern w:val="0"/>
                <w:sz w:val="24"/>
                <w:szCs w:val="22"/>
                <w:highlight w:val="none"/>
                <w:lang w:val="en-US" w:eastAsia="zh-CN" w:bidi="ar-SA"/>
              </w:rPr>
              <w:t>业</w:t>
            </w:r>
          </w:p>
          <w:p w14:paraId="230B527A">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r>
              <w:rPr>
                <w:rStyle w:val="56"/>
                <w:rFonts w:ascii="宋体" w:hAnsi="宋体" w:eastAsia="宋体"/>
                <w:kern w:val="0"/>
                <w:sz w:val="24"/>
                <w:szCs w:val="22"/>
                <w:highlight w:val="none"/>
                <w:lang w:val="en-US" w:eastAsia="zh-CN" w:bidi="ar-SA"/>
              </w:rPr>
              <w:t>绩</w:t>
            </w:r>
          </w:p>
        </w:tc>
        <w:tc>
          <w:tcPr>
            <w:tcW w:w="1328" w:type="dxa"/>
            <w:gridSpan w:val="2"/>
            <w:tcBorders>
              <w:top w:val="single" w:color="000000" w:sz="4" w:space="0"/>
              <w:left w:val="single" w:color="000000" w:sz="4" w:space="0"/>
              <w:bottom w:val="single" w:color="000000" w:sz="4" w:space="0"/>
              <w:right w:val="single" w:color="000000" w:sz="4" w:space="0"/>
            </w:tcBorders>
            <w:noWrap w:val="0"/>
            <w:vAlign w:val="center"/>
          </w:tcPr>
          <w:p w14:paraId="11EE442B">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r>
              <w:rPr>
                <w:rStyle w:val="56"/>
                <w:rFonts w:ascii="宋体" w:hAnsi="宋体" w:eastAsia="宋体"/>
                <w:kern w:val="0"/>
                <w:sz w:val="24"/>
                <w:szCs w:val="22"/>
                <w:highlight w:val="none"/>
                <w:lang w:val="en-US" w:eastAsia="zh-CN" w:bidi="ar-SA"/>
              </w:rPr>
              <w:t>年～年</w:t>
            </w:r>
          </w:p>
        </w:tc>
        <w:tc>
          <w:tcPr>
            <w:tcW w:w="3596" w:type="dxa"/>
            <w:gridSpan w:val="3"/>
            <w:tcBorders>
              <w:top w:val="single" w:color="000000" w:sz="4" w:space="0"/>
              <w:left w:val="single" w:color="000000" w:sz="4" w:space="0"/>
              <w:bottom w:val="single" w:color="000000" w:sz="4" w:space="0"/>
              <w:right w:val="single" w:color="000000" w:sz="4" w:space="0"/>
            </w:tcBorders>
            <w:noWrap w:val="0"/>
            <w:vAlign w:val="center"/>
          </w:tcPr>
          <w:p w14:paraId="7836CB2C">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r>
              <w:rPr>
                <w:rStyle w:val="56"/>
                <w:rFonts w:ascii="宋体" w:hAnsi="宋体" w:eastAsia="宋体"/>
                <w:kern w:val="0"/>
                <w:sz w:val="24"/>
                <w:szCs w:val="22"/>
                <w:highlight w:val="none"/>
                <w:lang w:val="en-US" w:eastAsia="zh-CN" w:bidi="ar-SA"/>
              </w:rPr>
              <w:t>参加过施工的工程项目</w:t>
            </w:r>
          </w:p>
        </w:tc>
        <w:tc>
          <w:tcPr>
            <w:tcW w:w="1514" w:type="dxa"/>
            <w:gridSpan w:val="2"/>
            <w:tcBorders>
              <w:top w:val="single" w:color="000000" w:sz="4" w:space="0"/>
              <w:left w:val="single" w:color="000000" w:sz="4" w:space="0"/>
              <w:bottom w:val="single" w:color="000000" w:sz="4" w:space="0"/>
              <w:right w:val="single" w:color="000000" w:sz="4" w:space="0"/>
            </w:tcBorders>
            <w:noWrap w:val="0"/>
            <w:vAlign w:val="center"/>
          </w:tcPr>
          <w:p w14:paraId="181F2A18">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r>
              <w:rPr>
                <w:rStyle w:val="56"/>
                <w:rFonts w:ascii="宋体" w:hAnsi="宋体" w:eastAsia="宋体"/>
                <w:kern w:val="0"/>
                <w:sz w:val="24"/>
                <w:szCs w:val="22"/>
                <w:highlight w:val="none"/>
                <w:lang w:val="en-US" w:eastAsia="zh-CN" w:bidi="ar-SA"/>
              </w:rPr>
              <w:t>担任何职</w:t>
            </w:r>
          </w:p>
        </w:tc>
        <w:tc>
          <w:tcPr>
            <w:tcW w:w="1325" w:type="dxa"/>
            <w:gridSpan w:val="2"/>
            <w:tcBorders>
              <w:top w:val="single" w:color="000000" w:sz="4" w:space="0"/>
              <w:left w:val="single" w:color="000000" w:sz="4" w:space="0"/>
              <w:bottom w:val="single" w:color="000000" w:sz="4" w:space="0"/>
              <w:right w:val="single" w:color="000000" w:sz="4" w:space="0"/>
            </w:tcBorders>
            <w:noWrap w:val="0"/>
            <w:vAlign w:val="center"/>
          </w:tcPr>
          <w:p w14:paraId="63F275B9">
            <w:pPr>
              <w:pStyle w:val="57"/>
              <w:widowControl/>
              <w:spacing w:after="0" w:line="360" w:lineRule="auto"/>
              <w:jc w:val="both"/>
              <w:textAlignment w:val="baseline"/>
              <w:rPr>
                <w:rStyle w:val="56"/>
                <w:rFonts w:ascii="宋体" w:hAnsi="宋体" w:eastAsia="宋体"/>
                <w:kern w:val="0"/>
                <w:sz w:val="24"/>
                <w:szCs w:val="22"/>
                <w:highlight w:val="none"/>
                <w:lang w:val="en-US" w:eastAsia="zh-CN" w:bidi="ar-SA"/>
              </w:rPr>
            </w:pPr>
            <w:r>
              <w:rPr>
                <w:rStyle w:val="56"/>
                <w:rFonts w:ascii="宋体" w:hAnsi="宋体" w:eastAsia="宋体"/>
                <w:kern w:val="0"/>
                <w:sz w:val="24"/>
                <w:szCs w:val="22"/>
                <w:highlight w:val="none"/>
                <w:lang w:val="en-US" w:eastAsia="zh-CN" w:bidi="ar-SA"/>
              </w:rPr>
              <w:t>工程资</w:t>
            </w:r>
          </w:p>
          <w:p w14:paraId="21BF6CF6">
            <w:pPr>
              <w:pStyle w:val="57"/>
              <w:keepNext w:val="0"/>
              <w:keepLines w:val="0"/>
              <w:pageBreakBefore w:val="0"/>
              <w:widowControl/>
              <w:kinsoku/>
              <w:wordWrap/>
              <w:overflowPunct/>
              <w:topLinePunct w:val="0"/>
              <w:autoSpaceDE/>
              <w:autoSpaceDN/>
              <w:bidi w:val="0"/>
              <w:adjustRightInd/>
              <w:snapToGrid/>
              <w:spacing w:after="0" w:line="360" w:lineRule="auto"/>
              <w:ind w:firstLine="0" w:firstLineChars="0"/>
              <w:jc w:val="both"/>
              <w:textAlignment w:val="baseline"/>
              <w:rPr>
                <w:rStyle w:val="56"/>
                <w:rFonts w:ascii="宋体" w:hAnsi="宋体" w:eastAsia="宋体"/>
                <w:kern w:val="0"/>
                <w:sz w:val="24"/>
                <w:szCs w:val="22"/>
                <w:highlight w:val="none"/>
                <w:lang w:val="en-US" w:eastAsia="zh-CN" w:bidi="ar-SA"/>
              </w:rPr>
            </w:pPr>
            <w:r>
              <w:rPr>
                <w:rStyle w:val="56"/>
                <w:rFonts w:hint="eastAsia" w:ascii="宋体" w:hAnsi="宋体"/>
                <w:kern w:val="0"/>
                <w:sz w:val="24"/>
                <w:szCs w:val="22"/>
                <w:highlight w:val="none"/>
                <w:lang w:val="en-US" w:eastAsia="zh-CN" w:bidi="ar-SA"/>
              </w:rPr>
              <w:t>（</w:t>
            </w:r>
            <w:r>
              <w:rPr>
                <w:rStyle w:val="56"/>
                <w:rFonts w:ascii="宋体" w:hAnsi="宋体" w:eastAsia="宋体"/>
                <w:kern w:val="0"/>
                <w:sz w:val="24"/>
                <w:szCs w:val="22"/>
                <w:highlight w:val="none"/>
                <w:lang w:val="en-US" w:eastAsia="zh-CN" w:bidi="ar-SA"/>
              </w:rPr>
              <w:t>万元）</w:t>
            </w:r>
          </w:p>
        </w:tc>
        <w:tc>
          <w:tcPr>
            <w:tcW w:w="1325" w:type="dxa"/>
            <w:tcBorders>
              <w:top w:val="single" w:color="000000" w:sz="4" w:space="0"/>
              <w:left w:val="single" w:color="000000" w:sz="4" w:space="0"/>
              <w:bottom w:val="single" w:color="000000" w:sz="4" w:space="0"/>
              <w:right w:val="single" w:color="000000" w:sz="12" w:space="0"/>
            </w:tcBorders>
            <w:noWrap w:val="0"/>
            <w:vAlign w:val="center"/>
          </w:tcPr>
          <w:p w14:paraId="64AA6A08">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r>
              <w:rPr>
                <w:rStyle w:val="56"/>
                <w:rFonts w:ascii="宋体" w:hAnsi="宋体" w:eastAsia="宋体"/>
                <w:kern w:val="0"/>
                <w:sz w:val="24"/>
                <w:szCs w:val="22"/>
                <w:highlight w:val="none"/>
                <w:lang w:val="en-US" w:eastAsia="zh-CN" w:bidi="ar-SA"/>
              </w:rPr>
              <w:t>质量</w:t>
            </w:r>
          </w:p>
          <w:p w14:paraId="6F3C68F8">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r>
              <w:rPr>
                <w:rStyle w:val="56"/>
                <w:rFonts w:ascii="宋体" w:hAnsi="宋体" w:eastAsia="宋体"/>
                <w:kern w:val="0"/>
                <w:sz w:val="24"/>
                <w:szCs w:val="22"/>
                <w:highlight w:val="none"/>
                <w:lang w:val="en-US" w:eastAsia="zh-CN" w:bidi="ar-SA"/>
              </w:rPr>
              <w:t>评定</w:t>
            </w:r>
          </w:p>
        </w:tc>
      </w:tr>
      <w:tr w14:paraId="31130C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94" w:hRule="atLeast"/>
          <w:jc w:val="center"/>
        </w:trPr>
        <w:tc>
          <w:tcPr>
            <w:tcW w:w="680"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47EB4715">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p>
        </w:tc>
        <w:tc>
          <w:tcPr>
            <w:tcW w:w="1328" w:type="dxa"/>
            <w:gridSpan w:val="2"/>
            <w:tcBorders>
              <w:top w:val="single" w:color="000000" w:sz="4" w:space="0"/>
              <w:left w:val="single" w:color="000000" w:sz="4" w:space="0"/>
              <w:bottom w:val="single" w:color="000000" w:sz="12" w:space="0"/>
              <w:right w:val="single" w:color="000000" w:sz="4" w:space="0"/>
            </w:tcBorders>
            <w:noWrap w:val="0"/>
            <w:vAlign w:val="center"/>
          </w:tcPr>
          <w:p w14:paraId="530EE56C">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p>
        </w:tc>
        <w:tc>
          <w:tcPr>
            <w:tcW w:w="3596" w:type="dxa"/>
            <w:gridSpan w:val="3"/>
            <w:tcBorders>
              <w:top w:val="single" w:color="000000" w:sz="4" w:space="0"/>
              <w:left w:val="single" w:color="000000" w:sz="4" w:space="0"/>
              <w:bottom w:val="single" w:color="000000" w:sz="12" w:space="0"/>
              <w:right w:val="single" w:color="000000" w:sz="4" w:space="0"/>
            </w:tcBorders>
            <w:noWrap w:val="0"/>
            <w:vAlign w:val="center"/>
          </w:tcPr>
          <w:p w14:paraId="1A9143CD">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p>
        </w:tc>
        <w:tc>
          <w:tcPr>
            <w:tcW w:w="1514" w:type="dxa"/>
            <w:gridSpan w:val="2"/>
            <w:tcBorders>
              <w:top w:val="single" w:color="000000" w:sz="4" w:space="0"/>
              <w:left w:val="single" w:color="000000" w:sz="4" w:space="0"/>
              <w:bottom w:val="single" w:color="000000" w:sz="12" w:space="0"/>
              <w:right w:val="single" w:color="000000" w:sz="4" w:space="0"/>
            </w:tcBorders>
            <w:noWrap w:val="0"/>
            <w:vAlign w:val="center"/>
          </w:tcPr>
          <w:p w14:paraId="30DEF368">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p>
        </w:tc>
        <w:tc>
          <w:tcPr>
            <w:tcW w:w="1325" w:type="dxa"/>
            <w:gridSpan w:val="2"/>
            <w:tcBorders>
              <w:top w:val="single" w:color="000000" w:sz="4" w:space="0"/>
              <w:left w:val="single" w:color="000000" w:sz="4" w:space="0"/>
              <w:bottom w:val="single" w:color="000000" w:sz="12" w:space="0"/>
              <w:right w:val="single" w:color="000000" w:sz="4" w:space="0"/>
            </w:tcBorders>
            <w:noWrap w:val="0"/>
            <w:vAlign w:val="center"/>
          </w:tcPr>
          <w:p w14:paraId="3CADF0EA">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p>
        </w:tc>
        <w:tc>
          <w:tcPr>
            <w:tcW w:w="1325" w:type="dxa"/>
            <w:tcBorders>
              <w:top w:val="single" w:color="000000" w:sz="4" w:space="0"/>
              <w:left w:val="single" w:color="000000" w:sz="4" w:space="0"/>
              <w:bottom w:val="single" w:color="000000" w:sz="12" w:space="0"/>
              <w:right w:val="single" w:color="000000" w:sz="12" w:space="0"/>
            </w:tcBorders>
            <w:noWrap w:val="0"/>
            <w:vAlign w:val="center"/>
          </w:tcPr>
          <w:p w14:paraId="114C1E5F">
            <w:pPr>
              <w:pStyle w:val="57"/>
              <w:widowControl/>
              <w:spacing w:after="0" w:line="360" w:lineRule="auto"/>
              <w:ind w:firstLineChars="0"/>
              <w:jc w:val="center"/>
              <w:textAlignment w:val="baseline"/>
              <w:rPr>
                <w:rStyle w:val="56"/>
                <w:rFonts w:ascii="宋体" w:hAnsi="宋体" w:eastAsia="宋体"/>
                <w:kern w:val="0"/>
                <w:sz w:val="24"/>
                <w:szCs w:val="22"/>
                <w:highlight w:val="none"/>
                <w:lang w:val="en-US" w:eastAsia="zh-CN" w:bidi="ar-SA"/>
              </w:rPr>
            </w:pPr>
          </w:p>
        </w:tc>
      </w:tr>
    </w:tbl>
    <w:p w14:paraId="5DA7685E">
      <w:pPr>
        <w:pageBreakBefore w:val="0"/>
        <w:kinsoku/>
        <w:wordWrap/>
        <w:overflowPunct/>
        <w:topLinePunct w:val="0"/>
        <w:bidi w:val="0"/>
        <w:spacing w:line="360" w:lineRule="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rPr>
        <w:t xml:space="preserve">  附：相关人员资格证书的复印件</w:t>
      </w:r>
      <w:r>
        <w:rPr>
          <w:rFonts w:hint="eastAsia" w:asciiTheme="minorEastAsia" w:hAnsiTheme="minorEastAsia" w:eastAsiaTheme="minorEastAsia" w:cstheme="minorEastAsia"/>
          <w:b/>
          <w:sz w:val="24"/>
          <w:szCs w:val="24"/>
          <w:highlight w:val="none"/>
          <w:lang w:eastAsia="zh-CN"/>
        </w:rPr>
        <w:t>（若有）</w:t>
      </w:r>
    </w:p>
    <w:p w14:paraId="3E987D04">
      <w:pPr>
        <w:pageBreakBefore w:val="0"/>
        <w:tabs>
          <w:tab w:val="left" w:pos="1620"/>
        </w:tabs>
        <w:overflowPunct/>
        <w:topLinePunct w:val="0"/>
        <w:bidi w:val="0"/>
        <w:spacing w:line="360" w:lineRule="auto"/>
        <w:ind w:firstLine="840" w:firstLineChars="300"/>
        <w:rPr>
          <w:rFonts w:hint="eastAsia" w:ascii="宋体" w:hAnsi="宋体" w:eastAsia="宋体" w:cs="宋体"/>
          <w:sz w:val="28"/>
          <w:szCs w:val="28"/>
          <w:highlight w:val="none"/>
        </w:rPr>
      </w:pPr>
    </w:p>
    <w:p w14:paraId="04CD08E2">
      <w:pPr>
        <w:bidi w:val="0"/>
        <w:rPr>
          <w:rFonts w:hint="eastAsia"/>
        </w:rPr>
      </w:pPr>
      <w:r>
        <w:rPr>
          <w:rFonts w:hint="eastAsia"/>
        </w:rPr>
        <w:br w:type="page"/>
      </w:r>
      <w:bookmarkStart w:id="689" w:name="_Toc14762"/>
    </w:p>
    <w:p w14:paraId="66ECC995">
      <w:pPr>
        <w:pageBreakBefore w:val="0"/>
        <w:widowControl/>
        <w:overflowPunct/>
        <w:topLinePunct w:val="0"/>
        <w:bidi w:val="0"/>
        <w:adjustRightInd w:val="0"/>
        <w:snapToGrid w:val="0"/>
        <w:spacing w:before="120" w:beforeLines="50" w:after="200" w:line="360" w:lineRule="auto"/>
        <w:jc w:val="left"/>
        <w:outlineLvl w:val="1"/>
        <w:rPr>
          <w:rFonts w:hint="default" w:asciiTheme="minorEastAsia" w:hAnsiTheme="minorEastAsia" w:eastAsiaTheme="minorEastAsia" w:cstheme="minorEastAsia"/>
          <w:b/>
          <w:bCs/>
          <w:kern w:val="1"/>
          <w:sz w:val="28"/>
          <w:szCs w:val="28"/>
          <w:highlight w:val="none"/>
          <w:lang w:val="en-US" w:eastAsia="zh-CN" w:bidi="ar-SA"/>
        </w:rPr>
      </w:pPr>
      <w:r>
        <w:rPr>
          <w:rFonts w:hint="eastAsia" w:asciiTheme="minorEastAsia" w:hAnsiTheme="minorEastAsia" w:eastAsiaTheme="minorEastAsia" w:cstheme="minorEastAsia"/>
          <w:b/>
          <w:bCs/>
          <w:kern w:val="1"/>
          <w:sz w:val="28"/>
          <w:szCs w:val="28"/>
          <w:highlight w:val="none"/>
          <w:lang w:val="en-US" w:eastAsia="zh-CN" w:bidi="ar-SA"/>
        </w:rPr>
        <w:t>7.施工方案（根据施工内容及评分标准自拟）</w:t>
      </w:r>
    </w:p>
    <w:p w14:paraId="1CBB4A44">
      <w:pPr>
        <w:bidi w:val="0"/>
        <w:rPr>
          <w:rFonts w:hint="eastAsia"/>
        </w:rPr>
      </w:pPr>
    </w:p>
    <w:p w14:paraId="72E66256">
      <w:pPr>
        <w:bidi w:val="0"/>
        <w:rPr>
          <w:rFonts w:hint="eastAsia"/>
        </w:rPr>
      </w:pPr>
    </w:p>
    <w:p w14:paraId="0F3F3417">
      <w:pPr>
        <w:bidi w:val="0"/>
        <w:rPr>
          <w:rFonts w:hint="eastAsia"/>
          <w:lang w:val="en-US" w:eastAsia="zh-CN"/>
        </w:rPr>
      </w:pPr>
    </w:p>
    <w:p w14:paraId="415CEF07">
      <w:pPr>
        <w:bidi w:val="0"/>
        <w:rPr>
          <w:rFonts w:hint="eastAsia"/>
          <w:lang w:val="en-US" w:eastAsia="zh-CN"/>
        </w:rPr>
      </w:pPr>
    </w:p>
    <w:p w14:paraId="48AFB8FF">
      <w:pPr>
        <w:bidi w:val="0"/>
        <w:rPr>
          <w:rFonts w:hint="eastAsia"/>
          <w:lang w:val="en-US" w:eastAsia="zh-CN"/>
        </w:rPr>
      </w:pPr>
    </w:p>
    <w:p w14:paraId="03BA9540">
      <w:pPr>
        <w:bidi w:val="0"/>
        <w:rPr>
          <w:rFonts w:hint="eastAsia"/>
          <w:lang w:val="en-US" w:eastAsia="zh-CN"/>
        </w:rPr>
      </w:pPr>
    </w:p>
    <w:p w14:paraId="5D4C66E9">
      <w:pPr>
        <w:pageBreakBefore w:val="0"/>
        <w:widowControl/>
        <w:overflowPunct/>
        <w:topLinePunct w:val="0"/>
        <w:bidi w:val="0"/>
        <w:adjustRightInd w:val="0"/>
        <w:snapToGrid w:val="0"/>
        <w:spacing w:before="120" w:beforeLines="50" w:after="200" w:line="360" w:lineRule="auto"/>
        <w:jc w:val="left"/>
        <w:outlineLvl w:val="1"/>
        <w:rPr>
          <w:rFonts w:hint="default" w:asciiTheme="minorEastAsia" w:hAnsiTheme="minorEastAsia" w:eastAsiaTheme="minorEastAsia" w:cstheme="minorEastAsia"/>
          <w:b/>
          <w:bCs/>
          <w:kern w:val="1"/>
          <w:sz w:val="28"/>
          <w:szCs w:val="28"/>
          <w:highlight w:val="none"/>
          <w:lang w:val="en-US" w:eastAsia="zh-CN" w:bidi="ar-SA"/>
        </w:rPr>
      </w:pPr>
      <w:r>
        <w:rPr>
          <w:rFonts w:hint="eastAsia" w:asciiTheme="minorEastAsia" w:hAnsiTheme="minorEastAsia" w:eastAsiaTheme="minorEastAsia" w:cstheme="minorEastAsia"/>
          <w:b/>
          <w:bCs/>
          <w:kern w:val="1"/>
          <w:sz w:val="28"/>
          <w:szCs w:val="28"/>
          <w:highlight w:val="none"/>
          <w:lang w:val="en-US" w:eastAsia="zh-CN" w:bidi="ar-SA"/>
        </w:rPr>
        <w:t>8.</w:t>
      </w:r>
      <w:bookmarkStart w:id="690" w:name="_Toc497842265"/>
      <w:r>
        <w:rPr>
          <w:rFonts w:hint="eastAsia" w:asciiTheme="minorEastAsia" w:hAnsiTheme="minorEastAsia" w:eastAsiaTheme="minorEastAsia" w:cstheme="minorEastAsia"/>
          <w:b/>
          <w:bCs/>
          <w:kern w:val="1"/>
          <w:sz w:val="28"/>
          <w:szCs w:val="28"/>
          <w:highlight w:val="none"/>
          <w:lang w:val="en-US" w:eastAsia="zh-CN" w:bidi="ar-SA"/>
        </w:rPr>
        <w:t>业绩（提供2022年</w:t>
      </w:r>
      <w:r>
        <w:rPr>
          <w:rFonts w:hint="eastAsia" w:asciiTheme="minorEastAsia" w:hAnsiTheme="minorEastAsia" w:cstheme="minorEastAsia"/>
          <w:b/>
          <w:bCs/>
          <w:kern w:val="1"/>
          <w:sz w:val="28"/>
          <w:szCs w:val="28"/>
          <w:highlight w:val="none"/>
          <w:lang w:val="en-US" w:eastAsia="zh-CN" w:bidi="ar-SA"/>
        </w:rPr>
        <w:t>7</w:t>
      </w:r>
      <w:r>
        <w:rPr>
          <w:rFonts w:hint="eastAsia" w:asciiTheme="minorEastAsia" w:hAnsiTheme="minorEastAsia" w:eastAsiaTheme="minorEastAsia" w:cstheme="minorEastAsia"/>
          <w:b/>
          <w:bCs/>
          <w:kern w:val="1"/>
          <w:sz w:val="28"/>
          <w:szCs w:val="28"/>
          <w:highlight w:val="none"/>
          <w:lang w:val="en-US" w:eastAsia="zh-CN" w:bidi="ar-SA"/>
        </w:rPr>
        <w:t>月至今类似项目业绩，以合同为准，复印件加盖公章）</w:t>
      </w:r>
    </w:p>
    <w:p w14:paraId="5F78C902">
      <w:pPr>
        <w:bidi w:val="0"/>
        <w:rPr>
          <w:rFonts w:hint="eastAsia"/>
          <w:lang w:eastAsia="zh-CN"/>
        </w:rPr>
      </w:pPr>
    </w:p>
    <w:p w14:paraId="79F39654">
      <w:pPr>
        <w:pStyle w:val="14"/>
        <w:rPr>
          <w:rFonts w:hint="eastAsia"/>
          <w:lang w:eastAsia="zh-CN"/>
        </w:rPr>
      </w:pPr>
    </w:p>
    <w:p w14:paraId="10F702C0">
      <w:pPr>
        <w:pStyle w:val="14"/>
        <w:rPr>
          <w:rFonts w:hint="eastAsia"/>
          <w:lang w:eastAsia="zh-CN"/>
        </w:rPr>
      </w:pPr>
    </w:p>
    <w:bookmarkEnd w:id="689"/>
    <w:bookmarkEnd w:id="690"/>
    <w:p w14:paraId="155F87E4">
      <w:pPr>
        <w:pageBreakBefore w:val="0"/>
        <w:overflowPunct/>
        <w:topLinePunct w:val="0"/>
        <w:bidi w:val="0"/>
        <w:spacing w:line="360" w:lineRule="auto"/>
        <w:rPr>
          <w:rFonts w:hint="eastAsia" w:ascii="宋体" w:hAnsi="宋体" w:eastAsia="宋体" w:cs="宋体"/>
          <w:highlight w:val="none"/>
        </w:rPr>
      </w:pPr>
    </w:p>
    <w:p w14:paraId="4F74A196">
      <w:pPr>
        <w:pStyle w:val="10"/>
        <w:rPr>
          <w:rFonts w:hint="eastAsia" w:ascii="宋体" w:hAnsi="宋体" w:eastAsia="宋体" w:cs="宋体"/>
          <w:highlight w:val="none"/>
        </w:rPr>
      </w:pPr>
    </w:p>
    <w:p w14:paraId="149C3717">
      <w:pPr>
        <w:rPr>
          <w:rFonts w:hint="eastAsia" w:ascii="宋体" w:hAnsi="宋体" w:eastAsia="宋体" w:cs="宋体"/>
          <w:highlight w:val="none"/>
        </w:rPr>
      </w:pPr>
    </w:p>
    <w:p w14:paraId="64F44928">
      <w:pPr>
        <w:pStyle w:val="10"/>
        <w:rPr>
          <w:rFonts w:hint="eastAsia"/>
        </w:rPr>
      </w:pPr>
    </w:p>
    <w:p w14:paraId="061F4CDE">
      <w:pPr>
        <w:pStyle w:val="4"/>
        <w:pageBreakBefore w:val="0"/>
        <w:overflowPunct/>
        <w:topLinePunct w:val="0"/>
        <w:bidi w:val="0"/>
        <w:spacing w:line="360" w:lineRule="auto"/>
        <w:rPr>
          <w:rFonts w:hint="eastAsia" w:ascii="宋体" w:hAnsi="宋体" w:eastAsia="宋体" w:cs="宋体"/>
          <w:sz w:val="28"/>
          <w:szCs w:val="28"/>
          <w:highlight w:val="none"/>
        </w:rPr>
      </w:pPr>
      <w:bookmarkStart w:id="691" w:name="_Toc492391884"/>
      <w:bookmarkStart w:id="692" w:name="_Toc30914"/>
      <w:bookmarkStart w:id="693" w:name="_Toc458437958"/>
      <w:bookmarkStart w:id="694" w:name="_Toc497842269"/>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rPr>
        <w:t>供应商认为有必要补充说明的事宜</w:t>
      </w:r>
      <w:bookmarkEnd w:id="691"/>
      <w:bookmarkEnd w:id="692"/>
      <w:bookmarkEnd w:id="693"/>
      <w:bookmarkEnd w:id="694"/>
    </w:p>
    <w:p w14:paraId="016DB54A">
      <w:pPr>
        <w:pageBreakBefore w:val="0"/>
        <w:widowControl/>
        <w:overflowPunct/>
        <w:topLinePunct w:val="0"/>
        <w:bidi w:val="0"/>
        <w:spacing w:line="360" w:lineRule="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其他可以说明</w:t>
      </w:r>
      <w:r>
        <w:rPr>
          <w:rFonts w:hint="eastAsia" w:ascii="宋体" w:hAnsi="宋体" w:eastAsia="宋体" w:cs="宋体"/>
          <w:kern w:val="0"/>
          <w:sz w:val="24"/>
          <w:szCs w:val="20"/>
          <w:highlight w:val="none"/>
          <w:lang w:eastAsia="zh-CN"/>
        </w:rPr>
        <w:t>供应商</w:t>
      </w:r>
      <w:r>
        <w:rPr>
          <w:rFonts w:hint="eastAsia" w:ascii="宋体" w:hAnsi="宋体" w:eastAsia="宋体" w:cs="宋体"/>
          <w:kern w:val="0"/>
          <w:sz w:val="24"/>
          <w:szCs w:val="20"/>
          <w:highlight w:val="none"/>
        </w:rPr>
        <w:t>资格、实力的证明资料。（复印件加盖公章）</w:t>
      </w:r>
    </w:p>
    <w:p w14:paraId="2DD011CF">
      <w:pPr>
        <w:pageBreakBefore w:val="0"/>
        <w:widowControl/>
        <w:overflowPunct/>
        <w:topLinePunct w:val="0"/>
        <w:bidi w:val="0"/>
        <w:spacing w:line="360" w:lineRule="auto"/>
        <w:rPr>
          <w:rFonts w:hint="eastAsia" w:ascii="宋体" w:hAnsi="宋体" w:eastAsia="宋体" w:cs="宋体"/>
          <w:kern w:val="0"/>
          <w:sz w:val="24"/>
          <w:szCs w:val="20"/>
          <w:highlight w:val="none"/>
        </w:rPr>
      </w:pPr>
    </w:p>
    <w:p w14:paraId="5B6352C5">
      <w:pPr>
        <w:pageBreakBefore w:val="0"/>
        <w:widowControl/>
        <w:overflowPunct/>
        <w:topLinePunct w:val="0"/>
        <w:bidi w:val="0"/>
        <w:spacing w:line="360" w:lineRule="auto"/>
        <w:rPr>
          <w:rFonts w:hint="eastAsia" w:ascii="宋体" w:hAnsi="宋体" w:eastAsia="宋体" w:cs="宋体"/>
          <w:kern w:val="0"/>
          <w:sz w:val="24"/>
          <w:szCs w:val="20"/>
          <w:highlight w:val="none"/>
        </w:rPr>
      </w:pPr>
    </w:p>
    <w:p w14:paraId="11CFCFE0">
      <w:pPr>
        <w:pageBreakBefore w:val="0"/>
        <w:widowControl/>
        <w:overflowPunct/>
        <w:topLinePunct w:val="0"/>
        <w:bidi w:val="0"/>
        <w:spacing w:line="360" w:lineRule="auto"/>
        <w:rPr>
          <w:rFonts w:hint="eastAsia" w:ascii="宋体" w:hAnsi="宋体" w:eastAsia="宋体" w:cs="宋体"/>
          <w:kern w:val="0"/>
          <w:sz w:val="24"/>
          <w:szCs w:val="20"/>
          <w:highlight w:val="none"/>
        </w:rPr>
      </w:pPr>
    </w:p>
    <w:p w14:paraId="2D5A7D9C">
      <w:pPr>
        <w:pageBreakBefore w:val="0"/>
        <w:widowControl/>
        <w:overflowPunct/>
        <w:topLinePunct w:val="0"/>
        <w:bidi w:val="0"/>
        <w:spacing w:line="360" w:lineRule="auto"/>
        <w:rPr>
          <w:rFonts w:hint="eastAsia" w:ascii="宋体" w:hAnsi="宋体" w:eastAsia="宋体" w:cs="宋体"/>
          <w:kern w:val="0"/>
          <w:sz w:val="24"/>
          <w:szCs w:val="20"/>
          <w:highlight w:val="none"/>
        </w:rPr>
      </w:pPr>
    </w:p>
    <w:p w14:paraId="56D373C0">
      <w:pPr>
        <w:pageBreakBefore w:val="0"/>
        <w:widowControl/>
        <w:overflowPunct/>
        <w:topLinePunct w:val="0"/>
        <w:bidi w:val="0"/>
        <w:spacing w:line="360" w:lineRule="auto"/>
        <w:rPr>
          <w:rFonts w:hint="eastAsia" w:ascii="宋体" w:hAnsi="宋体" w:eastAsia="宋体" w:cs="宋体"/>
          <w:kern w:val="0"/>
          <w:sz w:val="24"/>
          <w:szCs w:val="20"/>
          <w:highlight w:val="none"/>
        </w:rPr>
      </w:pPr>
    </w:p>
    <w:p w14:paraId="760A2BAD">
      <w:pPr>
        <w:pageBreakBefore w:val="0"/>
        <w:widowControl/>
        <w:overflowPunct/>
        <w:topLinePunct w:val="0"/>
        <w:bidi w:val="0"/>
        <w:spacing w:line="360" w:lineRule="auto"/>
        <w:rPr>
          <w:rFonts w:hint="eastAsia" w:ascii="宋体" w:hAnsi="宋体" w:eastAsia="宋体" w:cs="宋体"/>
          <w:kern w:val="0"/>
          <w:sz w:val="24"/>
          <w:szCs w:val="20"/>
          <w:highlight w:val="none"/>
        </w:rPr>
      </w:pPr>
    </w:p>
    <w:p w14:paraId="2FFF0CDB">
      <w:pPr>
        <w:pageBreakBefore w:val="0"/>
        <w:widowControl/>
        <w:overflowPunct/>
        <w:topLinePunct w:val="0"/>
        <w:bidi w:val="0"/>
        <w:spacing w:line="360" w:lineRule="auto"/>
        <w:rPr>
          <w:rFonts w:hint="eastAsia" w:ascii="宋体" w:hAnsi="宋体" w:eastAsia="宋体" w:cs="宋体"/>
          <w:kern w:val="0"/>
          <w:sz w:val="24"/>
          <w:szCs w:val="20"/>
          <w:highlight w:val="none"/>
        </w:rPr>
      </w:pPr>
    </w:p>
    <w:p w14:paraId="0C0C3125">
      <w:pPr>
        <w:pageBreakBefore w:val="0"/>
        <w:widowControl/>
        <w:overflowPunct/>
        <w:topLinePunct w:val="0"/>
        <w:bidi w:val="0"/>
        <w:spacing w:line="360" w:lineRule="auto"/>
        <w:rPr>
          <w:rFonts w:hint="eastAsia" w:ascii="宋体" w:hAnsi="宋体" w:eastAsia="宋体" w:cs="宋体"/>
          <w:kern w:val="0"/>
          <w:sz w:val="24"/>
          <w:szCs w:val="20"/>
          <w:highlight w:val="none"/>
        </w:rPr>
      </w:pPr>
    </w:p>
    <w:p w14:paraId="0296B77D">
      <w:pPr>
        <w:pageBreakBefore w:val="0"/>
        <w:widowControl/>
        <w:overflowPunct/>
        <w:topLinePunct w:val="0"/>
        <w:bidi w:val="0"/>
        <w:spacing w:line="360" w:lineRule="auto"/>
        <w:rPr>
          <w:rFonts w:hint="eastAsia" w:ascii="宋体" w:hAnsi="宋体" w:eastAsia="宋体" w:cs="宋体"/>
          <w:kern w:val="0"/>
          <w:sz w:val="24"/>
          <w:szCs w:val="20"/>
          <w:highlight w:val="none"/>
        </w:rPr>
      </w:pPr>
    </w:p>
    <w:p w14:paraId="65F64FAD">
      <w:pPr>
        <w:pageBreakBefore w:val="0"/>
        <w:widowControl/>
        <w:overflowPunct/>
        <w:topLinePunct w:val="0"/>
        <w:bidi w:val="0"/>
        <w:spacing w:line="360" w:lineRule="auto"/>
        <w:rPr>
          <w:rFonts w:hint="eastAsia" w:ascii="宋体" w:hAnsi="宋体" w:eastAsia="宋体" w:cs="宋体"/>
          <w:kern w:val="0"/>
          <w:sz w:val="24"/>
          <w:szCs w:val="20"/>
          <w:highlight w:val="none"/>
        </w:rPr>
      </w:pPr>
    </w:p>
    <w:p w14:paraId="4B96DF6E">
      <w:pPr>
        <w:pageBreakBefore w:val="0"/>
        <w:widowControl/>
        <w:overflowPunct/>
        <w:topLinePunct w:val="0"/>
        <w:bidi w:val="0"/>
        <w:spacing w:line="360" w:lineRule="auto"/>
        <w:rPr>
          <w:rFonts w:hint="eastAsia" w:ascii="宋体" w:hAnsi="宋体" w:eastAsia="宋体" w:cs="宋体"/>
          <w:kern w:val="0"/>
          <w:sz w:val="24"/>
          <w:szCs w:val="20"/>
          <w:highlight w:val="none"/>
        </w:rPr>
      </w:pPr>
    </w:p>
    <w:p w14:paraId="75ABC1A2">
      <w:pPr>
        <w:pageBreakBefore w:val="0"/>
        <w:widowControl/>
        <w:overflowPunct/>
        <w:topLinePunct w:val="0"/>
        <w:bidi w:val="0"/>
        <w:spacing w:line="360" w:lineRule="auto"/>
        <w:rPr>
          <w:rFonts w:hint="eastAsia" w:ascii="宋体" w:hAnsi="宋体" w:eastAsia="宋体" w:cs="宋体"/>
          <w:kern w:val="0"/>
          <w:sz w:val="24"/>
          <w:szCs w:val="20"/>
          <w:highlight w:val="none"/>
        </w:rPr>
      </w:pPr>
    </w:p>
    <w:p w14:paraId="6E3DBA4D">
      <w:pPr>
        <w:pageBreakBefore w:val="0"/>
        <w:widowControl/>
        <w:overflowPunct/>
        <w:topLinePunct w:val="0"/>
        <w:bidi w:val="0"/>
        <w:spacing w:line="360" w:lineRule="auto"/>
        <w:rPr>
          <w:rFonts w:hint="eastAsia" w:ascii="宋体" w:hAnsi="宋体" w:eastAsia="宋体" w:cs="宋体"/>
          <w:kern w:val="0"/>
          <w:sz w:val="24"/>
          <w:szCs w:val="20"/>
          <w:highlight w:val="none"/>
        </w:rPr>
      </w:pPr>
    </w:p>
    <w:p w14:paraId="2FBD4356">
      <w:pPr>
        <w:pageBreakBefore w:val="0"/>
        <w:widowControl/>
        <w:overflowPunct/>
        <w:topLinePunct w:val="0"/>
        <w:bidi w:val="0"/>
        <w:spacing w:line="360" w:lineRule="auto"/>
        <w:rPr>
          <w:rFonts w:hint="eastAsia" w:ascii="宋体" w:hAnsi="宋体" w:eastAsia="宋体" w:cs="宋体"/>
          <w:kern w:val="0"/>
          <w:sz w:val="24"/>
          <w:szCs w:val="20"/>
          <w:highlight w:val="none"/>
        </w:rPr>
      </w:pPr>
    </w:p>
    <w:bookmarkEnd w:id="679"/>
    <w:bookmarkEnd w:id="680"/>
    <w:bookmarkEnd w:id="681"/>
    <w:bookmarkEnd w:id="682"/>
    <w:p w14:paraId="4AA55F2C">
      <w:pPr>
        <w:pStyle w:val="4"/>
        <w:pageBreakBefore w:val="0"/>
        <w:overflowPunct/>
        <w:topLinePunct w:val="0"/>
        <w:bidi w:val="0"/>
        <w:spacing w:line="360" w:lineRule="auto"/>
        <w:rPr>
          <w:rFonts w:hint="eastAsia" w:ascii="宋体" w:hAnsi="宋体" w:eastAsia="宋体" w:cs="宋体"/>
          <w:sz w:val="28"/>
          <w:highlight w:val="none"/>
        </w:rPr>
      </w:pPr>
      <w:bookmarkStart w:id="695" w:name="_Toc32562"/>
      <w:bookmarkStart w:id="696" w:name="_Toc497842270"/>
      <w:bookmarkStart w:id="697" w:name="_Toc193187111"/>
      <w:bookmarkStart w:id="698" w:name="_Toc194663942"/>
      <w:bookmarkStart w:id="699" w:name="_Toc188808855"/>
      <w:bookmarkStart w:id="700" w:name="_Toc193126905"/>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.磋商声明书</w:t>
      </w:r>
      <w:bookmarkEnd w:id="695"/>
      <w:bookmarkEnd w:id="696"/>
    </w:p>
    <w:p w14:paraId="289528A7">
      <w:pPr>
        <w:pStyle w:val="44"/>
        <w:pageBreakBefore w:val="0"/>
        <w:overflowPunct/>
        <w:topLinePunct w:val="0"/>
        <w:bidi w:val="0"/>
        <w:spacing w:line="360" w:lineRule="auto"/>
        <w:ind w:firstLine="170" w:firstLineChars="71"/>
        <w:rPr>
          <w:rFonts w:hint="eastAsia" w:ascii="宋体" w:hAnsi="宋体" w:eastAsia="宋体" w:cs="宋体"/>
          <w:sz w:val="24"/>
          <w:szCs w:val="24"/>
          <w:highlight w:val="none"/>
          <w:lang w:eastAsia="zh-CN"/>
        </w:rPr>
      </w:pPr>
      <w:bookmarkStart w:id="701" w:name="_Toc458617486"/>
      <w:r>
        <w:rPr>
          <w:rFonts w:hint="eastAsia" w:ascii="宋体" w:hAnsi="宋体" w:eastAsia="宋体" w:cs="宋体"/>
          <w:sz w:val="24"/>
          <w:szCs w:val="24"/>
          <w:highlight w:val="none"/>
        </w:rPr>
        <w:t>致：</w:t>
      </w:r>
      <w:bookmarkEnd w:id="701"/>
      <w:r>
        <w:rPr>
          <w:rFonts w:hint="eastAsia" w:ascii="宋体" w:hAnsi="宋体" w:cs="宋体"/>
          <w:sz w:val="24"/>
          <w:szCs w:val="24"/>
          <w:highlight w:val="none"/>
          <w:lang w:eastAsia="zh-CN"/>
        </w:rPr>
        <w:t xml:space="preserve">陕西建政项目管理有限公司 </w:t>
      </w:r>
    </w:p>
    <w:p w14:paraId="23877847">
      <w:pPr>
        <w:pStyle w:val="44"/>
        <w:pageBreakBefore w:val="0"/>
        <w:overflowPunct/>
        <w:topLinePunct w:val="0"/>
        <w:bidi w:val="0"/>
        <w:spacing w:line="360" w:lineRule="auto"/>
        <w:ind w:firstLine="530" w:firstLineChars="221"/>
        <w:rPr>
          <w:rFonts w:hint="eastAsia" w:ascii="宋体" w:hAnsi="宋体" w:eastAsia="宋体" w:cs="宋体"/>
          <w:sz w:val="24"/>
          <w:szCs w:val="24"/>
          <w:highlight w:val="none"/>
        </w:rPr>
      </w:pPr>
      <w:bookmarkStart w:id="702" w:name="_Toc458617487"/>
      <w:r>
        <w:rPr>
          <w:rFonts w:hint="eastAsia" w:ascii="宋体" w:hAnsi="宋体" w:eastAsia="宋体" w:cs="宋体"/>
          <w:sz w:val="24"/>
          <w:szCs w:val="24"/>
          <w:highlight w:val="none"/>
        </w:rPr>
        <w:t>我公司</w:t>
      </w:r>
      <w:r>
        <w:rPr>
          <w:rFonts w:hint="eastAsia" w:ascii="宋体" w:hAnsi="宋体" w:eastAsia="宋体" w:cs="宋体"/>
          <w:sz w:val="24"/>
          <w:szCs w:val="24"/>
          <w:highlight w:val="none"/>
          <w:u w:val="single"/>
        </w:rPr>
        <w:t xml:space="preserve">       （供应商名称）       </w:t>
      </w:r>
      <w:r>
        <w:rPr>
          <w:rFonts w:hint="eastAsia" w:ascii="宋体" w:hAnsi="宋体" w:eastAsia="宋体" w:cs="宋体"/>
          <w:sz w:val="24"/>
          <w:szCs w:val="24"/>
          <w:highlight w:val="none"/>
        </w:rPr>
        <w:t>，就参加</w:t>
      </w:r>
      <w:r>
        <w:rPr>
          <w:rFonts w:hint="eastAsia" w:ascii="宋体" w:hAnsi="宋体" w:eastAsia="宋体" w:cs="宋体"/>
          <w:sz w:val="24"/>
          <w:szCs w:val="24"/>
          <w:highlight w:val="none"/>
          <w:u w:val="single"/>
        </w:rPr>
        <w:t xml:space="preserve">      （采购项目名称）    </w:t>
      </w: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）磋商事宜，在此郑重声明：</w:t>
      </w:r>
      <w:bookmarkEnd w:id="702"/>
    </w:p>
    <w:p w14:paraId="41D67372">
      <w:pPr>
        <w:pStyle w:val="44"/>
        <w:pageBreakBefore w:val="0"/>
        <w:overflowPunct/>
        <w:topLinePunct w:val="0"/>
        <w:bidi w:val="0"/>
        <w:spacing w:line="360" w:lineRule="auto"/>
        <w:ind w:firstLine="530" w:firstLineChars="221"/>
        <w:rPr>
          <w:rFonts w:hint="eastAsia" w:ascii="宋体" w:hAnsi="宋体" w:eastAsia="宋体" w:cs="宋体"/>
          <w:sz w:val="24"/>
          <w:szCs w:val="24"/>
          <w:highlight w:val="none"/>
        </w:rPr>
      </w:pPr>
      <w:bookmarkStart w:id="703" w:name="_Toc458617488"/>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我公司所提交的磋商响应文件全部真实有效；</w:t>
      </w:r>
      <w:bookmarkEnd w:id="703"/>
    </w:p>
    <w:p w14:paraId="2251F7F6">
      <w:pPr>
        <w:pStyle w:val="44"/>
        <w:pageBreakBefore w:val="0"/>
        <w:overflowPunct/>
        <w:topLinePunct w:val="0"/>
        <w:bidi w:val="0"/>
        <w:spacing w:line="360" w:lineRule="auto"/>
        <w:ind w:firstLine="530" w:firstLineChars="221"/>
        <w:rPr>
          <w:rFonts w:hint="eastAsia" w:ascii="宋体" w:hAnsi="宋体" w:eastAsia="宋体" w:cs="宋体"/>
          <w:sz w:val="24"/>
          <w:szCs w:val="24"/>
          <w:highlight w:val="none"/>
        </w:rPr>
      </w:pPr>
      <w:bookmarkStart w:id="704" w:name="_Toc458617489"/>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我公司近3年来无因安全事故、质量事故、磋商违规等不良记录被政府有关部门处罚期内的情形存在；</w:t>
      </w:r>
      <w:bookmarkEnd w:id="704"/>
    </w:p>
    <w:p w14:paraId="6DCA5B0D">
      <w:pPr>
        <w:pStyle w:val="44"/>
        <w:pageBreakBefore w:val="0"/>
        <w:overflowPunct/>
        <w:topLinePunct w:val="0"/>
        <w:bidi w:val="0"/>
        <w:spacing w:line="360" w:lineRule="auto"/>
        <w:ind w:firstLine="530" w:firstLineChars="221"/>
        <w:rPr>
          <w:rFonts w:hint="eastAsia" w:ascii="宋体" w:hAnsi="宋体" w:eastAsia="宋体" w:cs="宋体"/>
          <w:sz w:val="24"/>
          <w:szCs w:val="24"/>
          <w:highlight w:val="none"/>
        </w:rPr>
      </w:pPr>
      <w:bookmarkStart w:id="705" w:name="_Toc458617490"/>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我公司近3年来无违规违法经营受到责令停产（或停止经营）、吊销生产许可证（或经营许可证）、较大数额罚款等行政处罚的情形存在；</w:t>
      </w:r>
      <w:bookmarkEnd w:id="705"/>
    </w:p>
    <w:p w14:paraId="37115B2F">
      <w:pPr>
        <w:pStyle w:val="44"/>
        <w:pageBreakBefore w:val="0"/>
        <w:overflowPunct/>
        <w:topLinePunct w:val="0"/>
        <w:bidi w:val="0"/>
        <w:spacing w:line="360" w:lineRule="auto"/>
        <w:ind w:firstLine="530" w:firstLineChars="221"/>
        <w:rPr>
          <w:rFonts w:hint="eastAsia" w:ascii="宋体" w:hAnsi="宋体" w:eastAsia="宋体" w:cs="宋体"/>
          <w:sz w:val="24"/>
          <w:szCs w:val="24"/>
          <w:highlight w:val="none"/>
        </w:rPr>
      </w:pPr>
      <w:bookmarkStart w:id="706" w:name="_Toc458617491"/>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我公司无企业财产被查封、冻结或处于破产状态或严重亏损状态等情形存在；</w:t>
      </w:r>
      <w:bookmarkEnd w:id="706"/>
    </w:p>
    <w:p w14:paraId="2B2511BF">
      <w:pPr>
        <w:pStyle w:val="44"/>
        <w:pageBreakBefore w:val="0"/>
        <w:overflowPunct/>
        <w:topLinePunct w:val="0"/>
        <w:bidi w:val="0"/>
        <w:spacing w:line="360" w:lineRule="auto"/>
        <w:ind w:firstLine="530" w:firstLineChars="221"/>
        <w:rPr>
          <w:rFonts w:hint="eastAsia" w:ascii="宋体" w:hAnsi="宋体" w:eastAsia="宋体" w:cs="宋体"/>
          <w:sz w:val="24"/>
          <w:szCs w:val="24"/>
          <w:highlight w:val="none"/>
        </w:rPr>
      </w:pPr>
      <w:bookmarkStart w:id="707" w:name="_Toc458617492"/>
      <w:r>
        <w:rPr>
          <w:rFonts w:hint="eastAsia" w:ascii="宋体" w:hAnsi="宋体" w:eastAsia="宋体" w:cs="宋体"/>
          <w:sz w:val="24"/>
          <w:szCs w:val="24"/>
          <w:highlight w:val="none"/>
        </w:rPr>
        <w:t>5</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我公司承诺在磋商过程中，保证不与其他单位围标、串标，不出让磋商资格，不采取不正当手段诋毁、排挤其他供应商，不向采购代理机构、评审委员会成员行贿。</w:t>
      </w:r>
      <w:bookmarkEnd w:id="707"/>
    </w:p>
    <w:p w14:paraId="618F52CB">
      <w:pPr>
        <w:pStyle w:val="44"/>
        <w:pageBreakBefore w:val="0"/>
        <w:overflowPunct/>
        <w:topLinePunct w:val="0"/>
        <w:bidi w:val="0"/>
        <w:spacing w:line="360" w:lineRule="auto"/>
        <w:ind w:firstLine="530" w:firstLineChars="221"/>
        <w:rPr>
          <w:rFonts w:hint="eastAsia" w:ascii="宋体" w:hAnsi="宋体" w:eastAsia="宋体" w:cs="宋体"/>
          <w:sz w:val="24"/>
          <w:szCs w:val="24"/>
          <w:highlight w:val="none"/>
        </w:rPr>
      </w:pPr>
      <w:bookmarkStart w:id="708" w:name="_Toc458617493"/>
      <w:r>
        <w:rPr>
          <w:rFonts w:hint="eastAsia" w:ascii="宋体" w:hAnsi="宋体" w:eastAsia="宋体" w:cs="宋体"/>
          <w:sz w:val="24"/>
          <w:szCs w:val="24"/>
          <w:highlight w:val="none"/>
        </w:rPr>
        <w:t>以上声明若违反，一经查实，本公司愿意接受政府有关部门的相应处罚，并愿意承担由此带来的法律后果。</w:t>
      </w:r>
      <w:bookmarkEnd w:id="708"/>
    </w:p>
    <w:p w14:paraId="4A570323">
      <w:pPr>
        <w:pStyle w:val="44"/>
        <w:pageBreakBefore w:val="0"/>
        <w:overflowPunct/>
        <w:topLinePunct w:val="0"/>
        <w:bidi w:val="0"/>
        <w:spacing w:line="360" w:lineRule="auto"/>
        <w:ind w:firstLine="530" w:firstLineChars="221"/>
        <w:rPr>
          <w:rFonts w:hint="eastAsia" w:ascii="宋体" w:hAnsi="宋体" w:eastAsia="宋体" w:cs="宋体"/>
          <w:sz w:val="24"/>
          <w:szCs w:val="24"/>
          <w:highlight w:val="none"/>
        </w:rPr>
      </w:pPr>
    </w:p>
    <w:p w14:paraId="6BEDED3D">
      <w:pPr>
        <w:pStyle w:val="44"/>
        <w:pageBreakBefore w:val="0"/>
        <w:overflowPunct/>
        <w:topLinePunct w:val="0"/>
        <w:bidi w:val="0"/>
        <w:spacing w:line="360" w:lineRule="auto"/>
        <w:ind w:firstLine="410" w:firstLineChars="171"/>
        <w:rPr>
          <w:rFonts w:hint="eastAsia" w:ascii="宋体" w:hAnsi="宋体" w:eastAsia="宋体" w:cs="宋体"/>
          <w:sz w:val="24"/>
          <w:szCs w:val="24"/>
          <w:highlight w:val="none"/>
        </w:rPr>
      </w:pPr>
      <w:bookmarkStart w:id="709" w:name="_Toc458617494"/>
      <w:r>
        <w:rPr>
          <w:rFonts w:hint="eastAsia" w:ascii="宋体" w:hAnsi="宋体" w:eastAsia="宋体" w:cs="宋体"/>
          <w:sz w:val="24"/>
          <w:szCs w:val="24"/>
          <w:highlight w:val="none"/>
        </w:rPr>
        <w:t>特此声明！</w:t>
      </w:r>
      <w:bookmarkEnd w:id="709"/>
    </w:p>
    <w:p w14:paraId="2609A356">
      <w:pPr>
        <w:pStyle w:val="44"/>
        <w:pageBreakBefore w:val="0"/>
        <w:overflowPunct/>
        <w:topLinePunct w:val="0"/>
        <w:bidi w:val="0"/>
        <w:spacing w:line="360" w:lineRule="auto"/>
        <w:ind w:firstLine="410" w:firstLineChars="171"/>
        <w:rPr>
          <w:rFonts w:hint="eastAsia" w:ascii="宋体" w:hAnsi="宋体" w:eastAsia="宋体" w:cs="宋体"/>
          <w:sz w:val="24"/>
          <w:szCs w:val="24"/>
          <w:highlight w:val="none"/>
        </w:rPr>
      </w:pPr>
      <w:bookmarkStart w:id="710" w:name="_Toc458617495"/>
      <w:r>
        <w:rPr>
          <w:rFonts w:hint="eastAsia" w:ascii="宋体" w:hAnsi="宋体" w:eastAsia="宋体" w:cs="宋体"/>
          <w:sz w:val="24"/>
          <w:szCs w:val="24"/>
          <w:highlight w:val="none"/>
        </w:rPr>
        <w:t>声  明  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（供应商名称、公章）</w:t>
      </w:r>
      <w:bookmarkEnd w:id="710"/>
    </w:p>
    <w:p w14:paraId="7F21704A">
      <w:pPr>
        <w:pStyle w:val="44"/>
        <w:pageBreakBefore w:val="0"/>
        <w:overflowPunct/>
        <w:topLinePunct w:val="0"/>
        <w:bidi w:val="0"/>
        <w:spacing w:line="360" w:lineRule="auto"/>
        <w:ind w:firstLine="410" w:firstLineChars="171"/>
        <w:rPr>
          <w:rFonts w:hint="eastAsia" w:ascii="宋体" w:hAnsi="宋体" w:eastAsia="宋体" w:cs="宋体"/>
          <w:sz w:val="24"/>
          <w:szCs w:val="24"/>
          <w:highlight w:val="none"/>
        </w:rPr>
      </w:pPr>
      <w:bookmarkStart w:id="711" w:name="_Toc458617496"/>
      <w:r>
        <w:rPr>
          <w:rFonts w:hint="eastAsia" w:ascii="宋体" w:hAnsi="宋体" w:eastAsia="宋体" w:cs="宋体"/>
          <w:sz w:val="24"/>
          <w:szCs w:val="24"/>
          <w:highlight w:val="none"/>
        </w:rPr>
        <w:t>法定代表人或被授权人：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bookmarkEnd w:id="711"/>
    </w:p>
    <w:p w14:paraId="51665124">
      <w:pPr>
        <w:pStyle w:val="44"/>
        <w:pageBreakBefore w:val="0"/>
        <w:overflowPunct/>
        <w:topLinePunct w:val="0"/>
        <w:bidi w:val="0"/>
        <w:spacing w:line="360" w:lineRule="auto"/>
        <w:ind w:firstLine="410" w:firstLineChars="171"/>
        <w:rPr>
          <w:rFonts w:hint="eastAsia" w:ascii="宋体" w:hAnsi="宋体" w:eastAsia="宋体" w:cs="宋体"/>
          <w:sz w:val="24"/>
          <w:szCs w:val="24"/>
          <w:highlight w:val="none"/>
          <w:u w:val="single"/>
        </w:rPr>
      </w:pPr>
      <w:bookmarkStart w:id="712" w:name="_Toc458617497"/>
      <w:r>
        <w:rPr>
          <w:rFonts w:hint="eastAsia" w:ascii="宋体" w:hAnsi="宋体" w:eastAsia="宋体" w:cs="宋体"/>
          <w:sz w:val="24"/>
          <w:szCs w:val="24"/>
          <w:highlight w:val="none"/>
        </w:rPr>
        <w:t>日      期：</w:t>
      </w:r>
      <w:bookmarkEnd w:id="712"/>
      <w:r>
        <w:rPr>
          <w:rFonts w:hint="eastAsia" w:ascii="宋体" w:hAnsi="宋体" w:eastAsia="宋体" w:cs="宋体"/>
          <w:sz w:val="24"/>
          <w:szCs w:val="24"/>
          <w:highlight w:val="none"/>
          <w:u w:val="single"/>
        </w:rPr>
        <w:t xml:space="preserve">                        </w:t>
      </w:r>
    </w:p>
    <w:p w14:paraId="4956FFEF">
      <w:pPr>
        <w:pStyle w:val="44"/>
        <w:pageBreakBefore w:val="0"/>
        <w:overflowPunct/>
        <w:topLinePunct w:val="0"/>
        <w:bidi w:val="0"/>
        <w:spacing w:line="360" w:lineRule="auto"/>
        <w:ind w:firstLine="478" w:firstLineChars="171"/>
        <w:rPr>
          <w:rFonts w:hint="eastAsia" w:ascii="宋体" w:hAnsi="宋体" w:eastAsia="宋体" w:cs="宋体"/>
          <w:szCs w:val="28"/>
          <w:highlight w:val="none"/>
          <w:u w:val="single"/>
        </w:rPr>
      </w:pPr>
    </w:p>
    <w:p w14:paraId="18891CD9">
      <w:pPr>
        <w:pStyle w:val="44"/>
        <w:pageBreakBefore w:val="0"/>
        <w:overflowPunct/>
        <w:topLinePunct w:val="0"/>
        <w:bidi w:val="0"/>
        <w:spacing w:line="360" w:lineRule="auto"/>
        <w:ind w:firstLine="478" w:firstLineChars="171"/>
        <w:rPr>
          <w:rFonts w:hint="eastAsia" w:ascii="宋体" w:hAnsi="宋体" w:eastAsia="宋体" w:cs="宋体"/>
          <w:szCs w:val="28"/>
          <w:highlight w:val="none"/>
          <w:u w:val="single"/>
        </w:rPr>
      </w:pPr>
    </w:p>
    <w:p w14:paraId="59FD3E15">
      <w:pPr>
        <w:pStyle w:val="44"/>
        <w:pageBreakBefore w:val="0"/>
        <w:overflowPunct/>
        <w:topLinePunct w:val="0"/>
        <w:bidi w:val="0"/>
        <w:spacing w:line="360" w:lineRule="auto"/>
        <w:ind w:firstLine="478" w:firstLineChars="171"/>
        <w:rPr>
          <w:rFonts w:hint="eastAsia" w:ascii="宋体" w:hAnsi="宋体" w:eastAsia="宋体" w:cs="宋体"/>
          <w:szCs w:val="28"/>
          <w:highlight w:val="none"/>
          <w:u w:val="single"/>
        </w:rPr>
      </w:pPr>
    </w:p>
    <w:p w14:paraId="6E2E5F32">
      <w:pPr>
        <w:pStyle w:val="44"/>
        <w:pageBreakBefore w:val="0"/>
        <w:overflowPunct/>
        <w:topLinePunct w:val="0"/>
        <w:bidi w:val="0"/>
        <w:spacing w:line="360" w:lineRule="auto"/>
        <w:ind w:firstLine="478" w:firstLineChars="171"/>
        <w:rPr>
          <w:rFonts w:hint="eastAsia" w:ascii="宋体" w:hAnsi="宋体" w:eastAsia="宋体" w:cs="宋体"/>
          <w:szCs w:val="28"/>
          <w:highlight w:val="none"/>
          <w:u w:val="single"/>
        </w:rPr>
      </w:pPr>
    </w:p>
    <w:p w14:paraId="490E9389">
      <w:pPr>
        <w:pStyle w:val="44"/>
        <w:pageBreakBefore w:val="0"/>
        <w:overflowPunct/>
        <w:topLinePunct w:val="0"/>
        <w:bidi w:val="0"/>
        <w:spacing w:line="360" w:lineRule="auto"/>
        <w:ind w:firstLine="478" w:firstLineChars="171"/>
        <w:rPr>
          <w:rFonts w:hint="eastAsia" w:ascii="宋体" w:hAnsi="宋体" w:eastAsia="宋体" w:cs="宋体"/>
          <w:szCs w:val="28"/>
          <w:highlight w:val="none"/>
          <w:u w:val="single"/>
        </w:rPr>
      </w:pPr>
    </w:p>
    <w:p w14:paraId="6EF4BD73">
      <w:pPr>
        <w:pStyle w:val="44"/>
        <w:pageBreakBefore w:val="0"/>
        <w:overflowPunct/>
        <w:topLinePunct w:val="0"/>
        <w:bidi w:val="0"/>
        <w:spacing w:line="360" w:lineRule="auto"/>
        <w:ind w:firstLine="478" w:firstLineChars="171"/>
        <w:rPr>
          <w:rFonts w:hint="eastAsia" w:ascii="宋体" w:hAnsi="宋体" w:eastAsia="宋体" w:cs="宋体"/>
          <w:szCs w:val="28"/>
          <w:highlight w:val="none"/>
          <w:u w:val="single"/>
        </w:rPr>
      </w:pPr>
    </w:p>
    <w:p w14:paraId="7FBCE0C2">
      <w:pPr>
        <w:pStyle w:val="44"/>
        <w:pageBreakBefore w:val="0"/>
        <w:overflowPunct/>
        <w:topLinePunct w:val="0"/>
        <w:bidi w:val="0"/>
        <w:spacing w:line="360" w:lineRule="auto"/>
        <w:ind w:firstLine="478" w:firstLineChars="171"/>
        <w:rPr>
          <w:rFonts w:hint="eastAsia" w:ascii="宋体" w:hAnsi="宋体" w:eastAsia="宋体" w:cs="宋体"/>
          <w:szCs w:val="28"/>
          <w:highlight w:val="none"/>
          <w:u w:val="single"/>
        </w:rPr>
      </w:pPr>
    </w:p>
    <w:p w14:paraId="6E1C5F15">
      <w:pPr>
        <w:pStyle w:val="44"/>
        <w:pageBreakBefore w:val="0"/>
        <w:overflowPunct/>
        <w:topLinePunct w:val="0"/>
        <w:bidi w:val="0"/>
        <w:spacing w:line="360" w:lineRule="auto"/>
        <w:ind w:firstLine="478" w:firstLineChars="171"/>
        <w:rPr>
          <w:rFonts w:hint="eastAsia" w:ascii="宋体" w:hAnsi="宋体" w:eastAsia="宋体" w:cs="宋体"/>
          <w:szCs w:val="28"/>
          <w:highlight w:val="none"/>
          <w:u w:val="single"/>
        </w:rPr>
      </w:pPr>
    </w:p>
    <w:bookmarkEnd w:id="697"/>
    <w:bookmarkEnd w:id="698"/>
    <w:bookmarkEnd w:id="699"/>
    <w:bookmarkEnd w:id="700"/>
    <w:p w14:paraId="11220004">
      <w:pPr>
        <w:pStyle w:val="4"/>
        <w:pageBreakBefore w:val="0"/>
        <w:overflowPunct/>
        <w:topLinePunct w:val="0"/>
        <w:bidi w:val="0"/>
        <w:spacing w:before="0" w:after="0" w:line="360" w:lineRule="auto"/>
        <w:rPr>
          <w:rFonts w:hint="eastAsia" w:ascii="宋体" w:hAnsi="宋体" w:eastAsia="宋体" w:cs="宋体"/>
          <w:kern w:val="0"/>
          <w:highlight w:val="none"/>
        </w:rPr>
      </w:pPr>
      <w:bookmarkStart w:id="713" w:name="_Toc497842271"/>
      <w:bookmarkStart w:id="714" w:name="_Toc23593"/>
      <w:r>
        <w:rPr>
          <w:rFonts w:hint="eastAsia" w:ascii="宋体" w:hAnsi="宋体" w:eastAsia="宋体" w:cs="宋体"/>
          <w:sz w:val="28"/>
          <w:szCs w:val="28"/>
          <w:highlight w:val="none"/>
          <w:lang w:val="en-US" w:eastAsia="zh-CN"/>
        </w:rPr>
        <w:t>11</w:t>
      </w:r>
      <w:r>
        <w:rPr>
          <w:rFonts w:hint="eastAsia" w:ascii="宋体" w:hAnsi="宋体" w:eastAsia="宋体" w:cs="宋体"/>
          <w:sz w:val="28"/>
          <w:szCs w:val="28"/>
          <w:highlight w:val="none"/>
        </w:rPr>
        <w:t>.《拒绝政府采购领域商业贿赂承诺书》（格式）</w:t>
      </w:r>
      <w:bookmarkEnd w:id="713"/>
      <w:bookmarkEnd w:id="714"/>
    </w:p>
    <w:p w14:paraId="55495EFC">
      <w:pPr>
        <w:bidi w:val="0"/>
        <w:spacing w:line="360" w:lineRule="auto"/>
        <w:jc w:val="center"/>
        <w:rPr>
          <w:rFonts w:hint="eastAsia"/>
          <w:b/>
          <w:bCs/>
          <w:sz w:val="28"/>
          <w:szCs w:val="28"/>
        </w:rPr>
      </w:pPr>
      <w:bookmarkStart w:id="715" w:name="_Toc541"/>
      <w:r>
        <w:rPr>
          <w:rFonts w:hint="eastAsia"/>
          <w:b/>
          <w:bCs/>
          <w:sz w:val="28"/>
          <w:szCs w:val="28"/>
        </w:rPr>
        <w:t>陕西省政府采购供应商</w:t>
      </w:r>
      <w:bookmarkEnd w:id="715"/>
    </w:p>
    <w:p w14:paraId="03CD3B73">
      <w:pPr>
        <w:bidi w:val="0"/>
        <w:spacing w:line="360" w:lineRule="auto"/>
        <w:jc w:val="center"/>
        <w:rPr>
          <w:rFonts w:hint="eastAsia"/>
          <w:b/>
          <w:bCs/>
          <w:sz w:val="28"/>
          <w:szCs w:val="28"/>
        </w:rPr>
      </w:pPr>
      <w:bookmarkStart w:id="716" w:name="_Toc28838"/>
      <w:r>
        <w:rPr>
          <w:rFonts w:hint="eastAsia"/>
          <w:b/>
          <w:bCs/>
          <w:sz w:val="28"/>
          <w:szCs w:val="28"/>
        </w:rPr>
        <w:t>拒绝政府采购领域商业贿赂承诺书</w:t>
      </w:r>
      <w:bookmarkEnd w:id="716"/>
    </w:p>
    <w:p w14:paraId="0992B848">
      <w:pPr>
        <w:pageBreakBefore w:val="0"/>
        <w:widowControl/>
        <w:overflowPunct/>
        <w:topLinePunct w:val="0"/>
        <w:bidi w:val="0"/>
        <w:spacing w:line="360" w:lineRule="auto"/>
        <w:ind w:firstLine="56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 xml:space="preserve">为响应党中央、国务院关于治理政府采购领域商业贿赂行为的号召，我单位在此庄严承诺： </w:t>
      </w:r>
    </w:p>
    <w:p w14:paraId="5F516BF9">
      <w:pPr>
        <w:pageBreakBefore w:val="0"/>
        <w:widowControl/>
        <w:overflowPunct/>
        <w:topLinePunct w:val="0"/>
        <w:bidi w:val="0"/>
        <w:spacing w:line="360" w:lineRule="auto"/>
        <w:ind w:firstLine="56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 xml:space="preserve">在参与政府采购活动中遵纪守法、诚信经营、公平竞标。 </w:t>
      </w:r>
    </w:p>
    <w:p w14:paraId="0C67F9DA">
      <w:pPr>
        <w:pageBreakBefore w:val="0"/>
        <w:widowControl/>
        <w:overflowPunct/>
        <w:topLinePunct w:val="0"/>
        <w:bidi w:val="0"/>
        <w:spacing w:line="360" w:lineRule="auto"/>
        <w:ind w:firstLine="56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 xml:space="preserve">不向采购人、采购代理机构和政府采购评审专家进行任何形式的商业贿赂以谋取交易机会。 </w:t>
      </w:r>
    </w:p>
    <w:p w14:paraId="1BE097D7">
      <w:pPr>
        <w:pageBreakBefore w:val="0"/>
        <w:widowControl/>
        <w:overflowPunct/>
        <w:topLinePunct w:val="0"/>
        <w:bidi w:val="0"/>
        <w:spacing w:line="360" w:lineRule="auto"/>
        <w:ind w:firstLine="56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 xml:space="preserve">不向政府采购代理机构和采购人提供虚假资质文件或采用虚假应标方式参与政府采购市场竞争并谋取中标、成交。 </w:t>
      </w:r>
    </w:p>
    <w:p w14:paraId="50F02865">
      <w:pPr>
        <w:pageBreakBefore w:val="0"/>
        <w:widowControl/>
        <w:overflowPunct/>
        <w:topLinePunct w:val="0"/>
        <w:bidi w:val="0"/>
        <w:spacing w:line="360" w:lineRule="auto"/>
        <w:ind w:firstLine="56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 xml:space="preserve">不采取“围标、陪标”等商业欺诈手段获得政府采购定单。 </w:t>
      </w:r>
    </w:p>
    <w:p w14:paraId="286CD8DC">
      <w:pPr>
        <w:pageBreakBefore w:val="0"/>
        <w:widowControl/>
        <w:overflowPunct/>
        <w:topLinePunct w:val="0"/>
        <w:bidi w:val="0"/>
        <w:spacing w:line="360" w:lineRule="auto"/>
        <w:ind w:firstLine="56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 xml:space="preserve">不采取不正当手段低毁、排挤其他供应商。 </w:t>
      </w:r>
    </w:p>
    <w:p w14:paraId="25AC3C48">
      <w:pPr>
        <w:pageBreakBefore w:val="0"/>
        <w:widowControl/>
        <w:overflowPunct/>
        <w:topLinePunct w:val="0"/>
        <w:bidi w:val="0"/>
        <w:spacing w:line="360" w:lineRule="auto"/>
        <w:ind w:firstLine="56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6</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 xml:space="preserve">不在提供商品和服务时“偷梁换柱、以次充好”损害采购人的合法权益。 </w:t>
      </w:r>
    </w:p>
    <w:p w14:paraId="316AB242">
      <w:pPr>
        <w:pageBreakBefore w:val="0"/>
        <w:widowControl/>
        <w:overflowPunct/>
        <w:topLinePunct w:val="0"/>
        <w:bidi w:val="0"/>
        <w:spacing w:line="360" w:lineRule="auto"/>
        <w:ind w:firstLine="56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7</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 xml:space="preserve">不与采购人、采购代理机构、政府采购评审专家或其它供应商恶意串通，进行质疑和投诉，维护政府采购市场秩序。 </w:t>
      </w:r>
    </w:p>
    <w:p w14:paraId="61671342">
      <w:pPr>
        <w:pageBreakBefore w:val="0"/>
        <w:widowControl/>
        <w:overflowPunct/>
        <w:topLinePunct w:val="0"/>
        <w:bidi w:val="0"/>
        <w:spacing w:line="360" w:lineRule="auto"/>
        <w:ind w:firstLine="56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 xml:space="preserve">尊重和接受政府采购监督管理部门的监督和政府采购代理机构采购要求，承担因违约行为给采购人造成的损失。 </w:t>
      </w:r>
    </w:p>
    <w:p w14:paraId="6137EA66">
      <w:pPr>
        <w:pageBreakBefore w:val="0"/>
        <w:widowControl/>
        <w:overflowPunct/>
        <w:topLinePunct w:val="0"/>
        <w:bidi w:val="0"/>
        <w:spacing w:line="360" w:lineRule="auto"/>
        <w:ind w:firstLine="56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9</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 xml:space="preserve">不发生其他有悖于政府采购公开、公平、公正和诚信原则的行为。 </w:t>
      </w:r>
    </w:p>
    <w:p w14:paraId="1B6EBEAD">
      <w:pPr>
        <w:pageBreakBefore w:val="0"/>
        <w:widowControl/>
        <w:overflowPunct/>
        <w:topLinePunct w:val="0"/>
        <w:bidi w:val="0"/>
        <w:spacing w:line="360" w:lineRule="auto"/>
        <w:rPr>
          <w:rFonts w:hint="eastAsia" w:ascii="宋体" w:hAnsi="宋体" w:eastAsia="宋体" w:cs="宋体"/>
          <w:kern w:val="0"/>
          <w:sz w:val="24"/>
          <w:szCs w:val="24"/>
          <w:highlight w:val="none"/>
        </w:rPr>
      </w:pPr>
    </w:p>
    <w:p w14:paraId="363425BB">
      <w:pPr>
        <w:pageBreakBefore w:val="0"/>
        <w:widowControl/>
        <w:overflowPunct/>
        <w:topLinePunct w:val="0"/>
        <w:bidi w:val="0"/>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承诺单位：</w:t>
      </w:r>
      <w:r>
        <w:rPr>
          <w:rFonts w:hint="eastAsia" w:ascii="宋体" w:hAnsi="宋体" w:eastAsia="宋体" w:cs="宋体"/>
          <w:kern w:val="0"/>
          <w:sz w:val="24"/>
          <w:szCs w:val="24"/>
          <w:highlight w:val="none"/>
          <w:u w:val="single"/>
        </w:rPr>
        <w:t>　　                 　</w:t>
      </w:r>
      <w:r>
        <w:rPr>
          <w:rFonts w:hint="eastAsia" w:ascii="宋体" w:hAnsi="宋体" w:eastAsia="宋体" w:cs="宋体"/>
          <w:kern w:val="0"/>
          <w:sz w:val="24"/>
          <w:szCs w:val="24"/>
          <w:highlight w:val="none"/>
        </w:rPr>
        <w:t>（盖章）</w:t>
      </w:r>
    </w:p>
    <w:p w14:paraId="1DC1AF8F">
      <w:pPr>
        <w:pageBreakBefore w:val="0"/>
        <w:widowControl/>
        <w:overflowPunct/>
        <w:topLinePunct w:val="0"/>
        <w:bidi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法定代表人或被授权人：</w:t>
      </w:r>
      <w:r>
        <w:rPr>
          <w:rFonts w:hint="eastAsia" w:ascii="宋体" w:hAnsi="宋体" w:eastAsia="宋体" w:cs="宋体"/>
          <w:kern w:val="0"/>
          <w:sz w:val="24"/>
          <w:szCs w:val="24"/>
          <w:highlight w:val="none"/>
          <w:u w:val="single"/>
        </w:rPr>
        <w:t>　　　　　     　　　　</w:t>
      </w:r>
      <w:r>
        <w:rPr>
          <w:rFonts w:hint="eastAsia" w:ascii="宋体" w:hAnsi="宋体" w:eastAsia="宋体" w:cs="宋体"/>
          <w:kern w:val="0"/>
          <w:sz w:val="24"/>
          <w:szCs w:val="24"/>
          <w:highlight w:val="none"/>
        </w:rPr>
        <w:t>（签字）</w:t>
      </w:r>
    </w:p>
    <w:p w14:paraId="7523CECD">
      <w:pPr>
        <w:pageBreakBefore w:val="0"/>
        <w:widowControl/>
        <w:overflowPunct/>
        <w:topLinePunct w:val="0"/>
        <w:bidi w:val="0"/>
        <w:spacing w:line="360" w:lineRule="auto"/>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地　　址：</w:t>
      </w:r>
      <w:r>
        <w:rPr>
          <w:rFonts w:hint="eastAsia" w:ascii="宋体" w:hAnsi="宋体" w:eastAsia="宋体" w:cs="宋体"/>
          <w:kern w:val="0"/>
          <w:sz w:val="24"/>
          <w:szCs w:val="24"/>
          <w:highlight w:val="none"/>
          <w:u w:val="single"/>
        </w:rPr>
        <w:t xml:space="preserve">                              </w:t>
      </w:r>
    </w:p>
    <w:p w14:paraId="0196D48A">
      <w:pPr>
        <w:pageBreakBefore w:val="0"/>
        <w:widowControl/>
        <w:overflowPunct/>
        <w:topLinePunct w:val="0"/>
        <w:bidi w:val="0"/>
        <w:spacing w:line="360" w:lineRule="auto"/>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邮    编：</w:t>
      </w:r>
      <w:r>
        <w:rPr>
          <w:rFonts w:hint="eastAsia" w:ascii="宋体" w:hAnsi="宋体" w:eastAsia="宋体" w:cs="宋体"/>
          <w:kern w:val="0"/>
          <w:sz w:val="24"/>
          <w:szCs w:val="24"/>
          <w:highlight w:val="none"/>
          <w:u w:val="single"/>
        </w:rPr>
        <w:t xml:space="preserve">　　                     　　 </w:t>
      </w:r>
    </w:p>
    <w:p w14:paraId="0BDF9116">
      <w:pPr>
        <w:pageBreakBefore w:val="0"/>
        <w:widowControl/>
        <w:overflowPunct/>
        <w:topLinePunct w:val="0"/>
        <w:bidi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　　话：</w:t>
      </w:r>
      <w:r>
        <w:rPr>
          <w:rFonts w:hint="eastAsia" w:ascii="宋体" w:hAnsi="宋体" w:eastAsia="宋体" w:cs="宋体"/>
          <w:kern w:val="0"/>
          <w:sz w:val="24"/>
          <w:szCs w:val="24"/>
          <w:highlight w:val="none"/>
          <w:u w:val="single"/>
        </w:rPr>
        <w:t>　　　                　　　　</w:t>
      </w:r>
    </w:p>
    <w:p w14:paraId="142A92B1">
      <w:pPr>
        <w:pageBreakBefore w:val="0"/>
        <w:kinsoku/>
        <w:wordWrap/>
        <w:overflowPunct/>
        <w:topLinePunct w:val="0"/>
        <w:bidi w:val="0"/>
        <w:spacing w:line="360" w:lineRule="auto"/>
        <w:ind w:firstLine="440" w:firstLineChars="200"/>
        <w:jc w:val="right"/>
        <w:textAlignment w:val="auto"/>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val="en-US" w:eastAsia="zh-CN"/>
        </w:rPr>
        <w:t xml:space="preserve"> </w:t>
      </w:r>
      <w:r>
        <w:rPr>
          <w:rFonts w:hint="eastAsia" w:ascii="宋体" w:hAnsi="宋体" w:eastAsia="宋体" w:cs="宋体"/>
          <w:kern w:val="0"/>
          <w:sz w:val="22"/>
          <w:szCs w:val="22"/>
          <w:highlight w:val="none"/>
        </w:rPr>
        <w:t>年　　月　　</w:t>
      </w:r>
      <w:r>
        <w:rPr>
          <w:rFonts w:hint="eastAsia" w:ascii="宋体" w:hAnsi="宋体" w:eastAsia="宋体" w:cs="宋体"/>
          <w:kern w:val="0"/>
          <w:sz w:val="22"/>
          <w:szCs w:val="22"/>
          <w:highlight w:val="none"/>
          <w:lang w:eastAsia="zh-CN"/>
        </w:rPr>
        <w:t>日</w:t>
      </w:r>
      <w:bookmarkEnd w:id="660"/>
      <w:bookmarkEnd w:id="661"/>
      <w:bookmarkEnd w:id="662"/>
      <w:bookmarkEnd w:id="663"/>
      <w:bookmarkEnd w:id="664"/>
      <w:bookmarkEnd w:id="665"/>
      <w:bookmarkEnd w:id="666"/>
      <w:bookmarkEnd w:id="683"/>
      <w:bookmarkEnd w:id="684"/>
    </w:p>
    <w:p w14:paraId="5109B4FA">
      <w:pPr>
        <w:bidi w:val="0"/>
        <w:rPr>
          <w:rFonts w:hint="eastAsia"/>
          <w:lang w:val="en-US" w:eastAsia="zh-CN"/>
        </w:rPr>
      </w:pPr>
    </w:p>
    <w:p w14:paraId="316947C8">
      <w:pPr>
        <w:rPr>
          <w:rFonts w:hint="eastAsia" w:ascii="宋体" w:hAnsi="宋体" w:eastAsia="宋体" w:cs="宋体"/>
          <w:sz w:val="28"/>
          <w:szCs w:val="28"/>
          <w:lang w:val="en-US" w:eastAsia="zh-CN"/>
        </w:rPr>
      </w:pPr>
    </w:p>
    <w:p w14:paraId="7A12479F">
      <w:pPr>
        <w:pStyle w:val="10"/>
        <w:rPr>
          <w:rFonts w:hint="eastAsia"/>
          <w:lang w:val="en-US" w:eastAsia="zh-CN"/>
        </w:rPr>
      </w:pPr>
    </w:p>
    <w:p w14:paraId="2A8C2D1F">
      <w:pPr>
        <w:pStyle w:val="4"/>
        <w:spacing w:before="0" w:after="0" w:line="520" w:lineRule="exact"/>
        <w:rPr>
          <w:rFonts w:hint="eastAsia" w:ascii="宋体" w:hAnsi="宋体" w:eastAsia="宋体" w:cs="宋体"/>
          <w:sz w:val="28"/>
          <w:szCs w:val="28"/>
        </w:rPr>
      </w:pPr>
      <w:r>
        <w:rPr>
          <w:rFonts w:hint="eastAsia" w:ascii="宋体" w:hAnsi="宋体" w:eastAsia="宋体" w:cs="宋体"/>
          <w:sz w:val="28"/>
          <w:szCs w:val="28"/>
          <w:lang w:val="en-US" w:eastAsia="zh-CN"/>
        </w:rPr>
        <w:t>12</w:t>
      </w:r>
      <w:r>
        <w:rPr>
          <w:rFonts w:hint="eastAsia" w:ascii="宋体" w:hAnsi="宋体" w:eastAsia="宋体" w:cs="宋体"/>
          <w:sz w:val="28"/>
          <w:szCs w:val="28"/>
        </w:rPr>
        <w:t>.《中小企业声明函》</w:t>
      </w:r>
    </w:p>
    <w:p w14:paraId="7DF41568">
      <w:pPr>
        <w:pStyle w:val="18"/>
        <w:widowControl/>
        <w:shd w:val="clear" w:color="auto" w:fill="FFFFFF"/>
        <w:spacing w:beforeAutospacing="0" w:afterAutospacing="0" w:line="555" w:lineRule="atLeast"/>
        <w:ind w:firstLine="420"/>
        <w:jc w:val="center"/>
        <w:rPr>
          <w:rFonts w:hint="eastAsia" w:ascii="宋体" w:hAnsi="宋体" w:eastAsia="宋体" w:cs="宋体"/>
          <w:color w:val="000000"/>
          <w:sz w:val="24"/>
          <w:szCs w:val="24"/>
        </w:rPr>
      </w:pPr>
      <w:r>
        <w:rPr>
          <w:rStyle w:val="25"/>
          <w:rFonts w:hint="eastAsia" w:ascii="宋体" w:hAnsi="宋体" w:eastAsia="宋体" w:cs="宋体"/>
          <w:color w:val="000000"/>
          <w:sz w:val="24"/>
          <w:szCs w:val="24"/>
          <w:shd w:val="clear" w:color="auto" w:fill="FFFFFF"/>
        </w:rPr>
        <w:t>中小企业声明函（工程、服务）</w:t>
      </w:r>
    </w:p>
    <w:p w14:paraId="781AD41A">
      <w:pPr>
        <w:pStyle w:val="18"/>
        <w:widowControl/>
        <w:shd w:val="clear" w:color="auto" w:fill="FFFFFF"/>
        <w:spacing w:beforeAutospacing="0" w:afterAutospacing="0" w:line="495" w:lineRule="atLeast"/>
        <w:ind w:firstLine="42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本公司（联合体）郑重声明，根据《政府采购促进中小企业发展管理办法》（财库﹝2020﹞46 号）的规定，本公司（联合体）参加 </w:t>
      </w:r>
      <w:r>
        <w:rPr>
          <w:rStyle w:val="28"/>
          <w:rFonts w:hint="eastAsia" w:ascii="宋体" w:hAnsi="宋体" w:eastAsia="宋体" w:cs="宋体"/>
          <w:color w:val="000000"/>
          <w:sz w:val="24"/>
          <w:szCs w:val="24"/>
          <w:u w:val="single"/>
          <w:shd w:val="clear" w:color="auto" w:fill="FFFFFF"/>
        </w:rPr>
        <w:t>（单位名称） </w:t>
      </w:r>
      <w:r>
        <w:rPr>
          <w:rFonts w:hint="eastAsia" w:ascii="宋体" w:hAnsi="宋体" w:eastAsia="宋体" w:cs="宋体"/>
          <w:color w:val="000000"/>
          <w:sz w:val="24"/>
          <w:szCs w:val="24"/>
          <w:shd w:val="clear" w:color="auto" w:fill="FFFFFF"/>
        </w:rPr>
        <w:t>的</w:t>
      </w:r>
      <w:r>
        <w:rPr>
          <w:rStyle w:val="28"/>
          <w:rFonts w:hint="eastAsia" w:ascii="宋体" w:hAnsi="宋体" w:eastAsia="宋体" w:cs="宋体"/>
          <w:color w:val="000000"/>
          <w:sz w:val="24"/>
          <w:szCs w:val="24"/>
          <w:u w:val="single"/>
          <w:shd w:val="clear" w:color="auto" w:fill="FFFFFF"/>
        </w:rPr>
        <w:t> （项目名称） </w:t>
      </w:r>
      <w:r>
        <w:rPr>
          <w:rFonts w:hint="eastAsia" w:ascii="宋体" w:hAnsi="宋体" w:eastAsia="宋体" w:cs="宋体"/>
          <w:color w:val="000000"/>
          <w:sz w:val="24"/>
          <w:szCs w:val="24"/>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14:paraId="7E4B7168">
      <w:pPr>
        <w:pStyle w:val="18"/>
        <w:widowControl/>
        <w:shd w:val="clear" w:color="auto" w:fill="FFFFFF"/>
        <w:spacing w:beforeAutospacing="0" w:afterAutospacing="0" w:line="495" w:lineRule="atLeast"/>
        <w:ind w:firstLine="42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1.</w:t>
      </w:r>
      <w:r>
        <w:rPr>
          <w:rStyle w:val="28"/>
          <w:rFonts w:hint="eastAsia" w:ascii="宋体" w:hAnsi="宋体" w:eastAsia="宋体" w:cs="宋体"/>
          <w:color w:val="000000"/>
          <w:sz w:val="24"/>
          <w:szCs w:val="24"/>
          <w:u w:val="single"/>
          <w:shd w:val="clear" w:color="auto" w:fill="FFFFFF"/>
        </w:rPr>
        <w:t>（标的名称） </w:t>
      </w:r>
      <w:r>
        <w:rPr>
          <w:rFonts w:hint="eastAsia" w:ascii="宋体" w:hAnsi="宋体" w:eastAsia="宋体" w:cs="宋体"/>
          <w:color w:val="000000"/>
          <w:sz w:val="24"/>
          <w:szCs w:val="24"/>
          <w:shd w:val="clear" w:color="auto" w:fill="FFFFFF"/>
        </w:rPr>
        <w:t>，属于</w:t>
      </w:r>
      <w:r>
        <w:rPr>
          <w:rStyle w:val="28"/>
          <w:rFonts w:hint="eastAsia" w:ascii="宋体" w:hAnsi="宋体" w:eastAsia="宋体" w:cs="宋体"/>
          <w:color w:val="000000"/>
          <w:sz w:val="24"/>
          <w:szCs w:val="24"/>
          <w:u w:val="single"/>
          <w:shd w:val="clear" w:color="auto" w:fill="FFFFFF"/>
        </w:rPr>
        <w:t> （采购文件中明确的所属行业） </w:t>
      </w:r>
      <w:r>
        <w:rPr>
          <w:rFonts w:hint="eastAsia" w:ascii="宋体" w:hAnsi="宋体" w:eastAsia="宋体" w:cs="宋体"/>
          <w:color w:val="000000"/>
          <w:sz w:val="24"/>
          <w:szCs w:val="24"/>
          <w:shd w:val="clear" w:color="auto" w:fill="FFFFFF"/>
        </w:rPr>
        <w:t>；承建（承接）企业为</w:t>
      </w:r>
      <w:r>
        <w:rPr>
          <w:rStyle w:val="28"/>
          <w:rFonts w:hint="eastAsia" w:ascii="宋体" w:hAnsi="宋体" w:eastAsia="宋体" w:cs="宋体"/>
          <w:color w:val="000000"/>
          <w:sz w:val="24"/>
          <w:szCs w:val="24"/>
          <w:u w:val="single"/>
          <w:shd w:val="clear" w:color="auto" w:fill="FFFFFF"/>
        </w:rPr>
        <w:t> （企业名称） </w:t>
      </w:r>
      <w:r>
        <w:rPr>
          <w:rFonts w:hint="eastAsia" w:ascii="宋体" w:hAnsi="宋体" w:eastAsia="宋体" w:cs="宋体"/>
          <w:color w:val="000000"/>
          <w:sz w:val="24"/>
          <w:szCs w:val="24"/>
          <w:shd w:val="clear" w:color="auto" w:fill="FFFFFF"/>
        </w:rPr>
        <w:t>，从业人员</w:t>
      </w:r>
      <w:r>
        <w:rPr>
          <w:rFonts w:hint="eastAsia" w:ascii="宋体" w:hAnsi="宋体" w:eastAsia="宋体" w:cs="宋体"/>
          <w:color w:val="000000"/>
          <w:sz w:val="24"/>
          <w:szCs w:val="24"/>
          <w:u w:val="single"/>
          <w:shd w:val="clear" w:color="auto" w:fill="FFFFFF"/>
        </w:rPr>
        <w:t> </w:t>
      </w:r>
      <w:r>
        <w:rPr>
          <w:rFonts w:hint="eastAsia" w:ascii="宋体" w:hAnsi="宋体" w:eastAsia="宋体" w:cs="宋体"/>
          <w:color w:val="000000"/>
          <w:sz w:val="24"/>
          <w:szCs w:val="24"/>
          <w:shd w:val="clear" w:color="auto" w:fill="FFFFFF"/>
        </w:rPr>
        <w:t>人，营业收入为</w:t>
      </w:r>
      <w:r>
        <w:rPr>
          <w:rFonts w:hint="eastAsia" w:ascii="宋体" w:hAnsi="宋体" w:eastAsia="宋体" w:cs="宋体"/>
          <w:color w:val="000000"/>
          <w:sz w:val="24"/>
          <w:szCs w:val="24"/>
          <w:u w:val="single"/>
          <w:shd w:val="clear" w:color="auto" w:fill="FFFFFF"/>
        </w:rPr>
        <w:t> </w:t>
      </w:r>
      <w:r>
        <w:rPr>
          <w:rFonts w:hint="eastAsia" w:ascii="宋体" w:hAnsi="宋体" w:eastAsia="宋体" w:cs="宋体"/>
          <w:color w:val="000000"/>
          <w:sz w:val="24"/>
          <w:szCs w:val="24"/>
          <w:shd w:val="clear" w:color="auto" w:fill="FFFFFF"/>
        </w:rPr>
        <w:t>万元，资产总额为</w:t>
      </w:r>
      <w:r>
        <w:rPr>
          <w:rFonts w:hint="eastAsia" w:ascii="宋体" w:hAnsi="宋体" w:eastAsia="宋体" w:cs="宋体"/>
          <w:color w:val="000000"/>
          <w:sz w:val="24"/>
          <w:szCs w:val="24"/>
          <w:u w:val="single"/>
          <w:shd w:val="clear" w:color="auto" w:fill="FFFFFF"/>
        </w:rPr>
        <w:t> </w:t>
      </w:r>
      <w:r>
        <w:rPr>
          <w:rFonts w:hint="eastAsia" w:ascii="宋体" w:hAnsi="宋体" w:eastAsia="宋体" w:cs="宋体"/>
          <w:color w:val="000000"/>
          <w:sz w:val="24"/>
          <w:szCs w:val="24"/>
          <w:shd w:val="clear" w:color="auto" w:fill="FFFFFF"/>
        </w:rPr>
        <w:t>万元</w:t>
      </w:r>
      <w:r>
        <w:rPr>
          <w:rFonts w:hint="eastAsia" w:ascii="宋体" w:hAnsi="宋体" w:eastAsia="宋体" w:cs="宋体"/>
          <w:color w:val="000000"/>
          <w:sz w:val="24"/>
          <w:szCs w:val="24"/>
          <w:shd w:val="clear" w:color="auto" w:fill="FFFFFF"/>
          <w:vertAlign w:val="superscript"/>
        </w:rPr>
        <w:t>1</w:t>
      </w:r>
      <w:r>
        <w:rPr>
          <w:rFonts w:hint="eastAsia" w:ascii="宋体" w:hAnsi="宋体" w:eastAsia="宋体" w:cs="宋体"/>
          <w:color w:val="000000"/>
          <w:sz w:val="24"/>
          <w:szCs w:val="24"/>
          <w:shd w:val="clear" w:color="auto" w:fill="FFFFFF"/>
        </w:rPr>
        <w:t> ，属于</w:t>
      </w:r>
      <w:r>
        <w:rPr>
          <w:rFonts w:hint="eastAsia" w:ascii="宋体" w:hAnsi="宋体" w:eastAsia="宋体" w:cs="宋体"/>
          <w:color w:val="000000"/>
          <w:sz w:val="24"/>
          <w:szCs w:val="24"/>
          <w:u w:val="single"/>
          <w:shd w:val="clear" w:color="auto" w:fill="FFFFFF"/>
        </w:rPr>
        <w:t xml:space="preserve"> （</w:t>
      </w:r>
      <w:r>
        <w:rPr>
          <w:rFonts w:hint="eastAsia" w:ascii="宋体" w:hAnsi="宋体" w:eastAsia="宋体" w:cs="宋体"/>
          <w:color w:val="000000"/>
          <w:sz w:val="24"/>
          <w:szCs w:val="24"/>
          <w:shd w:val="clear" w:color="auto" w:fill="FFFFFF"/>
        </w:rPr>
        <w:t>中型企业、小型企业、微型企业）；</w:t>
      </w:r>
    </w:p>
    <w:p w14:paraId="0E3F247A">
      <w:pPr>
        <w:pStyle w:val="18"/>
        <w:widowControl/>
        <w:shd w:val="clear" w:color="auto" w:fill="FFFFFF"/>
        <w:spacing w:beforeAutospacing="0" w:afterAutospacing="0" w:line="495" w:lineRule="atLeast"/>
        <w:ind w:firstLine="42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2.</w:t>
      </w:r>
      <w:r>
        <w:rPr>
          <w:rStyle w:val="28"/>
          <w:rFonts w:hint="eastAsia" w:ascii="宋体" w:hAnsi="宋体" w:eastAsia="宋体" w:cs="宋体"/>
          <w:color w:val="000000"/>
          <w:sz w:val="24"/>
          <w:szCs w:val="24"/>
          <w:u w:val="single"/>
          <w:shd w:val="clear" w:color="auto" w:fill="FFFFFF"/>
        </w:rPr>
        <w:t>（标的名称） </w:t>
      </w:r>
      <w:r>
        <w:rPr>
          <w:rFonts w:hint="eastAsia" w:ascii="宋体" w:hAnsi="宋体" w:eastAsia="宋体" w:cs="宋体"/>
          <w:color w:val="000000"/>
          <w:sz w:val="24"/>
          <w:szCs w:val="24"/>
          <w:shd w:val="clear" w:color="auto" w:fill="FFFFFF"/>
        </w:rPr>
        <w:t>，属于</w:t>
      </w:r>
      <w:r>
        <w:rPr>
          <w:rStyle w:val="28"/>
          <w:rFonts w:hint="eastAsia" w:ascii="宋体" w:hAnsi="宋体" w:eastAsia="宋体" w:cs="宋体"/>
          <w:color w:val="000000"/>
          <w:sz w:val="24"/>
          <w:szCs w:val="24"/>
          <w:u w:val="single"/>
          <w:shd w:val="clear" w:color="auto" w:fill="FFFFFF"/>
        </w:rPr>
        <w:t> （采购文件中明确的所属行业） </w:t>
      </w:r>
      <w:r>
        <w:rPr>
          <w:rFonts w:hint="eastAsia" w:ascii="宋体" w:hAnsi="宋体" w:eastAsia="宋体" w:cs="宋体"/>
          <w:color w:val="000000"/>
          <w:sz w:val="24"/>
          <w:szCs w:val="24"/>
          <w:shd w:val="clear" w:color="auto" w:fill="FFFFFF"/>
        </w:rPr>
        <w:t>；承建（承接）企业为 </w:t>
      </w:r>
      <w:r>
        <w:rPr>
          <w:rStyle w:val="28"/>
          <w:rFonts w:hint="eastAsia" w:ascii="宋体" w:hAnsi="宋体" w:eastAsia="宋体" w:cs="宋体"/>
          <w:color w:val="000000"/>
          <w:sz w:val="24"/>
          <w:szCs w:val="24"/>
          <w:u w:val="single"/>
          <w:shd w:val="clear" w:color="auto" w:fill="FFFFFF"/>
        </w:rPr>
        <w:t>（企业名称）</w:t>
      </w:r>
      <w:r>
        <w:rPr>
          <w:rFonts w:hint="eastAsia" w:ascii="宋体" w:hAnsi="宋体" w:eastAsia="宋体" w:cs="宋体"/>
          <w:color w:val="000000"/>
          <w:sz w:val="24"/>
          <w:szCs w:val="24"/>
          <w:shd w:val="clear" w:color="auto" w:fill="FFFFFF"/>
        </w:rPr>
        <w:t> ，从业人员</w:t>
      </w:r>
      <w:r>
        <w:rPr>
          <w:rFonts w:hint="eastAsia" w:ascii="宋体" w:hAnsi="宋体" w:eastAsia="宋体" w:cs="宋体"/>
          <w:color w:val="000000"/>
          <w:sz w:val="24"/>
          <w:szCs w:val="24"/>
          <w:u w:val="single"/>
          <w:shd w:val="clear" w:color="auto" w:fill="FFFFFF"/>
        </w:rPr>
        <w:t> </w:t>
      </w:r>
      <w:r>
        <w:rPr>
          <w:rFonts w:hint="eastAsia" w:ascii="宋体" w:hAnsi="宋体" w:eastAsia="宋体" w:cs="宋体"/>
          <w:color w:val="000000"/>
          <w:sz w:val="24"/>
          <w:szCs w:val="24"/>
          <w:shd w:val="clear" w:color="auto" w:fill="FFFFFF"/>
        </w:rPr>
        <w:t>人，营业收入为</w:t>
      </w:r>
      <w:r>
        <w:rPr>
          <w:rFonts w:hint="eastAsia" w:ascii="宋体" w:hAnsi="宋体" w:eastAsia="宋体" w:cs="宋体"/>
          <w:color w:val="000000"/>
          <w:sz w:val="24"/>
          <w:szCs w:val="24"/>
          <w:u w:val="single"/>
          <w:shd w:val="clear" w:color="auto" w:fill="FFFFFF"/>
        </w:rPr>
        <w:t> </w:t>
      </w:r>
      <w:r>
        <w:rPr>
          <w:rFonts w:hint="eastAsia" w:ascii="宋体" w:hAnsi="宋体" w:eastAsia="宋体" w:cs="宋体"/>
          <w:color w:val="000000"/>
          <w:sz w:val="24"/>
          <w:szCs w:val="24"/>
          <w:shd w:val="clear" w:color="auto" w:fill="FFFFFF"/>
        </w:rPr>
        <w:t>万元，资产总额为</w:t>
      </w:r>
      <w:r>
        <w:rPr>
          <w:rFonts w:hint="eastAsia" w:ascii="宋体" w:hAnsi="宋体" w:eastAsia="宋体" w:cs="宋体"/>
          <w:color w:val="000000"/>
          <w:sz w:val="24"/>
          <w:szCs w:val="24"/>
          <w:u w:val="single"/>
          <w:shd w:val="clear" w:color="auto" w:fill="FFFFFF"/>
          <w:lang w:val="en-US" w:eastAsia="zh-CN"/>
        </w:rPr>
        <w:t xml:space="preserve">  </w:t>
      </w:r>
      <w:r>
        <w:rPr>
          <w:rFonts w:hint="eastAsia" w:ascii="宋体" w:hAnsi="宋体" w:eastAsia="宋体" w:cs="宋体"/>
          <w:color w:val="000000"/>
          <w:sz w:val="24"/>
          <w:szCs w:val="24"/>
          <w:shd w:val="clear" w:color="auto" w:fill="FFFFFF"/>
        </w:rPr>
        <w:t>万元，属于</w:t>
      </w:r>
      <w:r>
        <w:rPr>
          <w:rFonts w:hint="eastAsia" w:ascii="宋体" w:hAnsi="宋体" w:eastAsia="宋体" w:cs="宋体"/>
          <w:color w:val="000000"/>
          <w:sz w:val="24"/>
          <w:szCs w:val="24"/>
          <w:u w:val="single"/>
          <w:shd w:val="clear" w:color="auto" w:fill="FFFFFF"/>
        </w:rPr>
        <w:t xml:space="preserve"> （</w:t>
      </w:r>
      <w:r>
        <w:rPr>
          <w:rFonts w:hint="eastAsia" w:ascii="宋体" w:hAnsi="宋体" w:eastAsia="宋体" w:cs="宋体"/>
          <w:color w:val="000000"/>
          <w:sz w:val="24"/>
          <w:szCs w:val="24"/>
          <w:shd w:val="clear" w:color="auto" w:fill="FFFFFF"/>
        </w:rPr>
        <w:t>中型企业、小型企业、微型企业）；</w:t>
      </w:r>
    </w:p>
    <w:p w14:paraId="29BBEC41">
      <w:pPr>
        <w:pStyle w:val="18"/>
        <w:widowControl/>
        <w:shd w:val="clear" w:color="auto" w:fill="FFFFFF"/>
        <w:spacing w:beforeAutospacing="0" w:afterAutospacing="0" w:line="495" w:lineRule="atLeast"/>
        <w:ind w:firstLine="42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w:t>
      </w:r>
    </w:p>
    <w:p w14:paraId="613434DA">
      <w:pPr>
        <w:pStyle w:val="18"/>
        <w:widowControl/>
        <w:shd w:val="clear" w:color="auto" w:fill="FFFFFF"/>
        <w:spacing w:beforeAutospacing="0" w:afterAutospacing="0" w:line="495" w:lineRule="atLeast"/>
        <w:ind w:firstLine="42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以上企业，不属于大企业的分支机构，不存在控股股东为大企业的情形，也不存在与大企业的负责人为同一人的情形。</w:t>
      </w:r>
    </w:p>
    <w:p w14:paraId="04BDFAC6">
      <w:pPr>
        <w:pStyle w:val="18"/>
        <w:widowControl/>
        <w:shd w:val="clear" w:color="auto" w:fill="FFFFFF"/>
        <w:spacing w:beforeAutospacing="0" w:afterAutospacing="0" w:line="495" w:lineRule="atLeast"/>
        <w:ind w:firstLine="42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本企业对上述声明内容的真实性负责。如有虚假，将依法承担相应责任。</w:t>
      </w:r>
    </w:p>
    <w:p w14:paraId="436EFB66">
      <w:pPr>
        <w:pStyle w:val="18"/>
        <w:widowControl/>
        <w:shd w:val="clear" w:color="auto" w:fill="FFFFFF"/>
        <w:spacing w:beforeAutospacing="0" w:afterAutospacing="0" w:line="495" w:lineRule="atLeast"/>
        <w:ind w:firstLine="42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企业名称（盖章）：</w:t>
      </w:r>
    </w:p>
    <w:p w14:paraId="29DB9482">
      <w:pPr>
        <w:pStyle w:val="18"/>
        <w:widowControl/>
        <w:shd w:val="clear" w:color="auto" w:fill="FFFFFF"/>
        <w:spacing w:beforeAutospacing="0" w:afterAutospacing="0" w:line="495" w:lineRule="atLeast"/>
        <w:ind w:right="600" w:firstLine="42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日 期：</w:t>
      </w:r>
    </w:p>
    <w:p w14:paraId="1A7CFA66">
      <w:pPr>
        <w:pStyle w:val="18"/>
        <w:widowControl/>
        <w:shd w:val="clear" w:color="auto" w:fill="FFFFFF"/>
        <w:spacing w:beforeAutospacing="0" w:afterAutospacing="0" w:line="405" w:lineRule="atLeast"/>
        <w:ind w:firstLine="42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 从业人员、营业收入、资产总额填报上一年度数据，无上一年度数据的新成立企业可不填报。</w:t>
      </w:r>
    </w:p>
    <w:p w14:paraId="40F7D7B1">
      <w:pPr>
        <w:pStyle w:val="18"/>
        <w:widowControl/>
        <w:shd w:val="clear" w:color="auto" w:fill="FFFFFF"/>
        <w:spacing w:beforeAutospacing="0" w:afterAutospacing="0" w:line="405" w:lineRule="atLeast"/>
        <w:ind w:firstLine="420"/>
        <w:rPr>
          <w:rFonts w:hint="eastAsia" w:ascii="宋体" w:hAnsi="宋体" w:cs="宋体"/>
          <w:color w:val="000000"/>
          <w:sz w:val="24"/>
          <w:szCs w:val="24"/>
          <w:shd w:val="clear" w:color="auto" w:fill="FFFFFF"/>
        </w:rPr>
      </w:pPr>
    </w:p>
    <w:p w14:paraId="3880C0B6">
      <w:pPr>
        <w:pStyle w:val="18"/>
        <w:widowControl/>
        <w:shd w:val="clear" w:color="auto" w:fill="FFFFFF"/>
        <w:spacing w:beforeAutospacing="0" w:afterAutospacing="0" w:line="405" w:lineRule="atLeast"/>
        <w:ind w:firstLine="420"/>
        <w:rPr>
          <w:rFonts w:hint="eastAsia" w:ascii="宋体" w:hAnsi="宋体" w:cs="宋体"/>
          <w:color w:val="000000"/>
          <w:sz w:val="28"/>
          <w:szCs w:val="28"/>
          <w:shd w:val="clear" w:color="auto" w:fill="FFFFFF"/>
        </w:rPr>
      </w:pPr>
    </w:p>
    <w:p w14:paraId="33969A0A">
      <w:pPr>
        <w:pStyle w:val="18"/>
        <w:widowControl/>
        <w:shd w:val="clear" w:color="auto" w:fill="FFFFFF"/>
        <w:spacing w:beforeAutospacing="0" w:afterAutospacing="0" w:line="405" w:lineRule="atLeast"/>
        <w:ind w:firstLine="420"/>
        <w:rPr>
          <w:rFonts w:hint="eastAsia" w:ascii="宋体" w:hAnsi="宋体" w:cs="宋体"/>
          <w:color w:val="000000"/>
          <w:sz w:val="28"/>
          <w:szCs w:val="28"/>
          <w:shd w:val="clear" w:color="auto" w:fill="FFFFFF"/>
        </w:rPr>
      </w:pPr>
    </w:p>
    <w:p w14:paraId="6BB74413">
      <w:pPr>
        <w:pStyle w:val="18"/>
        <w:widowControl/>
        <w:shd w:val="clear" w:color="auto" w:fill="FFFFFF"/>
        <w:spacing w:beforeAutospacing="0" w:afterAutospacing="0" w:line="405" w:lineRule="atLeast"/>
        <w:ind w:firstLine="420"/>
        <w:rPr>
          <w:rFonts w:hint="eastAsia" w:ascii="宋体" w:hAnsi="宋体" w:cs="宋体"/>
          <w:color w:val="000000"/>
          <w:sz w:val="28"/>
          <w:szCs w:val="28"/>
          <w:shd w:val="clear" w:color="auto" w:fill="FFFFFF"/>
        </w:rPr>
      </w:pPr>
    </w:p>
    <w:p w14:paraId="7DA8BED8">
      <w:pPr>
        <w:pStyle w:val="18"/>
        <w:widowControl/>
        <w:shd w:val="clear" w:color="auto" w:fill="FFFFFF"/>
        <w:spacing w:beforeAutospacing="0" w:afterAutospacing="0" w:line="405" w:lineRule="atLeast"/>
        <w:ind w:firstLine="420"/>
        <w:rPr>
          <w:rFonts w:hint="eastAsia" w:ascii="宋体" w:hAnsi="宋体" w:cs="宋体"/>
          <w:color w:val="000000"/>
          <w:sz w:val="28"/>
          <w:szCs w:val="28"/>
          <w:shd w:val="clear" w:color="auto" w:fill="FFFFFF"/>
        </w:rPr>
      </w:pPr>
    </w:p>
    <w:p w14:paraId="55F02B62">
      <w:pPr>
        <w:pStyle w:val="18"/>
        <w:widowControl/>
        <w:shd w:val="clear" w:color="auto" w:fill="FFFFFF"/>
        <w:spacing w:beforeAutospacing="0" w:afterAutospacing="0" w:line="405" w:lineRule="atLeast"/>
        <w:ind w:firstLine="420"/>
        <w:rPr>
          <w:rFonts w:hint="eastAsia" w:ascii="宋体" w:hAnsi="宋体" w:cs="宋体"/>
          <w:color w:val="000000"/>
          <w:sz w:val="28"/>
          <w:szCs w:val="28"/>
          <w:shd w:val="clear" w:color="auto" w:fill="FFFFFF"/>
        </w:rPr>
      </w:pPr>
    </w:p>
    <w:p w14:paraId="749A63B8">
      <w:pPr>
        <w:pStyle w:val="18"/>
        <w:widowControl/>
        <w:shd w:val="clear" w:color="auto" w:fill="FFFFFF"/>
        <w:spacing w:beforeAutospacing="0" w:afterAutospacing="0" w:line="405" w:lineRule="atLeast"/>
        <w:ind w:firstLine="420"/>
        <w:rPr>
          <w:rFonts w:hint="eastAsia" w:ascii="宋体" w:hAnsi="宋体" w:cs="宋体"/>
          <w:color w:val="000000"/>
          <w:sz w:val="28"/>
          <w:szCs w:val="28"/>
          <w:shd w:val="clear" w:color="auto" w:fill="FFFFFF"/>
        </w:rPr>
      </w:pPr>
    </w:p>
    <w:p w14:paraId="48A9605B">
      <w:pPr>
        <w:pStyle w:val="4"/>
        <w:spacing w:line="520" w:lineRule="exact"/>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《残疾人福利性单位声明函》</w:t>
      </w:r>
    </w:p>
    <w:p w14:paraId="7E52C5A8">
      <w:pPr>
        <w:spacing w:line="520" w:lineRule="exact"/>
        <w:jc w:val="center"/>
        <w:rPr>
          <w:rFonts w:hint="eastAsia" w:ascii="宋体" w:hAnsi="宋体" w:eastAsia="宋体" w:cs="宋体"/>
          <w:b/>
          <w:sz w:val="24"/>
          <w:szCs w:val="24"/>
        </w:rPr>
      </w:pPr>
      <w:bookmarkStart w:id="717" w:name="OLE_LINK14"/>
      <w:r>
        <w:rPr>
          <w:rFonts w:hint="eastAsia" w:ascii="宋体" w:hAnsi="宋体" w:eastAsia="宋体" w:cs="宋体"/>
          <w:b/>
          <w:sz w:val="24"/>
          <w:szCs w:val="24"/>
        </w:rPr>
        <w:t>残疾人福利性单位声明函</w:t>
      </w:r>
    </w:p>
    <w:bookmarkEnd w:id="717"/>
    <w:p w14:paraId="631C5D72">
      <w:pPr>
        <w:spacing w:line="520" w:lineRule="exact"/>
        <w:jc w:val="center"/>
        <w:rPr>
          <w:rFonts w:hint="eastAsia" w:ascii="宋体" w:hAnsi="宋体" w:eastAsia="宋体" w:cs="宋体"/>
          <w:b/>
          <w:sz w:val="24"/>
          <w:szCs w:val="24"/>
        </w:rPr>
      </w:pPr>
    </w:p>
    <w:p w14:paraId="0B4AC635">
      <w:pPr>
        <w:spacing w:line="52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4B2F6B">
      <w:pPr>
        <w:spacing w:line="52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5E683B7A">
      <w:pPr>
        <w:spacing w:line="520" w:lineRule="exact"/>
        <w:jc w:val="center"/>
        <w:rPr>
          <w:rFonts w:hint="eastAsia" w:ascii="宋体" w:hAnsi="宋体" w:eastAsia="宋体" w:cs="宋体"/>
          <w:sz w:val="24"/>
          <w:szCs w:val="24"/>
        </w:rPr>
      </w:pPr>
    </w:p>
    <w:p w14:paraId="0D68FFAE">
      <w:pPr>
        <w:spacing w:line="520" w:lineRule="exact"/>
        <w:jc w:val="center"/>
        <w:rPr>
          <w:rFonts w:hint="eastAsia" w:ascii="宋体" w:hAnsi="宋体" w:eastAsia="宋体" w:cs="宋体"/>
          <w:sz w:val="24"/>
          <w:szCs w:val="24"/>
        </w:rPr>
      </w:pPr>
    </w:p>
    <w:p w14:paraId="3006810B">
      <w:pPr>
        <w:bidi w:val="0"/>
        <w:ind w:firstLine="5040" w:firstLineChars="2100"/>
        <w:jc w:val="left"/>
        <w:rPr>
          <w:rFonts w:hint="eastAsia"/>
          <w:sz w:val="24"/>
          <w:szCs w:val="24"/>
        </w:rPr>
      </w:pPr>
      <w:bookmarkStart w:id="718" w:name="_Toc31041_WPSOffice_Level1"/>
      <w:bookmarkStart w:id="719" w:name="_Toc17258"/>
      <w:bookmarkStart w:id="720" w:name="_Toc19148"/>
      <w:bookmarkStart w:id="721" w:name="_Toc19443"/>
      <w:bookmarkStart w:id="722" w:name="_Toc16544_WPSOffice_Level1"/>
      <w:bookmarkStart w:id="723" w:name="_Toc27032_WPSOffice_Level1"/>
      <w:bookmarkStart w:id="724" w:name="_Toc28543_WPSOffice_Level1"/>
      <w:r>
        <w:rPr>
          <w:rFonts w:hint="eastAsia"/>
          <w:sz w:val="24"/>
          <w:szCs w:val="24"/>
        </w:rPr>
        <w:t>单位名称（盖章）：</w:t>
      </w:r>
      <w:bookmarkEnd w:id="718"/>
      <w:bookmarkEnd w:id="719"/>
      <w:bookmarkEnd w:id="720"/>
      <w:bookmarkEnd w:id="721"/>
      <w:bookmarkEnd w:id="722"/>
      <w:bookmarkEnd w:id="723"/>
      <w:bookmarkEnd w:id="724"/>
    </w:p>
    <w:p w14:paraId="6A95EC09">
      <w:pPr>
        <w:pageBreakBefore w:val="0"/>
        <w:kinsoku/>
        <w:overflowPunct/>
        <w:topLinePunct w:val="0"/>
        <w:bidi w:val="0"/>
        <w:spacing w:line="360" w:lineRule="auto"/>
        <w:ind w:firstLine="3600" w:firstLineChars="1500"/>
        <w:textAlignment w:val="auto"/>
        <w:rPr>
          <w:rFonts w:hint="eastAsia" w:ascii="宋体" w:hAnsi="宋体" w:eastAsia="宋体" w:cs="宋体"/>
          <w:sz w:val="24"/>
          <w:szCs w:val="24"/>
        </w:rPr>
      </w:pPr>
      <w:bookmarkStart w:id="725" w:name="_Toc5760_WPSOffice_Level1"/>
      <w:bookmarkStart w:id="726" w:name="_Toc5158"/>
      <w:bookmarkStart w:id="727" w:name="_Toc8917"/>
      <w:bookmarkStart w:id="728" w:name="_Toc16384_WPSOffice_Level1"/>
      <w:bookmarkStart w:id="729" w:name="_Toc30936"/>
      <w:bookmarkStart w:id="730" w:name="_Toc14096_WPSOffice_Level1"/>
      <w:bookmarkStart w:id="731" w:name="_Toc22377_WPSOffice_Level1"/>
    </w:p>
    <w:p w14:paraId="50232194">
      <w:pPr>
        <w:pageBreakBefore w:val="0"/>
        <w:kinsoku/>
        <w:overflowPunct/>
        <w:topLinePunct w:val="0"/>
        <w:bidi w:val="0"/>
        <w:spacing w:line="360" w:lineRule="auto"/>
        <w:ind w:firstLine="5040" w:firstLineChars="2100"/>
        <w:textAlignment w:val="auto"/>
        <w:rPr>
          <w:rFonts w:hint="eastAsia" w:ascii="宋体" w:hAnsi="宋体" w:eastAsia="宋体" w:cs="宋体"/>
          <w:sz w:val="24"/>
          <w:szCs w:val="24"/>
          <w:highlight w:val="none"/>
        </w:rPr>
      </w:pPr>
      <w:r>
        <w:rPr>
          <w:rFonts w:hint="eastAsia" w:ascii="宋体" w:hAnsi="宋体" w:eastAsia="宋体" w:cs="宋体"/>
          <w:sz w:val="24"/>
          <w:szCs w:val="24"/>
        </w:rPr>
        <w:t>日  期：</w:t>
      </w:r>
      <w:bookmarkEnd w:id="725"/>
      <w:bookmarkEnd w:id="726"/>
      <w:bookmarkEnd w:id="727"/>
      <w:bookmarkEnd w:id="728"/>
      <w:bookmarkEnd w:id="729"/>
      <w:bookmarkEnd w:id="730"/>
      <w:bookmarkEnd w:id="731"/>
    </w:p>
    <w:p w14:paraId="69307C9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highlight w:val="none"/>
        </w:rPr>
      </w:pPr>
      <w:bookmarkStart w:id="732" w:name="_Toc27759_WPSOffice_Level1"/>
      <w:bookmarkStart w:id="733" w:name="_Toc22105"/>
      <w:bookmarkStart w:id="734" w:name="_Toc27823_WPSOffice_Level1"/>
      <w:bookmarkStart w:id="735" w:name="_Toc3501_WPSOffice_Level1"/>
      <w:bookmarkStart w:id="736" w:name="_Toc13775"/>
      <w:bookmarkStart w:id="737" w:name="_Toc20319_WPSOffice_Level1"/>
      <w:bookmarkStart w:id="738" w:name="_Toc7680"/>
    </w:p>
    <w:p w14:paraId="2F109A94">
      <w:pPr>
        <w:pStyle w:val="2"/>
        <w:rPr>
          <w:rFonts w:hint="eastAsia" w:ascii="宋体" w:hAnsi="宋体" w:eastAsia="宋体" w:cs="宋体"/>
          <w:highlight w:val="none"/>
        </w:rPr>
      </w:pPr>
    </w:p>
    <w:p w14:paraId="4E329330">
      <w:pPr>
        <w:pStyle w:val="2"/>
        <w:rPr>
          <w:rFonts w:hint="eastAsia" w:ascii="宋体" w:hAnsi="宋体" w:eastAsia="宋体" w:cs="宋体"/>
          <w:highlight w:val="none"/>
        </w:rPr>
      </w:pPr>
    </w:p>
    <w:p w14:paraId="4FA73EDC">
      <w:pPr>
        <w:pStyle w:val="2"/>
        <w:rPr>
          <w:rFonts w:hint="eastAsia" w:ascii="宋体" w:hAnsi="宋体" w:eastAsia="宋体" w:cs="宋体"/>
          <w:highlight w:val="none"/>
        </w:rPr>
      </w:pPr>
    </w:p>
    <w:p w14:paraId="33F5D51E">
      <w:pPr>
        <w:pStyle w:val="2"/>
        <w:rPr>
          <w:rFonts w:hint="eastAsia" w:ascii="宋体" w:hAnsi="宋体" w:eastAsia="宋体" w:cs="宋体"/>
          <w:highlight w:val="none"/>
        </w:rPr>
      </w:pPr>
    </w:p>
    <w:p w14:paraId="6D32932B">
      <w:pPr>
        <w:pStyle w:val="2"/>
        <w:rPr>
          <w:rFonts w:hint="eastAsia" w:ascii="宋体" w:hAnsi="宋体" w:eastAsia="宋体" w:cs="宋体"/>
          <w:highlight w:val="none"/>
        </w:rPr>
      </w:pPr>
    </w:p>
    <w:p w14:paraId="0625A9ED">
      <w:pPr>
        <w:pStyle w:val="21"/>
        <w:rPr>
          <w:rFonts w:hint="eastAsia" w:ascii="宋体" w:hAnsi="宋体" w:eastAsia="宋体" w:cs="宋体"/>
          <w:highlight w:val="none"/>
        </w:rPr>
      </w:pPr>
      <w:r>
        <w:rPr>
          <w:rFonts w:hint="eastAsia" w:ascii="宋体" w:hAnsi="宋体" w:eastAsia="宋体" w:cs="宋体"/>
          <w:sz w:val="21"/>
          <w:highlight w:val="none"/>
        </w:rPr>
        <mc:AlternateContent>
          <mc:Choice Requires="wps">
            <w:drawing>
              <wp:anchor distT="0" distB="0" distL="114300" distR="114300" simplePos="0" relativeHeight="251664384" behindDoc="0" locked="0" layoutInCell="1" allowOverlap="1">
                <wp:simplePos x="0" y="0"/>
                <wp:positionH relativeFrom="column">
                  <wp:posOffset>775970</wp:posOffset>
                </wp:positionH>
                <wp:positionV relativeFrom="paragraph">
                  <wp:posOffset>113665</wp:posOffset>
                </wp:positionV>
                <wp:extent cx="1828800" cy="1828800"/>
                <wp:effectExtent l="0" t="0" r="0" b="0"/>
                <wp:wrapSquare wrapText="bothSides"/>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59A97">
                            <w:pPr>
                              <w:keepNext w:val="0"/>
                              <w:keepLines w:val="0"/>
                              <w:pageBreakBefore w:val="0"/>
                              <w:widowControl w:val="0"/>
                              <w:kinsoku/>
                              <w:wordWrap/>
                              <w:overflowPunct/>
                              <w:topLinePunct w:val="0"/>
                              <w:autoSpaceDE/>
                              <w:autoSpaceDN/>
                              <w:bidi w:val="0"/>
                              <w:adjustRightInd/>
                              <w:snapToGrid/>
                              <w:spacing w:line="240" w:lineRule="auto"/>
                              <w:ind w:left="-210" w:leftChars="-100" w:firstLine="422" w:firstLineChars="75"/>
                              <w:jc w:val="both"/>
                              <w:textAlignment w:val="auto"/>
                              <w:rPr>
                                <w:rFonts w:hint="eastAsia" w:ascii="宋体" w:hAnsi="宋体" w:eastAsia="宋体" w:cs="宋体"/>
                                <w:b/>
                                <w:bCs/>
                                <w:color w:val="767171" w:themeColor="background2" w:themeShade="80"/>
                                <w:sz w:val="56"/>
                                <w:szCs w:val="56"/>
                                <w14:reflection w14:blurRad="6350" w14:stA="53000" w14:stPos="0" w14:endA="300" w14:endPos="35500" w14:dist="0" w14:dir="5400000" w14:fadeDir="5400000" w14:sx="100000" w14:sy="-90000" w14:kx="0" w14:algn="bl"/>
                                <w14:textFill>
                                  <w14:gradFill>
                                    <w14:gsLst>
                                      <w14:gs w14:pos="50000">
                                        <w14:srgbClr w14:val="9F9967"/>
                                      </w14:gs>
                                      <w14:gs w14:pos="0">
                                        <w14:srgbClr w14:val="BFBB9A"/>
                                      </w14:gs>
                                      <w14:gs w14:pos="100000">
                                        <w14:srgbClr w14:val="7E7634"/>
                                      </w14:gs>
                                    </w14:gsLst>
                                    <w14:lin w14:scaled="1"/>
                                  </w14:gradFill>
                                </w14:textFill>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61.1pt;margin-top:8.95pt;height:144pt;width:144pt;mso-wrap-distance-bottom:0pt;mso-wrap-distance-left:9pt;mso-wrap-distance-right:9pt;mso-wrap-distance-top:0pt;mso-wrap-style:none;z-index:251664384;mso-width-relative:page;mso-height-relative:page;" filled="f" stroked="f" coordsize="21600,21600" o:gfxdata="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IrJFC2AAAAAoBAAAPAAAAAAAAAAEAIAAAACIAAABkcnMvZG93bnJl&#10;di54bWxQSwECFAAUAAAACACHTuJAnRxWdzYCAABnBAAADgAAAAAAAAABACAAAAAnAQAAZHJzL2Uy&#10;b0RvYy54bWxQSwUGAAAAAAYABgBZAQAAzwUAAAAA&#10;">
                <v:fill on="f" focussize="0,0"/>
                <v:stroke on="f" weight="0.5pt"/>
                <v:imagedata o:title=""/>
                <o:lock v:ext="edit" aspectratio="f"/>
                <v:textbox style="mso-fit-shape-to-text:t;">
                  <w:txbxContent>
                    <w:p w14:paraId="18159A97">
                      <w:pPr>
                        <w:keepNext w:val="0"/>
                        <w:keepLines w:val="0"/>
                        <w:pageBreakBefore w:val="0"/>
                        <w:widowControl w:val="0"/>
                        <w:kinsoku/>
                        <w:wordWrap/>
                        <w:overflowPunct/>
                        <w:topLinePunct w:val="0"/>
                        <w:autoSpaceDE/>
                        <w:autoSpaceDN/>
                        <w:bidi w:val="0"/>
                        <w:adjustRightInd/>
                        <w:snapToGrid/>
                        <w:spacing w:line="240" w:lineRule="auto"/>
                        <w:ind w:left="-210" w:leftChars="-100" w:firstLine="422" w:firstLineChars="75"/>
                        <w:jc w:val="both"/>
                        <w:textAlignment w:val="auto"/>
                        <w:rPr>
                          <w:rFonts w:hint="eastAsia" w:ascii="宋体" w:hAnsi="宋体" w:eastAsia="宋体" w:cs="宋体"/>
                          <w:b/>
                          <w:bCs/>
                          <w:color w:val="767171" w:themeColor="background2" w:themeShade="80"/>
                          <w:sz w:val="56"/>
                          <w:szCs w:val="56"/>
                          <w14:reflection w14:blurRad="6350" w14:stA="53000" w14:stPos="0" w14:endA="300" w14:endPos="35500" w14:dist="0" w14:dir="5400000" w14:fadeDir="5400000" w14:sx="100000" w14:sy="-90000" w14:kx="0" w14:algn="bl"/>
                          <w14:textFill>
                            <w14:gradFill>
                              <w14:gsLst>
                                <w14:gs w14:pos="50000">
                                  <w14:srgbClr w14:val="9F9967"/>
                                </w14:gs>
                                <w14:gs w14:pos="0">
                                  <w14:srgbClr w14:val="BFBB9A"/>
                                </w14:gs>
                                <w14:gs w14:pos="100000">
                                  <w14:srgbClr w14:val="7E7634"/>
                                </w14:gs>
                              </w14:gsLst>
                              <w14:lin w14:scaled="1"/>
                            </w14:gradFill>
                          </w14:textFill>
                        </w:rPr>
                      </w:pPr>
                    </w:p>
                  </w:txbxContent>
                </v:textbox>
                <w10:wrap type="square"/>
              </v:shape>
            </w:pict>
          </mc:Fallback>
        </mc:AlternateContent>
      </w:r>
    </w:p>
    <w:p w14:paraId="16276A6E">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highlight w:val="none"/>
        </w:rPr>
      </w:pPr>
    </w:p>
    <w:p w14:paraId="2E0D6F6E">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highlight w:val="none"/>
        </w:rPr>
      </w:pPr>
    </w:p>
    <w:p w14:paraId="357973FD">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highlight w:val="none"/>
        </w:rPr>
      </w:pPr>
    </w:p>
    <w:p w14:paraId="47E118FA">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highlight w:val="none"/>
        </w:rPr>
      </w:pPr>
    </w:p>
    <w:p w14:paraId="5F28E149">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highlight w:val="none"/>
        </w:rPr>
      </w:pPr>
    </w:p>
    <w:p w14:paraId="6D2E059B">
      <w:pPr>
        <w:rPr>
          <w:rFonts w:hint="eastAsia" w:ascii="宋体" w:hAnsi="宋体" w:eastAsia="宋体" w:cs="宋体"/>
          <w:highlight w:val="none"/>
        </w:rPr>
      </w:pPr>
      <w:r>
        <w:rPr>
          <w:rFonts w:hint="eastAsia" w:ascii="宋体" w:hAnsi="宋体" w:eastAsia="宋体" w:cs="宋体"/>
          <w:highlight w:val="none"/>
        </w:rPr>
        <w:br w:type="page"/>
      </w:r>
    </w:p>
    <w:p w14:paraId="4EC6DB75">
      <w:pPr>
        <w:keepNext w:val="0"/>
        <w:keepLines w:val="0"/>
        <w:pageBreakBefore w:val="0"/>
        <w:widowControl/>
        <w:kinsoku/>
        <w:wordWrap/>
        <w:overflowPunct/>
        <w:topLinePunct w:val="0"/>
        <w:autoSpaceDE/>
        <w:autoSpaceDN/>
        <w:bidi w:val="0"/>
        <w:adjustRightInd/>
        <w:snapToGrid/>
        <w:textAlignment w:val="baseline"/>
        <w:outlineLvl w:val="1"/>
        <w:rPr>
          <w:rFonts w:hint="eastAsia" w:ascii="宋体" w:hAnsi="宋体" w:eastAsia="宋体" w:cs="宋体"/>
          <w:b/>
          <w:color w:val="auto"/>
          <w:sz w:val="28"/>
          <w:szCs w:val="28"/>
          <w:highlight w:val="none"/>
          <w:u w:val="none" w:color="000000"/>
          <w:lang w:val="en-US" w:eastAsia="zh-CN" w:bidi="ar-SA"/>
        </w:rPr>
      </w:pPr>
      <w:r>
        <w:rPr>
          <w:rFonts w:hint="eastAsia" w:ascii="宋体" w:hAnsi="宋体" w:cs="宋体"/>
          <w:b/>
          <w:color w:val="auto"/>
          <w:sz w:val="28"/>
          <w:szCs w:val="28"/>
          <w:highlight w:val="none"/>
          <w:u w:val="none" w:color="000000"/>
          <w:lang w:val="en-US" w:eastAsia="zh-CN" w:bidi="ar-SA"/>
        </w:rPr>
        <w:t>14《</w:t>
      </w:r>
      <w:r>
        <w:rPr>
          <w:rFonts w:hint="eastAsia" w:ascii="宋体" w:hAnsi="宋体" w:eastAsia="宋体" w:cs="宋体"/>
          <w:b/>
          <w:color w:val="auto"/>
          <w:sz w:val="28"/>
          <w:szCs w:val="28"/>
          <w:highlight w:val="none"/>
          <w:u w:val="none" w:color="000000"/>
          <w:lang w:val="en-US" w:eastAsia="zh-CN" w:bidi="ar-SA"/>
        </w:rPr>
        <w:t>监狱企业证明函</w:t>
      </w:r>
      <w:r>
        <w:rPr>
          <w:rFonts w:hint="eastAsia" w:ascii="宋体" w:hAnsi="宋体" w:cs="宋体"/>
          <w:b/>
          <w:color w:val="auto"/>
          <w:sz w:val="28"/>
          <w:szCs w:val="28"/>
          <w:highlight w:val="none"/>
          <w:u w:val="none" w:color="000000"/>
          <w:lang w:val="en-US" w:eastAsia="zh-CN" w:bidi="ar-SA"/>
        </w:rPr>
        <w:t>》（若有）</w:t>
      </w:r>
    </w:p>
    <w:p w14:paraId="3C01CC31">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p>
    <w:p w14:paraId="7BE1146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说明：当且仅当供应商为监狱企业的，应当提供由省级以上监狱管理局、戒毒管理局（含新疆生产建设兵团）出具的属于监狱企业的证明函（格式不限）。</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未提供证明函的，将不能享受招标文件规定的价格优惠政策，但不影响投标文件的有效性。</w:t>
      </w:r>
    </w:p>
    <w:p w14:paraId="7D4077AE">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监狱企业证明函</w:t>
      </w:r>
    </w:p>
    <w:p w14:paraId="69069F8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24A276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监狱企业参加政府采购活动时，应当提供由省级以上监狱管理局、戒毒管理局（含新疆生产建设兵团）出具的属于监狱企业的证明文件。</w:t>
      </w:r>
    </w:p>
    <w:p w14:paraId="4500F6A6">
      <w:pPr>
        <w:pageBreakBefore w:val="0"/>
        <w:kinsoku/>
        <w:wordWrap/>
        <w:overflowPunct/>
        <w:topLinePunct w:val="0"/>
        <w:bidi w:val="0"/>
        <w:spacing w:line="360" w:lineRule="auto"/>
        <w:jc w:val="center"/>
        <w:textAlignment w:val="auto"/>
        <w:rPr>
          <w:rFonts w:hint="eastAsia" w:ascii="宋体" w:hAnsi="宋体" w:eastAsia="宋体" w:cs="宋体"/>
          <w:sz w:val="24"/>
          <w:szCs w:val="24"/>
          <w:highlight w:val="none"/>
        </w:rPr>
      </w:pPr>
    </w:p>
    <w:p w14:paraId="62E79681">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单位名称（盖章）：</w:t>
      </w:r>
    </w:p>
    <w:p w14:paraId="56F8DC1E">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日  期：</w:t>
      </w:r>
      <w:bookmarkEnd w:id="732"/>
      <w:bookmarkEnd w:id="733"/>
      <w:bookmarkEnd w:id="734"/>
      <w:bookmarkEnd w:id="735"/>
      <w:bookmarkEnd w:id="736"/>
      <w:bookmarkEnd w:id="737"/>
      <w:bookmarkEnd w:id="738"/>
      <w:r>
        <w:rPr>
          <w:sz w:val="21"/>
        </w:rPr>
        <mc:AlternateContent>
          <mc:Choice Requires="wps">
            <w:drawing>
              <wp:anchor distT="0" distB="0" distL="114300" distR="114300" simplePos="0" relativeHeight="251665408" behindDoc="0" locked="0" layoutInCell="1" allowOverlap="1">
                <wp:simplePos x="0" y="0"/>
                <wp:positionH relativeFrom="column">
                  <wp:posOffset>-29210</wp:posOffset>
                </wp:positionH>
                <wp:positionV relativeFrom="paragraph">
                  <wp:posOffset>90170</wp:posOffset>
                </wp:positionV>
                <wp:extent cx="5887720" cy="9525"/>
                <wp:effectExtent l="0" t="0" r="0" b="0"/>
                <wp:wrapNone/>
                <wp:docPr id="23" name="直接连接符 23"/>
                <wp:cNvGraphicFramePr/>
                <a:graphic xmlns:a="http://schemas.openxmlformats.org/drawingml/2006/main">
                  <a:graphicData uri="http://schemas.microsoft.com/office/word/2010/wordprocessingShape">
                    <wps:wsp>
                      <wps:cNvCnPr/>
                      <wps:spPr>
                        <a:xfrm flipV="1">
                          <a:off x="0" y="0"/>
                          <a:ext cx="5887720" cy="9525"/>
                        </a:xfrm>
                        <a:prstGeom prst="line">
                          <a:avLst/>
                        </a:prstGeom>
                        <a:ln w="22225" cmpd="dbl">
                          <a:no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3pt;margin-top:7.1pt;height:0.75pt;width:463.6pt;z-index:251665408;mso-width-relative:page;mso-height-relative:page;" filled="f" stroked="f" coordsize="21600,21600" o:gfxdata="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rBvEs1QAAAAgBAAAPAAAA&#10;AAAAAAEAIAAAACIAAABkcnMvZG93bnJldi54bWxQSwECFAAUAAAACACHTuJAaESsxt8BAACYAwAA&#10;DgAAAAAAAAABACAAAAAkAQAAZHJzL2Uyb0RvYy54bWxQSwUGAAAAAAYABgBZAQAAdQUAAAAA&#10;">
                <v:fill on="f" focussize="0,0"/>
                <v:stroke on="f" weight="1.75pt" linestyle="thinThin" miterlimit="8" joinstyle="miter"/>
                <v:imagedata o:title=""/>
                <o:lock v:ext="edit" aspectratio="f"/>
              </v:line>
            </w:pict>
          </mc:Fallback>
        </mc:AlternateContent>
      </w:r>
    </w:p>
    <w:sectPr>
      <w:endnotePr>
        <w:numFmt w:val="decimal"/>
      </w:endnotePr>
      <w:pgSz w:w="11907" w:h="16840"/>
      <w:pgMar w:top="1418" w:right="992" w:bottom="1418" w:left="1418" w:header="851" w:footer="850" w:gutter="0"/>
      <w:pgNumType w:fmt="decimal"/>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2D792">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8D9F9">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148D9F9">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EE168">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EA476">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5BEA476">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568F8">
    <w:pPr>
      <w:spacing w:line="280" w:lineRule="exact"/>
      <w:rPr>
        <w:rFonts w:hint="eastAsia"/>
        <w:b/>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3C4DB">
                          <w:pPr>
                            <w:pStyle w:val="1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4F3C4DB">
                    <w:pPr>
                      <w:pStyle w:val="1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E22FB">
    <w:pPr>
      <w:pStyle w:val="14"/>
      <w:tabs>
        <w:tab w:val="center" w:pos="4140"/>
        <w:tab w:val="right" w:pos="8300"/>
        <w:tab w:val="clear" w:pos="4153"/>
        <w:tab w:val="clear" w:pos="8306"/>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AAACB">
                          <w:pPr>
                            <w:pStyle w:val="1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A5AAACB">
                    <w:pPr>
                      <w:pStyle w:val="1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8B0E">
    <w:pPr>
      <w:pStyle w:val="14"/>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51F66">
                          <w:pPr>
                            <w:pStyle w:val="1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0C51F66">
                    <w:pPr>
                      <w:pStyle w:val="1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81F99">
    <w:pPr>
      <w:pStyle w:val="14"/>
      <w:tabs>
        <w:tab w:val="center" w:pos="4140"/>
        <w:tab w:val="right" w:pos="8300"/>
        <w:tab w:val="clear" w:pos="4153"/>
        <w:tab w:val="clear" w:pos="8306"/>
      </w:tabs>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67</w:t>
    </w:r>
    <w:r>
      <w:rPr>
        <w:b/>
        <w:sz w:val="24"/>
        <w:szCs w:val="24"/>
      </w:rPr>
      <w:fldChar w:fldCharType="end"/>
    </w:r>
  </w:p>
  <w:p w14:paraId="293F7499">
    <w:pPr>
      <w:spacing w:line="280" w:lineRule="exact"/>
      <w:jc w:val="center"/>
      <w:rPr>
        <w:rStyle w:val="26"/>
        <w:rFonts w:hint="eastAsia"/>
        <w:b/>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6CFDE">
    <w:pPr>
      <w:pStyle w:val="1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A340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24A340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4A026">
    <w:pPr>
      <w:jc w:val="both"/>
      <w:rPr>
        <w:b/>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63BD8">
                          <w:pPr>
                            <w:pStyle w:val="1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9463BD8">
                    <w:pPr>
                      <w:pStyle w:val="1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EF41E">
    <w:pPr>
      <w:pStyle w:val="15"/>
      <w:jc w:val="left"/>
      <w:rPr>
        <w:rFonts w:hint="default" w:ascii="宋体" w:hAnsi="宋体" w:eastAsia="宋体" w:cs="宋体"/>
        <w:b w:val="0"/>
        <w:bCs/>
        <w:i/>
        <w:iCs/>
        <w:sz w:val="15"/>
        <w:szCs w:val="15"/>
        <w:u w:val="non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1588A">
    <w:pPr>
      <w:pStyle w:val="15"/>
      <w:jc w:val="left"/>
      <w:rPr>
        <w:rFonts w:hint="eastAsia"/>
        <w:lang w:val="en-US" w:eastAsia="zh-CN"/>
      </w:rPr>
    </w:pPr>
    <w:r>
      <w:rPr>
        <w:rFonts w:hint="eastAsia" w:ascii="宋体" w:hAnsi="宋体" w:eastAsia="宋体" w:cs="宋体"/>
        <w:b w:val="0"/>
        <w:bCs/>
        <w:i/>
        <w:iCs/>
        <w:sz w:val="15"/>
        <w:szCs w:val="15"/>
        <w:u w:val="none"/>
        <w:shd w:val="clear" w:color="auto" w:fill="auto"/>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65877">
    <w:pPr>
      <w:spacing w:line="460" w:lineRule="exact"/>
      <w:jc w:val="lef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E8E15">
    <w:pPr>
      <w:pStyle w:val="15"/>
      <w:pBdr>
        <w:bottom w:val="none" w:color="auto" w:sz="0" w:space="1"/>
      </w:pBd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6B676">
    <w:pPr>
      <w:spacing w:line="460" w:lineRule="exact"/>
      <w:rPr>
        <w:rFonts w:hint="eastAsia" w:eastAsia="宋体"/>
        <w:lang w:eastAsia="zh-CN"/>
      </w:rPr>
    </w:pPr>
    <w:r>
      <w:rPr>
        <w:rFonts w:hint="eastAsia" w:ascii="宋体" w:hAnsi="宋体"/>
        <w:b/>
        <w:sz w:val="18"/>
        <w:szCs w:val="18"/>
        <w:u w:val="single"/>
        <w:shd w:val="pct10" w:color="auto" w:fill="FFFFFF"/>
      </w:rPr>
      <w:t>凤县“8.16”洪水灾后重建水毁堤防修复工程及监理采购项目                            项目编号:</w:t>
    </w:r>
    <w:r>
      <w:rPr>
        <w:rFonts w:hint="eastAsia" w:ascii="宋体" w:hAnsi="宋体"/>
        <w:b/>
        <w:sz w:val="18"/>
        <w:szCs w:val="18"/>
        <w:u w:val="single"/>
        <w:shd w:val="pct10" w:color="auto" w:fill="FFFFFF"/>
        <w:lang w:eastAsia="zh-CN"/>
      </w:rPr>
      <w:t>HRCZB20220003</w:t>
    </w:r>
  </w:p>
  <w:p w14:paraId="4BADFC65">
    <w:pPr>
      <w:pStyle w:val="15"/>
      <w:jc w:val="both"/>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31064">
    <w:pPr>
      <w:pStyle w:val="15"/>
      <w:rPr>
        <w:rFonts w:hint="eastAsia"/>
        <w:lang w:eastAsia="zh-CN"/>
      </w:rPr>
    </w:pPr>
    <w:r>
      <w:rPr>
        <w:rFonts w:hint="eastAsia" w:ascii="宋体" w:hAnsi="宋体" w:eastAsia="宋体" w:cs="宋体"/>
        <w:b w:val="0"/>
        <w:bCs/>
        <w:i/>
        <w:iCs/>
        <w:sz w:val="16"/>
        <w:szCs w:val="16"/>
        <w:u w:val="none"/>
        <w:shd w:val="clear" w:color="auto" w:fill="auto"/>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F63F3">
    <w:pPr>
      <w:pStyle w:val="15"/>
      <w:pBdr>
        <w:bottom w:val="none" w:color="auto" w:sz="0" w:space="1"/>
      </w:pBdr>
      <w:rPr>
        <w:rFonts w:hint="eastAsia"/>
      </w:rPr>
    </w:pPr>
  </w:p>
  <w:p w14:paraId="475A23A2">
    <w:pPr>
      <w:pStyle w:val="15"/>
      <w:tabs>
        <w:tab w:val="clear" w:pos="4153"/>
      </w:tabs>
      <w:jc w:val="right"/>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3D9DA"/>
    <w:multiLevelType w:val="singleLevel"/>
    <w:tmpl w:val="0533D9DA"/>
    <w:lvl w:ilvl="0" w:tentative="0">
      <w:start w:val="6"/>
      <w:numFmt w:val="decimal"/>
      <w:lvlText w:val="%1."/>
      <w:lvlJc w:val="left"/>
      <w:pPr>
        <w:tabs>
          <w:tab w:val="left" w:pos="312"/>
        </w:tabs>
      </w:pPr>
    </w:lvl>
  </w:abstractNum>
  <w:abstractNum w:abstractNumId="1">
    <w:nsid w:val="359CB8E8"/>
    <w:multiLevelType w:val="singleLevel"/>
    <w:tmpl w:val="359CB8E8"/>
    <w:lvl w:ilvl="0" w:tentative="0">
      <w:start w:val="1"/>
      <w:numFmt w:val="chineseCounting"/>
      <w:suff w:val="nothing"/>
      <w:lvlText w:val="%1、"/>
      <w:lvlJc w:val="left"/>
      <w:rPr>
        <w:rFonts w:hint="eastAsia"/>
      </w:rPr>
    </w:lvl>
  </w:abstractNum>
  <w:abstractNum w:abstractNumId="2">
    <w:nsid w:val="4CA3AAB9"/>
    <w:multiLevelType w:val="singleLevel"/>
    <w:tmpl w:val="4CA3AAB9"/>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MTE2MjY3MGFlN2QxZDMzYTdjZmVhMjZhZWE1MjkifQ=="/>
  </w:docVars>
  <w:rsids>
    <w:rsidRoot w:val="788B0903"/>
    <w:rsid w:val="00087A7E"/>
    <w:rsid w:val="00166795"/>
    <w:rsid w:val="0083050D"/>
    <w:rsid w:val="00936276"/>
    <w:rsid w:val="00AD558A"/>
    <w:rsid w:val="00BC6A1E"/>
    <w:rsid w:val="012D66CB"/>
    <w:rsid w:val="01380A9F"/>
    <w:rsid w:val="014F3925"/>
    <w:rsid w:val="017B3FF0"/>
    <w:rsid w:val="01C42B8B"/>
    <w:rsid w:val="01FF1E15"/>
    <w:rsid w:val="02117D9A"/>
    <w:rsid w:val="024141DC"/>
    <w:rsid w:val="025A1169"/>
    <w:rsid w:val="02BF77F6"/>
    <w:rsid w:val="02D432A2"/>
    <w:rsid w:val="02F76F90"/>
    <w:rsid w:val="030516AD"/>
    <w:rsid w:val="03231B33"/>
    <w:rsid w:val="03247659"/>
    <w:rsid w:val="036A2E09"/>
    <w:rsid w:val="037B10AC"/>
    <w:rsid w:val="037B196F"/>
    <w:rsid w:val="0388408C"/>
    <w:rsid w:val="0394658D"/>
    <w:rsid w:val="039E6195"/>
    <w:rsid w:val="03E14A11"/>
    <w:rsid w:val="040D2A74"/>
    <w:rsid w:val="04155225"/>
    <w:rsid w:val="041A2636"/>
    <w:rsid w:val="041B6CAE"/>
    <w:rsid w:val="04514153"/>
    <w:rsid w:val="046E3282"/>
    <w:rsid w:val="047910CD"/>
    <w:rsid w:val="04FA5415"/>
    <w:rsid w:val="0548177D"/>
    <w:rsid w:val="054F5218"/>
    <w:rsid w:val="05541C6B"/>
    <w:rsid w:val="05542478"/>
    <w:rsid w:val="058B7B51"/>
    <w:rsid w:val="059E1945"/>
    <w:rsid w:val="05AF6624"/>
    <w:rsid w:val="05B026F3"/>
    <w:rsid w:val="05BE1FE7"/>
    <w:rsid w:val="05C43E5B"/>
    <w:rsid w:val="05D15877"/>
    <w:rsid w:val="05DD6C55"/>
    <w:rsid w:val="05F05D5C"/>
    <w:rsid w:val="062F6A41"/>
    <w:rsid w:val="0636392C"/>
    <w:rsid w:val="063E0A32"/>
    <w:rsid w:val="064222D0"/>
    <w:rsid w:val="06A5478F"/>
    <w:rsid w:val="06C62F02"/>
    <w:rsid w:val="07177C01"/>
    <w:rsid w:val="072365A6"/>
    <w:rsid w:val="073374A4"/>
    <w:rsid w:val="074107DA"/>
    <w:rsid w:val="0741494C"/>
    <w:rsid w:val="077E37DC"/>
    <w:rsid w:val="07850AD3"/>
    <w:rsid w:val="078828AD"/>
    <w:rsid w:val="078E13D2"/>
    <w:rsid w:val="078F7797"/>
    <w:rsid w:val="0792368D"/>
    <w:rsid w:val="07941252"/>
    <w:rsid w:val="07B65912"/>
    <w:rsid w:val="07BD6D6B"/>
    <w:rsid w:val="07D07AAD"/>
    <w:rsid w:val="07DE427B"/>
    <w:rsid w:val="07F502FA"/>
    <w:rsid w:val="07F615C4"/>
    <w:rsid w:val="080261BB"/>
    <w:rsid w:val="080C703A"/>
    <w:rsid w:val="084A1910"/>
    <w:rsid w:val="0868278C"/>
    <w:rsid w:val="08711D91"/>
    <w:rsid w:val="088F2FB3"/>
    <w:rsid w:val="08CE3219"/>
    <w:rsid w:val="08CF1E16"/>
    <w:rsid w:val="08D35DAA"/>
    <w:rsid w:val="08D833C0"/>
    <w:rsid w:val="08DA2C94"/>
    <w:rsid w:val="09013BB2"/>
    <w:rsid w:val="09077801"/>
    <w:rsid w:val="09304FAA"/>
    <w:rsid w:val="093525C0"/>
    <w:rsid w:val="093F2ABC"/>
    <w:rsid w:val="09524F20"/>
    <w:rsid w:val="09581E0B"/>
    <w:rsid w:val="09785CB5"/>
    <w:rsid w:val="097A7FD3"/>
    <w:rsid w:val="09811362"/>
    <w:rsid w:val="098D7D07"/>
    <w:rsid w:val="099E5425"/>
    <w:rsid w:val="09C000DC"/>
    <w:rsid w:val="09EA33AB"/>
    <w:rsid w:val="09F76469"/>
    <w:rsid w:val="0A00497C"/>
    <w:rsid w:val="0A081A83"/>
    <w:rsid w:val="0A166C7E"/>
    <w:rsid w:val="0A2763AD"/>
    <w:rsid w:val="0A3665F0"/>
    <w:rsid w:val="0A5B40D0"/>
    <w:rsid w:val="0AA51080"/>
    <w:rsid w:val="0AB944A3"/>
    <w:rsid w:val="0AC93570"/>
    <w:rsid w:val="0AD503A8"/>
    <w:rsid w:val="0AE0030A"/>
    <w:rsid w:val="0B4D1E43"/>
    <w:rsid w:val="0B5030C8"/>
    <w:rsid w:val="0B5036E2"/>
    <w:rsid w:val="0B705B32"/>
    <w:rsid w:val="0B905DCC"/>
    <w:rsid w:val="0B93537C"/>
    <w:rsid w:val="0B9730BE"/>
    <w:rsid w:val="0BB93035"/>
    <w:rsid w:val="0BD25EA5"/>
    <w:rsid w:val="0C040028"/>
    <w:rsid w:val="0C434FF4"/>
    <w:rsid w:val="0C525237"/>
    <w:rsid w:val="0C550884"/>
    <w:rsid w:val="0C7E7DDA"/>
    <w:rsid w:val="0C9475FE"/>
    <w:rsid w:val="0CA45EC2"/>
    <w:rsid w:val="0CC47EE3"/>
    <w:rsid w:val="0CE00A95"/>
    <w:rsid w:val="0D0D3811"/>
    <w:rsid w:val="0D0F4ED6"/>
    <w:rsid w:val="0D1424ED"/>
    <w:rsid w:val="0D1F4D85"/>
    <w:rsid w:val="0D216AEF"/>
    <w:rsid w:val="0D682F64"/>
    <w:rsid w:val="0D9E6986"/>
    <w:rsid w:val="0D9F44AC"/>
    <w:rsid w:val="0DC13FD0"/>
    <w:rsid w:val="0DC857B1"/>
    <w:rsid w:val="0DD95C10"/>
    <w:rsid w:val="0DDE4FD5"/>
    <w:rsid w:val="0DE10274"/>
    <w:rsid w:val="0E010CC3"/>
    <w:rsid w:val="0E0F33E0"/>
    <w:rsid w:val="0E5136BE"/>
    <w:rsid w:val="0E527771"/>
    <w:rsid w:val="0E6D45AA"/>
    <w:rsid w:val="0E8536A2"/>
    <w:rsid w:val="0E94313E"/>
    <w:rsid w:val="0E9509E0"/>
    <w:rsid w:val="0ED527DB"/>
    <w:rsid w:val="0F0547B9"/>
    <w:rsid w:val="0F256C33"/>
    <w:rsid w:val="0F2E3D3A"/>
    <w:rsid w:val="0F5F4916"/>
    <w:rsid w:val="0F602A70"/>
    <w:rsid w:val="0F8A6A96"/>
    <w:rsid w:val="0F91415D"/>
    <w:rsid w:val="0FA518C7"/>
    <w:rsid w:val="0FA638D0"/>
    <w:rsid w:val="0FF02D9D"/>
    <w:rsid w:val="10196798"/>
    <w:rsid w:val="10264A11"/>
    <w:rsid w:val="10362DC0"/>
    <w:rsid w:val="1045758D"/>
    <w:rsid w:val="104A4BA3"/>
    <w:rsid w:val="107D2218"/>
    <w:rsid w:val="10A87B1C"/>
    <w:rsid w:val="10A96B3E"/>
    <w:rsid w:val="10CA7D05"/>
    <w:rsid w:val="110A4333"/>
    <w:rsid w:val="111156C1"/>
    <w:rsid w:val="11246940"/>
    <w:rsid w:val="11496181"/>
    <w:rsid w:val="11625F1D"/>
    <w:rsid w:val="11BA5F58"/>
    <w:rsid w:val="11F71AD2"/>
    <w:rsid w:val="11FF551A"/>
    <w:rsid w:val="12054B8B"/>
    <w:rsid w:val="12483364"/>
    <w:rsid w:val="127918B2"/>
    <w:rsid w:val="128819B3"/>
    <w:rsid w:val="128B4FFF"/>
    <w:rsid w:val="12CF75E2"/>
    <w:rsid w:val="12D9220E"/>
    <w:rsid w:val="13250FB0"/>
    <w:rsid w:val="133C5E41"/>
    <w:rsid w:val="13561AB1"/>
    <w:rsid w:val="13802913"/>
    <w:rsid w:val="138C463A"/>
    <w:rsid w:val="13A20DB7"/>
    <w:rsid w:val="13DD7ADC"/>
    <w:rsid w:val="13E64BE3"/>
    <w:rsid w:val="13E744B7"/>
    <w:rsid w:val="13F26B2A"/>
    <w:rsid w:val="141259D8"/>
    <w:rsid w:val="141379A2"/>
    <w:rsid w:val="145F04F1"/>
    <w:rsid w:val="148B12E6"/>
    <w:rsid w:val="149C1746"/>
    <w:rsid w:val="14B24AC5"/>
    <w:rsid w:val="14C667C2"/>
    <w:rsid w:val="14E81958"/>
    <w:rsid w:val="152139F9"/>
    <w:rsid w:val="15233029"/>
    <w:rsid w:val="15897F1C"/>
    <w:rsid w:val="159266A5"/>
    <w:rsid w:val="15BE749A"/>
    <w:rsid w:val="15CF16A7"/>
    <w:rsid w:val="15F07F9B"/>
    <w:rsid w:val="15F52AD3"/>
    <w:rsid w:val="16190030"/>
    <w:rsid w:val="16510957"/>
    <w:rsid w:val="167E4708"/>
    <w:rsid w:val="16961F50"/>
    <w:rsid w:val="16A91EF8"/>
    <w:rsid w:val="16B25250"/>
    <w:rsid w:val="16DB47A7"/>
    <w:rsid w:val="16E11692"/>
    <w:rsid w:val="172F064F"/>
    <w:rsid w:val="17343EB7"/>
    <w:rsid w:val="17345C65"/>
    <w:rsid w:val="174F0CF1"/>
    <w:rsid w:val="17575DF8"/>
    <w:rsid w:val="175C6F6A"/>
    <w:rsid w:val="17A70B2D"/>
    <w:rsid w:val="17B61794"/>
    <w:rsid w:val="17B648CC"/>
    <w:rsid w:val="17B86896"/>
    <w:rsid w:val="17CC0594"/>
    <w:rsid w:val="17D66D1D"/>
    <w:rsid w:val="1804388A"/>
    <w:rsid w:val="18200E26"/>
    <w:rsid w:val="185F4F64"/>
    <w:rsid w:val="18766B23"/>
    <w:rsid w:val="18975673"/>
    <w:rsid w:val="189A41EE"/>
    <w:rsid w:val="18B232E6"/>
    <w:rsid w:val="18C94AD3"/>
    <w:rsid w:val="18D25736"/>
    <w:rsid w:val="18F953B8"/>
    <w:rsid w:val="19006747"/>
    <w:rsid w:val="190F0738"/>
    <w:rsid w:val="19257F5C"/>
    <w:rsid w:val="193816CC"/>
    <w:rsid w:val="193957B5"/>
    <w:rsid w:val="194F4FD8"/>
    <w:rsid w:val="197131A1"/>
    <w:rsid w:val="197607B7"/>
    <w:rsid w:val="19B94B48"/>
    <w:rsid w:val="19BB22B5"/>
    <w:rsid w:val="19E27BFB"/>
    <w:rsid w:val="1A1B4EBB"/>
    <w:rsid w:val="1A4B1C44"/>
    <w:rsid w:val="1A5605E9"/>
    <w:rsid w:val="1AD31C39"/>
    <w:rsid w:val="1AD75285"/>
    <w:rsid w:val="1ADD2709"/>
    <w:rsid w:val="1AE95B14"/>
    <w:rsid w:val="1AED2CFB"/>
    <w:rsid w:val="1AF06347"/>
    <w:rsid w:val="1AF23E6D"/>
    <w:rsid w:val="1B2A0F7F"/>
    <w:rsid w:val="1B50319F"/>
    <w:rsid w:val="1B7177AB"/>
    <w:rsid w:val="1B744165"/>
    <w:rsid w:val="1B935EA2"/>
    <w:rsid w:val="1B96086F"/>
    <w:rsid w:val="1BAF6202"/>
    <w:rsid w:val="1BC11A92"/>
    <w:rsid w:val="1BCB46BE"/>
    <w:rsid w:val="1BCD0437"/>
    <w:rsid w:val="1BEF2AA3"/>
    <w:rsid w:val="1C623275"/>
    <w:rsid w:val="1C742056"/>
    <w:rsid w:val="1C8A418B"/>
    <w:rsid w:val="1CC655B2"/>
    <w:rsid w:val="1CE91C70"/>
    <w:rsid w:val="1D010B33"/>
    <w:rsid w:val="1D015817"/>
    <w:rsid w:val="1D305121"/>
    <w:rsid w:val="1D497BBF"/>
    <w:rsid w:val="1D542394"/>
    <w:rsid w:val="1D9B397C"/>
    <w:rsid w:val="1DAA797A"/>
    <w:rsid w:val="1DE17F63"/>
    <w:rsid w:val="1DEE0346"/>
    <w:rsid w:val="1E3058A4"/>
    <w:rsid w:val="1E354E65"/>
    <w:rsid w:val="1E3E386E"/>
    <w:rsid w:val="1E4075E6"/>
    <w:rsid w:val="1E786D7F"/>
    <w:rsid w:val="1E9D67E6"/>
    <w:rsid w:val="1EE37197"/>
    <w:rsid w:val="1F100D66"/>
    <w:rsid w:val="1F106FB8"/>
    <w:rsid w:val="1F2F7577"/>
    <w:rsid w:val="1F4B28D7"/>
    <w:rsid w:val="1F533349"/>
    <w:rsid w:val="1FA07131"/>
    <w:rsid w:val="1FB060A5"/>
    <w:rsid w:val="1FB931AC"/>
    <w:rsid w:val="1FC63B1B"/>
    <w:rsid w:val="1FCB1F65"/>
    <w:rsid w:val="1FF40688"/>
    <w:rsid w:val="20097E44"/>
    <w:rsid w:val="201A79C2"/>
    <w:rsid w:val="201E5705"/>
    <w:rsid w:val="20232D1B"/>
    <w:rsid w:val="204625D4"/>
    <w:rsid w:val="20535A3E"/>
    <w:rsid w:val="206C062D"/>
    <w:rsid w:val="2080165E"/>
    <w:rsid w:val="208F16C3"/>
    <w:rsid w:val="20A35C0A"/>
    <w:rsid w:val="20B41BC5"/>
    <w:rsid w:val="20C84694"/>
    <w:rsid w:val="20D35644"/>
    <w:rsid w:val="21425977"/>
    <w:rsid w:val="214D44F3"/>
    <w:rsid w:val="215D400B"/>
    <w:rsid w:val="215E639F"/>
    <w:rsid w:val="21767C6B"/>
    <w:rsid w:val="217952E8"/>
    <w:rsid w:val="21B445C8"/>
    <w:rsid w:val="21D544E9"/>
    <w:rsid w:val="21E87D78"/>
    <w:rsid w:val="22026B85"/>
    <w:rsid w:val="223E5BEA"/>
    <w:rsid w:val="229B303C"/>
    <w:rsid w:val="22AF14B7"/>
    <w:rsid w:val="22B106FF"/>
    <w:rsid w:val="22BF4C53"/>
    <w:rsid w:val="22C40309"/>
    <w:rsid w:val="22F369D5"/>
    <w:rsid w:val="23072480"/>
    <w:rsid w:val="23244DE0"/>
    <w:rsid w:val="23407D07"/>
    <w:rsid w:val="23422836"/>
    <w:rsid w:val="234A05BF"/>
    <w:rsid w:val="238F5F77"/>
    <w:rsid w:val="23B312CA"/>
    <w:rsid w:val="23C6233B"/>
    <w:rsid w:val="23C86C6B"/>
    <w:rsid w:val="23D22A8E"/>
    <w:rsid w:val="23D92C73"/>
    <w:rsid w:val="23F32A04"/>
    <w:rsid w:val="23F70746"/>
    <w:rsid w:val="2406586D"/>
    <w:rsid w:val="240A1DAC"/>
    <w:rsid w:val="244B2840"/>
    <w:rsid w:val="245C2C9F"/>
    <w:rsid w:val="247E6772"/>
    <w:rsid w:val="24857B00"/>
    <w:rsid w:val="24877D1C"/>
    <w:rsid w:val="248F6BD1"/>
    <w:rsid w:val="249935AC"/>
    <w:rsid w:val="24A62603"/>
    <w:rsid w:val="24C543A1"/>
    <w:rsid w:val="24D91026"/>
    <w:rsid w:val="24F15196"/>
    <w:rsid w:val="24FA1015"/>
    <w:rsid w:val="24FC2C7E"/>
    <w:rsid w:val="250F0372"/>
    <w:rsid w:val="25103203"/>
    <w:rsid w:val="251D6CDB"/>
    <w:rsid w:val="253A6130"/>
    <w:rsid w:val="253E76F3"/>
    <w:rsid w:val="254A0D4A"/>
    <w:rsid w:val="25A62424"/>
    <w:rsid w:val="25B01D86"/>
    <w:rsid w:val="25C1725E"/>
    <w:rsid w:val="25EE0477"/>
    <w:rsid w:val="26445799"/>
    <w:rsid w:val="266206C6"/>
    <w:rsid w:val="26963B99"/>
    <w:rsid w:val="26993D37"/>
    <w:rsid w:val="26D1527F"/>
    <w:rsid w:val="26D20FF7"/>
    <w:rsid w:val="26E86BAF"/>
    <w:rsid w:val="272C6959"/>
    <w:rsid w:val="274719E5"/>
    <w:rsid w:val="27636091"/>
    <w:rsid w:val="27A02EA3"/>
    <w:rsid w:val="27B626C7"/>
    <w:rsid w:val="27D473A5"/>
    <w:rsid w:val="27F868B5"/>
    <w:rsid w:val="27FE455C"/>
    <w:rsid w:val="27FF406E"/>
    <w:rsid w:val="280A10F1"/>
    <w:rsid w:val="28215EB7"/>
    <w:rsid w:val="28416434"/>
    <w:rsid w:val="285A12A4"/>
    <w:rsid w:val="287320EC"/>
    <w:rsid w:val="28855713"/>
    <w:rsid w:val="28942A08"/>
    <w:rsid w:val="28A449D2"/>
    <w:rsid w:val="28A8200F"/>
    <w:rsid w:val="28AF1F8E"/>
    <w:rsid w:val="28B46C06"/>
    <w:rsid w:val="28B9246E"/>
    <w:rsid w:val="28F25557"/>
    <w:rsid w:val="292813A2"/>
    <w:rsid w:val="292E4C0A"/>
    <w:rsid w:val="29514455"/>
    <w:rsid w:val="29544F52"/>
    <w:rsid w:val="295B52D4"/>
    <w:rsid w:val="297E7214"/>
    <w:rsid w:val="29A13FDE"/>
    <w:rsid w:val="29B844D4"/>
    <w:rsid w:val="29DB1642"/>
    <w:rsid w:val="29F57906"/>
    <w:rsid w:val="2A2658E2"/>
    <w:rsid w:val="2A294281"/>
    <w:rsid w:val="2A3618A2"/>
    <w:rsid w:val="2A676AB7"/>
    <w:rsid w:val="2A6F54DA"/>
    <w:rsid w:val="2ABA427C"/>
    <w:rsid w:val="2AC03C1F"/>
    <w:rsid w:val="2AEB08D9"/>
    <w:rsid w:val="2AF43C32"/>
    <w:rsid w:val="2B0C0F7B"/>
    <w:rsid w:val="2B8F1093"/>
    <w:rsid w:val="2B91322F"/>
    <w:rsid w:val="2B914AEA"/>
    <w:rsid w:val="2BA46C8F"/>
    <w:rsid w:val="2BC86CDA"/>
    <w:rsid w:val="2BD375CB"/>
    <w:rsid w:val="2BFA35F2"/>
    <w:rsid w:val="2C091B04"/>
    <w:rsid w:val="2C124050"/>
    <w:rsid w:val="2C2C2F57"/>
    <w:rsid w:val="2C4402A1"/>
    <w:rsid w:val="2C8B5ED0"/>
    <w:rsid w:val="2C8E59C0"/>
    <w:rsid w:val="2CAB47C4"/>
    <w:rsid w:val="2CE16CC0"/>
    <w:rsid w:val="2CFA4E04"/>
    <w:rsid w:val="2D0619FA"/>
    <w:rsid w:val="2D2D2D42"/>
    <w:rsid w:val="2D300825"/>
    <w:rsid w:val="2D3F0D0D"/>
    <w:rsid w:val="2D614E83"/>
    <w:rsid w:val="2D825525"/>
    <w:rsid w:val="2D937732"/>
    <w:rsid w:val="2D9B65E7"/>
    <w:rsid w:val="2DA03BFD"/>
    <w:rsid w:val="2DAF2092"/>
    <w:rsid w:val="2DE26B80"/>
    <w:rsid w:val="2DF53F49"/>
    <w:rsid w:val="2E074870"/>
    <w:rsid w:val="2E2C723F"/>
    <w:rsid w:val="2E3D144C"/>
    <w:rsid w:val="2E4C168F"/>
    <w:rsid w:val="2E60513A"/>
    <w:rsid w:val="2E642E7C"/>
    <w:rsid w:val="2E6B420B"/>
    <w:rsid w:val="2EA80FBB"/>
    <w:rsid w:val="2ECF2994"/>
    <w:rsid w:val="2EDF0755"/>
    <w:rsid w:val="2EEC6A7E"/>
    <w:rsid w:val="2EF8344A"/>
    <w:rsid w:val="2EFC62B4"/>
    <w:rsid w:val="2F300FB0"/>
    <w:rsid w:val="2F3F11F4"/>
    <w:rsid w:val="2FBA3671"/>
    <w:rsid w:val="3025488D"/>
    <w:rsid w:val="302A5C70"/>
    <w:rsid w:val="30A25EDE"/>
    <w:rsid w:val="30AB089C"/>
    <w:rsid w:val="30BA3228"/>
    <w:rsid w:val="30BC6FA0"/>
    <w:rsid w:val="31091AB9"/>
    <w:rsid w:val="311C37D2"/>
    <w:rsid w:val="31295CB7"/>
    <w:rsid w:val="313A6116"/>
    <w:rsid w:val="315E3BB3"/>
    <w:rsid w:val="31666F0B"/>
    <w:rsid w:val="316D3DF6"/>
    <w:rsid w:val="31905D36"/>
    <w:rsid w:val="31CB6D6E"/>
    <w:rsid w:val="31F462C5"/>
    <w:rsid w:val="31F6180D"/>
    <w:rsid w:val="32017DF8"/>
    <w:rsid w:val="320756DD"/>
    <w:rsid w:val="325B1D30"/>
    <w:rsid w:val="325F5E35"/>
    <w:rsid w:val="329B2BE5"/>
    <w:rsid w:val="329E21EF"/>
    <w:rsid w:val="32B24F24"/>
    <w:rsid w:val="32B5089C"/>
    <w:rsid w:val="32C97752"/>
    <w:rsid w:val="32F644CB"/>
    <w:rsid w:val="32FA3DAF"/>
    <w:rsid w:val="330354CD"/>
    <w:rsid w:val="330C763F"/>
    <w:rsid w:val="331F7372"/>
    <w:rsid w:val="332D5F33"/>
    <w:rsid w:val="33CD5020"/>
    <w:rsid w:val="33D97E69"/>
    <w:rsid w:val="34202737"/>
    <w:rsid w:val="346E05B1"/>
    <w:rsid w:val="347E3619"/>
    <w:rsid w:val="348F2B1F"/>
    <w:rsid w:val="34943D90"/>
    <w:rsid w:val="34A007F2"/>
    <w:rsid w:val="34AE2A9C"/>
    <w:rsid w:val="34C4575D"/>
    <w:rsid w:val="34DB376C"/>
    <w:rsid w:val="34E03D26"/>
    <w:rsid w:val="351A24E7"/>
    <w:rsid w:val="35284C04"/>
    <w:rsid w:val="355163AB"/>
    <w:rsid w:val="35740C6A"/>
    <w:rsid w:val="359E4EC6"/>
    <w:rsid w:val="35A16764"/>
    <w:rsid w:val="35C661CB"/>
    <w:rsid w:val="35DD523A"/>
    <w:rsid w:val="35DE1766"/>
    <w:rsid w:val="35E054DE"/>
    <w:rsid w:val="36894ABE"/>
    <w:rsid w:val="36B96CD0"/>
    <w:rsid w:val="36C142B1"/>
    <w:rsid w:val="36D641EB"/>
    <w:rsid w:val="36EA5EE9"/>
    <w:rsid w:val="36F01751"/>
    <w:rsid w:val="37021484"/>
    <w:rsid w:val="37083929"/>
    <w:rsid w:val="372E5DD5"/>
    <w:rsid w:val="37476E97"/>
    <w:rsid w:val="374C0952"/>
    <w:rsid w:val="375021E0"/>
    <w:rsid w:val="376161AB"/>
    <w:rsid w:val="379F0A81"/>
    <w:rsid w:val="37B22EAA"/>
    <w:rsid w:val="37F75AC9"/>
    <w:rsid w:val="38392C84"/>
    <w:rsid w:val="383B2EA0"/>
    <w:rsid w:val="3872263A"/>
    <w:rsid w:val="3891053F"/>
    <w:rsid w:val="38973808"/>
    <w:rsid w:val="38A65E3F"/>
    <w:rsid w:val="38B36EDA"/>
    <w:rsid w:val="38BD6B23"/>
    <w:rsid w:val="38F10CF7"/>
    <w:rsid w:val="38FB7F7C"/>
    <w:rsid w:val="3914549F"/>
    <w:rsid w:val="391E7CA1"/>
    <w:rsid w:val="39643D30"/>
    <w:rsid w:val="3986639D"/>
    <w:rsid w:val="399C51C3"/>
    <w:rsid w:val="39A44A75"/>
    <w:rsid w:val="39D215E2"/>
    <w:rsid w:val="39F50B5B"/>
    <w:rsid w:val="3A2E433E"/>
    <w:rsid w:val="3A5C70FE"/>
    <w:rsid w:val="3A602B49"/>
    <w:rsid w:val="3A706705"/>
    <w:rsid w:val="3A7461F5"/>
    <w:rsid w:val="3A8723CC"/>
    <w:rsid w:val="3ABA2AFA"/>
    <w:rsid w:val="3AD80746"/>
    <w:rsid w:val="3ADD1FEC"/>
    <w:rsid w:val="3B2C4D22"/>
    <w:rsid w:val="3B556027"/>
    <w:rsid w:val="3B712735"/>
    <w:rsid w:val="3B950B19"/>
    <w:rsid w:val="3BAC5E63"/>
    <w:rsid w:val="3BAC7C11"/>
    <w:rsid w:val="3BC2225D"/>
    <w:rsid w:val="3BE178BA"/>
    <w:rsid w:val="3BED2703"/>
    <w:rsid w:val="3BF76887"/>
    <w:rsid w:val="3BFE77D7"/>
    <w:rsid w:val="3BFE7CD9"/>
    <w:rsid w:val="3C5A58BF"/>
    <w:rsid w:val="3C5E0F0B"/>
    <w:rsid w:val="3C6B3628"/>
    <w:rsid w:val="3C6E1B1B"/>
    <w:rsid w:val="3C7F20DE"/>
    <w:rsid w:val="3C88242C"/>
    <w:rsid w:val="3C8B3CCA"/>
    <w:rsid w:val="3CAF0C41"/>
    <w:rsid w:val="3CBB7D2C"/>
    <w:rsid w:val="3CEA6C43"/>
    <w:rsid w:val="3D0372A6"/>
    <w:rsid w:val="3D490BD0"/>
    <w:rsid w:val="3D671D7B"/>
    <w:rsid w:val="3DDD3903"/>
    <w:rsid w:val="3DDF7E2A"/>
    <w:rsid w:val="3E17629B"/>
    <w:rsid w:val="3E312412"/>
    <w:rsid w:val="3E333D2C"/>
    <w:rsid w:val="3E4715EC"/>
    <w:rsid w:val="3E720C9E"/>
    <w:rsid w:val="3E741903"/>
    <w:rsid w:val="3E870B0E"/>
    <w:rsid w:val="3E8804C1"/>
    <w:rsid w:val="3E88226F"/>
    <w:rsid w:val="3EBE6FF1"/>
    <w:rsid w:val="3EC040FF"/>
    <w:rsid w:val="3EC14315"/>
    <w:rsid w:val="3EC3774B"/>
    <w:rsid w:val="3ED43DC4"/>
    <w:rsid w:val="3ED44AE0"/>
    <w:rsid w:val="3EEA4CD8"/>
    <w:rsid w:val="3F4168C2"/>
    <w:rsid w:val="3F47212A"/>
    <w:rsid w:val="3FC8434E"/>
    <w:rsid w:val="3FDE56EE"/>
    <w:rsid w:val="3FDF6807"/>
    <w:rsid w:val="400334A7"/>
    <w:rsid w:val="4012098A"/>
    <w:rsid w:val="40155D85"/>
    <w:rsid w:val="401E14E7"/>
    <w:rsid w:val="401F4E55"/>
    <w:rsid w:val="4024246B"/>
    <w:rsid w:val="409075E8"/>
    <w:rsid w:val="40D23C76"/>
    <w:rsid w:val="40DC68A2"/>
    <w:rsid w:val="40E2333D"/>
    <w:rsid w:val="40EC575D"/>
    <w:rsid w:val="41055114"/>
    <w:rsid w:val="41077691"/>
    <w:rsid w:val="4120583D"/>
    <w:rsid w:val="413E755D"/>
    <w:rsid w:val="41536A5A"/>
    <w:rsid w:val="41B75E7E"/>
    <w:rsid w:val="41CC4B69"/>
    <w:rsid w:val="41EC7DAD"/>
    <w:rsid w:val="41F8770C"/>
    <w:rsid w:val="42084F38"/>
    <w:rsid w:val="4214422C"/>
    <w:rsid w:val="42336996"/>
    <w:rsid w:val="423975C1"/>
    <w:rsid w:val="424B0183"/>
    <w:rsid w:val="424F34E0"/>
    <w:rsid w:val="4265572A"/>
    <w:rsid w:val="42836415"/>
    <w:rsid w:val="42A33B1C"/>
    <w:rsid w:val="42C10446"/>
    <w:rsid w:val="42DA1507"/>
    <w:rsid w:val="42E61C5A"/>
    <w:rsid w:val="42F9198D"/>
    <w:rsid w:val="4304244F"/>
    <w:rsid w:val="431E0A3C"/>
    <w:rsid w:val="43394480"/>
    <w:rsid w:val="439E2535"/>
    <w:rsid w:val="43A538C3"/>
    <w:rsid w:val="43AC2542"/>
    <w:rsid w:val="43B24807"/>
    <w:rsid w:val="43C8016E"/>
    <w:rsid w:val="441427F7"/>
    <w:rsid w:val="444F55DD"/>
    <w:rsid w:val="44614E73"/>
    <w:rsid w:val="44691B4C"/>
    <w:rsid w:val="446B6541"/>
    <w:rsid w:val="44784B34"/>
    <w:rsid w:val="44931975"/>
    <w:rsid w:val="44BD4C3D"/>
    <w:rsid w:val="44EB79FC"/>
    <w:rsid w:val="4508410A"/>
    <w:rsid w:val="450B59A8"/>
    <w:rsid w:val="45280308"/>
    <w:rsid w:val="4541761C"/>
    <w:rsid w:val="455C4456"/>
    <w:rsid w:val="45A86E44"/>
    <w:rsid w:val="45CE4629"/>
    <w:rsid w:val="45D109A0"/>
    <w:rsid w:val="45DA4F1C"/>
    <w:rsid w:val="45F428E0"/>
    <w:rsid w:val="46244F73"/>
    <w:rsid w:val="462B4534"/>
    <w:rsid w:val="46357180"/>
    <w:rsid w:val="46362EF9"/>
    <w:rsid w:val="4669425B"/>
    <w:rsid w:val="468E4AE3"/>
    <w:rsid w:val="469A5235"/>
    <w:rsid w:val="469B2D5C"/>
    <w:rsid w:val="46AE6F33"/>
    <w:rsid w:val="46BB51AC"/>
    <w:rsid w:val="46C85ED4"/>
    <w:rsid w:val="46D14781"/>
    <w:rsid w:val="46DC2BC3"/>
    <w:rsid w:val="475278BE"/>
    <w:rsid w:val="475F3D89"/>
    <w:rsid w:val="47695AF4"/>
    <w:rsid w:val="47794686"/>
    <w:rsid w:val="477E6905"/>
    <w:rsid w:val="479C6D8B"/>
    <w:rsid w:val="47A81BD4"/>
    <w:rsid w:val="47B16CDB"/>
    <w:rsid w:val="47B24801"/>
    <w:rsid w:val="47B82204"/>
    <w:rsid w:val="48256D81"/>
    <w:rsid w:val="485853A8"/>
    <w:rsid w:val="4860425D"/>
    <w:rsid w:val="487A531F"/>
    <w:rsid w:val="48B545A9"/>
    <w:rsid w:val="48DD765B"/>
    <w:rsid w:val="48FA645F"/>
    <w:rsid w:val="48FF3FE4"/>
    <w:rsid w:val="49172B6D"/>
    <w:rsid w:val="494D2A33"/>
    <w:rsid w:val="494E2307"/>
    <w:rsid w:val="49724248"/>
    <w:rsid w:val="4979696A"/>
    <w:rsid w:val="49920446"/>
    <w:rsid w:val="49AF0FF8"/>
    <w:rsid w:val="49B20AE8"/>
    <w:rsid w:val="49B93C25"/>
    <w:rsid w:val="49CD5922"/>
    <w:rsid w:val="49D12082"/>
    <w:rsid w:val="49E5153C"/>
    <w:rsid w:val="4A4C4A99"/>
    <w:rsid w:val="4A600544"/>
    <w:rsid w:val="4A6749EC"/>
    <w:rsid w:val="4A6D4A0F"/>
    <w:rsid w:val="4A846B18"/>
    <w:rsid w:val="4A9662F1"/>
    <w:rsid w:val="4AA40370"/>
    <w:rsid w:val="4AA46683"/>
    <w:rsid w:val="4AD14F9E"/>
    <w:rsid w:val="4AF62C56"/>
    <w:rsid w:val="4B137364"/>
    <w:rsid w:val="4B2931F4"/>
    <w:rsid w:val="4B3B68BB"/>
    <w:rsid w:val="4B563451"/>
    <w:rsid w:val="4B5F23C8"/>
    <w:rsid w:val="4B7C6473"/>
    <w:rsid w:val="4BA80878"/>
    <w:rsid w:val="4BBC5C4E"/>
    <w:rsid w:val="4BD27220"/>
    <w:rsid w:val="4BDF36EB"/>
    <w:rsid w:val="4BE33007"/>
    <w:rsid w:val="4BE64A79"/>
    <w:rsid w:val="4BEF1B80"/>
    <w:rsid w:val="4C0F5E32"/>
    <w:rsid w:val="4C1C0C5F"/>
    <w:rsid w:val="4C362B8F"/>
    <w:rsid w:val="4C4E60F6"/>
    <w:rsid w:val="4C6D6F48"/>
    <w:rsid w:val="4C72630D"/>
    <w:rsid w:val="4C89377B"/>
    <w:rsid w:val="4C997D3D"/>
    <w:rsid w:val="4CC50B32"/>
    <w:rsid w:val="4CEB205F"/>
    <w:rsid w:val="4CEC4311"/>
    <w:rsid w:val="4CFC66B4"/>
    <w:rsid w:val="4D0101DE"/>
    <w:rsid w:val="4D487F82"/>
    <w:rsid w:val="4D616AAD"/>
    <w:rsid w:val="4D7F33D7"/>
    <w:rsid w:val="4DA44BEC"/>
    <w:rsid w:val="4DD112ED"/>
    <w:rsid w:val="4E2D53D4"/>
    <w:rsid w:val="4E3157B9"/>
    <w:rsid w:val="4E355844"/>
    <w:rsid w:val="4E546612"/>
    <w:rsid w:val="4E6C5F3F"/>
    <w:rsid w:val="4E6D1482"/>
    <w:rsid w:val="4EBF33BF"/>
    <w:rsid w:val="4EC372F3"/>
    <w:rsid w:val="4ECA657F"/>
    <w:rsid w:val="4ED72392"/>
    <w:rsid w:val="4EE51018"/>
    <w:rsid w:val="4EF13E61"/>
    <w:rsid w:val="4EF63225"/>
    <w:rsid w:val="4EFA48EA"/>
    <w:rsid w:val="4F18319B"/>
    <w:rsid w:val="4F5D5052"/>
    <w:rsid w:val="4F8B474F"/>
    <w:rsid w:val="4F9111A0"/>
    <w:rsid w:val="4F98652A"/>
    <w:rsid w:val="4FE06FCB"/>
    <w:rsid w:val="501A6E72"/>
    <w:rsid w:val="50221540"/>
    <w:rsid w:val="50414974"/>
    <w:rsid w:val="50416722"/>
    <w:rsid w:val="5043693E"/>
    <w:rsid w:val="507F4483"/>
    <w:rsid w:val="50B05655"/>
    <w:rsid w:val="50BE4216"/>
    <w:rsid w:val="50BE7306"/>
    <w:rsid w:val="50C1205C"/>
    <w:rsid w:val="50D34447"/>
    <w:rsid w:val="50DB5400"/>
    <w:rsid w:val="50DE0415"/>
    <w:rsid w:val="50F33EC0"/>
    <w:rsid w:val="50FE0AB7"/>
    <w:rsid w:val="5114609D"/>
    <w:rsid w:val="51273B6A"/>
    <w:rsid w:val="512C73D2"/>
    <w:rsid w:val="51363DAD"/>
    <w:rsid w:val="517843C5"/>
    <w:rsid w:val="518C7E71"/>
    <w:rsid w:val="518F6B5E"/>
    <w:rsid w:val="51954F77"/>
    <w:rsid w:val="51A0391C"/>
    <w:rsid w:val="51B05DB2"/>
    <w:rsid w:val="51BD002A"/>
    <w:rsid w:val="51BD2325"/>
    <w:rsid w:val="52046E9E"/>
    <w:rsid w:val="52336279"/>
    <w:rsid w:val="52397FF8"/>
    <w:rsid w:val="523F3135"/>
    <w:rsid w:val="525941F7"/>
    <w:rsid w:val="52636E23"/>
    <w:rsid w:val="52641324"/>
    <w:rsid w:val="52A5743C"/>
    <w:rsid w:val="52AA2CA4"/>
    <w:rsid w:val="52AD009F"/>
    <w:rsid w:val="52FB705C"/>
    <w:rsid w:val="53095C1D"/>
    <w:rsid w:val="531225F7"/>
    <w:rsid w:val="53130849"/>
    <w:rsid w:val="53202F66"/>
    <w:rsid w:val="533D58C6"/>
    <w:rsid w:val="533E519B"/>
    <w:rsid w:val="534064B2"/>
    <w:rsid w:val="5349426B"/>
    <w:rsid w:val="534D3630"/>
    <w:rsid w:val="535449BE"/>
    <w:rsid w:val="537165BA"/>
    <w:rsid w:val="537312E8"/>
    <w:rsid w:val="53733096"/>
    <w:rsid w:val="537642E8"/>
    <w:rsid w:val="53BB4A3D"/>
    <w:rsid w:val="53BD6A07"/>
    <w:rsid w:val="53F65A75"/>
    <w:rsid w:val="53FC752F"/>
    <w:rsid w:val="543845C8"/>
    <w:rsid w:val="5449029B"/>
    <w:rsid w:val="545F1E11"/>
    <w:rsid w:val="54866846"/>
    <w:rsid w:val="54977805"/>
    <w:rsid w:val="54A03833"/>
    <w:rsid w:val="54CD2714"/>
    <w:rsid w:val="55305519"/>
    <w:rsid w:val="55313209"/>
    <w:rsid w:val="553A74F5"/>
    <w:rsid w:val="554A42CB"/>
    <w:rsid w:val="55515659"/>
    <w:rsid w:val="555337F2"/>
    <w:rsid w:val="55794BB0"/>
    <w:rsid w:val="55A15EC4"/>
    <w:rsid w:val="55DB1F32"/>
    <w:rsid w:val="56327239"/>
    <w:rsid w:val="5637666F"/>
    <w:rsid w:val="5647426A"/>
    <w:rsid w:val="565B7DEB"/>
    <w:rsid w:val="56705FB3"/>
    <w:rsid w:val="56725887"/>
    <w:rsid w:val="567622C8"/>
    <w:rsid w:val="56AD4B11"/>
    <w:rsid w:val="56C1680E"/>
    <w:rsid w:val="56D227CA"/>
    <w:rsid w:val="56D54068"/>
    <w:rsid w:val="56F40BA6"/>
    <w:rsid w:val="56FC7846"/>
    <w:rsid w:val="570F30D6"/>
    <w:rsid w:val="57256D9D"/>
    <w:rsid w:val="572A6162"/>
    <w:rsid w:val="573050F9"/>
    <w:rsid w:val="57342B3C"/>
    <w:rsid w:val="573645C8"/>
    <w:rsid w:val="576A2A02"/>
    <w:rsid w:val="57811AFA"/>
    <w:rsid w:val="57833AC4"/>
    <w:rsid w:val="579637F7"/>
    <w:rsid w:val="57B53B27"/>
    <w:rsid w:val="57CF062F"/>
    <w:rsid w:val="57DD1426"/>
    <w:rsid w:val="58296419"/>
    <w:rsid w:val="583354EA"/>
    <w:rsid w:val="584D79BB"/>
    <w:rsid w:val="586A7ED7"/>
    <w:rsid w:val="58931AE5"/>
    <w:rsid w:val="58953AAF"/>
    <w:rsid w:val="58A3441E"/>
    <w:rsid w:val="58A43CF2"/>
    <w:rsid w:val="58BF0414"/>
    <w:rsid w:val="58E14F46"/>
    <w:rsid w:val="58F957FD"/>
    <w:rsid w:val="59480B21"/>
    <w:rsid w:val="596F2A33"/>
    <w:rsid w:val="597638E0"/>
    <w:rsid w:val="598D4624"/>
    <w:rsid w:val="59F01E42"/>
    <w:rsid w:val="59FA62BF"/>
    <w:rsid w:val="5A06635E"/>
    <w:rsid w:val="5A252C10"/>
    <w:rsid w:val="5A393967"/>
    <w:rsid w:val="5A443759"/>
    <w:rsid w:val="5A9102A6"/>
    <w:rsid w:val="5A9C06CC"/>
    <w:rsid w:val="5AA75D1B"/>
    <w:rsid w:val="5AAA410D"/>
    <w:rsid w:val="5AF2100E"/>
    <w:rsid w:val="5AF32D0E"/>
    <w:rsid w:val="5AF42587"/>
    <w:rsid w:val="5B03273B"/>
    <w:rsid w:val="5B286E5C"/>
    <w:rsid w:val="5B484E08"/>
    <w:rsid w:val="5B5A2D8E"/>
    <w:rsid w:val="5BAC69F5"/>
    <w:rsid w:val="5BB756DE"/>
    <w:rsid w:val="5BE54D4D"/>
    <w:rsid w:val="5BFA4F23"/>
    <w:rsid w:val="5C504816"/>
    <w:rsid w:val="5C625904"/>
    <w:rsid w:val="5C87251B"/>
    <w:rsid w:val="5CC95CB1"/>
    <w:rsid w:val="5CCF7D06"/>
    <w:rsid w:val="5CD50A5E"/>
    <w:rsid w:val="5CD84DF2"/>
    <w:rsid w:val="5CD96C05"/>
    <w:rsid w:val="5CE15514"/>
    <w:rsid w:val="5CF1327E"/>
    <w:rsid w:val="5D112702"/>
    <w:rsid w:val="5D4B6E32"/>
    <w:rsid w:val="5D5977A1"/>
    <w:rsid w:val="5D5E05E7"/>
    <w:rsid w:val="5DB85011"/>
    <w:rsid w:val="5DDB1F64"/>
    <w:rsid w:val="5DE30E18"/>
    <w:rsid w:val="5DE71271"/>
    <w:rsid w:val="5E162B17"/>
    <w:rsid w:val="5E1B4A56"/>
    <w:rsid w:val="5E265463"/>
    <w:rsid w:val="5E331368"/>
    <w:rsid w:val="5E3E0745"/>
    <w:rsid w:val="5E40270F"/>
    <w:rsid w:val="5E542A51"/>
    <w:rsid w:val="5E6301AB"/>
    <w:rsid w:val="5E6468C4"/>
    <w:rsid w:val="5E734892"/>
    <w:rsid w:val="5EAC56AE"/>
    <w:rsid w:val="5EAE58CA"/>
    <w:rsid w:val="5EC13A65"/>
    <w:rsid w:val="5EFC4888"/>
    <w:rsid w:val="5F0C1FF0"/>
    <w:rsid w:val="5F200A95"/>
    <w:rsid w:val="5F304531"/>
    <w:rsid w:val="5F403FE7"/>
    <w:rsid w:val="5FB213EA"/>
    <w:rsid w:val="5FC5111D"/>
    <w:rsid w:val="5FC92290"/>
    <w:rsid w:val="5FD65829"/>
    <w:rsid w:val="5FF8024C"/>
    <w:rsid w:val="603A36F2"/>
    <w:rsid w:val="6043540C"/>
    <w:rsid w:val="60487659"/>
    <w:rsid w:val="60593614"/>
    <w:rsid w:val="60714E01"/>
    <w:rsid w:val="607501B7"/>
    <w:rsid w:val="60AC0F03"/>
    <w:rsid w:val="60BD1DF5"/>
    <w:rsid w:val="60C56EFB"/>
    <w:rsid w:val="60CA62C0"/>
    <w:rsid w:val="61411B23"/>
    <w:rsid w:val="615734FE"/>
    <w:rsid w:val="615D5386"/>
    <w:rsid w:val="61736957"/>
    <w:rsid w:val="617F1981"/>
    <w:rsid w:val="618941C1"/>
    <w:rsid w:val="618B5A4F"/>
    <w:rsid w:val="61C3168D"/>
    <w:rsid w:val="61E41603"/>
    <w:rsid w:val="62041471"/>
    <w:rsid w:val="620A09E6"/>
    <w:rsid w:val="624A76B8"/>
    <w:rsid w:val="626D21B5"/>
    <w:rsid w:val="628232F6"/>
    <w:rsid w:val="62943029"/>
    <w:rsid w:val="62966DA1"/>
    <w:rsid w:val="62B64D4D"/>
    <w:rsid w:val="62DF233A"/>
    <w:rsid w:val="62EA0E9B"/>
    <w:rsid w:val="62EE2739"/>
    <w:rsid w:val="62EF64B1"/>
    <w:rsid w:val="6300246C"/>
    <w:rsid w:val="630F445E"/>
    <w:rsid w:val="63473BF7"/>
    <w:rsid w:val="63586960"/>
    <w:rsid w:val="63822E81"/>
    <w:rsid w:val="63936E3D"/>
    <w:rsid w:val="63952BB5"/>
    <w:rsid w:val="63970843"/>
    <w:rsid w:val="63B249CD"/>
    <w:rsid w:val="63B76FCF"/>
    <w:rsid w:val="63CE21B9"/>
    <w:rsid w:val="63ED29F1"/>
    <w:rsid w:val="63ED66EE"/>
    <w:rsid w:val="63F41FD1"/>
    <w:rsid w:val="63F7741D"/>
    <w:rsid w:val="63FF32E1"/>
    <w:rsid w:val="6408065A"/>
    <w:rsid w:val="640A6788"/>
    <w:rsid w:val="641A130C"/>
    <w:rsid w:val="64237560"/>
    <w:rsid w:val="64366440"/>
    <w:rsid w:val="644753AB"/>
    <w:rsid w:val="644A6189"/>
    <w:rsid w:val="648F5856"/>
    <w:rsid w:val="64C85B83"/>
    <w:rsid w:val="64D70D63"/>
    <w:rsid w:val="652F7039"/>
    <w:rsid w:val="653647A3"/>
    <w:rsid w:val="657C5702"/>
    <w:rsid w:val="659A2704"/>
    <w:rsid w:val="659F41BF"/>
    <w:rsid w:val="65C6174B"/>
    <w:rsid w:val="66263F98"/>
    <w:rsid w:val="665F0FD8"/>
    <w:rsid w:val="66A55805"/>
    <w:rsid w:val="66AF21DF"/>
    <w:rsid w:val="66B3520C"/>
    <w:rsid w:val="66BE00B1"/>
    <w:rsid w:val="66CA6058"/>
    <w:rsid w:val="66CD2666"/>
    <w:rsid w:val="66D923D5"/>
    <w:rsid w:val="66DB1226"/>
    <w:rsid w:val="66FD119D"/>
    <w:rsid w:val="67074CD5"/>
    <w:rsid w:val="67334BBF"/>
    <w:rsid w:val="673E54E3"/>
    <w:rsid w:val="6751773B"/>
    <w:rsid w:val="67525C10"/>
    <w:rsid w:val="67584625"/>
    <w:rsid w:val="67641AF1"/>
    <w:rsid w:val="678C6785"/>
    <w:rsid w:val="67B657F0"/>
    <w:rsid w:val="67B72CDC"/>
    <w:rsid w:val="67DA7730"/>
    <w:rsid w:val="67F3434E"/>
    <w:rsid w:val="67F76A84"/>
    <w:rsid w:val="6853303E"/>
    <w:rsid w:val="68784853"/>
    <w:rsid w:val="688A17C5"/>
    <w:rsid w:val="688A6289"/>
    <w:rsid w:val="68907DEF"/>
    <w:rsid w:val="68953657"/>
    <w:rsid w:val="68997F4C"/>
    <w:rsid w:val="689B6EBF"/>
    <w:rsid w:val="68C301C4"/>
    <w:rsid w:val="68F04CD2"/>
    <w:rsid w:val="68F16D4C"/>
    <w:rsid w:val="69012A9A"/>
    <w:rsid w:val="69074555"/>
    <w:rsid w:val="69344C1E"/>
    <w:rsid w:val="69375DCF"/>
    <w:rsid w:val="696C260A"/>
    <w:rsid w:val="69787200"/>
    <w:rsid w:val="697B45FB"/>
    <w:rsid w:val="698257CF"/>
    <w:rsid w:val="699456BD"/>
    <w:rsid w:val="69A973BA"/>
    <w:rsid w:val="69AC2A06"/>
    <w:rsid w:val="69B47B0D"/>
    <w:rsid w:val="69BD194E"/>
    <w:rsid w:val="69E409F3"/>
    <w:rsid w:val="69E95A08"/>
    <w:rsid w:val="69EE74C3"/>
    <w:rsid w:val="6A040074"/>
    <w:rsid w:val="6A152CA1"/>
    <w:rsid w:val="6A164324"/>
    <w:rsid w:val="6A22716C"/>
    <w:rsid w:val="6A3F1ACC"/>
    <w:rsid w:val="6A6D488B"/>
    <w:rsid w:val="6A6D6A76"/>
    <w:rsid w:val="6A6F7E15"/>
    <w:rsid w:val="6AA16837"/>
    <w:rsid w:val="6AEF52A0"/>
    <w:rsid w:val="6B272C8C"/>
    <w:rsid w:val="6B2807B2"/>
    <w:rsid w:val="6B2961F0"/>
    <w:rsid w:val="6B451E1B"/>
    <w:rsid w:val="6B4E646B"/>
    <w:rsid w:val="6B680D89"/>
    <w:rsid w:val="6B8F438D"/>
    <w:rsid w:val="6BCE4EB6"/>
    <w:rsid w:val="6BDA6B65"/>
    <w:rsid w:val="6BE7241B"/>
    <w:rsid w:val="6BF40832"/>
    <w:rsid w:val="6C00528B"/>
    <w:rsid w:val="6C101972"/>
    <w:rsid w:val="6C3367E9"/>
    <w:rsid w:val="6C37748A"/>
    <w:rsid w:val="6C53360D"/>
    <w:rsid w:val="6C6144B2"/>
    <w:rsid w:val="6C6E0447"/>
    <w:rsid w:val="6C773A55"/>
    <w:rsid w:val="6C8B2DA7"/>
    <w:rsid w:val="6C9B39BA"/>
    <w:rsid w:val="6CB542C8"/>
    <w:rsid w:val="6CEB5D86"/>
    <w:rsid w:val="6D0D7C60"/>
    <w:rsid w:val="6D725D15"/>
    <w:rsid w:val="6DA87988"/>
    <w:rsid w:val="6DBD3434"/>
    <w:rsid w:val="6DC42A14"/>
    <w:rsid w:val="6DCB09D1"/>
    <w:rsid w:val="6DCE3893"/>
    <w:rsid w:val="6DD020E1"/>
    <w:rsid w:val="6DE07122"/>
    <w:rsid w:val="6E172BE7"/>
    <w:rsid w:val="6E241705"/>
    <w:rsid w:val="6E274D51"/>
    <w:rsid w:val="6E363B46"/>
    <w:rsid w:val="6E46167B"/>
    <w:rsid w:val="6E6B10E2"/>
    <w:rsid w:val="6E85363C"/>
    <w:rsid w:val="6E9015B7"/>
    <w:rsid w:val="6EB34837"/>
    <w:rsid w:val="6EC729AA"/>
    <w:rsid w:val="6ED053E9"/>
    <w:rsid w:val="6EDE7B06"/>
    <w:rsid w:val="6F071EF0"/>
    <w:rsid w:val="6F4436E1"/>
    <w:rsid w:val="6F667AFB"/>
    <w:rsid w:val="6F7246F2"/>
    <w:rsid w:val="6F745D74"/>
    <w:rsid w:val="6FFF4155"/>
    <w:rsid w:val="70301F1E"/>
    <w:rsid w:val="703740CD"/>
    <w:rsid w:val="70476FDA"/>
    <w:rsid w:val="704E73AD"/>
    <w:rsid w:val="70761505"/>
    <w:rsid w:val="7080699B"/>
    <w:rsid w:val="70932B72"/>
    <w:rsid w:val="70B22514"/>
    <w:rsid w:val="70B4759B"/>
    <w:rsid w:val="70BA2758"/>
    <w:rsid w:val="70C20D61"/>
    <w:rsid w:val="70D171F6"/>
    <w:rsid w:val="70D70CB1"/>
    <w:rsid w:val="70FD7FEB"/>
    <w:rsid w:val="7130216F"/>
    <w:rsid w:val="71467BE4"/>
    <w:rsid w:val="71500A63"/>
    <w:rsid w:val="71502811"/>
    <w:rsid w:val="715C2F64"/>
    <w:rsid w:val="71C01745"/>
    <w:rsid w:val="71D147B7"/>
    <w:rsid w:val="71D451F0"/>
    <w:rsid w:val="71DE606F"/>
    <w:rsid w:val="71E16406"/>
    <w:rsid w:val="71FA5FC9"/>
    <w:rsid w:val="72000B4C"/>
    <w:rsid w:val="720A6E64"/>
    <w:rsid w:val="72161365"/>
    <w:rsid w:val="72323CC5"/>
    <w:rsid w:val="72356B79"/>
    <w:rsid w:val="724539F8"/>
    <w:rsid w:val="727F56B0"/>
    <w:rsid w:val="729055BB"/>
    <w:rsid w:val="729A1F96"/>
    <w:rsid w:val="729C3F60"/>
    <w:rsid w:val="72A916D5"/>
    <w:rsid w:val="72B55021"/>
    <w:rsid w:val="72DD1E82"/>
    <w:rsid w:val="72E2393D"/>
    <w:rsid w:val="7302206A"/>
    <w:rsid w:val="73090EC9"/>
    <w:rsid w:val="7349576A"/>
    <w:rsid w:val="735C724B"/>
    <w:rsid w:val="735E1215"/>
    <w:rsid w:val="737547B1"/>
    <w:rsid w:val="738F7621"/>
    <w:rsid w:val="73AF7CC3"/>
    <w:rsid w:val="73B057E9"/>
    <w:rsid w:val="73B76B77"/>
    <w:rsid w:val="73D47729"/>
    <w:rsid w:val="73D67DE2"/>
    <w:rsid w:val="73E536E4"/>
    <w:rsid w:val="73EF00BF"/>
    <w:rsid w:val="73EF379D"/>
    <w:rsid w:val="7400051E"/>
    <w:rsid w:val="74434366"/>
    <w:rsid w:val="74512B28"/>
    <w:rsid w:val="74612384"/>
    <w:rsid w:val="7467234B"/>
    <w:rsid w:val="74695916"/>
    <w:rsid w:val="748544EE"/>
    <w:rsid w:val="7499627D"/>
    <w:rsid w:val="74B11819"/>
    <w:rsid w:val="74B84955"/>
    <w:rsid w:val="74D55507"/>
    <w:rsid w:val="74D74F0B"/>
    <w:rsid w:val="74EE481B"/>
    <w:rsid w:val="74F040EF"/>
    <w:rsid w:val="75006EBC"/>
    <w:rsid w:val="750B0F29"/>
    <w:rsid w:val="751D1E98"/>
    <w:rsid w:val="75596D31"/>
    <w:rsid w:val="75AB270C"/>
    <w:rsid w:val="75B261C1"/>
    <w:rsid w:val="75C30BCE"/>
    <w:rsid w:val="75D73501"/>
    <w:rsid w:val="75F145C2"/>
    <w:rsid w:val="75F93477"/>
    <w:rsid w:val="760829DD"/>
    <w:rsid w:val="76126817"/>
    <w:rsid w:val="76277FE4"/>
    <w:rsid w:val="766034F6"/>
    <w:rsid w:val="769431A0"/>
    <w:rsid w:val="76C021E7"/>
    <w:rsid w:val="76D460F5"/>
    <w:rsid w:val="76EC08E6"/>
    <w:rsid w:val="76EE465E"/>
    <w:rsid w:val="76F01F3C"/>
    <w:rsid w:val="76F46D26"/>
    <w:rsid w:val="77297D8C"/>
    <w:rsid w:val="77395E4F"/>
    <w:rsid w:val="77440114"/>
    <w:rsid w:val="774424D0"/>
    <w:rsid w:val="774723A6"/>
    <w:rsid w:val="7753310E"/>
    <w:rsid w:val="776C2C3B"/>
    <w:rsid w:val="77AF64E3"/>
    <w:rsid w:val="77C16217"/>
    <w:rsid w:val="77CE623E"/>
    <w:rsid w:val="77E617D9"/>
    <w:rsid w:val="77EB6DF0"/>
    <w:rsid w:val="77F1305D"/>
    <w:rsid w:val="77F75794"/>
    <w:rsid w:val="77F9775E"/>
    <w:rsid w:val="7803603C"/>
    <w:rsid w:val="78191BAF"/>
    <w:rsid w:val="78212811"/>
    <w:rsid w:val="78280044"/>
    <w:rsid w:val="78372035"/>
    <w:rsid w:val="78591FAB"/>
    <w:rsid w:val="78697846"/>
    <w:rsid w:val="787A54C6"/>
    <w:rsid w:val="788B0903"/>
    <w:rsid w:val="78D21D5D"/>
    <w:rsid w:val="78D7441D"/>
    <w:rsid w:val="78DF3738"/>
    <w:rsid w:val="78FB5758"/>
    <w:rsid w:val="791526DA"/>
    <w:rsid w:val="79425135"/>
    <w:rsid w:val="794E5AB1"/>
    <w:rsid w:val="7956473D"/>
    <w:rsid w:val="796B01E8"/>
    <w:rsid w:val="796F5D4B"/>
    <w:rsid w:val="79740AF2"/>
    <w:rsid w:val="79752EC5"/>
    <w:rsid w:val="79A6671B"/>
    <w:rsid w:val="79E93803"/>
    <w:rsid w:val="79F44681"/>
    <w:rsid w:val="79FA207F"/>
    <w:rsid w:val="7A067F11"/>
    <w:rsid w:val="7A187C44"/>
    <w:rsid w:val="7A320D06"/>
    <w:rsid w:val="7A3A405E"/>
    <w:rsid w:val="7A41363F"/>
    <w:rsid w:val="7A470DF5"/>
    <w:rsid w:val="7A5B64AE"/>
    <w:rsid w:val="7A664E53"/>
    <w:rsid w:val="7A6D61E2"/>
    <w:rsid w:val="7A8552D9"/>
    <w:rsid w:val="7A965738"/>
    <w:rsid w:val="7AA11299"/>
    <w:rsid w:val="7AAA71E5"/>
    <w:rsid w:val="7AB636E5"/>
    <w:rsid w:val="7AE2272C"/>
    <w:rsid w:val="7AF35055"/>
    <w:rsid w:val="7AFD7566"/>
    <w:rsid w:val="7B007056"/>
    <w:rsid w:val="7B0D6732"/>
    <w:rsid w:val="7B226FCC"/>
    <w:rsid w:val="7B3665D4"/>
    <w:rsid w:val="7B3D3E06"/>
    <w:rsid w:val="7B486307"/>
    <w:rsid w:val="7B5A49B8"/>
    <w:rsid w:val="7BB35E76"/>
    <w:rsid w:val="7BC6204D"/>
    <w:rsid w:val="7BCB7664"/>
    <w:rsid w:val="7BE95D3C"/>
    <w:rsid w:val="7C3C5E6C"/>
    <w:rsid w:val="7C5741A3"/>
    <w:rsid w:val="7C95557C"/>
    <w:rsid w:val="7C9C2DAE"/>
    <w:rsid w:val="7CBE227C"/>
    <w:rsid w:val="7CC61BD9"/>
    <w:rsid w:val="7CD24A22"/>
    <w:rsid w:val="7CF6426C"/>
    <w:rsid w:val="7D123E77"/>
    <w:rsid w:val="7D240BEB"/>
    <w:rsid w:val="7D506401"/>
    <w:rsid w:val="7D5A52EE"/>
    <w:rsid w:val="7D5B4A17"/>
    <w:rsid w:val="7D5B67C5"/>
    <w:rsid w:val="7D68482F"/>
    <w:rsid w:val="7D845D1C"/>
    <w:rsid w:val="7D893333"/>
    <w:rsid w:val="7D9B4E14"/>
    <w:rsid w:val="7DAE4B47"/>
    <w:rsid w:val="7DAF266D"/>
    <w:rsid w:val="7DBF0B02"/>
    <w:rsid w:val="7DBF6D54"/>
    <w:rsid w:val="7DCA74A7"/>
    <w:rsid w:val="7DF1369B"/>
    <w:rsid w:val="7E0D5D12"/>
    <w:rsid w:val="7E6B47E6"/>
    <w:rsid w:val="7E74183B"/>
    <w:rsid w:val="7E8A7362"/>
    <w:rsid w:val="7EB50157"/>
    <w:rsid w:val="7ECD54A1"/>
    <w:rsid w:val="7ED71E7C"/>
    <w:rsid w:val="7EE852E6"/>
    <w:rsid w:val="7EEA7E01"/>
    <w:rsid w:val="7F3A3964"/>
    <w:rsid w:val="7F7122D0"/>
    <w:rsid w:val="7F825D8F"/>
    <w:rsid w:val="7FC1385A"/>
    <w:rsid w:val="7FC70142"/>
    <w:rsid w:val="7FEC1957"/>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Times New Roman" w:eastAsiaTheme="minorEastAsia"/>
      <w:kern w:val="1"/>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jc w:val="both"/>
      <w:outlineLvl w:val="0"/>
    </w:pPr>
    <w:rPr>
      <w:rFonts w:ascii="Calibri" w:hAnsi="Calibri" w:cs="Times New Roman" w:eastAsiaTheme="minorEastAsia"/>
      <w:b/>
      <w:bCs/>
      <w:kern w:val="1"/>
      <w:sz w:val="44"/>
      <w:szCs w:val="44"/>
      <w:lang w:val="en-US" w:eastAsia="zh-CN" w:bidi="ar-SA"/>
    </w:rPr>
  </w:style>
  <w:style w:type="paragraph" w:styleId="4">
    <w:name w:val="heading 2"/>
    <w:basedOn w:val="1"/>
    <w:next w:val="1"/>
    <w:qFormat/>
    <w:uiPriority w:val="0"/>
    <w:pPr>
      <w:keepNext/>
      <w:keepLines/>
      <w:widowControl w:val="0"/>
      <w:spacing w:before="260" w:after="260" w:line="415" w:lineRule="auto"/>
      <w:jc w:val="both"/>
      <w:outlineLvl w:val="1"/>
    </w:pPr>
    <w:rPr>
      <w:rFonts w:ascii="Calibri Light" w:hAnsi="Calibri Light" w:eastAsia="Calibri Light" w:cs="Times New Roman"/>
      <w:b/>
      <w:bCs/>
      <w:kern w:val="1"/>
      <w:sz w:val="32"/>
      <w:szCs w:val="32"/>
      <w:lang w:val="en-US" w:eastAsia="zh-CN" w:bidi="ar-SA"/>
    </w:rPr>
  </w:style>
  <w:style w:type="paragraph" w:styleId="5">
    <w:name w:val="heading 3"/>
    <w:basedOn w:val="1"/>
    <w:next w:val="1"/>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rPr>
      <w:rFonts w:ascii="Times New Roman" w:hAnsi="Times New Roman" w:eastAsia="宋体"/>
      <w:szCs w:val="21"/>
    </w:rPr>
  </w:style>
  <w:style w:type="paragraph" w:styleId="8">
    <w:name w:val="Normal Indent"/>
    <w:basedOn w:val="1"/>
    <w:next w:val="1"/>
    <w:qFormat/>
    <w:uiPriority w:val="0"/>
    <w:pPr>
      <w:ind w:firstLine="420" w:firstLineChars="200"/>
    </w:pPr>
  </w:style>
  <w:style w:type="paragraph" w:styleId="9">
    <w:name w:val="annotation text"/>
    <w:basedOn w:val="1"/>
    <w:qFormat/>
    <w:uiPriority w:val="0"/>
    <w:pPr>
      <w:jc w:val="left"/>
    </w:pPr>
  </w:style>
  <w:style w:type="paragraph" w:styleId="10">
    <w:name w:val="Body Text"/>
    <w:basedOn w:val="1"/>
    <w:next w:val="1"/>
    <w:qFormat/>
    <w:uiPriority w:val="0"/>
    <w:pPr>
      <w:spacing w:line="480" w:lineRule="auto"/>
    </w:pPr>
    <w:rPr>
      <w:rFonts w:ascii="宋体" w:eastAsia="宋体"/>
      <w:kern w:val="2"/>
      <w:sz w:val="24"/>
      <w:szCs w:val="20"/>
    </w:rPr>
  </w:style>
  <w:style w:type="paragraph" w:styleId="11">
    <w:name w:val="Body Text Indent"/>
    <w:basedOn w:val="1"/>
    <w:next w:val="1"/>
    <w:qFormat/>
    <w:uiPriority w:val="0"/>
    <w:pPr>
      <w:ind w:left="420" w:leftChars="200"/>
    </w:pPr>
  </w:style>
  <w:style w:type="paragraph" w:styleId="12">
    <w:name w:val="Plain Text"/>
    <w:basedOn w:val="1"/>
    <w:qFormat/>
    <w:uiPriority w:val="0"/>
    <w:pPr>
      <w:widowControl w:val="0"/>
      <w:spacing w:line="240" w:lineRule="auto"/>
      <w:textAlignment w:val="auto"/>
    </w:pPr>
    <w:rPr>
      <w:rFonts w:ascii="宋体" w:hAnsi="Courier New"/>
      <w:color w:val="auto"/>
      <w:kern w:val="2"/>
      <w:u w:val="none" w:color="auto"/>
    </w:rPr>
  </w:style>
  <w:style w:type="paragraph" w:styleId="13">
    <w:name w:val="Date"/>
    <w:basedOn w:val="1"/>
    <w:next w:val="1"/>
    <w:qFormat/>
    <w:uiPriority w:val="0"/>
    <w:pPr>
      <w:ind w:left="100" w:leftChars="2500"/>
    </w:pPr>
  </w:style>
  <w:style w:type="paragraph" w:styleId="14">
    <w:name w:val="footer"/>
    <w:basedOn w:val="1"/>
    <w:qFormat/>
    <w:uiPriority w:val="99"/>
    <w:pPr>
      <w:widowControl w:val="0"/>
      <w:tabs>
        <w:tab w:val="center" w:pos="4153"/>
        <w:tab w:val="right" w:pos="8306"/>
      </w:tabs>
    </w:pPr>
    <w:rPr>
      <w:rFonts w:ascii="Calibri" w:hAnsi="Calibri" w:cs="Times New Roman" w:eastAsiaTheme="minorEastAsia"/>
      <w:kern w:val="1"/>
      <w:sz w:val="18"/>
      <w:szCs w:val="18"/>
      <w:lang w:val="en-US" w:eastAsia="zh-CN" w:bidi="ar-SA"/>
    </w:rPr>
  </w:style>
  <w:style w:type="paragraph" w:styleId="15">
    <w:name w:val="header"/>
    <w:basedOn w:val="1"/>
    <w:link w:val="5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unhideWhenUsed/>
    <w:qFormat/>
    <w:uiPriority w:val="39"/>
  </w:style>
  <w:style w:type="paragraph" w:styleId="17">
    <w:name w:val="Body Text 2"/>
    <w:basedOn w:val="1"/>
    <w:unhideWhenUsed/>
    <w:qFormat/>
    <w:uiPriority w:val="99"/>
    <w:rPr>
      <w:sz w:val="28"/>
    </w:rPr>
  </w:style>
  <w:style w:type="paragraph" w:styleId="18">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9">
    <w:name w:val="Title"/>
    <w:basedOn w:val="1"/>
    <w:next w:val="11"/>
    <w:qFormat/>
    <w:uiPriority w:val="0"/>
    <w:pPr>
      <w:adjustRightInd w:val="0"/>
      <w:spacing w:before="240" w:beforeLines="0" w:after="60" w:afterLines="0" w:line="420" w:lineRule="atLeast"/>
      <w:jc w:val="center"/>
      <w:textAlignment w:val="baseline"/>
      <w:outlineLvl w:val="0"/>
    </w:pPr>
    <w:rPr>
      <w:rFonts w:ascii="Arial" w:hAnsi="Arial" w:eastAsia="宋体"/>
      <w:b/>
      <w:sz w:val="32"/>
      <w:lang w:val="en-US" w:eastAsia="zh-CN" w:bidi="ar-SA"/>
    </w:rPr>
  </w:style>
  <w:style w:type="paragraph" w:styleId="20">
    <w:name w:val="Body Text First Indent"/>
    <w:basedOn w:val="10"/>
    <w:next w:val="21"/>
    <w:unhideWhenUsed/>
    <w:qFormat/>
    <w:uiPriority w:val="0"/>
    <w:pPr>
      <w:ind w:firstLine="420" w:firstLineChars="100"/>
    </w:pPr>
    <w:rPr>
      <w:sz w:val="18"/>
      <w:szCs w:val="18"/>
    </w:rPr>
  </w:style>
  <w:style w:type="paragraph" w:styleId="21">
    <w:name w:val="Body Text First Indent 2"/>
    <w:basedOn w:val="11"/>
    <w:next w:val="1"/>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333333"/>
      <w:u w:val="none"/>
    </w:rPr>
  </w:style>
  <w:style w:type="character" w:styleId="28">
    <w:name w:val="Emphasis"/>
    <w:basedOn w:val="24"/>
    <w:qFormat/>
    <w:uiPriority w:val="0"/>
  </w:style>
  <w:style w:type="character" w:styleId="29">
    <w:name w:val="HTML Definition"/>
    <w:basedOn w:val="24"/>
    <w:qFormat/>
    <w:uiPriority w:val="0"/>
    <w:rPr>
      <w:i/>
      <w:iCs/>
    </w:rPr>
  </w:style>
  <w:style w:type="character" w:styleId="30">
    <w:name w:val="HTML Typewriter"/>
    <w:basedOn w:val="24"/>
    <w:qFormat/>
    <w:uiPriority w:val="0"/>
    <w:rPr>
      <w:rFonts w:ascii="monospace" w:hAnsi="monospace" w:eastAsia="monospace" w:cs="monospace"/>
      <w:sz w:val="20"/>
    </w:rPr>
  </w:style>
  <w:style w:type="character" w:styleId="31">
    <w:name w:val="HTML Acronym"/>
    <w:basedOn w:val="24"/>
    <w:qFormat/>
    <w:uiPriority w:val="0"/>
    <w:rPr>
      <w:bdr w:val="single" w:color="D6D6D6" w:sz="2" w:space="0"/>
      <w:shd w:val="clear" w:fill="F9F9F9"/>
    </w:rPr>
  </w:style>
  <w:style w:type="character" w:styleId="32">
    <w:name w:val="HTML Variable"/>
    <w:basedOn w:val="24"/>
    <w:qFormat/>
    <w:uiPriority w:val="0"/>
  </w:style>
  <w:style w:type="character" w:styleId="33">
    <w:name w:val="Hyperlink"/>
    <w:basedOn w:val="24"/>
    <w:unhideWhenUsed/>
    <w:qFormat/>
    <w:uiPriority w:val="99"/>
    <w:rPr>
      <w:color w:val="0563C1" w:themeColor="hyperlink"/>
      <w:u w:val="single"/>
      <w14:textFill>
        <w14:solidFill>
          <w14:schemeClr w14:val="hlink"/>
        </w14:solidFill>
      </w14:textFill>
    </w:rPr>
  </w:style>
  <w:style w:type="character" w:styleId="34">
    <w:name w:val="HTML Code"/>
    <w:basedOn w:val="24"/>
    <w:qFormat/>
    <w:uiPriority w:val="0"/>
    <w:rPr>
      <w:rFonts w:ascii="Consolas" w:hAnsi="Consolas" w:eastAsia="Consolas" w:cs="Consolas"/>
      <w:color w:val="C7254E"/>
      <w:sz w:val="21"/>
      <w:szCs w:val="21"/>
      <w:shd w:val="clear" w:fill="F9F2F4"/>
    </w:rPr>
  </w:style>
  <w:style w:type="character" w:styleId="35">
    <w:name w:val="HTML Cite"/>
    <w:basedOn w:val="24"/>
    <w:qFormat/>
    <w:uiPriority w:val="0"/>
  </w:style>
  <w:style w:type="character" w:styleId="36">
    <w:name w:val="HTML Keyboard"/>
    <w:basedOn w:val="24"/>
    <w:qFormat/>
    <w:uiPriority w:val="0"/>
    <w:rPr>
      <w:rFonts w:hint="default" w:ascii="Consolas" w:hAnsi="Consolas" w:eastAsia="Consolas" w:cs="Consolas"/>
      <w:color w:val="FFFFFF"/>
      <w:sz w:val="21"/>
      <w:szCs w:val="21"/>
      <w:shd w:val="clear" w:fill="333333"/>
    </w:rPr>
  </w:style>
  <w:style w:type="character" w:styleId="37">
    <w:name w:val="HTML Sample"/>
    <w:basedOn w:val="24"/>
    <w:qFormat/>
    <w:uiPriority w:val="0"/>
    <w:rPr>
      <w:rFonts w:hint="default" w:ascii="Consolas" w:hAnsi="Consolas" w:eastAsia="Consolas" w:cs="Consolas"/>
      <w:sz w:val="21"/>
      <w:szCs w:val="21"/>
    </w:rPr>
  </w:style>
  <w:style w:type="paragraph" w:customStyle="1" w:styleId="3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9">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40">
    <w:name w:val="4"/>
    <w:basedOn w:val="1"/>
    <w:qFormat/>
    <w:uiPriority w:val="0"/>
    <w:pPr>
      <w:spacing w:line="560" w:lineRule="exact"/>
      <w:ind w:firstLine="560" w:firstLineChars="200"/>
    </w:pPr>
    <w:rPr>
      <w:rFonts w:hAnsi="宋体" w:eastAsia="宋体"/>
      <w:kern w:val="0"/>
      <w:sz w:val="24"/>
    </w:rPr>
  </w:style>
  <w:style w:type="paragraph" w:customStyle="1" w:styleId="41">
    <w:name w:val="正文缩进1"/>
    <w:basedOn w:val="1"/>
    <w:qFormat/>
    <w:uiPriority w:val="0"/>
    <w:pPr>
      <w:ind w:firstLine="420" w:firstLineChars="200"/>
    </w:pPr>
  </w:style>
  <w:style w:type="paragraph" w:customStyle="1" w:styleId="42">
    <w:name w:val="p15"/>
    <w:qFormat/>
    <w:uiPriority w:val="99"/>
    <w:pPr>
      <w:jc w:val="both"/>
    </w:pPr>
    <w:rPr>
      <w:rFonts w:ascii="Calibri" w:hAnsi="Calibri" w:cs="Times New Roman" w:eastAsiaTheme="minorEastAsia"/>
      <w:kern w:val="1"/>
      <w:sz w:val="21"/>
      <w:szCs w:val="21"/>
      <w:lang w:val="en-US" w:eastAsia="zh-CN" w:bidi="ar-SA"/>
    </w:rPr>
  </w:style>
  <w:style w:type="paragraph" w:customStyle="1" w:styleId="43">
    <w:name w:val="批注文字1"/>
    <w:qFormat/>
    <w:uiPriority w:val="0"/>
    <w:pPr>
      <w:widowControl w:val="0"/>
    </w:pPr>
    <w:rPr>
      <w:rFonts w:ascii="Calibri" w:hAnsi="Calibri" w:cs="Times New Roman" w:eastAsiaTheme="minorEastAsia"/>
      <w:kern w:val="1"/>
      <w:sz w:val="21"/>
      <w:szCs w:val="22"/>
      <w:lang w:val="en-US" w:eastAsia="zh-CN" w:bidi="ar-SA"/>
    </w:rPr>
  </w:style>
  <w:style w:type="paragraph" w:customStyle="1" w:styleId="44">
    <w:name w:val="09正文_wh"/>
    <w:qFormat/>
    <w:uiPriority w:val="0"/>
    <w:pPr>
      <w:spacing w:line="300" w:lineRule="auto"/>
      <w:ind w:firstLine="200"/>
      <w:jc w:val="both"/>
    </w:pPr>
    <w:rPr>
      <w:rFonts w:ascii="Times New Roman" w:hAnsi="Times New Roman" w:eastAsia="宋体" w:cs="Times New Roman"/>
      <w:sz w:val="28"/>
      <w:szCs w:val="22"/>
      <w:lang w:val="en-US" w:eastAsia="zh-CN" w:bidi="ar-SA"/>
    </w:rPr>
  </w:style>
  <w:style w:type="paragraph" w:customStyle="1" w:styleId="45">
    <w:name w:val="正文 New"/>
    <w:qFormat/>
    <w:uiPriority w:val="99"/>
    <w:pPr>
      <w:widowControl w:val="0"/>
      <w:jc w:val="both"/>
    </w:pPr>
    <w:rPr>
      <w:rFonts w:ascii="Times New Roman" w:hAnsi="Times New Roman" w:eastAsia="微软雅黑" w:cs="Times New Roman"/>
      <w:lang w:val="en-US" w:eastAsia="zh-CN" w:bidi="ar-SA"/>
    </w:rPr>
  </w:style>
  <w:style w:type="character" w:customStyle="1" w:styleId="46">
    <w:name w:val="button"/>
    <w:basedOn w:val="24"/>
    <w:qFormat/>
    <w:uiPriority w:val="0"/>
  </w:style>
  <w:style w:type="character" w:customStyle="1" w:styleId="47">
    <w:name w:val="hover"/>
    <w:basedOn w:val="24"/>
    <w:qFormat/>
    <w:uiPriority w:val="0"/>
    <w:rPr>
      <w:shd w:val="clear" w:fill="EEEEEE"/>
    </w:rPr>
  </w:style>
  <w:style w:type="character" w:customStyle="1" w:styleId="48">
    <w:name w:val="old"/>
    <w:basedOn w:val="24"/>
    <w:qFormat/>
    <w:uiPriority w:val="0"/>
    <w:rPr>
      <w:color w:val="999999"/>
    </w:rPr>
  </w:style>
  <w:style w:type="character" w:customStyle="1" w:styleId="49">
    <w:name w:val="hour_am"/>
    <w:basedOn w:val="24"/>
    <w:qFormat/>
    <w:uiPriority w:val="0"/>
  </w:style>
  <w:style w:type="character" w:customStyle="1" w:styleId="50">
    <w:name w:val="hour_pm"/>
    <w:basedOn w:val="24"/>
    <w:qFormat/>
    <w:uiPriority w:val="0"/>
  </w:style>
  <w:style w:type="character" w:customStyle="1" w:styleId="51">
    <w:name w:val="glyphicon4"/>
    <w:basedOn w:val="24"/>
    <w:qFormat/>
    <w:uiPriority w:val="0"/>
  </w:style>
  <w:style w:type="character" w:customStyle="1" w:styleId="52">
    <w:name w:val="indent"/>
    <w:basedOn w:val="24"/>
    <w:qFormat/>
    <w:uiPriority w:val="0"/>
  </w:style>
  <w:style w:type="character" w:customStyle="1" w:styleId="53">
    <w:name w:val="tmpztreemove_arrow"/>
    <w:basedOn w:val="24"/>
    <w:qFormat/>
    <w:uiPriority w:val="0"/>
    <w:rPr>
      <w:shd w:val="clear" w:fill="FFFFFF"/>
    </w:rPr>
  </w:style>
  <w:style w:type="character" w:customStyle="1" w:styleId="54">
    <w:name w:val="hover3"/>
    <w:basedOn w:val="24"/>
    <w:qFormat/>
    <w:uiPriority w:val="0"/>
    <w:rPr>
      <w:shd w:val="clear" w:fill="EEEEEE"/>
    </w:rPr>
  </w:style>
  <w:style w:type="paragraph" w:customStyle="1" w:styleId="55">
    <w:name w:val="WPSOffice手动目录 1"/>
    <w:qFormat/>
    <w:uiPriority w:val="0"/>
    <w:pPr>
      <w:ind w:leftChars="0"/>
    </w:pPr>
    <w:rPr>
      <w:rFonts w:ascii="Times New Roman" w:hAnsi="Times New Roman" w:eastAsia="宋体" w:cs="Times New Roman"/>
      <w:sz w:val="20"/>
      <w:szCs w:val="20"/>
    </w:rPr>
  </w:style>
  <w:style w:type="character" w:customStyle="1" w:styleId="56">
    <w:name w:val="NormalCharacter"/>
    <w:autoRedefine/>
    <w:qFormat/>
    <w:uiPriority w:val="0"/>
    <w:rPr>
      <w:kern w:val="2"/>
      <w:sz w:val="21"/>
      <w:szCs w:val="24"/>
      <w:lang w:val="en-US" w:eastAsia="zh-CN" w:bidi="ar-SA"/>
    </w:rPr>
  </w:style>
  <w:style w:type="paragraph" w:customStyle="1" w:styleId="57">
    <w:name w:val="UserStyle_7"/>
    <w:basedOn w:val="1"/>
    <w:qFormat/>
    <w:uiPriority w:val="0"/>
    <w:pPr>
      <w:spacing w:line="240" w:lineRule="auto"/>
      <w:ind w:firstLineChars="0"/>
      <w:jc w:val="both"/>
      <w:textAlignment w:val="baseline"/>
    </w:pPr>
    <w:rPr>
      <w:rFonts w:ascii="Times New Roman" w:hAnsi="Times New Roman" w:eastAsia="宋体"/>
      <w:kern w:val="2"/>
      <w:sz w:val="28"/>
      <w:szCs w:val="24"/>
      <w:lang w:val="en-US" w:eastAsia="zh-CN" w:bidi="ar-SA"/>
    </w:rPr>
  </w:style>
  <w:style w:type="character" w:customStyle="1" w:styleId="58">
    <w:name w:val="页眉 Char1"/>
    <w:link w:val="15"/>
    <w:qFormat/>
    <w:uiPriority w:val="0"/>
    <w:rPr>
      <w:sz w:val="18"/>
    </w:rPr>
  </w:style>
  <w:style w:type="paragraph" w:customStyle="1" w:styleId="5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7778</Words>
  <Characters>8625</Characters>
  <Lines>0</Lines>
  <Paragraphs>0</Paragraphs>
  <TotalTime>11</TotalTime>
  <ScaleCrop>false</ScaleCrop>
  <LinksUpToDate>false</LinksUpToDate>
  <CharactersWithSpaces>8728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2020-12-02T07:31:00Z</dcterms:created>
  <dc:creator>Administrator</dc:creator>
  <cp:lastModifiedBy>樱花街的盛夏</cp:lastModifiedBy>
  <cp:lastPrinted>2023-06-16T01:28:00Z</cp:lastPrinted>
  <dcterms:modified xsi:type="dcterms:W3CDTF">2025-07-23T06:11:37Z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6927624DF0C34EB6BF3173915DE67090_13</vt:lpwstr>
  </property>
  <property fmtid="{D5CDD505-2E9C-101B-9397-08002B2CF9AE}" pid="4" name="KSOTemplateDocerSaveRecord">
    <vt:lpwstr>eyJoZGlkIjoiMjgyMThkNjQ5ODY3Mzc2NzA0Mzc1NmJjOTQ4NDJhZmMiLCJ1c2VySWQiOiI2NDcxNzE4MDkifQ==</vt:lpwstr>
  </property>
</Properties>
</file>