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SXZCZB2025-ZCCS-0729.1B1</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1814BB4D">
      <w:pPr>
        <w:jc w:val="center"/>
        <w:rPr>
          <w:rFonts w:hint="eastAsia" w:hAnsi="宋体" w:cs="宋体"/>
          <w:b/>
          <w:color w:val="auto"/>
          <w:sz w:val="56"/>
          <w:szCs w:val="56"/>
          <w:highlight w:val="none"/>
          <w:lang w:val="en-US" w:eastAsia="zh-CN"/>
        </w:rPr>
      </w:pPr>
      <w:r>
        <w:rPr>
          <w:rFonts w:hint="eastAsia" w:hAnsi="宋体" w:cs="宋体"/>
          <w:b/>
          <w:color w:val="auto"/>
          <w:sz w:val="56"/>
          <w:szCs w:val="56"/>
          <w:highlight w:val="none"/>
          <w:lang w:val="en-US" w:eastAsia="zh-CN"/>
        </w:rPr>
        <w:t>专家智库支撑网络信息直报项目</w:t>
      </w:r>
    </w:p>
    <w:p w14:paraId="31DF5B10">
      <w:pPr>
        <w:jc w:val="center"/>
        <w:rPr>
          <w:rFonts w:hAnsi="宋体" w:cs="宋体"/>
          <w:b/>
          <w:color w:val="auto"/>
          <w:sz w:val="44"/>
          <w:szCs w:val="44"/>
          <w:highlight w:val="none"/>
        </w:rPr>
      </w:pPr>
      <w:r>
        <w:rPr>
          <w:rFonts w:hint="eastAsia" w:hAnsi="宋体" w:cs="宋体"/>
          <w:b/>
          <w:color w:val="auto"/>
          <w:sz w:val="56"/>
          <w:szCs w:val="56"/>
          <w:highlight w:val="none"/>
          <w:lang w:val="en-US" w:eastAsia="zh-CN"/>
        </w:rPr>
        <w:t>(二次)</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11EF1DBE">
      <w:pPr>
        <w:spacing w:line="780" w:lineRule="auto"/>
        <w:jc w:val="both"/>
        <w:rPr>
          <w:rFonts w:hint="eastAsia" w:hAnsi="宋体" w:cs="宋体"/>
          <w:b/>
          <w:color w:val="auto"/>
          <w:sz w:val="72"/>
          <w:szCs w:val="72"/>
          <w:highlight w:val="none"/>
        </w:rPr>
      </w:pPr>
      <w:bookmarkStart w:id="293" w:name="_GoBack"/>
      <w:bookmarkEnd w:id="293"/>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七</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5293"/>
      <w:bookmarkStart w:id="2" w:name="_Toc19886"/>
      <w:bookmarkStart w:id="3" w:name="_Toc20652"/>
      <w:bookmarkStart w:id="4" w:name="_Toc389582033"/>
      <w:bookmarkStart w:id="5" w:name="_Toc16218"/>
      <w:bookmarkStart w:id="6" w:name="_Toc21518"/>
      <w:bookmarkStart w:id="7" w:name="_Toc20858"/>
      <w:bookmarkStart w:id="8" w:name="_Toc27420"/>
      <w:bookmarkStart w:id="9" w:name="_Toc403077638"/>
      <w:bookmarkStart w:id="10" w:name="_Toc363473971"/>
      <w:bookmarkStart w:id="11" w:name="_Toc363474016"/>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5782"/>
      <w:bookmarkStart w:id="14" w:name="_Toc2705"/>
      <w:bookmarkStart w:id="15" w:name="_Toc423973071"/>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00868999">
      <w:pPr>
        <w:pStyle w:val="42"/>
        <w:spacing w:line="360" w:lineRule="auto"/>
        <w:outlineLvl w:val="5"/>
        <w:rPr>
          <w:rFonts w:hint="eastAsia" w:ascii="宋体" w:hAnsi="宋体" w:eastAsia="宋体" w:cs="宋体"/>
          <w:sz w:val="24"/>
          <w:szCs w:val="24"/>
        </w:rPr>
      </w:pPr>
      <w:bookmarkStart w:id="16" w:name="_Toc389582035"/>
      <w:bookmarkStart w:id="17" w:name="_Toc2929"/>
      <w:bookmarkStart w:id="18" w:name="_Toc29249"/>
      <w:bookmarkStart w:id="19" w:name="_Toc423973072"/>
      <w:r>
        <w:rPr>
          <w:rFonts w:hint="eastAsia" w:ascii="宋体" w:hAnsi="宋体" w:eastAsia="宋体" w:cs="宋体"/>
          <w:b/>
          <w:sz w:val="24"/>
          <w:szCs w:val="24"/>
        </w:rPr>
        <w:t>项目概况</w:t>
      </w:r>
    </w:p>
    <w:p w14:paraId="0811E1E4">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专家智库支撑网络信息直报项目(二次)采购项目的潜在供应商应在陕西省西安市经济技术开发区未央路171-1号银池道拉斯财富中心21楼03室获取采购文件，并于 2025年08月04日 </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 （北京时间）前提交响应文件。</w:t>
      </w:r>
    </w:p>
    <w:p w14:paraId="6C6D47F9">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468340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项目编号：SXZCZB2025-ZCCS-0729.1B1</w:t>
      </w:r>
    </w:p>
    <w:p w14:paraId="081F0B7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项目名称：专家智库支撑网络信息直报项目(二次)</w:t>
      </w:r>
    </w:p>
    <w:p w14:paraId="105B901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A0685F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预算金额：250,000.00元</w:t>
      </w:r>
    </w:p>
    <w:p w14:paraId="59558BB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427EB86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合同包1(专家智库支撑网络信息直报项目):</w:t>
      </w:r>
    </w:p>
    <w:p w14:paraId="6C855D8A">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合同包预算金额：250,000.00元</w:t>
      </w:r>
    </w:p>
    <w:p w14:paraId="37809A8C">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合同包最高限价：250,000.00元</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7"/>
        <w:gridCol w:w="1557"/>
        <w:gridCol w:w="1557"/>
        <w:gridCol w:w="1557"/>
        <w:gridCol w:w="1557"/>
        <w:gridCol w:w="1593"/>
      </w:tblGrid>
      <w:tr w14:paraId="52F36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57" w:type="dxa"/>
            <w:vAlign w:val="center"/>
          </w:tcPr>
          <w:p w14:paraId="2A9CFA5B">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57" w:type="dxa"/>
            <w:vAlign w:val="center"/>
          </w:tcPr>
          <w:p w14:paraId="133F669E">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57" w:type="dxa"/>
            <w:vAlign w:val="center"/>
          </w:tcPr>
          <w:p w14:paraId="1BF3C206">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57" w:type="dxa"/>
            <w:vAlign w:val="center"/>
          </w:tcPr>
          <w:p w14:paraId="00DBEC8F">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57" w:type="dxa"/>
            <w:vAlign w:val="center"/>
          </w:tcPr>
          <w:p w14:paraId="1BF2FFC3">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93" w:type="dxa"/>
            <w:vAlign w:val="center"/>
          </w:tcPr>
          <w:p w14:paraId="44ACA170">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345B9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57" w:type="dxa"/>
            <w:vAlign w:val="center"/>
          </w:tcPr>
          <w:p w14:paraId="7BEC9F6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57" w:type="dxa"/>
            <w:vAlign w:val="center"/>
          </w:tcPr>
          <w:p w14:paraId="2F8FBDE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公共信息服务</w:t>
            </w:r>
          </w:p>
        </w:tc>
        <w:tc>
          <w:tcPr>
            <w:tcW w:w="1557" w:type="dxa"/>
            <w:vAlign w:val="center"/>
          </w:tcPr>
          <w:p w14:paraId="4CDC1B90">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专家智库支撑网络信息直报项目</w:t>
            </w:r>
          </w:p>
        </w:tc>
        <w:tc>
          <w:tcPr>
            <w:tcW w:w="1557" w:type="dxa"/>
            <w:vAlign w:val="center"/>
          </w:tcPr>
          <w:p w14:paraId="43FFF95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57" w:type="dxa"/>
            <w:vAlign w:val="center"/>
          </w:tcPr>
          <w:p w14:paraId="43A7273D">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93" w:type="dxa"/>
            <w:vAlign w:val="center"/>
          </w:tcPr>
          <w:p w14:paraId="13660700">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250,000.00</w:t>
            </w:r>
          </w:p>
        </w:tc>
      </w:tr>
    </w:tbl>
    <w:p w14:paraId="2DF20B5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2871A3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13C42AE6">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CBBD1A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433569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8971D5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合同包1(专家智库支撑网络信息直报项目)落实政府采购政策需满足的资格要求如下:</w:t>
      </w:r>
    </w:p>
    <w:p w14:paraId="40E18646">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w:t>
      </w:r>
    </w:p>
    <w:p w14:paraId="6951C20C">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1AAE1A6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CF94D5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合同包1(专家智库支撑网络信息直报项目)特定资格要求如下:</w:t>
      </w:r>
    </w:p>
    <w:p w14:paraId="2A31BD47">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（4）税收缴纳证明：提供磋商截止日前连续3个月的纳税证明或完税证明（任意税种），依法免税的单位应提供相关证明材料；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（5）社会保障资金缴纳证明：提供磋商截止日前连续3个月的社会保障资金缴存单据或社保机构开具的社会保险参保缴费情况证明，依法不需要缴纳社会保障资金的单位应提供相关证明材料；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658D5D1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A930FB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2025年07月24日 至 2025年07月30日 ，每天上午 09:00:00 至 12:00:00 ，下午 14:00:00 至 17:00:00 （北京时间）</w:t>
      </w:r>
    </w:p>
    <w:p w14:paraId="0F0692C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79B09A9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79646917">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498B8D43">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AD7FA9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截止时间： 2025年08月04日 </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0分00秒 （北京时间）</w:t>
      </w:r>
    </w:p>
    <w:p w14:paraId="48F8B31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54E1C5D8">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5B9C2D3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时间： 2025年08月04日 </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0分00秒 （北京时间）</w:t>
      </w:r>
    </w:p>
    <w:p w14:paraId="73586B1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0778305B">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A0D874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FB503B3">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1AF40ABA">
      <w:pPr>
        <w:pStyle w:val="42"/>
        <w:spacing w:line="360" w:lineRule="auto"/>
        <w:rPr>
          <w:rFonts w:hint="eastAsia" w:ascii="宋体" w:hAnsi="宋体" w:eastAsia="宋体" w:cs="宋体"/>
          <w:sz w:val="24"/>
          <w:szCs w:val="24"/>
        </w:rPr>
      </w:pPr>
      <w:r>
        <w:rPr>
          <w:rFonts w:hint="eastAsia" w:ascii="宋体" w:hAnsi="宋体" w:eastAsia="宋体" w:cs="宋体"/>
          <w:color w:val="000000"/>
          <w:sz w:val="24"/>
          <w:szCs w:val="24"/>
        </w:rPr>
        <w:t>（1）供应商领取采购文件时，请携带单位介绍信及经办人身份证原件及复印件加盖公章；</w:t>
      </w:r>
    </w:p>
    <w:p w14:paraId="45A7E330">
      <w:pPr>
        <w:pStyle w:val="42"/>
        <w:spacing w:line="360" w:lineRule="auto"/>
        <w:rPr>
          <w:rFonts w:hint="eastAsia" w:ascii="宋体" w:hAnsi="宋体" w:eastAsia="宋体" w:cs="宋体"/>
          <w:sz w:val="24"/>
          <w:szCs w:val="24"/>
        </w:rPr>
      </w:pPr>
      <w:r>
        <w:rPr>
          <w:rFonts w:hint="eastAsia" w:ascii="宋体" w:hAnsi="宋体" w:eastAsia="宋体" w:cs="宋体"/>
          <w:color w:val="000000"/>
          <w:sz w:val="24"/>
          <w:szCs w:val="24"/>
        </w:rPr>
        <w:t>（2）请供应商按照《陕西省财政厅关于政府采购供应商注册登记有关事项的通知》中的要求，通过陕西省政府采购网（http://www.ccgp-shaanxi.gov.cn/）注册登记加入陕西省政府采购供应商库；</w:t>
      </w:r>
    </w:p>
    <w:p w14:paraId="1ECB4127">
      <w:pPr>
        <w:pStyle w:val="42"/>
        <w:spacing w:line="360" w:lineRule="auto"/>
        <w:rPr>
          <w:rFonts w:hint="eastAsia" w:ascii="宋体" w:hAnsi="宋体" w:eastAsia="宋体" w:cs="宋体"/>
          <w:sz w:val="24"/>
          <w:szCs w:val="24"/>
        </w:rPr>
      </w:pPr>
      <w:r>
        <w:rPr>
          <w:rFonts w:hint="eastAsia" w:ascii="宋体" w:hAnsi="宋体" w:eastAsia="宋体" w:cs="宋体"/>
          <w:color w:val="000000"/>
          <w:sz w:val="24"/>
          <w:szCs w:val="24"/>
        </w:rPr>
        <w:t>（3）本项目不专门面向中小企业采购。</w:t>
      </w:r>
    </w:p>
    <w:p w14:paraId="101E90D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D67CD4A">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7C85B3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45FBCAC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地址：凤城八路99号</w:t>
      </w:r>
    </w:p>
    <w:p w14:paraId="4BA050E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联系方式：029-86783230</w:t>
      </w:r>
    </w:p>
    <w:p w14:paraId="47958FE9">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6D8F3F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40B96F6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7CE2525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3178092C">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970D4C7">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4C1ECC2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电话：029-88219779</w:t>
      </w:r>
    </w:p>
    <w:p w14:paraId="1E120E7F">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sz w:val="24"/>
          <w:szCs w:val="24"/>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2025年7月</w:t>
      </w:r>
      <w:r>
        <w:rPr>
          <w:rFonts w:hint="eastAsia" w:hAnsi="宋体" w:cs="宋体"/>
          <w:i w:val="0"/>
          <w:iCs w:val="0"/>
          <w:caps w:val="0"/>
          <w:color w:val="333333"/>
          <w:spacing w:val="0"/>
          <w:sz w:val="24"/>
          <w:szCs w:val="24"/>
          <w:highlight w:val="none"/>
          <w:shd w:val="clear" w:fill="FFFFFF"/>
          <w:lang w:val="en-US" w:eastAsia="zh-CN"/>
        </w:rPr>
        <w:t>23</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14793"/>
      <w:bookmarkStart w:id="21" w:name="_Toc3334"/>
      <w:bookmarkStart w:id="22" w:name="_Toc5958"/>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8846"/>
      <w:bookmarkStart w:id="25" w:name="_Toc23180"/>
      <w:bookmarkStart w:id="26" w:name="_Toc4724"/>
      <w:bookmarkStart w:id="27" w:name="_Toc16830"/>
      <w:bookmarkStart w:id="28" w:name="_Toc18299"/>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4E808C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（4）税收缴纳证明：提供磋商截止日前连续3个月的纳税证明或完税证明（任意税种），依法免税的单位应提供相关证明材料；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（5）社会保障资金缴纳证明：提供磋商截止日前连续3个月的社会保障资金缴存单据或社保机构开具的社会保险参保缴费情况证明，依法不需要缴纳社会保障资金的单位应提供相关证明材料；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1-9项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w:t>
            </w:r>
            <w:r>
              <w:rPr>
                <w:rFonts w:hint="eastAsia" w:hAnsi="宋体" w:cs="宋体"/>
                <w:b/>
                <w:bCs/>
                <w:color w:val="auto"/>
                <w:szCs w:val="24"/>
                <w:highlight w:val="none"/>
                <w:lang w:val="en-US" w:eastAsia="zh-CN"/>
              </w:rPr>
              <w:t>不</w:t>
            </w:r>
            <w:r>
              <w:rPr>
                <w:rFonts w:hint="eastAsia" w:hAnsi="宋体" w:cs="宋体"/>
                <w:b/>
                <w:bCs/>
                <w:color w:val="auto"/>
                <w:szCs w:val="24"/>
                <w:highlight w:val="none"/>
              </w:rPr>
              <w:t>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363474017"/>
      <w:bookmarkStart w:id="31" w:name="_Toc403077639"/>
      <w:r>
        <w:rPr>
          <w:rFonts w:hint="eastAsia" w:hAnsi="宋体" w:cs="宋体"/>
          <w:b/>
          <w:color w:val="auto"/>
          <w:sz w:val="32"/>
          <w:szCs w:val="32"/>
          <w:highlight w:val="none"/>
        </w:rPr>
        <w:br w:type="page"/>
      </w:r>
      <w:bookmarkStart w:id="32" w:name="_Toc22284"/>
      <w:bookmarkStart w:id="33" w:name="_Toc27537"/>
      <w:bookmarkStart w:id="34" w:name="_Toc3623"/>
      <w:bookmarkStart w:id="35" w:name="_Toc4670"/>
      <w:bookmarkStart w:id="36" w:name="_Toc3066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403077640"/>
      <w:bookmarkStart w:id="38" w:name="_Toc363474018"/>
      <w:bookmarkStart w:id="39" w:name="_Toc363473973"/>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31742"/>
      <w:bookmarkStart w:id="41" w:name="_Toc12362"/>
      <w:bookmarkStart w:id="42" w:name="_Toc30698"/>
      <w:bookmarkStart w:id="43" w:name="_Toc27903"/>
      <w:bookmarkStart w:id="44" w:name="_Toc15249"/>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403077641"/>
      <w:bookmarkStart w:id="46" w:name="_Toc4913"/>
      <w:bookmarkStart w:id="47" w:name="_Toc13771"/>
      <w:bookmarkStart w:id="48" w:name="_Toc28227"/>
      <w:bookmarkStart w:id="49" w:name="_Toc363474019"/>
      <w:bookmarkStart w:id="50" w:name="_Toc363473974"/>
      <w:bookmarkStart w:id="51" w:name="_Toc26653"/>
      <w:bookmarkStart w:id="52" w:name="_Toc9512"/>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28120"/>
      <w:bookmarkStart w:id="55" w:name="_Toc20799"/>
      <w:bookmarkStart w:id="56" w:name="_Toc12266"/>
      <w:bookmarkStart w:id="57" w:name="_Toc18686"/>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13669"/>
      <w:bookmarkStart w:id="60" w:name="_Toc403077643"/>
      <w:bookmarkStart w:id="61" w:name="_Toc30850"/>
      <w:bookmarkStart w:id="62" w:name="_Toc22043"/>
      <w:bookmarkStart w:id="63" w:name="_Toc15436"/>
      <w:bookmarkStart w:id="64" w:name="_Toc363474021"/>
      <w:bookmarkStart w:id="65" w:name="_Toc25852"/>
      <w:bookmarkStart w:id="66" w:name="_Toc363473976"/>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7759"/>
      <w:bookmarkStart w:id="68" w:name="_Toc24420"/>
      <w:bookmarkStart w:id="69" w:name="_Toc29694"/>
      <w:bookmarkStart w:id="70" w:name="_Toc29146"/>
      <w:bookmarkStart w:id="71" w:name="_Toc1510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03077645"/>
      <w:bookmarkStart w:id="74" w:name="_Toc25783"/>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32051"/>
      <w:bookmarkStart w:id="80" w:name="_Toc23762"/>
      <w:bookmarkStart w:id="81" w:name="_Toc28665"/>
      <w:bookmarkStart w:id="82" w:name="_Toc7988"/>
      <w:bookmarkStart w:id="83" w:name="_Toc23722"/>
      <w:bookmarkStart w:id="84" w:name="_Toc26649"/>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3145"/>
      <w:bookmarkStart w:id="86" w:name="_Toc2374"/>
      <w:bookmarkStart w:id="87" w:name="_Toc20625"/>
      <w:bookmarkStart w:id="88" w:name="_Toc20714"/>
      <w:bookmarkStart w:id="89" w:name="_Toc27615"/>
      <w:bookmarkStart w:id="90" w:name="_Toc27029"/>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24776"/>
      <w:bookmarkStart w:id="92" w:name="_Toc4428"/>
      <w:bookmarkStart w:id="93" w:name="_Toc17111"/>
      <w:bookmarkStart w:id="94" w:name="_Toc30804"/>
      <w:bookmarkStart w:id="95" w:name="_Toc7905"/>
      <w:bookmarkStart w:id="96" w:name="_Toc19221"/>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14745"/>
      <w:bookmarkStart w:id="98" w:name="_Toc4223"/>
      <w:bookmarkStart w:id="99" w:name="_Toc25458"/>
      <w:bookmarkStart w:id="100" w:name="_Toc28532"/>
      <w:bookmarkStart w:id="101" w:name="_Toc13330"/>
      <w:bookmarkStart w:id="102" w:name="_Toc236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05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56" w:type="dxa"/>
            <w:noWrap w:val="0"/>
            <w:vAlign w:val="center"/>
          </w:tcPr>
          <w:p w14:paraId="5756594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880" w:type="dxa"/>
            <w:noWrap w:val="0"/>
            <w:vAlign w:val="center"/>
          </w:tcPr>
          <w:p w14:paraId="18C4062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70" w:type="dxa"/>
            <w:noWrap w:val="0"/>
            <w:vAlign w:val="center"/>
          </w:tcPr>
          <w:p w14:paraId="148F7D9A">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5F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26ACAD65">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tc>
        <w:tc>
          <w:tcPr>
            <w:tcW w:w="6880" w:type="dxa"/>
            <w:noWrap w:val="0"/>
            <w:vAlign w:val="center"/>
          </w:tcPr>
          <w:p w14:paraId="6E7CAD7C">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36B7B8D3">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70" w:type="dxa"/>
            <w:noWrap w:val="0"/>
            <w:vAlign w:val="center"/>
          </w:tcPr>
          <w:p w14:paraId="683921E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57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1656" w:type="dxa"/>
            <w:noWrap w:val="0"/>
            <w:vAlign w:val="center"/>
          </w:tcPr>
          <w:p w14:paraId="41C7D059">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880" w:type="dxa"/>
            <w:noWrap w:val="0"/>
            <w:vAlign w:val="center"/>
          </w:tcPr>
          <w:p w14:paraId="5807CD12">
            <w:pPr>
              <w:numPr>
                <w:ilvl w:val="0"/>
                <w:numId w:val="0"/>
              </w:numPr>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一、</w:t>
            </w:r>
            <w:r>
              <w:rPr>
                <w:rFonts w:hint="default" w:ascii="宋体" w:hAnsi="宋体" w:eastAsia="宋体" w:cs="宋体"/>
                <w:b/>
                <w:bCs/>
                <w:color w:val="auto"/>
                <w:highlight w:val="none"/>
                <w:lang w:val="en-US" w:eastAsia="zh-CN"/>
              </w:rPr>
              <w:t>评审内容：</w:t>
            </w:r>
          </w:p>
          <w:p w14:paraId="781989BF">
            <w:pPr>
              <w:numPr>
                <w:ilvl w:val="0"/>
                <w:numId w:val="0"/>
              </w:num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针对本项目提出适用于本项目的服务方案，包括①项目需求理解、②实施计划、③</w:t>
            </w:r>
            <w:r>
              <w:rPr>
                <w:rFonts w:hint="eastAsia" w:ascii="宋体" w:hAnsi="宋体" w:eastAsia="宋体" w:cs="宋体"/>
                <w:color w:val="000000"/>
                <w:kern w:val="0"/>
                <w:sz w:val="24"/>
                <w:szCs w:val="24"/>
                <w:highlight w:val="none"/>
                <w:lang w:val="en-US" w:eastAsia="zh-CN" w:bidi="ar"/>
              </w:rPr>
              <w:t>项目重难点分析</w:t>
            </w:r>
            <w:r>
              <w:rPr>
                <w:rFonts w:hint="default" w:ascii="宋体" w:hAnsi="宋体" w:eastAsia="宋体" w:cs="宋体"/>
                <w:color w:val="auto"/>
                <w:highlight w:val="none"/>
                <w:lang w:val="en-US" w:eastAsia="zh-CN"/>
              </w:rPr>
              <w:t>、④项目预估成果</w:t>
            </w:r>
          </w:p>
          <w:p w14:paraId="7EDC5E1A">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二、</w:t>
            </w:r>
            <w:r>
              <w:rPr>
                <w:rFonts w:hint="default" w:ascii="宋体" w:hAnsi="宋体" w:eastAsia="宋体" w:cs="宋体"/>
                <w:b/>
                <w:bCs/>
                <w:color w:val="auto"/>
                <w:highlight w:val="none"/>
                <w:lang w:val="en-US" w:eastAsia="zh-CN"/>
              </w:rPr>
              <w:t>评审标准：</w:t>
            </w:r>
          </w:p>
          <w:p w14:paraId="3E3BD85F">
            <w:pPr>
              <w:numPr>
                <w:ilvl w:val="0"/>
                <w:numId w:val="4"/>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完整性：方案必须全面，对评审内容中的各项要求有详细描述； </w:t>
            </w:r>
          </w:p>
          <w:p w14:paraId="4686062A">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可实施性：切合本项目实际情况，提出步骤清晰、合理的方案； </w:t>
            </w:r>
          </w:p>
          <w:p w14:paraId="56754FA8">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针对性：方案能够紧扣项目实际情况，内容科学合理。 </w:t>
            </w:r>
          </w:p>
          <w:p w14:paraId="15DB4B15">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三、</w:t>
            </w:r>
            <w:r>
              <w:rPr>
                <w:rFonts w:hint="default" w:ascii="宋体" w:hAnsi="宋体" w:eastAsia="宋体" w:cs="宋体"/>
                <w:b/>
                <w:bCs/>
                <w:color w:val="auto"/>
                <w:highlight w:val="none"/>
                <w:lang w:val="en-US" w:eastAsia="zh-CN"/>
              </w:rPr>
              <w:t>赋分标准（满分</w:t>
            </w:r>
            <w:r>
              <w:rPr>
                <w:rFonts w:hint="eastAsia" w:hAnsi="宋体" w:cs="宋体"/>
                <w:b/>
                <w:bCs/>
                <w:color w:val="auto"/>
                <w:highlight w:val="none"/>
                <w:lang w:val="en-US" w:eastAsia="zh-CN"/>
              </w:rPr>
              <w:t>12</w:t>
            </w:r>
            <w:r>
              <w:rPr>
                <w:rFonts w:hint="default" w:ascii="宋体" w:hAnsi="宋体" w:eastAsia="宋体" w:cs="宋体"/>
                <w:b/>
                <w:bCs/>
                <w:color w:val="auto"/>
                <w:highlight w:val="none"/>
                <w:lang w:val="en-US" w:eastAsia="zh-CN"/>
              </w:rPr>
              <w:t>分）</w:t>
            </w:r>
          </w:p>
          <w:p w14:paraId="0118C38F">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①项目需求理解：每完全满足一个评审标准得</w:t>
            </w:r>
            <w:r>
              <w:rPr>
                <w:rFonts w:hint="eastAsia" w:hAnsi="宋体" w:cs="宋体"/>
                <w:color w:val="auto"/>
                <w:highlight w:val="none"/>
                <w:lang w:val="en-US" w:eastAsia="zh-CN"/>
              </w:rPr>
              <w:t>1</w:t>
            </w:r>
            <w:r>
              <w:rPr>
                <w:rFonts w:hint="default" w:ascii="宋体" w:hAnsi="宋体" w:eastAsia="宋体" w:cs="宋体"/>
                <w:color w:val="auto"/>
                <w:highlight w:val="none"/>
                <w:lang w:val="en-US" w:eastAsia="zh-CN"/>
              </w:rPr>
              <w:t>分，满分</w:t>
            </w:r>
            <w:r>
              <w:rPr>
                <w:rFonts w:hint="eastAsia" w:hAnsi="宋体" w:cs="宋体"/>
                <w:color w:val="auto"/>
                <w:highlight w:val="none"/>
                <w:lang w:val="en-US" w:eastAsia="zh-CN"/>
              </w:rPr>
              <w:t>3</w:t>
            </w:r>
            <w:r>
              <w:rPr>
                <w:rFonts w:hint="default" w:ascii="宋体" w:hAnsi="宋体" w:eastAsia="宋体" w:cs="宋体"/>
                <w:color w:val="auto"/>
                <w:highlight w:val="none"/>
                <w:lang w:val="en-US" w:eastAsia="zh-CN"/>
              </w:rPr>
              <w:t xml:space="preserve">分； </w:t>
            </w:r>
          </w:p>
          <w:p w14:paraId="2ABD65FB">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②实施计划：每完全满足一个评审标准得</w:t>
            </w:r>
            <w:r>
              <w:rPr>
                <w:rFonts w:hint="eastAsia" w:hAnsi="宋体" w:cs="宋体"/>
                <w:color w:val="auto"/>
                <w:highlight w:val="none"/>
                <w:lang w:val="en-US" w:eastAsia="zh-CN"/>
              </w:rPr>
              <w:t>1</w:t>
            </w:r>
            <w:r>
              <w:rPr>
                <w:rFonts w:hint="default" w:ascii="宋体" w:hAnsi="宋体" w:eastAsia="宋体" w:cs="宋体"/>
                <w:color w:val="auto"/>
                <w:highlight w:val="none"/>
                <w:lang w:val="en-US" w:eastAsia="zh-CN"/>
              </w:rPr>
              <w:t>分，满分</w:t>
            </w:r>
            <w:r>
              <w:rPr>
                <w:rFonts w:hint="eastAsia" w:hAnsi="宋体" w:cs="宋体"/>
                <w:color w:val="auto"/>
                <w:highlight w:val="none"/>
                <w:lang w:val="en-US" w:eastAsia="zh-CN"/>
              </w:rPr>
              <w:t>3</w:t>
            </w:r>
            <w:r>
              <w:rPr>
                <w:rFonts w:hint="default" w:ascii="宋体" w:hAnsi="宋体" w:eastAsia="宋体" w:cs="宋体"/>
                <w:color w:val="auto"/>
                <w:highlight w:val="none"/>
                <w:lang w:val="en-US" w:eastAsia="zh-CN"/>
              </w:rPr>
              <w:t xml:space="preserve">分； </w:t>
            </w:r>
          </w:p>
          <w:p w14:paraId="451A5E74">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w:t>
            </w:r>
            <w:r>
              <w:rPr>
                <w:rFonts w:hint="eastAsia" w:ascii="宋体" w:hAnsi="宋体" w:eastAsia="宋体" w:cs="宋体"/>
                <w:color w:val="000000"/>
                <w:kern w:val="0"/>
                <w:sz w:val="24"/>
                <w:szCs w:val="24"/>
                <w:highlight w:val="none"/>
                <w:lang w:val="en-US" w:eastAsia="zh-CN" w:bidi="ar"/>
              </w:rPr>
              <w:t>项目重难点分析</w:t>
            </w:r>
            <w:r>
              <w:rPr>
                <w:rFonts w:hint="default" w:ascii="宋体" w:hAnsi="宋体" w:eastAsia="宋体" w:cs="宋体"/>
                <w:color w:val="auto"/>
                <w:highlight w:val="none"/>
                <w:lang w:val="en-US" w:eastAsia="zh-CN"/>
              </w:rPr>
              <w:t>：每完全满足一个评审标准得</w:t>
            </w:r>
            <w:r>
              <w:rPr>
                <w:rFonts w:hint="eastAsia" w:hAnsi="宋体" w:cs="宋体"/>
                <w:color w:val="auto"/>
                <w:highlight w:val="none"/>
                <w:lang w:val="en-US" w:eastAsia="zh-CN"/>
              </w:rPr>
              <w:t>1</w:t>
            </w:r>
            <w:r>
              <w:rPr>
                <w:rFonts w:hint="default" w:ascii="宋体" w:hAnsi="宋体" w:eastAsia="宋体" w:cs="宋体"/>
                <w:color w:val="auto"/>
                <w:highlight w:val="none"/>
                <w:lang w:val="en-US" w:eastAsia="zh-CN"/>
              </w:rPr>
              <w:t>分，满分</w:t>
            </w:r>
            <w:r>
              <w:rPr>
                <w:rFonts w:hint="eastAsia" w:hAnsi="宋体" w:cs="宋体"/>
                <w:color w:val="auto"/>
                <w:highlight w:val="none"/>
                <w:lang w:val="en-US" w:eastAsia="zh-CN"/>
              </w:rPr>
              <w:t>3</w:t>
            </w:r>
            <w:r>
              <w:rPr>
                <w:rFonts w:hint="default" w:ascii="宋体" w:hAnsi="宋体" w:eastAsia="宋体" w:cs="宋体"/>
                <w:color w:val="auto"/>
                <w:highlight w:val="none"/>
                <w:lang w:val="en-US" w:eastAsia="zh-CN"/>
              </w:rPr>
              <w:t>分。</w:t>
            </w:r>
          </w:p>
          <w:p w14:paraId="73A8907F">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④项目预估成果：每完全满足一个评审标准得</w:t>
            </w:r>
            <w:r>
              <w:rPr>
                <w:rFonts w:hint="eastAsia" w:hAnsi="宋体" w:cs="宋体"/>
                <w:color w:val="auto"/>
                <w:highlight w:val="none"/>
                <w:lang w:val="en-US" w:eastAsia="zh-CN"/>
              </w:rPr>
              <w:t>1</w:t>
            </w:r>
            <w:r>
              <w:rPr>
                <w:rFonts w:hint="default" w:ascii="宋体" w:hAnsi="宋体" w:eastAsia="宋体" w:cs="宋体"/>
                <w:color w:val="auto"/>
                <w:highlight w:val="none"/>
                <w:lang w:val="en-US" w:eastAsia="zh-CN"/>
              </w:rPr>
              <w:t>分，满分</w:t>
            </w:r>
            <w:r>
              <w:rPr>
                <w:rFonts w:hint="eastAsia" w:hAnsi="宋体" w:cs="宋体"/>
                <w:color w:val="auto"/>
                <w:highlight w:val="none"/>
                <w:lang w:val="en-US" w:eastAsia="zh-CN"/>
              </w:rPr>
              <w:t>3</w:t>
            </w:r>
            <w:r>
              <w:rPr>
                <w:rFonts w:hint="default" w:ascii="宋体" w:hAnsi="宋体" w:eastAsia="宋体" w:cs="宋体"/>
                <w:color w:val="auto"/>
                <w:highlight w:val="none"/>
                <w:lang w:val="en-US" w:eastAsia="zh-CN"/>
              </w:rPr>
              <w:t>分；</w:t>
            </w:r>
          </w:p>
        </w:tc>
        <w:tc>
          <w:tcPr>
            <w:tcW w:w="870" w:type="dxa"/>
            <w:noWrap w:val="0"/>
            <w:vAlign w:val="center"/>
          </w:tcPr>
          <w:p w14:paraId="25AB1D6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12</w:t>
            </w:r>
            <w:r>
              <w:rPr>
                <w:rFonts w:hint="eastAsia" w:hAnsi="宋体" w:cs="宋体"/>
                <w:color w:val="auto"/>
                <w:szCs w:val="24"/>
                <w:highlight w:val="none"/>
              </w:rPr>
              <w:t>分</w:t>
            </w:r>
          </w:p>
        </w:tc>
      </w:tr>
      <w:tr w14:paraId="5A3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1656" w:type="dxa"/>
            <w:noWrap w:val="0"/>
            <w:vAlign w:val="center"/>
          </w:tcPr>
          <w:p w14:paraId="7617F131">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技术实施方案</w:t>
            </w:r>
          </w:p>
        </w:tc>
        <w:tc>
          <w:tcPr>
            <w:tcW w:w="6880" w:type="dxa"/>
            <w:noWrap w:val="0"/>
            <w:vAlign w:val="center"/>
          </w:tcPr>
          <w:p w14:paraId="4D786159">
            <w:pPr>
              <w:numPr>
                <w:ilvl w:val="0"/>
                <w:numId w:val="0"/>
              </w:numPr>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一、</w:t>
            </w:r>
            <w:r>
              <w:rPr>
                <w:rFonts w:hint="eastAsia" w:eastAsia="宋体"/>
                <w:b/>
                <w:bCs/>
                <w:color w:val="auto"/>
                <w:highlight w:val="none"/>
                <w:lang w:eastAsia="zh-CN"/>
              </w:rPr>
              <w:t>评审内容：</w:t>
            </w:r>
          </w:p>
          <w:p w14:paraId="43B74ED5">
            <w:pPr>
              <w:numPr>
                <w:ilvl w:val="0"/>
                <w:numId w:val="0"/>
              </w:num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根据项目特点，有针对性的组织实施方案，包括①</w:t>
            </w:r>
            <w:r>
              <w:rPr>
                <w:rFonts w:hint="eastAsia" w:ascii="宋体" w:hAnsi="宋体" w:eastAsia="宋体" w:cs="宋体"/>
                <w:color w:val="auto"/>
                <w:highlight w:val="none"/>
                <w:lang w:val="en-US" w:eastAsia="zh-CN"/>
              </w:rPr>
              <w:t>数据安全方案</w:t>
            </w:r>
            <w:r>
              <w:rPr>
                <w:rFonts w:hint="eastAsia" w:eastAsia="宋体"/>
                <w:color w:val="auto"/>
                <w:highlight w:val="none"/>
                <w:lang w:eastAsia="zh-CN"/>
              </w:rPr>
              <w:t>②</w:t>
            </w:r>
            <w:r>
              <w:rPr>
                <w:rFonts w:hint="eastAsia" w:ascii="宋体" w:hAnsi="宋体" w:eastAsia="宋体" w:cs="宋体"/>
                <w:color w:val="auto"/>
                <w:highlight w:val="none"/>
                <w:lang w:val="en-US" w:eastAsia="zh-CN"/>
              </w:rPr>
              <w:t>风险评估</w:t>
            </w:r>
            <w:r>
              <w:rPr>
                <w:rFonts w:hint="eastAsia" w:eastAsia="宋体"/>
                <w:color w:val="auto"/>
                <w:highlight w:val="none"/>
                <w:lang w:eastAsia="zh-CN"/>
              </w:rPr>
              <w:t>③</w:t>
            </w:r>
            <w:r>
              <w:rPr>
                <w:rFonts w:hint="eastAsia"/>
                <w:color w:val="auto"/>
                <w:highlight w:val="none"/>
                <w:lang w:val="en-US" w:eastAsia="zh-CN"/>
              </w:rPr>
              <w:t>境外网络访问实施方案</w:t>
            </w:r>
            <w:r>
              <w:rPr>
                <w:rFonts w:hint="eastAsia" w:eastAsia="宋体"/>
                <w:color w:val="auto"/>
                <w:highlight w:val="none"/>
                <w:lang w:eastAsia="zh-CN"/>
              </w:rPr>
              <w:t>；</w:t>
            </w:r>
          </w:p>
          <w:p w14:paraId="1642C3EA">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二、</w:t>
            </w:r>
            <w:r>
              <w:rPr>
                <w:rFonts w:hint="eastAsia" w:eastAsia="宋体"/>
                <w:b/>
                <w:bCs/>
                <w:color w:val="auto"/>
                <w:highlight w:val="none"/>
                <w:lang w:eastAsia="zh-CN"/>
              </w:rPr>
              <w:t xml:space="preserve">评审标准： </w:t>
            </w:r>
          </w:p>
          <w:p w14:paraId="6AF3325A">
            <w:pPr>
              <w:numPr>
                <w:ilvl w:val="0"/>
                <w:numId w:val="5"/>
              </w:numPr>
              <w:ind w:leftChars="0"/>
              <w:jc w:val="left"/>
              <w:rPr>
                <w:rFonts w:hint="eastAsia" w:eastAsia="宋体"/>
                <w:color w:val="auto"/>
                <w:highlight w:val="none"/>
                <w:lang w:eastAsia="zh-CN"/>
              </w:rPr>
            </w:pPr>
            <w:r>
              <w:rPr>
                <w:rFonts w:hint="eastAsia" w:eastAsia="宋体"/>
                <w:color w:val="auto"/>
                <w:highlight w:val="none"/>
                <w:lang w:eastAsia="zh-CN"/>
              </w:rPr>
              <w:t xml:space="preserve">完整性：方案必须全面，对评审内容中的各项要求有详细描述； </w:t>
            </w:r>
          </w:p>
          <w:p w14:paraId="4107A464">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可实施性：切合本项目实际情况，提出步骤清晰、合理的方案； </w:t>
            </w:r>
          </w:p>
          <w:p w14:paraId="0F09A850">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针对性：方案能够紧扣项目实际情况，内容科学合理。 </w:t>
            </w:r>
          </w:p>
          <w:p w14:paraId="51433F94">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三、</w:t>
            </w:r>
            <w:r>
              <w:rPr>
                <w:rFonts w:hint="eastAsia" w:eastAsia="宋体"/>
                <w:b/>
                <w:bCs/>
                <w:color w:val="auto"/>
                <w:highlight w:val="none"/>
                <w:lang w:eastAsia="zh-CN"/>
              </w:rPr>
              <w:t>赋分标准（满分</w:t>
            </w:r>
            <w:r>
              <w:rPr>
                <w:rFonts w:hint="eastAsia"/>
                <w:b/>
                <w:bCs/>
                <w:color w:val="auto"/>
                <w:highlight w:val="none"/>
                <w:lang w:val="en-US" w:eastAsia="zh-CN"/>
              </w:rPr>
              <w:t>4.5</w:t>
            </w:r>
            <w:r>
              <w:rPr>
                <w:rFonts w:hint="eastAsia" w:eastAsia="宋体"/>
                <w:b/>
                <w:bCs/>
                <w:color w:val="auto"/>
                <w:highlight w:val="none"/>
                <w:lang w:eastAsia="zh-CN"/>
              </w:rPr>
              <w:t>分）</w:t>
            </w:r>
          </w:p>
          <w:p w14:paraId="2CB7CE34">
            <w:pPr>
              <w:numPr>
                <w:ilvl w:val="0"/>
                <w:numId w:val="0"/>
              </w:numPr>
              <w:ind w:leftChars="0"/>
              <w:jc w:val="left"/>
              <w:rPr>
                <w:rFonts w:hint="eastAsia" w:eastAsia="宋体"/>
                <w:color w:val="auto"/>
                <w:highlight w:val="none"/>
                <w:lang w:eastAsia="zh-CN"/>
              </w:rPr>
            </w:pPr>
            <w:r>
              <w:rPr>
                <w:rFonts w:hint="eastAsia" w:eastAsia="宋体"/>
                <w:color w:val="auto"/>
                <w:highlight w:val="none"/>
                <w:lang w:eastAsia="zh-CN"/>
              </w:rPr>
              <w:t>①</w:t>
            </w:r>
            <w:r>
              <w:rPr>
                <w:rFonts w:hint="eastAsia" w:ascii="宋体" w:hAnsi="宋体" w:eastAsia="宋体" w:cs="宋体"/>
                <w:color w:val="auto"/>
                <w:highlight w:val="none"/>
                <w:lang w:val="en-US" w:eastAsia="zh-CN"/>
              </w:rPr>
              <w:t>数据安全方案</w:t>
            </w:r>
            <w:r>
              <w:rPr>
                <w:rFonts w:hint="eastAsia" w:eastAsia="宋体"/>
                <w:color w:val="auto"/>
                <w:highlight w:val="none"/>
                <w:lang w:eastAsia="zh-CN"/>
              </w:rPr>
              <w:t>：每完全满足一个评审标准得</w:t>
            </w:r>
            <w:r>
              <w:rPr>
                <w:rFonts w:hint="eastAsia"/>
                <w:color w:val="auto"/>
                <w:highlight w:val="none"/>
                <w:lang w:val="en-US" w:eastAsia="zh-CN"/>
              </w:rPr>
              <w:t>0.5</w:t>
            </w:r>
            <w:r>
              <w:rPr>
                <w:rFonts w:hint="eastAsia" w:eastAsia="宋体"/>
                <w:color w:val="auto"/>
                <w:highlight w:val="none"/>
                <w:lang w:eastAsia="zh-CN"/>
              </w:rPr>
              <w:t>分，满分</w:t>
            </w:r>
            <w:r>
              <w:rPr>
                <w:rFonts w:hint="eastAsia"/>
                <w:color w:val="auto"/>
                <w:highlight w:val="none"/>
                <w:lang w:val="en-US" w:eastAsia="zh-CN"/>
              </w:rPr>
              <w:t>1.5</w:t>
            </w:r>
            <w:r>
              <w:rPr>
                <w:rFonts w:hint="eastAsia" w:eastAsia="宋体"/>
                <w:color w:val="auto"/>
                <w:highlight w:val="none"/>
                <w:lang w:eastAsia="zh-CN"/>
              </w:rPr>
              <w:t>分；</w:t>
            </w:r>
          </w:p>
          <w:p w14:paraId="70362C11">
            <w:pPr>
              <w:numPr>
                <w:ilvl w:val="0"/>
                <w:numId w:val="0"/>
              </w:numPr>
              <w:ind w:leftChars="0"/>
              <w:jc w:val="left"/>
              <w:rPr>
                <w:rFonts w:hint="eastAsia" w:eastAsia="宋体"/>
                <w:color w:val="auto"/>
                <w:highlight w:val="none"/>
                <w:lang w:eastAsia="zh-CN"/>
              </w:rPr>
            </w:pPr>
            <w:r>
              <w:rPr>
                <w:rFonts w:hint="eastAsia" w:eastAsia="宋体"/>
                <w:color w:val="auto"/>
                <w:highlight w:val="none"/>
                <w:lang w:eastAsia="zh-CN"/>
              </w:rPr>
              <w:t>②</w:t>
            </w:r>
            <w:r>
              <w:rPr>
                <w:rFonts w:hint="eastAsia" w:ascii="宋体" w:hAnsi="宋体" w:eastAsia="宋体" w:cs="宋体"/>
                <w:color w:val="auto"/>
                <w:highlight w:val="none"/>
                <w:lang w:val="en-US" w:eastAsia="zh-CN"/>
              </w:rPr>
              <w:t>风险评估</w:t>
            </w:r>
            <w:r>
              <w:rPr>
                <w:rFonts w:hint="eastAsia" w:eastAsia="宋体"/>
                <w:color w:val="auto"/>
                <w:highlight w:val="none"/>
                <w:lang w:eastAsia="zh-CN"/>
              </w:rPr>
              <w:t>：每完全满足一个评审标准得</w:t>
            </w:r>
            <w:r>
              <w:rPr>
                <w:rFonts w:hint="eastAsia"/>
                <w:color w:val="auto"/>
                <w:highlight w:val="none"/>
                <w:lang w:val="en-US" w:eastAsia="zh-CN"/>
              </w:rPr>
              <w:t>0.5</w:t>
            </w:r>
            <w:r>
              <w:rPr>
                <w:rFonts w:hint="eastAsia" w:eastAsia="宋体"/>
                <w:color w:val="auto"/>
                <w:highlight w:val="none"/>
                <w:lang w:eastAsia="zh-CN"/>
              </w:rPr>
              <w:t>分，满分</w:t>
            </w:r>
            <w:r>
              <w:rPr>
                <w:rFonts w:hint="eastAsia"/>
                <w:color w:val="auto"/>
                <w:highlight w:val="none"/>
                <w:lang w:val="en-US" w:eastAsia="zh-CN"/>
              </w:rPr>
              <w:t>1.5</w:t>
            </w:r>
            <w:r>
              <w:rPr>
                <w:rFonts w:hint="eastAsia" w:eastAsia="宋体"/>
                <w:color w:val="auto"/>
                <w:highlight w:val="none"/>
                <w:lang w:eastAsia="zh-CN"/>
              </w:rPr>
              <w:t>分；</w:t>
            </w:r>
          </w:p>
          <w:p w14:paraId="255C412A">
            <w:pPr>
              <w:numPr>
                <w:ilvl w:val="0"/>
                <w:numId w:val="0"/>
              </w:numPr>
              <w:ind w:leftChars="0"/>
              <w:jc w:val="left"/>
              <w:rPr>
                <w:rFonts w:hint="eastAsia" w:eastAsia="宋体"/>
                <w:color w:val="auto"/>
                <w:highlight w:val="none"/>
                <w:lang w:eastAsia="zh-CN"/>
              </w:rPr>
            </w:pPr>
            <w:r>
              <w:rPr>
                <w:rFonts w:hint="eastAsia" w:eastAsia="宋体"/>
                <w:color w:val="auto"/>
                <w:highlight w:val="none"/>
                <w:lang w:eastAsia="zh-CN"/>
              </w:rPr>
              <w:t>③</w:t>
            </w:r>
            <w:r>
              <w:rPr>
                <w:rFonts w:hint="eastAsia"/>
                <w:color w:val="auto"/>
                <w:highlight w:val="none"/>
                <w:lang w:val="en-US" w:eastAsia="zh-CN"/>
              </w:rPr>
              <w:t>境外网络访问实施方案</w:t>
            </w:r>
            <w:r>
              <w:rPr>
                <w:rFonts w:hint="eastAsia" w:eastAsia="宋体"/>
                <w:color w:val="auto"/>
                <w:highlight w:val="none"/>
                <w:lang w:eastAsia="zh-CN"/>
              </w:rPr>
              <w:t>：每完全满足一个评审标准得</w:t>
            </w:r>
            <w:r>
              <w:rPr>
                <w:rFonts w:hint="eastAsia"/>
                <w:color w:val="auto"/>
                <w:highlight w:val="none"/>
                <w:lang w:val="en-US" w:eastAsia="zh-CN"/>
              </w:rPr>
              <w:t>0.5</w:t>
            </w:r>
            <w:r>
              <w:rPr>
                <w:rFonts w:hint="eastAsia" w:eastAsia="宋体"/>
                <w:color w:val="auto"/>
                <w:highlight w:val="none"/>
                <w:lang w:eastAsia="zh-CN"/>
              </w:rPr>
              <w:t>分，满分</w:t>
            </w:r>
            <w:r>
              <w:rPr>
                <w:rFonts w:hint="eastAsia"/>
                <w:color w:val="auto"/>
                <w:highlight w:val="none"/>
                <w:lang w:val="en-US" w:eastAsia="zh-CN"/>
              </w:rPr>
              <w:t>1.5</w:t>
            </w:r>
            <w:r>
              <w:rPr>
                <w:rFonts w:hint="eastAsia" w:eastAsia="宋体"/>
                <w:color w:val="auto"/>
                <w:highlight w:val="none"/>
                <w:lang w:eastAsia="zh-CN"/>
              </w:rPr>
              <w:t>分；</w:t>
            </w:r>
          </w:p>
        </w:tc>
        <w:tc>
          <w:tcPr>
            <w:tcW w:w="870" w:type="dxa"/>
            <w:noWrap w:val="0"/>
            <w:vAlign w:val="center"/>
          </w:tcPr>
          <w:p w14:paraId="4676457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4.5</w:t>
            </w:r>
            <w:r>
              <w:rPr>
                <w:rFonts w:hint="eastAsia" w:hAnsi="宋体" w:cs="宋体"/>
                <w:color w:val="auto"/>
                <w:szCs w:val="24"/>
                <w:highlight w:val="none"/>
              </w:rPr>
              <w:t>分</w:t>
            </w:r>
          </w:p>
        </w:tc>
      </w:tr>
      <w:tr w14:paraId="106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1656" w:type="dxa"/>
            <w:noWrap w:val="0"/>
            <w:vAlign w:val="center"/>
          </w:tcPr>
          <w:p w14:paraId="13B9E482">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项目管理措施</w:t>
            </w:r>
          </w:p>
        </w:tc>
        <w:tc>
          <w:tcPr>
            <w:tcW w:w="6880" w:type="dxa"/>
            <w:noWrap w:val="0"/>
            <w:vAlign w:val="center"/>
          </w:tcPr>
          <w:p w14:paraId="323FCF2D">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30ED6237">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针对采购需求提出适用于本项目的管理措施方案，方案包括： ①质量保证措施 ②进度控制措施 ③项目人员管理措施 </w:t>
            </w:r>
          </w:p>
          <w:p w14:paraId="31C61E11">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 xml:space="preserve">评审标准： </w:t>
            </w:r>
          </w:p>
          <w:p w14:paraId="49059426">
            <w:pPr>
              <w:numPr>
                <w:ilvl w:val="0"/>
                <w:numId w:val="6"/>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完整性：方案必须全面，对评审内容中的各项要求有详细描述；</w:t>
            </w:r>
          </w:p>
          <w:p w14:paraId="17B3BF48">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72444A25">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006C408C">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4.5</w:t>
            </w:r>
            <w:r>
              <w:rPr>
                <w:rFonts w:hint="eastAsia" w:hAnsi="Times New Roman" w:cs="Times New Roman"/>
                <w:b/>
                <w:bCs/>
                <w:color w:val="auto"/>
                <w:highlight w:val="none"/>
                <w:lang w:val="en-US" w:eastAsia="zh-CN"/>
              </w:rPr>
              <w:t>分）</w:t>
            </w:r>
          </w:p>
          <w:p w14:paraId="523F6C2E">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①质量保证措施：每完全满足一个评审标准得</w:t>
            </w:r>
            <w:r>
              <w:rPr>
                <w:rFonts w:hint="eastAsia" w:cs="Times New Roman"/>
                <w:color w:val="auto"/>
                <w:highlight w:val="none"/>
                <w:lang w:val="en-US" w:eastAsia="zh-CN"/>
              </w:rPr>
              <w:t>0.5</w:t>
            </w:r>
            <w:r>
              <w:rPr>
                <w:rFonts w:hint="eastAsia" w:hAnsi="Times New Roman" w:cs="Times New Roman"/>
                <w:color w:val="auto"/>
                <w:highlight w:val="none"/>
                <w:lang w:val="en-US" w:eastAsia="zh-CN"/>
              </w:rPr>
              <w:t>分，满分</w:t>
            </w:r>
            <w:r>
              <w:rPr>
                <w:rFonts w:hint="eastAsia" w:cs="Times New Roman"/>
                <w:color w:val="auto"/>
                <w:highlight w:val="none"/>
                <w:lang w:val="en-US" w:eastAsia="zh-CN"/>
              </w:rPr>
              <w:t>1.5</w:t>
            </w:r>
            <w:r>
              <w:rPr>
                <w:rFonts w:hint="eastAsia" w:hAnsi="Times New Roman" w:cs="Times New Roman"/>
                <w:color w:val="auto"/>
                <w:highlight w:val="none"/>
                <w:lang w:val="en-US" w:eastAsia="zh-CN"/>
              </w:rPr>
              <w:t xml:space="preserve">分； </w:t>
            </w:r>
          </w:p>
          <w:p w14:paraId="536B2945">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②进度控制措施：每完全满足一个评审标准得</w:t>
            </w:r>
            <w:r>
              <w:rPr>
                <w:rFonts w:hint="eastAsia" w:cs="Times New Roman"/>
                <w:color w:val="auto"/>
                <w:highlight w:val="none"/>
                <w:lang w:val="en-US" w:eastAsia="zh-CN"/>
              </w:rPr>
              <w:t>0.5</w:t>
            </w:r>
            <w:r>
              <w:rPr>
                <w:rFonts w:hint="eastAsia" w:hAnsi="Times New Roman" w:cs="Times New Roman"/>
                <w:color w:val="auto"/>
                <w:highlight w:val="none"/>
                <w:lang w:val="en-US" w:eastAsia="zh-CN"/>
              </w:rPr>
              <w:t>分，满分</w:t>
            </w:r>
            <w:r>
              <w:rPr>
                <w:rFonts w:hint="eastAsia" w:cs="Times New Roman"/>
                <w:color w:val="auto"/>
                <w:highlight w:val="none"/>
                <w:lang w:val="en-US" w:eastAsia="zh-CN"/>
              </w:rPr>
              <w:t>1.5</w:t>
            </w:r>
            <w:r>
              <w:rPr>
                <w:rFonts w:hint="eastAsia" w:hAnsi="Times New Roman" w:cs="Times New Roman"/>
                <w:color w:val="auto"/>
                <w:highlight w:val="none"/>
                <w:lang w:val="en-US" w:eastAsia="zh-CN"/>
              </w:rPr>
              <w:t xml:space="preserve">分； </w:t>
            </w:r>
          </w:p>
          <w:p w14:paraId="40D5DE63">
            <w:pPr>
              <w:numPr>
                <w:ilvl w:val="0"/>
                <w:numId w:val="0"/>
              </w:numPr>
              <w:ind w:leftChars="0"/>
              <w:jc w:val="left"/>
              <w:rPr>
                <w:rFonts w:hint="eastAsia"/>
                <w:color w:val="auto"/>
                <w:highlight w:val="none"/>
              </w:rPr>
            </w:pPr>
            <w:r>
              <w:rPr>
                <w:rFonts w:hint="eastAsia" w:hAnsi="Times New Roman" w:cs="Times New Roman"/>
                <w:color w:val="auto"/>
                <w:highlight w:val="none"/>
                <w:lang w:val="en-US" w:eastAsia="zh-CN"/>
              </w:rPr>
              <w:t>③项目人员管理措施：每完全满足一个评审标准得</w:t>
            </w:r>
            <w:r>
              <w:rPr>
                <w:rFonts w:hint="eastAsia" w:cs="Times New Roman"/>
                <w:color w:val="auto"/>
                <w:highlight w:val="none"/>
                <w:lang w:val="en-US" w:eastAsia="zh-CN"/>
              </w:rPr>
              <w:t>0.5</w:t>
            </w:r>
            <w:r>
              <w:rPr>
                <w:rFonts w:hint="eastAsia" w:hAnsi="Times New Roman" w:cs="Times New Roman"/>
                <w:color w:val="auto"/>
                <w:highlight w:val="none"/>
                <w:lang w:val="en-US" w:eastAsia="zh-CN"/>
              </w:rPr>
              <w:t>分，满分</w:t>
            </w:r>
            <w:r>
              <w:rPr>
                <w:rFonts w:hint="eastAsia" w:cs="Times New Roman"/>
                <w:color w:val="auto"/>
                <w:highlight w:val="none"/>
                <w:lang w:val="en-US" w:eastAsia="zh-CN"/>
              </w:rPr>
              <w:t>1.5</w:t>
            </w:r>
            <w:r>
              <w:rPr>
                <w:rFonts w:hint="eastAsia" w:hAnsi="Times New Roman" w:cs="Times New Roman"/>
                <w:color w:val="auto"/>
                <w:highlight w:val="none"/>
                <w:lang w:val="en-US" w:eastAsia="zh-CN"/>
              </w:rPr>
              <w:t>分。</w:t>
            </w:r>
          </w:p>
        </w:tc>
        <w:tc>
          <w:tcPr>
            <w:tcW w:w="870" w:type="dxa"/>
            <w:noWrap w:val="0"/>
            <w:vAlign w:val="center"/>
          </w:tcPr>
          <w:p w14:paraId="5CDA27F6">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4.5分</w:t>
            </w:r>
          </w:p>
        </w:tc>
      </w:tr>
      <w:tr w14:paraId="269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656" w:type="dxa"/>
            <w:noWrap w:val="0"/>
            <w:vAlign w:val="center"/>
          </w:tcPr>
          <w:p w14:paraId="3E1C7900">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应急安全管理</w:t>
            </w:r>
          </w:p>
        </w:tc>
        <w:tc>
          <w:tcPr>
            <w:tcW w:w="6880" w:type="dxa"/>
            <w:noWrap w:val="0"/>
            <w:vAlign w:val="center"/>
          </w:tcPr>
          <w:p w14:paraId="5F7E8173">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24EBFE54">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针对本项目提出适用于本项目的应急安全管理方案，方案包括： ① 突发应急事件预案②应急保障措施 </w:t>
            </w:r>
          </w:p>
          <w:p w14:paraId="123BB214">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评审标准：</w:t>
            </w:r>
            <w:r>
              <w:rPr>
                <w:rFonts w:hint="eastAsia" w:hAnsi="Times New Roman" w:cs="Times New Roman"/>
                <w:color w:val="auto"/>
                <w:highlight w:val="none"/>
                <w:lang w:val="en-US" w:eastAsia="zh-CN"/>
              </w:rPr>
              <w:t xml:space="preserve"> </w:t>
            </w:r>
          </w:p>
          <w:p w14:paraId="45400CE7">
            <w:pPr>
              <w:numPr>
                <w:ilvl w:val="0"/>
                <w:numId w:val="7"/>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完整性：方案必须全面，对评审内容中的各项要求有详细描述； </w:t>
            </w:r>
          </w:p>
          <w:p w14:paraId="4E9DEFB8">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4FFF9F23">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3DDB8AF5">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6</w:t>
            </w:r>
            <w:r>
              <w:rPr>
                <w:rFonts w:hint="eastAsia" w:hAnsi="Times New Roman" w:cs="Times New Roman"/>
                <w:b/>
                <w:bCs/>
                <w:color w:val="auto"/>
                <w:highlight w:val="none"/>
                <w:lang w:val="en-US" w:eastAsia="zh-CN"/>
              </w:rPr>
              <w:t>分）</w:t>
            </w:r>
          </w:p>
          <w:p w14:paraId="6E6E4A4F">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①突发应急事件预案：每完全满足一个评审标准得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分，满分</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w:t>
            </w:r>
          </w:p>
          <w:p w14:paraId="181CA627">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②应急保障措施：每完全满足一个评审标准得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分，满分</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w:t>
            </w:r>
          </w:p>
        </w:tc>
        <w:tc>
          <w:tcPr>
            <w:tcW w:w="870" w:type="dxa"/>
            <w:noWrap w:val="0"/>
            <w:vAlign w:val="center"/>
          </w:tcPr>
          <w:p w14:paraId="7C3CCF8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6分</w:t>
            </w:r>
          </w:p>
        </w:tc>
      </w:tr>
      <w:tr w14:paraId="730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1656" w:type="dxa"/>
            <w:noWrap w:val="0"/>
            <w:vAlign w:val="center"/>
          </w:tcPr>
          <w:p w14:paraId="7AAA6256">
            <w:pPr>
              <w:jc w:val="center"/>
              <w:rPr>
                <w:rFonts w:hint="eastAsia" w:hAnsi="Times New Roman" w:cs="Times New Roman"/>
                <w:color w:val="auto"/>
                <w:highlight w:val="yellow"/>
                <w:lang w:val="en-US" w:eastAsia="zh-CN"/>
              </w:rPr>
            </w:pPr>
            <w:r>
              <w:rPr>
                <w:rFonts w:hint="eastAsia" w:cs="Times New Roman"/>
                <w:color w:val="auto"/>
                <w:highlight w:val="none"/>
                <w:lang w:val="en-US" w:eastAsia="zh-CN"/>
              </w:rPr>
              <w:t>项目负责人</w:t>
            </w:r>
          </w:p>
        </w:tc>
        <w:tc>
          <w:tcPr>
            <w:tcW w:w="6880" w:type="dxa"/>
            <w:noWrap w:val="0"/>
            <w:vAlign w:val="center"/>
          </w:tcPr>
          <w:p w14:paraId="0789A997">
            <w:pPr>
              <w:keepNext w:val="0"/>
              <w:keepLines w:val="0"/>
              <w:widowControl/>
              <w:numPr>
                <w:ilvl w:val="0"/>
                <w:numId w:val="0"/>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hAnsi="宋体" w:cs="宋体"/>
                <w:color w:val="000000"/>
                <w:kern w:val="0"/>
                <w:sz w:val="24"/>
                <w:szCs w:val="24"/>
                <w:highlight w:val="none"/>
                <w:lang w:val="en-US" w:eastAsia="zh-CN" w:bidi="ar"/>
              </w:rPr>
              <w:t>项目负责人具有专科学历得2分，具有本科及以上学历得3分；（需提供学历证书）</w:t>
            </w:r>
          </w:p>
          <w:p w14:paraId="72A33AE4">
            <w:pPr>
              <w:jc w:val="left"/>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szCs w:val="24"/>
                <w:highlight w:val="none"/>
                <w:lang w:val="en-US" w:eastAsia="zh-CN"/>
              </w:rPr>
              <w:t>项目负责人具有中级职称得</w:t>
            </w: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分</w:t>
            </w:r>
            <w:r>
              <w:rPr>
                <w:rFonts w:hint="eastAsia" w:hAnsi="宋体" w:cs="宋体"/>
                <w:szCs w:val="24"/>
                <w:highlight w:val="none"/>
                <w:lang w:val="en-US" w:eastAsia="zh-CN"/>
              </w:rPr>
              <w:t>，</w:t>
            </w:r>
            <w:r>
              <w:rPr>
                <w:rFonts w:hint="eastAsia" w:ascii="宋体" w:hAnsi="宋体" w:eastAsia="宋体" w:cs="宋体"/>
                <w:szCs w:val="24"/>
                <w:highlight w:val="none"/>
                <w:lang w:val="en-US" w:eastAsia="zh-CN"/>
              </w:rPr>
              <w:t>具有高级及以上职称得</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分</w:t>
            </w:r>
            <w:r>
              <w:rPr>
                <w:rFonts w:hint="eastAsia" w:hAnsi="宋体" w:cs="宋体"/>
                <w:color w:val="000000"/>
                <w:kern w:val="0"/>
                <w:sz w:val="24"/>
                <w:szCs w:val="24"/>
                <w:highlight w:val="none"/>
                <w:lang w:val="en-US" w:eastAsia="zh-CN" w:bidi="ar"/>
              </w:rPr>
              <w:t>；（需提供职称证书）</w:t>
            </w:r>
          </w:p>
          <w:p w14:paraId="0BD16CF8">
            <w:pPr>
              <w:jc w:val="left"/>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3、项目负责人具有本项目类似业绩不少于3份得5分，每增加1份得1分，满分8分。（需提供服务合同或中标通知书）</w:t>
            </w:r>
          </w:p>
        </w:tc>
        <w:tc>
          <w:tcPr>
            <w:tcW w:w="870" w:type="dxa"/>
            <w:noWrap w:val="0"/>
            <w:vAlign w:val="center"/>
          </w:tcPr>
          <w:p w14:paraId="5F5C5BF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14分</w:t>
            </w:r>
          </w:p>
        </w:tc>
      </w:tr>
      <w:tr w14:paraId="6D82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656" w:type="dxa"/>
            <w:noWrap w:val="0"/>
            <w:vAlign w:val="center"/>
          </w:tcPr>
          <w:p w14:paraId="320CE058">
            <w:pPr>
              <w:jc w:val="center"/>
              <w:rPr>
                <w:rFonts w:hint="default" w:hAnsi="Times New Roman" w:cs="Times New Roman"/>
                <w:color w:val="auto"/>
                <w:highlight w:val="none"/>
                <w:lang w:val="en-US" w:eastAsia="zh-CN"/>
              </w:rPr>
            </w:pPr>
            <w:r>
              <w:rPr>
                <w:rFonts w:hint="eastAsia" w:cs="Times New Roman"/>
                <w:color w:val="auto"/>
                <w:highlight w:val="none"/>
                <w:lang w:val="en-US" w:eastAsia="zh-CN"/>
              </w:rPr>
              <w:t>团队人员</w:t>
            </w:r>
          </w:p>
        </w:tc>
        <w:tc>
          <w:tcPr>
            <w:tcW w:w="6880" w:type="dxa"/>
            <w:noWrap w:val="0"/>
            <w:vAlign w:val="center"/>
          </w:tcPr>
          <w:p w14:paraId="1E5D073B">
            <w:pPr>
              <w:numPr>
                <w:ilvl w:val="0"/>
                <w:numId w:val="0"/>
              </w:numPr>
              <w:jc w:val="left"/>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团队成员不少于5人且具备语言等级证书或翻译证书得</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en-US" w:eastAsia="zh-CN"/>
              </w:rPr>
              <w:t>分，每增加1人得1分，满分</w:t>
            </w:r>
            <w:r>
              <w:rPr>
                <w:rFonts w:hint="eastAsia" w:cs="Times New Roman"/>
                <w:color w:val="auto"/>
                <w:highlight w:val="none"/>
                <w:lang w:val="en-US" w:eastAsia="zh-CN"/>
              </w:rPr>
              <w:t>5</w:t>
            </w:r>
            <w:r>
              <w:rPr>
                <w:rFonts w:hint="eastAsia" w:ascii="宋体" w:hAnsi="Times New Roman" w:eastAsia="宋体" w:cs="Times New Roman"/>
                <w:color w:val="auto"/>
                <w:highlight w:val="none"/>
                <w:lang w:val="en-US" w:eastAsia="zh-CN"/>
              </w:rPr>
              <w:t>分</w:t>
            </w:r>
            <w:r>
              <w:rPr>
                <w:rFonts w:hint="eastAsia" w:cs="Times New Roman"/>
                <w:color w:val="auto"/>
                <w:highlight w:val="none"/>
                <w:lang w:val="en-US" w:eastAsia="zh-CN"/>
              </w:rPr>
              <w:t>。</w:t>
            </w:r>
            <w:r>
              <w:rPr>
                <w:rFonts w:hint="eastAsia" w:ascii="宋体" w:hAnsi="Times New Roman" w:eastAsia="宋体" w:cs="Times New Roman"/>
                <w:color w:val="auto"/>
                <w:highlight w:val="none"/>
                <w:lang w:val="en-US" w:eastAsia="zh-CN"/>
              </w:rPr>
              <w:t>（需提供证书）</w:t>
            </w:r>
          </w:p>
        </w:tc>
        <w:tc>
          <w:tcPr>
            <w:tcW w:w="870" w:type="dxa"/>
            <w:noWrap w:val="0"/>
            <w:vAlign w:val="center"/>
          </w:tcPr>
          <w:p w14:paraId="4F73639A">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1E3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656" w:type="dxa"/>
            <w:noWrap w:val="0"/>
            <w:vAlign w:val="center"/>
          </w:tcPr>
          <w:p w14:paraId="6C764A2A">
            <w:pPr>
              <w:jc w:val="center"/>
              <w:rPr>
                <w:rFonts w:hint="default" w:cs="Times New Roman"/>
                <w:color w:val="auto"/>
                <w:highlight w:val="none"/>
                <w:lang w:val="en-US" w:eastAsia="zh-CN"/>
              </w:rPr>
            </w:pPr>
            <w:r>
              <w:rPr>
                <w:rFonts w:hint="eastAsia" w:cs="Times New Roman"/>
                <w:color w:val="auto"/>
                <w:highlight w:val="none"/>
                <w:lang w:val="en-US" w:eastAsia="zh-CN"/>
              </w:rPr>
              <w:t>邀请专家</w:t>
            </w:r>
          </w:p>
        </w:tc>
        <w:tc>
          <w:tcPr>
            <w:tcW w:w="6880" w:type="dxa"/>
            <w:noWrap w:val="0"/>
            <w:vAlign w:val="center"/>
          </w:tcPr>
          <w:p w14:paraId="147D9C41">
            <w:pPr>
              <w:numPr>
                <w:ilvl w:val="0"/>
                <w:numId w:val="0"/>
              </w:numPr>
              <w:jc w:val="left"/>
              <w:rPr>
                <w:rFonts w:hint="default" w:ascii="宋体" w:hAnsi="Times New Roman" w:eastAsia="宋体" w:cs="Times New Roman"/>
                <w:color w:val="auto"/>
                <w:highlight w:val="none"/>
                <w:lang w:val="en-US" w:eastAsia="zh-CN"/>
              </w:rPr>
            </w:pPr>
            <w:r>
              <w:rPr>
                <w:rFonts w:hint="eastAsia" w:cs="Times New Roman"/>
                <w:color w:val="auto"/>
                <w:highlight w:val="none"/>
                <w:lang w:val="en-US" w:eastAsia="zh-CN"/>
              </w:rPr>
              <w:t>针对本项目邀请的专家人数不少于10人且专家职称为副高及以上职称得3分，每增加1人得0.2分，满分5分。（</w:t>
            </w:r>
            <w:r>
              <w:rPr>
                <w:rFonts w:hint="eastAsia" w:hAnsi="宋体" w:cs="宋体"/>
                <w:color w:val="000000"/>
                <w:kern w:val="0"/>
                <w:sz w:val="24"/>
                <w:szCs w:val="24"/>
                <w:highlight w:val="none"/>
                <w:lang w:val="en-US" w:eastAsia="zh-CN" w:bidi="ar"/>
              </w:rPr>
              <w:t>需提供职称证书</w:t>
            </w:r>
            <w:r>
              <w:rPr>
                <w:rFonts w:hint="eastAsia" w:cs="Times New Roman"/>
                <w:color w:val="auto"/>
                <w:highlight w:val="none"/>
                <w:lang w:val="en-US" w:eastAsia="zh-CN"/>
              </w:rPr>
              <w:t>）</w:t>
            </w:r>
          </w:p>
        </w:tc>
        <w:tc>
          <w:tcPr>
            <w:tcW w:w="870" w:type="dxa"/>
            <w:noWrap w:val="0"/>
            <w:vAlign w:val="center"/>
          </w:tcPr>
          <w:p w14:paraId="63D00EE8">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D9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42815359">
            <w:pPr>
              <w:pStyle w:val="33"/>
              <w:jc w:val="center"/>
              <w:rPr>
                <w:rFonts w:hint="eastAsia" w:ascii="宋体" w:hAnsi="宋体" w:eastAsia="宋体" w:cs="宋体"/>
                <w:color w:val="auto"/>
                <w:highlight w:val="none"/>
              </w:rPr>
            </w:pPr>
            <w:r>
              <w:rPr>
                <w:rFonts w:hint="eastAsia" w:hAnsi="宋体" w:eastAsia="宋体" w:cs="宋体"/>
                <w:color w:val="auto"/>
                <w:highlight w:val="none"/>
              </w:rPr>
              <w:t>合理化建议</w:t>
            </w:r>
          </w:p>
        </w:tc>
        <w:tc>
          <w:tcPr>
            <w:tcW w:w="6880" w:type="dxa"/>
            <w:noWrap w:val="0"/>
            <w:vAlign w:val="center"/>
          </w:tcPr>
          <w:p w14:paraId="4A8E1BBD">
            <w:pPr>
              <w:jc w:val="left"/>
              <w:rPr>
                <w:rFonts w:hint="eastAsia"/>
                <w:highlight w:val="none"/>
              </w:rPr>
            </w:pP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lang w:eastAsia="zh-CN"/>
              </w:rPr>
              <w:t>针对本项目提出有利于</w:t>
            </w:r>
            <w:r>
              <w:rPr>
                <w:rFonts w:hint="eastAsia" w:ascii="宋体" w:hAnsi="宋体" w:eastAsia="宋体" w:cs="宋体"/>
                <w:szCs w:val="24"/>
                <w:highlight w:val="none"/>
                <w:lang w:val="en-US" w:eastAsia="zh-CN"/>
              </w:rPr>
              <w:t>采购人</w:t>
            </w:r>
            <w:r>
              <w:rPr>
                <w:rFonts w:hint="eastAsia" w:ascii="宋体" w:hAnsi="宋体" w:eastAsia="宋体" w:cs="宋体"/>
                <w:szCs w:val="24"/>
                <w:highlight w:val="none"/>
                <w:lang w:eastAsia="zh-CN"/>
              </w:rPr>
              <w:t>的合理化建议，</w:t>
            </w:r>
            <w:r>
              <w:rPr>
                <w:rFonts w:hint="eastAsia" w:ascii="宋体" w:hAnsi="宋体" w:eastAsia="宋体" w:cs="宋体"/>
                <w:szCs w:val="24"/>
                <w:highlight w:val="none"/>
                <w:lang w:val="en-US" w:eastAsia="zh-CN"/>
              </w:rPr>
              <w:t>从积极意义、可行性、合理性等方面综合考虑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完善，切实可行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hAnsi="宋体" w:cs="宋体"/>
                <w:szCs w:val="24"/>
                <w:highlight w:val="none"/>
                <w:lang w:val="en-US" w:eastAsia="zh-CN"/>
              </w:rPr>
              <w:t>4</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一般，基本可行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hAnsi="宋体" w:cs="宋体"/>
                <w:szCs w:val="24"/>
                <w:highlight w:val="none"/>
                <w:lang w:val="en-US" w:eastAsia="zh-CN"/>
              </w:rPr>
              <w:t>2</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；未提供不得分。</w:t>
            </w:r>
          </w:p>
        </w:tc>
        <w:tc>
          <w:tcPr>
            <w:tcW w:w="870" w:type="dxa"/>
            <w:noWrap w:val="0"/>
            <w:vAlign w:val="center"/>
          </w:tcPr>
          <w:p w14:paraId="6FB6CF9C">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4</w:t>
            </w:r>
            <w:r>
              <w:rPr>
                <w:rFonts w:hint="eastAsia" w:hAnsi="宋体" w:cs="宋体"/>
                <w:color w:val="auto"/>
                <w:szCs w:val="24"/>
                <w:highlight w:val="none"/>
              </w:rPr>
              <w:t>分</w:t>
            </w:r>
          </w:p>
        </w:tc>
      </w:tr>
      <w:tr w14:paraId="3FA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09FA0467">
            <w:pPr>
              <w:pStyle w:val="33"/>
              <w:jc w:val="center"/>
              <w:rPr>
                <w:rFonts w:hint="eastAsia" w:hAnsi="宋体" w:eastAsia="宋体" w:cs="宋体"/>
                <w:color w:val="auto"/>
                <w:highlight w:val="none"/>
                <w:lang w:val="en-US" w:eastAsia="zh-CN"/>
              </w:rPr>
            </w:pPr>
            <w:r>
              <w:rPr>
                <w:rFonts w:hint="eastAsia" w:hAnsi="宋体" w:eastAsia="宋体" w:cs="宋体"/>
                <w:color w:val="auto"/>
                <w:highlight w:val="none"/>
                <w:lang w:val="en-US" w:eastAsia="zh-CN"/>
              </w:rPr>
              <w:t>数据监测</w:t>
            </w:r>
          </w:p>
        </w:tc>
        <w:tc>
          <w:tcPr>
            <w:tcW w:w="6880" w:type="dxa"/>
            <w:noWrap w:val="0"/>
            <w:vAlign w:val="center"/>
          </w:tcPr>
          <w:p w14:paraId="651BB8AE">
            <w:pPr>
              <w:jc w:val="left"/>
              <w:rPr>
                <w:rFonts w:hint="default" w:hAnsi="Times New Roman" w:cs="Times New Roman"/>
                <w:color w:val="auto"/>
                <w:highlight w:val="none"/>
                <w:lang w:val="en-US" w:eastAsia="zh-CN"/>
              </w:rPr>
            </w:pPr>
            <w:r>
              <w:rPr>
                <w:rFonts w:hint="eastAsia" w:cs="Times New Roman"/>
                <w:color w:val="auto"/>
                <w:highlight w:val="none"/>
                <w:lang w:val="en-US" w:eastAsia="zh-CN"/>
              </w:rPr>
              <w:t>以合法合规形式开展监测活动，提供境外媒体订阅或数据库版权合作的凭证，提供不少于30家媒体订阅或数据库版权合作得10分，每增加1家得0.5分，满分20分。</w:t>
            </w:r>
          </w:p>
        </w:tc>
        <w:tc>
          <w:tcPr>
            <w:tcW w:w="870" w:type="dxa"/>
            <w:noWrap w:val="0"/>
            <w:vAlign w:val="center"/>
          </w:tcPr>
          <w:p w14:paraId="138720F3">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20分</w:t>
            </w:r>
          </w:p>
        </w:tc>
      </w:tr>
      <w:tr w14:paraId="75B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0B7E9E5A">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880" w:type="dxa"/>
            <w:noWrap w:val="0"/>
            <w:vAlign w:val="center"/>
          </w:tcPr>
          <w:p w14:paraId="2BD4ACC7">
            <w:pPr>
              <w:pStyle w:val="33"/>
              <w:jc w:val="both"/>
              <w:rPr>
                <w:rFonts w:hint="eastAsia" w:ascii="宋体" w:hAnsi="宋体" w:eastAsia="AGYXIQ+Frutiger-Cn"/>
                <w:color w:val="auto"/>
                <w:szCs w:val="22"/>
                <w:highlight w:val="none"/>
                <w:lang w:eastAsia="zh-CN"/>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2022年6月以后</w:t>
            </w:r>
            <w:r>
              <w:rPr>
                <w:rFonts w:hint="eastAsia" w:ascii="宋体" w:hAnsi="宋体"/>
                <w:color w:val="auto"/>
                <w:szCs w:val="22"/>
                <w:highlight w:val="none"/>
                <w:lang w:eastAsia="zh-CN"/>
              </w:rPr>
              <w:t>类似</w:t>
            </w:r>
            <w:r>
              <w:rPr>
                <w:rFonts w:hint="eastAsia" w:ascii="宋体" w:hAnsi="宋体"/>
                <w:color w:val="auto"/>
                <w:szCs w:val="22"/>
                <w:highlight w:val="none"/>
                <w:lang w:val="en-US" w:eastAsia="zh-CN"/>
              </w:rPr>
              <w:t>本</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3</w:t>
            </w:r>
            <w:r>
              <w:rPr>
                <w:rFonts w:hint="eastAsia" w:ascii="宋体" w:hAnsi="宋体"/>
                <w:color w:val="auto"/>
                <w:szCs w:val="22"/>
                <w:highlight w:val="none"/>
              </w:rPr>
              <w:t>分，满分</w:t>
            </w:r>
            <w:r>
              <w:rPr>
                <w:rFonts w:hint="eastAsia" w:ascii="宋体" w:hAnsi="宋体"/>
                <w:color w:val="auto"/>
                <w:szCs w:val="22"/>
                <w:highlight w:val="none"/>
                <w:lang w:val="en-US" w:eastAsia="zh-CN"/>
              </w:rPr>
              <w:t>15</w:t>
            </w:r>
            <w:r>
              <w:rPr>
                <w:rFonts w:hint="eastAsia" w:ascii="宋体" w:hAnsi="宋体"/>
                <w:color w:val="auto"/>
                <w:szCs w:val="22"/>
                <w:highlight w:val="none"/>
              </w:rPr>
              <w:t>分</w:t>
            </w:r>
            <w:r>
              <w:rPr>
                <w:rFonts w:hint="eastAsia" w:ascii="宋体" w:hAnsi="宋体"/>
                <w:color w:val="auto"/>
                <w:szCs w:val="22"/>
                <w:highlight w:val="none"/>
                <w:lang w:eastAsia="zh-CN"/>
              </w:rPr>
              <w:t>。</w:t>
            </w:r>
            <w:r>
              <w:rPr>
                <w:rFonts w:hint="eastAsia" w:ascii="宋体" w:hAnsi="宋体"/>
                <w:color w:val="auto"/>
                <w:szCs w:val="22"/>
                <w:highlight w:val="none"/>
              </w:rPr>
              <w:t>（业绩以合同复印件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70" w:type="dxa"/>
            <w:noWrap w:val="0"/>
            <w:vAlign w:val="center"/>
          </w:tcPr>
          <w:p w14:paraId="4F77CF1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15</w:t>
            </w:r>
            <w:r>
              <w:rPr>
                <w:rFonts w:hint="eastAsia" w:hAnsi="宋体" w:cs="宋体"/>
                <w:color w:val="auto"/>
                <w:szCs w:val="24"/>
                <w:highlight w:val="none"/>
              </w:rPr>
              <w:t>分</w:t>
            </w:r>
          </w:p>
        </w:tc>
      </w:tr>
    </w:tbl>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2724"/>
      <w:bookmarkStart w:id="104" w:name="_Toc8788"/>
      <w:bookmarkStart w:id="105" w:name="_Toc10029"/>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45D4F3B">
      <w:pPr>
        <w:tabs>
          <w:tab w:val="left" w:pos="210"/>
          <w:tab w:val="left" w:pos="525"/>
        </w:tabs>
        <w:spacing w:line="360" w:lineRule="auto"/>
        <w:jc w:val="center"/>
        <w:outlineLvl w:val="1"/>
        <w:rPr>
          <w:rFonts w:hAnsi="宋体" w:cs="宋体"/>
          <w:color w:val="auto"/>
          <w:highlight w:val="none"/>
        </w:rPr>
      </w:pPr>
      <w:bookmarkStart w:id="106" w:name="_Toc20005"/>
      <w:bookmarkStart w:id="107" w:name="_Toc23705"/>
      <w:bookmarkStart w:id="108" w:name="_Toc24218"/>
      <w:bookmarkStart w:id="109" w:name="_Toc26300"/>
      <w:bookmarkStart w:id="110" w:name="_Toc3424"/>
      <w:bookmarkStart w:id="111" w:name="_Toc32476"/>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8440" w:type="dxa"/>
            <w:vAlign w:val="center"/>
          </w:tcPr>
          <w:p w14:paraId="230CB97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440" w:type="dxa"/>
            <w:vAlign w:val="center"/>
          </w:tcPr>
          <w:p w14:paraId="7425C9C2">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采购人名称：中共西安市委网络安全和信息化委员会办公室</w:t>
            </w:r>
          </w:p>
          <w:p w14:paraId="3CBA9BD3">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址：陕西省西安市凤城八路99号</w:t>
            </w:r>
          </w:p>
          <w:p w14:paraId="2D253657">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专家智库支撑网络信息直报项目(二次)</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440" w:type="dxa"/>
            <w:vAlign w:val="center"/>
          </w:tcPr>
          <w:p w14:paraId="4604D0A2">
            <w:p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项目实施地点：</w:t>
            </w:r>
            <w:r>
              <w:rPr>
                <w:rFonts w:hint="eastAsia" w:hAnsi="宋体" w:cs="宋体"/>
                <w:color w:val="auto"/>
                <w:sz w:val="24"/>
                <w:szCs w:val="24"/>
                <w:highlight w:val="none"/>
                <w:lang w:val="en-US" w:eastAsia="zh-CN"/>
              </w:rPr>
              <w:t>西安</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440" w:type="dxa"/>
            <w:vAlign w:val="center"/>
          </w:tcPr>
          <w:p w14:paraId="35848137">
            <w:pPr>
              <w:pStyle w:val="7"/>
              <w:ind w:firstLine="0" w:firstLineChars="0"/>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服务期限：</w:t>
            </w:r>
            <w:r>
              <w:rPr>
                <w:rFonts w:hint="eastAsia" w:ascii="宋体" w:hAnsi="宋体" w:cs="宋体"/>
                <w:color w:val="auto"/>
                <w:sz w:val="24"/>
                <w:szCs w:val="24"/>
                <w:highlight w:val="none"/>
                <w:lang w:val="en-US" w:eastAsia="zh-CN"/>
              </w:rPr>
              <w:t>自合同签订之日起1年</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12" w:type="dxa"/>
            <w:vAlign w:val="center"/>
          </w:tcPr>
          <w:p w14:paraId="5F5D66E7">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440" w:type="dxa"/>
            <w:vAlign w:val="center"/>
          </w:tcPr>
          <w:p w14:paraId="6A9CC273">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14:paraId="0247E17D">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2.付款方式和程序：</w:t>
            </w:r>
          </w:p>
          <w:p w14:paraId="746F0C34">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2.1由采购人负责结算，在付款前，供应商必须开具全额发票给采购人（附详细清单）。</w:t>
            </w:r>
          </w:p>
          <w:p w14:paraId="1D7F835B">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2.2付款方式：</w:t>
            </w:r>
          </w:p>
          <w:p w14:paraId="2DD5A7C7">
            <w:p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合同签订之日起</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0个</w:t>
            </w:r>
            <w:r>
              <w:rPr>
                <w:rFonts w:hint="eastAsia" w:hAnsi="宋体" w:cs="宋体"/>
                <w:b/>
                <w:color w:val="auto"/>
                <w:sz w:val="24"/>
                <w:szCs w:val="24"/>
                <w:highlight w:val="none"/>
                <w:lang w:val="en-US" w:eastAsia="zh-CN"/>
              </w:rPr>
              <w:t>工作</w:t>
            </w:r>
            <w:r>
              <w:rPr>
                <w:rFonts w:hint="eastAsia" w:hAnsi="宋体" w:cs="宋体"/>
                <w:b/>
                <w:color w:val="auto"/>
                <w:sz w:val="24"/>
                <w:szCs w:val="24"/>
                <w:highlight w:val="none"/>
              </w:rPr>
              <w:t>日</w:t>
            </w:r>
            <w:r>
              <w:rPr>
                <w:rFonts w:hint="eastAsia" w:hAnsi="宋体" w:cs="宋体"/>
                <w:b/>
                <w:color w:val="auto"/>
                <w:sz w:val="24"/>
                <w:szCs w:val="24"/>
                <w:highlight w:val="none"/>
                <w:lang w:val="en-US" w:eastAsia="zh-CN"/>
              </w:rPr>
              <w:t>内</w:t>
            </w:r>
            <w:r>
              <w:rPr>
                <w:rFonts w:hint="eastAsia" w:hAnsi="宋体" w:cs="宋体"/>
                <w:b/>
                <w:color w:val="auto"/>
                <w:sz w:val="24"/>
                <w:szCs w:val="24"/>
                <w:highlight w:val="none"/>
              </w:rPr>
              <w:t>，向乙方支付合同总价款的</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0％</w:t>
            </w:r>
            <w:r>
              <w:rPr>
                <w:rFonts w:hint="eastAsia" w:hAnsi="宋体" w:cs="宋体"/>
                <w:b/>
                <w:color w:val="auto"/>
                <w:sz w:val="24"/>
                <w:szCs w:val="24"/>
                <w:highlight w:val="none"/>
                <w:lang w:eastAsia="zh-CN"/>
              </w:rPr>
              <w:t>；项目验收合格之日起</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lang w:eastAsia="zh-CN"/>
              </w:rPr>
              <w:t>0个</w:t>
            </w:r>
            <w:r>
              <w:rPr>
                <w:rFonts w:hint="eastAsia" w:hAnsi="宋体" w:cs="宋体"/>
                <w:b/>
                <w:color w:val="auto"/>
                <w:sz w:val="24"/>
                <w:szCs w:val="24"/>
                <w:highlight w:val="none"/>
                <w:lang w:val="en-US" w:eastAsia="zh-CN"/>
              </w:rPr>
              <w:t>工作</w:t>
            </w:r>
            <w:r>
              <w:rPr>
                <w:rFonts w:hint="eastAsia" w:hAnsi="宋体" w:cs="宋体"/>
                <w:b/>
                <w:color w:val="auto"/>
                <w:sz w:val="24"/>
                <w:szCs w:val="24"/>
                <w:highlight w:val="none"/>
                <w:lang w:eastAsia="zh-CN"/>
              </w:rPr>
              <w:t>日</w:t>
            </w:r>
            <w:r>
              <w:rPr>
                <w:rFonts w:hint="eastAsia" w:hAnsi="宋体" w:cs="宋体"/>
                <w:b/>
                <w:color w:val="auto"/>
                <w:sz w:val="24"/>
                <w:szCs w:val="24"/>
                <w:highlight w:val="none"/>
                <w:lang w:val="en-US" w:eastAsia="zh-CN"/>
              </w:rPr>
              <w:t>内</w:t>
            </w:r>
            <w:r>
              <w:rPr>
                <w:rFonts w:hint="eastAsia" w:hAnsi="宋体" w:cs="宋体"/>
                <w:b/>
                <w:color w:val="auto"/>
                <w:sz w:val="24"/>
                <w:szCs w:val="24"/>
                <w:highlight w:val="none"/>
                <w:lang w:eastAsia="zh-CN"/>
              </w:rPr>
              <w:t>，向乙方支付合同总价款的</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lang w:eastAsia="zh-CN"/>
              </w:rPr>
              <w:t>0％</w:t>
            </w:r>
            <w:r>
              <w:rPr>
                <w:rFonts w:hint="eastAsia" w:hAnsi="宋体" w:cs="宋体"/>
                <w:b/>
                <w:color w:val="auto"/>
                <w:sz w:val="24"/>
                <w:szCs w:val="24"/>
                <w:highlight w:val="none"/>
              </w:rPr>
              <w:t>。（具体以签订合同为准）。</w:t>
            </w:r>
          </w:p>
          <w:p w14:paraId="11EE0127">
            <w:pPr>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440" w:type="dxa"/>
            <w:vAlign w:val="center"/>
          </w:tcPr>
          <w:p w14:paraId="7FC41AE5">
            <w:pPr>
              <w:spacing w:line="360" w:lineRule="auto"/>
              <w:rPr>
                <w:rFonts w:hAnsi="宋体" w:cs="宋体"/>
                <w:b/>
                <w:color w:val="auto"/>
                <w:sz w:val="24"/>
                <w:szCs w:val="24"/>
                <w:highlight w:val="none"/>
              </w:rPr>
            </w:pPr>
            <w:r>
              <w:rPr>
                <w:rFonts w:hint="eastAsia" w:hAnsi="宋体" w:cs="宋体"/>
                <w:b/>
                <w:color w:val="auto"/>
                <w:sz w:val="24"/>
                <w:szCs w:val="24"/>
                <w:highlight w:val="none"/>
              </w:rPr>
              <w:t>服务支持：</w:t>
            </w:r>
          </w:p>
          <w:p w14:paraId="49B1D659">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912" w:type="dxa"/>
            <w:vAlign w:val="center"/>
          </w:tcPr>
          <w:p w14:paraId="4CAB2C9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440" w:type="dxa"/>
            <w:vAlign w:val="center"/>
          </w:tcPr>
          <w:p w14:paraId="53C90ADF">
            <w:pPr>
              <w:spacing w:line="360" w:lineRule="auto"/>
              <w:rPr>
                <w:rFonts w:hAnsi="宋体" w:cs="宋体"/>
                <w:b/>
                <w:color w:val="auto"/>
                <w:sz w:val="24"/>
                <w:szCs w:val="24"/>
                <w:highlight w:val="none"/>
              </w:rPr>
            </w:pPr>
            <w:r>
              <w:rPr>
                <w:rFonts w:hint="eastAsia" w:hAnsi="宋体" w:cs="宋体"/>
                <w:b/>
                <w:color w:val="auto"/>
                <w:sz w:val="24"/>
                <w:szCs w:val="24"/>
                <w:highlight w:val="none"/>
              </w:rPr>
              <w:t>知识产权、专利权：</w:t>
            </w:r>
          </w:p>
          <w:p w14:paraId="011EEA6E">
            <w:pPr>
              <w:tabs>
                <w:tab w:val="left" w:pos="498"/>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5" w:hRule="atLeast"/>
        </w:trPr>
        <w:tc>
          <w:tcPr>
            <w:tcW w:w="912" w:type="dxa"/>
            <w:vAlign w:val="center"/>
          </w:tcPr>
          <w:p w14:paraId="51DED298">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440" w:type="dxa"/>
            <w:vAlign w:val="center"/>
          </w:tcPr>
          <w:p w14:paraId="417F6DB1">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14:paraId="11A3C416">
            <w:pPr>
              <w:tabs>
                <w:tab w:val="left" w:pos="152"/>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14:paraId="363EEA23">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12" w:type="dxa"/>
            <w:vAlign w:val="center"/>
          </w:tcPr>
          <w:p w14:paraId="3218D71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440" w:type="dxa"/>
            <w:vAlign w:val="center"/>
          </w:tcPr>
          <w:p w14:paraId="4EA77D40">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14:paraId="580B0E61">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政府采购合同适用中华人民共和国民法典。采购人和供应商之间的权利和义务，应当按照平等、自愿的原则以合同方式约定。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19246"/>
      <w:bookmarkStart w:id="113" w:name="_Toc423973075"/>
      <w:bookmarkStart w:id="114" w:name="_Toc4679"/>
      <w:bookmarkStart w:id="115" w:name="_Toc8333"/>
      <w:bookmarkStart w:id="116" w:name="_Toc29888"/>
      <w:bookmarkStart w:id="117" w:name="_Toc19199"/>
      <w:bookmarkStart w:id="118" w:name="_Toc26595"/>
      <w:bookmarkStart w:id="119" w:name="_Toc389582037"/>
      <w:bookmarkStart w:id="120" w:name="_Toc31520"/>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1362"/>
      <w:bookmarkStart w:id="122" w:name="_Toc24004"/>
      <w:bookmarkStart w:id="123" w:name="_Toc22328"/>
      <w:bookmarkStart w:id="124" w:name="_Toc7874"/>
      <w:bookmarkStart w:id="125" w:name="_Toc18120"/>
      <w:bookmarkStart w:id="126" w:name="_Toc5216"/>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24621"/>
      <w:bookmarkStart w:id="128" w:name="_Toc7965"/>
      <w:bookmarkStart w:id="129" w:name="_Toc28398"/>
      <w:bookmarkStart w:id="130" w:name="_Toc20561"/>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专家智库支撑网络信息直报项目(二次)</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专家智库支撑网络信息直报项目(二次)</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30883"/>
      <w:bookmarkStart w:id="132" w:name="_Toc8841"/>
      <w:bookmarkStart w:id="133" w:name="_Toc7407"/>
      <w:bookmarkStart w:id="134" w:name="_Toc12769"/>
      <w:bookmarkStart w:id="135" w:name="_Toc15362"/>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3926"/>
      <w:bookmarkStart w:id="137" w:name="_Toc8887"/>
      <w:bookmarkStart w:id="138" w:name="_Toc18749"/>
      <w:bookmarkStart w:id="139" w:name="_Toc4137"/>
      <w:bookmarkStart w:id="140" w:name="_Toc29331"/>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2511"/>
      <w:bookmarkStart w:id="142" w:name="_Toc9765"/>
      <w:bookmarkStart w:id="143" w:name="_Toc6296"/>
      <w:bookmarkStart w:id="144" w:name="_Toc23247"/>
      <w:bookmarkStart w:id="145" w:name="_Toc28664"/>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714"/>
      <w:bookmarkStart w:id="147" w:name="_Toc9555"/>
      <w:bookmarkStart w:id="148" w:name="_Toc21171"/>
      <w:bookmarkStart w:id="149" w:name="_Toc24406"/>
      <w:bookmarkStart w:id="150" w:name="_Toc21110"/>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27382"/>
      <w:bookmarkStart w:id="152" w:name="_Toc7966"/>
      <w:bookmarkStart w:id="153" w:name="_Toc32459"/>
      <w:bookmarkStart w:id="154" w:name="_Toc15947"/>
      <w:bookmarkStart w:id="155" w:name="_Toc15118"/>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9903"/>
      <w:bookmarkStart w:id="157" w:name="_Toc12558"/>
      <w:bookmarkStart w:id="158" w:name="_Toc23868"/>
      <w:bookmarkStart w:id="159" w:name="_Toc13959"/>
      <w:bookmarkStart w:id="160" w:name="_Toc21314"/>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3572"/>
      <w:bookmarkStart w:id="162" w:name="_Toc22161"/>
      <w:bookmarkStart w:id="163" w:name="_Toc12975"/>
      <w:bookmarkStart w:id="164" w:name="_Toc14409"/>
      <w:bookmarkStart w:id="165" w:name="_Toc28855"/>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20026"/>
      <w:bookmarkStart w:id="167" w:name="_Toc31076"/>
      <w:bookmarkStart w:id="168" w:name="_Toc9858"/>
      <w:bookmarkStart w:id="169" w:name="_Toc30681"/>
      <w:bookmarkStart w:id="170" w:name="_Toc7598"/>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9958"/>
      <w:bookmarkStart w:id="172" w:name="_Toc27523"/>
      <w:bookmarkStart w:id="173" w:name="_Toc15856"/>
      <w:bookmarkStart w:id="174" w:name="_Toc30630"/>
      <w:bookmarkStart w:id="175" w:name="_Toc13662"/>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7342"/>
      <w:bookmarkStart w:id="177" w:name="_Toc25612"/>
      <w:bookmarkStart w:id="178" w:name="_Toc18389"/>
      <w:bookmarkStart w:id="179" w:name="_Toc2858"/>
      <w:bookmarkStart w:id="180" w:name="_Toc11478"/>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21232"/>
      <w:bookmarkStart w:id="182" w:name="_Toc31909"/>
      <w:bookmarkStart w:id="183" w:name="_Toc18225"/>
      <w:bookmarkStart w:id="184" w:name="_Toc823"/>
      <w:bookmarkStart w:id="185" w:name="_Toc18381"/>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1119"/>
      <w:bookmarkStart w:id="187" w:name="_Toc8072"/>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42BE5F2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bookmarkStart w:id="189" w:name="_Toc5084"/>
      <w:bookmarkStart w:id="190" w:name="_Toc403077646"/>
      <w:bookmarkStart w:id="191" w:name="_Toc363474025"/>
      <w:bookmarkStart w:id="192" w:name="_Toc6373"/>
      <w:bookmarkStart w:id="193" w:name="_Toc423973079"/>
      <w:r>
        <w:rPr>
          <w:rFonts w:hint="eastAsia" w:ascii="宋体" w:hAnsi="宋体" w:eastAsia="宋体" w:cs="宋体"/>
          <w:b/>
          <w:bCs/>
          <w:sz w:val="24"/>
          <w:szCs w:val="24"/>
          <w:lang w:val="en-US" w:eastAsia="zh-CN"/>
        </w:rPr>
        <w:t>一、总体目标</w:t>
      </w:r>
    </w:p>
    <w:p w14:paraId="646D84CE">
      <w:pPr>
        <w:spacing w:line="480" w:lineRule="auto"/>
        <w:ind w:firstLine="496"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搭建专家智库平台，针对特定选题需求，邀请特定领域专家学者提供智力支持，包括不限于专业媒体智库、高校专家学者专业团队，就国际国内涉华</w:t>
      </w:r>
      <w:r>
        <w:rPr>
          <w:rFonts w:hint="eastAsia" w:hAnsi="宋体" w:cs="宋体"/>
          <w:color w:val="auto"/>
          <w:spacing w:val="4"/>
          <w:sz w:val="24"/>
          <w:szCs w:val="24"/>
          <w:highlight w:val="none"/>
          <w:lang w:val="en-US" w:eastAsia="zh-CN"/>
        </w:rPr>
        <w:t>网络信息</w:t>
      </w:r>
      <w:r>
        <w:rPr>
          <w:rFonts w:hint="eastAsia" w:ascii="宋体" w:hAnsi="宋体" w:eastAsia="宋体" w:cs="宋体"/>
          <w:color w:val="auto"/>
          <w:spacing w:val="4"/>
          <w:sz w:val="24"/>
          <w:szCs w:val="24"/>
          <w:highlight w:val="none"/>
          <w:lang w:val="en-US" w:eastAsia="zh-CN"/>
        </w:rPr>
        <w:t>热点中特定领域提供专业研究支持，报送专业研究及政策性意见建议等材料不少于24份。</w:t>
      </w:r>
    </w:p>
    <w:p w14:paraId="7FE54A2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二、采购需求</w:t>
      </w:r>
    </w:p>
    <w:p w14:paraId="4420D859">
      <w:pPr>
        <w:spacing w:line="480" w:lineRule="auto"/>
        <w:ind w:firstLine="496"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1.搭建智库平台，聚合专家资源，针对特定选题需求，邀请特定领域专家学者提供智力支持，包括不限于专业媒体智库、高校专家学者团队，提供对网上涉华</w:t>
      </w:r>
      <w:r>
        <w:rPr>
          <w:rFonts w:hint="eastAsia" w:hAnsi="宋体" w:cs="宋体"/>
          <w:color w:val="auto"/>
          <w:spacing w:val="4"/>
          <w:sz w:val="24"/>
          <w:szCs w:val="24"/>
          <w:highlight w:val="none"/>
          <w:lang w:val="en-US" w:eastAsia="zh-CN"/>
        </w:rPr>
        <w:t>网络信息</w:t>
      </w:r>
      <w:r>
        <w:rPr>
          <w:rFonts w:hint="eastAsia" w:ascii="宋体" w:hAnsi="宋体" w:eastAsia="宋体" w:cs="宋体"/>
          <w:color w:val="auto"/>
          <w:spacing w:val="4"/>
          <w:sz w:val="24"/>
          <w:szCs w:val="24"/>
          <w:highlight w:val="none"/>
          <w:lang w:val="en-US" w:eastAsia="zh-CN"/>
        </w:rPr>
        <w:t>热点中特定领域的专业研究及政策性意见建议等材料不少于24份。</w:t>
      </w:r>
    </w:p>
    <w:p w14:paraId="2624E097">
      <w:pPr>
        <w:spacing w:line="480" w:lineRule="auto"/>
        <w:ind w:firstLine="496"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时刻关注网上涉华热点话题，实时关注网络主流媒体、社交网站的动向，结合国内外舆论场特征及媒体报道中的热点和重点，筛选出值得关注的趋势性话题和苗头性信息，针对特定主题的舆论反映情况进行收集、转译和梳理，提出可行性对策建议。</w:t>
      </w: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SXZCZB2025-ZCCS-0729.1B1</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25C6F99F">
      <w:pPr>
        <w:pStyle w:val="9"/>
        <w:ind w:left="0" w:leftChars="0" w:firstLine="0" w:firstLineChars="0"/>
        <w:jc w:val="center"/>
        <w:rPr>
          <w:b/>
          <w:bCs/>
          <w:color w:val="auto"/>
          <w:sz w:val="44"/>
          <w:szCs w:val="44"/>
          <w:highlight w:val="none"/>
        </w:rPr>
      </w:pPr>
      <w:r>
        <w:rPr>
          <w:rFonts w:hint="eastAsia"/>
          <w:b/>
          <w:bCs/>
          <w:color w:val="auto"/>
          <w:sz w:val="44"/>
          <w:szCs w:val="44"/>
          <w:highlight w:val="none"/>
          <w:lang w:val="en-US" w:eastAsia="zh-CN"/>
        </w:rPr>
        <w:t>专家智库支撑网络信息直报项目(二次)</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71998115">
      <w:pPr>
        <w:jc w:val="center"/>
        <w:rPr>
          <w:rFonts w:hint="eastAsia" w:hAnsi="宋体" w:cs="宋体"/>
          <w:b/>
          <w:color w:val="auto"/>
          <w:sz w:val="56"/>
          <w:szCs w:val="56"/>
          <w:highlight w:val="none"/>
        </w:rPr>
      </w:pPr>
    </w:p>
    <w:p w14:paraId="25180205">
      <w:pPr>
        <w:jc w:val="both"/>
        <w:rPr>
          <w:rFonts w:hint="eastAsia" w:hAnsi="宋体" w:cs="宋体"/>
          <w:b/>
          <w:color w:val="auto"/>
          <w:sz w:val="56"/>
          <w:szCs w:val="56"/>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403077648"/>
      <w:bookmarkStart w:id="197" w:name="_Toc363474027"/>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15762"/>
      <w:bookmarkStart w:id="200" w:name="_Toc28508"/>
      <w:bookmarkStart w:id="201" w:name="_Toc6128"/>
      <w:bookmarkStart w:id="202" w:name="_Toc32002"/>
      <w:bookmarkStart w:id="203" w:name="_Toc16320"/>
      <w:bookmarkStart w:id="204" w:name="_Toc4367"/>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8"/>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8"/>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403077651"/>
      <w:bookmarkStart w:id="206" w:name="_Toc28910"/>
      <w:bookmarkStart w:id="207" w:name="_Toc27989"/>
      <w:bookmarkStart w:id="208" w:name="_Toc9730"/>
      <w:bookmarkStart w:id="209" w:name="_Toc17800"/>
      <w:bookmarkStart w:id="210" w:name="_Toc363474030"/>
      <w:bookmarkStart w:id="211" w:name="_Toc732"/>
      <w:bookmarkStart w:id="212" w:name="_Toc13482"/>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1518"/>
      <w:bookmarkStart w:id="214" w:name="_Toc7982"/>
      <w:bookmarkStart w:id="215" w:name="_Toc12732"/>
      <w:bookmarkStart w:id="216" w:name="_Toc1405"/>
      <w:bookmarkStart w:id="217" w:name="_Toc29008"/>
      <w:bookmarkStart w:id="218" w:name="_Toc32277"/>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8370"/>
      <w:bookmarkStart w:id="220" w:name="_Toc9760"/>
      <w:bookmarkStart w:id="221" w:name="_Toc19127"/>
      <w:bookmarkStart w:id="222" w:name="_Toc8017"/>
      <w:bookmarkStart w:id="223" w:name="_Toc9220"/>
      <w:bookmarkStart w:id="224" w:name="_Toc11197"/>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5944"/>
      <w:bookmarkStart w:id="227" w:name="_Toc24059"/>
      <w:bookmarkStart w:id="228" w:name="_Toc24936"/>
      <w:bookmarkStart w:id="229" w:name="_Toc3628"/>
      <w:bookmarkStart w:id="230" w:name="_Toc32126"/>
      <w:bookmarkStart w:id="231" w:name="_Toc32541"/>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9218"/>
      <w:bookmarkStart w:id="233" w:name="_Toc23455"/>
      <w:bookmarkStart w:id="234" w:name="_Toc21284"/>
      <w:bookmarkStart w:id="235" w:name="_Toc2621"/>
      <w:bookmarkStart w:id="236" w:name="_Toc1379"/>
      <w:bookmarkStart w:id="237" w:name="_Toc15265"/>
      <w:bookmarkStart w:id="238" w:name="_Toc8845"/>
      <w:bookmarkStart w:id="239" w:name="_Toc5662"/>
    </w:p>
    <w:p w14:paraId="70D1C1A2">
      <w:pPr>
        <w:spacing w:line="360" w:lineRule="auto"/>
        <w:rPr>
          <w:rFonts w:hAnsi="宋体" w:cs="宋体"/>
          <w:b/>
          <w:bCs/>
          <w:color w:val="auto"/>
          <w:sz w:val="30"/>
          <w:szCs w:val="30"/>
          <w:highlight w:val="none"/>
        </w:rPr>
      </w:pPr>
      <w:bookmarkStart w:id="240" w:name="_Toc31151"/>
      <w:bookmarkStart w:id="241" w:name="_Toc4503"/>
      <w:bookmarkStart w:id="242" w:name="_Toc3626"/>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lang w:val="en-US" w:eastAsia="zh-CN"/>
        </w:rPr>
        <w:t>3</w:t>
      </w:r>
      <w:r>
        <w:rPr>
          <w:rFonts w:hint="eastAsia" w:cs="宋体"/>
          <w:color w:val="auto"/>
          <w:highlight w:val="none"/>
        </w:rPr>
        <w:t>.供应商必须据实填写，不得虚假响应，否则将取消其磋商或成交资格，并按有关规定进行处罚。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7544"/>
      <w:bookmarkStart w:id="246" w:name="_Toc1542"/>
      <w:bookmarkStart w:id="247" w:name="_Toc11212"/>
      <w:bookmarkStart w:id="248" w:name="_Toc3386"/>
      <w:bookmarkStart w:id="249" w:name="_Toc27470"/>
      <w:bookmarkStart w:id="250" w:name="_Toc3253"/>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403077657"/>
      <w:bookmarkStart w:id="252" w:name="_Toc363474034"/>
      <w:r>
        <w:rPr>
          <w:rFonts w:hint="eastAsia" w:hAnsi="宋体" w:cs="宋体"/>
          <w:b/>
          <w:bCs/>
          <w:color w:val="auto"/>
          <w:sz w:val="30"/>
          <w:szCs w:val="30"/>
          <w:highlight w:val="none"/>
        </w:rPr>
        <w:br w:type="page"/>
      </w:r>
      <w:bookmarkStart w:id="253" w:name="_Toc7842"/>
      <w:bookmarkStart w:id="254" w:name="_Toc13983"/>
      <w:bookmarkStart w:id="255" w:name="_Toc32016"/>
      <w:bookmarkStart w:id="256" w:name="_Toc6077"/>
      <w:bookmarkStart w:id="257" w:name="_Toc29285"/>
      <w:bookmarkStart w:id="258" w:name="_Toc6273"/>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424944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（4）税收缴纳证明：提供磋商截止日前连续3个月的纳税证明或完税证明（任意税种），依法免税的单位应提供相关证明材料；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（5）社会保障资金缴纳证明：提供磋商截止日前连续3个月的社会保障资金缴存单据或社保机构开具的社会保险参保缴费情况证明，依法不需要缴纳社会保障资金的单位应提供相关证明材料；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int="eastAsia" w:hAnsi="宋体" w:eastAsia="宋体" w:cs="宋体"/>
          <w:b/>
          <w:bCs/>
          <w:color w:val="auto"/>
          <w:sz w:val="30"/>
          <w:szCs w:val="30"/>
          <w:highlight w:val="none"/>
          <w:lang w:eastAsia="zh-CN"/>
        </w:rPr>
      </w:pPr>
      <w:r>
        <w:rPr>
          <w:rFonts w:hint="eastAsia" w:hAnsi="宋体" w:cs="宋体"/>
          <w:color w:val="auto"/>
          <w:szCs w:val="24"/>
          <w:highlight w:val="none"/>
        </w:rPr>
        <w:br w:type="page"/>
      </w:r>
      <w:bookmarkStart w:id="259" w:name="_Toc12717"/>
      <w:bookmarkStart w:id="260" w:name="_Toc22315"/>
      <w:bookmarkStart w:id="261" w:name="_Toc19114"/>
      <w:bookmarkStart w:id="262" w:name="_Toc24739"/>
      <w:bookmarkStart w:id="263" w:name="_Toc23859"/>
      <w:bookmarkStart w:id="264" w:name="_Toc6853"/>
      <w:r>
        <w:rPr>
          <w:rFonts w:hint="eastAsia" w:hAnsi="宋体" w:cs="宋体"/>
          <w:b/>
          <w:bCs/>
          <w:color w:val="auto"/>
          <w:sz w:val="30"/>
          <w:szCs w:val="30"/>
          <w:highlight w:val="none"/>
        </w:rPr>
        <w:t>七、</w:t>
      </w:r>
      <w:bookmarkEnd w:id="259"/>
      <w:bookmarkEnd w:id="260"/>
      <w:bookmarkEnd w:id="261"/>
      <w:bookmarkEnd w:id="262"/>
      <w:bookmarkEnd w:id="263"/>
      <w:bookmarkEnd w:id="264"/>
      <w:r>
        <w:rPr>
          <w:rFonts w:hint="eastAsia" w:hAnsi="宋体" w:cs="宋体"/>
          <w:b/>
          <w:bCs/>
          <w:color w:val="auto"/>
          <w:sz w:val="30"/>
          <w:szCs w:val="30"/>
          <w:highlight w:val="none"/>
          <w:lang w:val="en-US" w:eastAsia="zh-CN"/>
        </w:rPr>
        <w:t>其他</w:t>
      </w:r>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6055"/>
      <w:bookmarkStart w:id="266" w:name="_Toc25119"/>
      <w:bookmarkStart w:id="267" w:name="_Toc17513"/>
      <w:bookmarkStart w:id="268" w:name="_Toc13906"/>
      <w:bookmarkStart w:id="269" w:name="_Toc29387"/>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CD09044">
      <w:pPr>
        <w:widowControl/>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0E8A17E">
      <w:pPr>
        <w:spacing w:before="100" w:beforeAutospacing="1" w:afterLines="50" w:line="360" w:lineRule="auto"/>
        <w:jc w:val="left"/>
        <w:outlineLvl w:val="2"/>
        <w:rPr>
          <w:rFonts w:hAnsi="宋体" w:cs="宋体"/>
          <w:b/>
          <w:color w:val="auto"/>
          <w:sz w:val="28"/>
          <w:szCs w:val="28"/>
          <w:highlight w:val="none"/>
        </w:rPr>
      </w:pPr>
      <w:bookmarkStart w:id="272" w:name="_Toc2812"/>
      <w:bookmarkStart w:id="273" w:name="_Toc32573"/>
      <w:bookmarkStart w:id="274" w:name="_Toc29482"/>
      <w:r>
        <w:rPr>
          <w:rFonts w:hint="eastAsia" w:hAnsi="宋体" w:cs="宋体"/>
          <w:b/>
          <w:color w:val="auto"/>
          <w:sz w:val="28"/>
          <w:szCs w:val="28"/>
          <w:highlight w:val="none"/>
        </w:rPr>
        <w:t>附件2：中小企业声明函</w:t>
      </w:r>
      <w:bookmarkEnd w:id="270"/>
      <w:bookmarkEnd w:id="271"/>
      <w:bookmarkEnd w:id="272"/>
      <w:bookmarkEnd w:id="273"/>
      <w:bookmarkEnd w:id="274"/>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033C5B99">
      <w:pPr>
        <w:pStyle w:val="35"/>
        <w:spacing w:line="400" w:lineRule="exact"/>
        <w:rPr>
          <w:rFonts w:hAnsi="宋体" w:cs="宋体"/>
          <w:b/>
          <w:bCs/>
          <w:color w:val="auto"/>
          <w:spacing w:val="6"/>
          <w:sz w:val="30"/>
          <w:szCs w:val="30"/>
          <w:highlight w:val="none"/>
        </w:rPr>
      </w:pPr>
      <w:bookmarkStart w:id="276" w:name="_Toc13530"/>
      <w:bookmarkStart w:id="277" w:name="_Toc8863"/>
      <w:bookmarkStart w:id="278" w:name="_Toc5964"/>
      <w:bookmarkStart w:id="279" w:name="_Toc12704"/>
      <w:bookmarkStart w:id="280" w:name="_Toc10758"/>
      <w:r>
        <w:rPr>
          <w:rFonts w:hint="eastAsia" w:hAnsi="宋体" w:cs="宋体"/>
          <w:b/>
          <w:color w:val="auto"/>
          <w:sz w:val="28"/>
          <w:szCs w:val="28"/>
          <w:highlight w:val="none"/>
        </w:rPr>
        <w:t>附件3：</w:t>
      </w:r>
      <w:bookmarkEnd w:id="275"/>
      <w:bookmarkEnd w:id="276"/>
      <w:bookmarkEnd w:id="277"/>
      <w:bookmarkEnd w:id="278"/>
      <w:bookmarkEnd w:id="279"/>
      <w:bookmarkEnd w:id="280"/>
      <w:bookmarkStart w:id="281" w:name="_Toc11235"/>
      <w:bookmarkStart w:id="282" w:name="_Toc27124"/>
      <w:bookmarkStart w:id="283" w:name="_Toc22425"/>
      <w:bookmarkStart w:id="284" w:name="_Toc29025"/>
      <w:bookmarkStart w:id="285" w:name="_Toc11066"/>
      <w:r>
        <w:rPr>
          <w:rFonts w:hint="eastAsia" w:hAnsi="宋体" w:cs="宋体"/>
          <w:b/>
          <w:bCs/>
          <w:color w:val="auto"/>
          <w:spacing w:val="6"/>
          <w:sz w:val="30"/>
          <w:szCs w:val="30"/>
          <w:highlight w:val="none"/>
        </w:rPr>
        <w:t>残疾人福利性单位声明函（如有）</w:t>
      </w:r>
      <w:bookmarkEnd w:id="281"/>
      <w:bookmarkEnd w:id="282"/>
      <w:bookmarkEnd w:id="283"/>
      <w:bookmarkEnd w:id="284"/>
      <w:bookmarkEnd w:id="285"/>
    </w:p>
    <w:p w14:paraId="77BAA2C5">
      <w:pPr>
        <w:spacing w:line="588" w:lineRule="exact"/>
        <w:jc w:val="center"/>
        <w:rPr>
          <w:rFonts w:hint="eastAsia" w:hAnsi="宋体" w:cs="宋体"/>
          <w:b/>
          <w:color w:val="auto"/>
          <w:spacing w:val="6"/>
          <w:sz w:val="32"/>
          <w:szCs w:val="32"/>
          <w:highlight w:val="none"/>
        </w:rPr>
      </w:pPr>
      <w:bookmarkStart w:id="286" w:name="OLE_LINK14"/>
      <w:bookmarkStart w:id="287" w:name="OLE_LINK13"/>
    </w:p>
    <w:p w14:paraId="334000A8">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139"/>
      <w:bookmarkStart w:id="289" w:name="_Toc19526"/>
      <w:bookmarkStart w:id="290" w:name="_Toc2119"/>
      <w:bookmarkStart w:id="291" w:name="_Toc29109"/>
      <w:bookmarkStart w:id="292" w:name="_Toc23160"/>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C5F44F8">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专家智库支撑网络信息直报项目(二次)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EEE3"/>
    <w:multiLevelType w:val="singleLevel"/>
    <w:tmpl w:val="8636EEE3"/>
    <w:lvl w:ilvl="0" w:tentative="0">
      <w:start w:val="1"/>
      <w:numFmt w:val="decimal"/>
      <w:suff w:val="nothing"/>
      <w:lvlText w:val="%1、"/>
      <w:lvlJc w:val="left"/>
    </w:lvl>
  </w:abstractNum>
  <w:abstractNum w:abstractNumId="1">
    <w:nsid w:val="CCC7A2A6"/>
    <w:multiLevelType w:val="singleLevel"/>
    <w:tmpl w:val="CCC7A2A6"/>
    <w:lvl w:ilvl="0" w:tentative="0">
      <w:start w:val="1"/>
      <w:numFmt w:val="decimal"/>
      <w:suff w:val="nothing"/>
      <w:lvlText w:val="%1、"/>
      <w:lvlJc w:val="left"/>
    </w:lvl>
  </w:abstractNum>
  <w:abstractNum w:abstractNumId="2">
    <w:nsid w:val="0694CB46"/>
    <w:multiLevelType w:val="singleLevel"/>
    <w:tmpl w:val="0694CB46"/>
    <w:lvl w:ilvl="0" w:tentative="0">
      <w:start w:val="1"/>
      <w:numFmt w:val="decimal"/>
      <w:suff w:val="nothing"/>
      <w:lvlText w:val="%1、"/>
      <w:lvlJc w:val="left"/>
    </w:lvl>
  </w:abstractNum>
  <w:abstractNum w:abstractNumId="3">
    <w:nsid w:val="0E23E8CD"/>
    <w:multiLevelType w:val="singleLevel"/>
    <w:tmpl w:val="0E23E8CD"/>
    <w:lvl w:ilvl="0" w:tentative="0">
      <w:start w:val="1"/>
      <w:numFmt w:val="decimal"/>
      <w:suff w:val="nothing"/>
      <w:lvlText w:val="%1、"/>
      <w:lvlJc w:val="left"/>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E60A9C"/>
    <w:rsid w:val="00F42018"/>
    <w:rsid w:val="01491172"/>
    <w:rsid w:val="026512DC"/>
    <w:rsid w:val="02B84C3A"/>
    <w:rsid w:val="02E56FC0"/>
    <w:rsid w:val="02EA0A37"/>
    <w:rsid w:val="02F621ED"/>
    <w:rsid w:val="03542EE5"/>
    <w:rsid w:val="038A4972"/>
    <w:rsid w:val="04711A99"/>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DD2193B"/>
    <w:rsid w:val="0EC42C1D"/>
    <w:rsid w:val="0FAA5C1B"/>
    <w:rsid w:val="0FB71F81"/>
    <w:rsid w:val="0FCB77DB"/>
    <w:rsid w:val="0FD83CA6"/>
    <w:rsid w:val="108274B3"/>
    <w:rsid w:val="10BD35C7"/>
    <w:rsid w:val="10C03B1A"/>
    <w:rsid w:val="110A4333"/>
    <w:rsid w:val="11933EF1"/>
    <w:rsid w:val="124E6541"/>
    <w:rsid w:val="13055EFC"/>
    <w:rsid w:val="13723236"/>
    <w:rsid w:val="14011A1D"/>
    <w:rsid w:val="1408016B"/>
    <w:rsid w:val="14FF19C2"/>
    <w:rsid w:val="16D004E2"/>
    <w:rsid w:val="16D34E48"/>
    <w:rsid w:val="17381DE3"/>
    <w:rsid w:val="175400B6"/>
    <w:rsid w:val="17E77172"/>
    <w:rsid w:val="18243F2C"/>
    <w:rsid w:val="18624A54"/>
    <w:rsid w:val="19F1107F"/>
    <w:rsid w:val="1A6A586E"/>
    <w:rsid w:val="1A7840BB"/>
    <w:rsid w:val="1A7F74B5"/>
    <w:rsid w:val="1AB77E2C"/>
    <w:rsid w:val="1B917B2A"/>
    <w:rsid w:val="1B987D3B"/>
    <w:rsid w:val="1BAE4D2B"/>
    <w:rsid w:val="1BF20D44"/>
    <w:rsid w:val="1BF70EFF"/>
    <w:rsid w:val="1C135CE2"/>
    <w:rsid w:val="1D6C4D32"/>
    <w:rsid w:val="1D8C396C"/>
    <w:rsid w:val="1E3211A4"/>
    <w:rsid w:val="1E47352A"/>
    <w:rsid w:val="1E474499"/>
    <w:rsid w:val="1E616F4E"/>
    <w:rsid w:val="1E7D10B6"/>
    <w:rsid w:val="1E9329DA"/>
    <w:rsid w:val="1EB54764"/>
    <w:rsid w:val="1F126C7C"/>
    <w:rsid w:val="1FB1325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086411"/>
    <w:rsid w:val="29E01C20"/>
    <w:rsid w:val="29E55A22"/>
    <w:rsid w:val="2A142BD5"/>
    <w:rsid w:val="2AF552B4"/>
    <w:rsid w:val="2B372839"/>
    <w:rsid w:val="2BB60EE7"/>
    <w:rsid w:val="2BCA6741"/>
    <w:rsid w:val="2BE608F9"/>
    <w:rsid w:val="2BF043F9"/>
    <w:rsid w:val="2C0E0D23"/>
    <w:rsid w:val="2CAC6F77"/>
    <w:rsid w:val="2CE837DD"/>
    <w:rsid w:val="2CFC5020"/>
    <w:rsid w:val="2DA83DCF"/>
    <w:rsid w:val="2E476C4C"/>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3C61E67"/>
    <w:rsid w:val="34C06933"/>
    <w:rsid w:val="34C40F3B"/>
    <w:rsid w:val="355C5974"/>
    <w:rsid w:val="358723B5"/>
    <w:rsid w:val="359C6A8A"/>
    <w:rsid w:val="361433DA"/>
    <w:rsid w:val="3665580C"/>
    <w:rsid w:val="36745C27"/>
    <w:rsid w:val="36FF2605"/>
    <w:rsid w:val="37531CE0"/>
    <w:rsid w:val="37662F7D"/>
    <w:rsid w:val="38325D99"/>
    <w:rsid w:val="38757915"/>
    <w:rsid w:val="388F3421"/>
    <w:rsid w:val="399F0127"/>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EC82351"/>
    <w:rsid w:val="3F790A1F"/>
    <w:rsid w:val="406B590C"/>
    <w:rsid w:val="41984EBF"/>
    <w:rsid w:val="42377DAE"/>
    <w:rsid w:val="429D651C"/>
    <w:rsid w:val="42B37C55"/>
    <w:rsid w:val="42F00D2B"/>
    <w:rsid w:val="430B7CC0"/>
    <w:rsid w:val="43305EF3"/>
    <w:rsid w:val="43454AA3"/>
    <w:rsid w:val="45A81449"/>
    <w:rsid w:val="45B147A1"/>
    <w:rsid w:val="45D148E1"/>
    <w:rsid w:val="477E6905"/>
    <w:rsid w:val="47957D18"/>
    <w:rsid w:val="47BA5602"/>
    <w:rsid w:val="47CB7BCD"/>
    <w:rsid w:val="48144363"/>
    <w:rsid w:val="48723E9C"/>
    <w:rsid w:val="48A948A9"/>
    <w:rsid w:val="48F344FE"/>
    <w:rsid w:val="496B79EC"/>
    <w:rsid w:val="49BD79B3"/>
    <w:rsid w:val="49C64593"/>
    <w:rsid w:val="49C82C57"/>
    <w:rsid w:val="4A02381D"/>
    <w:rsid w:val="4A1C0EB1"/>
    <w:rsid w:val="4A5E47CC"/>
    <w:rsid w:val="4AAC2C6F"/>
    <w:rsid w:val="4B9C1A50"/>
    <w:rsid w:val="4BAD77B9"/>
    <w:rsid w:val="4C526E4A"/>
    <w:rsid w:val="4C966BC0"/>
    <w:rsid w:val="4D1E03A6"/>
    <w:rsid w:val="4D3038E5"/>
    <w:rsid w:val="4D307788"/>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1F5C7D"/>
    <w:rsid w:val="535661BA"/>
    <w:rsid w:val="5391176E"/>
    <w:rsid w:val="54201323"/>
    <w:rsid w:val="54414F42"/>
    <w:rsid w:val="54547C50"/>
    <w:rsid w:val="5498635F"/>
    <w:rsid w:val="54E76F39"/>
    <w:rsid w:val="5527328A"/>
    <w:rsid w:val="5562118F"/>
    <w:rsid w:val="55801A9A"/>
    <w:rsid w:val="56E23696"/>
    <w:rsid w:val="572052E3"/>
    <w:rsid w:val="582F6BEF"/>
    <w:rsid w:val="58415BC6"/>
    <w:rsid w:val="585F62DF"/>
    <w:rsid w:val="590A2C81"/>
    <w:rsid w:val="59361347"/>
    <w:rsid w:val="593908DE"/>
    <w:rsid w:val="594068A2"/>
    <w:rsid w:val="59875AED"/>
    <w:rsid w:val="598A113A"/>
    <w:rsid w:val="59A66EED"/>
    <w:rsid w:val="5A4E220C"/>
    <w:rsid w:val="5AF150AF"/>
    <w:rsid w:val="5B1727FC"/>
    <w:rsid w:val="5C06474A"/>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0D93792"/>
    <w:rsid w:val="60E23745"/>
    <w:rsid w:val="61195669"/>
    <w:rsid w:val="61397DAE"/>
    <w:rsid w:val="61B50D1E"/>
    <w:rsid w:val="62595B4D"/>
    <w:rsid w:val="62AE5E99"/>
    <w:rsid w:val="633F11E7"/>
    <w:rsid w:val="638A1AF5"/>
    <w:rsid w:val="64171AC7"/>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9F57023"/>
    <w:rsid w:val="6AC02E25"/>
    <w:rsid w:val="6AEA6BBE"/>
    <w:rsid w:val="6B005D17"/>
    <w:rsid w:val="6B7F174D"/>
    <w:rsid w:val="6C9F6852"/>
    <w:rsid w:val="6CCF5389"/>
    <w:rsid w:val="6CD52274"/>
    <w:rsid w:val="6D5F0B7C"/>
    <w:rsid w:val="6D9914F3"/>
    <w:rsid w:val="6DF7279C"/>
    <w:rsid w:val="6E237E7E"/>
    <w:rsid w:val="6E686D4E"/>
    <w:rsid w:val="6E960558"/>
    <w:rsid w:val="6F386134"/>
    <w:rsid w:val="6F944668"/>
    <w:rsid w:val="6F995F63"/>
    <w:rsid w:val="70406237"/>
    <w:rsid w:val="70C5413D"/>
    <w:rsid w:val="70FE3161"/>
    <w:rsid w:val="71B051CD"/>
    <w:rsid w:val="71BC1928"/>
    <w:rsid w:val="723E1DBC"/>
    <w:rsid w:val="73C72DDD"/>
    <w:rsid w:val="7436299A"/>
    <w:rsid w:val="74393A30"/>
    <w:rsid w:val="74C552BF"/>
    <w:rsid w:val="74F97939"/>
    <w:rsid w:val="75102D70"/>
    <w:rsid w:val="76047015"/>
    <w:rsid w:val="76214E9E"/>
    <w:rsid w:val="76AB493A"/>
    <w:rsid w:val="76E06023"/>
    <w:rsid w:val="770171FE"/>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EB587A"/>
    <w:rsid w:val="7EF02F3D"/>
    <w:rsid w:val="7F0B6033"/>
    <w:rsid w:val="7F425B38"/>
    <w:rsid w:val="7FC52779"/>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26350</Words>
  <Characters>28023</Characters>
  <Lines>245</Lines>
  <Paragraphs>69</Paragraphs>
  <TotalTime>27</TotalTime>
  <ScaleCrop>false</ScaleCrop>
  <LinksUpToDate>false</LinksUpToDate>
  <CharactersWithSpaces>31691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2025-07-25T07:40:35Z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12D31501B1064D93852A700EDCD94387_13</vt:lpwstr>
  </property>
  <property fmtid="{D5CDD505-2E9C-101B-9397-08002B2CF9AE}" pid="4" name="KSOTemplateDocerSaveRecord">
    <vt:lpwstr>eyJoZGlkIjoiNjE3MzAxNTgxYjAxOTI0ZjUxMzZjMDU1NTMzNDBmOTIiLCJ1c2VySWQiOiIyMzA4NTAzMTYifQ==</vt:lpwstr>
  </property>
</Properties>
</file>