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6A6DB">
      <w:pPr>
        <w:spacing w:before="344" w:line="228" w:lineRule="auto"/>
        <w:ind w:left="2147" w:firstLine="716" w:firstLineChars="200"/>
        <w:outlineLvl w:val="0"/>
        <w:rPr>
          <w:rFonts w:ascii="仿宋" w:hAnsi="仿宋" w:eastAsia="仿宋" w:cs="仿宋"/>
          <w:sz w:val="35"/>
          <w:szCs w:val="35"/>
        </w:rPr>
      </w:pPr>
      <w:bookmarkStart w:id="0" w:name="_Toc13843"/>
      <w:bookmarkStart w:id="7" w:name="_GoBack"/>
      <w:bookmarkEnd w:id="7"/>
      <w:r>
        <w:rPr>
          <w:rFonts w:ascii="仿宋" w:hAnsi="仿宋" w:eastAsia="仿宋" w:cs="仿宋"/>
          <w:spacing w:val="4"/>
          <w:sz w:val="35"/>
          <w:szCs w:val="35"/>
        </w:rPr>
        <w:t xml:space="preserve"> </w:t>
      </w:r>
      <w:r>
        <w:rPr>
          <w:rFonts w:ascii="仿宋" w:hAnsi="仿宋" w:eastAsia="仿宋" w:cs="仿宋"/>
          <w:b/>
          <w:bCs/>
          <w:spacing w:val="4"/>
          <w:sz w:val="35"/>
          <w:szCs w:val="35"/>
        </w:rPr>
        <w:t>采购内容及技术要求</w:t>
      </w:r>
      <w:bookmarkEnd w:id="0"/>
    </w:p>
    <w:p w14:paraId="54DC005E">
      <w:pPr>
        <w:pStyle w:val="4"/>
      </w:pPr>
    </w:p>
    <w:p w14:paraId="2461DC6D">
      <w:pPr>
        <w:pStyle w:val="4"/>
        <w:spacing w:line="241" w:lineRule="auto"/>
      </w:pPr>
    </w:p>
    <w:p w14:paraId="160A2E3B">
      <w:pPr>
        <w:spacing w:before="100" w:line="221" w:lineRule="auto"/>
        <w:ind w:left="604"/>
        <w:outlineLvl w:val="2"/>
        <w:rPr>
          <w:rFonts w:hint="eastAsia" w:ascii="仿宋" w:hAnsi="仿宋" w:eastAsia="仿宋" w:cs="仿宋"/>
          <w:sz w:val="24"/>
          <w:szCs w:val="24"/>
        </w:rPr>
      </w:pPr>
      <w:bookmarkStart w:id="1" w:name="_Toc8003"/>
      <w:r>
        <w:rPr>
          <w:rFonts w:hint="eastAsia" w:ascii="仿宋" w:hAnsi="仿宋" w:eastAsia="仿宋" w:cs="仿宋"/>
          <w:b/>
          <w:bCs/>
          <w:spacing w:val="7"/>
          <w:sz w:val="24"/>
          <w:szCs w:val="24"/>
        </w:rPr>
        <w:t>一、项目概况</w:t>
      </w:r>
      <w:bookmarkEnd w:id="1"/>
    </w:p>
    <w:p w14:paraId="271714D7">
      <w:pPr>
        <w:pStyle w:val="4"/>
        <w:spacing w:before="165" w:line="333" w:lineRule="auto"/>
        <w:ind w:right="92" w:firstLine="600"/>
        <w:jc w:val="both"/>
        <w:rPr>
          <w:rFonts w:hint="eastAsia" w:ascii="仿宋" w:hAnsi="仿宋" w:eastAsia="仿宋" w:cs="仿宋"/>
          <w:sz w:val="24"/>
          <w:szCs w:val="24"/>
        </w:rPr>
      </w:pPr>
      <w:r>
        <w:rPr>
          <w:rFonts w:hint="eastAsia" w:ascii="仿宋" w:hAnsi="仿宋" w:eastAsia="仿宋" w:cs="仿宋"/>
          <w:spacing w:val="20"/>
          <w:sz w:val="24"/>
          <w:szCs w:val="24"/>
        </w:rPr>
        <w:t>2025年城市重要区域环境养护项目，采购预算1696.11万</w:t>
      </w:r>
      <w:r>
        <w:rPr>
          <w:rFonts w:hint="eastAsia" w:ascii="仿宋" w:hAnsi="仿宋" w:eastAsia="仿宋" w:cs="仿宋"/>
          <w:spacing w:val="4"/>
          <w:sz w:val="24"/>
          <w:szCs w:val="24"/>
        </w:rPr>
        <w:t>元。主要在一年之内对西安市市区范围内指定重点区域进行街景花卉布置及养护，主要内容为一年内节日期间和日常时令花卉的</w:t>
      </w:r>
      <w:r>
        <w:rPr>
          <w:rFonts w:hint="eastAsia" w:ascii="仿宋" w:hAnsi="仿宋" w:eastAsia="仿宋" w:cs="仿宋"/>
          <w:spacing w:val="7"/>
          <w:sz w:val="24"/>
          <w:szCs w:val="24"/>
        </w:rPr>
        <w:t>多次摆放和养护。按花卉应用形式分为：花钵摆放、花坛摆</w:t>
      </w:r>
      <w:r>
        <w:rPr>
          <w:rFonts w:hint="eastAsia" w:ascii="仿宋" w:hAnsi="仿宋" w:eastAsia="仿宋" w:cs="仿宋"/>
          <w:spacing w:val="6"/>
          <w:sz w:val="24"/>
          <w:szCs w:val="24"/>
        </w:rPr>
        <w:t>放、</w:t>
      </w:r>
      <w:r>
        <w:rPr>
          <w:rFonts w:hint="eastAsia" w:ascii="仿宋" w:hAnsi="仿宋" w:eastAsia="仿宋" w:cs="仿宋"/>
          <w:spacing w:val="4"/>
          <w:sz w:val="24"/>
          <w:szCs w:val="24"/>
        </w:rPr>
        <w:t>绿地摆放、绿地栽植、盆花及绿植摆放等；花卉品种包括：羽衣</w:t>
      </w:r>
      <w:r>
        <w:rPr>
          <w:rFonts w:hint="eastAsia" w:ascii="仿宋" w:hAnsi="仿宋" w:eastAsia="仿宋" w:cs="仿宋"/>
          <w:spacing w:val="7"/>
          <w:sz w:val="24"/>
          <w:szCs w:val="24"/>
        </w:rPr>
        <w:t>甘蓝、角堇、四季海棠、万寿菊、大花海棠、孔雀草、矮</w:t>
      </w:r>
      <w:r>
        <w:rPr>
          <w:rFonts w:hint="eastAsia" w:ascii="仿宋" w:hAnsi="仿宋" w:eastAsia="仿宋" w:cs="仿宋"/>
          <w:spacing w:val="6"/>
          <w:sz w:val="24"/>
          <w:szCs w:val="24"/>
        </w:rPr>
        <w:t>牵牛、</w:t>
      </w:r>
      <w:r>
        <w:rPr>
          <w:rFonts w:hint="eastAsia" w:ascii="仿宋" w:hAnsi="仿宋" w:eastAsia="仿宋" w:cs="仿宋"/>
          <w:spacing w:val="19"/>
          <w:sz w:val="24"/>
          <w:szCs w:val="24"/>
        </w:rPr>
        <w:t>蓝花鼠尾草等多个品种多种颜色。</w:t>
      </w:r>
    </w:p>
    <w:p w14:paraId="3393C566">
      <w:pPr>
        <w:spacing w:line="222" w:lineRule="auto"/>
        <w:ind w:firstLine="506" w:firstLineChars="200"/>
        <w:outlineLvl w:val="2"/>
        <w:rPr>
          <w:rFonts w:hint="eastAsia" w:ascii="仿宋" w:hAnsi="仿宋" w:eastAsia="仿宋" w:cs="仿宋"/>
          <w:sz w:val="24"/>
          <w:szCs w:val="24"/>
        </w:rPr>
      </w:pPr>
      <w:bookmarkStart w:id="2" w:name="_Toc27753"/>
      <w:r>
        <w:rPr>
          <w:rFonts w:hint="eastAsia" w:ascii="仿宋" w:hAnsi="仿宋" w:eastAsia="仿宋" w:cs="仿宋"/>
          <w:b/>
          <w:bCs/>
          <w:spacing w:val="6"/>
          <w:sz w:val="24"/>
          <w:szCs w:val="24"/>
        </w:rPr>
        <w:t>二、项目内容</w:t>
      </w:r>
      <w:bookmarkEnd w:id="2"/>
    </w:p>
    <w:p w14:paraId="5A0A864C">
      <w:pPr>
        <w:pStyle w:val="4"/>
        <w:spacing w:before="130" w:line="321" w:lineRule="auto"/>
        <w:ind w:firstLine="468" w:firstLineChars="200"/>
        <w:jc w:val="both"/>
        <w:rPr>
          <w:rFonts w:hint="eastAsia" w:ascii="仿宋" w:hAnsi="仿宋" w:eastAsia="仿宋" w:cs="仿宋"/>
          <w:sz w:val="24"/>
          <w:szCs w:val="24"/>
        </w:rPr>
      </w:pPr>
      <w:r>
        <w:rPr>
          <w:rFonts w:hint="eastAsia" w:ascii="仿宋" w:hAnsi="仿宋" w:eastAsia="仿宋" w:cs="仿宋"/>
          <w:spacing w:val="-3"/>
          <w:sz w:val="24"/>
          <w:szCs w:val="24"/>
        </w:rPr>
        <w:t>包含但不限于对烈士陵园、楼内盘、钟鼓楼广场、新城</w:t>
      </w:r>
      <w:r>
        <w:rPr>
          <w:rFonts w:hint="eastAsia" w:ascii="仿宋" w:hAnsi="仿宋" w:eastAsia="仿宋" w:cs="仿宋"/>
          <w:spacing w:val="-4"/>
          <w:sz w:val="24"/>
          <w:szCs w:val="24"/>
        </w:rPr>
        <w:t>广场、</w:t>
      </w:r>
      <w:r>
        <w:rPr>
          <w:rFonts w:hint="eastAsia" w:ascii="仿宋" w:hAnsi="仿宋" w:eastAsia="仿宋" w:cs="仿宋"/>
          <w:spacing w:val="4"/>
          <w:sz w:val="24"/>
          <w:szCs w:val="24"/>
        </w:rPr>
        <w:t>永宁门、南大街、北大街、市委、市政府、市人大、市政协、未</w:t>
      </w:r>
      <w:r>
        <w:rPr>
          <w:rFonts w:hint="eastAsia" w:ascii="仿宋" w:hAnsi="仿宋" w:eastAsia="仿宋" w:cs="仿宋"/>
          <w:spacing w:val="7"/>
          <w:sz w:val="24"/>
          <w:szCs w:val="24"/>
        </w:rPr>
        <w:t>央路(北门--北二环)段、互助路立交、长安路立交等重要区域，一年内节日期间和日常时令花卉的多次摆放和养护等服务工</w:t>
      </w:r>
      <w:r>
        <w:rPr>
          <w:rFonts w:hint="eastAsia" w:ascii="仿宋" w:hAnsi="仿宋" w:eastAsia="仿宋" w:cs="仿宋"/>
          <w:spacing w:val="6"/>
          <w:sz w:val="24"/>
          <w:szCs w:val="24"/>
        </w:rPr>
        <w:t>作。</w:t>
      </w:r>
    </w:p>
    <w:p w14:paraId="3B1B0687">
      <w:pPr>
        <w:spacing w:before="1" w:line="220" w:lineRule="auto"/>
        <w:ind w:left="293"/>
        <w:outlineLvl w:val="1"/>
        <w:rPr>
          <w:rFonts w:ascii="仿宋" w:hAnsi="仿宋" w:eastAsia="仿宋" w:cs="仿宋"/>
          <w:sz w:val="24"/>
          <w:szCs w:val="24"/>
        </w:rPr>
      </w:pPr>
      <w:bookmarkStart w:id="3" w:name="_Toc5763"/>
      <w:r>
        <w:rPr>
          <w:rFonts w:hint="eastAsia" w:ascii="仿宋" w:hAnsi="仿宋" w:eastAsia="仿宋" w:cs="仿宋"/>
          <w:b/>
          <w:bCs/>
          <w:spacing w:val="-3"/>
          <w:sz w:val="24"/>
          <w:szCs w:val="24"/>
          <w:lang w:val="en-US" w:eastAsia="zh-CN"/>
        </w:rPr>
        <w:t>三</w:t>
      </w:r>
      <w:r>
        <w:rPr>
          <w:rFonts w:hint="eastAsia" w:ascii="仿宋" w:hAnsi="仿宋" w:eastAsia="仿宋" w:cs="仿宋"/>
          <w:b/>
          <w:bCs/>
          <w:spacing w:val="-3"/>
          <w:sz w:val="24"/>
          <w:szCs w:val="24"/>
        </w:rPr>
        <w:t>、工程内容和</w:t>
      </w:r>
      <w:r>
        <w:rPr>
          <w:rFonts w:hint="eastAsia" w:ascii="仿宋" w:hAnsi="仿宋" w:eastAsia="仿宋" w:cs="仿宋"/>
          <w:b/>
          <w:bCs/>
          <w:spacing w:val="-3"/>
          <w:sz w:val="24"/>
          <w:szCs w:val="24"/>
          <w:lang w:val="en-US" w:eastAsia="zh-CN"/>
        </w:rPr>
        <w:t>服务期限</w:t>
      </w:r>
      <w:r>
        <w:rPr>
          <w:rFonts w:hint="eastAsia" w:ascii="仿宋" w:hAnsi="仿宋" w:eastAsia="仿宋" w:cs="仿宋"/>
          <w:b/>
          <w:bCs/>
          <w:spacing w:val="-3"/>
          <w:sz w:val="24"/>
          <w:szCs w:val="24"/>
        </w:rPr>
        <w:t>、质量保修期</w:t>
      </w:r>
      <w:bookmarkEnd w:id="3"/>
    </w:p>
    <w:p w14:paraId="2351D929">
      <w:pPr>
        <w:keepNext w:val="0"/>
        <w:keepLines w:val="0"/>
        <w:pageBreakBefore w:val="0"/>
        <w:widowControl/>
        <w:kinsoku w:val="0"/>
        <w:wordWrap/>
        <w:overflowPunct/>
        <w:topLinePunct w:val="0"/>
        <w:autoSpaceDE w:val="0"/>
        <w:autoSpaceDN w:val="0"/>
        <w:bidi w:val="0"/>
        <w:adjustRightInd w:val="0"/>
        <w:snapToGrid w:val="0"/>
        <w:spacing w:before="1" w:line="360" w:lineRule="auto"/>
        <w:ind w:left="365"/>
        <w:textAlignment w:val="baseline"/>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1.</w:t>
      </w:r>
      <w:r>
        <w:rPr>
          <w:rFonts w:hint="eastAsia" w:ascii="仿宋" w:hAnsi="仿宋" w:eastAsia="仿宋" w:cs="仿宋"/>
          <w:snapToGrid w:val="0"/>
          <w:color w:val="000000"/>
          <w:spacing w:val="-3"/>
          <w:kern w:val="0"/>
          <w:sz w:val="24"/>
          <w:szCs w:val="24"/>
          <w:lang w:val="en-US" w:eastAsia="en-US" w:bidi="ar-SA"/>
        </w:rPr>
        <w:t>服务期限：自项目开工之日起365天，花卉栽植通知下 发后7日内完成花卉栽植，摆花养护期1年。</w:t>
      </w:r>
    </w:p>
    <w:p w14:paraId="34AB6F66">
      <w:pPr>
        <w:keepNext w:val="0"/>
        <w:keepLines w:val="0"/>
        <w:pageBreakBefore w:val="0"/>
        <w:widowControl/>
        <w:kinsoku w:val="0"/>
        <w:wordWrap/>
        <w:overflowPunct/>
        <w:topLinePunct w:val="0"/>
        <w:autoSpaceDE w:val="0"/>
        <w:autoSpaceDN w:val="0"/>
        <w:bidi w:val="0"/>
        <w:adjustRightInd w:val="0"/>
        <w:snapToGrid w:val="0"/>
        <w:spacing w:before="178" w:line="360" w:lineRule="auto"/>
        <w:ind w:firstLine="468" w:firstLineChars="200"/>
        <w:textAlignment w:val="baseline"/>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2.</w:t>
      </w:r>
      <w:r>
        <w:rPr>
          <w:rFonts w:hint="eastAsia" w:ascii="仿宋" w:hAnsi="仿宋" w:eastAsia="仿宋" w:cs="仿宋"/>
          <w:snapToGrid w:val="0"/>
          <w:color w:val="000000"/>
          <w:spacing w:val="-3"/>
          <w:kern w:val="0"/>
          <w:sz w:val="24"/>
          <w:szCs w:val="24"/>
          <w:lang w:val="en-US" w:eastAsia="en-US" w:bidi="ar-SA"/>
        </w:rPr>
        <w:t>质量保修期：本工程质量维护期为一年，自项目开工之日起。</w:t>
      </w:r>
    </w:p>
    <w:p w14:paraId="08A21446">
      <w:pPr>
        <w:spacing w:before="181" w:line="222" w:lineRule="auto"/>
        <w:ind w:left="292"/>
        <w:outlineLvl w:val="1"/>
        <w:rPr>
          <w:rFonts w:ascii="仿宋" w:hAnsi="仿宋" w:eastAsia="仿宋" w:cs="仿宋"/>
          <w:sz w:val="24"/>
          <w:szCs w:val="24"/>
        </w:rPr>
      </w:pPr>
      <w:bookmarkStart w:id="4" w:name="_Toc8326"/>
      <w:r>
        <w:rPr>
          <w:rFonts w:hint="eastAsia" w:ascii="仿宋" w:hAnsi="仿宋" w:eastAsia="仿宋" w:cs="仿宋"/>
          <w:b/>
          <w:bCs/>
          <w:spacing w:val="-6"/>
          <w:sz w:val="24"/>
          <w:szCs w:val="24"/>
          <w:lang w:val="en-US" w:eastAsia="zh-CN"/>
        </w:rPr>
        <w:t>四</w:t>
      </w:r>
      <w:r>
        <w:rPr>
          <w:rFonts w:ascii="仿宋" w:hAnsi="仿宋" w:eastAsia="仿宋" w:cs="仿宋"/>
          <w:b/>
          <w:bCs/>
          <w:spacing w:val="-6"/>
          <w:sz w:val="24"/>
          <w:szCs w:val="24"/>
        </w:rPr>
        <w:t>、施工要求</w:t>
      </w:r>
      <w:bookmarkEnd w:id="4"/>
    </w:p>
    <w:p w14:paraId="1108234E">
      <w:pPr>
        <w:spacing w:before="179" w:line="292" w:lineRule="auto"/>
        <w:ind w:left="3" w:right="83" w:firstLine="473"/>
        <w:rPr>
          <w:rFonts w:ascii="仿宋" w:hAnsi="仿宋" w:eastAsia="仿宋" w:cs="仿宋"/>
          <w:sz w:val="24"/>
          <w:szCs w:val="24"/>
        </w:rPr>
      </w:pPr>
      <w:r>
        <w:rPr>
          <w:rFonts w:ascii="仿宋" w:hAnsi="仿宋" w:eastAsia="仿宋" w:cs="仿宋"/>
          <w:sz w:val="24"/>
          <w:szCs w:val="24"/>
        </w:rPr>
        <w:t>1、本工程施工期间交通干扰大，选择合理的交通布控方案，确保施工期间交通顺畅。</w:t>
      </w:r>
    </w:p>
    <w:p w14:paraId="4A1F380B">
      <w:pPr>
        <w:spacing w:before="179" w:line="292" w:lineRule="auto"/>
        <w:ind w:left="3" w:right="83" w:firstLine="473"/>
        <w:rPr>
          <w:rFonts w:ascii="仿宋" w:hAnsi="仿宋" w:eastAsia="仿宋" w:cs="仿宋"/>
          <w:sz w:val="24"/>
          <w:szCs w:val="24"/>
        </w:rPr>
      </w:pPr>
      <w:r>
        <w:rPr>
          <w:rFonts w:ascii="仿宋" w:hAnsi="仿宋" w:eastAsia="仿宋" w:cs="仿宋"/>
          <w:sz w:val="24"/>
          <w:szCs w:val="24"/>
        </w:rPr>
        <w:t>2、承包人必须保证所供花卉、绿植生长健壮、无病虫害，符合发包人招标要求规格。花繁叶茂、冠形丰满、脚叶完全，同 一品种规格大小一致。</w:t>
      </w:r>
    </w:p>
    <w:p w14:paraId="2AF2696D">
      <w:pPr>
        <w:spacing w:before="179" w:line="292" w:lineRule="auto"/>
        <w:ind w:left="3" w:right="83" w:firstLine="473"/>
        <w:rPr>
          <w:rFonts w:ascii="仿宋" w:hAnsi="仿宋" w:eastAsia="仿宋" w:cs="仿宋"/>
          <w:sz w:val="24"/>
          <w:szCs w:val="24"/>
        </w:rPr>
      </w:pPr>
      <w:r>
        <w:rPr>
          <w:rFonts w:ascii="仿宋" w:hAnsi="仿宋" w:eastAsia="仿宋" w:cs="仿宋"/>
          <w:sz w:val="24"/>
          <w:szCs w:val="24"/>
        </w:rPr>
        <w:t>3、维护好施工区域周边环境，无人为破坏环境情况的发生；无新污染源发生；加强施工现场卫生保洁工作。</w:t>
      </w:r>
    </w:p>
    <w:p w14:paraId="49A3B510">
      <w:pPr>
        <w:spacing w:before="179" w:line="292" w:lineRule="auto"/>
        <w:ind w:left="3" w:right="83" w:firstLine="473"/>
        <w:rPr>
          <w:rFonts w:ascii="仿宋" w:hAnsi="仿宋" w:eastAsia="仿宋" w:cs="仿宋"/>
          <w:sz w:val="24"/>
          <w:szCs w:val="24"/>
        </w:rPr>
      </w:pPr>
      <w:r>
        <w:rPr>
          <w:rFonts w:ascii="仿宋" w:hAnsi="仿宋" w:eastAsia="仿宋" w:cs="仿宋"/>
          <w:sz w:val="24"/>
          <w:szCs w:val="24"/>
        </w:rPr>
        <w:t>4、本工程施工期间，养护工作人员按要求着安全防护服，严格遵守交通法规，确保人员安全。</w:t>
      </w:r>
    </w:p>
    <w:p w14:paraId="23B5FEF6">
      <w:pPr>
        <w:spacing w:before="179" w:line="292" w:lineRule="auto"/>
        <w:ind w:left="3" w:right="83" w:firstLine="473"/>
        <w:rPr>
          <w:rFonts w:ascii="仿宋" w:hAnsi="仿宋" w:eastAsia="仿宋" w:cs="仿宋"/>
          <w:sz w:val="24"/>
          <w:szCs w:val="24"/>
        </w:rPr>
      </w:pPr>
      <w:r>
        <w:rPr>
          <w:rFonts w:ascii="仿宋" w:hAnsi="仿宋" w:eastAsia="仿宋" w:cs="仿宋"/>
          <w:sz w:val="24"/>
          <w:szCs w:val="24"/>
        </w:rPr>
        <w:t>5、需对施工人员进行安全培训，做好施工组织的同时做好安全文明施工，配备专职的安全员，夜间及视线不良的情况下施工时，要准备足够的安全标志、安全设施，以确保施工人员的安全及施工的正常运行。</w:t>
      </w:r>
    </w:p>
    <w:p w14:paraId="6D24CDDB">
      <w:pPr>
        <w:spacing w:line="292" w:lineRule="auto"/>
        <w:rPr>
          <w:rFonts w:ascii="仿宋" w:hAnsi="仿宋" w:eastAsia="仿宋" w:cs="仿宋"/>
          <w:sz w:val="24"/>
          <w:szCs w:val="24"/>
        </w:rPr>
        <w:sectPr>
          <w:footerReference r:id="rId5" w:type="default"/>
          <w:pgSz w:w="11960" w:h="16880"/>
          <w:pgMar w:top="1434" w:right="1333" w:bottom="684" w:left="1431" w:header="0" w:footer="435" w:gutter="0"/>
          <w:pgNumType w:fmt="decimal"/>
          <w:cols w:space="720" w:num="1"/>
        </w:sectPr>
      </w:pPr>
    </w:p>
    <w:p w14:paraId="59BAFC38">
      <w:pPr>
        <w:spacing w:before="48" w:line="359" w:lineRule="auto"/>
        <w:ind w:right="24" w:firstLine="475"/>
        <w:jc w:val="both"/>
        <w:rPr>
          <w:rFonts w:ascii="仿宋" w:hAnsi="仿宋" w:eastAsia="仿宋" w:cs="仿宋"/>
          <w:sz w:val="24"/>
          <w:szCs w:val="24"/>
        </w:rPr>
      </w:pPr>
      <w:r>
        <w:rPr>
          <w:rFonts w:ascii="仿宋" w:hAnsi="仿宋" w:eastAsia="仿宋" w:cs="仿宋"/>
          <w:spacing w:val="-2"/>
          <w:sz w:val="24"/>
          <w:szCs w:val="24"/>
        </w:rPr>
        <w:t>6、现场安装需对施工人员进行安全培训，做好施工组织的同时做好安全文明施工，</w:t>
      </w:r>
      <w:r>
        <w:rPr>
          <w:rFonts w:ascii="仿宋" w:hAnsi="仿宋" w:eastAsia="仿宋" w:cs="仿宋"/>
          <w:spacing w:val="8"/>
          <w:sz w:val="24"/>
          <w:szCs w:val="24"/>
        </w:rPr>
        <w:t xml:space="preserve"> </w:t>
      </w:r>
      <w:r>
        <w:rPr>
          <w:rFonts w:ascii="仿宋" w:hAnsi="仿宋" w:eastAsia="仿宋" w:cs="仿宋"/>
          <w:sz w:val="24"/>
          <w:szCs w:val="24"/>
        </w:rPr>
        <w:t>配备专职的安全员，夜间及视线不良的情况下施工时，要准</w:t>
      </w:r>
      <w:r>
        <w:rPr>
          <w:rFonts w:ascii="仿宋" w:hAnsi="仿宋" w:eastAsia="仿宋" w:cs="仿宋"/>
          <w:spacing w:val="-1"/>
          <w:sz w:val="24"/>
          <w:szCs w:val="24"/>
        </w:rPr>
        <w:t>备足够的安全标志、安全设</w:t>
      </w:r>
      <w:r>
        <w:rPr>
          <w:rFonts w:ascii="仿宋" w:hAnsi="仿宋" w:eastAsia="仿宋" w:cs="仿宋"/>
          <w:sz w:val="24"/>
          <w:szCs w:val="24"/>
        </w:rPr>
        <w:t xml:space="preserve"> </w:t>
      </w:r>
      <w:r>
        <w:rPr>
          <w:rFonts w:ascii="仿宋" w:hAnsi="仿宋" w:eastAsia="仿宋" w:cs="仿宋"/>
          <w:spacing w:val="-1"/>
          <w:sz w:val="24"/>
          <w:szCs w:val="24"/>
        </w:rPr>
        <w:t>施，以确保施工人员的安全及施工的正常运行。</w:t>
      </w:r>
    </w:p>
    <w:p w14:paraId="5CD86E5A">
      <w:pPr>
        <w:spacing w:line="222" w:lineRule="auto"/>
        <w:ind w:left="29"/>
        <w:outlineLvl w:val="1"/>
        <w:rPr>
          <w:rFonts w:ascii="仿宋" w:hAnsi="仿宋" w:eastAsia="仿宋" w:cs="仿宋"/>
          <w:sz w:val="24"/>
          <w:szCs w:val="24"/>
        </w:rPr>
      </w:pPr>
      <w:bookmarkStart w:id="5" w:name="_Toc29371"/>
      <w:r>
        <w:rPr>
          <w:rFonts w:hint="eastAsia" w:ascii="仿宋" w:hAnsi="仿宋" w:eastAsia="仿宋" w:cs="仿宋"/>
          <w:b/>
          <w:bCs/>
          <w:spacing w:val="-10"/>
          <w:sz w:val="24"/>
          <w:szCs w:val="24"/>
          <w:lang w:val="en-US" w:eastAsia="zh-CN"/>
        </w:rPr>
        <w:t>五</w:t>
      </w:r>
      <w:r>
        <w:rPr>
          <w:rFonts w:ascii="仿宋" w:hAnsi="仿宋" w:eastAsia="仿宋" w:cs="仿宋"/>
          <w:b/>
          <w:bCs/>
          <w:spacing w:val="-10"/>
          <w:sz w:val="24"/>
          <w:szCs w:val="24"/>
        </w:rPr>
        <w:t>、商务要求</w:t>
      </w:r>
      <w:bookmarkEnd w:id="5"/>
    </w:p>
    <w:p w14:paraId="2D37B093">
      <w:pPr>
        <w:spacing w:before="178" w:line="359" w:lineRule="auto"/>
        <w:ind w:left="6" w:firstLine="480"/>
        <w:jc w:val="both"/>
        <w:rPr>
          <w:rFonts w:ascii="仿宋" w:hAnsi="仿宋" w:eastAsia="仿宋" w:cs="仿宋"/>
          <w:sz w:val="24"/>
          <w:szCs w:val="24"/>
        </w:rPr>
      </w:pPr>
      <w:r>
        <w:rPr>
          <w:rFonts w:ascii="仿宋" w:hAnsi="仿宋" w:eastAsia="仿宋" w:cs="仿宋"/>
          <w:spacing w:val="-1"/>
          <w:sz w:val="24"/>
          <w:szCs w:val="24"/>
        </w:rPr>
        <w:t>合同签署后承包人人员和主要设备进场后经采购人确认签字后支付预付款，预付款</w:t>
      </w:r>
      <w:r>
        <w:rPr>
          <w:rFonts w:ascii="仿宋" w:hAnsi="仿宋" w:eastAsia="仿宋" w:cs="仿宋"/>
          <w:spacing w:val="17"/>
          <w:sz w:val="24"/>
          <w:szCs w:val="24"/>
        </w:rPr>
        <w:t xml:space="preserve"> </w:t>
      </w:r>
      <w:r>
        <w:rPr>
          <w:rFonts w:ascii="仿宋" w:hAnsi="仿宋" w:eastAsia="仿宋" w:cs="仿宋"/>
          <w:spacing w:val="2"/>
          <w:sz w:val="24"/>
          <w:szCs w:val="24"/>
        </w:rPr>
        <w:t>不低于合同价款的40%（具体以合同约定为准</w:t>
      </w:r>
      <w:r>
        <w:rPr>
          <w:rFonts w:ascii="仿宋" w:hAnsi="仿宋" w:eastAsia="仿宋" w:cs="仿宋"/>
          <w:spacing w:val="15"/>
          <w:sz w:val="24"/>
          <w:szCs w:val="24"/>
        </w:rPr>
        <w:t>），</w:t>
      </w:r>
      <w:r>
        <w:rPr>
          <w:rFonts w:ascii="仿宋" w:hAnsi="仿宋" w:eastAsia="仿宋" w:cs="仿宋"/>
          <w:spacing w:val="2"/>
          <w:sz w:val="24"/>
          <w:szCs w:val="24"/>
        </w:rPr>
        <w:t>工程进度款每月按进度支付，支付至</w:t>
      </w:r>
      <w:r>
        <w:rPr>
          <w:rFonts w:ascii="仿宋" w:hAnsi="仿宋" w:eastAsia="仿宋" w:cs="仿宋"/>
          <w:sz w:val="24"/>
          <w:szCs w:val="24"/>
        </w:rPr>
        <w:t xml:space="preserve"> </w:t>
      </w:r>
      <w:r>
        <w:rPr>
          <w:rFonts w:ascii="仿宋" w:hAnsi="仿宋" w:eastAsia="仿宋" w:cs="仿宋"/>
          <w:spacing w:val="-1"/>
          <w:sz w:val="24"/>
          <w:szCs w:val="24"/>
        </w:rPr>
        <w:t>合同价款的80%时暂停支付，剩余款经项目结算审计后并经</w:t>
      </w:r>
      <w:r>
        <w:rPr>
          <w:rFonts w:ascii="仿宋" w:hAnsi="仿宋" w:eastAsia="仿宋" w:cs="仿宋"/>
          <w:spacing w:val="-2"/>
          <w:sz w:val="24"/>
          <w:szCs w:val="24"/>
        </w:rPr>
        <w:t>发包人确认后，一次性付清。</w:t>
      </w:r>
    </w:p>
    <w:p w14:paraId="209D5BB0">
      <w:pPr>
        <w:spacing w:line="222" w:lineRule="auto"/>
        <w:ind w:left="215"/>
        <w:outlineLvl w:val="1"/>
        <w:rPr>
          <w:rFonts w:ascii="仿宋" w:hAnsi="仿宋" w:eastAsia="仿宋" w:cs="仿宋"/>
          <w:sz w:val="24"/>
          <w:szCs w:val="24"/>
        </w:rPr>
      </w:pPr>
      <w:bookmarkStart w:id="6" w:name="_Toc20431"/>
      <w:r>
        <w:rPr>
          <w:rFonts w:hint="eastAsia" w:ascii="仿宋" w:hAnsi="仿宋" w:eastAsia="仿宋" w:cs="仿宋"/>
          <w:b/>
          <w:bCs/>
          <w:spacing w:val="-4"/>
          <w:sz w:val="24"/>
          <w:szCs w:val="24"/>
          <w:lang w:val="en-US" w:eastAsia="zh-CN"/>
        </w:rPr>
        <w:t>六</w:t>
      </w:r>
      <w:r>
        <w:rPr>
          <w:rFonts w:ascii="仿宋" w:hAnsi="仿宋" w:eastAsia="仿宋" w:cs="仿宋"/>
          <w:b/>
          <w:bCs/>
          <w:spacing w:val="-4"/>
          <w:sz w:val="24"/>
          <w:szCs w:val="24"/>
        </w:rPr>
        <w:t>、质量验收标准或规范</w:t>
      </w:r>
      <w:r>
        <w:rPr>
          <w:rFonts w:ascii="仿宋" w:hAnsi="仿宋" w:eastAsia="仿宋" w:cs="仿宋"/>
          <w:spacing w:val="-4"/>
          <w:sz w:val="24"/>
          <w:szCs w:val="24"/>
        </w:rPr>
        <w:t>：</w:t>
      </w:r>
      <w:bookmarkEnd w:id="6"/>
    </w:p>
    <w:p w14:paraId="3D459055">
      <w:pPr>
        <w:spacing w:before="176" w:line="222" w:lineRule="auto"/>
        <w:ind w:left="242" w:firstLine="476" w:firstLineChars="200"/>
        <w:rPr>
          <w:rFonts w:hint="eastAsia" w:ascii="仿宋" w:hAnsi="仿宋" w:eastAsia="仿宋" w:cs="仿宋"/>
          <w:spacing w:val="-1"/>
          <w:sz w:val="24"/>
          <w:szCs w:val="24"/>
        </w:rPr>
      </w:pPr>
      <w:r>
        <w:rPr>
          <w:rFonts w:hint="eastAsia" w:ascii="仿宋" w:hAnsi="仿宋" w:eastAsia="仿宋" w:cs="仿宋"/>
          <w:spacing w:val="-1"/>
          <w:sz w:val="24"/>
          <w:szCs w:val="24"/>
        </w:rPr>
        <w:t>项目工程质量符合《园林绿化工程项目规范》GB 55014-2021（国家标准）、《园林绿化工程施工及验收规范》CJJ 82-2012等相关法律法规及技术标准要求。</w:t>
      </w:r>
    </w:p>
    <w:p w14:paraId="602323AA">
      <w:pPr>
        <w:numPr>
          <w:ilvl w:val="0"/>
          <w:numId w:val="1"/>
        </w:numPr>
        <w:spacing w:before="176" w:line="222" w:lineRule="auto"/>
        <w:ind w:left="242"/>
        <w:rPr>
          <w:rFonts w:ascii="仿宋" w:hAnsi="仿宋" w:eastAsia="仿宋" w:cs="仿宋"/>
          <w:b/>
          <w:bCs/>
          <w:spacing w:val="-5"/>
          <w:sz w:val="24"/>
          <w:szCs w:val="24"/>
          <w:highlight w:val="none"/>
        </w:rPr>
      </w:pPr>
      <w:r>
        <w:rPr>
          <w:rFonts w:ascii="仿宋" w:hAnsi="仿宋" w:eastAsia="仿宋" w:cs="仿宋"/>
          <w:b/>
          <w:bCs/>
          <w:spacing w:val="-5"/>
          <w:sz w:val="24"/>
          <w:szCs w:val="24"/>
          <w:highlight w:val="none"/>
        </w:rPr>
        <w:t>图纸按投标须知前附表第</w:t>
      </w:r>
      <w:r>
        <w:rPr>
          <w:rFonts w:ascii="仿宋" w:hAnsi="仿宋" w:eastAsia="仿宋" w:cs="仿宋"/>
          <w:spacing w:val="-30"/>
          <w:sz w:val="24"/>
          <w:szCs w:val="24"/>
          <w:highlight w:val="none"/>
        </w:rPr>
        <w:t xml:space="preserve"> </w:t>
      </w:r>
      <w:r>
        <w:rPr>
          <w:rFonts w:ascii="仿宋" w:hAnsi="仿宋" w:eastAsia="仿宋" w:cs="仿宋"/>
          <w:b/>
          <w:bCs/>
          <w:spacing w:val="-5"/>
          <w:sz w:val="24"/>
          <w:szCs w:val="24"/>
          <w:highlight w:val="none"/>
        </w:rPr>
        <w:t>33</w:t>
      </w:r>
      <w:r>
        <w:rPr>
          <w:rFonts w:ascii="仿宋" w:hAnsi="仿宋" w:eastAsia="仿宋" w:cs="仿宋"/>
          <w:spacing w:val="-45"/>
          <w:sz w:val="24"/>
          <w:szCs w:val="24"/>
          <w:highlight w:val="none"/>
        </w:rPr>
        <w:t xml:space="preserve"> </w:t>
      </w:r>
      <w:r>
        <w:rPr>
          <w:rFonts w:ascii="仿宋" w:hAnsi="仿宋" w:eastAsia="仿宋" w:cs="仿宋"/>
          <w:b/>
          <w:bCs/>
          <w:spacing w:val="-5"/>
          <w:sz w:val="24"/>
          <w:szCs w:val="24"/>
          <w:highlight w:val="none"/>
        </w:rPr>
        <w:t>款获取。</w:t>
      </w:r>
    </w:p>
    <w:p w14:paraId="5C96E6F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D7DA3">
    <w:pPr>
      <w:spacing w:line="210" w:lineRule="auto"/>
      <w:ind w:left="4241"/>
      <w:rPr>
        <w:rFonts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E35AC">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F2E35AC">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2904F7"/>
    <w:multiLevelType w:val="singleLevel"/>
    <w:tmpl w:val="782904F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B6AAF"/>
    <w:rsid w:val="22F917F3"/>
    <w:rsid w:val="6B754EA0"/>
    <w:rsid w:val="7CE36EC1"/>
    <w:rsid w:val="7E2B6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ascii="Times New Roman" w:hAnsi="Times New Roman" w:eastAsia="宋体" w:cs="Times New Roman"/>
      <w:b/>
      <w:kern w:val="44"/>
      <w:sz w:val="44"/>
    </w:rPr>
  </w:style>
  <w:style w:type="paragraph" w:styleId="3">
    <w:name w:val="heading 2"/>
    <w:basedOn w:val="1"/>
    <w:next w:val="1"/>
    <w:semiHidden/>
    <w:unhideWhenUsed/>
    <w:qFormat/>
    <w:uiPriority w:val="0"/>
    <w:pPr>
      <w:keepNext/>
      <w:keepLines/>
      <w:spacing w:line="360" w:lineRule="auto"/>
      <w:jc w:val="left"/>
      <w:outlineLvl w:val="1"/>
    </w:pPr>
    <w:rPr>
      <w:rFonts w:ascii="Arial" w:hAnsi="Arial" w:eastAsia="宋体" w:cs="宋体"/>
      <w:b/>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2025-08-11T10:00:00Z</dcterms:created>
  <dc:creator>Administrator</dc:creator>
  <cp:lastModifiedBy>Administrator</cp:lastModifiedBy>
  <dcterms:modified xsi:type="dcterms:W3CDTF">2025-08-11T10:00:38Z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CB8C86A1B7C84DCDBD764A972BE339EA_11</vt:lpwstr>
  </property>
  <property fmtid="{D5CDD505-2E9C-101B-9397-08002B2CF9AE}" pid="4" name="KSOTemplateDocerSaveRecord">
    <vt:lpwstr>eyJoZGlkIjoiOWFmYWM5NjgyZjllZjQ4OWM2OTRjMDc3ZjJhZmRjZGQiLCJ1c2VySWQiOiI5ODEzNTIxNjEifQ==</vt:lpwstr>
  </property>
</Properties>
</file>