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AD2870">
      <w:pPr>
        <w:spacing w:line="570" w:lineRule="exact"/>
        <w:jc w:val="center"/>
        <w:rPr>
          <w:rFonts w:hint="eastAsia" w:ascii="宋体" w:hAnsi="宋体" w:eastAsia="宋体" w:cs="宋体"/>
          <w:spacing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pacing w:val="0"/>
          <w:sz w:val="44"/>
          <w:szCs w:val="44"/>
          <w:lang w:val="en-US" w:eastAsia="zh-CN"/>
        </w:rPr>
        <w:t>2025年度信息系统软件维保</w:t>
      </w:r>
    </w:p>
    <w:p w14:paraId="3E682CF8">
      <w:pPr>
        <w:spacing w:line="570" w:lineRule="exact"/>
        <w:jc w:val="center"/>
        <w:rPr>
          <w:rFonts w:hint="eastAsia" w:ascii="宋体" w:hAnsi="宋体" w:eastAsia="宋体" w:cs="宋体"/>
          <w:spacing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pacing w:val="0"/>
          <w:sz w:val="44"/>
          <w:szCs w:val="44"/>
          <w:lang w:val="en-US" w:eastAsia="zh-CN"/>
        </w:rPr>
        <w:t>和后续</w:t>
      </w:r>
      <w:bookmarkStart w:id="0" w:name="_GoBack"/>
      <w:bookmarkEnd w:id="0"/>
      <w:r>
        <w:rPr>
          <w:rFonts w:hint="eastAsia" w:ascii="宋体" w:hAnsi="宋体" w:eastAsia="宋体" w:cs="宋体"/>
          <w:spacing w:val="0"/>
          <w:sz w:val="44"/>
          <w:szCs w:val="44"/>
          <w:lang w:val="en-US" w:eastAsia="zh-CN"/>
        </w:rPr>
        <w:t>开发服务采购需求</w:t>
      </w:r>
    </w:p>
    <w:p w14:paraId="3A351248">
      <w:pPr>
        <w:rPr>
          <w:rFonts w:hint="eastAsia" w:ascii="宋体" w:hAnsi="宋体" w:eastAsia="宋体" w:cs="宋体"/>
        </w:rPr>
      </w:pPr>
    </w:p>
    <w:p w14:paraId="63A48E11">
      <w:pPr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一、项目概况</w:t>
      </w:r>
    </w:p>
    <w:p w14:paraId="0CCB5194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sz w:val="24"/>
          <w:szCs w:val="24"/>
        </w:rPr>
        <w:t>年度信息系统软件维保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和后续开发服务采用整体购买服务的方式进行采购，数据库软件由供应商进行维护，且供应商提供后续数据库软件转换服务。项目内容</w:t>
      </w:r>
      <w:r>
        <w:rPr>
          <w:rFonts w:hint="eastAsia" w:ascii="宋体" w:hAnsi="宋体" w:eastAsia="宋体" w:cs="宋体"/>
          <w:sz w:val="24"/>
          <w:szCs w:val="24"/>
        </w:rPr>
        <w:t>包括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数据库软件维护服务，业务系统所使用到的基础软件维护服务，业务系统的维护、迭代升级开发服务和业务系统安全提升服务，数据管理运维服务，</w:t>
      </w:r>
      <w:r>
        <w:rPr>
          <w:rFonts w:hint="eastAsia" w:ascii="宋体" w:hAnsi="宋体" w:eastAsia="宋体" w:cs="宋体"/>
          <w:sz w:val="24"/>
          <w:szCs w:val="24"/>
        </w:rPr>
        <w:t>中心内网通信软件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维护服务</w:t>
      </w:r>
      <w:r>
        <w:rPr>
          <w:rFonts w:hint="eastAsia" w:ascii="宋体" w:hAnsi="宋体" w:eastAsia="宋体" w:cs="宋体"/>
          <w:sz w:val="24"/>
          <w:szCs w:val="24"/>
        </w:rPr>
        <w:t>等。</w:t>
      </w:r>
    </w:p>
    <w:p w14:paraId="6F8E5341">
      <w:pPr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二、项目明细</w:t>
      </w:r>
    </w:p>
    <w:p w14:paraId="1CE1DCAE">
      <w:pPr>
        <w:spacing w:line="57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（一）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第三方服务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清单</w:t>
      </w:r>
    </w:p>
    <w:tbl>
      <w:tblPr>
        <w:tblStyle w:val="3"/>
        <w:tblW w:w="861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559"/>
        <w:gridCol w:w="4288"/>
        <w:gridCol w:w="1382"/>
      </w:tblGrid>
      <w:tr w14:paraId="512B2B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384" w:type="dxa"/>
            <w:noWrap w:val="0"/>
            <w:vAlign w:val="center"/>
          </w:tcPr>
          <w:p w14:paraId="1C043E1F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软件名称</w:t>
            </w:r>
          </w:p>
        </w:tc>
        <w:tc>
          <w:tcPr>
            <w:tcW w:w="1559" w:type="dxa"/>
            <w:noWrap w:val="0"/>
            <w:vAlign w:val="center"/>
          </w:tcPr>
          <w:p w14:paraId="521FF403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研发单位</w:t>
            </w:r>
          </w:p>
        </w:tc>
        <w:tc>
          <w:tcPr>
            <w:tcW w:w="4288" w:type="dxa"/>
            <w:noWrap w:val="0"/>
            <w:vAlign w:val="center"/>
          </w:tcPr>
          <w:p w14:paraId="55E8628F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型  号</w:t>
            </w:r>
          </w:p>
        </w:tc>
        <w:tc>
          <w:tcPr>
            <w:tcW w:w="1382" w:type="dxa"/>
            <w:noWrap w:val="0"/>
            <w:vAlign w:val="center"/>
          </w:tcPr>
          <w:p w14:paraId="452A3CC9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</w:tc>
      </w:tr>
      <w:tr w14:paraId="4CD910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384" w:type="dxa"/>
            <w:vMerge w:val="restart"/>
            <w:noWrap w:val="0"/>
            <w:vAlign w:val="center"/>
          </w:tcPr>
          <w:p w14:paraId="5415F5F9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数据库</w:t>
            </w:r>
          </w:p>
          <w:p w14:paraId="1CD11CEF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软件</w:t>
            </w:r>
          </w:p>
        </w:tc>
        <w:tc>
          <w:tcPr>
            <w:tcW w:w="1559" w:type="dxa"/>
            <w:vMerge w:val="restart"/>
            <w:noWrap w:val="0"/>
            <w:vAlign w:val="center"/>
          </w:tcPr>
          <w:p w14:paraId="3D7CD68C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Oracle</w:t>
            </w:r>
          </w:p>
        </w:tc>
        <w:tc>
          <w:tcPr>
            <w:tcW w:w="4288" w:type="dxa"/>
            <w:noWrap w:val="0"/>
            <w:vAlign w:val="top"/>
          </w:tcPr>
          <w:p w14:paraId="5A070042">
            <w:pPr>
              <w:tabs>
                <w:tab w:val="left" w:pos="1575"/>
              </w:tabs>
              <w:spacing w:line="400" w:lineRule="exac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Oracle Database Enterprise Edition - Processor Perpetual, FULL USE</w:t>
            </w:r>
          </w:p>
        </w:tc>
        <w:tc>
          <w:tcPr>
            <w:tcW w:w="1382" w:type="dxa"/>
            <w:noWrap w:val="0"/>
            <w:vAlign w:val="center"/>
          </w:tcPr>
          <w:p w14:paraId="051CF118">
            <w:pPr>
              <w:tabs>
                <w:tab w:val="left" w:pos="1575"/>
              </w:tabs>
              <w:spacing w:line="400" w:lineRule="exac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4 license</w:t>
            </w:r>
          </w:p>
        </w:tc>
      </w:tr>
      <w:tr w14:paraId="7709EB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384" w:type="dxa"/>
            <w:vMerge w:val="continue"/>
            <w:noWrap w:val="0"/>
            <w:vAlign w:val="center"/>
          </w:tcPr>
          <w:p w14:paraId="458817A0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559" w:type="dxa"/>
            <w:vMerge w:val="continue"/>
            <w:noWrap w:val="0"/>
            <w:vAlign w:val="center"/>
          </w:tcPr>
          <w:p w14:paraId="4249D47B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4288" w:type="dxa"/>
            <w:noWrap w:val="0"/>
            <w:vAlign w:val="top"/>
          </w:tcPr>
          <w:p w14:paraId="33713461">
            <w:pPr>
              <w:tabs>
                <w:tab w:val="left" w:pos="1575"/>
              </w:tabs>
              <w:spacing w:line="400" w:lineRule="exac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Real Application Clusters - Processor Perpetual, FULL USE</w:t>
            </w:r>
          </w:p>
        </w:tc>
        <w:tc>
          <w:tcPr>
            <w:tcW w:w="1382" w:type="dxa"/>
            <w:noWrap w:val="0"/>
            <w:vAlign w:val="center"/>
          </w:tcPr>
          <w:p w14:paraId="2307DF20">
            <w:pPr>
              <w:tabs>
                <w:tab w:val="left" w:pos="1575"/>
              </w:tabs>
              <w:spacing w:line="400" w:lineRule="exac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4 license</w:t>
            </w:r>
          </w:p>
        </w:tc>
      </w:tr>
      <w:tr w14:paraId="0104D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noWrap w:val="0"/>
            <w:vAlign w:val="center"/>
          </w:tcPr>
          <w:p w14:paraId="6A70E627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办公软件</w:t>
            </w:r>
          </w:p>
        </w:tc>
        <w:tc>
          <w:tcPr>
            <w:tcW w:w="1559" w:type="dxa"/>
            <w:noWrap w:val="0"/>
            <w:vAlign w:val="center"/>
          </w:tcPr>
          <w:p w14:paraId="5A363068">
            <w:pPr>
              <w:tabs>
                <w:tab w:val="left" w:pos="157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市政府电子网络中心</w:t>
            </w:r>
          </w:p>
        </w:tc>
        <w:tc>
          <w:tcPr>
            <w:tcW w:w="4288" w:type="dxa"/>
            <w:noWrap w:val="0"/>
            <w:vAlign w:val="center"/>
          </w:tcPr>
          <w:p w14:paraId="239D19F7">
            <w:pPr>
              <w:tabs>
                <w:tab w:val="left" w:pos="1575"/>
              </w:tabs>
              <w:spacing w:line="400" w:lineRule="exac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电子政务办公软件</w:t>
            </w:r>
          </w:p>
        </w:tc>
        <w:tc>
          <w:tcPr>
            <w:tcW w:w="1382" w:type="dxa"/>
            <w:noWrap w:val="0"/>
            <w:vAlign w:val="center"/>
          </w:tcPr>
          <w:p w14:paraId="2CC5090F">
            <w:pPr>
              <w:tabs>
                <w:tab w:val="left" w:pos="1575"/>
              </w:tabs>
              <w:spacing w:line="400" w:lineRule="exac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1套</w:t>
            </w:r>
          </w:p>
        </w:tc>
      </w:tr>
    </w:tbl>
    <w:p w14:paraId="434E209C">
      <w:pPr>
        <w:spacing w:line="57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（二）业务系统维保和开发服务明细</w:t>
      </w:r>
    </w:p>
    <w:p w14:paraId="668BEB7F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包括以下功能模块的维保服务、后续功能增加与三大类运维服务。</w:t>
      </w:r>
    </w:p>
    <w:p w14:paraId="235272F8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软件系统：归集管理系统、提取管理系统、个人贷款管理系统、会计核算管理系统、资金管理系统、其他住房资金、住房补贴、综合服务管理平台、手机公积金APP、缴存单位网上业务大厅、开发商网上业务大厅、短信平台系统、流程服务、稽核审计、绩效考核、党建、省监管服务平台、住建部（税务）数据上报系统、征信上报与查询系统、支付宝城市服务接口、微信接口、房改办住房补贴接口、一网通办数据共享系统、一网通办APP接口与一网通办大数据局接口服务等(目前在用系统详细功能见《住房公积金业务系统开发运维服务附表》)。</w:t>
      </w:r>
    </w:p>
    <w:p w14:paraId="3C417AF2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运维服务：基础软件维护服务、应用软件服务、数据管理运维服务、业务系统安全提升服务（如依照等保三级要求进行业务系统安全加固，使用https访问等）。</w:t>
      </w:r>
    </w:p>
    <w:p w14:paraId="380F6A87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服务期内服务范围包括：</w:t>
      </w:r>
    </w:p>
    <w:p w14:paraId="17D6A120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1、服务范围包括：现有功能需求、设计、开发、测试、BUG修复、驻场运维服务、巡检、特殊事项及重大事项的专家现场服务指导。</w:t>
      </w:r>
    </w:p>
    <w:p w14:paraId="69DF3DD9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2、国家、省、市各级政府出台新政策以及采购方现有系统不能满足服务需求，需要对现有信息系统进行整体升级或系统优化均属于服务内容。</w:t>
      </w:r>
    </w:p>
    <w:p w14:paraId="697C6221">
      <w:pPr>
        <w:spacing w:line="57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（三）服务的质量指标</w:t>
      </w:r>
    </w:p>
    <w:p w14:paraId="682E440D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供应商应按照以下要求提供相应服务。</w:t>
      </w:r>
    </w:p>
    <w:p w14:paraId="3F4107C1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1、服务公司要求：</w:t>
      </w:r>
    </w:p>
    <w:p w14:paraId="4AC0107B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为本项目投入工程师不少于5名（人员需经接受服务方同意），供应商须指定专人作为负责人，与采购方就项目事宜对接、协调。供应商应提供能够证明其业务系统维保和后续开发能力的材料（如同类项目合同、软件著作权证书等），供应商须提供通过数据库厂商认证的工程师名单。</w:t>
      </w:r>
    </w:p>
    <w:p w14:paraId="01CB19BC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2、服务标准：</w:t>
      </w:r>
    </w:p>
    <w:p w14:paraId="60A656E4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服务周期内，项目明细内的软件（软件能随时升级）在维护和开发过程中所产生的费用，全部由供应商承担，采购方不承担任何费用，服务期限为一年。所有维保项目依据系统维护要求，按照每日、每周、季度、半年、和年度维护的不同需求进行维护，并向采购方提供书面维护报告。</w:t>
      </w:r>
    </w:p>
    <w:p w14:paraId="270509CC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系统维保服务响应时间：半小时内做出响应，三小时内排除故障，恢复系统运行。</w:t>
      </w:r>
    </w:p>
    <w:p w14:paraId="145BB437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服务考核：采购方对供应商进行季度考核和年度考核，对未达到服务标准的情况将酌情扣除维护费。</w:t>
      </w:r>
    </w:p>
    <w:p w14:paraId="3AEBA9AA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考核方法：</w:t>
      </w:r>
    </w:p>
    <w:p w14:paraId="32DBBA48"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驻场运维人员应遵守中心的办公时间，每日填写运维日志，每月提交巡检报告，请假需经公司同意后再报中心审批同意，运维人员变更需提交书面申请经中心同意，运维人员沟通表达清晰明确，举止端庄、态度得体，不得造成投诉，以上各项要求累计违反每满三次扣除维保费1‰，由采购方直接在合同尾款中扣除。</w:t>
      </w:r>
    </w:p>
    <w:p w14:paraId="3B431E80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重要系统开发工作，应在需求确定时与采购方协商，明确开发周期。因供应商原因（包括但不限于预估时间不足、开发测试工作滞后等）造成延误的，每延误三天扣除维保费1‰（不足三天按三天算），由采购方直接在合同尾款中扣除。</w:t>
      </w:r>
    </w:p>
    <w:p w14:paraId="2211E5B8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（3）因对系统检查测试不到位以及其他人为、技术原因导致系统在业务时间内无法运行的，每小时扣除维保费1‰（不足一小时按一小时算），由采购方直接在合同尾款中扣除。</w:t>
      </w:r>
    </w:p>
    <w:p w14:paraId="4AD8D36E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供应商服务承诺：</w:t>
      </w:r>
    </w:p>
    <w:p w14:paraId="09856B59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工作时间承诺：按照采购方工作时间提供服务，如有特殊情况，技术服务人员应全力支持在各时段提供及时的现场支持。</w:t>
      </w:r>
    </w:p>
    <w:p w14:paraId="3076D771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响应方式承诺：热线电话、远程桌面支持、驻场工程师解决，技术专家现场解决。</w:t>
      </w:r>
    </w:p>
    <w:p w14:paraId="2376C3A4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人员保障承诺：根据采购方要求及合同规定提供服务工程师。</w:t>
      </w:r>
    </w:p>
    <w:p w14:paraId="0BF1897F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保密要求承诺：根据采购方要求，签订保密协议。</w:t>
      </w:r>
    </w:p>
    <w:p w14:paraId="2EE3C602">
      <w:pPr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三、项目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付款方式</w:t>
      </w:r>
    </w:p>
    <w:p w14:paraId="29FE0785"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合同签订后一个月内支付合同总价款的40%；服务期满六个月后支付合同总价款的50%；服务期满并验收合格后，一个月内按照维保服务考核结果支付合同尾款。</w:t>
      </w:r>
    </w:p>
    <w:p w14:paraId="3EF8B6BA">
      <w:pPr>
        <w:rPr>
          <w:rFonts w:hint="eastAsia" w:ascii="宋体" w:hAnsi="宋体" w:eastAsia="宋体" w:cs="宋体"/>
          <w:sz w:val="24"/>
          <w:szCs w:val="24"/>
        </w:rPr>
      </w:pPr>
    </w:p>
    <w:p w14:paraId="3FFC01AB">
      <w:pPr>
        <w:rPr>
          <w:rFonts w:hint="eastAsia" w:ascii="宋体" w:hAnsi="宋体" w:eastAsia="宋体" w:cs="宋体"/>
          <w:sz w:val="24"/>
          <w:szCs w:val="24"/>
        </w:rPr>
      </w:pPr>
    </w:p>
    <w:p w14:paraId="68495978">
      <w:pPr>
        <w:rPr>
          <w:rFonts w:hint="eastAsia" w:ascii="宋体" w:hAnsi="宋体" w:eastAsia="宋体" w:cs="宋体"/>
          <w:sz w:val="24"/>
          <w:szCs w:val="24"/>
        </w:rPr>
      </w:pPr>
    </w:p>
    <w:p w14:paraId="2F5B57D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br w:type="page"/>
      </w:r>
    </w:p>
    <w:p w14:paraId="4FD7B91D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住房公积金业务系统开发运维服务附表</w:t>
      </w:r>
    </w:p>
    <w:tbl>
      <w:tblPr>
        <w:tblStyle w:val="3"/>
        <w:tblW w:w="89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2268"/>
        <w:gridCol w:w="5812"/>
      </w:tblGrid>
      <w:tr w14:paraId="30BFE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5551526D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268" w:type="dxa"/>
            <w:noWrap w:val="0"/>
            <w:vAlign w:val="center"/>
          </w:tcPr>
          <w:p w14:paraId="11A4E73C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服务内容</w:t>
            </w:r>
          </w:p>
        </w:tc>
        <w:tc>
          <w:tcPr>
            <w:tcW w:w="5812" w:type="dxa"/>
            <w:noWrap w:val="0"/>
            <w:vAlign w:val="center"/>
          </w:tcPr>
          <w:p w14:paraId="40DCA8A7">
            <w:pP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主要服务内容介绍</w:t>
            </w:r>
          </w:p>
        </w:tc>
      </w:tr>
      <w:tr w14:paraId="06C92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446FD26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268" w:type="dxa"/>
            <w:noWrap w:val="0"/>
            <w:vAlign w:val="center"/>
          </w:tcPr>
          <w:p w14:paraId="1711C59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归集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管理系统</w:t>
            </w:r>
          </w:p>
        </w:tc>
        <w:tc>
          <w:tcPr>
            <w:tcW w:w="5812" w:type="dxa"/>
            <w:noWrap w:val="0"/>
            <w:vAlign w:val="center"/>
          </w:tcPr>
          <w:p w14:paraId="74EA2F5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主要完成住房公积金的归集、变更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功能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。主要包括住房公积金的汇缴、补缴、挂账、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冲账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单位开户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、单位封存、单位缓缴、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开人开户、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个人封存、基数调整、异地转移接续等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操作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 w14:paraId="2378DC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0EE28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1160D3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268" w:type="dxa"/>
            <w:noWrap w:val="0"/>
            <w:vAlign w:val="center"/>
          </w:tcPr>
          <w:p w14:paraId="3934E9D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提取管理系统</w:t>
            </w:r>
          </w:p>
        </w:tc>
        <w:tc>
          <w:tcPr>
            <w:tcW w:w="5812" w:type="dxa"/>
            <w:noWrap w:val="0"/>
            <w:vAlign w:val="center"/>
          </w:tcPr>
          <w:p w14:paraId="09E9369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主要完成住房公积金的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取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转移等功能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主要包括购建房提取、租房提取、偿还住房贷款提取、离退休提取等操作。</w:t>
            </w:r>
          </w:p>
          <w:p w14:paraId="1CD82486">
            <w:pPr>
              <w:pStyle w:val="2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3CF02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13CE605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268" w:type="dxa"/>
            <w:noWrap w:val="0"/>
            <w:vAlign w:val="center"/>
          </w:tcPr>
          <w:p w14:paraId="7654C9A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个人贷款管理系统</w:t>
            </w:r>
          </w:p>
        </w:tc>
        <w:tc>
          <w:tcPr>
            <w:tcW w:w="5812" w:type="dxa"/>
            <w:noWrap w:val="0"/>
            <w:vAlign w:val="center"/>
          </w:tcPr>
          <w:p w14:paraId="75C1DF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主要完成住房公积金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贷款的管理功能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包括开发商建档、准贷楼盘建档，个人住房贷款的申请、审批、还贷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贷款管理等操作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 w14:paraId="3756F5F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213F8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228B361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268" w:type="dxa"/>
            <w:noWrap w:val="0"/>
            <w:vAlign w:val="center"/>
          </w:tcPr>
          <w:p w14:paraId="2768AE9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会计核算管理系统</w:t>
            </w:r>
          </w:p>
        </w:tc>
        <w:tc>
          <w:tcPr>
            <w:tcW w:w="5812" w:type="dxa"/>
            <w:noWrap w:val="0"/>
            <w:vAlign w:val="center"/>
          </w:tcPr>
          <w:p w14:paraId="152EE61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主要完成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会计科目设置、科目余额设置、凭证录入、修改、审核、入帐、查询、结帐、核算、打印帐簿报表等功能。</w:t>
            </w:r>
          </w:p>
          <w:p w14:paraId="4EA46A1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36022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4910F9B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268" w:type="dxa"/>
            <w:noWrap w:val="0"/>
            <w:vAlign w:val="center"/>
          </w:tcPr>
          <w:p w14:paraId="2805B57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资金管理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系统</w:t>
            </w:r>
          </w:p>
        </w:tc>
        <w:tc>
          <w:tcPr>
            <w:tcW w:w="5812" w:type="dxa"/>
            <w:noWrap w:val="0"/>
            <w:vAlign w:val="center"/>
          </w:tcPr>
          <w:p w14:paraId="31E746B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主要完成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贷款、提取等业务的资金调拔审批、调度、结算和投资管理功能，并对国债、定期、手续费管理、资金清算、账户设置业务形成一套规范管理体系。</w:t>
            </w:r>
          </w:p>
          <w:p w14:paraId="1A8BB16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4EAF1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41D6E5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268" w:type="dxa"/>
            <w:noWrap w:val="0"/>
            <w:vAlign w:val="center"/>
          </w:tcPr>
          <w:p w14:paraId="3CD5CD3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其他住房资金管理系统</w:t>
            </w:r>
          </w:p>
        </w:tc>
        <w:tc>
          <w:tcPr>
            <w:tcW w:w="5812" w:type="dxa"/>
            <w:noWrap w:val="0"/>
            <w:vAlign w:val="center"/>
          </w:tcPr>
          <w:p w14:paraId="4252FB8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主要完成其他住房资金的单位开户、资金缴纳、支取审批等功能。</w:t>
            </w:r>
          </w:p>
          <w:p w14:paraId="41DEF9F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28A9F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2FCBA7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268" w:type="dxa"/>
            <w:noWrap w:val="0"/>
            <w:vAlign w:val="center"/>
          </w:tcPr>
          <w:p w14:paraId="55E601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住房补贴管理系统</w:t>
            </w:r>
          </w:p>
        </w:tc>
        <w:tc>
          <w:tcPr>
            <w:tcW w:w="5812" w:type="dxa"/>
            <w:noWrap w:val="0"/>
            <w:vAlign w:val="center"/>
          </w:tcPr>
          <w:p w14:paraId="6328152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主要完成住房补贴的单位开户、个人开户、信息变更、资金缴纳、支取审批等功能。</w:t>
            </w:r>
          </w:p>
          <w:p w14:paraId="4C7ECA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4E583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14B2E7E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268" w:type="dxa"/>
            <w:noWrap w:val="0"/>
            <w:vAlign w:val="center"/>
          </w:tcPr>
          <w:p w14:paraId="0573D44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综合服务管理平台</w:t>
            </w:r>
          </w:p>
        </w:tc>
        <w:tc>
          <w:tcPr>
            <w:tcW w:w="5812" w:type="dxa"/>
            <w:noWrap w:val="0"/>
            <w:vAlign w:val="center"/>
          </w:tcPr>
          <w:p w14:paraId="2C47D9D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主要实现各服务渠道的服务部署、接入控制，启停管理和数据统计等功能。</w:t>
            </w:r>
          </w:p>
          <w:p w14:paraId="3F861C5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3615C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0975E61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268" w:type="dxa"/>
            <w:noWrap w:val="0"/>
            <w:vAlign w:val="center"/>
          </w:tcPr>
          <w:p w14:paraId="76D9A6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手机公积金APP</w:t>
            </w:r>
          </w:p>
        </w:tc>
        <w:tc>
          <w:tcPr>
            <w:tcW w:w="5812" w:type="dxa"/>
            <w:noWrap w:val="0"/>
            <w:vAlign w:val="center"/>
          </w:tcPr>
          <w:p w14:paraId="58FA0F4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手机app实现公积金归集、贷款查询，冲还贷、离退休提取等业务办理。</w:t>
            </w:r>
          </w:p>
          <w:p w14:paraId="57B2FC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3CB0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23C9913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268" w:type="dxa"/>
            <w:noWrap w:val="0"/>
            <w:vAlign w:val="center"/>
          </w:tcPr>
          <w:p w14:paraId="07FC2BE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网上业务大厅</w:t>
            </w:r>
          </w:p>
        </w:tc>
        <w:tc>
          <w:tcPr>
            <w:tcW w:w="5812" w:type="dxa"/>
            <w:noWrap w:val="0"/>
            <w:vAlign w:val="center"/>
          </w:tcPr>
          <w:p w14:paraId="04C8A40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网上业务大厅系统是住房公积金管理中心为单位、缴存职工建立的一个网上业务办理服务平台，达到单位住房公积金业务与中心实时互动，查询公积金缴存业务资金到账情况。</w:t>
            </w:r>
          </w:p>
          <w:p w14:paraId="11DB77D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★必须在现有系统框架、系统设计、数据库库表结构基础上进行开发运维服务。 </w:t>
            </w:r>
          </w:p>
        </w:tc>
      </w:tr>
      <w:tr w14:paraId="09651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2AFA9BF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268" w:type="dxa"/>
            <w:noWrap w:val="0"/>
            <w:vAlign w:val="center"/>
          </w:tcPr>
          <w:p w14:paraId="637CF8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短信平台</w:t>
            </w:r>
          </w:p>
        </w:tc>
        <w:tc>
          <w:tcPr>
            <w:tcW w:w="5812" w:type="dxa"/>
            <w:noWrap w:val="0"/>
            <w:vAlign w:val="center"/>
          </w:tcPr>
          <w:p w14:paraId="7E594A9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短信平台接口，实现汇缴职工短信收发功能。</w:t>
            </w:r>
          </w:p>
          <w:p w14:paraId="58D4700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3E47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11B1FF8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268" w:type="dxa"/>
            <w:noWrap w:val="0"/>
            <w:vAlign w:val="center"/>
          </w:tcPr>
          <w:p w14:paraId="543CF59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流程服务</w:t>
            </w:r>
          </w:p>
        </w:tc>
        <w:tc>
          <w:tcPr>
            <w:tcW w:w="5812" w:type="dxa"/>
            <w:noWrap w:val="0"/>
            <w:vAlign w:val="center"/>
          </w:tcPr>
          <w:p w14:paraId="0234310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集中管理、定义、再造流程，实现全流程化管理，包括了流程定义、流程规则、流程执行、流程监控等部分，是业务协同的核心。通过流程定义、流程运行规则定义、流程审计和监控，来完成业务需求、运行条件的直接描述，并提供业务操作者、审批者、审计者、被服务对象的直接信息关联和交互。</w:t>
            </w:r>
          </w:p>
          <w:p w14:paraId="045AEA6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6370B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618FE5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268" w:type="dxa"/>
            <w:noWrap w:val="0"/>
            <w:vAlign w:val="center"/>
          </w:tcPr>
          <w:p w14:paraId="33EA31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稽核审计</w:t>
            </w:r>
          </w:p>
        </w:tc>
        <w:tc>
          <w:tcPr>
            <w:tcW w:w="5812" w:type="dxa"/>
            <w:noWrap w:val="0"/>
            <w:vAlign w:val="center"/>
          </w:tcPr>
          <w:p w14:paraId="052B969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稽核审计主要实现：业务报表、业务查询、财务报表、财务分析、凭证查询、资金流水、稽核报表</w:t>
            </w:r>
          </w:p>
          <w:p w14:paraId="44F2BA2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62CA5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43BF5C6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268" w:type="dxa"/>
            <w:noWrap w:val="0"/>
            <w:vAlign w:val="center"/>
          </w:tcPr>
          <w:p w14:paraId="4939554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行政办公</w:t>
            </w:r>
          </w:p>
        </w:tc>
        <w:tc>
          <w:tcPr>
            <w:tcW w:w="5812" w:type="dxa"/>
            <w:noWrap w:val="0"/>
            <w:vAlign w:val="center"/>
          </w:tcPr>
          <w:p w14:paraId="6DB11FF8">
            <w:pPr>
              <w:spacing w:line="30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主要实现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收发文管理，通知公告等功能。</w:t>
            </w:r>
          </w:p>
          <w:p w14:paraId="2C924F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2962F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70D55FC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268" w:type="dxa"/>
            <w:noWrap w:val="0"/>
            <w:vAlign w:val="center"/>
          </w:tcPr>
          <w:p w14:paraId="2725CBC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省监管服务平台</w:t>
            </w:r>
          </w:p>
        </w:tc>
        <w:tc>
          <w:tcPr>
            <w:tcW w:w="5812" w:type="dxa"/>
            <w:noWrap w:val="0"/>
            <w:vAlign w:val="center"/>
          </w:tcPr>
          <w:p w14:paraId="5867693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接入省监管服务平台，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实现对公积金业务的监督管理、大额资金预警等功能。</w:t>
            </w:r>
          </w:p>
          <w:p w14:paraId="79A31B2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644D2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6B2BD9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268" w:type="dxa"/>
            <w:noWrap w:val="0"/>
            <w:vAlign w:val="center"/>
          </w:tcPr>
          <w:p w14:paraId="06808A6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住建部（税务）数据上报系统</w:t>
            </w:r>
          </w:p>
        </w:tc>
        <w:tc>
          <w:tcPr>
            <w:tcW w:w="5812" w:type="dxa"/>
            <w:noWrap w:val="0"/>
            <w:vAlign w:val="center"/>
          </w:tcPr>
          <w:p w14:paraId="093A4AD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住建部全国住房公积金数据平台的接入和数据上报功能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 w14:paraId="371125F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1F9EC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5A7B233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268" w:type="dxa"/>
            <w:noWrap w:val="0"/>
            <w:vAlign w:val="center"/>
          </w:tcPr>
          <w:p w14:paraId="0F13660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征信上报与查询系统</w:t>
            </w:r>
          </w:p>
        </w:tc>
        <w:tc>
          <w:tcPr>
            <w:tcW w:w="5812" w:type="dxa"/>
            <w:noWrap w:val="0"/>
            <w:vAlign w:val="center"/>
          </w:tcPr>
          <w:p w14:paraId="6CF88AE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实现与人行报送征信数据系统的运维与拓展服务。</w:t>
            </w:r>
          </w:p>
          <w:p w14:paraId="2F17BAA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60624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01F8690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268" w:type="dxa"/>
            <w:noWrap w:val="0"/>
            <w:vAlign w:val="center"/>
          </w:tcPr>
          <w:p w14:paraId="545D098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支付宝城市服务接口</w:t>
            </w:r>
          </w:p>
        </w:tc>
        <w:tc>
          <w:tcPr>
            <w:tcW w:w="5812" w:type="dxa"/>
            <w:noWrap w:val="0"/>
            <w:vAlign w:val="center"/>
          </w:tcPr>
          <w:p w14:paraId="4993C70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支付宝城市服务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接口的运维与拓展服务。</w:t>
            </w:r>
          </w:p>
          <w:p w14:paraId="48610F3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46C26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3F5D841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268" w:type="dxa"/>
            <w:noWrap w:val="0"/>
            <w:vAlign w:val="center"/>
          </w:tcPr>
          <w:p w14:paraId="23E15F0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微信接口</w:t>
            </w:r>
          </w:p>
        </w:tc>
        <w:tc>
          <w:tcPr>
            <w:tcW w:w="5812" w:type="dxa"/>
            <w:noWrap w:val="0"/>
            <w:vAlign w:val="center"/>
          </w:tcPr>
          <w:p w14:paraId="38ED774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微信公众号的服务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接口的运维与拓展服务。</w:t>
            </w:r>
          </w:p>
          <w:p w14:paraId="7632410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1508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219E345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268" w:type="dxa"/>
            <w:noWrap w:val="0"/>
            <w:vAlign w:val="center"/>
          </w:tcPr>
          <w:p w14:paraId="5098413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房改办住房补贴接口</w:t>
            </w:r>
          </w:p>
        </w:tc>
        <w:tc>
          <w:tcPr>
            <w:tcW w:w="5812" w:type="dxa"/>
            <w:noWrap w:val="0"/>
            <w:vAlign w:val="center"/>
          </w:tcPr>
          <w:p w14:paraId="256BF34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房改办住房补贴共享数据服务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接口的运维与拓展服务。</w:t>
            </w:r>
          </w:p>
          <w:p w14:paraId="6E08C58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66158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628982F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268" w:type="dxa"/>
            <w:noWrap w:val="0"/>
            <w:vAlign w:val="center"/>
          </w:tcPr>
          <w:p w14:paraId="771455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一网通办数据共享系统、一网通办APP接口与一网通办大数据局接口服务</w:t>
            </w:r>
          </w:p>
        </w:tc>
        <w:tc>
          <w:tcPr>
            <w:tcW w:w="5812" w:type="dxa"/>
            <w:noWrap w:val="0"/>
            <w:vAlign w:val="center"/>
          </w:tcPr>
          <w:p w14:paraId="772F7CD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一网通办APP接口和一网通办大数据共享服务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接口的运维与拓展服务。</w:t>
            </w:r>
          </w:p>
          <w:p w14:paraId="00EBD79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26166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057085C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268" w:type="dxa"/>
            <w:noWrap w:val="0"/>
            <w:vAlign w:val="center"/>
          </w:tcPr>
          <w:p w14:paraId="4705F93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商业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银行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贷款查询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接口</w:t>
            </w:r>
          </w:p>
        </w:tc>
        <w:tc>
          <w:tcPr>
            <w:tcW w:w="5812" w:type="dxa"/>
            <w:noWrap w:val="0"/>
            <w:vAlign w:val="center"/>
          </w:tcPr>
          <w:p w14:paraId="03AC3D7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实现与各合作银行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商贷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查询接口的运维与拓展服务。</w:t>
            </w:r>
          </w:p>
          <w:p w14:paraId="0892AC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  <w:tr w14:paraId="37E10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52" w:type="dxa"/>
            <w:noWrap w:val="0"/>
            <w:vAlign w:val="center"/>
          </w:tcPr>
          <w:p w14:paraId="7FA70EC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268" w:type="dxa"/>
            <w:noWrap w:val="0"/>
            <w:vAlign w:val="center"/>
          </w:tcPr>
          <w:p w14:paraId="46C573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行政执法</w:t>
            </w:r>
          </w:p>
        </w:tc>
        <w:tc>
          <w:tcPr>
            <w:tcW w:w="5812" w:type="dxa"/>
            <w:noWrap w:val="0"/>
            <w:vAlign w:val="center"/>
          </w:tcPr>
          <w:p w14:paraId="13A0545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主要业务功能包括冻结、解冻、扣划、单位催缴、单位催建、执法人员管理、黑名单管理、贷款逾期黑名单、个人冻结。</w:t>
            </w:r>
          </w:p>
          <w:p w14:paraId="65AA101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★必须在现有系统框架、系统设计、数据库库表结构基础上进行开发运维服务。</w:t>
            </w:r>
          </w:p>
        </w:tc>
      </w:tr>
    </w:tbl>
    <w:p w14:paraId="65B08CFB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NkMDkwZDhlNDFjYzA5ZWNhNjA0YzI5OTM4OTU5ZGIifQ=="/>
  </w:docVars>
  <w:rsids>
    <w:rsidRoot w:val="50EF2E97"/>
    <w:rsid w:val="280753C6"/>
    <w:rsid w:val="294D0D2F"/>
    <w:rsid w:val="2C0A7326"/>
    <w:rsid w:val="2E8D00ED"/>
    <w:rsid w:val="3E7B3B17"/>
    <w:rsid w:val="472D5406"/>
    <w:rsid w:val="50EF2E97"/>
    <w:rsid w:val="522471F7"/>
    <w:rsid w:val="56A66EF5"/>
    <w:rsid w:val="61A643E0"/>
    <w:rsid w:val="681C65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3714</Words>
  <Characters>3864</Characters>
  <Lines>0</Lines>
  <Paragraphs>0</Paragraphs>
  <TotalTime>1363</TotalTime>
  <ScaleCrop>false</ScaleCrop>
  <LinksUpToDate>false</LinksUpToDate>
  <CharactersWithSpaces>3884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2020-07-07T08:29:00Z</dcterms:created>
  <dc:creator>tao</dc:creator>
  <cp:lastModifiedBy>花若怜°</cp:lastModifiedBy>
  <dcterms:modified xsi:type="dcterms:W3CDTF">2025-08-12T08:01:23Z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ICV">
    <vt:lpwstr>37C15DBA9F904732912ED8BC3C0A7863_13</vt:lpwstr>
  </property>
  <property fmtid="{D5CDD505-2E9C-101B-9397-08002B2CF9AE}" pid="4" name="KSOTemplateDocerSaveRecord">
    <vt:lpwstr>eyJoZGlkIjoiMWFhNzg5NzlkMTk3YWQ4N2EwOGQ1MDhkYTZmYzcxNWUiLCJ1c2VySWQiOiIyNTc2ODQ5MzkifQ==</vt:lpwstr>
  </property>
</Properties>
</file>