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AC50F">
      <w:pPr>
        <w:keepLines w:val="0"/>
        <w:pageBreakBefore w:val="0"/>
        <w:kinsoku/>
        <w:bidi w:val="0"/>
        <w:spacing w:line="360" w:lineRule="auto"/>
        <w:rPr>
          <w:rFonts w:hint="eastAsia" w:ascii="宋体" w:hAnsi="宋体" w:eastAsia="宋体" w:cs="宋体"/>
          <w:b/>
          <w:bCs/>
          <w:color w:val="auto"/>
          <w:sz w:val="28"/>
          <w:szCs w:val="28"/>
          <w:highlight w:val="none"/>
        </w:rPr>
      </w:pPr>
    </w:p>
    <w:p w14:paraId="51F42281">
      <w:pPr>
        <w:keepLines w:val="0"/>
        <w:pageBreakBefore w:val="0"/>
        <w:kinsoku/>
        <w:bidi w:val="0"/>
        <w:spacing w:line="360" w:lineRule="auto"/>
        <w:rPr>
          <w:rFonts w:hint="eastAsia" w:ascii="宋体" w:hAnsi="宋体" w:eastAsia="宋体" w:cs="宋体"/>
          <w:b/>
          <w:bCs/>
          <w:color w:val="auto"/>
          <w:sz w:val="28"/>
          <w:szCs w:val="28"/>
          <w:highlight w:val="none"/>
        </w:rPr>
      </w:pPr>
    </w:p>
    <w:p w14:paraId="5FDD4B59">
      <w:pPr>
        <w:keepLines w:val="0"/>
        <w:pageBreakBefore w:val="0"/>
        <w:kinsoku/>
        <w:bidi w:val="0"/>
        <w:spacing w:line="360" w:lineRule="auto"/>
        <w:rPr>
          <w:rFonts w:hint="eastAsia" w:ascii="宋体" w:hAnsi="宋体" w:eastAsia="宋体" w:cs="宋体"/>
          <w:b/>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eastAsia="zh-CN"/>
        </w:rPr>
        <w:t>ZFCG-泾阳县-2025-00009</w:t>
      </w:r>
    </w:p>
    <w:p w14:paraId="369F47EE">
      <w:pPr>
        <w:pStyle w:val="5"/>
        <w:keepLines w:val="0"/>
        <w:pageBreakBefore w:val="0"/>
        <w:kinsoku/>
        <w:bidi w:val="0"/>
        <w:spacing w:line="360" w:lineRule="auto"/>
        <w:jc w:val="both"/>
        <w:rPr>
          <w:rFonts w:hint="eastAsia" w:ascii="宋体" w:hAnsi="宋体" w:eastAsia="宋体" w:cs="宋体"/>
          <w:color w:val="auto"/>
          <w:highlight w:val="none"/>
        </w:rPr>
      </w:pPr>
    </w:p>
    <w:p w14:paraId="0A6B0135">
      <w:pPr>
        <w:keepLines w:val="0"/>
        <w:pageBreakBefore w:val="0"/>
        <w:kinsoku/>
        <w:bidi w:val="0"/>
        <w:spacing w:line="360" w:lineRule="auto"/>
        <w:rPr>
          <w:rFonts w:hint="eastAsia" w:ascii="宋体" w:hAnsi="宋体" w:eastAsia="宋体" w:cs="宋体"/>
          <w:color w:val="auto"/>
          <w:highlight w:val="none"/>
        </w:rPr>
      </w:pPr>
    </w:p>
    <w:p w14:paraId="4D6605C1">
      <w:pPr>
        <w:pStyle w:val="48"/>
        <w:keepLines w:val="0"/>
        <w:pageBreakBefore w:val="0"/>
        <w:kinsoku/>
        <w:bidi w:val="0"/>
        <w:spacing w:line="360" w:lineRule="auto"/>
        <w:rPr>
          <w:rFonts w:hint="eastAsia" w:ascii="宋体" w:hAnsi="宋体" w:eastAsia="宋体" w:cs="宋体"/>
          <w:color w:val="auto"/>
          <w:highlight w:val="none"/>
        </w:rPr>
      </w:pPr>
    </w:p>
    <w:p w14:paraId="44600871">
      <w:pPr>
        <w:keepLines w:val="0"/>
        <w:pageBreakBefore w:val="0"/>
        <w:kinsoku/>
        <w:bidi w:val="0"/>
        <w:spacing w:line="360" w:lineRule="auto"/>
        <w:jc w:val="center"/>
        <w:rPr>
          <w:rFonts w:hint="eastAsia" w:ascii="宋体" w:hAnsi="宋体" w:eastAsia="宋体" w:cs="宋体"/>
          <w:b/>
          <w:bCs/>
          <w:color w:val="auto"/>
          <w:sz w:val="56"/>
          <w:szCs w:val="56"/>
          <w:highlight w:val="none"/>
          <w:lang w:eastAsia="zh-CN"/>
        </w:rPr>
      </w:pPr>
      <w:r>
        <w:rPr>
          <w:rFonts w:hint="eastAsia" w:ascii="宋体" w:hAnsi="宋体" w:cs="宋体"/>
          <w:b/>
          <w:bCs/>
          <w:color w:val="auto"/>
          <w:sz w:val="56"/>
          <w:szCs w:val="56"/>
          <w:highlight w:val="none"/>
          <w:lang w:eastAsia="zh-CN"/>
        </w:rPr>
        <w:t>泾干中学功能部室改造工程</w:t>
      </w:r>
    </w:p>
    <w:p w14:paraId="0967B779">
      <w:pPr>
        <w:pStyle w:val="36"/>
        <w:ind w:left="0" w:leftChars="0" w:firstLine="0" w:firstLineChars="0"/>
        <w:rPr>
          <w:rFonts w:hint="eastAsia" w:ascii="宋体" w:hAnsi="宋体" w:eastAsia="宋体" w:cs="宋体"/>
          <w:color w:val="auto"/>
          <w:highlight w:val="none"/>
          <w:lang w:eastAsia="zh-CN"/>
        </w:rPr>
      </w:pPr>
    </w:p>
    <w:p w14:paraId="5E904587">
      <w:pPr>
        <w:pStyle w:val="35"/>
        <w:ind w:left="0" w:leftChars="0" w:firstLine="0" w:firstLineChars="0"/>
        <w:rPr>
          <w:rFonts w:hint="eastAsia" w:ascii="宋体" w:hAnsi="宋体" w:eastAsia="宋体" w:cs="宋体"/>
          <w:color w:val="auto"/>
          <w:highlight w:val="none"/>
          <w:lang w:eastAsia="zh-CN"/>
        </w:rPr>
      </w:pPr>
    </w:p>
    <w:p w14:paraId="3584C874">
      <w:pPr>
        <w:pStyle w:val="36"/>
        <w:rPr>
          <w:rFonts w:hint="eastAsia" w:ascii="宋体" w:hAnsi="宋体" w:eastAsia="宋体" w:cs="宋体"/>
          <w:color w:val="auto"/>
          <w:lang w:eastAsia="zh-CN"/>
        </w:rPr>
      </w:pPr>
    </w:p>
    <w:p w14:paraId="49977722">
      <w:pPr>
        <w:rPr>
          <w:rFonts w:hint="eastAsia" w:ascii="宋体" w:hAnsi="宋体" w:eastAsia="宋体" w:cs="宋体"/>
          <w:color w:val="auto"/>
          <w:highlight w:val="none"/>
        </w:rPr>
      </w:pPr>
    </w:p>
    <w:p w14:paraId="37CCE62E">
      <w:pPr>
        <w:rPr>
          <w:rFonts w:hint="eastAsia" w:ascii="宋体" w:hAnsi="宋体" w:eastAsia="宋体" w:cs="宋体"/>
          <w:color w:val="auto"/>
          <w:highlight w:val="none"/>
        </w:rPr>
      </w:pPr>
    </w:p>
    <w:p w14:paraId="0E98B81F">
      <w:pPr>
        <w:rPr>
          <w:rFonts w:hint="eastAsia" w:ascii="宋体" w:hAnsi="宋体" w:eastAsia="宋体" w:cs="宋体"/>
          <w:color w:val="auto"/>
          <w:highlight w:val="none"/>
        </w:rPr>
      </w:pPr>
    </w:p>
    <w:p w14:paraId="62DB1CA5">
      <w:pPr>
        <w:keepLines w:val="0"/>
        <w:pageBreakBefore w:val="0"/>
        <w:kinsoku/>
        <w:bidi w:val="0"/>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竞争性磋商文件</w:t>
      </w:r>
    </w:p>
    <w:p w14:paraId="2930F9B9">
      <w:pPr>
        <w:keepLines w:val="0"/>
        <w:pageBreakBefore w:val="0"/>
        <w:tabs>
          <w:tab w:val="left" w:pos="5670"/>
        </w:tabs>
        <w:kinsoku/>
        <w:autoSpaceDE w:val="0"/>
        <w:autoSpaceDN w:val="0"/>
        <w:bidi w:val="0"/>
        <w:adjustRightInd w:val="0"/>
        <w:snapToGrid w:val="0"/>
        <w:spacing w:line="360" w:lineRule="auto"/>
        <w:jc w:val="center"/>
        <w:rPr>
          <w:rFonts w:hint="eastAsia" w:ascii="宋体" w:hAnsi="宋体" w:eastAsia="宋体" w:cs="宋体"/>
          <w:color w:val="auto"/>
          <w:sz w:val="28"/>
          <w:szCs w:val="28"/>
          <w:highlight w:val="none"/>
        </w:rPr>
      </w:pPr>
    </w:p>
    <w:p w14:paraId="7015E370">
      <w:pPr>
        <w:pStyle w:val="16"/>
        <w:rPr>
          <w:rFonts w:hint="eastAsia" w:ascii="宋体" w:hAnsi="宋体" w:eastAsia="宋体" w:cs="宋体"/>
          <w:color w:val="auto"/>
        </w:rPr>
      </w:pPr>
    </w:p>
    <w:p w14:paraId="597691F0">
      <w:pPr>
        <w:pStyle w:val="16"/>
        <w:keepLines w:val="0"/>
        <w:pageBreakBefore w:val="0"/>
        <w:kinsoku/>
        <w:bidi w:val="0"/>
        <w:spacing w:line="360" w:lineRule="auto"/>
        <w:rPr>
          <w:rFonts w:hint="eastAsia" w:ascii="宋体" w:hAnsi="宋体" w:eastAsia="宋体" w:cs="宋体"/>
          <w:color w:val="auto"/>
          <w:sz w:val="28"/>
          <w:szCs w:val="28"/>
          <w:highlight w:val="none"/>
        </w:rPr>
      </w:pPr>
    </w:p>
    <w:p w14:paraId="308C8FDE">
      <w:pPr>
        <w:rPr>
          <w:rFonts w:hint="eastAsia" w:ascii="宋体" w:hAnsi="宋体" w:eastAsia="宋体" w:cs="宋体"/>
          <w:color w:val="auto"/>
          <w:sz w:val="28"/>
          <w:szCs w:val="28"/>
          <w:highlight w:val="none"/>
        </w:rPr>
      </w:pPr>
    </w:p>
    <w:p w14:paraId="0086228B">
      <w:pPr>
        <w:rPr>
          <w:rFonts w:hint="eastAsia" w:ascii="宋体" w:hAnsi="宋体" w:eastAsia="宋体" w:cs="宋体"/>
          <w:color w:val="auto"/>
          <w:sz w:val="28"/>
          <w:szCs w:val="28"/>
          <w:highlight w:val="none"/>
        </w:rPr>
      </w:pPr>
    </w:p>
    <w:p w14:paraId="1FFF0E3F">
      <w:pPr>
        <w:keepLines w:val="0"/>
        <w:pageBreakBefore w:val="0"/>
        <w:kinsoku/>
        <w:bidi w:val="0"/>
        <w:spacing w:line="360" w:lineRule="auto"/>
        <w:rPr>
          <w:rFonts w:hint="eastAsia" w:ascii="宋体" w:hAnsi="宋体" w:eastAsia="宋体" w:cs="宋体"/>
          <w:b/>
          <w:color w:val="auto"/>
          <w:sz w:val="36"/>
          <w:szCs w:val="36"/>
          <w:highlight w:val="none"/>
        </w:rPr>
      </w:pPr>
    </w:p>
    <w:p w14:paraId="350AFF66">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color w:val="auto"/>
          <w:sz w:val="36"/>
          <w:szCs w:val="36"/>
          <w:highlight w:val="none"/>
          <w:lang w:eastAsia="zh-CN"/>
        </w:rPr>
      </w:pPr>
      <w:r>
        <w:rPr>
          <w:rFonts w:hint="eastAsia" w:ascii="宋体" w:hAnsi="宋体" w:eastAsia="宋体" w:cs="宋体"/>
          <w:b/>
          <w:color w:val="auto"/>
          <w:sz w:val="36"/>
          <w:szCs w:val="36"/>
          <w:highlight w:val="none"/>
        </w:rPr>
        <w:t>采购人：</w:t>
      </w:r>
      <w:r>
        <w:rPr>
          <w:rFonts w:hint="eastAsia" w:ascii="宋体" w:hAnsi="宋体" w:cs="宋体"/>
          <w:b/>
          <w:color w:val="auto"/>
          <w:sz w:val="36"/>
          <w:szCs w:val="36"/>
          <w:highlight w:val="none"/>
          <w:lang w:eastAsia="zh-CN"/>
        </w:rPr>
        <w:t>泾阳县泾干中学</w:t>
      </w:r>
    </w:p>
    <w:p w14:paraId="3A97C649">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采购代理机构：</w:t>
      </w:r>
      <w:r>
        <w:rPr>
          <w:rFonts w:hint="eastAsia" w:ascii="宋体" w:hAnsi="宋体" w:cs="宋体"/>
          <w:b/>
          <w:color w:val="auto"/>
          <w:sz w:val="36"/>
          <w:szCs w:val="36"/>
          <w:highlight w:val="none"/>
          <w:lang w:eastAsia="zh-CN"/>
        </w:rPr>
        <w:t>泾阳县政府采购中心</w:t>
      </w:r>
    </w:p>
    <w:p w14:paraId="3851B19F">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36"/>
          <w:szCs w:val="36"/>
          <w:highlight w:val="none"/>
          <w:lang w:val="zh-CN"/>
        </w:rPr>
      </w:pPr>
      <w:r>
        <w:rPr>
          <w:rFonts w:hint="eastAsia" w:ascii="宋体" w:hAnsi="宋体" w:eastAsia="宋体" w:cs="宋体"/>
          <w:b/>
          <w:color w:val="auto"/>
          <w:sz w:val="36"/>
          <w:szCs w:val="36"/>
          <w:highlight w:val="none"/>
        </w:rPr>
        <w:t>二〇二</w:t>
      </w:r>
      <w:r>
        <w:rPr>
          <w:rFonts w:hint="eastAsia" w:ascii="宋体" w:hAnsi="宋体" w:cs="宋体"/>
          <w:b/>
          <w:color w:val="auto"/>
          <w:sz w:val="36"/>
          <w:szCs w:val="36"/>
          <w:highlight w:val="none"/>
          <w:lang w:val="en-US" w:eastAsia="zh-CN"/>
        </w:rPr>
        <w:t>五</w:t>
      </w:r>
      <w:r>
        <w:rPr>
          <w:rFonts w:hint="eastAsia" w:ascii="宋体" w:hAnsi="宋体" w:eastAsia="宋体" w:cs="宋体"/>
          <w:b/>
          <w:color w:val="auto"/>
          <w:sz w:val="36"/>
          <w:szCs w:val="36"/>
          <w:highlight w:val="none"/>
        </w:rPr>
        <w:t>年</w:t>
      </w:r>
      <w:r>
        <w:rPr>
          <w:rFonts w:hint="eastAsia" w:ascii="宋体" w:hAnsi="宋体" w:cs="宋体"/>
          <w:b/>
          <w:color w:val="auto"/>
          <w:sz w:val="36"/>
          <w:szCs w:val="36"/>
          <w:highlight w:val="none"/>
          <w:lang w:val="en-US" w:eastAsia="zh-CN"/>
        </w:rPr>
        <w:t>七</w:t>
      </w:r>
      <w:r>
        <w:rPr>
          <w:rFonts w:hint="eastAsia" w:ascii="宋体" w:hAnsi="宋体" w:eastAsia="宋体" w:cs="宋体"/>
          <w:b/>
          <w:color w:val="auto"/>
          <w:sz w:val="36"/>
          <w:szCs w:val="36"/>
          <w:highlight w:val="none"/>
        </w:rPr>
        <w:t>月</w:t>
      </w:r>
    </w:p>
    <w:p w14:paraId="3A10FBA6">
      <w:pPr>
        <w:keepLines w:val="0"/>
        <w:pageBreakBefore w:val="0"/>
        <w:kinsoku/>
        <w:autoSpaceDE w:val="0"/>
        <w:autoSpaceDN w:val="0"/>
        <w:bidi w:val="0"/>
        <w:adjustRightInd w:val="0"/>
        <w:snapToGrid w:val="0"/>
        <w:spacing w:line="360" w:lineRule="auto"/>
        <w:jc w:val="center"/>
        <w:rPr>
          <w:rFonts w:hint="eastAsia" w:ascii="宋体" w:hAnsi="宋体" w:eastAsia="宋体" w:cs="宋体"/>
          <w:b/>
          <w:bCs/>
          <w:color w:val="auto"/>
          <w:sz w:val="28"/>
          <w:szCs w:val="28"/>
          <w:highlight w:val="none"/>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Borders>
            <w:top w:val="none" w:sz="0" w:space="0"/>
            <w:left w:val="none" w:sz="0" w:space="0"/>
            <w:bottom w:val="none" w:sz="0" w:space="0"/>
            <w:right w:val="none" w:sz="0" w:space="0"/>
          </w:pgBorders>
          <w:pgNumType w:start="0"/>
          <w:cols w:space="425" w:num="1"/>
          <w:titlePg/>
          <w:docGrid w:linePitch="312" w:charSpace="0"/>
        </w:sectPr>
      </w:pPr>
    </w:p>
    <w:p w14:paraId="641849EB">
      <w:pPr>
        <w:keepLines w:val="0"/>
        <w:pageBreakBefore w:val="0"/>
        <w:kinsoku/>
        <w:autoSpaceDE w:val="0"/>
        <w:autoSpaceDN w:val="0"/>
        <w:bidi w:val="0"/>
        <w:adjustRightInd w:val="0"/>
        <w:snapToGrid w:val="0"/>
        <w:spacing w:line="360" w:lineRule="auto"/>
        <w:jc w:val="center"/>
        <w:rPr>
          <w:rFonts w:hint="eastAsia" w:ascii="宋体" w:hAnsi="宋体" w:eastAsia="宋体" w:cs="宋体"/>
          <w:b/>
          <w:bCs/>
          <w:color w:val="auto"/>
          <w:sz w:val="28"/>
          <w:szCs w:val="28"/>
          <w:highlight w:val="none"/>
          <w:lang w:val="zh-CN"/>
        </w:rPr>
      </w:pPr>
    </w:p>
    <w:p w14:paraId="1DDDED84">
      <w:pPr>
        <w:keepLines w:val="0"/>
        <w:pageBreakBefore w:val="0"/>
        <w:kinsoku/>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目录</w:t>
      </w:r>
    </w:p>
    <w:p w14:paraId="6AAE57BF">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bCs/>
          <w:color w:val="auto"/>
          <w:sz w:val="28"/>
          <w:szCs w:val="28"/>
          <w:highlight w:val="none"/>
          <w:lang w:val="zh-CN"/>
        </w:rPr>
      </w:pPr>
    </w:p>
    <w:p w14:paraId="18D0C097">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"1-1"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_Toc4041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val="zh-CN"/>
        </w:rPr>
        <w:t>第一章</w:t>
      </w:r>
      <w:r>
        <w:rPr>
          <w:rFonts w:hint="eastAsia" w:ascii="宋体" w:hAnsi="宋体" w:eastAsia="宋体" w:cs="宋体"/>
          <w:bCs/>
          <w:szCs w:val="36"/>
          <w:highlight w:val="none"/>
          <w:lang w:val="en-US" w:eastAsia="zh-CN"/>
        </w:rPr>
        <w:t xml:space="preserve"> </w:t>
      </w:r>
      <w:r>
        <w:rPr>
          <w:rFonts w:hint="eastAsia" w:ascii="宋体" w:hAnsi="宋体" w:eastAsia="宋体" w:cs="宋体"/>
          <w:bCs/>
          <w:szCs w:val="36"/>
          <w:highlight w:val="none"/>
          <w:lang w:val="zh-CN"/>
        </w:rPr>
        <w:t>竞争性磋商公告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_Toc4041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color w:val="auto"/>
          <w:szCs w:val="24"/>
          <w:highlight w:val="none"/>
        </w:rPr>
        <w:fldChar w:fldCharType="end"/>
      </w:r>
    </w:p>
    <w:p w14:paraId="11DE003F">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_Toc14736 </w:instrText>
      </w:r>
      <w:r>
        <w:rPr>
          <w:rFonts w:hint="eastAsia" w:ascii="宋体" w:hAnsi="宋体" w:eastAsia="宋体" w:cs="宋体"/>
          <w:bCs/>
          <w:szCs w:val="24"/>
          <w:highlight w:val="none"/>
        </w:rPr>
        <w:fldChar w:fldCharType="separate"/>
      </w:r>
      <w:r>
        <w:rPr>
          <w:rFonts w:hint="eastAsia" w:ascii="宋体" w:hAnsi="宋体" w:eastAsia="宋体" w:cs="宋体"/>
          <w:szCs w:val="36"/>
          <w:highlight w:val="none"/>
          <w:lang w:val="en-US" w:eastAsia="zh-CN"/>
        </w:rPr>
        <w:t xml:space="preserve">第二章 </w:t>
      </w:r>
      <w:r>
        <w:rPr>
          <w:rFonts w:hint="eastAsia" w:ascii="宋体" w:hAnsi="宋体" w:eastAsia="宋体" w:cs="宋体"/>
          <w:szCs w:val="36"/>
          <w:highlight w:val="none"/>
        </w:rPr>
        <w:t>竞争性磋商须知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_Toc14736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color w:val="auto"/>
          <w:szCs w:val="24"/>
          <w:highlight w:val="none"/>
        </w:rPr>
        <w:fldChar w:fldCharType="end"/>
      </w:r>
    </w:p>
    <w:p w14:paraId="6B27F75E">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_Toc27091 </w:instrText>
      </w:r>
      <w:r>
        <w:rPr>
          <w:rFonts w:hint="eastAsia" w:ascii="宋体" w:hAnsi="宋体" w:eastAsia="宋体" w:cs="宋体"/>
          <w:bCs/>
          <w:szCs w:val="24"/>
          <w:highlight w:val="none"/>
        </w:rPr>
        <w:fldChar w:fldCharType="separate"/>
      </w:r>
      <w:r>
        <w:rPr>
          <w:rFonts w:hint="eastAsia" w:ascii="宋体" w:hAnsi="宋体" w:eastAsia="宋体" w:cs="宋体"/>
          <w:szCs w:val="36"/>
          <w:highlight w:val="none"/>
          <w:lang w:val="en-US" w:eastAsia="zh-CN"/>
        </w:rPr>
        <w:t xml:space="preserve">第三章 </w:t>
      </w:r>
      <w:r>
        <w:rPr>
          <w:rFonts w:hint="eastAsia" w:ascii="宋体" w:hAnsi="宋体" w:eastAsia="宋体" w:cs="宋体"/>
          <w:szCs w:val="36"/>
          <w:highlight w:val="none"/>
          <w:lang w:val="zh-CN" w:eastAsia="zh-CN"/>
        </w:rPr>
        <w:t>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_Toc27091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color w:val="auto"/>
          <w:szCs w:val="24"/>
          <w:highlight w:val="none"/>
        </w:rPr>
        <w:fldChar w:fldCharType="end"/>
      </w:r>
    </w:p>
    <w:p w14:paraId="6FC21DC3">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_Toc7854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val="en-US" w:eastAsia="zh-CN"/>
        </w:rPr>
        <w:t>第四章 评审办法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_Toc7854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color w:val="auto"/>
          <w:szCs w:val="24"/>
          <w:highlight w:val="none"/>
        </w:rPr>
        <w:fldChar w:fldCharType="end"/>
      </w:r>
    </w:p>
    <w:p w14:paraId="7718D601">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_Toc1326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val="en-US" w:eastAsia="zh-CN"/>
        </w:rPr>
        <w:t xml:space="preserve">第五章 </w:t>
      </w:r>
      <w:r>
        <w:rPr>
          <w:rFonts w:hint="eastAsia" w:ascii="宋体" w:hAnsi="宋体" w:eastAsia="宋体" w:cs="宋体"/>
          <w:bCs/>
          <w:szCs w:val="36"/>
          <w:highlight w:val="none"/>
          <w:lang w:val="zh-CN" w:eastAsia="zh-CN"/>
        </w:rPr>
        <w:t>施工内容及技术要求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bCs/>
          <w:color w:val="auto"/>
          <w:szCs w:val="24"/>
          <w:highlight w:val="none"/>
        </w:rPr>
        <w:fldChar w:fldCharType="end"/>
      </w:r>
    </w:p>
    <w:p w14:paraId="45564A66">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_Toc9271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val="zh-CN"/>
        </w:rPr>
        <w:t>第</w:t>
      </w:r>
      <w:r>
        <w:rPr>
          <w:rFonts w:hint="eastAsia" w:ascii="宋体" w:hAnsi="宋体" w:eastAsia="宋体" w:cs="宋体"/>
          <w:bCs/>
          <w:szCs w:val="36"/>
          <w:highlight w:val="none"/>
          <w:lang w:val="en-US" w:eastAsia="zh-CN"/>
        </w:rPr>
        <w:t>六</w:t>
      </w:r>
      <w:r>
        <w:rPr>
          <w:rFonts w:hint="eastAsia" w:ascii="宋体" w:hAnsi="宋体" w:eastAsia="宋体" w:cs="宋体"/>
          <w:bCs/>
          <w:szCs w:val="36"/>
          <w:highlight w:val="none"/>
          <w:lang w:val="zh-CN"/>
        </w:rPr>
        <w:t>章</w:t>
      </w:r>
      <w:r>
        <w:rPr>
          <w:rFonts w:hint="eastAsia" w:ascii="宋体" w:hAnsi="宋体" w:eastAsia="宋体" w:cs="宋体"/>
          <w:bCs/>
          <w:szCs w:val="36"/>
          <w:highlight w:val="none"/>
          <w:lang w:val="en-US" w:eastAsia="zh-CN"/>
        </w:rPr>
        <w:t xml:space="preserve"> 工程量清单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_Toc9271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bCs/>
          <w:color w:val="auto"/>
          <w:szCs w:val="24"/>
          <w:highlight w:val="none"/>
        </w:rPr>
        <w:fldChar w:fldCharType="end"/>
      </w:r>
    </w:p>
    <w:p w14:paraId="1106513B">
      <w:pPr>
        <w:pStyle w:val="26"/>
        <w:keepNext w:val="0"/>
        <w:keepLines w:val="0"/>
        <w:pageBreakBefore w:val="0"/>
        <w:widowControl w:val="0"/>
        <w:tabs>
          <w:tab w:val="right" w:leader="hyphen" w:pos="9070"/>
          <w:tab w:val="clear" w:pos="9060"/>
        </w:tabs>
        <w:kinsoku/>
        <w:wordWrap/>
        <w:overflowPunct/>
        <w:topLinePunct w:val="0"/>
        <w:autoSpaceDE/>
        <w:autoSpaceDN/>
        <w:bidi w:val="0"/>
        <w:adjustRightInd/>
        <w:snapToGrid/>
        <w:spacing w:line="360" w:lineRule="exact"/>
        <w:textAlignment w:val="auto"/>
      </w:pPr>
      <w:r>
        <w:rPr>
          <w:rFonts w:hint="eastAsia" w:ascii="宋体" w:hAnsi="宋体" w:eastAsia="宋体" w:cs="宋体"/>
          <w:bCs/>
          <w:color w:val="auto"/>
          <w:szCs w:val="24"/>
          <w:highlight w:val="none"/>
        </w:rPr>
        <w:fldChar w:fldCharType="begin"/>
      </w:r>
      <w:r>
        <w:rPr>
          <w:rFonts w:hint="eastAsia" w:ascii="宋体" w:hAnsi="宋体" w:eastAsia="宋体" w:cs="宋体"/>
          <w:bCs/>
          <w:szCs w:val="24"/>
          <w:highlight w:val="none"/>
        </w:rPr>
        <w:instrText xml:space="preserve"> HYPERLINK \l _Toc22572 </w:instrText>
      </w:r>
      <w:r>
        <w:rPr>
          <w:rFonts w:hint="eastAsia" w:ascii="宋体" w:hAnsi="宋体" w:eastAsia="宋体" w:cs="宋体"/>
          <w:bCs/>
          <w:szCs w:val="24"/>
          <w:highlight w:val="none"/>
        </w:rPr>
        <w:fldChar w:fldCharType="separate"/>
      </w:r>
      <w:r>
        <w:rPr>
          <w:rFonts w:hint="eastAsia" w:ascii="宋体" w:hAnsi="宋体" w:eastAsia="宋体" w:cs="宋体"/>
          <w:bCs/>
          <w:szCs w:val="36"/>
          <w:highlight w:val="none"/>
          <w:lang w:val="zh-CN"/>
        </w:rPr>
        <w:t>第</w:t>
      </w:r>
      <w:r>
        <w:rPr>
          <w:rFonts w:hint="eastAsia" w:ascii="宋体" w:hAnsi="宋体" w:eastAsia="宋体" w:cs="宋体"/>
          <w:bCs/>
          <w:szCs w:val="36"/>
          <w:highlight w:val="none"/>
          <w:lang w:val="en-US" w:eastAsia="zh-CN"/>
        </w:rPr>
        <w:t>七</w:t>
      </w:r>
      <w:r>
        <w:rPr>
          <w:rFonts w:hint="eastAsia" w:ascii="宋体" w:hAnsi="宋体" w:eastAsia="宋体" w:cs="宋体"/>
          <w:bCs/>
          <w:szCs w:val="36"/>
          <w:highlight w:val="none"/>
          <w:lang w:val="zh-CN"/>
        </w:rPr>
        <w:t>章</w:t>
      </w:r>
      <w:r>
        <w:rPr>
          <w:rFonts w:hint="eastAsia" w:ascii="宋体" w:hAnsi="宋体" w:eastAsia="宋体" w:cs="宋体"/>
          <w:bCs/>
          <w:szCs w:val="36"/>
          <w:highlight w:val="none"/>
          <w:lang w:val="en-US" w:eastAsia="zh-CN"/>
        </w:rPr>
        <w:t xml:space="preserve"> </w:t>
      </w:r>
      <w:r>
        <w:rPr>
          <w:rFonts w:hint="eastAsia" w:ascii="宋体" w:hAnsi="宋体" w:eastAsia="宋体" w:cs="宋体"/>
          <w:bCs/>
          <w:szCs w:val="36"/>
          <w:highlight w:val="none"/>
          <w:lang w:val="zh-CN"/>
        </w:rPr>
        <w:t>合同协议书</w:t>
      </w:r>
      <w:r>
        <w:rPr>
          <w:b/>
          <w:bCs/>
        </w:rPr>
        <w:tab/>
      </w:r>
      <w:r>
        <w:rPr>
          <w:b w:val="0"/>
          <w:bCs w:val="0"/>
        </w:rPr>
        <w:fldChar w:fldCharType="begin"/>
      </w:r>
      <w:r>
        <w:rPr>
          <w:b w:val="0"/>
          <w:bCs w:val="0"/>
        </w:rPr>
        <w:instrText xml:space="preserve"> PAGEREF _Toc22572 \h </w:instrText>
      </w:r>
      <w:r>
        <w:rPr>
          <w:b w:val="0"/>
          <w:bCs w:val="0"/>
        </w:rPr>
        <w:fldChar w:fldCharType="separate"/>
      </w:r>
      <w:r>
        <w:rPr>
          <w:b w:val="0"/>
          <w:bCs w:val="0"/>
        </w:rPr>
        <w:t>31</w:t>
      </w:r>
      <w:r>
        <w:rPr>
          <w:b w:val="0"/>
          <w:bCs w:val="0"/>
        </w:rPr>
        <w:fldChar w:fldCharType="end"/>
      </w:r>
      <w:r>
        <w:rPr>
          <w:rFonts w:hint="eastAsia" w:ascii="宋体" w:hAnsi="宋体" w:eastAsia="宋体" w:cs="宋体"/>
          <w:bCs/>
          <w:color w:val="auto"/>
          <w:szCs w:val="24"/>
          <w:highlight w:val="none"/>
        </w:rPr>
        <w:fldChar w:fldCharType="end"/>
      </w:r>
    </w:p>
    <w:p w14:paraId="5AB8D7BC">
      <w:pPr>
        <w:pStyle w:val="26"/>
        <w:tabs>
          <w:tab w:val="right" w:leader="hyphen" w:pos="9070"/>
          <w:tab w:val="clear" w:pos="9060"/>
        </w:tabs>
      </w:pPr>
    </w:p>
    <w:p w14:paraId="21F4A246">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Cs/>
          <w:color w:val="auto"/>
          <w:szCs w:val="24"/>
          <w:highlight w:val="none"/>
        </w:rPr>
        <w:fldChar w:fldCharType="end"/>
      </w:r>
    </w:p>
    <w:p w14:paraId="125C1BCA">
      <w:pPr>
        <w:keepLines w:val="0"/>
        <w:pageBreakBefore w:val="0"/>
        <w:kinsoku/>
        <w:autoSpaceDE w:val="0"/>
        <w:autoSpaceDN w:val="0"/>
        <w:bidi w:val="0"/>
        <w:adjustRightInd w:val="0"/>
        <w:snapToGrid w:val="0"/>
        <w:spacing w:line="360" w:lineRule="auto"/>
        <w:rPr>
          <w:rFonts w:hint="eastAsia" w:ascii="宋体" w:hAnsi="宋体" w:eastAsia="宋体" w:cs="宋体"/>
          <w:bCs/>
          <w:color w:val="auto"/>
          <w:sz w:val="28"/>
          <w:szCs w:val="28"/>
          <w:highlight w:val="none"/>
        </w:rPr>
      </w:pPr>
    </w:p>
    <w:p w14:paraId="0927EAE0">
      <w:pPr>
        <w:keepLines w:val="0"/>
        <w:pageBreakBefore w:val="0"/>
        <w:kinsoku/>
        <w:autoSpaceDE w:val="0"/>
        <w:autoSpaceDN w:val="0"/>
        <w:bidi w:val="0"/>
        <w:adjustRightInd w:val="0"/>
        <w:spacing w:line="360" w:lineRule="auto"/>
        <w:rPr>
          <w:rFonts w:hint="eastAsia" w:ascii="宋体" w:hAnsi="宋体" w:eastAsia="宋体" w:cs="宋体"/>
          <w:b/>
          <w:bCs/>
          <w:color w:val="auto"/>
          <w:sz w:val="28"/>
          <w:szCs w:val="28"/>
          <w:highlight w:val="none"/>
        </w:rPr>
      </w:pPr>
    </w:p>
    <w:p w14:paraId="79D46621">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52F1DE16">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1DDC6D35">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6"/>
          <w:szCs w:val="36"/>
          <w:highlight w:val="none"/>
          <w:lang w:val="zh-CN"/>
        </w:rPr>
        <w:sectPr>
          <w:headerReference r:id="rId9" w:type="first"/>
          <w:footerReference r:id="rId11" w:type="first"/>
          <w:footerReference r:id="rId10"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425" w:num="1"/>
          <w:titlePg/>
          <w:docGrid w:linePitch="312" w:charSpace="0"/>
        </w:sectPr>
      </w:pPr>
    </w:p>
    <w:p w14:paraId="3C4EA1C5">
      <w:pPr>
        <w:pStyle w:val="2"/>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36"/>
          <w:szCs w:val="22"/>
          <w:highlight w:val="none"/>
          <w:lang w:val="zh-CN"/>
        </w:rPr>
      </w:pPr>
      <w:bookmarkStart w:id="0" w:name="_Toc4041"/>
      <w:r>
        <w:rPr>
          <w:rFonts w:hint="eastAsia" w:ascii="宋体" w:hAnsi="宋体" w:eastAsia="宋体" w:cs="宋体"/>
          <w:b/>
          <w:bCs/>
          <w:color w:val="auto"/>
          <w:sz w:val="36"/>
          <w:szCs w:val="36"/>
          <w:highlight w:val="none"/>
          <w:lang w:val="zh-CN"/>
        </w:rPr>
        <w:t>第一章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rPr>
        <w:t>竞争性磋商公告</w:t>
      </w:r>
      <w:bookmarkEnd w:id="0"/>
    </w:p>
    <w:tbl>
      <w:tblPr>
        <w:tblStyle w:val="3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0"/>
      </w:tblGrid>
      <w:tr w14:paraId="17BE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9600" w:type="dxa"/>
          </w:tcPr>
          <w:p w14:paraId="4EC038E3">
            <w:pPr>
              <w:pStyle w:val="7"/>
              <w:keepNext w:val="0"/>
              <w:keepLines w:val="0"/>
              <w:pageBreakBefore w:val="0"/>
              <w:widowControl/>
              <w:kinsoku/>
              <w:wordWrap/>
              <w:overflowPunct/>
              <w:topLinePunct w:val="0"/>
              <w:autoSpaceDE/>
              <w:autoSpaceDN/>
              <w:bidi w:val="0"/>
              <w:adjustRightInd/>
              <w:snapToGrid/>
              <w:spacing w:before="0" w:after="0" w:line="360" w:lineRule="exact"/>
              <w:ind w:left="0" w:leftChars="0" w:firstLine="422" w:firstLineChars="200"/>
              <w:textAlignment w:val="auto"/>
              <w:rPr>
                <w:rFonts w:hint="eastAsia" w:ascii="宋体" w:hAnsi="宋体" w:eastAsia="宋体" w:cs="宋体"/>
                <w:color w:val="auto"/>
                <w:kern w:val="2"/>
                <w:sz w:val="21"/>
                <w:szCs w:val="21"/>
              </w:rPr>
            </w:pPr>
            <w:bookmarkStart w:id="1" w:name="_Toc451185838"/>
            <w:bookmarkStart w:id="2" w:name="_Hlk102659814"/>
            <w:bookmarkStart w:id="3" w:name="_Toc451185835"/>
            <w:r>
              <w:rPr>
                <w:rFonts w:hint="eastAsia" w:ascii="宋体" w:hAnsi="宋体" w:eastAsia="宋体" w:cs="宋体"/>
                <w:color w:val="auto"/>
                <w:kern w:val="2"/>
                <w:sz w:val="21"/>
                <w:szCs w:val="21"/>
              </w:rPr>
              <w:t>项目概况</w:t>
            </w:r>
          </w:p>
          <w:p w14:paraId="3FBA8EC1">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eastAsia" w:ascii="宋体" w:hAnsi="宋体" w:eastAsia="宋体" w:cs="宋体"/>
                <w:b/>
                <w:bCs/>
                <w:color w:val="auto"/>
                <w:kern w:val="2"/>
                <w:sz w:val="21"/>
                <w:szCs w:val="21"/>
              </w:rPr>
            </w:pPr>
            <w:r>
              <w:rPr>
                <w:rFonts w:hint="eastAsia" w:ascii="宋体" w:hAnsi="宋体" w:eastAsia="宋体" w:cs="宋体"/>
                <w:color w:val="auto"/>
                <w:kern w:val="2"/>
                <w:sz w:val="21"/>
                <w:szCs w:val="21"/>
                <w:lang w:eastAsia="zh-CN"/>
              </w:rPr>
              <w:t>泾干中学功能部室改造工程</w:t>
            </w:r>
            <w:r>
              <w:rPr>
                <w:rFonts w:hint="eastAsia" w:ascii="宋体" w:hAnsi="宋体" w:eastAsia="宋体" w:cs="宋体"/>
                <w:color w:val="auto"/>
                <w:kern w:val="2"/>
                <w:sz w:val="21"/>
                <w:szCs w:val="21"/>
              </w:rPr>
              <w:t>采购项目的潜在供应商应在泾阳县中心街402号财政局院内泾阳县政府采购中心获取采购文件，并于20</w:t>
            </w:r>
            <w:r>
              <w:rPr>
                <w:rFonts w:hint="eastAsia" w:ascii="宋体" w:hAnsi="宋体" w:eastAsia="宋体" w:cs="宋体"/>
                <w:color w:val="auto"/>
                <w:kern w:val="2"/>
                <w:sz w:val="21"/>
                <w:szCs w:val="21"/>
                <w:lang w:val="en-US" w:eastAsia="zh-CN"/>
              </w:rPr>
              <w:t>25</w:t>
            </w:r>
            <w:r>
              <w:rPr>
                <w:rFonts w:hint="eastAsia" w:ascii="宋体" w:hAnsi="宋体" w:eastAsia="宋体" w:cs="宋体"/>
                <w:color w:val="auto"/>
                <w:kern w:val="2"/>
                <w:sz w:val="21"/>
                <w:szCs w:val="21"/>
              </w:rPr>
              <w:t>年</w:t>
            </w:r>
            <w:r>
              <w:rPr>
                <w:rFonts w:hint="eastAsia" w:cs="宋体"/>
                <w:color w:val="auto"/>
                <w:kern w:val="2"/>
                <w:sz w:val="21"/>
                <w:szCs w:val="21"/>
                <w:lang w:val="en-US" w:eastAsia="zh-CN"/>
              </w:rPr>
              <w:t>08</w:t>
            </w:r>
            <w:r>
              <w:rPr>
                <w:rFonts w:hint="eastAsia" w:ascii="宋体" w:hAnsi="宋体" w:eastAsia="宋体" w:cs="宋体"/>
                <w:color w:val="auto"/>
                <w:kern w:val="2"/>
                <w:sz w:val="21"/>
                <w:szCs w:val="21"/>
              </w:rPr>
              <w:t>月</w:t>
            </w:r>
            <w:r>
              <w:rPr>
                <w:rFonts w:hint="eastAsia" w:cs="宋体"/>
                <w:color w:val="auto"/>
                <w:kern w:val="2"/>
                <w:sz w:val="21"/>
                <w:szCs w:val="21"/>
                <w:lang w:val="en-US" w:eastAsia="zh-CN"/>
              </w:rPr>
              <w:t>12</w:t>
            </w:r>
            <w:r>
              <w:rPr>
                <w:rFonts w:hint="eastAsia" w:ascii="宋体" w:hAnsi="宋体" w:eastAsia="宋体" w:cs="宋体"/>
                <w:color w:val="auto"/>
                <w:kern w:val="2"/>
                <w:sz w:val="21"/>
                <w:szCs w:val="21"/>
              </w:rPr>
              <w:t>日</w:t>
            </w:r>
            <w:r>
              <w:rPr>
                <w:rFonts w:hint="eastAsia" w:cs="宋体"/>
                <w:color w:val="auto"/>
                <w:kern w:val="2"/>
                <w:sz w:val="21"/>
                <w:szCs w:val="21"/>
                <w:lang w:val="en-US" w:eastAsia="zh-CN"/>
              </w:rPr>
              <w:t>10</w:t>
            </w:r>
            <w:r>
              <w:rPr>
                <w:rFonts w:hint="eastAsia" w:ascii="宋体" w:hAnsi="宋体" w:eastAsia="宋体" w:cs="宋体"/>
                <w:color w:val="auto"/>
                <w:kern w:val="2"/>
                <w:sz w:val="21"/>
                <w:szCs w:val="21"/>
              </w:rPr>
              <w:t>时</w:t>
            </w:r>
            <w:r>
              <w:rPr>
                <w:rFonts w:hint="eastAsia" w:cs="宋体"/>
                <w:color w:val="auto"/>
                <w:kern w:val="2"/>
                <w:sz w:val="21"/>
                <w:szCs w:val="21"/>
                <w:lang w:val="en-US" w:eastAsia="zh-CN"/>
              </w:rPr>
              <w:t>0</w:t>
            </w:r>
            <w:r>
              <w:rPr>
                <w:rFonts w:hint="eastAsia" w:ascii="宋体" w:hAnsi="宋体" w:eastAsia="宋体" w:cs="宋体"/>
                <w:color w:val="auto"/>
                <w:kern w:val="2"/>
                <w:sz w:val="21"/>
                <w:szCs w:val="21"/>
                <w:lang w:val="en-US" w:eastAsia="zh-CN"/>
              </w:rPr>
              <w:t>0</w:t>
            </w:r>
            <w:r>
              <w:rPr>
                <w:rFonts w:hint="eastAsia" w:ascii="宋体" w:hAnsi="宋体" w:eastAsia="宋体" w:cs="宋体"/>
                <w:color w:val="auto"/>
                <w:kern w:val="2"/>
                <w:sz w:val="21"/>
                <w:szCs w:val="21"/>
              </w:rPr>
              <w:t>分（北京时间）前提交响应文件。</w:t>
            </w:r>
          </w:p>
        </w:tc>
      </w:tr>
    </w:tbl>
    <w:p w14:paraId="5CF38437">
      <w:pPr>
        <w:pStyle w:val="32"/>
        <w:keepNext w:val="0"/>
        <w:keepLines w:val="0"/>
        <w:pageBreakBefore w:val="0"/>
        <w:widowControl/>
        <w:kinsoku/>
        <w:overflowPunct/>
        <w:topLinePunct w:val="0"/>
        <w:autoSpaceDE/>
        <w:autoSpaceDN/>
        <w:bidi w:val="0"/>
        <w:adjustRightInd/>
        <w:snapToGrid/>
        <w:spacing w:before="0" w:beforeAutospacing="0" w:after="0" w:afterAutospacing="0" w:line="360" w:lineRule="exact"/>
        <w:ind w:left="0" w:leftChars="0" w:firstLine="422" w:firstLineChars="200"/>
        <w:textAlignment w:val="auto"/>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一、项目基本情况</w:t>
      </w:r>
    </w:p>
    <w:p w14:paraId="7560D18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fill="FFFFFF"/>
        </w:rPr>
        <w:t>项目编号：</w:t>
      </w:r>
      <w:r>
        <w:rPr>
          <w:rFonts w:hint="eastAsia" w:ascii="宋体" w:hAnsi="宋体" w:eastAsia="宋体" w:cs="宋体"/>
          <w:i w:val="0"/>
          <w:iCs w:val="0"/>
          <w:caps w:val="0"/>
          <w:color w:val="auto"/>
          <w:spacing w:val="0"/>
          <w:sz w:val="21"/>
          <w:szCs w:val="21"/>
          <w:highlight w:val="none"/>
          <w:shd w:val="clear" w:fill="FFFFFF"/>
          <w:lang w:eastAsia="zh-CN"/>
        </w:rPr>
        <w:t>ZFCG-泾阳县-2025-00009</w:t>
      </w:r>
    </w:p>
    <w:p w14:paraId="00D4786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fill="FFFFFF"/>
        </w:rPr>
        <w:t>项目名称：</w:t>
      </w:r>
      <w:r>
        <w:rPr>
          <w:rFonts w:hint="eastAsia" w:ascii="宋体" w:hAnsi="宋体" w:eastAsia="宋体" w:cs="宋体"/>
          <w:i w:val="0"/>
          <w:iCs w:val="0"/>
          <w:caps w:val="0"/>
          <w:color w:val="auto"/>
          <w:spacing w:val="0"/>
          <w:sz w:val="21"/>
          <w:szCs w:val="21"/>
          <w:highlight w:val="none"/>
          <w:shd w:val="clear" w:fill="FFFFFF"/>
          <w:lang w:eastAsia="zh-CN"/>
        </w:rPr>
        <w:t>泾干中学功能部室改造工程</w:t>
      </w:r>
    </w:p>
    <w:p w14:paraId="0ADFCD7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rPr>
        <w:t>采购方式：</w:t>
      </w:r>
      <w:r>
        <w:rPr>
          <w:rFonts w:hint="eastAsia" w:ascii="宋体" w:hAnsi="宋体" w:eastAsia="宋体" w:cs="宋体"/>
          <w:i w:val="0"/>
          <w:iCs w:val="0"/>
          <w:caps w:val="0"/>
          <w:color w:val="auto"/>
          <w:spacing w:val="0"/>
          <w:sz w:val="21"/>
          <w:szCs w:val="21"/>
          <w:highlight w:val="none"/>
          <w:shd w:val="clear" w:fill="FFFFFF"/>
          <w:lang w:val="en-US" w:eastAsia="zh-CN"/>
        </w:rPr>
        <w:t>竞争性磋商</w:t>
      </w:r>
    </w:p>
    <w:p w14:paraId="69BE0C0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预算金额：</w:t>
      </w:r>
      <w:r>
        <w:rPr>
          <w:rFonts w:hint="eastAsia" w:ascii="宋体" w:hAnsi="宋体" w:eastAsia="宋体" w:cs="宋体"/>
          <w:i w:val="0"/>
          <w:iCs w:val="0"/>
          <w:caps w:val="0"/>
          <w:color w:val="auto"/>
          <w:spacing w:val="0"/>
          <w:sz w:val="21"/>
          <w:szCs w:val="21"/>
          <w:highlight w:val="none"/>
          <w:shd w:val="clear" w:fill="FFFFFF"/>
          <w:lang w:val="en-US" w:eastAsia="zh-CN"/>
        </w:rPr>
        <w:t>600</w:t>
      </w:r>
      <w:r>
        <w:rPr>
          <w:rFonts w:hint="eastAsia" w:ascii="宋体" w:hAnsi="宋体" w:eastAsia="宋体" w:cs="宋体"/>
          <w:color w:val="auto"/>
          <w:sz w:val="21"/>
          <w:szCs w:val="21"/>
          <w:highlight w:val="none"/>
        </w:rPr>
        <w:t>,</w:t>
      </w:r>
      <w:r>
        <w:rPr>
          <w:rFonts w:hint="eastAsia" w:ascii="宋体" w:hAnsi="宋体" w:eastAsia="宋体" w:cs="宋体"/>
          <w:i w:val="0"/>
          <w:iCs w:val="0"/>
          <w:caps w:val="0"/>
          <w:color w:val="auto"/>
          <w:spacing w:val="0"/>
          <w:sz w:val="21"/>
          <w:szCs w:val="21"/>
          <w:highlight w:val="none"/>
          <w:shd w:val="clear" w:fill="FFFFFF"/>
          <w:lang w:val="en-US" w:eastAsia="zh-CN"/>
        </w:rPr>
        <w:t>000.00</w:t>
      </w:r>
      <w:r>
        <w:rPr>
          <w:rFonts w:hint="eastAsia" w:ascii="宋体" w:hAnsi="宋体" w:eastAsia="宋体" w:cs="宋体"/>
          <w:i w:val="0"/>
          <w:iCs w:val="0"/>
          <w:caps w:val="0"/>
          <w:color w:val="auto"/>
          <w:spacing w:val="0"/>
          <w:sz w:val="21"/>
          <w:szCs w:val="21"/>
          <w:highlight w:val="none"/>
          <w:shd w:val="clear" w:fill="FFFFFF"/>
        </w:rPr>
        <w:t>元</w:t>
      </w:r>
    </w:p>
    <w:p w14:paraId="2899672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采购需求：</w:t>
      </w:r>
    </w:p>
    <w:p w14:paraId="346187B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合同包1(</w:t>
      </w:r>
      <w:r>
        <w:rPr>
          <w:rFonts w:hint="eastAsia" w:ascii="宋体" w:hAnsi="宋体" w:eastAsia="宋体" w:cs="宋体"/>
          <w:i w:val="0"/>
          <w:iCs w:val="0"/>
          <w:caps w:val="0"/>
          <w:color w:val="auto"/>
          <w:spacing w:val="0"/>
          <w:sz w:val="21"/>
          <w:szCs w:val="21"/>
          <w:highlight w:val="none"/>
          <w:shd w:val="clear" w:fill="FFFFFF"/>
          <w:lang w:eastAsia="zh-CN"/>
        </w:rPr>
        <w:t>泾干中学功能部室改造工程</w:t>
      </w:r>
      <w:r>
        <w:rPr>
          <w:rFonts w:hint="eastAsia" w:ascii="宋体" w:hAnsi="宋体" w:eastAsia="宋体" w:cs="宋体"/>
          <w:i w:val="0"/>
          <w:iCs w:val="0"/>
          <w:caps w:val="0"/>
          <w:color w:val="auto"/>
          <w:spacing w:val="0"/>
          <w:sz w:val="21"/>
          <w:szCs w:val="21"/>
          <w:highlight w:val="none"/>
          <w:shd w:val="clear" w:fill="FFFFFF"/>
        </w:rPr>
        <w:t>):</w:t>
      </w:r>
    </w:p>
    <w:p w14:paraId="596EAB5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合同包预算金额：</w:t>
      </w:r>
      <w:r>
        <w:rPr>
          <w:rFonts w:hint="eastAsia" w:ascii="宋体" w:hAnsi="宋体" w:eastAsia="宋体" w:cs="宋体"/>
          <w:i w:val="0"/>
          <w:iCs w:val="0"/>
          <w:caps w:val="0"/>
          <w:color w:val="auto"/>
          <w:spacing w:val="0"/>
          <w:sz w:val="21"/>
          <w:szCs w:val="21"/>
          <w:highlight w:val="none"/>
          <w:shd w:val="clear" w:fill="FFFFFF"/>
          <w:lang w:val="en-US" w:eastAsia="zh-CN"/>
        </w:rPr>
        <w:t>600</w:t>
      </w:r>
      <w:r>
        <w:rPr>
          <w:rFonts w:hint="eastAsia" w:ascii="宋体" w:hAnsi="宋体" w:eastAsia="宋体" w:cs="宋体"/>
          <w:color w:val="auto"/>
          <w:sz w:val="21"/>
          <w:szCs w:val="21"/>
          <w:highlight w:val="none"/>
        </w:rPr>
        <w:t>,</w:t>
      </w:r>
      <w:r>
        <w:rPr>
          <w:rFonts w:hint="eastAsia" w:ascii="宋体" w:hAnsi="宋体" w:eastAsia="宋体" w:cs="宋体"/>
          <w:i w:val="0"/>
          <w:iCs w:val="0"/>
          <w:caps w:val="0"/>
          <w:color w:val="auto"/>
          <w:spacing w:val="0"/>
          <w:sz w:val="21"/>
          <w:szCs w:val="21"/>
          <w:highlight w:val="none"/>
          <w:shd w:val="clear" w:fill="FFFFFF"/>
          <w:lang w:val="en-US" w:eastAsia="zh-CN"/>
        </w:rPr>
        <w:t>000.00</w:t>
      </w:r>
      <w:r>
        <w:rPr>
          <w:rFonts w:hint="eastAsia" w:ascii="宋体" w:hAnsi="宋体" w:eastAsia="宋体" w:cs="宋体"/>
          <w:i w:val="0"/>
          <w:iCs w:val="0"/>
          <w:caps w:val="0"/>
          <w:color w:val="auto"/>
          <w:spacing w:val="0"/>
          <w:sz w:val="21"/>
          <w:szCs w:val="21"/>
          <w:highlight w:val="none"/>
          <w:shd w:val="clear" w:fill="FFFFFF"/>
        </w:rPr>
        <w:t>元</w:t>
      </w:r>
    </w:p>
    <w:p w14:paraId="499FE4D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合同包最高限价：</w:t>
      </w:r>
      <w:r>
        <w:rPr>
          <w:rFonts w:hint="eastAsia" w:ascii="宋体" w:hAnsi="宋体" w:eastAsia="宋体" w:cs="宋体"/>
          <w:color w:val="auto"/>
          <w:sz w:val="21"/>
          <w:szCs w:val="21"/>
          <w:highlight w:val="none"/>
        </w:rPr>
        <w:t>599,970.00</w:t>
      </w:r>
      <w:r>
        <w:rPr>
          <w:rFonts w:hint="eastAsia" w:ascii="宋体" w:hAnsi="宋体" w:eastAsia="宋体" w:cs="宋体"/>
          <w:i w:val="0"/>
          <w:iCs w:val="0"/>
          <w:caps w:val="0"/>
          <w:color w:val="auto"/>
          <w:spacing w:val="0"/>
          <w:sz w:val="21"/>
          <w:szCs w:val="21"/>
          <w:highlight w:val="none"/>
          <w:shd w:val="clear" w:fill="FFFFFF"/>
        </w:rPr>
        <w:t>元</w:t>
      </w:r>
    </w:p>
    <w:tbl>
      <w:tblPr>
        <w:tblStyle w:val="37"/>
        <w:tblW w:w="4995"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51"/>
        <w:gridCol w:w="1415"/>
        <w:gridCol w:w="1822"/>
        <w:gridCol w:w="1346"/>
        <w:gridCol w:w="1327"/>
        <w:gridCol w:w="1459"/>
        <w:gridCol w:w="1481"/>
      </w:tblGrid>
      <w:tr w14:paraId="333630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jc w:val="center"/>
        </w:trPr>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48B04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7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011D6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kern w:val="0"/>
                <w:sz w:val="21"/>
                <w:szCs w:val="21"/>
                <w:highlight w:val="none"/>
                <w:lang w:val="en-US" w:eastAsia="zh-CN" w:bidi="ar"/>
              </w:rPr>
              <w:t>品目名称</w:t>
            </w:r>
          </w:p>
        </w:tc>
        <w:tc>
          <w:tcPr>
            <w:tcW w:w="9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EA78C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FF0000"/>
                <w:sz w:val="21"/>
                <w:szCs w:val="21"/>
                <w:highlight w:val="none"/>
              </w:rPr>
            </w:pPr>
            <w:r>
              <w:rPr>
                <w:rFonts w:hint="eastAsia" w:ascii="宋体" w:hAnsi="宋体" w:eastAsia="宋体" w:cs="宋体"/>
                <w:b/>
                <w:bCs/>
                <w:color w:val="FF0000"/>
                <w:kern w:val="0"/>
                <w:sz w:val="21"/>
                <w:szCs w:val="21"/>
                <w:highlight w:val="none"/>
                <w:lang w:val="en-US" w:eastAsia="zh-CN" w:bidi="ar"/>
              </w:rPr>
              <w:t>采购标的</w:t>
            </w:r>
          </w:p>
        </w:tc>
        <w:tc>
          <w:tcPr>
            <w:tcW w:w="7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A2E5F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7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14631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7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03F1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7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E29F9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67CEB1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25ADE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7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91522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val="en-US" w:eastAsia="zh-CN" w:bidi="ar"/>
              </w:rPr>
              <w:t>房屋修缮</w:t>
            </w:r>
          </w:p>
        </w:tc>
        <w:tc>
          <w:tcPr>
            <w:tcW w:w="9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60CD6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考务办、会议活动室、图书楼工程</w:t>
            </w:r>
            <w:bookmarkStart w:id="606" w:name="_GoBack"/>
            <w:bookmarkEnd w:id="606"/>
          </w:p>
        </w:tc>
        <w:tc>
          <w:tcPr>
            <w:tcW w:w="7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6D93B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7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7E5DB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7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E12A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eastAsia="zh-CN"/>
              </w:rPr>
              <w:t>600</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val="en-US" w:eastAsia="zh-CN"/>
              </w:rPr>
              <w:t>000.00</w:t>
            </w:r>
          </w:p>
        </w:tc>
        <w:tc>
          <w:tcPr>
            <w:tcW w:w="7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224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599,970.00</w:t>
            </w:r>
          </w:p>
        </w:tc>
      </w:tr>
    </w:tbl>
    <w:p w14:paraId="6A90F729">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本合同包不接受联合体投标</w:t>
      </w:r>
    </w:p>
    <w:p w14:paraId="75D7AA75">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textAlignment w:val="auto"/>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rPr>
        <w:t>合同履行期限：</w:t>
      </w:r>
      <w:r>
        <w:rPr>
          <w:rFonts w:hint="eastAsia" w:ascii="宋体" w:hAnsi="宋体" w:eastAsia="宋体" w:cs="宋体"/>
          <w:color w:val="auto"/>
          <w:kern w:val="0"/>
          <w:sz w:val="21"/>
          <w:szCs w:val="21"/>
          <w:highlight w:val="none"/>
          <w:shd w:val="clear" w:color="auto" w:fill="FFFFFF"/>
          <w:lang w:val="en-US" w:eastAsia="zh-CN"/>
        </w:rPr>
        <w:t>合同签订30日</w:t>
      </w:r>
    </w:p>
    <w:p w14:paraId="20C6AEAC">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2" w:firstLineChars="200"/>
        <w:textAlignment w:val="auto"/>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二、申请人的资格要求：</w:t>
      </w:r>
    </w:p>
    <w:p w14:paraId="152E12EE">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1.满足《中华人民共和国政府采购法》第二十二条规定;</w:t>
      </w:r>
    </w:p>
    <w:p w14:paraId="7697B568">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2.落实政府采购政策需满足的资格要求：</w:t>
      </w:r>
    </w:p>
    <w:p w14:paraId="27AB466E">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FF0000"/>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合同包1(</w:t>
      </w:r>
      <w:r>
        <w:rPr>
          <w:rFonts w:hint="eastAsia" w:ascii="宋体" w:hAnsi="宋体" w:eastAsia="宋体" w:cs="宋体"/>
          <w:color w:val="auto"/>
          <w:kern w:val="0"/>
          <w:sz w:val="21"/>
          <w:szCs w:val="21"/>
          <w:highlight w:val="none"/>
          <w:shd w:val="clear" w:color="auto" w:fill="FFFFFF"/>
          <w:lang w:eastAsia="zh-CN"/>
        </w:rPr>
        <w:t>泾干中学功能部室改造工程</w:t>
      </w:r>
      <w:r>
        <w:rPr>
          <w:rFonts w:hint="eastAsia" w:ascii="宋体" w:hAnsi="宋体" w:eastAsia="宋体" w:cs="宋体"/>
          <w:color w:val="auto"/>
          <w:kern w:val="0"/>
          <w:sz w:val="21"/>
          <w:szCs w:val="21"/>
          <w:highlight w:val="none"/>
          <w:shd w:val="clear" w:color="auto" w:fill="FFFFFF"/>
        </w:rPr>
        <w:t>)落实政府采购政策需满足的资格要求如下</w:t>
      </w:r>
      <w:r>
        <w:rPr>
          <w:rFonts w:hint="eastAsia" w:ascii="宋体" w:hAnsi="宋体" w:eastAsia="宋体" w:cs="宋体"/>
          <w:color w:val="FF0000"/>
          <w:kern w:val="0"/>
          <w:sz w:val="21"/>
          <w:szCs w:val="21"/>
          <w:highlight w:val="none"/>
          <w:shd w:val="clear" w:color="auto" w:fill="FFFFFF"/>
          <w:lang w:eastAsia="zh-CN"/>
        </w:rPr>
        <w:t>：</w:t>
      </w:r>
      <w:r>
        <w:rPr>
          <w:rFonts w:hint="eastAsia" w:ascii="宋体" w:hAnsi="宋体" w:eastAsia="宋体" w:cs="宋体"/>
          <w:color w:val="FF0000"/>
          <w:kern w:val="0"/>
          <w:sz w:val="21"/>
          <w:szCs w:val="21"/>
          <w:highlight w:val="none"/>
          <w:shd w:val="clear" w:color="auto" w:fill="FFFFFF"/>
        </w:rPr>
        <w:t>本项目专门面向</w:t>
      </w:r>
      <w:r>
        <w:rPr>
          <w:rFonts w:hint="eastAsia" w:ascii="宋体" w:hAnsi="宋体" w:eastAsia="宋体" w:cs="宋体"/>
          <w:color w:val="FF0000"/>
          <w:kern w:val="0"/>
          <w:sz w:val="21"/>
          <w:szCs w:val="21"/>
          <w:highlight w:val="none"/>
          <w:shd w:val="clear" w:color="auto" w:fill="FFFFFF"/>
          <w:lang w:val="en-US" w:eastAsia="zh-CN"/>
        </w:rPr>
        <w:t>中小</w:t>
      </w:r>
      <w:r>
        <w:rPr>
          <w:rFonts w:hint="eastAsia" w:ascii="宋体" w:hAnsi="宋体" w:eastAsia="宋体" w:cs="宋体"/>
          <w:color w:val="FF0000"/>
          <w:kern w:val="0"/>
          <w:sz w:val="21"/>
          <w:szCs w:val="21"/>
          <w:highlight w:val="none"/>
          <w:shd w:val="clear" w:color="auto" w:fill="FFFFFF"/>
        </w:rPr>
        <w:t>企业采购。</w:t>
      </w:r>
    </w:p>
    <w:p w14:paraId="1F6C331B">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2" w:firstLineChars="200"/>
        <w:textAlignment w:val="auto"/>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3.本项目的特定资格要求：</w:t>
      </w:r>
    </w:p>
    <w:p w14:paraId="34EFB237">
      <w:pPr>
        <w:pStyle w:val="3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合同包1(</w:t>
      </w:r>
      <w:r>
        <w:rPr>
          <w:rFonts w:hint="eastAsia" w:ascii="宋体" w:hAnsi="宋体" w:eastAsia="宋体" w:cs="宋体"/>
          <w:color w:val="auto"/>
          <w:kern w:val="0"/>
          <w:sz w:val="21"/>
          <w:szCs w:val="21"/>
          <w:highlight w:val="none"/>
          <w:shd w:val="clear" w:color="auto" w:fill="FFFFFF"/>
          <w:lang w:eastAsia="zh-CN"/>
        </w:rPr>
        <w:t>泾干中学功能部室改造工程</w:t>
      </w:r>
      <w:r>
        <w:rPr>
          <w:rFonts w:hint="eastAsia" w:ascii="宋体" w:hAnsi="宋体" w:eastAsia="宋体" w:cs="宋体"/>
          <w:color w:val="auto"/>
          <w:kern w:val="0"/>
          <w:sz w:val="21"/>
          <w:szCs w:val="21"/>
          <w:highlight w:val="none"/>
          <w:shd w:val="clear" w:color="auto" w:fill="FFFFFF"/>
        </w:rPr>
        <w:t>)特定资格要求如下:</w:t>
      </w:r>
    </w:p>
    <w:p w14:paraId="55BC7ED2">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具有独立承担民事责任能力的法人、其他组织或自然人，并出具合法有效的营业执照或事业单位法人证书等国家规定的相关证明，自然人参与的提供其身份证明；</w:t>
      </w:r>
    </w:p>
    <w:p w14:paraId="02D3BDEB">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rPr>
        <w:t>供应商须</w:t>
      </w:r>
      <w:r>
        <w:rPr>
          <w:rFonts w:hint="eastAsia" w:ascii="宋体" w:hAnsi="宋体" w:eastAsia="宋体" w:cs="宋体"/>
          <w:color w:val="auto"/>
          <w:kern w:val="0"/>
          <w:sz w:val="21"/>
          <w:szCs w:val="21"/>
          <w:highlight w:val="none"/>
          <w:shd w:val="clear" w:color="auto" w:fill="FFFFFF"/>
        </w:rPr>
        <w:t>提供具有财务审计资质单位出具的202</w:t>
      </w:r>
      <w:r>
        <w:rPr>
          <w:rFonts w:hint="eastAsia" w:ascii="宋体" w:hAnsi="宋体" w:eastAsia="宋体" w:cs="宋体"/>
          <w:color w:val="auto"/>
          <w:kern w:val="0"/>
          <w:sz w:val="21"/>
          <w:szCs w:val="21"/>
          <w:highlight w:val="none"/>
          <w:shd w:val="clear" w:color="auto" w:fill="FFFFFF"/>
          <w:lang w:val="en-US" w:eastAsia="zh-CN"/>
        </w:rPr>
        <w:t>3</w:t>
      </w:r>
      <w:r>
        <w:rPr>
          <w:rFonts w:hint="eastAsia" w:ascii="宋体" w:hAnsi="宋体" w:eastAsia="宋体" w:cs="宋体"/>
          <w:color w:val="auto"/>
          <w:kern w:val="0"/>
          <w:sz w:val="21"/>
          <w:szCs w:val="21"/>
          <w:highlight w:val="none"/>
          <w:shd w:val="clear" w:color="auto" w:fill="FFFFFF"/>
        </w:rPr>
        <w:t>年</w:t>
      </w:r>
      <w:r>
        <w:rPr>
          <w:rFonts w:hint="eastAsia" w:ascii="宋体" w:hAnsi="宋体" w:eastAsia="宋体" w:cs="宋体"/>
          <w:color w:val="auto"/>
          <w:kern w:val="0"/>
          <w:sz w:val="21"/>
          <w:szCs w:val="21"/>
          <w:highlight w:val="none"/>
          <w:shd w:val="clear" w:color="auto" w:fill="FFFFFF"/>
          <w:lang w:val="en-US" w:eastAsia="zh-CN"/>
        </w:rPr>
        <w:t>-2024年任意一年年</w:t>
      </w:r>
      <w:r>
        <w:rPr>
          <w:rFonts w:hint="eastAsia" w:ascii="宋体" w:hAnsi="宋体" w:eastAsia="宋体" w:cs="宋体"/>
          <w:color w:val="auto"/>
          <w:kern w:val="0"/>
          <w:sz w:val="21"/>
          <w:szCs w:val="21"/>
          <w:highlight w:val="none"/>
          <w:shd w:val="clear" w:color="auto" w:fill="FFFFFF"/>
        </w:rPr>
        <w:t>度财务报告（包括资产负债表、利润表、现金流量表及会计报表附注，成立时间至开标时间不足一年的可提供成立后任意时段的资产负债表）或开标前六个月内其基本账户银行出具的资信证明（附开户许可证</w:t>
      </w:r>
      <w:r>
        <w:rPr>
          <w:rFonts w:hint="eastAsia" w:ascii="宋体" w:hAnsi="宋体" w:eastAsia="宋体" w:cs="宋体"/>
          <w:color w:val="auto"/>
          <w:kern w:val="0"/>
          <w:sz w:val="21"/>
          <w:szCs w:val="21"/>
          <w:highlight w:val="none"/>
          <w:shd w:val="clear" w:color="auto" w:fill="FFFFFF"/>
          <w:lang w:val="en-US" w:eastAsia="zh-CN"/>
        </w:rPr>
        <w:t>或</w:t>
      </w:r>
      <w:r>
        <w:rPr>
          <w:rFonts w:hint="eastAsia" w:ascii="宋体" w:hAnsi="宋体" w:eastAsia="宋体" w:cs="宋体"/>
          <w:color w:val="auto"/>
          <w:kern w:val="0"/>
          <w:sz w:val="21"/>
          <w:szCs w:val="21"/>
          <w:highlight w:val="none"/>
          <w:shd w:val="clear" w:color="auto" w:fill="FFFFFF"/>
        </w:rPr>
        <w:t>基本存款账户信息）或政府采购信用担保机构出具的投标担保函；</w:t>
      </w:r>
    </w:p>
    <w:p w14:paraId="760C0097">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 xml:space="preserve">供应商须提供2024年7月至今任意一个月已缴纳完税凭证或税务机关开具的完税证明，依法免税或无须缴纳税收的供应商应提供相关文件证明； </w:t>
      </w:r>
    </w:p>
    <w:p w14:paraId="6FD000C5">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供应商须提供2024年7月至今任意一个月已缴纳的社会保障资金缴存单据或社保机构开具的社会保险参保缴费情况证明，依法不需要缴纳社会保障资金的供应商应提供相关证明；</w:t>
      </w:r>
    </w:p>
    <w:p w14:paraId="6DA6527E">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具备履行合同所必需的设备和专业技术能力的证明材料(由供应商根据项目需求提供说明材料或者承诺)；</w:t>
      </w:r>
    </w:p>
    <w:p w14:paraId="22F20EE7">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提供参加政府采购活动前三年内在经营活动中没有重大违法记录的书面声明；</w:t>
      </w:r>
    </w:p>
    <w:p w14:paraId="548D6927">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p>
    <w:p w14:paraId="4C7560DB">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FF0000"/>
          <w:kern w:val="0"/>
          <w:sz w:val="21"/>
          <w:szCs w:val="21"/>
          <w:highlight w:val="none"/>
          <w:shd w:val="clear" w:color="auto" w:fill="FFFFFF"/>
        </w:rPr>
      </w:pPr>
      <w:r>
        <w:rPr>
          <w:rFonts w:hint="eastAsia" w:ascii="宋体" w:hAnsi="宋体" w:eastAsia="宋体" w:cs="宋体"/>
          <w:color w:val="FF0000"/>
          <w:kern w:val="0"/>
          <w:sz w:val="21"/>
          <w:szCs w:val="21"/>
          <w:highlight w:val="none"/>
          <w:shd w:val="clear" w:color="auto" w:fill="FFFFFF"/>
        </w:rPr>
        <w:t>供应商须具备建筑工程施工总承包叁级（含叁级）以上资质，同时具备建设行政主管部门颁发有效的安全生产许可证；</w:t>
      </w:r>
    </w:p>
    <w:p w14:paraId="21307CE1">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FF0000"/>
          <w:kern w:val="0"/>
          <w:sz w:val="21"/>
          <w:szCs w:val="21"/>
          <w:highlight w:val="none"/>
          <w:shd w:val="clear" w:color="auto" w:fill="FFFFFF"/>
        </w:rPr>
      </w:pPr>
      <w:r>
        <w:rPr>
          <w:rFonts w:hint="eastAsia" w:ascii="宋体" w:hAnsi="宋体" w:eastAsia="宋体" w:cs="宋体"/>
          <w:color w:val="FF0000"/>
          <w:kern w:val="0"/>
          <w:sz w:val="21"/>
          <w:szCs w:val="21"/>
          <w:highlight w:val="none"/>
          <w:shd w:val="clear" w:color="auto" w:fill="FFFFFF"/>
        </w:rPr>
        <w:t>拟投入的项目经理须具备建筑工程专业贰级（含贰级）以上注册建造师执业资格和有效的安全生产考核B证，且未担任其他在建工程项目的项目经理（需提供企业书面承诺等证明材料）；</w:t>
      </w:r>
    </w:p>
    <w:p w14:paraId="169CE0E7">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p>
    <w:p w14:paraId="480C9683">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与招标人存在利害关系可能影响招标公正性的单位，不得参加投标、单位负责人为同一人或存在控股、管理关系的不同单位，不得参加同一标段投标，否则，相关投标均无效；</w:t>
      </w:r>
    </w:p>
    <w:p w14:paraId="1F0D3642">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lang w:val="en-US" w:eastAsia="zh-CN"/>
        </w:rPr>
        <w:t>本项目不接受联合体磋商</w:t>
      </w:r>
      <w:r>
        <w:rPr>
          <w:rFonts w:hint="eastAsia" w:ascii="宋体" w:hAnsi="宋体" w:eastAsia="宋体" w:cs="宋体"/>
          <w:color w:val="auto"/>
          <w:kern w:val="0"/>
          <w:sz w:val="21"/>
          <w:szCs w:val="21"/>
          <w:highlight w:val="none"/>
          <w:shd w:val="clear" w:color="auto" w:fill="FFFFFF"/>
        </w:rPr>
        <w:t>。</w:t>
      </w:r>
    </w:p>
    <w:p w14:paraId="5501AA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left"/>
        <w:textAlignment w:val="baseline"/>
        <w:rPr>
          <w:rFonts w:hint="eastAsia" w:ascii="宋体" w:hAnsi="宋体" w:eastAsia="宋体" w:cs="宋体"/>
          <w:b w:val="0"/>
          <w:bCs w:val="0"/>
          <w:color w:val="auto"/>
          <w:sz w:val="21"/>
          <w:szCs w:val="21"/>
          <w:highlight w:val="none"/>
        </w:rPr>
      </w:pPr>
      <w:r>
        <w:rPr>
          <w:rStyle w:val="40"/>
          <w:rFonts w:hint="eastAsia" w:ascii="宋体" w:hAnsi="宋体" w:eastAsia="宋体" w:cs="宋体"/>
          <w:b/>
          <w:bCs/>
          <w:i w:val="0"/>
          <w:iCs w:val="0"/>
          <w:caps w:val="0"/>
          <w:color w:val="auto"/>
          <w:spacing w:val="0"/>
          <w:sz w:val="21"/>
          <w:szCs w:val="21"/>
          <w:highlight w:val="none"/>
          <w:shd w:val="clear" w:fill="FFFFFF"/>
          <w:vertAlign w:val="baseline"/>
        </w:rPr>
        <w:t>三、获取采购文件</w:t>
      </w:r>
    </w:p>
    <w:p w14:paraId="2C3517F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时间：2025年</w:t>
      </w:r>
      <w:r>
        <w:rPr>
          <w:rFonts w:hint="eastAsia" w:cs="宋体"/>
          <w:i w:val="0"/>
          <w:iCs w:val="0"/>
          <w:caps w:val="0"/>
          <w:color w:val="auto"/>
          <w:spacing w:val="0"/>
          <w:sz w:val="21"/>
          <w:szCs w:val="21"/>
          <w:highlight w:val="none"/>
          <w:shd w:val="clear" w:fill="FFFFFF"/>
          <w:vertAlign w:val="baseline"/>
          <w:lang w:val="en-US" w:eastAsia="zh-CN"/>
        </w:rPr>
        <w:t>07</w:t>
      </w:r>
      <w:r>
        <w:rPr>
          <w:rFonts w:hint="eastAsia" w:ascii="宋体" w:hAnsi="宋体" w:eastAsia="宋体" w:cs="宋体"/>
          <w:i w:val="0"/>
          <w:iCs w:val="0"/>
          <w:caps w:val="0"/>
          <w:color w:val="auto"/>
          <w:spacing w:val="0"/>
          <w:sz w:val="21"/>
          <w:szCs w:val="21"/>
          <w:highlight w:val="none"/>
          <w:shd w:val="clear" w:fill="FFFFFF"/>
          <w:vertAlign w:val="baseline"/>
        </w:rPr>
        <w:t>月</w:t>
      </w:r>
      <w:r>
        <w:rPr>
          <w:rFonts w:hint="eastAsia" w:cs="宋体"/>
          <w:i w:val="0"/>
          <w:iCs w:val="0"/>
          <w:caps w:val="0"/>
          <w:color w:val="auto"/>
          <w:spacing w:val="0"/>
          <w:sz w:val="21"/>
          <w:szCs w:val="21"/>
          <w:highlight w:val="none"/>
          <w:shd w:val="clear"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fill="FFFFFF"/>
          <w:vertAlign w:val="baseline"/>
        </w:rPr>
        <w:t>日至2025年</w:t>
      </w:r>
      <w:r>
        <w:rPr>
          <w:rFonts w:hint="eastAsia" w:cs="宋体"/>
          <w:i w:val="0"/>
          <w:iCs w:val="0"/>
          <w:caps w:val="0"/>
          <w:color w:val="auto"/>
          <w:spacing w:val="0"/>
          <w:sz w:val="21"/>
          <w:szCs w:val="21"/>
          <w:highlight w:val="none"/>
          <w:shd w:val="clear" w:fill="FFFFFF"/>
          <w:vertAlign w:val="baseline"/>
          <w:lang w:val="en-US" w:eastAsia="zh-CN"/>
        </w:rPr>
        <w:t>08月06</w:t>
      </w:r>
      <w:r>
        <w:rPr>
          <w:rFonts w:hint="eastAsia" w:ascii="宋体" w:hAnsi="宋体" w:eastAsia="宋体" w:cs="宋体"/>
          <w:i w:val="0"/>
          <w:iCs w:val="0"/>
          <w:caps w:val="0"/>
          <w:color w:val="auto"/>
          <w:spacing w:val="0"/>
          <w:sz w:val="21"/>
          <w:szCs w:val="21"/>
          <w:highlight w:val="none"/>
          <w:shd w:val="clear" w:fill="FFFFFF"/>
          <w:vertAlign w:val="baseline"/>
        </w:rPr>
        <w:t>日，每天上午09:00:00至12:00:00，下午14:</w:t>
      </w:r>
      <w:r>
        <w:rPr>
          <w:rFonts w:hint="eastAsia" w:cs="宋体"/>
          <w:i w:val="0"/>
          <w:iCs w:val="0"/>
          <w:caps w:val="0"/>
          <w:color w:val="auto"/>
          <w:spacing w:val="0"/>
          <w:sz w:val="21"/>
          <w:szCs w:val="21"/>
          <w:highlight w:val="none"/>
          <w:shd w:val="clear"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fill="FFFFFF"/>
          <w:vertAlign w:val="baseline"/>
        </w:rPr>
        <w:t>:00至17:00:00（北京时间）</w:t>
      </w:r>
    </w:p>
    <w:p w14:paraId="774C39E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途径：</w:t>
      </w:r>
      <w:r>
        <w:rPr>
          <w:rFonts w:hint="eastAsia" w:ascii="宋体" w:hAnsi="宋体" w:eastAsia="宋体" w:cs="宋体"/>
          <w:color w:val="auto"/>
          <w:kern w:val="2"/>
          <w:sz w:val="21"/>
          <w:szCs w:val="21"/>
        </w:rPr>
        <w:t>泾阳县中心街402号财政局院内泾阳县政府采购中心</w:t>
      </w:r>
    </w:p>
    <w:p w14:paraId="62147B6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方式：现场获取</w:t>
      </w:r>
    </w:p>
    <w:p w14:paraId="7164F13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vertAlign w:val="baseline"/>
        </w:rPr>
        <w:t>售价：</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0元</w:t>
      </w:r>
    </w:p>
    <w:p w14:paraId="689D14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left"/>
        <w:textAlignment w:val="baseline"/>
        <w:rPr>
          <w:rFonts w:hint="eastAsia" w:ascii="宋体" w:hAnsi="宋体" w:eastAsia="宋体" w:cs="宋体"/>
          <w:b w:val="0"/>
          <w:bCs w:val="0"/>
          <w:color w:val="auto"/>
          <w:sz w:val="21"/>
          <w:szCs w:val="21"/>
          <w:highlight w:val="none"/>
        </w:rPr>
      </w:pPr>
      <w:r>
        <w:rPr>
          <w:rStyle w:val="40"/>
          <w:rFonts w:hint="eastAsia" w:ascii="宋体" w:hAnsi="宋体" w:eastAsia="宋体" w:cs="宋体"/>
          <w:b/>
          <w:bCs/>
          <w:i w:val="0"/>
          <w:iCs w:val="0"/>
          <w:caps w:val="0"/>
          <w:color w:val="auto"/>
          <w:spacing w:val="0"/>
          <w:sz w:val="21"/>
          <w:szCs w:val="21"/>
          <w:highlight w:val="none"/>
          <w:shd w:val="clear" w:fill="FFFFFF"/>
          <w:vertAlign w:val="baseline"/>
        </w:rPr>
        <w:t>四</w:t>
      </w:r>
      <w:r>
        <w:rPr>
          <w:rStyle w:val="40"/>
          <w:rFonts w:hint="eastAsia" w:ascii="宋体" w:hAnsi="宋体" w:eastAsia="宋体" w:cs="宋体"/>
          <w:b/>
          <w:bCs/>
          <w:i w:val="0"/>
          <w:iCs w:val="0"/>
          <w:caps w:val="0"/>
          <w:color w:val="auto"/>
          <w:spacing w:val="0"/>
          <w:sz w:val="21"/>
          <w:szCs w:val="21"/>
          <w:highlight w:val="none"/>
          <w:shd w:val="clear" w:fill="FFFFFF"/>
          <w:vertAlign w:val="baseline"/>
          <w:lang w:eastAsia="zh-CN"/>
        </w:rPr>
        <w:t>、</w:t>
      </w:r>
      <w:r>
        <w:rPr>
          <w:rStyle w:val="40"/>
          <w:rFonts w:hint="eastAsia" w:ascii="宋体" w:hAnsi="宋体" w:eastAsia="宋体" w:cs="宋体"/>
          <w:b/>
          <w:bCs/>
          <w:i w:val="0"/>
          <w:iCs w:val="0"/>
          <w:caps w:val="0"/>
          <w:color w:val="auto"/>
          <w:spacing w:val="0"/>
          <w:sz w:val="21"/>
          <w:szCs w:val="21"/>
          <w:highlight w:val="none"/>
          <w:shd w:val="clear" w:fill="FFFFFF"/>
          <w:vertAlign w:val="baseline"/>
        </w:rPr>
        <w:t>响应文件提交</w:t>
      </w:r>
    </w:p>
    <w:p w14:paraId="2B7D987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截止时间：2025年</w:t>
      </w:r>
      <w:r>
        <w:rPr>
          <w:rFonts w:hint="eastAsia" w:cs="宋体"/>
          <w:i w:val="0"/>
          <w:iCs w:val="0"/>
          <w:caps w:val="0"/>
          <w:color w:val="auto"/>
          <w:spacing w:val="0"/>
          <w:sz w:val="21"/>
          <w:szCs w:val="21"/>
          <w:highlight w:val="none"/>
          <w:shd w:val="clear"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fill="FFFFFF"/>
          <w:vertAlign w:val="baseline"/>
        </w:rPr>
        <w:t>月</w:t>
      </w:r>
      <w:r>
        <w:rPr>
          <w:rFonts w:hint="eastAsia" w:cs="宋体"/>
          <w:i w:val="0"/>
          <w:iCs w:val="0"/>
          <w:caps w:val="0"/>
          <w:color w:val="auto"/>
          <w:spacing w:val="0"/>
          <w:sz w:val="21"/>
          <w:szCs w:val="21"/>
          <w:highlight w:val="none"/>
          <w:shd w:val="clear" w:fill="FFFFFF"/>
          <w:vertAlign w:val="baseline"/>
          <w:lang w:val="en-US" w:eastAsia="zh-CN"/>
        </w:rPr>
        <w:t>12</w:t>
      </w:r>
      <w:r>
        <w:rPr>
          <w:rFonts w:hint="eastAsia" w:ascii="宋体" w:hAnsi="宋体" w:eastAsia="宋体" w:cs="宋体"/>
          <w:i w:val="0"/>
          <w:iCs w:val="0"/>
          <w:caps w:val="0"/>
          <w:color w:val="auto"/>
          <w:spacing w:val="0"/>
          <w:sz w:val="21"/>
          <w:szCs w:val="21"/>
          <w:highlight w:val="none"/>
          <w:shd w:val="clear" w:fill="FFFFFF"/>
          <w:vertAlign w:val="baseline"/>
        </w:rPr>
        <w:t>日</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时</w:t>
      </w:r>
      <w:r>
        <w:rPr>
          <w:rFonts w:hint="eastAsia"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0分</w:t>
      </w:r>
      <w:r>
        <w:rPr>
          <w:rFonts w:hint="eastAsia" w:ascii="宋体" w:hAnsi="宋体" w:eastAsia="宋体" w:cs="宋体"/>
          <w:i w:val="0"/>
          <w:iCs w:val="0"/>
          <w:caps w:val="0"/>
          <w:color w:val="auto"/>
          <w:spacing w:val="0"/>
          <w:sz w:val="21"/>
          <w:szCs w:val="21"/>
          <w:highlight w:val="none"/>
          <w:shd w:val="clear" w:fill="FFFFFF"/>
          <w:vertAlign w:val="baseline"/>
        </w:rPr>
        <w:t>00秒（北京时间）</w:t>
      </w:r>
    </w:p>
    <w:p w14:paraId="4076070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地点：</w:t>
      </w:r>
      <w:r>
        <w:rPr>
          <w:rFonts w:hint="eastAsia" w:ascii="宋体" w:hAnsi="宋体" w:eastAsia="宋体" w:cs="宋体"/>
          <w:color w:val="auto"/>
          <w:kern w:val="2"/>
          <w:sz w:val="21"/>
          <w:szCs w:val="21"/>
        </w:rPr>
        <w:t>泾阳县中心街402号财政局院内泾阳县政府采购中心</w:t>
      </w:r>
    </w:p>
    <w:p w14:paraId="7EBE61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left"/>
        <w:textAlignment w:val="baseline"/>
        <w:rPr>
          <w:rFonts w:hint="eastAsia" w:ascii="宋体" w:hAnsi="宋体" w:eastAsia="宋体" w:cs="宋体"/>
          <w:b w:val="0"/>
          <w:bCs w:val="0"/>
          <w:color w:val="auto"/>
          <w:sz w:val="21"/>
          <w:szCs w:val="21"/>
          <w:highlight w:val="none"/>
        </w:rPr>
      </w:pPr>
      <w:r>
        <w:rPr>
          <w:rStyle w:val="40"/>
          <w:rFonts w:hint="eastAsia" w:ascii="宋体" w:hAnsi="宋体" w:eastAsia="宋体" w:cs="宋体"/>
          <w:b/>
          <w:bCs/>
          <w:i w:val="0"/>
          <w:iCs w:val="0"/>
          <w:caps w:val="0"/>
          <w:color w:val="auto"/>
          <w:spacing w:val="0"/>
          <w:sz w:val="21"/>
          <w:szCs w:val="21"/>
          <w:highlight w:val="none"/>
          <w:shd w:val="clear" w:fill="FFFFFF"/>
          <w:vertAlign w:val="baseline"/>
        </w:rPr>
        <w:t>五、开启</w:t>
      </w:r>
    </w:p>
    <w:p w14:paraId="27C0E7C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时间：2025年</w:t>
      </w:r>
      <w:r>
        <w:rPr>
          <w:rFonts w:hint="eastAsia" w:cs="宋体"/>
          <w:i w:val="0"/>
          <w:iCs w:val="0"/>
          <w:caps w:val="0"/>
          <w:color w:val="auto"/>
          <w:spacing w:val="0"/>
          <w:sz w:val="21"/>
          <w:szCs w:val="21"/>
          <w:highlight w:val="none"/>
          <w:shd w:val="clear"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fill="FFFFFF"/>
          <w:vertAlign w:val="baseline"/>
        </w:rPr>
        <w:t>月</w:t>
      </w:r>
      <w:r>
        <w:rPr>
          <w:rFonts w:hint="eastAsia" w:cs="宋体"/>
          <w:i w:val="0"/>
          <w:iCs w:val="0"/>
          <w:caps w:val="0"/>
          <w:color w:val="auto"/>
          <w:spacing w:val="0"/>
          <w:sz w:val="21"/>
          <w:szCs w:val="21"/>
          <w:highlight w:val="none"/>
          <w:shd w:val="clear" w:fill="FFFFFF"/>
          <w:vertAlign w:val="baseline"/>
          <w:lang w:val="en-US" w:eastAsia="zh-CN"/>
        </w:rPr>
        <w:t>12</w:t>
      </w:r>
      <w:r>
        <w:rPr>
          <w:rFonts w:hint="eastAsia" w:ascii="宋体" w:hAnsi="宋体" w:eastAsia="宋体" w:cs="宋体"/>
          <w:i w:val="0"/>
          <w:iCs w:val="0"/>
          <w:caps w:val="0"/>
          <w:color w:val="auto"/>
          <w:spacing w:val="0"/>
          <w:sz w:val="21"/>
          <w:szCs w:val="21"/>
          <w:highlight w:val="none"/>
          <w:shd w:val="clear" w:fill="FFFFFF"/>
          <w:vertAlign w:val="baseline"/>
        </w:rPr>
        <w:t>日</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时</w:t>
      </w:r>
      <w:r>
        <w:rPr>
          <w:rFonts w:hint="eastAsia"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0分</w:t>
      </w:r>
      <w:r>
        <w:rPr>
          <w:rFonts w:hint="eastAsia" w:ascii="宋体" w:hAnsi="宋体" w:eastAsia="宋体" w:cs="宋体"/>
          <w:i w:val="0"/>
          <w:iCs w:val="0"/>
          <w:caps w:val="0"/>
          <w:color w:val="auto"/>
          <w:spacing w:val="0"/>
          <w:sz w:val="21"/>
          <w:szCs w:val="21"/>
          <w:highlight w:val="none"/>
          <w:shd w:val="clear" w:fill="FFFFFF"/>
          <w:vertAlign w:val="baseline"/>
        </w:rPr>
        <w:t>00秒（北京时间）</w:t>
      </w:r>
    </w:p>
    <w:p w14:paraId="6025ABB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地点：</w:t>
      </w:r>
      <w:r>
        <w:rPr>
          <w:rFonts w:hint="eastAsia" w:ascii="宋体" w:hAnsi="宋体" w:eastAsia="宋体" w:cs="宋体"/>
          <w:color w:val="auto"/>
          <w:kern w:val="2"/>
          <w:sz w:val="21"/>
          <w:szCs w:val="21"/>
        </w:rPr>
        <w:t>泾阳县中心街402号财政局院内泾阳县政府采购中心</w:t>
      </w:r>
    </w:p>
    <w:p w14:paraId="2B240D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left"/>
        <w:textAlignment w:val="baseline"/>
        <w:rPr>
          <w:rFonts w:hint="eastAsia" w:ascii="宋体" w:hAnsi="宋体" w:eastAsia="宋体" w:cs="宋体"/>
          <w:b w:val="0"/>
          <w:bCs w:val="0"/>
          <w:color w:val="auto"/>
          <w:sz w:val="21"/>
          <w:szCs w:val="21"/>
          <w:highlight w:val="none"/>
        </w:rPr>
      </w:pPr>
      <w:r>
        <w:rPr>
          <w:rStyle w:val="40"/>
          <w:rFonts w:hint="eastAsia" w:ascii="宋体" w:hAnsi="宋体" w:eastAsia="宋体" w:cs="宋体"/>
          <w:b/>
          <w:bCs/>
          <w:i w:val="0"/>
          <w:iCs w:val="0"/>
          <w:caps w:val="0"/>
          <w:color w:val="auto"/>
          <w:spacing w:val="0"/>
          <w:sz w:val="21"/>
          <w:szCs w:val="21"/>
          <w:highlight w:val="none"/>
          <w:shd w:val="clear" w:fill="FFFFFF"/>
          <w:vertAlign w:val="baseline"/>
        </w:rPr>
        <w:t>六、公告期限</w:t>
      </w:r>
    </w:p>
    <w:p w14:paraId="44CD46B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自本公告发布之日起3个工作日。</w:t>
      </w:r>
    </w:p>
    <w:p w14:paraId="17D9BF5D">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2"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lang w:val="en-US" w:eastAsia="zh-CN"/>
        </w:rPr>
        <w:t>六</w:t>
      </w:r>
      <w:r>
        <w:rPr>
          <w:rFonts w:hint="eastAsia" w:ascii="宋体" w:hAnsi="宋体" w:eastAsia="宋体" w:cs="宋体"/>
          <w:b/>
          <w:bCs/>
          <w:color w:val="auto"/>
          <w:kern w:val="0"/>
          <w:sz w:val="21"/>
          <w:szCs w:val="21"/>
          <w:highlight w:val="none"/>
          <w:shd w:val="clear" w:color="auto" w:fill="FFFFFF"/>
        </w:rPr>
        <w:t>、其他补充事宜</w:t>
      </w:r>
    </w:p>
    <w:p w14:paraId="2E85DD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1.潜在供应商获取采购文件时，请于202</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5</w:t>
      </w:r>
      <w:r>
        <w:rPr>
          <w:rFonts w:hint="eastAsia" w:ascii="宋体" w:hAnsi="宋体" w:eastAsia="宋体" w:cs="宋体"/>
          <w:b w:val="0"/>
          <w:bCs w:val="0"/>
          <w:i w:val="0"/>
          <w:iCs w:val="0"/>
          <w:caps w:val="0"/>
          <w:color w:val="auto"/>
          <w:spacing w:val="0"/>
          <w:sz w:val="21"/>
          <w:szCs w:val="21"/>
          <w:shd w:val="clear" w:fill="FFFFFF"/>
          <w:vertAlign w:val="baseline"/>
        </w:rPr>
        <w:t>年</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07</w:t>
      </w:r>
      <w:r>
        <w:rPr>
          <w:rFonts w:hint="eastAsia" w:ascii="宋体" w:hAnsi="宋体" w:eastAsia="宋体" w:cs="宋体"/>
          <w:b w:val="0"/>
          <w:bCs w:val="0"/>
          <w:i w:val="0"/>
          <w:iCs w:val="0"/>
          <w:caps w:val="0"/>
          <w:color w:val="auto"/>
          <w:spacing w:val="0"/>
          <w:sz w:val="21"/>
          <w:szCs w:val="21"/>
          <w:shd w:val="clear" w:fill="FFFFFF"/>
          <w:vertAlign w:val="baseline"/>
        </w:rPr>
        <w:t>月</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30</w:t>
      </w:r>
      <w:r>
        <w:rPr>
          <w:rFonts w:hint="eastAsia" w:ascii="宋体" w:hAnsi="宋体" w:eastAsia="宋体" w:cs="宋体"/>
          <w:b w:val="0"/>
          <w:bCs w:val="0"/>
          <w:i w:val="0"/>
          <w:iCs w:val="0"/>
          <w:caps w:val="0"/>
          <w:color w:val="auto"/>
          <w:spacing w:val="0"/>
          <w:sz w:val="21"/>
          <w:szCs w:val="21"/>
          <w:shd w:val="clear" w:fill="FFFFFF"/>
          <w:vertAlign w:val="baseline"/>
        </w:rPr>
        <w:t>日至202</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5</w:t>
      </w:r>
      <w:r>
        <w:rPr>
          <w:rFonts w:hint="eastAsia" w:ascii="宋体" w:hAnsi="宋体" w:eastAsia="宋体" w:cs="宋体"/>
          <w:b w:val="0"/>
          <w:bCs w:val="0"/>
          <w:i w:val="0"/>
          <w:iCs w:val="0"/>
          <w:caps w:val="0"/>
          <w:color w:val="auto"/>
          <w:spacing w:val="0"/>
          <w:sz w:val="21"/>
          <w:szCs w:val="21"/>
          <w:shd w:val="clear" w:fill="FFFFFF"/>
          <w:vertAlign w:val="baseline"/>
        </w:rPr>
        <w:t>年</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08</w:t>
      </w:r>
      <w:r>
        <w:rPr>
          <w:rFonts w:hint="eastAsia" w:ascii="宋体" w:hAnsi="宋体" w:eastAsia="宋体" w:cs="宋体"/>
          <w:b w:val="0"/>
          <w:bCs w:val="0"/>
          <w:i w:val="0"/>
          <w:iCs w:val="0"/>
          <w:caps w:val="0"/>
          <w:color w:val="auto"/>
          <w:spacing w:val="0"/>
          <w:sz w:val="21"/>
          <w:szCs w:val="21"/>
          <w:shd w:val="clear" w:fill="FFFFFF"/>
          <w:vertAlign w:val="baseline"/>
        </w:rPr>
        <w:t>月</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06</w:t>
      </w:r>
      <w:r>
        <w:rPr>
          <w:rFonts w:hint="eastAsia" w:ascii="宋体" w:hAnsi="宋体" w:eastAsia="宋体" w:cs="宋体"/>
          <w:b w:val="0"/>
          <w:bCs w:val="0"/>
          <w:i w:val="0"/>
          <w:iCs w:val="0"/>
          <w:caps w:val="0"/>
          <w:color w:val="auto"/>
          <w:spacing w:val="0"/>
          <w:sz w:val="21"/>
          <w:szCs w:val="21"/>
          <w:shd w:val="clear" w:fill="FFFFFF"/>
          <w:vertAlign w:val="baseline"/>
        </w:rPr>
        <w:t>日，每天上午9</w:t>
      </w:r>
      <w:r>
        <w:rPr>
          <w:rFonts w:hint="eastAsia" w:ascii="宋体" w:hAnsi="宋体" w:eastAsia="宋体" w:cs="宋体"/>
          <w:b w:val="0"/>
          <w:bCs w:val="0"/>
          <w:i w:val="0"/>
          <w:iCs w:val="0"/>
          <w:caps w:val="0"/>
          <w:color w:val="auto"/>
          <w:spacing w:val="0"/>
          <w:sz w:val="21"/>
          <w:szCs w:val="21"/>
          <w:shd w:val="clear" w:fill="FFFFFF"/>
          <w:vertAlign w:val="baseline"/>
          <w:lang w:eastAsia="zh-CN"/>
        </w:rPr>
        <w:t>：</w:t>
      </w:r>
      <w:r>
        <w:rPr>
          <w:rFonts w:hint="eastAsia" w:ascii="宋体" w:hAnsi="宋体" w:eastAsia="宋体" w:cs="宋体"/>
          <w:b w:val="0"/>
          <w:bCs w:val="0"/>
          <w:i w:val="0"/>
          <w:iCs w:val="0"/>
          <w:caps w:val="0"/>
          <w:color w:val="auto"/>
          <w:spacing w:val="0"/>
          <w:sz w:val="21"/>
          <w:szCs w:val="21"/>
          <w:shd w:val="clear" w:fill="FFFFFF"/>
          <w:vertAlign w:val="baseline"/>
        </w:rPr>
        <w:t>00-1</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2</w:t>
      </w:r>
      <w:r>
        <w:rPr>
          <w:rFonts w:hint="eastAsia" w:ascii="宋体" w:hAnsi="宋体" w:eastAsia="宋体" w:cs="宋体"/>
          <w:b w:val="0"/>
          <w:bCs w:val="0"/>
          <w:i w:val="0"/>
          <w:iCs w:val="0"/>
          <w:caps w:val="0"/>
          <w:color w:val="auto"/>
          <w:spacing w:val="0"/>
          <w:sz w:val="21"/>
          <w:szCs w:val="21"/>
          <w:shd w:val="clear" w:fill="FFFFFF"/>
          <w:vertAlign w:val="baseline"/>
          <w:lang w:eastAsia="zh-CN"/>
        </w:rPr>
        <w:t>：</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0</w:t>
      </w:r>
      <w:r>
        <w:rPr>
          <w:rFonts w:hint="eastAsia" w:ascii="宋体" w:hAnsi="宋体" w:eastAsia="宋体" w:cs="宋体"/>
          <w:b w:val="0"/>
          <w:bCs w:val="0"/>
          <w:i w:val="0"/>
          <w:iCs w:val="0"/>
          <w:caps w:val="0"/>
          <w:color w:val="auto"/>
          <w:spacing w:val="0"/>
          <w:sz w:val="21"/>
          <w:szCs w:val="21"/>
          <w:shd w:val="clear" w:fill="FFFFFF"/>
          <w:vertAlign w:val="baseline"/>
        </w:rPr>
        <w:t>0，下午14</w:t>
      </w:r>
      <w:r>
        <w:rPr>
          <w:rFonts w:hint="eastAsia" w:ascii="宋体" w:hAnsi="宋体" w:eastAsia="宋体" w:cs="宋体"/>
          <w:b w:val="0"/>
          <w:bCs w:val="0"/>
          <w:i w:val="0"/>
          <w:iCs w:val="0"/>
          <w:caps w:val="0"/>
          <w:color w:val="auto"/>
          <w:spacing w:val="0"/>
          <w:sz w:val="21"/>
          <w:szCs w:val="21"/>
          <w:shd w:val="clear" w:fill="FFFFFF"/>
          <w:vertAlign w:val="baseline"/>
          <w:lang w:eastAsia="zh-CN"/>
        </w:rPr>
        <w:t>：</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3</w:t>
      </w:r>
      <w:r>
        <w:rPr>
          <w:rFonts w:hint="eastAsia" w:ascii="宋体" w:hAnsi="宋体" w:eastAsia="宋体" w:cs="宋体"/>
          <w:b w:val="0"/>
          <w:bCs w:val="0"/>
          <w:i w:val="0"/>
          <w:iCs w:val="0"/>
          <w:caps w:val="0"/>
          <w:color w:val="auto"/>
          <w:spacing w:val="0"/>
          <w:sz w:val="21"/>
          <w:szCs w:val="21"/>
          <w:shd w:val="clear" w:fill="FFFFFF"/>
          <w:vertAlign w:val="baseline"/>
        </w:rPr>
        <w:t>0-17</w:t>
      </w:r>
      <w:r>
        <w:rPr>
          <w:rFonts w:hint="eastAsia" w:ascii="宋体" w:hAnsi="宋体" w:eastAsia="宋体" w:cs="宋体"/>
          <w:b w:val="0"/>
          <w:bCs w:val="0"/>
          <w:i w:val="0"/>
          <w:iCs w:val="0"/>
          <w:caps w:val="0"/>
          <w:color w:val="auto"/>
          <w:spacing w:val="0"/>
          <w:sz w:val="21"/>
          <w:szCs w:val="21"/>
          <w:shd w:val="clear" w:fill="FFFFFF"/>
          <w:vertAlign w:val="baseline"/>
          <w:lang w:eastAsia="zh-CN"/>
        </w:rPr>
        <w:t>：</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0</w:t>
      </w:r>
      <w:r>
        <w:rPr>
          <w:rFonts w:hint="eastAsia" w:ascii="宋体" w:hAnsi="宋体" w:eastAsia="宋体" w:cs="宋体"/>
          <w:b w:val="0"/>
          <w:bCs w:val="0"/>
          <w:i w:val="0"/>
          <w:iCs w:val="0"/>
          <w:caps w:val="0"/>
          <w:color w:val="auto"/>
          <w:spacing w:val="0"/>
          <w:sz w:val="21"/>
          <w:szCs w:val="21"/>
          <w:shd w:val="clear" w:fill="FFFFFF"/>
          <w:vertAlign w:val="baseline"/>
        </w:rPr>
        <w:t>0（法定节假日除外），</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携带</w:t>
      </w:r>
      <w:r>
        <w:rPr>
          <w:rFonts w:hint="eastAsia" w:ascii="宋体" w:hAnsi="宋体" w:eastAsia="宋体" w:cs="宋体"/>
          <w:b w:val="0"/>
          <w:bCs w:val="0"/>
          <w:i w:val="0"/>
          <w:iCs w:val="0"/>
          <w:caps w:val="0"/>
          <w:color w:val="auto"/>
          <w:spacing w:val="0"/>
          <w:sz w:val="21"/>
          <w:szCs w:val="21"/>
          <w:shd w:val="clear" w:fill="FFFFFF"/>
          <w:vertAlign w:val="baseline"/>
        </w:rPr>
        <w:t>供应商出具的</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有效的</w:t>
      </w:r>
      <w:r>
        <w:rPr>
          <w:rFonts w:hint="eastAsia" w:ascii="宋体" w:hAnsi="宋体" w:eastAsia="宋体" w:cs="宋体"/>
          <w:b w:val="0"/>
          <w:bCs w:val="0"/>
          <w:i w:val="0"/>
          <w:iCs w:val="0"/>
          <w:caps w:val="0"/>
          <w:color w:val="auto"/>
          <w:spacing w:val="0"/>
          <w:sz w:val="21"/>
          <w:szCs w:val="21"/>
          <w:shd w:val="clear" w:fill="FFFFFF"/>
          <w:vertAlign w:val="baseline"/>
        </w:rPr>
        <w:t>单位介绍信及经办人身份证复印件加盖公章</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至泾阳县中心街402号财政局院内泾阳县政府采购中心</w:t>
      </w:r>
      <w:r>
        <w:rPr>
          <w:rFonts w:hint="eastAsia" w:ascii="宋体" w:hAnsi="宋体" w:eastAsia="宋体" w:cs="宋体"/>
          <w:b w:val="0"/>
          <w:bCs w:val="0"/>
          <w:i w:val="0"/>
          <w:iCs w:val="0"/>
          <w:caps w:val="0"/>
          <w:color w:val="auto"/>
          <w:spacing w:val="0"/>
          <w:sz w:val="21"/>
          <w:szCs w:val="21"/>
          <w:shd w:val="clear" w:fill="FFFFFF"/>
          <w:vertAlign w:val="baseline"/>
          <w:lang w:eastAsia="zh-CN"/>
        </w:rPr>
        <w:t>；</w:t>
      </w:r>
      <w:r>
        <w:rPr>
          <w:rFonts w:hint="eastAsia" w:ascii="宋体" w:hAnsi="宋体" w:eastAsia="宋体" w:cs="宋体"/>
          <w:b w:val="0"/>
          <w:bCs w:val="0"/>
          <w:i w:val="0"/>
          <w:iCs w:val="0"/>
          <w:caps w:val="0"/>
          <w:color w:val="auto"/>
          <w:spacing w:val="0"/>
          <w:sz w:val="21"/>
          <w:szCs w:val="21"/>
          <w:shd w:val="clear" w:fill="FFFFFF"/>
          <w:vertAlign w:val="baseline"/>
        </w:rPr>
        <w:t>现场领取采购文件，不提供邮寄；电子文件通过U盘拷贝或QQ 邮箱发送。</w:t>
      </w:r>
    </w:p>
    <w:p w14:paraId="1FA49A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2.请潜在供应商务必按照《陕西省财政厅关于政府采购供应商注册登记有关事项的通知》要求，通过陕西省政府采购网（http://www.ccgp-shaanxi.gov.cn/）进行陕西政府采购统一身份认证注册登记。</w:t>
      </w:r>
    </w:p>
    <w:p w14:paraId="050A5C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3.本项目需要落实的政府采购政策：</w:t>
      </w:r>
    </w:p>
    <w:p w14:paraId="3E4D00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（1）《政府采购促进中小企业发展管理办法》（财库〔2020〕46号）；</w:t>
      </w:r>
    </w:p>
    <w:p w14:paraId="25DDA8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（2）《财政部司法部关于政府采购支持监狱企业发展有关问题的通知》（财库〔2014〕68号）；</w:t>
      </w:r>
    </w:p>
    <w:p w14:paraId="60053F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（3）《国务院办公厅关于建立政府强制采购节能产品制度的通知》（国办发〔2007〕51号）；</w:t>
      </w:r>
    </w:p>
    <w:p w14:paraId="3DC91F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（4）《环境标志产品政府采购实施的意见》（财库〔2006〕90号）；</w:t>
      </w:r>
    </w:p>
    <w:p w14:paraId="6B82AE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（5）《关于促进残疾人就业政府采购政策的通知》（财库〔2017〕141号）；</w:t>
      </w:r>
    </w:p>
    <w:p w14:paraId="68F1CA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（6）《财政部国家发展改革委关于印发〈节能产品政府采购实施意见〉的通知》（财库〔2004〕185号）；</w:t>
      </w:r>
    </w:p>
    <w:p w14:paraId="3DE49C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（7）《财政部发展改革委生态环境部市场监管总局关于调整优化节能产品、环境标志产品政府采购执行机制的通知》（财库〔2019〕9号）；</w:t>
      </w:r>
    </w:p>
    <w:p w14:paraId="030E14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（8）《关于印发环境标志产品政府采购品目清单的通知》（财库〔2019〕18号）；</w:t>
      </w:r>
    </w:p>
    <w:p w14:paraId="0D6D65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（9）《关于印发节能产品政府采购品目清单的通知》（财库〔2019〕19号）；</w:t>
      </w:r>
    </w:p>
    <w:p w14:paraId="1B049A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（10）《关于运用政府采购政策支持乡村产业振兴的通知》（财库〔2021〕19号）；</w:t>
      </w:r>
    </w:p>
    <w:p w14:paraId="589674F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（11）《陕西省中小企业政府采购信用融资办法》（陕财办采〔2018〕23号）；</w:t>
      </w:r>
    </w:p>
    <w:p w14:paraId="46CC2E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（12）《陕西省财政厅关于加快推进我省中小企业政府采购信用融资工作的通知》（陕财办采〔2020〕15号）；</w:t>
      </w:r>
    </w:p>
    <w:p w14:paraId="1DDF88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（13）《财政部关于在政府采购活动中查询及使用信用记录有关问题的通知》（财库〔2016〕125号）；</w:t>
      </w:r>
    </w:p>
    <w:p w14:paraId="1F8706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（14）《财政部关于进一步加大政府采购支持中小企业力度的通知》（财库〔2022〕19号）；</w:t>
      </w:r>
    </w:p>
    <w:p w14:paraId="0E5E71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i w:val="0"/>
          <w:iCs w:val="0"/>
          <w:caps w:val="0"/>
          <w:color w:val="auto"/>
          <w:spacing w:val="0"/>
          <w:sz w:val="21"/>
          <w:szCs w:val="21"/>
          <w:shd w:val="clear" w:fill="FFFFFF"/>
          <w:vertAlign w:val="baseline"/>
        </w:rPr>
      </w:pPr>
      <w:r>
        <w:rPr>
          <w:rFonts w:hint="eastAsia" w:ascii="宋体" w:hAnsi="宋体" w:eastAsia="宋体" w:cs="宋体"/>
          <w:b w:val="0"/>
          <w:bCs w:val="0"/>
          <w:i w:val="0"/>
          <w:iCs w:val="0"/>
          <w:caps w:val="0"/>
          <w:color w:val="auto"/>
          <w:spacing w:val="0"/>
          <w:sz w:val="21"/>
          <w:szCs w:val="21"/>
          <w:shd w:val="clear" w:fill="FFFFFF"/>
          <w:vertAlign w:val="baseline"/>
        </w:rPr>
        <w:t>（1</w:t>
      </w:r>
      <w:r>
        <w:rPr>
          <w:rFonts w:hint="eastAsia" w:ascii="宋体" w:hAnsi="宋体" w:eastAsia="宋体" w:cs="宋体"/>
          <w:b w:val="0"/>
          <w:bCs w:val="0"/>
          <w:i w:val="0"/>
          <w:iCs w:val="0"/>
          <w:caps w:val="0"/>
          <w:color w:val="auto"/>
          <w:spacing w:val="0"/>
          <w:sz w:val="21"/>
          <w:szCs w:val="21"/>
          <w:shd w:val="clear" w:fill="FFFFFF"/>
          <w:vertAlign w:val="baseline"/>
          <w:lang w:val="en-US" w:eastAsia="zh-CN"/>
        </w:rPr>
        <w:t>5</w:t>
      </w:r>
      <w:r>
        <w:rPr>
          <w:rFonts w:hint="eastAsia" w:ascii="宋体" w:hAnsi="宋体" w:eastAsia="宋体" w:cs="宋体"/>
          <w:b w:val="0"/>
          <w:bCs w:val="0"/>
          <w:i w:val="0"/>
          <w:iCs w:val="0"/>
          <w:caps w:val="0"/>
          <w:color w:val="auto"/>
          <w:spacing w:val="0"/>
          <w:sz w:val="21"/>
          <w:szCs w:val="21"/>
          <w:shd w:val="clear" w:fill="FFFFFF"/>
          <w:vertAlign w:val="baseline"/>
        </w:rPr>
        <w:t>）其他落实的政府采购政策。若享受以上政策优惠的企业，需提供相应声明函或品目清单范围内产品的有效认证证书。</w:t>
      </w:r>
    </w:p>
    <w:p w14:paraId="50E8F237">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22" w:firstLineChars="200"/>
        <w:textAlignment w:val="auto"/>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lang w:val="en-US" w:eastAsia="zh-CN"/>
        </w:rPr>
        <w:t>七</w:t>
      </w:r>
      <w:r>
        <w:rPr>
          <w:rFonts w:hint="eastAsia" w:ascii="宋体" w:hAnsi="宋体" w:eastAsia="宋体" w:cs="宋体"/>
          <w:b/>
          <w:bCs/>
          <w:color w:val="auto"/>
          <w:kern w:val="0"/>
          <w:sz w:val="21"/>
          <w:szCs w:val="21"/>
          <w:highlight w:val="none"/>
          <w:shd w:val="clear" w:color="auto" w:fill="FFFFFF"/>
        </w:rPr>
        <w:t>、对本次招标提出询问，请按以下方式联系。</w:t>
      </w:r>
    </w:p>
    <w:p w14:paraId="56A354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1.采购人信息</w:t>
      </w:r>
    </w:p>
    <w:p w14:paraId="39B3589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vertAlign w:val="baseline"/>
        </w:rPr>
        <w:t>名称：</w:t>
      </w:r>
      <w:r>
        <w:rPr>
          <w:rFonts w:hint="eastAsia" w:ascii="宋体" w:hAnsi="宋体" w:eastAsia="宋体" w:cs="宋体"/>
          <w:i w:val="0"/>
          <w:iCs w:val="0"/>
          <w:caps w:val="0"/>
          <w:color w:val="auto"/>
          <w:spacing w:val="0"/>
          <w:sz w:val="21"/>
          <w:szCs w:val="21"/>
          <w:shd w:val="clear" w:fill="FFFFFF"/>
          <w:vertAlign w:val="baseline"/>
          <w:lang w:eastAsia="zh-CN"/>
        </w:rPr>
        <w:t>泾阳县泾干中学</w:t>
      </w:r>
    </w:p>
    <w:p w14:paraId="26F9303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FF0000"/>
          <w:sz w:val="21"/>
          <w:szCs w:val="21"/>
          <w:lang w:eastAsia="zh-CN"/>
        </w:rPr>
      </w:pPr>
      <w:r>
        <w:rPr>
          <w:rFonts w:hint="eastAsia" w:ascii="宋体" w:hAnsi="宋体" w:eastAsia="宋体" w:cs="宋体"/>
          <w:i w:val="0"/>
          <w:iCs w:val="0"/>
          <w:caps w:val="0"/>
          <w:color w:val="FF0000"/>
          <w:spacing w:val="0"/>
          <w:sz w:val="21"/>
          <w:szCs w:val="21"/>
          <w:shd w:val="clear" w:fill="FFFFFF"/>
          <w:vertAlign w:val="baseline"/>
        </w:rPr>
        <w:t>地址：咸阳市泾阳县泾干街道泾干大街</w:t>
      </w:r>
      <w:r>
        <w:rPr>
          <w:rFonts w:hint="eastAsia" w:ascii="宋体" w:hAnsi="宋体" w:eastAsia="宋体" w:cs="宋体"/>
          <w:color w:val="FF0000"/>
          <w:sz w:val="21"/>
          <w:szCs w:val="21"/>
          <w:lang w:val="en-US" w:eastAsia="zh-CN"/>
        </w:rPr>
        <w:t xml:space="preserve"> </w:t>
      </w:r>
    </w:p>
    <w:p w14:paraId="682D63F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FF0000"/>
          <w:sz w:val="21"/>
          <w:szCs w:val="21"/>
          <w:lang w:val="en-US" w:eastAsia="zh-CN"/>
        </w:rPr>
      </w:pPr>
      <w:r>
        <w:rPr>
          <w:rFonts w:hint="eastAsia" w:ascii="宋体" w:hAnsi="宋体" w:eastAsia="宋体" w:cs="宋体"/>
          <w:i w:val="0"/>
          <w:iCs w:val="0"/>
          <w:caps w:val="0"/>
          <w:color w:val="FF0000"/>
          <w:spacing w:val="0"/>
          <w:sz w:val="21"/>
          <w:szCs w:val="21"/>
          <w:shd w:val="clear" w:fill="FFFFFF"/>
          <w:vertAlign w:val="baseline"/>
        </w:rPr>
        <w:t>联系方式：</w:t>
      </w:r>
      <w:r>
        <w:rPr>
          <w:rFonts w:hint="eastAsia" w:ascii="宋体" w:hAnsi="宋体" w:eastAsia="宋体" w:cs="宋体"/>
          <w:i w:val="0"/>
          <w:iCs w:val="0"/>
          <w:caps w:val="0"/>
          <w:color w:val="FF0000"/>
          <w:spacing w:val="0"/>
          <w:sz w:val="21"/>
          <w:szCs w:val="21"/>
          <w:shd w:val="clear" w:fill="FFFFFF"/>
          <w:vertAlign w:val="baseline"/>
          <w:lang w:val="en-US" w:eastAsia="zh-CN"/>
        </w:rPr>
        <w:t>13891486463</w:t>
      </w:r>
    </w:p>
    <w:p w14:paraId="1A8A17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2.</w:t>
      </w:r>
      <w:r>
        <w:rPr>
          <w:rFonts w:hint="eastAsia" w:ascii="宋体" w:hAnsi="宋体" w:eastAsia="宋体" w:cs="宋体"/>
          <w:b w:val="0"/>
          <w:bCs w:val="0"/>
          <w:i w:val="0"/>
          <w:iCs w:val="0"/>
          <w:caps w:val="0"/>
          <w:color w:val="auto"/>
          <w:spacing w:val="0"/>
          <w:sz w:val="21"/>
          <w:szCs w:val="21"/>
          <w:shd w:val="clear" w:fill="FFFFFF"/>
          <w:vertAlign w:val="baseline"/>
          <w:lang w:eastAsia="zh-CN"/>
        </w:rPr>
        <w:t>采购代理机构</w:t>
      </w:r>
      <w:r>
        <w:rPr>
          <w:rFonts w:hint="eastAsia" w:ascii="宋体" w:hAnsi="宋体" w:eastAsia="宋体" w:cs="宋体"/>
          <w:b w:val="0"/>
          <w:bCs w:val="0"/>
          <w:i w:val="0"/>
          <w:iCs w:val="0"/>
          <w:caps w:val="0"/>
          <w:color w:val="auto"/>
          <w:spacing w:val="0"/>
          <w:sz w:val="21"/>
          <w:szCs w:val="21"/>
          <w:shd w:val="clear" w:fill="FFFFFF"/>
          <w:vertAlign w:val="baseline"/>
        </w:rPr>
        <w:t>信息</w:t>
      </w:r>
    </w:p>
    <w:p w14:paraId="6AD2FC8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名称：泾阳县政府采购中心</w:t>
      </w:r>
    </w:p>
    <w:p w14:paraId="6703D83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地址：咸阳市泾阳县中心街402号</w:t>
      </w:r>
    </w:p>
    <w:p w14:paraId="048CC19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联系方式：029-36223975</w:t>
      </w:r>
    </w:p>
    <w:p w14:paraId="708DA1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vertAlign w:val="baseline"/>
        </w:rPr>
        <w:t>3.项目联系方式</w:t>
      </w:r>
    </w:p>
    <w:p w14:paraId="48ED75B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项目联系人：</w:t>
      </w:r>
      <w:r>
        <w:rPr>
          <w:rFonts w:hint="eastAsia" w:ascii="宋体" w:hAnsi="宋体" w:eastAsia="宋体" w:cs="宋体"/>
          <w:i w:val="0"/>
          <w:iCs w:val="0"/>
          <w:caps w:val="0"/>
          <w:color w:val="auto"/>
          <w:spacing w:val="0"/>
          <w:sz w:val="21"/>
          <w:szCs w:val="21"/>
          <w:shd w:val="clear" w:fill="FFFFFF"/>
          <w:vertAlign w:val="baseline"/>
          <w:lang w:eastAsia="zh-CN"/>
        </w:rPr>
        <w:t>赵</w:t>
      </w:r>
      <w:r>
        <w:rPr>
          <w:rFonts w:hint="eastAsia" w:ascii="宋体" w:hAnsi="宋体" w:eastAsia="宋体" w:cs="宋体"/>
          <w:i w:val="0"/>
          <w:iCs w:val="0"/>
          <w:caps w:val="0"/>
          <w:color w:val="auto"/>
          <w:spacing w:val="0"/>
          <w:sz w:val="21"/>
          <w:szCs w:val="21"/>
          <w:shd w:val="clear" w:fill="FFFFFF"/>
          <w:vertAlign w:val="baseline"/>
        </w:rPr>
        <w:t>工</w:t>
      </w:r>
    </w:p>
    <w:p w14:paraId="105BC82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vertAlign w:val="baseline"/>
        </w:rPr>
        <w:t>电话：029-36223975</w:t>
      </w:r>
    </w:p>
    <w:p w14:paraId="54853D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right="0" w:firstLine="420" w:firstLineChars="200"/>
        <w:jc w:val="right"/>
        <w:textAlignment w:val="auto"/>
        <w:outlineLvl w:val="9"/>
        <w:rPr>
          <w:rFonts w:hint="eastAsia" w:ascii="宋体" w:hAnsi="宋体" w:eastAsia="宋体" w:cs="宋体"/>
          <w:b w:val="0"/>
          <w:bCs w:val="0"/>
          <w:i w:val="0"/>
          <w:iCs w:val="0"/>
          <w:caps w:val="0"/>
          <w:color w:val="auto"/>
          <w:spacing w:val="0"/>
          <w:sz w:val="21"/>
          <w:szCs w:val="21"/>
          <w:highlight w:val="none"/>
          <w:shd w:val="clear" w:color="auto" w:fill="FFFFFF"/>
          <w:lang w:eastAsia="zh-CN"/>
        </w:rPr>
      </w:pPr>
      <w:r>
        <w:rPr>
          <w:rFonts w:hint="eastAsia" w:ascii="宋体" w:hAnsi="宋体" w:eastAsia="宋体" w:cs="宋体"/>
          <w:b w:val="0"/>
          <w:bCs w:val="0"/>
          <w:i w:val="0"/>
          <w:iCs w:val="0"/>
          <w:caps w:val="0"/>
          <w:color w:val="auto"/>
          <w:spacing w:val="0"/>
          <w:sz w:val="21"/>
          <w:szCs w:val="21"/>
          <w:highlight w:val="none"/>
          <w:shd w:val="clear" w:color="auto" w:fill="FFFFFF"/>
          <w:lang w:eastAsia="zh-CN"/>
        </w:rPr>
        <w:t>泾阳县政府采购中心</w:t>
      </w:r>
    </w:p>
    <w:p w14:paraId="0F973500">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right"/>
        <w:textAlignment w:val="auto"/>
        <w:rPr>
          <w:rFonts w:hint="eastAsia" w:ascii="宋体" w:hAnsi="宋体" w:eastAsia="宋体" w:cs="宋体"/>
          <w:b w:val="0"/>
          <w:bCs w:val="0"/>
          <w:i w:val="0"/>
          <w:iCs w:val="0"/>
          <w:caps w:val="0"/>
          <w:color w:val="auto"/>
          <w:spacing w:val="0"/>
          <w:sz w:val="21"/>
          <w:szCs w:val="21"/>
          <w:highlight w:val="none"/>
          <w:shd w:val="clear" w:color="auto" w:fill="FFFFFF"/>
        </w:rPr>
        <w:sectPr>
          <w:footerReference r:id="rId13" w:type="first"/>
          <w:footerReference r:id="rId12"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425" w:num="1"/>
          <w:docGrid w:linePitch="312" w:charSpace="0"/>
        </w:sectPr>
      </w:pPr>
      <w:r>
        <w:rPr>
          <w:rFonts w:hint="eastAsia" w:ascii="宋体" w:hAnsi="宋体" w:eastAsia="宋体" w:cs="宋体"/>
          <w:b w:val="0"/>
          <w:bCs w:val="0"/>
          <w:i w:val="0"/>
          <w:iCs w:val="0"/>
          <w:caps w:val="0"/>
          <w:color w:val="auto"/>
          <w:spacing w:val="0"/>
          <w:sz w:val="21"/>
          <w:szCs w:val="21"/>
          <w:highlight w:val="none"/>
          <w:shd w:val="clear" w:color="auto" w:fill="FFFFFF"/>
        </w:rPr>
        <w:t>20</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25</w:t>
      </w:r>
      <w:r>
        <w:rPr>
          <w:rFonts w:hint="eastAsia" w:ascii="宋体" w:hAnsi="宋体" w:eastAsia="宋体" w:cs="宋体"/>
          <w:b w:val="0"/>
          <w:bCs w:val="0"/>
          <w:i w:val="0"/>
          <w:iCs w:val="0"/>
          <w:caps w:val="0"/>
          <w:color w:val="auto"/>
          <w:spacing w:val="0"/>
          <w:sz w:val="21"/>
          <w:szCs w:val="21"/>
          <w:highlight w:val="none"/>
          <w:shd w:val="clear" w:color="auto" w:fill="FFFFFF"/>
        </w:rPr>
        <w:t>年</w:t>
      </w:r>
      <w:r>
        <w:rPr>
          <w:rFonts w:hint="eastAsia" w:cs="宋体"/>
          <w:b w:val="0"/>
          <w:bCs w:val="0"/>
          <w:i w:val="0"/>
          <w:iCs w:val="0"/>
          <w:caps w:val="0"/>
          <w:color w:val="auto"/>
          <w:spacing w:val="0"/>
          <w:sz w:val="21"/>
          <w:szCs w:val="21"/>
          <w:highlight w:val="none"/>
          <w:shd w:val="clear" w:color="auto" w:fill="FFFFFF"/>
          <w:lang w:val="en-US" w:eastAsia="zh-CN"/>
        </w:rPr>
        <w:t>07</w:t>
      </w:r>
      <w:r>
        <w:rPr>
          <w:rFonts w:hint="eastAsia" w:ascii="宋体" w:hAnsi="宋体" w:eastAsia="宋体" w:cs="宋体"/>
          <w:b w:val="0"/>
          <w:bCs w:val="0"/>
          <w:i w:val="0"/>
          <w:iCs w:val="0"/>
          <w:caps w:val="0"/>
          <w:color w:val="auto"/>
          <w:spacing w:val="0"/>
          <w:sz w:val="21"/>
          <w:szCs w:val="21"/>
          <w:highlight w:val="none"/>
          <w:shd w:val="clear" w:color="auto" w:fill="FFFFFF"/>
        </w:rPr>
        <w:t>月</w:t>
      </w:r>
      <w:r>
        <w:rPr>
          <w:rFonts w:hint="eastAsia" w:cs="宋体"/>
          <w:b w:val="0"/>
          <w:bCs w:val="0"/>
          <w:i w:val="0"/>
          <w:iCs w:val="0"/>
          <w:caps w:val="0"/>
          <w:color w:val="auto"/>
          <w:spacing w:val="0"/>
          <w:sz w:val="21"/>
          <w:szCs w:val="21"/>
          <w:highlight w:val="none"/>
          <w:shd w:val="clear" w:color="auto" w:fill="FFFFFF"/>
          <w:lang w:val="en-US" w:eastAsia="zh-CN"/>
        </w:rPr>
        <w:t>30</w:t>
      </w:r>
      <w:r>
        <w:rPr>
          <w:rFonts w:hint="eastAsia" w:ascii="宋体" w:hAnsi="宋体" w:eastAsia="宋体" w:cs="宋体"/>
          <w:b w:val="0"/>
          <w:bCs w:val="0"/>
          <w:i w:val="0"/>
          <w:iCs w:val="0"/>
          <w:caps w:val="0"/>
          <w:color w:val="auto"/>
          <w:spacing w:val="0"/>
          <w:sz w:val="21"/>
          <w:szCs w:val="21"/>
          <w:highlight w:val="none"/>
          <w:shd w:val="clear" w:color="auto" w:fill="FFFFFF"/>
        </w:rPr>
        <w:t>日</w:t>
      </w:r>
    </w:p>
    <w:bookmarkEnd w:id="1"/>
    <w:bookmarkEnd w:id="2"/>
    <w:bookmarkEnd w:id="3"/>
    <w:p w14:paraId="4FD583E0">
      <w:pPr>
        <w:pStyle w:val="2"/>
        <w:keepLines w:val="0"/>
        <w:pageBreakBefore w:val="0"/>
        <w:numPr>
          <w:ilvl w:val="0"/>
          <w:numId w:val="0"/>
        </w:numPr>
        <w:kinsoku/>
        <w:bidi w:val="0"/>
        <w:spacing w:line="360" w:lineRule="auto"/>
        <w:jc w:val="center"/>
        <w:rPr>
          <w:rFonts w:hint="eastAsia" w:ascii="宋体" w:hAnsi="宋体" w:eastAsia="宋体" w:cs="宋体"/>
          <w:b/>
          <w:color w:val="auto"/>
          <w:sz w:val="36"/>
          <w:szCs w:val="36"/>
          <w:highlight w:val="none"/>
        </w:rPr>
      </w:pPr>
      <w:bookmarkStart w:id="4" w:name="_Toc14736"/>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竞争性磋商须知</w:t>
      </w:r>
      <w:bookmarkEnd w:id="4"/>
    </w:p>
    <w:tbl>
      <w:tblPr>
        <w:tblStyle w:val="37"/>
        <w:tblW w:w="100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921"/>
        <w:gridCol w:w="7518"/>
      </w:tblGrid>
      <w:tr w14:paraId="43918B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613" w:type="dxa"/>
            <w:vAlign w:val="center"/>
          </w:tcPr>
          <w:p w14:paraId="38BDD0AD">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1921" w:type="dxa"/>
            <w:vAlign w:val="center"/>
          </w:tcPr>
          <w:p w14:paraId="26072A4F">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条款名称</w:t>
            </w:r>
          </w:p>
        </w:tc>
        <w:tc>
          <w:tcPr>
            <w:tcW w:w="7518" w:type="dxa"/>
            <w:vAlign w:val="center"/>
          </w:tcPr>
          <w:p w14:paraId="6CB83FF4">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说明和要求</w:t>
            </w:r>
          </w:p>
        </w:tc>
      </w:tr>
      <w:tr w14:paraId="1D7ADD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3C2A6171">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1921" w:type="dxa"/>
            <w:vAlign w:val="center"/>
          </w:tcPr>
          <w:p w14:paraId="7EBA6EDF">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采购人</w:t>
            </w:r>
          </w:p>
        </w:tc>
        <w:tc>
          <w:tcPr>
            <w:tcW w:w="7518" w:type="dxa"/>
            <w:vAlign w:val="center"/>
          </w:tcPr>
          <w:p w14:paraId="01CEB74B">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名  称：</w:t>
            </w:r>
            <w:r>
              <w:rPr>
                <w:rFonts w:hint="eastAsia" w:ascii="宋体" w:hAnsi="宋体" w:cs="宋体"/>
                <w:color w:val="auto"/>
                <w:sz w:val="21"/>
                <w:szCs w:val="21"/>
                <w:highlight w:val="none"/>
                <w:lang w:val="en-US" w:eastAsia="zh-CN"/>
              </w:rPr>
              <w:t>泾阳县泾干中学</w:t>
            </w:r>
          </w:p>
          <w:p w14:paraId="5B0653FE">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咸</w:t>
            </w:r>
            <w:r>
              <w:rPr>
                <w:rFonts w:hint="eastAsia" w:ascii="宋体" w:hAnsi="宋体" w:eastAsia="宋体" w:cs="宋体"/>
                <w:i w:val="0"/>
                <w:iCs w:val="0"/>
                <w:caps w:val="0"/>
                <w:color w:val="auto"/>
                <w:spacing w:val="0"/>
                <w:sz w:val="21"/>
                <w:szCs w:val="21"/>
                <w:shd w:val="clear" w:fill="FFFFFF"/>
                <w:vertAlign w:val="baseline"/>
              </w:rPr>
              <w:t>阳市泾阳县泾干街道泾干大街</w:t>
            </w:r>
            <w:r>
              <w:rPr>
                <w:rFonts w:hint="eastAsia" w:ascii="宋体" w:hAnsi="宋体" w:cs="宋体"/>
                <w:i w:val="0"/>
                <w:iCs w:val="0"/>
                <w:caps w:val="0"/>
                <w:color w:val="auto"/>
                <w:spacing w:val="0"/>
                <w:sz w:val="21"/>
                <w:szCs w:val="21"/>
                <w:shd w:val="clear" w:fill="FFFFFF"/>
                <w:vertAlign w:val="baseline"/>
                <w:lang w:val="en-US" w:eastAsia="zh-CN"/>
              </w:rPr>
              <w:t>205号</w:t>
            </w:r>
            <w:r>
              <w:rPr>
                <w:rFonts w:hint="eastAsia" w:ascii="宋体" w:hAnsi="宋体" w:eastAsia="宋体" w:cs="宋体"/>
                <w:color w:val="FF0000"/>
                <w:sz w:val="21"/>
                <w:szCs w:val="21"/>
                <w:lang w:val="en-US" w:eastAsia="zh-CN"/>
              </w:rPr>
              <w:t xml:space="preserve"> </w:t>
            </w:r>
          </w:p>
          <w:p w14:paraId="0CD0E0C7">
            <w:pPr>
              <w:keepNext w:val="0"/>
              <w:keepLines w:val="0"/>
              <w:pageBreakBefore w:val="0"/>
              <w:kinsoku/>
              <w:wordWrap/>
              <w:overflowPunct/>
              <w:topLinePunct w:val="0"/>
              <w:bidi w:val="0"/>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郑楠</w:t>
            </w:r>
          </w:p>
          <w:p w14:paraId="29E92904">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w:t>
            </w:r>
            <w:r>
              <w:rPr>
                <w:rFonts w:hint="eastAsia" w:ascii="宋体" w:hAnsi="宋体" w:eastAsia="宋体" w:cs="宋体"/>
                <w:i w:val="0"/>
                <w:iCs w:val="0"/>
                <w:caps w:val="0"/>
                <w:color w:val="auto"/>
                <w:spacing w:val="0"/>
                <w:sz w:val="21"/>
                <w:szCs w:val="21"/>
                <w:shd w:val="clear" w:fill="FFFFFF"/>
                <w:vertAlign w:val="baseline"/>
                <w:lang w:val="en-US" w:eastAsia="zh-CN"/>
              </w:rPr>
              <w:t>13891486463</w:t>
            </w:r>
          </w:p>
        </w:tc>
      </w:tr>
      <w:tr w14:paraId="74DE0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38B4D79A">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1921" w:type="dxa"/>
            <w:vAlign w:val="center"/>
          </w:tcPr>
          <w:p w14:paraId="30993761">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采购代理机构</w:t>
            </w:r>
          </w:p>
        </w:tc>
        <w:tc>
          <w:tcPr>
            <w:tcW w:w="7518" w:type="dxa"/>
            <w:vAlign w:val="center"/>
          </w:tcPr>
          <w:p w14:paraId="01B2A62A">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泾阳县政府采购中心</w:t>
            </w:r>
          </w:p>
          <w:p w14:paraId="751A230F">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aps w:val="0"/>
                <w:color w:val="auto"/>
                <w:spacing w:val="0"/>
                <w:sz w:val="21"/>
                <w:szCs w:val="21"/>
                <w:shd w:val="clear" w:fill="FFFFFF"/>
                <w:vertAlign w:val="baseline"/>
              </w:rPr>
              <w:t>咸阳市泾阳县中心街402号</w:t>
            </w:r>
          </w:p>
          <w:p w14:paraId="35E5A6EA">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aps w:val="0"/>
                <w:color w:val="auto"/>
                <w:spacing w:val="0"/>
                <w:sz w:val="21"/>
                <w:szCs w:val="21"/>
                <w:shd w:val="clear" w:fill="FFFFFF"/>
                <w:vertAlign w:val="baseline"/>
                <w:lang w:eastAsia="zh-CN"/>
              </w:rPr>
              <w:t>赵</w:t>
            </w:r>
            <w:r>
              <w:rPr>
                <w:rFonts w:hint="eastAsia" w:ascii="宋体" w:hAnsi="宋体" w:eastAsia="宋体" w:cs="宋体"/>
                <w:i w:val="0"/>
                <w:iCs w:val="0"/>
                <w:caps w:val="0"/>
                <w:color w:val="auto"/>
                <w:spacing w:val="0"/>
                <w:sz w:val="21"/>
                <w:szCs w:val="21"/>
                <w:shd w:val="clear" w:fill="FFFFFF"/>
                <w:vertAlign w:val="baseline"/>
              </w:rPr>
              <w:t>工</w:t>
            </w:r>
          </w:p>
          <w:p w14:paraId="6E13C0DD">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aps w:val="0"/>
                <w:color w:val="auto"/>
                <w:spacing w:val="0"/>
                <w:sz w:val="21"/>
                <w:szCs w:val="21"/>
                <w:shd w:val="clear" w:fill="FFFFFF"/>
                <w:vertAlign w:val="baseline"/>
              </w:rPr>
              <w:t>029-36223975</w:t>
            </w:r>
          </w:p>
        </w:tc>
      </w:tr>
      <w:tr w14:paraId="44765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345DCDCD">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1921" w:type="dxa"/>
            <w:vAlign w:val="center"/>
          </w:tcPr>
          <w:p w14:paraId="1D1E5C87">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项目名称</w:t>
            </w:r>
          </w:p>
        </w:tc>
        <w:tc>
          <w:tcPr>
            <w:tcW w:w="7518" w:type="dxa"/>
            <w:vAlign w:val="center"/>
          </w:tcPr>
          <w:p w14:paraId="5D97B072">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lang w:val="en-US" w:eastAsia="zh-CN"/>
              </w:rPr>
              <w:t>泾干中学功能部室改造工程</w:t>
            </w:r>
          </w:p>
        </w:tc>
      </w:tr>
      <w:tr w14:paraId="14583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2F94AAC5">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p>
        </w:tc>
        <w:tc>
          <w:tcPr>
            <w:tcW w:w="1921" w:type="dxa"/>
            <w:vAlign w:val="center"/>
          </w:tcPr>
          <w:p w14:paraId="2640FB6A">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项目编号</w:t>
            </w:r>
          </w:p>
        </w:tc>
        <w:tc>
          <w:tcPr>
            <w:tcW w:w="7518" w:type="dxa"/>
            <w:vAlign w:val="center"/>
          </w:tcPr>
          <w:p w14:paraId="607B4BA3">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ZFCG-泾阳县-2025-00009</w:t>
            </w:r>
          </w:p>
        </w:tc>
      </w:tr>
      <w:tr w14:paraId="3B2D6B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54D81FF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921" w:type="dxa"/>
            <w:vAlign w:val="center"/>
          </w:tcPr>
          <w:p w14:paraId="0F9786B7">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采购方式</w:t>
            </w:r>
          </w:p>
        </w:tc>
        <w:tc>
          <w:tcPr>
            <w:tcW w:w="7518" w:type="dxa"/>
            <w:vAlign w:val="center"/>
          </w:tcPr>
          <w:p w14:paraId="2085978B">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竞争性磋商</w:t>
            </w:r>
          </w:p>
        </w:tc>
      </w:tr>
      <w:tr w14:paraId="0F1D1A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13" w:type="dxa"/>
            <w:vAlign w:val="center"/>
          </w:tcPr>
          <w:p w14:paraId="18B32201">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921" w:type="dxa"/>
            <w:vAlign w:val="center"/>
          </w:tcPr>
          <w:p w14:paraId="758FBAAF">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7518" w:type="dxa"/>
            <w:vAlign w:val="center"/>
          </w:tcPr>
          <w:p w14:paraId="7838B13B">
            <w:pPr>
              <w:pStyle w:val="118"/>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功能部室改造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具体</w:t>
            </w:r>
            <w:r>
              <w:rPr>
                <w:rFonts w:hint="eastAsia" w:ascii="宋体" w:hAnsi="宋体" w:eastAsia="宋体" w:cs="宋体"/>
                <w:color w:val="auto"/>
                <w:sz w:val="21"/>
                <w:szCs w:val="21"/>
                <w:highlight w:val="none"/>
              </w:rPr>
              <w:t>内容详见</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p>
        </w:tc>
      </w:tr>
      <w:tr w14:paraId="544E5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27C9AFB7">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21" w:type="dxa"/>
            <w:vAlign w:val="center"/>
          </w:tcPr>
          <w:p w14:paraId="27FE919C">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资金比例</w:t>
            </w:r>
          </w:p>
        </w:tc>
        <w:tc>
          <w:tcPr>
            <w:tcW w:w="7518" w:type="dxa"/>
            <w:vAlign w:val="center"/>
          </w:tcPr>
          <w:p w14:paraId="36855541">
            <w:pPr>
              <w:pStyle w:val="118"/>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6FD35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7036EB26">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21" w:type="dxa"/>
            <w:vAlign w:val="center"/>
          </w:tcPr>
          <w:p w14:paraId="3A8D1031">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采购预算</w:t>
            </w:r>
          </w:p>
        </w:tc>
        <w:tc>
          <w:tcPr>
            <w:tcW w:w="7518" w:type="dxa"/>
            <w:vAlign w:val="center"/>
          </w:tcPr>
          <w:p w14:paraId="4772E06E">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aps w:val="0"/>
                <w:color w:val="auto"/>
                <w:spacing w:val="0"/>
                <w:sz w:val="21"/>
                <w:szCs w:val="21"/>
                <w:highlight w:val="none"/>
                <w:shd w:val="clear" w:fill="FFFFFF"/>
                <w:lang w:val="en-US" w:eastAsia="zh-CN"/>
              </w:rPr>
              <w:t>600</w:t>
            </w:r>
            <w:r>
              <w:rPr>
                <w:rFonts w:hint="eastAsia" w:ascii="宋体" w:hAnsi="宋体" w:eastAsia="宋体" w:cs="宋体"/>
                <w:color w:val="auto"/>
                <w:sz w:val="21"/>
                <w:szCs w:val="21"/>
                <w:highlight w:val="none"/>
              </w:rPr>
              <w:t>,</w:t>
            </w:r>
            <w:r>
              <w:rPr>
                <w:rFonts w:hint="eastAsia" w:ascii="宋体" w:hAnsi="宋体" w:eastAsia="宋体" w:cs="宋体"/>
                <w:i w:val="0"/>
                <w:iCs w:val="0"/>
                <w:caps w:val="0"/>
                <w:color w:val="auto"/>
                <w:spacing w:val="0"/>
                <w:sz w:val="21"/>
                <w:szCs w:val="21"/>
                <w:highlight w:val="none"/>
                <w:shd w:val="clear" w:fill="FFFFFF"/>
                <w:lang w:val="en-US" w:eastAsia="zh-CN"/>
              </w:rPr>
              <w:t>000.00</w:t>
            </w:r>
            <w:r>
              <w:rPr>
                <w:rFonts w:hint="eastAsia" w:ascii="宋体" w:hAnsi="宋体" w:eastAsia="宋体" w:cs="宋体"/>
                <w:i w:val="0"/>
                <w:iCs w:val="0"/>
                <w:caps w:val="0"/>
                <w:color w:val="auto"/>
                <w:spacing w:val="0"/>
                <w:sz w:val="21"/>
                <w:szCs w:val="21"/>
                <w:highlight w:val="none"/>
                <w:shd w:val="clear" w:fill="FFFFFF"/>
              </w:rPr>
              <w:t>元</w:t>
            </w:r>
          </w:p>
        </w:tc>
      </w:tr>
      <w:tr w14:paraId="04408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73DD26F9">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21" w:type="dxa"/>
            <w:vAlign w:val="center"/>
          </w:tcPr>
          <w:p w14:paraId="0A99A85E">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7518" w:type="dxa"/>
            <w:vAlign w:val="center"/>
          </w:tcPr>
          <w:p w14:paraId="7471AB88">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599,970.00</w:t>
            </w:r>
            <w:r>
              <w:rPr>
                <w:rFonts w:hint="eastAsia" w:ascii="宋体" w:hAnsi="宋体" w:eastAsia="宋体" w:cs="宋体"/>
                <w:color w:val="auto"/>
                <w:kern w:val="0"/>
                <w:sz w:val="21"/>
                <w:szCs w:val="21"/>
                <w:highlight w:val="none"/>
                <w:lang w:val="en-US" w:eastAsia="zh-CN" w:bidi="ar-SA"/>
              </w:rPr>
              <w:t>元</w:t>
            </w:r>
          </w:p>
        </w:tc>
      </w:tr>
      <w:tr w14:paraId="7C2B5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53CB9DD4">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21" w:type="dxa"/>
            <w:vAlign w:val="center"/>
          </w:tcPr>
          <w:p w14:paraId="1743A28C">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工期及施工地点</w:t>
            </w:r>
          </w:p>
        </w:tc>
        <w:tc>
          <w:tcPr>
            <w:tcW w:w="7518" w:type="dxa"/>
            <w:vAlign w:val="center"/>
          </w:tcPr>
          <w:p w14:paraId="6C732859">
            <w:pPr>
              <w:pStyle w:val="118"/>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工期：</w:t>
            </w:r>
            <w:r>
              <w:rPr>
                <w:rFonts w:hint="eastAsia" w:ascii="宋体" w:hAnsi="宋体" w:eastAsia="宋体" w:cs="宋体"/>
                <w:color w:val="auto"/>
                <w:kern w:val="0"/>
                <w:sz w:val="21"/>
                <w:szCs w:val="21"/>
                <w:highlight w:val="none"/>
                <w:shd w:val="clear" w:color="auto" w:fill="FFFFFF"/>
                <w:lang w:val="en-US" w:eastAsia="zh-CN"/>
              </w:rPr>
              <w:t>合同签订30日</w:t>
            </w:r>
          </w:p>
          <w:p w14:paraId="175C8B87">
            <w:pPr>
              <w:pStyle w:val="118"/>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施工地点：</w:t>
            </w:r>
            <w:r>
              <w:rPr>
                <w:rFonts w:hint="eastAsia" w:cs="宋体"/>
                <w:color w:val="auto"/>
                <w:sz w:val="21"/>
                <w:szCs w:val="21"/>
                <w:highlight w:val="none"/>
                <w:lang w:val="en-US" w:eastAsia="zh-CN"/>
              </w:rPr>
              <w:t>泾阳县泾干中学</w:t>
            </w:r>
          </w:p>
        </w:tc>
      </w:tr>
      <w:tr w14:paraId="7BFB6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029A63A8">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921" w:type="dxa"/>
            <w:vAlign w:val="center"/>
          </w:tcPr>
          <w:p w14:paraId="75B75DEE">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质量要求、验收标准</w:t>
            </w:r>
          </w:p>
        </w:tc>
        <w:tc>
          <w:tcPr>
            <w:tcW w:w="7518" w:type="dxa"/>
            <w:vAlign w:val="center"/>
          </w:tcPr>
          <w:p w14:paraId="5E79436A">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质量要求：达到国家现行技术标准。</w:t>
            </w:r>
          </w:p>
          <w:p w14:paraId="46E274D7">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验收标准：国家标准、行业标准、企业标准。</w:t>
            </w:r>
          </w:p>
        </w:tc>
      </w:tr>
      <w:tr w14:paraId="7C9E2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613" w:type="dxa"/>
            <w:vAlign w:val="center"/>
          </w:tcPr>
          <w:p w14:paraId="66D27759">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921" w:type="dxa"/>
            <w:vAlign w:val="center"/>
          </w:tcPr>
          <w:p w14:paraId="3C44AF16">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磋商文件发售</w:t>
            </w:r>
          </w:p>
        </w:tc>
        <w:tc>
          <w:tcPr>
            <w:tcW w:w="7518" w:type="dxa"/>
            <w:vAlign w:val="center"/>
          </w:tcPr>
          <w:p w14:paraId="17A46EBD">
            <w:pPr>
              <w:pStyle w:val="125"/>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发售时间：202</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年</w:t>
            </w:r>
            <w:r>
              <w:rPr>
                <w:rFonts w:hint="eastAsia" w:ascii="宋体" w:hAnsi="宋体" w:cs="宋体"/>
                <w:color w:val="auto"/>
                <w:kern w:val="2"/>
                <w:sz w:val="21"/>
                <w:szCs w:val="21"/>
                <w:highlight w:val="none"/>
                <w:lang w:val="en-US" w:eastAsia="zh-CN" w:bidi="ar-SA"/>
              </w:rPr>
              <w:t>07</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en-US" w:eastAsia="zh-CN" w:bidi="ar-SA"/>
              </w:rPr>
              <w:t>日至202</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年</w:t>
            </w:r>
            <w:r>
              <w:rPr>
                <w:rFonts w:hint="eastAsia" w:ascii="宋体" w:hAnsi="宋体" w:cs="宋体"/>
                <w:color w:val="auto"/>
                <w:kern w:val="2"/>
                <w:sz w:val="21"/>
                <w:szCs w:val="21"/>
                <w:highlight w:val="none"/>
                <w:lang w:val="en-US" w:eastAsia="zh-CN" w:bidi="ar-SA"/>
              </w:rPr>
              <w:t>08</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 xml:space="preserve">06 </w:t>
            </w:r>
            <w:r>
              <w:rPr>
                <w:rFonts w:hint="eastAsia" w:ascii="宋体" w:hAnsi="宋体" w:eastAsia="宋体" w:cs="宋体"/>
                <w:color w:val="auto"/>
                <w:kern w:val="2"/>
                <w:sz w:val="21"/>
                <w:szCs w:val="21"/>
                <w:highlight w:val="none"/>
                <w:lang w:val="en-US" w:eastAsia="zh-CN" w:bidi="ar-SA"/>
              </w:rPr>
              <w:t>日（上午9：00-12:00，下午14:</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0-17:00）。</w:t>
            </w:r>
          </w:p>
          <w:p w14:paraId="16B9F1FE">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发售地点：</w:t>
            </w:r>
            <w:r>
              <w:rPr>
                <w:rFonts w:hint="eastAsia" w:ascii="宋体" w:hAnsi="宋体" w:eastAsia="宋体" w:cs="宋体"/>
                <w:color w:val="auto"/>
                <w:kern w:val="2"/>
                <w:sz w:val="21"/>
                <w:szCs w:val="21"/>
              </w:rPr>
              <w:t>泾阳县中心街402号财政局院内泾阳县政府采购中心</w:t>
            </w:r>
          </w:p>
        </w:tc>
      </w:tr>
      <w:tr w14:paraId="5A40A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3D01EFFD">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921" w:type="dxa"/>
            <w:vAlign w:val="center"/>
          </w:tcPr>
          <w:p w14:paraId="6DBCE2F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联合体磋商</w:t>
            </w:r>
          </w:p>
        </w:tc>
        <w:tc>
          <w:tcPr>
            <w:tcW w:w="7518" w:type="dxa"/>
            <w:vAlign w:val="center"/>
          </w:tcPr>
          <w:p w14:paraId="4680F7B4">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7AE592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4C39CC9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921" w:type="dxa"/>
            <w:vAlign w:val="center"/>
          </w:tcPr>
          <w:p w14:paraId="2DF0BAD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考察现场、标前答疑会</w:t>
            </w:r>
          </w:p>
        </w:tc>
        <w:tc>
          <w:tcPr>
            <w:tcW w:w="7518" w:type="dxa"/>
            <w:vAlign w:val="center"/>
          </w:tcPr>
          <w:p w14:paraId="20D32631">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14:paraId="615173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6C66DB9D">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921" w:type="dxa"/>
            <w:vAlign w:val="center"/>
          </w:tcPr>
          <w:p w14:paraId="6E50CF8F">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构成竞争性磋商文件的其他文件</w:t>
            </w:r>
          </w:p>
        </w:tc>
        <w:tc>
          <w:tcPr>
            <w:tcW w:w="7518" w:type="dxa"/>
            <w:vAlign w:val="center"/>
          </w:tcPr>
          <w:p w14:paraId="062CF0E1">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竞争性磋商文件的澄清、修改书及有关补充通知为竞争性磋商文件的有效组成部分。</w:t>
            </w:r>
          </w:p>
        </w:tc>
      </w:tr>
      <w:tr w14:paraId="47C55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0D7CDE10">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921" w:type="dxa"/>
            <w:vAlign w:val="center"/>
          </w:tcPr>
          <w:p w14:paraId="06421B64">
            <w:pPr>
              <w:pStyle w:val="125"/>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磋商文件递交截止时间和地点</w:t>
            </w:r>
          </w:p>
        </w:tc>
        <w:tc>
          <w:tcPr>
            <w:tcW w:w="7518" w:type="dxa"/>
            <w:vAlign w:val="center"/>
          </w:tcPr>
          <w:p w14:paraId="41476DE8">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1.磋商文件截止时间</w:t>
            </w:r>
            <w:r>
              <w:rPr>
                <w:rFonts w:hint="eastAsia" w:ascii="宋体" w:hAnsi="宋体" w:eastAsia="宋体" w:cs="宋体"/>
                <w:color w:val="auto"/>
                <w:sz w:val="21"/>
                <w:szCs w:val="21"/>
                <w:highlight w:val="none"/>
                <w:lang w:val="en-US" w:eastAsia="zh-CN"/>
              </w:rPr>
              <w:t>和开启时间</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日</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00</w:t>
            </w:r>
            <w:r>
              <w:rPr>
                <w:rFonts w:hint="eastAsia" w:ascii="宋体" w:hAnsi="宋体" w:eastAsia="宋体" w:cs="宋体"/>
                <w:color w:val="auto"/>
                <w:sz w:val="21"/>
                <w:szCs w:val="21"/>
                <w:highlight w:val="none"/>
              </w:rPr>
              <w:t>（北京时间）</w:t>
            </w:r>
          </w:p>
          <w:p w14:paraId="3E69D3A5">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日</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00</w:t>
            </w:r>
            <w:r>
              <w:rPr>
                <w:rFonts w:hint="eastAsia" w:ascii="宋体" w:hAnsi="宋体" w:eastAsia="宋体" w:cs="宋体"/>
                <w:color w:val="auto"/>
                <w:sz w:val="21"/>
                <w:szCs w:val="21"/>
                <w:highlight w:val="none"/>
              </w:rPr>
              <w:t>（北京时间）</w:t>
            </w:r>
          </w:p>
          <w:p w14:paraId="07A1291E">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3.磋商地点：</w:t>
            </w:r>
            <w:r>
              <w:rPr>
                <w:rFonts w:hint="eastAsia" w:ascii="宋体" w:hAnsi="宋体" w:eastAsia="宋体" w:cs="宋体"/>
                <w:color w:val="auto"/>
                <w:kern w:val="2"/>
                <w:sz w:val="21"/>
                <w:szCs w:val="21"/>
              </w:rPr>
              <w:t>泾阳县中心街402号财政局院内泾阳县政府采购中心</w:t>
            </w:r>
          </w:p>
        </w:tc>
      </w:tr>
      <w:tr w14:paraId="521ED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108E0599">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921" w:type="dxa"/>
            <w:vAlign w:val="center"/>
          </w:tcPr>
          <w:p w14:paraId="4E2A368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磋商有效期</w:t>
            </w:r>
          </w:p>
        </w:tc>
        <w:tc>
          <w:tcPr>
            <w:tcW w:w="7518" w:type="dxa"/>
            <w:vAlign w:val="center"/>
          </w:tcPr>
          <w:p w14:paraId="00453373">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从磋商截止日起90日历天。</w:t>
            </w:r>
          </w:p>
        </w:tc>
      </w:tr>
      <w:tr w14:paraId="1E7B6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01F7D21A">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8</w:t>
            </w:r>
          </w:p>
        </w:tc>
        <w:tc>
          <w:tcPr>
            <w:tcW w:w="1921" w:type="dxa"/>
            <w:vAlign w:val="center"/>
          </w:tcPr>
          <w:p w14:paraId="6D8D0EF1">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签字盖章</w:t>
            </w:r>
          </w:p>
        </w:tc>
        <w:tc>
          <w:tcPr>
            <w:tcW w:w="7518" w:type="dxa"/>
            <w:vAlign w:val="center"/>
          </w:tcPr>
          <w:p w14:paraId="148357F0">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磋商供应商必须按照竞争性磋商文件的规定和要求签字、盖章。</w:t>
            </w:r>
          </w:p>
        </w:tc>
      </w:tr>
      <w:tr w14:paraId="6DB01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613" w:type="dxa"/>
            <w:vAlign w:val="center"/>
          </w:tcPr>
          <w:p w14:paraId="54F70606">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9</w:t>
            </w:r>
          </w:p>
        </w:tc>
        <w:tc>
          <w:tcPr>
            <w:tcW w:w="1921" w:type="dxa"/>
            <w:vAlign w:val="center"/>
          </w:tcPr>
          <w:p w14:paraId="5C778160">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磋商响应文件的装订、数量</w:t>
            </w:r>
          </w:p>
        </w:tc>
        <w:tc>
          <w:tcPr>
            <w:tcW w:w="7518" w:type="dxa"/>
            <w:vAlign w:val="center"/>
          </w:tcPr>
          <w:p w14:paraId="3BAB2B1A">
            <w:pPr>
              <w:keepNext w:val="0"/>
              <w:keepLines w:val="0"/>
              <w:pageBreakBefore w:val="0"/>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磋商响应文件一律采用书籍（胶装）方式装订。</w:t>
            </w:r>
            <w:r>
              <w:rPr>
                <w:rFonts w:hint="eastAsia" w:ascii="宋体" w:hAnsi="宋体" w:eastAsia="宋体" w:cs="宋体"/>
                <w:b/>
                <w:bCs/>
                <w:color w:val="auto"/>
                <w:sz w:val="21"/>
                <w:szCs w:val="21"/>
                <w:highlight w:val="none"/>
              </w:rPr>
              <w:t>磋商响应文件正本壹份、副本</w:t>
            </w:r>
            <w:r>
              <w:rPr>
                <w:rFonts w:hint="eastAsia" w:ascii="宋体" w:hAnsi="宋体" w:eastAsia="宋体" w:cs="宋体"/>
                <w:b/>
                <w:bCs/>
                <w:color w:val="auto"/>
                <w:sz w:val="21"/>
                <w:szCs w:val="21"/>
                <w:highlight w:val="none"/>
                <w:lang w:val="en-US" w:eastAsia="zh-CN"/>
              </w:rPr>
              <w:t>贰</w:t>
            </w:r>
            <w:r>
              <w:rPr>
                <w:rFonts w:hint="eastAsia" w:ascii="宋体" w:hAnsi="宋体" w:eastAsia="宋体" w:cs="宋体"/>
                <w:b/>
                <w:bCs/>
                <w:color w:val="auto"/>
                <w:sz w:val="21"/>
                <w:szCs w:val="21"/>
                <w:highlight w:val="none"/>
              </w:rPr>
              <w:t>份，电子版贰份（采用U盘，包含投标文件</w:t>
            </w:r>
            <w:r>
              <w:rPr>
                <w:rFonts w:hint="eastAsia" w:ascii="宋体" w:hAnsi="宋体" w:eastAsia="宋体" w:cs="宋体"/>
                <w:b/>
                <w:bCs/>
                <w:color w:val="auto"/>
                <w:sz w:val="21"/>
                <w:szCs w:val="21"/>
                <w:highlight w:val="none"/>
                <w:lang w:val="en-US" w:eastAsia="zh-CN"/>
              </w:rPr>
              <w:t>word、</w:t>
            </w:r>
            <w:r>
              <w:rPr>
                <w:rFonts w:hint="eastAsia" w:ascii="宋体" w:hAnsi="宋体" w:eastAsia="宋体" w:cs="宋体"/>
                <w:b/>
                <w:bCs/>
                <w:color w:val="auto"/>
                <w:sz w:val="21"/>
                <w:szCs w:val="21"/>
                <w:highlight w:val="none"/>
              </w:rPr>
              <w:t>正本扫描件、投标报价文件</w:t>
            </w:r>
            <w:r>
              <w:rPr>
                <w:rFonts w:hint="eastAsia" w:ascii="宋体" w:hAnsi="宋体" w:eastAsia="宋体" w:cs="宋体"/>
                <w:b/>
                <w:bCs/>
                <w:color w:val="auto"/>
                <w:sz w:val="21"/>
                <w:szCs w:val="21"/>
                <w:highlight w:val="none"/>
                <w:lang w:val="en-US" w:eastAsia="zh-CN"/>
              </w:rPr>
              <w:t>GBQ格式</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供应商应将响应文件的正本、所有副本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所有副本封装在一个袋子中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和电子版文件，用单独的封袋分</w:t>
            </w:r>
            <w:r>
              <w:rPr>
                <w:rFonts w:hint="eastAsia" w:ascii="宋体" w:hAnsi="宋体" w:eastAsia="宋体" w:cs="宋体"/>
                <w:color w:val="auto"/>
                <w:sz w:val="21"/>
                <w:szCs w:val="21"/>
                <w:highlight w:val="none"/>
                <w:lang w:val="en-US" w:eastAsia="zh-CN"/>
              </w:rPr>
              <w:t>别</w:t>
            </w:r>
            <w:r>
              <w:rPr>
                <w:rFonts w:hint="eastAsia" w:ascii="宋体" w:hAnsi="宋体" w:eastAsia="宋体" w:cs="宋体"/>
                <w:color w:val="auto"/>
                <w:sz w:val="21"/>
                <w:szCs w:val="21"/>
                <w:highlight w:val="none"/>
              </w:rPr>
              <w:t>密封（封袋不得有破损），在封袋上标明“正本”、“副本”或“电子版”字样，封袋封口处应加贴封条</w:t>
            </w:r>
            <w:r>
              <w:rPr>
                <w:rFonts w:hint="eastAsia" w:ascii="宋体" w:hAnsi="宋体" w:eastAsia="宋体" w:cs="宋体"/>
                <w:color w:val="auto"/>
                <w:sz w:val="21"/>
                <w:szCs w:val="21"/>
                <w:highlight w:val="none"/>
                <w:lang w:val="en-US" w:eastAsia="zh-CN"/>
              </w:rPr>
              <w:t>密封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在封线处加盖公章（骑缝章）。</w:t>
            </w:r>
          </w:p>
          <w:p w14:paraId="0B25487B">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对未按磋商文件要求方式装订和递交的磋商响应文件，将作为无效文件处理。</w:t>
            </w:r>
          </w:p>
        </w:tc>
      </w:tr>
      <w:tr w14:paraId="62ED4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62209838">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921" w:type="dxa"/>
            <w:vAlign w:val="center"/>
          </w:tcPr>
          <w:p w14:paraId="62F084A3">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封套上写明</w:t>
            </w:r>
          </w:p>
        </w:tc>
        <w:tc>
          <w:tcPr>
            <w:tcW w:w="7518" w:type="dxa"/>
            <w:vAlign w:val="center"/>
          </w:tcPr>
          <w:p w14:paraId="41A5B237">
            <w:pPr>
              <w:pStyle w:val="125"/>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14:paraId="41A3690D">
            <w:pPr>
              <w:pStyle w:val="125"/>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14:paraId="742FA34E">
            <w:pPr>
              <w:pStyle w:val="125"/>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p w14:paraId="4BFA8158">
            <w:pPr>
              <w:pStyle w:val="125"/>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磋商响应文件在</w:t>
            </w:r>
            <w:r>
              <w:rPr>
                <w:rFonts w:hint="eastAsia" w:ascii="宋体" w:hAnsi="宋体" w:eastAsia="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日时分前“不得开启”字样</w:t>
            </w:r>
          </w:p>
        </w:tc>
      </w:tr>
      <w:tr w14:paraId="4DD55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61834E2E">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921" w:type="dxa"/>
            <w:vAlign w:val="center"/>
          </w:tcPr>
          <w:p w14:paraId="0CDAE1A9">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供应商资格要求</w:t>
            </w:r>
          </w:p>
        </w:tc>
        <w:tc>
          <w:tcPr>
            <w:tcW w:w="7518" w:type="dxa"/>
            <w:vAlign w:val="center"/>
          </w:tcPr>
          <w:p w14:paraId="365C823A">
            <w:pPr>
              <w:keepNext w:val="0"/>
              <w:keepLines w:val="0"/>
              <w:pageBreakBefore w:val="0"/>
              <w:numPr>
                <w:ilvl w:val="0"/>
                <w:numId w:val="0"/>
              </w:numPr>
              <w:kinsoku/>
              <w:wordWrap/>
              <w:overflowPunct/>
              <w:topLinePunct w:val="0"/>
              <w:bidi w:val="0"/>
              <w:snapToGrid/>
              <w:spacing w:line="360" w:lineRule="exact"/>
              <w:ind w:left="0"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满足《中华人民共和国政府采购法》第二十二条规定</w:t>
            </w:r>
            <w:r>
              <w:rPr>
                <w:rFonts w:hint="eastAsia" w:ascii="宋体" w:hAnsi="宋体" w:cs="宋体"/>
                <w:b/>
                <w:bCs/>
                <w:color w:val="auto"/>
                <w:sz w:val="21"/>
                <w:szCs w:val="21"/>
                <w:highlight w:val="none"/>
                <w:lang w:eastAsia="zh-CN"/>
              </w:rPr>
              <w:t>：</w:t>
            </w:r>
          </w:p>
          <w:p w14:paraId="4BE3883B">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具有独立承担民事责任能力的法人、其他组织或自然人，并出具合法有效的营业执照或事业单位法人证书等国家规定的相关证明，自然人参与的提供其身份证明；</w:t>
            </w:r>
          </w:p>
          <w:p w14:paraId="642DD598">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提供具有财务审计资质单位出具的2023年-2024年任意一年年度财务报告（包括资产负债表、利润表、现金流量表及会计报表附注，成立时间至开标时间不足一年的可提供成立后任意时段的资产负债表）或开标前六个月内其基本账户银行出具的资信证明（附开户许可证或基本存款账户信息）或政府采购信用担保机构出具的投标担保函；</w:t>
            </w:r>
          </w:p>
          <w:p w14:paraId="7C180674">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供应商须提供2024年7月至今任意一个月已缴纳完税凭证或税务机关开具的完税证明，依法免税或无须缴纳税收的供应商应提供相关文件证明； </w:t>
            </w:r>
          </w:p>
          <w:p w14:paraId="2BBA1B2A">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供应商须提供2024年7月至今任意一个月已缴纳的社会保障资金缴存单据或社保机构开具的社会保险参保缴费情况证明，依法不需要缴纳社会保障资金的供应商应提供相关证明；</w:t>
            </w:r>
          </w:p>
          <w:p w14:paraId="2F59FF0E">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具备履行合同所必需的设备和专业技术能力的证明材料(由供应商根据项目需求提供说明材料或者承诺)；</w:t>
            </w:r>
          </w:p>
          <w:p w14:paraId="1D83AFB3">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提供参加政府采购活动前三年内在经营活动中没有重大违法记录的书面声明；</w:t>
            </w:r>
          </w:p>
          <w:p w14:paraId="2E973270">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落实政府采购政策需满足的资格要求：</w:t>
            </w:r>
            <w:r>
              <w:rPr>
                <w:rFonts w:hint="eastAsia" w:ascii="宋体" w:hAnsi="宋体" w:eastAsia="宋体" w:cs="宋体"/>
                <w:b/>
                <w:bCs/>
                <w:color w:val="auto"/>
                <w:sz w:val="21"/>
                <w:szCs w:val="21"/>
                <w:highlight w:val="none"/>
                <w:lang w:val="en-US" w:eastAsia="zh-CN"/>
              </w:rPr>
              <w:t>本项目专门面向</w:t>
            </w:r>
            <w:r>
              <w:rPr>
                <w:rFonts w:hint="eastAsia" w:ascii="宋体" w:hAnsi="宋体" w:cs="宋体"/>
                <w:b/>
                <w:bCs/>
                <w:color w:val="auto"/>
                <w:sz w:val="21"/>
                <w:szCs w:val="21"/>
                <w:highlight w:val="none"/>
                <w:lang w:val="en-US" w:eastAsia="zh-CN"/>
              </w:rPr>
              <w:t>中小</w:t>
            </w:r>
            <w:r>
              <w:rPr>
                <w:rFonts w:hint="eastAsia" w:ascii="宋体" w:hAnsi="宋体" w:eastAsia="宋体" w:cs="宋体"/>
                <w:b/>
                <w:bCs/>
                <w:color w:val="auto"/>
                <w:sz w:val="21"/>
                <w:szCs w:val="21"/>
                <w:highlight w:val="none"/>
                <w:lang w:val="en-US" w:eastAsia="zh-CN"/>
              </w:rPr>
              <w:t>企业采购。</w:t>
            </w:r>
          </w:p>
          <w:p w14:paraId="1219BE5D">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、本项目的特定资格要求：</w:t>
            </w:r>
          </w:p>
          <w:p w14:paraId="57C1430E">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p>
          <w:p w14:paraId="4C4D90CA">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供应商须具备建筑工程施工总承包叁级（含叁级）以上资质，同时具备建设行政主管部门颁发有效的安全生产许可证；</w:t>
            </w:r>
          </w:p>
          <w:p w14:paraId="2AD6C537">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拟投入的项目经理须具备建筑工程专业贰级（含贰级）以上注册建造师执业资格和有效的安全生产考核B证，且未担任其他在建工程项目的项目经理（需提供企业书面承诺等证明材料）；</w:t>
            </w:r>
          </w:p>
          <w:p w14:paraId="286CB645">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p>
          <w:p w14:paraId="7CDE8E47">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与招标人存在利害关系可能影响招标公正性的单位，不得参加投标、单位负责人为同一人或存在控股、管理关系的不同单位，不得参加同一标段投标，否则，相关投标均无效；</w:t>
            </w:r>
          </w:p>
          <w:p w14:paraId="08E0F92B">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本项目不接受联合体磋商。</w:t>
            </w:r>
          </w:p>
          <w:p w14:paraId="62116EA6">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b/>
                <w:bCs/>
                <w:color w:val="auto"/>
                <w:sz w:val="21"/>
                <w:szCs w:val="21"/>
                <w:highlight w:val="none"/>
                <w:lang w:eastAsia="zh-CN" w:bidi="ar"/>
              </w:rPr>
            </w:pPr>
            <w:r>
              <w:rPr>
                <w:rFonts w:hint="eastAsia" w:ascii="宋体" w:hAnsi="宋体" w:eastAsia="宋体" w:cs="宋体"/>
                <w:b/>
                <w:bCs/>
                <w:color w:val="auto"/>
                <w:sz w:val="21"/>
                <w:szCs w:val="21"/>
                <w:highlight w:val="none"/>
              </w:rPr>
              <w:t>以上为必备资质，缺一项或某项达不到求，按无效文件处理。资格审查时以磋商响应文件中所附证明材料为准，原件备查。</w:t>
            </w:r>
          </w:p>
          <w:p w14:paraId="4B4537DB">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未注明要求原件的资格证明文件，在磋商后的任何时间，磋商小组都有权随时要求审查原件，如果不能按规定时间提供，按无效磋商处理。</w:t>
            </w:r>
          </w:p>
          <w:p w14:paraId="292B48AE">
            <w:pPr>
              <w:keepNext w:val="0"/>
              <w:keepLines w:val="0"/>
              <w:pageBreakBefore w:val="0"/>
              <w:widowControl w:val="0"/>
              <w:kinsoku/>
              <w:wordWrap/>
              <w:overflowPunct/>
              <w:topLinePunct w:val="0"/>
              <w:autoSpaceDE/>
              <w:autoSpaceDN/>
              <w:bidi w:val="0"/>
              <w:adjustRightInd/>
              <w:snapToGrid/>
              <w:spacing w:line="360" w:lineRule="exact"/>
              <w:ind w:left="0" w:leftChars="0" w:firstLine="211" w:firstLineChars="1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696E2D56">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（1）分支机构参与投标时，响应文件中应附法人出具的授权书。法人只能授权一家分支机构参与投标，且不能与分支机构同时参与投标。分支机构须提供自己的资格要求证明文件。</w:t>
            </w:r>
          </w:p>
          <w:p w14:paraId="27E002FA">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lang w:val="en-US" w:eastAsia="zh-CN"/>
              </w:rPr>
              <w:t>（2）事业单位法人参与投标可不提供财务状况报告、社会保障资金缴纳证明及税收缴纳证明。</w:t>
            </w:r>
          </w:p>
        </w:tc>
      </w:tr>
      <w:tr w14:paraId="606250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Align w:val="center"/>
          </w:tcPr>
          <w:p w14:paraId="699F6F17">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921" w:type="dxa"/>
            <w:vAlign w:val="center"/>
          </w:tcPr>
          <w:p w14:paraId="5A52EEDB">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磋商保证金</w:t>
            </w:r>
          </w:p>
        </w:tc>
        <w:tc>
          <w:tcPr>
            <w:tcW w:w="7518" w:type="dxa"/>
            <w:vAlign w:val="center"/>
          </w:tcPr>
          <w:p w14:paraId="1C34298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sz w:val="21"/>
                <w:szCs w:val="21"/>
                <w:lang w:val="en-US" w:eastAsia="zh-CN"/>
              </w:rPr>
            </w:pPr>
            <w:r>
              <w:rPr>
                <w:rFonts w:hint="eastAsia" w:ascii="宋体" w:hAnsi="宋体" w:eastAsia="宋体" w:cs="宋体"/>
                <w:color w:val="auto"/>
                <w:sz w:val="21"/>
                <w:szCs w:val="21"/>
                <w:highlight w:val="none"/>
                <w:lang w:val="en-US" w:eastAsia="zh-CN"/>
              </w:rPr>
              <w:t>本项目无磋商保证金</w:t>
            </w:r>
          </w:p>
        </w:tc>
      </w:tr>
      <w:tr w14:paraId="7BBD7F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Align w:val="center"/>
          </w:tcPr>
          <w:p w14:paraId="335E2A2F">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921" w:type="dxa"/>
            <w:vAlign w:val="center"/>
          </w:tcPr>
          <w:p w14:paraId="548D0D2B">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w:t>
            </w:r>
          </w:p>
        </w:tc>
        <w:tc>
          <w:tcPr>
            <w:tcW w:w="7518" w:type="dxa"/>
            <w:vAlign w:val="center"/>
          </w:tcPr>
          <w:p w14:paraId="46008B83">
            <w:pPr>
              <w:keepNext w:val="0"/>
              <w:keepLines w:val="0"/>
              <w:pageBreakBefore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本项目无履约保证金</w:t>
            </w:r>
          </w:p>
        </w:tc>
      </w:tr>
      <w:tr w14:paraId="2F0E1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2712B1D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921" w:type="dxa"/>
            <w:vAlign w:val="center"/>
          </w:tcPr>
          <w:p w14:paraId="108CCB84">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招标代理服务费</w:t>
            </w:r>
          </w:p>
        </w:tc>
        <w:tc>
          <w:tcPr>
            <w:tcW w:w="7518" w:type="dxa"/>
            <w:vAlign w:val="center"/>
          </w:tcPr>
          <w:p w14:paraId="18C9EC4E">
            <w:pPr>
              <w:keepNext w:val="0"/>
              <w:keepLines w:val="0"/>
              <w:pageBreakBefore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本项目无</w:t>
            </w:r>
            <w:r>
              <w:rPr>
                <w:rFonts w:hint="eastAsia" w:ascii="宋体" w:hAnsi="宋体" w:eastAsia="宋体" w:cs="宋体"/>
                <w:color w:val="auto"/>
                <w:sz w:val="21"/>
                <w:szCs w:val="21"/>
                <w:highlight w:val="none"/>
              </w:rPr>
              <w:t>招标代理服务费</w:t>
            </w:r>
          </w:p>
        </w:tc>
      </w:tr>
      <w:tr w14:paraId="7C1F3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206F661D">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1921" w:type="dxa"/>
            <w:vAlign w:val="center"/>
          </w:tcPr>
          <w:p w14:paraId="04132B1C">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知识产权</w:t>
            </w:r>
          </w:p>
        </w:tc>
        <w:tc>
          <w:tcPr>
            <w:tcW w:w="7518" w:type="dxa"/>
            <w:vAlign w:val="center"/>
          </w:tcPr>
          <w:p w14:paraId="2EDCA81F">
            <w:pPr>
              <w:pStyle w:val="118"/>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6A340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52C24835">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921" w:type="dxa"/>
            <w:vAlign w:val="center"/>
          </w:tcPr>
          <w:p w14:paraId="170A69EB">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评审方法</w:t>
            </w:r>
          </w:p>
        </w:tc>
        <w:tc>
          <w:tcPr>
            <w:tcW w:w="7518" w:type="dxa"/>
            <w:vAlign w:val="center"/>
          </w:tcPr>
          <w:p w14:paraId="5163D8DC">
            <w:pPr>
              <w:keepNext w:val="0"/>
              <w:keepLines w:val="0"/>
              <w:pageBreakBefore w:val="0"/>
              <w:numPr>
                <w:ilvl w:val="0"/>
                <w:numId w:val="0"/>
              </w:numPr>
              <w:kinsoku/>
              <w:wordWrap/>
              <w:overflowPunct/>
              <w:topLinePunct w:val="0"/>
              <w:bidi w:val="0"/>
              <w:snapToGrid/>
              <w:spacing w:line="360" w:lineRule="exact"/>
              <w:ind w:left="0" w:left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综合评分法（详见第四章）</w:t>
            </w:r>
          </w:p>
        </w:tc>
      </w:tr>
      <w:tr w14:paraId="1778F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2F67DA55">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921" w:type="dxa"/>
            <w:vAlign w:val="center"/>
          </w:tcPr>
          <w:p w14:paraId="4F32D9D3">
            <w:pPr>
              <w:keepNext w:val="0"/>
              <w:keepLines w:val="0"/>
              <w:pageBreakBefore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w:t>
            </w:r>
          </w:p>
        </w:tc>
        <w:tc>
          <w:tcPr>
            <w:tcW w:w="7518" w:type="dxa"/>
            <w:vAlign w:val="center"/>
          </w:tcPr>
          <w:p w14:paraId="35213124">
            <w:pPr>
              <w:keepNext w:val="0"/>
              <w:keepLines w:val="0"/>
              <w:pageBreakBefore w:val="0"/>
              <w:kinsoku/>
              <w:wordWrap/>
              <w:overflowPunct/>
              <w:topLinePunct w:val="0"/>
              <w:autoSpaceDE/>
              <w:autoSpaceDN/>
              <w:bidi w:val="0"/>
              <w:adjustRightInd/>
              <w:snapToGrid/>
              <w:spacing w:line="360" w:lineRule="exact"/>
              <w:ind w:left="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本项目实质性条款包括但不限于工期、付款方式、质保期等不允许负偏离，否则视为无效响应文件。</w:t>
            </w:r>
          </w:p>
        </w:tc>
      </w:tr>
      <w:tr w14:paraId="5809B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729829FE">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921" w:type="dxa"/>
            <w:vAlign w:val="center"/>
          </w:tcPr>
          <w:p w14:paraId="1A85AE6E">
            <w:pPr>
              <w:keepNext w:val="0"/>
              <w:keepLines w:val="0"/>
              <w:pageBreakBefore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履约验收</w:t>
            </w:r>
          </w:p>
        </w:tc>
        <w:tc>
          <w:tcPr>
            <w:tcW w:w="7518" w:type="dxa"/>
            <w:vAlign w:val="center"/>
          </w:tcPr>
          <w:p w14:paraId="4609F4C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是否委托采购代理机构组织履约验收：</w:t>
            </w:r>
          </w:p>
          <w:p w14:paraId="7EAEF6E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验收费用由采购人/成交供应商支付，费用标准按成交金额的5‰计算，不足5000元的，按5000元收取。</w:t>
            </w:r>
          </w:p>
          <w:p w14:paraId="2FAFB5E2">
            <w:pPr>
              <w:keepNext w:val="0"/>
              <w:keepLines w:val="0"/>
              <w:pageBreakBefore w:val="0"/>
              <w:kinsoku/>
              <w:wordWrap/>
              <w:overflowPunct/>
              <w:topLinePunct w:val="0"/>
              <w:autoSpaceDE/>
              <w:autoSpaceDN/>
              <w:bidi w:val="0"/>
              <w:adjustRightInd/>
              <w:snapToGrid/>
              <w:spacing w:line="360" w:lineRule="exact"/>
              <w:ind w:left="0" w:left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否。</w:t>
            </w:r>
          </w:p>
        </w:tc>
      </w:tr>
      <w:tr w14:paraId="47FCC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4D1AEDDF">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921" w:type="dxa"/>
            <w:vAlign w:val="center"/>
          </w:tcPr>
          <w:p w14:paraId="0804445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信用担保及信用融资</w:t>
            </w:r>
          </w:p>
        </w:tc>
        <w:tc>
          <w:tcPr>
            <w:tcW w:w="7518" w:type="dxa"/>
            <w:vAlign w:val="center"/>
          </w:tcPr>
          <w:p w14:paraId="64CE1EC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tc>
      </w:tr>
      <w:tr w14:paraId="0D42A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00C54CBC">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921" w:type="dxa"/>
            <w:vAlign w:val="center"/>
          </w:tcPr>
          <w:p w14:paraId="7BCD9B23">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所属行业</w:t>
            </w:r>
          </w:p>
        </w:tc>
        <w:tc>
          <w:tcPr>
            <w:tcW w:w="7518" w:type="dxa"/>
            <w:vAlign w:val="center"/>
          </w:tcPr>
          <w:p w14:paraId="5E8F97C8">
            <w:pPr>
              <w:pStyle w:val="118"/>
              <w:keepNext w:val="0"/>
              <w:keepLines w:val="0"/>
              <w:pageBreakBefore w:val="0"/>
              <w:numPr>
                <w:ilvl w:val="0"/>
                <w:numId w:val="0"/>
              </w:numPr>
              <w:kinsoku/>
              <w:wordWrap/>
              <w:overflowPunct/>
              <w:topLinePunct w:val="0"/>
              <w:bidi w:val="0"/>
              <w:snapToGrid/>
              <w:spacing w:line="360" w:lineRule="exact"/>
              <w:ind w:left="0" w:left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本项目所属行业为：建筑业。</w:t>
            </w:r>
          </w:p>
        </w:tc>
      </w:tr>
      <w:tr w14:paraId="703C4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13" w:type="dxa"/>
            <w:vAlign w:val="center"/>
          </w:tcPr>
          <w:p w14:paraId="4C3AA209">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921" w:type="dxa"/>
            <w:vAlign w:val="center"/>
          </w:tcPr>
          <w:p w14:paraId="6AFDC997">
            <w:pPr>
              <w:pStyle w:val="118"/>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响应文件和证明资料签字、盖章要求</w:t>
            </w:r>
          </w:p>
        </w:tc>
        <w:tc>
          <w:tcPr>
            <w:tcW w:w="7518" w:type="dxa"/>
            <w:vAlign w:val="center"/>
          </w:tcPr>
          <w:p w14:paraId="428A1A74">
            <w:pPr>
              <w:pStyle w:val="118"/>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1、按第八章响应文件格式中要求签字和盖章。</w:t>
            </w:r>
          </w:p>
          <w:p w14:paraId="2D7A6342">
            <w:pPr>
              <w:pStyle w:val="118"/>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2、证明资料复印件、扫描件加盖供应商公章。</w:t>
            </w:r>
          </w:p>
          <w:p w14:paraId="21AC2DE8">
            <w:pPr>
              <w:pStyle w:val="118"/>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3、投标报价的计价成果文件封面必须由造价人员签字并加盖执业专用章。</w:t>
            </w:r>
          </w:p>
        </w:tc>
      </w:tr>
    </w:tbl>
    <w:p w14:paraId="638242A6">
      <w:pPr>
        <w:keepLines w:val="0"/>
        <w:pageBreakBefore w:val="0"/>
        <w:kinsoku/>
        <w:autoSpaceDE w:val="0"/>
        <w:autoSpaceDN w:val="0"/>
        <w:bidi w:val="0"/>
        <w:adjustRightInd w:val="0"/>
        <w:spacing w:line="360" w:lineRule="auto"/>
        <w:jc w:val="center"/>
        <w:rPr>
          <w:rFonts w:hint="eastAsia" w:ascii="宋体" w:hAnsi="宋体" w:eastAsia="宋体" w:cs="宋体"/>
          <w:color w:val="auto"/>
          <w:sz w:val="28"/>
          <w:szCs w:val="28"/>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425" w:num="1"/>
          <w:docGrid w:linePitch="312" w:charSpace="0"/>
        </w:sectPr>
      </w:pPr>
    </w:p>
    <w:p w14:paraId="54551A9F">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36"/>
          <w:szCs w:val="36"/>
          <w:highlight w:val="none"/>
          <w:lang w:val="zh-CN" w:eastAsia="zh-CN"/>
        </w:rPr>
      </w:pPr>
      <w:bookmarkStart w:id="5" w:name="_Toc27091"/>
      <w:r>
        <w:rPr>
          <w:rFonts w:hint="eastAsia" w:ascii="宋体" w:hAnsi="宋体" w:eastAsia="宋体" w:cs="宋体"/>
          <w:b/>
          <w:color w:val="auto"/>
          <w:sz w:val="36"/>
          <w:szCs w:val="36"/>
          <w:highlight w:val="none"/>
          <w:lang w:val="en-US" w:eastAsia="zh-CN"/>
        </w:rPr>
        <w:t xml:space="preserve">第三章 </w:t>
      </w:r>
      <w:r>
        <w:rPr>
          <w:rFonts w:hint="eastAsia" w:ascii="宋体" w:hAnsi="宋体" w:eastAsia="宋体" w:cs="宋体"/>
          <w:b/>
          <w:color w:val="auto"/>
          <w:sz w:val="36"/>
          <w:szCs w:val="36"/>
          <w:highlight w:val="none"/>
          <w:lang w:val="zh-CN" w:eastAsia="zh-CN"/>
        </w:rPr>
        <w:t>供应商须知</w:t>
      </w:r>
      <w:bookmarkEnd w:id="5"/>
    </w:p>
    <w:p w14:paraId="3EA8DD9D">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28"/>
          <w:szCs w:val="28"/>
          <w:highlight w:val="none"/>
          <w:lang w:val="zh-CN" w:eastAsia="zh-CN"/>
        </w:rPr>
      </w:pPr>
      <w:bookmarkStart w:id="6" w:name="_Toc29046"/>
      <w:bookmarkStart w:id="7" w:name="_Toc23881"/>
      <w:r>
        <w:rPr>
          <w:rFonts w:hint="eastAsia" w:ascii="宋体" w:hAnsi="宋体" w:eastAsia="宋体" w:cs="宋体"/>
          <w:b/>
          <w:color w:val="auto"/>
          <w:sz w:val="28"/>
          <w:szCs w:val="28"/>
          <w:highlight w:val="none"/>
          <w:lang w:val="en-US" w:eastAsia="zh-CN"/>
        </w:rPr>
        <w:t>A</w:t>
      </w:r>
      <w:r>
        <w:rPr>
          <w:rFonts w:hint="eastAsia" w:ascii="宋体" w:hAnsi="宋体" w:eastAsia="宋体" w:cs="宋体"/>
          <w:b/>
          <w:color w:val="auto"/>
          <w:sz w:val="28"/>
          <w:szCs w:val="28"/>
          <w:highlight w:val="none"/>
          <w:lang w:val="zh-CN" w:eastAsia="zh-CN"/>
        </w:rPr>
        <w:t>、总则</w:t>
      </w:r>
      <w:bookmarkEnd w:id="6"/>
      <w:bookmarkEnd w:id="7"/>
    </w:p>
    <w:p w14:paraId="1338D922">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1、资金来源</w:t>
      </w:r>
    </w:p>
    <w:p w14:paraId="0000996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本次竞争性磋商所签合同使用国有资金支付，资金已落实到位。</w:t>
      </w:r>
    </w:p>
    <w:p w14:paraId="3F947E52">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color w:val="auto"/>
          <w:sz w:val="21"/>
          <w:szCs w:val="21"/>
          <w:highlight w:val="none"/>
          <w:lang w:val="zh-CN" w:eastAsia="zh-CN"/>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lang w:val="en-US" w:eastAsia="zh-CN"/>
        </w:rPr>
        <w:t>名词解释</w:t>
      </w:r>
    </w:p>
    <w:p w14:paraId="269B087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1、采购人：</w:t>
      </w:r>
      <w:r>
        <w:rPr>
          <w:rFonts w:hint="eastAsia" w:ascii="宋体" w:hAnsi="宋体" w:cs="宋体"/>
          <w:color w:val="auto"/>
          <w:sz w:val="21"/>
          <w:szCs w:val="21"/>
          <w:highlight w:val="none"/>
          <w:lang w:val="zh-CN"/>
        </w:rPr>
        <w:t>泾阳县泾干中学</w:t>
      </w:r>
    </w:p>
    <w:p w14:paraId="2A0489A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2、监督机构：</w:t>
      </w:r>
      <w:r>
        <w:rPr>
          <w:rFonts w:hint="eastAsia" w:ascii="宋体" w:hAnsi="宋体" w:cs="宋体"/>
          <w:color w:val="auto"/>
          <w:sz w:val="21"/>
          <w:szCs w:val="21"/>
          <w:highlight w:val="none"/>
          <w:lang w:val="zh-CN"/>
        </w:rPr>
        <w:t>泾阳县</w:t>
      </w:r>
      <w:r>
        <w:rPr>
          <w:rFonts w:hint="eastAsia" w:ascii="宋体" w:hAnsi="宋体" w:eastAsia="宋体" w:cs="宋体"/>
          <w:color w:val="auto"/>
          <w:sz w:val="21"/>
          <w:szCs w:val="21"/>
          <w:highlight w:val="none"/>
          <w:lang w:val="en-US" w:eastAsia="zh-CN"/>
        </w:rPr>
        <w:t>财政局</w:t>
      </w:r>
    </w:p>
    <w:p w14:paraId="4295351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lang w:val="zh-CN"/>
        </w:rPr>
        <w:t>、采购代理机构：</w:t>
      </w:r>
      <w:r>
        <w:rPr>
          <w:rFonts w:hint="eastAsia" w:ascii="宋体" w:hAnsi="宋体" w:cs="宋体"/>
          <w:color w:val="auto"/>
          <w:sz w:val="21"/>
          <w:szCs w:val="21"/>
          <w:highlight w:val="none"/>
          <w:lang w:val="zh-CN"/>
        </w:rPr>
        <w:t>泾阳县政府采购中心</w:t>
      </w:r>
    </w:p>
    <w:p w14:paraId="45C13D1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lang w:val="zh-CN"/>
        </w:rPr>
        <w:t>、供应商：响应磋商并且符合竞争性磋商文件规定资格条件和参加磋商竞争的法人或其他组织或自然人。</w:t>
      </w:r>
    </w:p>
    <w:p w14:paraId="1C18A0B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2.5、竞争性磋商文件：由采购人或采购代理机构发出的文本、文件，包括全部章节和附件及答疑会议纪要。</w:t>
      </w:r>
    </w:p>
    <w:p w14:paraId="1EDFC07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2.6、磋商响应文件：磋商供应商根据本竞争性磋商文件向采购人提交的全部文件。</w:t>
      </w:r>
    </w:p>
    <w:p w14:paraId="4E240E0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2.7、书面形式：任何手写、打印或印刷的各种函件，包括电传、电报、电子邮件等。</w:t>
      </w:r>
    </w:p>
    <w:p w14:paraId="34E49010">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zh-CN"/>
        </w:rPr>
        <w:t>磋商费用</w:t>
      </w:r>
    </w:p>
    <w:p w14:paraId="66DA450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无论磋商结果如何，磋商供应商自行承担与参加磋商活动有关的全部费用。</w:t>
      </w:r>
    </w:p>
    <w:p w14:paraId="3D51E469">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zh-CN"/>
        </w:rPr>
        <w:t>合格的供应商</w:t>
      </w:r>
    </w:p>
    <w:p w14:paraId="45E9CCB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.1、《中华人民共和国政府采购法》第二十二条第一款规定的供应商基本资格条件:</w:t>
      </w:r>
    </w:p>
    <w:p w14:paraId="5173674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1）具有独立承担民事责任的能力；</w:t>
      </w:r>
    </w:p>
    <w:p w14:paraId="6C6310E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2）具有良好的商业信誉和健全的财务会计制度；</w:t>
      </w:r>
    </w:p>
    <w:p w14:paraId="3332CA2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3）具有履行合同所必需的设备和专业技术能力；</w:t>
      </w:r>
    </w:p>
    <w:p w14:paraId="1E8ECA7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4）有依法缴纳税收和社会保障资金的良好记录；</w:t>
      </w:r>
    </w:p>
    <w:p w14:paraId="0B60B59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5）参加政府采购活动前三年内，在经营活动中没有重大违法记录；</w:t>
      </w:r>
    </w:p>
    <w:p w14:paraId="74132AD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6）法律、行政法规规定的其他条件。</w:t>
      </w:r>
    </w:p>
    <w:p w14:paraId="6421EC2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.2、根据本次采购项目的要求，规定的供应商特殊条件（见</w:t>
      </w:r>
      <w:r>
        <w:rPr>
          <w:rFonts w:hint="eastAsia" w:ascii="宋体" w:hAnsi="宋体" w:eastAsia="宋体" w:cs="宋体"/>
          <w:color w:val="auto"/>
          <w:sz w:val="21"/>
          <w:szCs w:val="21"/>
          <w:highlight w:val="none"/>
          <w:lang w:val="zh-CN" w:eastAsia="zh-CN"/>
        </w:rPr>
        <w:t>竞争性磋商须知</w:t>
      </w:r>
      <w:r>
        <w:rPr>
          <w:rFonts w:hint="eastAsia" w:ascii="宋体" w:hAnsi="宋体" w:eastAsia="宋体" w:cs="宋体"/>
          <w:color w:val="auto"/>
          <w:sz w:val="21"/>
          <w:szCs w:val="21"/>
          <w:highlight w:val="none"/>
          <w:lang w:val="zh-CN"/>
        </w:rPr>
        <w:t>）。</w:t>
      </w:r>
    </w:p>
    <w:p w14:paraId="5413BFE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磋商。</w:t>
      </w:r>
    </w:p>
    <w:p w14:paraId="231C55F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.4、供应商不得直接或间接地与采购人或采购代理机构有任何关联，亦不得是采购人或采购代理机构的附属机构。如果供应商在磋商中隐瞒了上述关系，一经证实，则该磋商无效。</w:t>
      </w:r>
    </w:p>
    <w:p w14:paraId="0FC93E6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.5、供应商必须在</w:t>
      </w:r>
      <w:r>
        <w:rPr>
          <w:rFonts w:hint="eastAsia" w:ascii="宋体" w:hAnsi="宋体" w:cs="宋体"/>
          <w:color w:val="auto"/>
          <w:sz w:val="21"/>
          <w:szCs w:val="21"/>
          <w:highlight w:val="none"/>
          <w:shd w:val="clear" w:color="auto" w:fill="auto"/>
          <w:lang w:val="zh-CN"/>
        </w:rPr>
        <w:t>泾阳县政府采购中心</w:t>
      </w:r>
      <w:r>
        <w:rPr>
          <w:rFonts w:hint="eastAsia" w:ascii="宋体" w:hAnsi="宋体" w:eastAsia="宋体" w:cs="宋体"/>
          <w:color w:val="auto"/>
          <w:sz w:val="21"/>
          <w:szCs w:val="21"/>
          <w:highlight w:val="none"/>
          <w:shd w:val="clear" w:color="auto" w:fill="auto"/>
          <w:lang w:val="en-US" w:eastAsia="zh-CN"/>
        </w:rPr>
        <w:t>报名并领取</w:t>
      </w:r>
      <w:r>
        <w:rPr>
          <w:rFonts w:hint="eastAsia" w:ascii="宋体" w:hAnsi="宋体" w:eastAsia="宋体" w:cs="宋体"/>
          <w:color w:val="auto"/>
          <w:sz w:val="21"/>
          <w:szCs w:val="21"/>
          <w:highlight w:val="none"/>
          <w:shd w:val="clear" w:color="auto" w:fill="auto"/>
          <w:lang w:val="zh-CN"/>
        </w:rPr>
        <w:t>竞争性磋商文件，方可参加磋商。</w:t>
      </w:r>
    </w:p>
    <w:p w14:paraId="6DB1D32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.6、联合体磋商：不接受联合体磋商。</w:t>
      </w:r>
    </w:p>
    <w:p w14:paraId="15C3859E">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shd w:val="clear" w:color="auto" w:fill="auto"/>
          <w:lang w:val="zh-CN" w:eastAsia="zh-CN"/>
        </w:rPr>
      </w:pPr>
      <w:r>
        <w:rPr>
          <w:rFonts w:hint="eastAsia" w:ascii="宋体" w:hAnsi="宋体" w:eastAsia="宋体" w:cs="宋体"/>
          <w:b/>
          <w:bCs/>
          <w:color w:val="auto"/>
          <w:sz w:val="21"/>
          <w:szCs w:val="21"/>
          <w:highlight w:val="none"/>
          <w:shd w:val="clear" w:color="auto" w:fill="auto"/>
          <w:lang w:val="en-US" w:eastAsia="zh-CN"/>
        </w:rPr>
        <w:t>5、</w:t>
      </w:r>
      <w:r>
        <w:rPr>
          <w:rFonts w:hint="eastAsia" w:ascii="宋体" w:hAnsi="宋体" w:eastAsia="宋体" w:cs="宋体"/>
          <w:b/>
          <w:bCs/>
          <w:color w:val="auto"/>
          <w:sz w:val="21"/>
          <w:szCs w:val="21"/>
          <w:highlight w:val="none"/>
          <w:shd w:val="clear" w:color="auto" w:fill="auto"/>
          <w:lang w:val="zh-CN" w:eastAsia="zh-CN"/>
        </w:rPr>
        <w:t>合格的磋商响应人和合格的服务</w:t>
      </w:r>
    </w:p>
    <w:p w14:paraId="3D9345F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zh-CN"/>
        </w:rPr>
        <w:t>凡具有法人资格，具有独立承担民事责任的能力；遵守国家法律、行政法规，具有良好的信誉及履行合同的能力和良好的履行合同记录，资金状况良好；具有履行合同所必需的服务和专业技术能力，有依法缴纳税收和社会保障资金的良好纪录；参加政府采购活动前三年内，在经营活动中没有重大违法纪录。</w:t>
      </w:r>
    </w:p>
    <w:p w14:paraId="04FF933A">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6、竞争性磋商响应文件内容的真实性</w:t>
      </w:r>
    </w:p>
    <w:p w14:paraId="22F893D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42BD544E">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28"/>
          <w:szCs w:val="28"/>
          <w:highlight w:val="none"/>
          <w:shd w:val="clear" w:color="auto" w:fill="auto"/>
          <w:lang w:val="zh-CN" w:eastAsia="zh-CN"/>
        </w:rPr>
      </w:pPr>
      <w:bookmarkStart w:id="8" w:name="_Toc28088"/>
      <w:bookmarkStart w:id="9" w:name="_Toc7646"/>
      <w:r>
        <w:rPr>
          <w:rFonts w:hint="eastAsia" w:ascii="宋体" w:hAnsi="宋体" w:eastAsia="宋体" w:cs="宋体"/>
          <w:b/>
          <w:color w:val="auto"/>
          <w:sz w:val="28"/>
          <w:szCs w:val="28"/>
          <w:highlight w:val="none"/>
          <w:shd w:val="clear" w:color="auto" w:fill="auto"/>
          <w:lang w:val="en-US" w:eastAsia="zh-CN"/>
        </w:rPr>
        <w:t>B</w:t>
      </w:r>
      <w:r>
        <w:rPr>
          <w:rFonts w:hint="eastAsia" w:ascii="宋体" w:hAnsi="宋体" w:eastAsia="宋体" w:cs="宋体"/>
          <w:b/>
          <w:color w:val="auto"/>
          <w:sz w:val="28"/>
          <w:szCs w:val="28"/>
          <w:highlight w:val="none"/>
          <w:shd w:val="clear" w:color="auto" w:fill="auto"/>
          <w:lang w:val="zh-CN" w:eastAsia="zh-CN"/>
        </w:rPr>
        <w:t>、竞争性磋商文件</w:t>
      </w:r>
      <w:bookmarkEnd w:id="8"/>
      <w:bookmarkEnd w:id="9"/>
    </w:p>
    <w:p w14:paraId="0D6091AB">
      <w:pPr>
        <w:keepNext w:val="0"/>
        <w:keepLines w:val="0"/>
        <w:pageBreakBefore w:val="0"/>
        <w:widowControl w:val="0"/>
        <w:kinsoku/>
        <w:wordWrap/>
        <w:overflowPunct/>
        <w:topLinePunct w:val="0"/>
        <w:bidi w:val="0"/>
        <w:snapToGrid w:val="0"/>
        <w:spacing w:line="400" w:lineRule="exact"/>
        <w:ind w:left="0" w:leftChars="0" w:firstLine="422" w:firstLineChars="200"/>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7、磋商文件的构成</w:t>
      </w:r>
    </w:p>
    <w:p w14:paraId="7BAB2CC6">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7.1</w:t>
      </w:r>
      <w:r>
        <w:rPr>
          <w:rFonts w:hint="eastAsia" w:ascii="宋体" w:hAnsi="宋体" w:eastAsia="宋体" w:cs="宋体"/>
          <w:color w:val="auto"/>
          <w:sz w:val="21"/>
          <w:szCs w:val="21"/>
          <w:highlight w:val="none"/>
          <w:shd w:val="clear" w:color="auto" w:fill="auto"/>
        </w:rPr>
        <w:t>、磋商文件组成：采购文件是根据本项目的特点和需求编制，包括以下内容：</w:t>
      </w:r>
    </w:p>
    <w:p w14:paraId="631C2F50">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竞争性磋商公告</w:t>
      </w:r>
    </w:p>
    <w:p w14:paraId="6ECCADC6">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（2）竞争性磋商须知</w:t>
      </w:r>
    </w:p>
    <w:p w14:paraId="4A3EDAC3">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（3）供应商须知</w:t>
      </w:r>
    </w:p>
    <w:p w14:paraId="256EE04A">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（4）评审办法</w:t>
      </w:r>
    </w:p>
    <w:p w14:paraId="7922E591">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lang w:val="en-US" w:eastAsia="zh-CN"/>
        </w:rPr>
        <w:t>施工内容及技术要求</w:t>
      </w:r>
    </w:p>
    <w:p w14:paraId="1A986014">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lang w:val="en-US" w:eastAsia="zh-CN"/>
        </w:rPr>
        <w:t>工程量清单</w:t>
      </w:r>
    </w:p>
    <w:p w14:paraId="43F7418B">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（7）合同协议书</w:t>
      </w:r>
    </w:p>
    <w:p w14:paraId="1CF3900D">
      <w:pPr>
        <w:keepNext w:val="0"/>
        <w:keepLines w:val="0"/>
        <w:pageBreakBefore w:val="0"/>
        <w:widowControl w:val="0"/>
        <w:kinsoku/>
        <w:wordWrap/>
        <w:overflowPunct/>
        <w:topLinePunct w:val="0"/>
        <w:bidi w:val="0"/>
        <w:snapToGrid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（8）响应文件格式</w:t>
      </w:r>
    </w:p>
    <w:p w14:paraId="2784CCAC">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shd w:val="clear" w:color="auto" w:fill="auto"/>
          <w:lang w:val="zh-CN"/>
        </w:rPr>
      </w:pPr>
      <w:r>
        <w:rPr>
          <w:rFonts w:hint="eastAsia" w:ascii="宋体" w:hAnsi="宋体" w:eastAsia="宋体" w:cs="宋体"/>
          <w:b w:val="0"/>
          <w:bCs w:val="0"/>
          <w:color w:val="auto"/>
          <w:sz w:val="21"/>
          <w:szCs w:val="21"/>
          <w:highlight w:val="none"/>
          <w:shd w:val="clear" w:color="auto" w:fill="auto"/>
          <w:lang w:val="en-US" w:eastAsia="zh-CN"/>
        </w:rPr>
        <w:t>7.</w:t>
      </w:r>
      <w:r>
        <w:rPr>
          <w:rFonts w:hint="eastAsia" w:ascii="宋体" w:hAnsi="宋体" w:eastAsia="宋体" w:cs="宋体"/>
          <w:b w:val="0"/>
          <w:bCs w:val="0"/>
          <w:color w:val="auto"/>
          <w:sz w:val="21"/>
          <w:szCs w:val="21"/>
          <w:highlight w:val="none"/>
          <w:shd w:val="clear" w:color="auto" w:fill="auto"/>
          <w:lang w:val="zh-CN"/>
        </w:rPr>
        <w:t>2、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1160E856">
      <w:pPr>
        <w:keepNext w:val="0"/>
        <w:keepLines w:val="0"/>
        <w:pageBreakBefore w:val="0"/>
        <w:widowControl w:val="0"/>
        <w:kinsoku/>
        <w:wordWrap/>
        <w:overflowPunct/>
        <w:topLinePunct w:val="0"/>
        <w:autoSpaceDE w:val="0"/>
        <w:autoSpaceDN w:val="0"/>
        <w:bidi w:val="0"/>
        <w:adjustRightInd w:val="0"/>
        <w:spacing w:line="400" w:lineRule="exact"/>
        <w:ind w:left="0" w:leftChars="0" w:firstLine="422" w:firstLineChars="200"/>
        <w:textAlignment w:val="auto"/>
        <w:rPr>
          <w:rFonts w:hint="eastAsia" w:ascii="宋体" w:hAnsi="宋体" w:eastAsia="宋体" w:cs="宋体"/>
          <w:b/>
          <w:bCs/>
          <w:color w:val="auto"/>
          <w:sz w:val="21"/>
          <w:szCs w:val="21"/>
          <w:highlight w:val="none"/>
          <w:shd w:val="clear" w:color="auto" w:fill="auto"/>
          <w:lang w:val="zh-CN"/>
        </w:rPr>
      </w:pPr>
      <w:r>
        <w:rPr>
          <w:rFonts w:hint="eastAsia" w:ascii="宋体" w:hAnsi="宋体" w:eastAsia="宋体" w:cs="宋体"/>
          <w:b/>
          <w:bCs/>
          <w:color w:val="auto"/>
          <w:sz w:val="21"/>
          <w:szCs w:val="21"/>
          <w:highlight w:val="none"/>
          <w:shd w:val="clear" w:color="auto" w:fill="auto"/>
          <w:lang w:val="en-US" w:eastAsia="zh-CN"/>
        </w:rPr>
        <w:t>8</w:t>
      </w:r>
      <w:r>
        <w:rPr>
          <w:rFonts w:hint="eastAsia" w:ascii="宋体" w:hAnsi="宋体" w:eastAsia="宋体" w:cs="宋体"/>
          <w:b/>
          <w:bCs/>
          <w:color w:val="auto"/>
          <w:sz w:val="21"/>
          <w:szCs w:val="21"/>
          <w:highlight w:val="none"/>
          <w:shd w:val="clear" w:color="auto" w:fill="auto"/>
          <w:lang w:val="zh-CN"/>
        </w:rPr>
        <w:t>、磋商文件的澄清或修改</w:t>
      </w:r>
    </w:p>
    <w:p w14:paraId="260713A6">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8</w:t>
      </w:r>
      <w:r>
        <w:rPr>
          <w:rFonts w:hint="eastAsia" w:ascii="宋体" w:hAnsi="宋体" w:eastAsia="宋体" w:cs="宋体"/>
          <w:b w:val="0"/>
          <w:bCs/>
          <w:color w:val="auto"/>
          <w:sz w:val="21"/>
          <w:szCs w:val="21"/>
          <w:highlight w:val="none"/>
          <w:shd w:val="clear" w:color="auto" w:fill="auto"/>
          <w:lang w:val="zh-CN"/>
        </w:rPr>
        <w:t>.1、在竞争性磋商响应文件截止时间前，采购代理机构可以视采购具体情况，延长竞争性磋商响应文件递交截止时间和磋商时间并在财政部门指定的媒体上发布变更公告，同时将变更时间书面通知所有获取竞争性磋商文件的供应商。</w:t>
      </w:r>
    </w:p>
    <w:p w14:paraId="0ED5D0D8">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8</w:t>
      </w:r>
      <w:r>
        <w:rPr>
          <w:rFonts w:hint="eastAsia" w:ascii="宋体" w:hAnsi="宋体" w:eastAsia="宋体" w:cs="宋体"/>
          <w:b w:val="0"/>
          <w:bCs/>
          <w:color w:val="auto"/>
          <w:sz w:val="21"/>
          <w:szCs w:val="21"/>
          <w:highlight w:val="none"/>
          <w:shd w:val="clear" w:color="auto" w:fill="auto"/>
          <w:lang w:val="zh-CN"/>
        </w:rPr>
        <w:t>.2、提交响应文件截止之间前，采购人或采购代理机构有权对已发出的磋商文件进行必要的澄清或修改，澄清或修改的内容作为磋商文件的组成部分。澄清或修改的内容可能影响响应文件编制的，采购代理机构应在提交响应文件截止时间至少5日前，以书面形式通知所有获得磋商文件的供应商；不足5日的，采购代理机构应当顺延提交响应文件截止时间。</w:t>
      </w:r>
    </w:p>
    <w:p w14:paraId="387163E1">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8</w:t>
      </w:r>
      <w:r>
        <w:rPr>
          <w:rFonts w:hint="eastAsia" w:ascii="宋体" w:hAnsi="宋体" w:eastAsia="宋体" w:cs="宋体"/>
          <w:b w:val="0"/>
          <w:bCs/>
          <w:color w:val="auto"/>
          <w:sz w:val="21"/>
          <w:szCs w:val="21"/>
          <w:highlight w:val="none"/>
          <w:shd w:val="clear" w:color="auto" w:fill="auto"/>
          <w:lang w:val="zh-CN"/>
        </w:rPr>
        <w:t>.</w:t>
      </w:r>
      <w:r>
        <w:rPr>
          <w:rFonts w:hint="eastAsia" w:ascii="宋体" w:hAnsi="宋体" w:eastAsia="宋体" w:cs="宋体"/>
          <w:b w:val="0"/>
          <w:bCs/>
          <w:color w:val="auto"/>
          <w:sz w:val="21"/>
          <w:szCs w:val="21"/>
          <w:highlight w:val="none"/>
          <w:shd w:val="clear" w:color="auto" w:fill="auto"/>
          <w:lang w:val="en-US" w:eastAsia="zh-CN"/>
        </w:rPr>
        <w:t>3</w:t>
      </w:r>
      <w:r>
        <w:rPr>
          <w:rFonts w:hint="eastAsia" w:ascii="宋体" w:hAnsi="宋体" w:eastAsia="宋体" w:cs="宋体"/>
          <w:b w:val="0"/>
          <w:bCs/>
          <w:color w:val="auto"/>
          <w:sz w:val="21"/>
          <w:szCs w:val="21"/>
          <w:highlight w:val="none"/>
          <w:shd w:val="clear" w:color="auto" w:fill="auto"/>
          <w:lang w:val="zh-CN"/>
        </w:rPr>
        <w:t>、任何要求对磋商文件进行澄清的磋商供应商，均应在响应文件递交截止时间3天前，以书面形式通知采购代理机构,由代理机构汇总后统一进行答复，并以书面形式通知所有参与竞争性磋商的供应商。磋商供应商收到后澄清或修改文件后24小时内，以书面形式确认收到该文件。</w:t>
      </w:r>
    </w:p>
    <w:p w14:paraId="149FD1D4">
      <w:pPr>
        <w:keepNext w:val="0"/>
        <w:keepLines w:val="0"/>
        <w:pageBreakBefore w:val="0"/>
        <w:widowControl w:val="0"/>
        <w:kinsoku/>
        <w:wordWrap/>
        <w:overflowPunct/>
        <w:topLinePunct w:val="0"/>
        <w:bidi w:val="0"/>
        <w:spacing w:line="400" w:lineRule="exact"/>
        <w:ind w:left="0" w:lef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8.4、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2C631669">
      <w:pPr>
        <w:keepNext w:val="0"/>
        <w:keepLines w:val="0"/>
        <w:pageBreakBefore w:val="0"/>
        <w:widowControl w:val="0"/>
        <w:kinsoku/>
        <w:wordWrap/>
        <w:overflowPunct/>
        <w:topLinePunct w:val="0"/>
        <w:bidi w:val="0"/>
        <w:spacing w:line="40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8.5、供应商若对磋商文件有任何疑问，可以以书面形式向采购代理机构提出询问。否则，视为同意磋商文件的一切条款和要求并承担由此引起的一切法律责任。凡因供应商对磋商文件阅读不深、理解不透、误解、疏漏、或因市场行情了解不清造成的后果和风险均由供应商自负。</w:t>
      </w:r>
    </w:p>
    <w:p w14:paraId="56E3BE37">
      <w:pPr>
        <w:keepNext w:val="0"/>
        <w:keepLines w:val="0"/>
        <w:pageBreakBefore w:val="0"/>
        <w:widowControl w:val="0"/>
        <w:kinsoku/>
        <w:wordWrap/>
        <w:overflowPunct/>
        <w:topLinePunct w:val="0"/>
        <w:autoSpaceDE w:val="0"/>
        <w:autoSpaceDN w:val="0"/>
        <w:bidi w:val="0"/>
        <w:adjustRightInd w:val="0"/>
        <w:spacing w:line="40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8</w:t>
      </w:r>
      <w:r>
        <w:rPr>
          <w:rFonts w:hint="eastAsia" w:ascii="宋体" w:hAnsi="宋体" w:eastAsia="宋体" w:cs="宋体"/>
          <w:b w:val="0"/>
          <w:bCs/>
          <w:color w:val="auto"/>
          <w:sz w:val="21"/>
          <w:szCs w:val="21"/>
          <w:highlight w:val="none"/>
          <w:shd w:val="clear" w:color="auto" w:fill="auto"/>
          <w:lang w:val="zh-CN"/>
        </w:rPr>
        <w:t>.</w:t>
      </w:r>
      <w:r>
        <w:rPr>
          <w:rFonts w:hint="eastAsia" w:ascii="宋体" w:hAnsi="宋体" w:eastAsia="宋体" w:cs="宋体"/>
          <w:b w:val="0"/>
          <w:bCs/>
          <w:color w:val="auto"/>
          <w:sz w:val="21"/>
          <w:szCs w:val="21"/>
          <w:highlight w:val="none"/>
          <w:shd w:val="clear" w:color="auto" w:fill="auto"/>
          <w:lang w:val="en-US" w:eastAsia="zh-CN"/>
        </w:rPr>
        <w:t>6</w:t>
      </w:r>
      <w:r>
        <w:rPr>
          <w:rFonts w:hint="eastAsia" w:ascii="宋体" w:hAnsi="宋体" w:eastAsia="宋体" w:cs="宋体"/>
          <w:b w:val="0"/>
          <w:bCs/>
          <w:color w:val="auto"/>
          <w:sz w:val="21"/>
          <w:szCs w:val="21"/>
          <w:highlight w:val="none"/>
          <w:shd w:val="clear" w:color="auto" w:fill="auto"/>
          <w:lang w:val="zh-CN"/>
        </w:rPr>
        <w:t>、竞争性磋商文件的解释权归采购代理机构所有。如发现竞争性磋商文件内容中与现行的法律法规不相符合的情况，以现行的法律法规为准；竞争性磋商文件中某个或多个条款依我国法律、法规被认定为非法、无效或不可执行的,该无效条款的无效、失效和不可执行,不影响亦不损害其他条款的有效性、生效性和可执行性。</w:t>
      </w:r>
    </w:p>
    <w:p w14:paraId="55ABE4C6">
      <w:pPr>
        <w:keepLines w:val="0"/>
        <w:pageBreakBefore w:val="0"/>
        <w:widowControl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val="0"/>
          <w:color w:val="auto"/>
          <w:sz w:val="21"/>
          <w:szCs w:val="21"/>
          <w:highlight w:val="none"/>
          <w:shd w:val="clear" w:color="auto" w:fill="auto"/>
          <w:lang w:val="zh-CN"/>
        </w:rPr>
      </w:pPr>
      <w:r>
        <w:rPr>
          <w:rFonts w:hint="eastAsia" w:ascii="宋体" w:hAnsi="宋体" w:eastAsia="宋体" w:cs="宋体"/>
          <w:b/>
          <w:bCs w:val="0"/>
          <w:color w:val="auto"/>
          <w:sz w:val="21"/>
          <w:szCs w:val="21"/>
          <w:highlight w:val="none"/>
          <w:shd w:val="clear" w:color="auto" w:fill="auto"/>
          <w:lang w:val="en-US" w:eastAsia="zh-CN"/>
        </w:rPr>
        <w:t>9、</w:t>
      </w:r>
      <w:r>
        <w:rPr>
          <w:rFonts w:hint="eastAsia" w:ascii="宋体" w:hAnsi="宋体" w:eastAsia="宋体" w:cs="宋体"/>
          <w:b/>
          <w:bCs w:val="0"/>
          <w:color w:val="auto"/>
          <w:sz w:val="21"/>
          <w:szCs w:val="21"/>
          <w:highlight w:val="none"/>
          <w:shd w:val="clear" w:color="auto" w:fill="auto"/>
          <w:lang w:val="zh-CN"/>
        </w:rPr>
        <w:t>备选磋商方案</w:t>
      </w:r>
    </w:p>
    <w:p w14:paraId="6D594623">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zh-CN"/>
        </w:rPr>
        <w:t>本项目不得提供备选方案。</w:t>
      </w:r>
    </w:p>
    <w:p w14:paraId="4AA26396">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28"/>
          <w:szCs w:val="28"/>
          <w:highlight w:val="none"/>
          <w:shd w:val="clear" w:color="auto" w:fill="auto"/>
          <w:lang w:val="zh-CN" w:eastAsia="zh-CN"/>
        </w:rPr>
      </w:pPr>
      <w:bookmarkStart w:id="10" w:name="_Toc27170"/>
      <w:bookmarkStart w:id="11" w:name="_Toc25075"/>
      <w:r>
        <w:rPr>
          <w:rFonts w:hint="eastAsia" w:ascii="宋体" w:hAnsi="宋体" w:eastAsia="宋体" w:cs="宋体"/>
          <w:b/>
          <w:color w:val="auto"/>
          <w:sz w:val="28"/>
          <w:szCs w:val="28"/>
          <w:highlight w:val="none"/>
          <w:shd w:val="clear" w:color="auto" w:fill="auto"/>
          <w:lang w:val="en-US" w:eastAsia="zh-CN"/>
        </w:rPr>
        <w:t>C、</w:t>
      </w:r>
      <w:r>
        <w:rPr>
          <w:rFonts w:hint="eastAsia" w:ascii="宋体" w:hAnsi="宋体" w:eastAsia="宋体" w:cs="宋体"/>
          <w:b/>
          <w:color w:val="auto"/>
          <w:sz w:val="28"/>
          <w:szCs w:val="28"/>
          <w:highlight w:val="none"/>
          <w:shd w:val="clear" w:color="auto" w:fill="auto"/>
          <w:lang w:val="zh-CN" w:eastAsia="zh-CN"/>
        </w:rPr>
        <w:t>竞争性磋商</w:t>
      </w:r>
      <w:r>
        <w:rPr>
          <w:rFonts w:hint="eastAsia" w:ascii="宋体" w:hAnsi="宋体" w:eastAsia="宋体" w:cs="宋体"/>
          <w:b/>
          <w:color w:val="auto"/>
          <w:sz w:val="28"/>
          <w:szCs w:val="28"/>
          <w:highlight w:val="none"/>
          <w:shd w:val="clear" w:color="auto" w:fill="auto"/>
          <w:lang w:val="en-US" w:eastAsia="zh-CN"/>
        </w:rPr>
        <w:t>响应</w:t>
      </w:r>
      <w:r>
        <w:rPr>
          <w:rFonts w:hint="eastAsia" w:ascii="宋体" w:hAnsi="宋体" w:eastAsia="宋体" w:cs="宋体"/>
          <w:b/>
          <w:color w:val="auto"/>
          <w:sz w:val="28"/>
          <w:szCs w:val="28"/>
          <w:highlight w:val="none"/>
          <w:shd w:val="clear" w:color="auto" w:fill="auto"/>
          <w:lang w:val="zh-CN" w:eastAsia="zh-CN"/>
        </w:rPr>
        <w:t>文件</w:t>
      </w:r>
      <w:bookmarkEnd w:id="10"/>
      <w:bookmarkEnd w:id="11"/>
    </w:p>
    <w:p w14:paraId="0042C7C4">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lang w:val="en-US" w:eastAsia="zh-CN"/>
        </w:rPr>
        <w:t>10、</w:t>
      </w:r>
      <w:r>
        <w:rPr>
          <w:rFonts w:hint="eastAsia" w:ascii="宋体" w:hAnsi="宋体" w:eastAsia="宋体" w:cs="宋体"/>
          <w:b/>
          <w:bCs w:val="0"/>
          <w:color w:val="auto"/>
          <w:sz w:val="21"/>
          <w:szCs w:val="21"/>
          <w:highlight w:val="none"/>
          <w:shd w:val="clear" w:color="auto" w:fill="auto"/>
          <w:lang w:val="zh-CN"/>
        </w:rPr>
        <w:t>磋商</w:t>
      </w:r>
      <w:r>
        <w:rPr>
          <w:rFonts w:hint="eastAsia" w:ascii="宋体" w:hAnsi="宋体" w:eastAsia="宋体" w:cs="宋体"/>
          <w:b/>
          <w:bCs w:val="0"/>
          <w:color w:val="auto"/>
          <w:sz w:val="21"/>
          <w:szCs w:val="21"/>
          <w:highlight w:val="none"/>
          <w:shd w:val="clear" w:color="auto" w:fill="auto"/>
          <w:lang w:val="en-US" w:eastAsia="zh-CN"/>
        </w:rPr>
        <w:t>响应文件编制的原则</w:t>
      </w:r>
    </w:p>
    <w:p w14:paraId="2924BEB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10.1、供应商应在认真阅读磋商文件所有内容的基础上，按照磋商文件的要求编制完整的响应文件。</w:t>
      </w:r>
      <w:r>
        <w:rPr>
          <w:rFonts w:hint="eastAsia" w:ascii="宋体" w:hAnsi="宋体" w:eastAsia="宋体" w:cs="宋体"/>
          <w:b w:val="0"/>
          <w:bCs/>
          <w:color w:val="auto"/>
          <w:sz w:val="21"/>
          <w:szCs w:val="21"/>
          <w:highlight w:val="none"/>
          <w:shd w:val="clear" w:color="auto" w:fill="auto"/>
          <w:lang w:val="zh-CN"/>
        </w:rPr>
        <w:t>磋商响应文件参考给定格式编制，对磋商文件要求做出实质性响应。磋商供应商可根据情况自行扩展，但不得随意删减格式要求内容。</w:t>
      </w:r>
    </w:p>
    <w:p w14:paraId="5F953EAF">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10.2、供应商必须保证响应文件所提供的全部资料真实可靠，并接受对其中任何资料进一步审查的要求。</w:t>
      </w:r>
    </w:p>
    <w:p w14:paraId="5656B36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10.3、响应文件须对磋商文件中的内容做出实质性和完整的响应，否则其投标将被拒绝。</w:t>
      </w:r>
    </w:p>
    <w:p w14:paraId="0C450072">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lang w:val="en-US" w:eastAsia="zh-CN"/>
        </w:rPr>
        <w:t>11、</w:t>
      </w:r>
      <w:r>
        <w:rPr>
          <w:rFonts w:hint="eastAsia" w:ascii="宋体" w:hAnsi="宋体" w:eastAsia="宋体" w:cs="宋体"/>
          <w:b/>
          <w:bCs w:val="0"/>
          <w:color w:val="auto"/>
          <w:sz w:val="21"/>
          <w:szCs w:val="21"/>
          <w:highlight w:val="none"/>
          <w:lang w:val="en-US" w:eastAsia="zh-CN"/>
        </w:rPr>
        <w:t>磋商响应文件</w:t>
      </w:r>
      <w:r>
        <w:rPr>
          <w:rFonts w:hint="eastAsia" w:ascii="宋体" w:hAnsi="宋体" w:eastAsia="宋体" w:cs="宋体"/>
          <w:b/>
          <w:bCs w:val="0"/>
          <w:color w:val="auto"/>
          <w:sz w:val="21"/>
          <w:szCs w:val="21"/>
          <w:highlight w:val="none"/>
          <w:shd w:val="clear" w:color="auto" w:fill="auto"/>
          <w:lang w:val="en-US" w:eastAsia="zh-CN"/>
        </w:rPr>
        <w:t>的式样</w:t>
      </w:r>
    </w:p>
    <w:p w14:paraId="7005D71F">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11.1、语言</w:t>
      </w:r>
    </w:p>
    <w:p w14:paraId="12AFCC4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招标活动的所有文件、资料、函电文字均使用简体中文，确需提交用其他语言形成的资料，必须翻译成简体中文，如有差异，以简体中文为准。</w:t>
      </w:r>
    </w:p>
    <w:p w14:paraId="4D55B9F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zh-CN" w:eastAsia="zh-CN"/>
        </w:rPr>
      </w:pPr>
      <w:r>
        <w:rPr>
          <w:rFonts w:hint="eastAsia" w:ascii="宋体" w:hAnsi="宋体" w:eastAsia="宋体" w:cs="宋体"/>
          <w:b w:val="0"/>
          <w:bCs/>
          <w:color w:val="auto"/>
          <w:sz w:val="21"/>
          <w:szCs w:val="21"/>
          <w:highlight w:val="none"/>
          <w:shd w:val="clear" w:color="auto" w:fill="auto"/>
          <w:lang w:val="en-US" w:eastAsia="zh-CN"/>
        </w:rPr>
        <w:t>11.2、</w:t>
      </w:r>
      <w:r>
        <w:rPr>
          <w:rFonts w:hint="eastAsia" w:ascii="宋体" w:hAnsi="宋体" w:eastAsia="宋体" w:cs="宋体"/>
          <w:b w:val="0"/>
          <w:bCs/>
          <w:color w:val="auto"/>
          <w:sz w:val="21"/>
          <w:szCs w:val="21"/>
          <w:highlight w:val="none"/>
          <w:shd w:val="clear" w:color="auto" w:fill="auto"/>
          <w:lang w:val="zh-CN" w:eastAsia="zh-CN"/>
        </w:rPr>
        <w:t>磋商响应文件计量单位</w:t>
      </w:r>
    </w:p>
    <w:p w14:paraId="7D2516E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zh-CN" w:eastAsia="zh-CN"/>
        </w:rPr>
      </w:pPr>
      <w:r>
        <w:rPr>
          <w:rFonts w:hint="eastAsia" w:ascii="宋体" w:hAnsi="宋体" w:eastAsia="宋体" w:cs="宋体"/>
          <w:b w:val="0"/>
          <w:bCs/>
          <w:color w:val="auto"/>
          <w:sz w:val="21"/>
          <w:szCs w:val="21"/>
          <w:highlight w:val="none"/>
          <w:shd w:val="clear" w:color="auto" w:fill="auto"/>
          <w:lang w:val="zh-CN" w:eastAsia="zh-CN"/>
        </w:rPr>
        <w:t>磋商响应文件中所使用的计量单位，除有特殊要求外，均采用国家法定计量单位。</w:t>
      </w:r>
    </w:p>
    <w:p w14:paraId="730E7699">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val="0"/>
          <w:color w:val="auto"/>
          <w:sz w:val="21"/>
          <w:szCs w:val="21"/>
          <w:highlight w:val="none"/>
          <w:shd w:val="clear" w:color="auto" w:fill="auto"/>
          <w:lang w:val="zh-CN"/>
        </w:rPr>
      </w:pPr>
      <w:r>
        <w:rPr>
          <w:rFonts w:hint="eastAsia" w:ascii="宋体" w:hAnsi="宋体" w:eastAsia="宋体" w:cs="宋体"/>
          <w:b/>
          <w:bCs w:val="0"/>
          <w:color w:val="auto"/>
          <w:sz w:val="21"/>
          <w:szCs w:val="21"/>
          <w:highlight w:val="none"/>
          <w:shd w:val="clear" w:color="auto" w:fill="auto"/>
          <w:lang w:val="en-US" w:eastAsia="zh-CN"/>
        </w:rPr>
        <w:t>12、</w:t>
      </w:r>
      <w:r>
        <w:rPr>
          <w:rFonts w:hint="eastAsia" w:ascii="宋体" w:hAnsi="宋体" w:eastAsia="宋体" w:cs="宋体"/>
          <w:b/>
          <w:bCs w:val="0"/>
          <w:color w:val="auto"/>
          <w:sz w:val="21"/>
          <w:szCs w:val="21"/>
          <w:highlight w:val="none"/>
          <w:shd w:val="clear" w:color="auto" w:fill="auto"/>
          <w:lang w:val="zh-CN"/>
        </w:rPr>
        <w:t>磋商响应文件的组成</w:t>
      </w:r>
    </w:p>
    <w:p w14:paraId="243C177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12.1、格式内容：</w:t>
      </w:r>
    </w:p>
    <w:p w14:paraId="69F13D4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（1）磋商响应函</w:t>
      </w:r>
    </w:p>
    <w:p w14:paraId="51119F3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（2）第一次磋商报价表</w:t>
      </w:r>
    </w:p>
    <w:p w14:paraId="13F17DC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（3）已标价工程量清单</w:t>
      </w:r>
    </w:p>
    <w:p w14:paraId="649081B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（4）技术/商务条款偏差表</w:t>
      </w:r>
    </w:p>
    <w:p w14:paraId="574D16D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（5）磋商方案说明</w:t>
      </w:r>
    </w:p>
    <w:p w14:paraId="59D598E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（6）供应商承诺书</w:t>
      </w:r>
    </w:p>
    <w:p w14:paraId="0E8B4F9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（7）项目管理机构</w:t>
      </w:r>
    </w:p>
    <w:p w14:paraId="1342D4E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（8）供应商资质证明文件</w:t>
      </w:r>
    </w:p>
    <w:p w14:paraId="7FB7609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（9）</w:t>
      </w:r>
      <w:r>
        <w:rPr>
          <w:rFonts w:hint="eastAsia" w:ascii="宋体" w:hAnsi="宋体" w:eastAsia="宋体" w:cs="宋体"/>
          <w:b w:val="0"/>
          <w:bCs/>
          <w:color w:val="auto"/>
          <w:sz w:val="21"/>
          <w:szCs w:val="21"/>
          <w:highlight w:val="none"/>
          <w:shd w:val="clear" w:color="auto" w:fill="auto"/>
          <w:lang w:val="en-US" w:eastAsia="zh-CN"/>
        </w:rPr>
        <w:t>其他资料</w:t>
      </w:r>
    </w:p>
    <w:p w14:paraId="593666B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shd w:val="clear" w:color="auto" w:fill="auto"/>
          <w:lang w:val="zh-CN"/>
        </w:rPr>
      </w:pPr>
      <w:r>
        <w:rPr>
          <w:rFonts w:hint="eastAsia" w:ascii="宋体" w:hAnsi="宋体" w:eastAsia="宋体" w:cs="宋体"/>
          <w:b w:val="0"/>
          <w:bCs/>
          <w:color w:val="auto"/>
          <w:sz w:val="21"/>
          <w:szCs w:val="21"/>
          <w:highlight w:val="none"/>
          <w:shd w:val="clear" w:color="auto" w:fill="auto"/>
          <w:lang w:val="en-US" w:eastAsia="zh-CN"/>
        </w:rPr>
        <w:t>12.2、</w:t>
      </w:r>
      <w:r>
        <w:rPr>
          <w:rFonts w:hint="eastAsia" w:ascii="宋体" w:hAnsi="宋体" w:eastAsia="宋体" w:cs="宋体"/>
          <w:b w:val="0"/>
          <w:bCs/>
          <w:color w:val="auto"/>
          <w:sz w:val="21"/>
          <w:szCs w:val="21"/>
          <w:highlight w:val="none"/>
          <w:shd w:val="clear" w:color="auto" w:fill="auto"/>
          <w:lang w:val="zh-CN"/>
        </w:rPr>
        <w:t>本次磋商的最小单元为“包号”，供应商可根据自身的资质情况和经营范围对本次项目进行磋商，不得将其子目再行分解或只对本次项目中的品目进行不完全磋商，任何不完全的响应将会被拒绝。</w:t>
      </w:r>
    </w:p>
    <w:p w14:paraId="662E97E6">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13</w:t>
      </w:r>
      <w:r>
        <w:rPr>
          <w:rFonts w:hint="eastAsia" w:ascii="宋体" w:hAnsi="宋体" w:eastAsia="宋体" w:cs="宋体"/>
          <w:b/>
          <w:color w:val="auto"/>
          <w:sz w:val="21"/>
          <w:szCs w:val="21"/>
          <w:highlight w:val="none"/>
        </w:rPr>
        <w:t>、竞争性磋商响应文件格式</w:t>
      </w:r>
    </w:p>
    <w:p w14:paraId="3C60DD5E">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供应商应按照竞争性磋商文件中第</w:t>
      </w:r>
      <w:r>
        <w:rPr>
          <w:rFonts w:hint="eastAsia" w:ascii="宋体" w:hAnsi="宋体" w:eastAsia="宋体" w:cs="宋体"/>
          <w:b w:val="0"/>
          <w:bCs/>
          <w:color w:val="auto"/>
          <w:sz w:val="21"/>
          <w:szCs w:val="21"/>
          <w:highlight w:val="none"/>
          <w:lang w:val="en-US" w:eastAsia="zh-CN"/>
        </w:rPr>
        <w:t>八</w:t>
      </w:r>
      <w:r>
        <w:rPr>
          <w:rFonts w:hint="eastAsia" w:ascii="宋体" w:hAnsi="宋体" w:eastAsia="宋体" w:cs="宋体"/>
          <w:b w:val="0"/>
          <w:bCs/>
          <w:color w:val="auto"/>
          <w:sz w:val="21"/>
          <w:szCs w:val="21"/>
          <w:highlight w:val="none"/>
        </w:rPr>
        <w:t>章“响应文件格式”所提供的格式和要求制作竞争性磋商响应文件，明确表达磋商意愿，详细说明磋商方案、承诺及价格。</w:t>
      </w:r>
    </w:p>
    <w:p w14:paraId="26BB0BE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按竞争性磋商文件第</w:t>
      </w:r>
      <w:r>
        <w:rPr>
          <w:rFonts w:hint="eastAsia" w:ascii="宋体" w:hAnsi="宋体" w:eastAsia="宋体" w:cs="宋体"/>
          <w:b w:val="0"/>
          <w:bCs/>
          <w:color w:val="auto"/>
          <w:sz w:val="21"/>
          <w:szCs w:val="21"/>
          <w:highlight w:val="none"/>
          <w:lang w:val="en-US" w:eastAsia="zh-CN"/>
        </w:rPr>
        <w:t>五章</w:t>
      </w:r>
      <w:r>
        <w:rPr>
          <w:rFonts w:hint="eastAsia" w:ascii="宋体" w:hAnsi="宋体" w:eastAsia="宋体" w:cs="宋体"/>
          <w:color w:val="auto"/>
          <w:sz w:val="21"/>
          <w:szCs w:val="21"/>
          <w:highlight w:val="none"/>
          <w:lang w:val="en-US" w:eastAsia="zh-CN"/>
        </w:rPr>
        <w:t>施工内容及技术要求</w:t>
      </w:r>
      <w:r>
        <w:rPr>
          <w:rFonts w:hint="eastAsia" w:ascii="宋体" w:hAnsi="宋体" w:eastAsia="宋体" w:cs="宋体"/>
          <w:b w:val="0"/>
          <w:bCs/>
          <w:color w:val="auto"/>
          <w:sz w:val="21"/>
          <w:szCs w:val="21"/>
          <w:highlight w:val="none"/>
        </w:rPr>
        <w:t>及要求和第</w:t>
      </w:r>
      <w:r>
        <w:rPr>
          <w:rFonts w:hint="eastAsia" w:ascii="宋体" w:hAnsi="宋体" w:eastAsia="宋体" w:cs="宋体"/>
          <w:b w:val="0"/>
          <w:bCs/>
          <w:color w:val="auto"/>
          <w:sz w:val="21"/>
          <w:szCs w:val="21"/>
          <w:highlight w:val="none"/>
          <w:lang w:val="en-US" w:eastAsia="zh-CN"/>
        </w:rPr>
        <w:t>八</w:t>
      </w:r>
      <w:r>
        <w:rPr>
          <w:rFonts w:hint="eastAsia" w:ascii="宋体" w:hAnsi="宋体" w:eastAsia="宋体" w:cs="宋体"/>
          <w:b w:val="0"/>
          <w:bCs/>
          <w:color w:val="auto"/>
          <w:sz w:val="21"/>
          <w:szCs w:val="21"/>
          <w:highlight w:val="none"/>
        </w:rPr>
        <w:t>章提供的格式和要求编写其竞争性磋商响应文件，供应商不得缺少或留空任何竞争性磋商文件要求填写的表格或提交的资料。</w:t>
      </w:r>
    </w:p>
    <w:p w14:paraId="5AD310F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2"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14、</w:t>
      </w:r>
      <w:r>
        <w:rPr>
          <w:rFonts w:hint="eastAsia" w:ascii="宋体" w:hAnsi="宋体" w:eastAsia="宋体" w:cs="宋体"/>
          <w:b/>
          <w:color w:val="auto"/>
          <w:sz w:val="21"/>
          <w:szCs w:val="21"/>
          <w:highlight w:val="none"/>
          <w:lang w:val="zh-CN"/>
        </w:rPr>
        <w:t>磋商报价：</w:t>
      </w:r>
    </w:p>
    <w:p w14:paraId="53F5645D">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14.1、</w:t>
      </w:r>
      <w:r>
        <w:rPr>
          <w:rFonts w:hint="eastAsia" w:ascii="宋体" w:hAnsi="宋体" w:eastAsia="宋体" w:cs="宋体"/>
          <w:b w:val="0"/>
          <w:bCs/>
          <w:color w:val="auto"/>
          <w:sz w:val="21"/>
          <w:szCs w:val="21"/>
          <w:highlight w:val="none"/>
        </w:rPr>
        <w:t>供应商要按报价表内容填写</w:t>
      </w:r>
      <w:r>
        <w:rPr>
          <w:rFonts w:hint="eastAsia" w:ascii="宋体" w:hAnsi="宋体" w:eastAsia="宋体" w:cs="宋体"/>
          <w:b w:val="0"/>
          <w:bCs/>
          <w:color w:val="auto"/>
          <w:sz w:val="21"/>
          <w:szCs w:val="21"/>
          <w:highlight w:val="none"/>
          <w:lang w:val="en-US" w:eastAsia="zh-CN"/>
        </w:rPr>
        <w:t>工期</w:t>
      </w:r>
      <w:r>
        <w:rPr>
          <w:rFonts w:hint="eastAsia" w:ascii="宋体" w:hAnsi="宋体" w:eastAsia="宋体" w:cs="宋体"/>
          <w:b w:val="0"/>
          <w:bCs/>
          <w:color w:val="auto"/>
          <w:sz w:val="21"/>
          <w:szCs w:val="21"/>
          <w:highlight w:val="none"/>
        </w:rPr>
        <w:t>、总价等内容。</w:t>
      </w:r>
    </w:p>
    <w:p w14:paraId="7933D358">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14.2、供应商磋商报价汇总表中的价格均包括完成该工程的分部分项工程费、措施费、其他项目费用、利润、成本、规费、税金和供应商必须的其他费用以及合同中明示或暗示的所有风险、责任和义务等全部费用。</w:t>
      </w:r>
    </w:p>
    <w:p w14:paraId="5FB7CFF6">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14.3、本项目为固定总价，一次包死。交钥匙工程。</w:t>
      </w:r>
    </w:p>
    <w:p w14:paraId="54E0624E">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14.4、供应商可自行到工地踏勘，以充分了解施工现场地理位置、环境情况、道路、存储空间、装卸限制以及任何其他足以影响磋商报价的情况，任何因忽视或误解工地情况而导致的索赔或工期延长申请将不被批准。凡因供应商对磋商文件阅读疏忽或误解，或因对施工现场、施工环境、市场行情等了解不清而造成的后果和风险，由供应商负责。在施工期间，要协调施工现场周边社会关系，不得以协调不力而影响工程进度，所发生的一切费用应在报价时加以考虑。</w:t>
      </w:r>
    </w:p>
    <w:p w14:paraId="1C620510">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b w:val="0"/>
          <w:bCs/>
          <w:color w:val="auto"/>
          <w:sz w:val="21"/>
          <w:szCs w:val="21"/>
          <w:highlight w:val="none"/>
          <w:lang w:val="en-US" w:eastAsia="zh-CN"/>
        </w:rPr>
        <w:t>14.5、</w:t>
      </w:r>
      <w:r>
        <w:rPr>
          <w:rFonts w:hint="eastAsia" w:ascii="宋体" w:hAnsi="宋体" w:eastAsia="宋体" w:cs="宋体"/>
          <w:b w:val="0"/>
          <w:bCs/>
          <w:color w:val="auto"/>
          <w:sz w:val="21"/>
          <w:szCs w:val="21"/>
          <w:highlight w:val="none"/>
          <w:lang w:val="zh-CN"/>
        </w:rPr>
        <w:t>磋商报价不因市场因素、政府政策调整、费率调整和税收变化等而作任何调整，磋商单位应充分考虑到各种风险因素。</w:t>
      </w:r>
    </w:p>
    <w:p w14:paraId="700452D2">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14.6</w:t>
      </w:r>
      <w:r>
        <w:rPr>
          <w:rFonts w:hint="eastAsia" w:ascii="宋体" w:hAnsi="宋体" w:eastAsia="宋体" w:cs="宋体"/>
          <w:color w:val="auto"/>
          <w:sz w:val="21"/>
          <w:szCs w:val="21"/>
          <w:highlight w:val="none"/>
          <w:lang w:val="zh-CN" w:eastAsia="zh-CN"/>
        </w:rPr>
        <w:t>、凡因供应商对采购文件阅读不深、</w:t>
      </w:r>
      <w:r>
        <w:rPr>
          <w:rFonts w:hint="eastAsia" w:ascii="宋体" w:hAnsi="宋体" w:eastAsia="宋体" w:cs="宋体"/>
          <w:color w:val="auto"/>
          <w:sz w:val="21"/>
          <w:szCs w:val="21"/>
          <w:highlight w:val="none"/>
          <w:lang w:val="en-US" w:eastAsia="zh-CN"/>
        </w:rPr>
        <w:t>理解不透、</w:t>
      </w:r>
      <w:r>
        <w:rPr>
          <w:rFonts w:hint="eastAsia" w:ascii="宋体" w:hAnsi="宋体" w:eastAsia="宋体" w:cs="宋体"/>
          <w:color w:val="auto"/>
          <w:sz w:val="21"/>
          <w:szCs w:val="21"/>
          <w:highlight w:val="none"/>
          <w:lang w:val="zh-CN" w:eastAsia="zh-CN"/>
        </w:rPr>
        <w:t>误解、疏漏、</w:t>
      </w:r>
      <w:r>
        <w:rPr>
          <w:rFonts w:hint="eastAsia" w:ascii="宋体" w:hAnsi="宋体" w:eastAsia="宋体" w:cs="宋体"/>
          <w:color w:val="auto"/>
          <w:sz w:val="21"/>
          <w:szCs w:val="21"/>
          <w:highlight w:val="none"/>
          <w:lang w:val="en-US" w:eastAsia="zh-CN"/>
        </w:rPr>
        <w:t>或因市场行情了解不清造成的后果和风险均由供应商自负。</w:t>
      </w:r>
    </w:p>
    <w:p w14:paraId="04615F18">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14.7</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磋商报价货币：人民币，单位:元。</w:t>
      </w:r>
    </w:p>
    <w:p w14:paraId="75691748">
      <w:pPr>
        <w:keepNext w:val="0"/>
        <w:keepLines w:val="0"/>
        <w:pageBreakBefore w:val="0"/>
        <w:widowControl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14.8</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本次磋商采取二次报价，即：磋商响应文件中的磋商总报价为第一次报价；在磋商供应商初审合格后，第一次报价为有效报价。通过初审的各供应商单位与磋商小组进行背靠背磋商后，在规定时间内，提交第二次报价，第二次报价即为最终报价。</w:t>
      </w:r>
    </w:p>
    <w:p w14:paraId="4B2CE9AE">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14.9</w:t>
      </w:r>
      <w:r>
        <w:rPr>
          <w:rFonts w:hint="eastAsia" w:ascii="宋体" w:hAnsi="宋体" w:eastAsia="宋体" w:cs="宋体"/>
          <w:color w:val="auto"/>
          <w:sz w:val="21"/>
          <w:szCs w:val="21"/>
          <w:highlight w:val="none"/>
          <w:lang w:val="zh-CN" w:eastAsia="zh-CN"/>
        </w:rPr>
        <w:t>、磋商后所确定的成交价格，在合同执行过程中，不得以任何理由变更。</w:t>
      </w:r>
    </w:p>
    <w:p w14:paraId="7939D07F">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14.10、</w:t>
      </w:r>
      <w:r>
        <w:rPr>
          <w:rFonts w:hint="eastAsia" w:ascii="宋体" w:hAnsi="宋体" w:eastAsia="宋体" w:cs="宋体"/>
          <w:color w:val="auto"/>
          <w:sz w:val="21"/>
          <w:szCs w:val="21"/>
          <w:highlight w:val="none"/>
          <w:lang w:val="zh-CN" w:eastAsia="zh-CN"/>
        </w:rPr>
        <w:t>供应商不得以低于成本的报价参加磋商。若磋商小组认为某个供应商的报价明显低于其他通过符合性审查的供应商的报价，有可能影响产品质量或者不能诚信履约的，应当要求其在磋商现场合理的时间内提供书面说明，必要时提交相关证明材料；供应商不能证明其报价合理性的，磋商小组应将其作为无效投标处理。</w:t>
      </w:r>
    </w:p>
    <w:p w14:paraId="6F2B2BE0">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14.11</w:t>
      </w:r>
      <w:r>
        <w:rPr>
          <w:rFonts w:hint="eastAsia" w:ascii="宋体" w:hAnsi="宋体" w:eastAsia="宋体" w:cs="宋体"/>
          <w:color w:val="auto"/>
          <w:sz w:val="21"/>
          <w:szCs w:val="21"/>
          <w:highlight w:val="none"/>
          <w:lang w:val="zh-CN" w:eastAsia="zh-CN"/>
        </w:rPr>
        <w:t>、第一次报价超出采购预算的供应商不进入下一步磋商程序。</w:t>
      </w:r>
    </w:p>
    <w:p w14:paraId="5AC5A7D6">
      <w:pPr>
        <w:keepNext w:val="0"/>
        <w:keepLines w:val="0"/>
        <w:pageBreakBefore w:val="0"/>
        <w:widowControl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14.12</w:t>
      </w:r>
      <w:r>
        <w:rPr>
          <w:rFonts w:hint="eastAsia" w:ascii="宋体" w:hAnsi="宋体" w:eastAsia="宋体" w:cs="宋体"/>
          <w:color w:val="auto"/>
          <w:sz w:val="21"/>
          <w:szCs w:val="21"/>
          <w:highlight w:val="none"/>
          <w:lang w:val="zh-CN" w:eastAsia="zh-CN"/>
        </w:rPr>
        <w:t>、本项目不公开任何一次报价。</w:t>
      </w:r>
    </w:p>
    <w:p w14:paraId="1FF653EF">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1</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zh-CN" w:eastAsia="zh-CN"/>
        </w:rPr>
        <w:t>、证明供应商合格的资格证明文件</w:t>
      </w:r>
    </w:p>
    <w:p w14:paraId="376CCD81">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供应商应按照竞争性磋商须知的要求，在竞争性磋商响应文件中提交合格的资格证明文件。如果资格证明文件不全或不合格的，其磋商响应文件将被作无效文件处理。</w:t>
      </w:r>
    </w:p>
    <w:p w14:paraId="43FCA50D">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1</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eastAsia="zh-CN"/>
        </w:rPr>
        <w:t>保证金</w:t>
      </w:r>
    </w:p>
    <w:p w14:paraId="2A64CB2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.1、磋商保证金：本项目</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val="zh-CN" w:eastAsia="zh-CN"/>
        </w:rPr>
        <w:t>磋商保证金。</w:t>
      </w:r>
    </w:p>
    <w:p w14:paraId="2568FF9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.2、履约保证金：本项目</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val="zh-CN" w:eastAsia="zh-CN"/>
        </w:rPr>
        <w:t>履约保证金</w:t>
      </w:r>
      <w:r>
        <w:rPr>
          <w:rFonts w:hint="eastAsia" w:ascii="宋体" w:hAnsi="宋体" w:cs="宋体"/>
          <w:color w:val="auto"/>
          <w:sz w:val="21"/>
          <w:szCs w:val="21"/>
          <w:highlight w:val="none"/>
          <w:lang w:val="zh-CN" w:eastAsia="zh-CN"/>
        </w:rPr>
        <w:t>。</w:t>
      </w:r>
    </w:p>
    <w:p w14:paraId="7A87F341">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17</w:t>
      </w: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rPr>
        <w:t>磋商有效期</w:t>
      </w:r>
    </w:p>
    <w:p w14:paraId="26A933A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17.1、</w:t>
      </w:r>
      <w:r>
        <w:rPr>
          <w:rFonts w:hint="eastAsia" w:ascii="宋体" w:hAnsi="宋体" w:eastAsia="宋体" w:cs="宋体"/>
          <w:color w:val="auto"/>
          <w:sz w:val="21"/>
          <w:szCs w:val="21"/>
          <w:highlight w:val="none"/>
          <w:lang w:val="zh-CN"/>
        </w:rPr>
        <w:t>磋商有效期见</w:t>
      </w:r>
      <w:r>
        <w:rPr>
          <w:rFonts w:hint="eastAsia" w:ascii="宋体" w:hAnsi="宋体" w:eastAsia="宋体" w:cs="宋体"/>
          <w:color w:val="auto"/>
          <w:sz w:val="21"/>
          <w:szCs w:val="21"/>
          <w:highlight w:val="none"/>
          <w:lang w:val="en-US" w:eastAsia="zh-CN"/>
        </w:rPr>
        <w:t>竞争性磋商须知</w:t>
      </w:r>
      <w:r>
        <w:rPr>
          <w:rFonts w:hint="eastAsia" w:ascii="宋体" w:hAnsi="宋体" w:eastAsia="宋体" w:cs="宋体"/>
          <w:color w:val="auto"/>
          <w:sz w:val="21"/>
          <w:szCs w:val="21"/>
          <w:highlight w:val="none"/>
          <w:lang w:val="zh-CN"/>
        </w:rPr>
        <w:t>。磋商有效期短于此规定期限的磋商，将按无效磋商处理。</w:t>
      </w:r>
    </w:p>
    <w:p w14:paraId="4371CD3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lang w:val="en-US" w:eastAsia="zh-CN"/>
        </w:rPr>
        <w:t>17.2、在特殊情况下，在原磋商有效期期满之前，采购代理机构可向供应商提出延长磋商有效期的要求。这种要求与答复均应以书面的形式。供应商可以拒绝采购代理机构的这种要求。同意延长的供应商既不能要求也不允许修改其竞争性磋商响应文件。</w:t>
      </w:r>
    </w:p>
    <w:p w14:paraId="49925C15">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en-US" w:eastAsia="zh-CN"/>
        </w:rPr>
        <w:t>17.3、</w:t>
      </w:r>
      <w:r>
        <w:rPr>
          <w:rFonts w:hint="eastAsia" w:ascii="宋体" w:hAnsi="宋体" w:eastAsia="宋体" w:cs="宋体"/>
          <w:b/>
          <w:color w:val="auto"/>
          <w:sz w:val="21"/>
          <w:szCs w:val="21"/>
          <w:highlight w:val="none"/>
          <w:lang w:val="zh-CN"/>
        </w:rPr>
        <w:t>磋商响应文件有效期为自磋商截止日起90日历天，成交供应商的磋商响应文件有效期自动延长至合同执行完毕。</w:t>
      </w:r>
    </w:p>
    <w:p w14:paraId="796A7A30">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18</w:t>
      </w:r>
      <w:r>
        <w:rPr>
          <w:rFonts w:hint="eastAsia" w:ascii="宋体" w:hAnsi="宋体" w:eastAsia="宋体" w:cs="宋体"/>
          <w:b/>
          <w:color w:val="auto"/>
          <w:sz w:val="21"/>
          <w:szCs w:val="21"/>
          <w:highlight w:val="none"/>
          <w:lang w:val="zh-CN"/>
        </w:rPr>
        <w:t>、磋商响应文件的式样和签署</w:t>
      </w:r>
    </w:p>
    <w:p w14:paraId="04E8E57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lang w:val="zh-CN"/>
        </w:rPr>
        <w:t>1、磋商供应商应填写全称，同时加盖磋商供应商单位印章。</w:t>
      </w:r>
    </w:p>
    <w:p w14:paraId="4DC581E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18.2、磋商响应文件中需签字的地方按竞争性磋商文件要求签字，需盖章的地方按竞争性磋商文件要求盖章。</w:t>
      </w:r>
    </w:p>
    <w:p w14:paraId="597EA5B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18.3</w:t>
      </w:r>
      <w:r>
        <w:rPr>
          <w:rFonts w:hint="eastAsia" w:ascii="宋体" w:hAnsi="宋体" w:eastAsia="宋体" w:cs="宋体"/>
          <w:color w:val="auto"/>
          <w:sz w:val="21"/>
          <w:szCs w:val="21"/>
          <w:highlight w:val="none"/>
          <w:lang w:val="zh-CN"/>
        </w:rPr>
        <w:t>、</w:t>
      </w:r>
      <w:r>
        <w:rPr>
          <w:rFonts w:hint="eastAsia" w:ascii="宋体" w:hAnsi="宋体" w:eastAsia="宋体" w:cs="宋体"/>
          <w:b/>
          <w:color w:val="auto"/>
          <w:kern w:val="1"/>
          <w:sz w:val="21"/>
          <w:szCs w:val="21"/>
          <w:highlight w:val="none"/>
        </w:rPr>
        <w:t>磋商响应文件（正本1份、副本</w:t>
      </w:r>
      <w:r>
        <w:rPr>
          <w:rFonts w:hint="eastAsia" w:ascii="宋体" w:hAnsi="宋体" w:eastAsia="宋体" w:cs="宋体"/>
          <w:b/>
          <w:color w:val="auto"/>
          <w:kern w:val="1"/>
          <w:sz w:val="21"/>
          <w:szCs w:val="21"/>
          <w:highlight w:val="none"/>
          <w:lang w:val="en-US" w:eastAsia="zh-CN"/>
        </w:rPr>
        <w:t>2</w:t>
      </w:r>
      <w:r>
        <w:rPr>
          <w:rFonts w:hint="eastAsia" w:ascii="宋体" w:hAnsi="宋体" w:eastAsia="宋体" w:cs="宋体"/>
          <w:b/>
          <w:color w:val="auto"/>
          <w:kern w:val="1"/>
          <w:sz w:val="21"/>
          <w:szCs w:val="21"/>
          <w:highlight w:val="none"/>
        </w:rPr>
        <w:t>份</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电子文件U盘2份</w:t>
      </w:r>
      <w:r>
        <w:rPr>
          <w:rFonts w:hint="eastAsia" w:ascii="宋体" w:hAnsi="宋体" w:eastAsia="宋体" w:cs="宋体"/>
          <w:b/>
          <w:color w:val="auto"/>
          <w:kern w:val="1"/>
          <w:sz w:val="21"/>
          <w:szCs w:val="21"/>
          <w:highlight w:val="none"/>
        </w:rPr>
        <w:t>）</w:t>
      </w:r>
      <w:r>
        <w:rPr>
          <w:rFonts w:hint="eastAsia" w:ascii="宋体" w:hAnsi="宋体" w:eastAsia="宋体" w:cs="宋体"/>
          <w:color w:val="auto"/>
          <w:kern w:val="1"/>
          <w:sz w:val="21"/>
          <w:szCs w:val="21"/>
          <w:highlight w:val="none"/>
        </w:rPr>
        <w:t>，正、副本须用A4幅面纸张打印或用不褪色的蓝（黑）墨水填写，并清楚标明“正本”“副本”字样，并各自装订成册。副本可以为正本的复印件</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但签字盖章处需加盖单位红色印章</w:t>
      </w:r>
      <w:r>
        <w:rPr>
          <w:rFonts w:hint="eastAsia" w:ascii="宋体" w:hAnsi="宋体" w:eastAsia="宋体" w:cs="宋体"/>
          <w:color w:val="auto"/>
          <w:kern w:val="1"/>
          <w:sz w:val="21"/>
          <w:szCs w:val="21"/>
          <w:highlight w:val="none"/>
        </w:rPr>
        <w:t>。如果正本与副本不符，以正本为准。</w:t>
      </w:r>
    </w:p>
    <w:p w14:paraId="56B5EA54">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lang w:val="zh-CN"/>
        </w:rPr>
        <w:t>4、电子文件</w:t>
      </w:r>
      <w:r>
        <w:rPr>
          <w:rFonts w:hint="eastAsia" w:ascii="宋体" w:hAnsi="宋体" w:eastAsia="宋体" w:cs="宋体"/>
          <w:b/>
          <w:bCs/>
          <w:color w:val="auto"/>
          <w:sz w:val="21"/>
          <w:szCs w:val="21"/>
          <w:highlight w:val="none"/>
          <w:lang w:val="zh-CN" w:eastAsia="zh-CN"/>
        </w:rPr>
        <w:t>包含广联达版</w:t>
      </w:r>
      <w:r>
        <w:rPr>
          <w:rFonts w:hint="eastAsia" w:ascii="宋体" w:hAnsi="宋体" w:eastAsia="宋体" w:cs="宋体"/>
          <w:b/>
          <w:bCs/>
          <w:color w:val="auto"/>
          <w:sz w:val="21"/>
          <w:szCs w:val="21"/>
          <w:highlight w:val="none"/>
          <w:lang w:val="en-US" w:eastAsia="zh-CN"/>
        </w:rPr>
        <w:t>投标报价文件</w:t>
      </w:r>
      <w:r>
        <w:rPr>
          <w:rFonts w:hint="eastAsia" w:ascii="宋体" w:hAnsi="宋体" w:eastAsia="宋体" w:cs="宋体"/>
          <w:b/>
          <w:bCs/>
          <w:color w:val="auto"/>
          <w:sz w:val="21"/>
          <w:szCs w:val="21"/>
          <w:highlight w:val="none"/>
          <w:lang w:val="zh-CN" w:eastAsia="zh-CN"/>
        </w:rPr>
        <w:t>、投标文件电子版；投标文件电子版</w:t>
      </w:r>
      <w:r>
        <w:rPr>
          <w:rFonts w:hint="eastAsia" w:ascii="宋体" w:hAnsi="宋体" w:eastAsia="宋体" w:cs="宋体"/>
          <w:b/>
          <w:bCs/>
          <w:color w:val="auto"/>
          <w:sz w:val="21"/>
          <w:szCs w:val="21"/>
          <w:highlight w:val="none"/>
          <w:lang w:val="zh-CN"/>
        </w:rPr>
        <w:t>制作要求，电子文件与纸质正本竞争性磋商响应文件的内容应保持一致，具有同等法律效力，包含PDF格式和WORD格式，采用PDF格式的，有盖章和签字的文字页、证件等扫描文件一起编辑到PDF格式文件中，尤其是有盖章和签字的页不能遗漏，采用U盘刻录。</w:t>
      </w:r>
    </w:p>
    <w:p w14:paraId="2223349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18.5、</w:t>
      </w:r>
      <w:r>
        <w:rPr>
          <w:rFonts w:hint="eastAsia" w:ascii="宋体" w:hAnsi="宋体" w:eastAsia="宋体" w:cs="宋体"/>
          <w:color w:val="auto"/>
          <w:sz w:val="21"/>
          <w:szCs w:val="21"/>
          <w:highlight w:val="none"/>
          <w:lang w:val="zh-CN"/>
        </w:rPr>
        <w:t>磋商响应文件除各供应商对错处做必要修改外，不得行间插字、涂改和增删，如有修改错漏处，必须由供应商法定代表人（或其委托代理人）签字或盖章。</w:t>
      </w:r>
    </w:p>
    <w:p w14:paraId="603A0FC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18.6、</w:t>
      </w:r>
      <w:r>
        <w:rPr>
          <w:rFonts w:hint="eastAsia" w:ascii="宋体" w:hAnsi="宋体" w:eastAsia="宋体" w:cs="宋体"/>
          <w:color w:val="auto"/>
          <w:sz w:val="21"/>
          <w:szCs w:val="21"/>
          <w:highlight w:val="none"/>
          <w:lang w:val="zh-CN"/>
        </w:rPr>
        <w:t>因字迹潦草或表达不清所引起的后果由磋商供应商负责。</w:t>
      </w:r>
    </w:p>
    <w:p w14:paraId="63696EB7">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19、踏勘和磋商预备会</w:t>
      </w:r>
    </w:p>
    <w:p w14:paraId="1696793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19.1、本项目不组织统一踏勘。</w:t>
      </w:r>
    </w:p>
    <w:p w14:paraId="780AAA1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1"/>
          <w:szCs w:val="21"/>
          <w:highlight w:val="none"/>
          <w:lang w:val="en-US" w:eastAsia="zh-CN"/>
        </w:rPr>
        <w:t>19.2、本项目不召开磋商预备会，磋商供应商如有疑问，请以书面形式在规定时间内提交至代理机构。</w:t>
      </w:r>
    </w:p>
    <w:p w14:paraId="40A2572D">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28"/>
          <w:szCs w:val="28"/>
          <w:highlight w:val="none"/>
          <w:lang w:val="zh-CN" w:eastAsia="zh-CN"/>
        </w:rPr>
      </w:pPr>
      <w:bookmarkStart w:id="12" w:name="_Toc23618"/>
      <w:bookmarkStart w:id="13" w:name="_Toc14243"/>
      <w:bookmarkStart w:id="14" w:name="_Toc17826"/>
      <w:bookmarkStart w:id="15" w:name="_Toc7524491"/>
      <w:bookmarkStart w:id="16" w:name="_Toc29488"/>
      <w:bookmarkStart w:id="17" w:name="_Toc22633"/>
      <w:bookmarkStart w:id="18" w:name="_Toc10117"/>
      <w:bookmarkStart w:id="19" w:name="_Toc386965846"/>
      <w:bookmarkStart w:id="20" w:name="_Toc392236633"/>
      <w:bookmarkStart w:id="21" w:name="_Toc233435938"/>
      <w:bookmarkStart w:id="22" w:name="_Toc24902"/>
      <w:bookmarkStart w:id="23" w:name="_Toc5363"/>
      <w:bookmarkStart w:id="24" w:name="_Toc13486"/>
      <w:r>
        <w:rPr>
          <w:rFonts w:hint="eastAsia" w:ascii="宋体" w:hAnsi="宋体" w:eastAsia="宋体" w:cs="宋体"/>
          <w:b/>
          <w:color w:val="auto"/>
          <w:sz w:val="28"/>
          <w:szCs w:val="28"/>
          <w:highlight w:val="none"/>
          <w:lang w:val="zh-CN" w:eastAsia="zh-CN"/>
        </w:rPr>
        <w:t>D、响应文件的递交</w:t>
      </w:r>
      <w:bookmarkEnd w:id="12"/>
      <w:bookmarkEnd w:id="13"/>
      <w:bookmarkEnd w:id="14"/>
      <w:bookmarkEnd w:id="15"/>
      <w:bookmarkEnd w:id="16"/>
      <w:bookmarkEnd w:id="17"/>
      <w:bookmarkEnd w:id="18"/>
      <w:bookmarkEnd w:id="19"/>
      <w:bookmarkEnd w:id="20"/>
      <w:bookmarkEnd w:id="21"/>
      <w:bookmarkEnd w:id="22"/>
      <w:bookmarkEnd w:id="23"/>
      <w:bookmarkEnd w:id="24"/>
    </w:p>
    <w:p w14:paraId="413F26E5">
      <w:pPr>
        <w:keepLines w:val="0"/>
        <w:pageBreakBefore w:val="0"/>
        <w:widowControl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lang w:val="zh-CN"/>
        </w:rPr>
        <w:t>、</w:t>
      </w:r>
      <w:r>
        <w:rPr>
          <w:rFonts w:hint="eastAsia" w:ascii="宋体" w:hAnsi="宋体" w:eastAsia="宋体" w:cs="宋体"/>
          <w:b/>
          <w:bCs w:val="0"/>
          <w:color w:val="auto"/>
          <w:sz w:val="21"/>
          <w:szCs w:val="21"/>
          <w:highlight w:val="none"/>
          <w:lang w:val="zh-CN"/>
        </w:rPr>
        <w:t>磋商响应文件的密封、标记及递交</w:t>
      </w:r>
    </w:p>
    <w:p w14:paraId="38495128">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eastAsia="zh-CN"/>
        </w:rPr>
        <w:t>20</w:t>
      </w:r>
      <w:r>
        <w:rPr>
          <w:rFonts w:hint="eastAsia" w:ascii="宋体" w:hAnsi="宋体" w:eastAsia="宋体" w:cs="宋体"/>
          <w:b w:val="0"/>
          <w:bCs/>
          <w:color w:val="auto"/>
          <w:sz w:val="21"/>
          <w:szCs w:val="21"/>
          <w:highlight w:val="none"/>
          <w:lang w:val="zh-CN"/>
        </w:rPr>
        <w:t>.1、磋商响应文件应密封在密封袋内。正本单独密封在一个密封袋内，所有副本密封在一个密封袋内，</w:t>
      </w:r>
      <w:r>
        <w:rPr>
          <w:rFonts w:hint="eastAsia" w:ascii="宋体" w:hAnsi="宋体" w:eastAsia="宋体" w:cs="宋体"/>
          <w:b w:val="0"/>
          <w:bCs/>
          <w:color w:val="auto"/>
          <w:sz w:val="21"/>
          <w:szCs w:val="21"/>
          <w:highlight w:val="none"/>
          <w:lang w:val="en-US" w:eastAsia="zh-CN"/>
        </w:rPr>
        <w:t>电子版文件</w:t>
      </w:r>
      <w:r>
        <w:rPr>
          <w:rFonts w:hint="eastAsia" w:ascii="宋体" w:hAnsi="宋体" w:eastAsia="宋体" w:cs="宋体"/>
          <w:b w:val="0"/>
          <w:bCs/>
          <w:color w:val="auto"/>
          <w:sz w:val="21"/>
          <w:szCs w:val="21"/>
          <w:highlight w:val="none"/>
          <w:lang w:val="zh-CN"/>
        </w:rPr>
        <w:t>单独密封在一个密封袋内</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zh-CN"/>
        </w:rPr>
        <w:t>封袋封口处应加贴封条密封，并在封线处加盖公章（骑缝章）。</w:t>
      </w:r>
    </w:p>
    <w:p w14:paraId="0C5FEA0A">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eastAsia="zh-CN"/>
        </w:rPr>
        <w:t>20</w:t>
      </w:r>
      <w:r>
        <w:rPr>
          <w:rFonts w:hint="eastAsia" w:ascii="宋体" w:hAnsi="宋体" w:eastAsia="宋体" w:cs="宋体"/>
          <w:b w:val="0"/>
          <w:bCs/>
          <w:color w:val="auto"/>
          <w:sz w:val="21"/>
          <w:szCs w:val="21"/>
          <w:highlight w:val="none"/>
          <w:lang w:val="zh-CN"/>
        </w:rPr>
        <w:t>.2、封皮上写明：</w:t>
      </w:r>
    </w:p>
    <w:p w14:paraId="57E7B75E">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项目名称：</w:t>
      </w:r>
    </w:p>
    <w:p w14:paraId="3EEAC5DA">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项目编号：</w:t>
      </w:r>
    </w:p>
    <w:p w14:paraId="619816BE">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供应商名称：</w:t>
      </w:r>
    </w:p>
    <w:p w14:paraId="4FD79E28">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磋商响应文件在202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日时分前“不得开启”字样</w:t>
      </w:r>
    </w:p>
    <w:p w14:paraId="0C504C33">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val="0"/>
          <w:bCs/>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响应文件必须密封递交。对封装材料及样式不作特别规定，但供应商应当保证其封装的可靠性，不致因搬运、堆放等原因散开。所有密封袋/箱和响应文件封面须标明项目名称、项目编号、供应商名称及“正本”、“副本”</w:t>
      </w:r>
      <w:r>
        <w:rPr>
          <w:rFonts w:hint="eastAsia" w:ascii="宋体" w:hAnsi="宋体" w:eastAsia="宋体" w:cs="宋体"/>
          <w:color w:val="auto"/>
          <w:sz w:val="21"/>
          <w:szCs w:val="21"/>
          <w:highlight w:val="none"/>
          <w:lang w:val="en-US" w:eastAsia="zh-CN"/>
        </w:rPr>
        <w:t>或“电子文件”等</w:t>
      </w:r>
      <w:r>
        <w:rPr>
          <w:rFonts w:hint="eastAsia" w:ascii="宋体" w:hAnsi="宋体" w:eastAsia="宋体" w:cs="宋体"/>
          <w:color w:val="auto"/>
          <w:sz w:val="21"/>
          <w:szCs w:val="21"/>
          <w:highlight w:val="none"/>
          <w:lang w:val="zh-CN"/>
        </w:rPr>
        <w:t>字样。</w:t>
      </w:r>
    </w:p>
    <w:p w14:paraId="25870505">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val="0"/>
          <w:bCs/>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响应文件未按要求密封和加写标记，采购代理机构应当拒收；采购代理机构对误投或过早启封的响应文件概不负责。</w:t>
      </w:r>
    </w:p>
    <w:p w14:paraId="4799C290">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.5、供应商应按照竞争性磋商公告中规定的时间、地点，在规定的竞争性磋商响应文件递交截止时间前将全部竞争性磋商响应文件和磋商资料递交至采购代理机构接收人处。</w:t>
      </w:r>
    </w:p>
    <w:p w14:paraId="1D22D999">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.6、采购代理机构在竞争性磋商文件规定的竞争性磋商响应文件递交截止时间前，只负责竞争性磋商响应文件的接收、清点、造册登记工作，并请递交人签字确认，对其有效性不负任何责任。</w:t>
      </w:r>
    </w:p>
    <w:p w14:paraId="609D61D3">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.7、无论供应商成交与否，其竞争性磋商响应文件恕不退还。</w:t>
      </w:r>
    </w:p>
    <w:p w14:paraId="0A1901C8">
      <w:pPr>
        <w:keepLines w:val="0"/>
        <w:pageBreakBefore w:val="0"/>
        <w:widowControl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21、磋商截止时间</w:t>
      </w:r>
    </w:p>
    <w:p w14:paraId="0E567A5B">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21.1、所有响应文件都必须按“竞争性磋商公告”中规定的统一递交响应文件时间送达“竞争性磋商公告”中规定的递交地址。</w:t>
      </w:r>
    </w:p>
    <w:p w14:paraId="003933D9">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21.2、出现因磋商文件的修改推迟投标截止日期时，则按修改通知规定的时间递交。</w:t>
      </w:r>
    </w:p>
    <w:p w14:paraId="294AB00A">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21.3、在响应文件递交截止时间之后递交的任何响应文件及资料将被拒绝接收。</w:t>
      </w:r>
    </w:p>
    <w:p w14:paraId="5B05E2E3">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21.4、拒绝接受以电报、电话、传真、电子邮件形式的投标。</w:t>
      </w:r>
    </w:p>
    <w:p w14:paraId="32BF636A">
      <w:pPr>
        <w:keepLines w:val="0"/>
        <w:pageBreakBefore w:val="0"/>
        <w:widowControl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22</w:t>
      </w:r>
      <w:r>
        <w:rPr>
          <w:rFonts w:hint="eastAsia" w:ascii="宋体" w:hAnsi="宋体" w:eastAsia="宋体" w:cs="宋体"/>
          <w:b/>
          <w:bCs/>
          <w:color w:val="auto"/>
          <w:sz w:val="21"/>
          <w:szCs w:val="21"/>
          <w:highlight w:val="none"/>
          <w:lang w:val="zh-CN"/>
        </w:rPr>
        <w:t>、</w:t>
      </w:r>
      <w:r>
        <w:rPr>
          <w:rFonts w:hint="eastAsia" w:ascii="宋体" w:hAnsi="宋体" w:eastAsia="宋体" w:cs="宋体"/>
          <w:b/>
          <w:color w:val="auto"/>
          <w:kern w:val="1"/>
          <w:sz w:val="21"/>
          <w:szCs w:val="21"/>
          <w:highlight w:val="none"/>
        </w:rPr>
        <w:t>磋商响应文件的修改</w:t>
      </w:r>
      <w:r>
        <w:rPr>
          <w:rFonts w:hint="eastAsia" w:ascii="宋体" w:hAnsi="宋体" w:eastAsia="宋体" w:cs="宋体"/>
          <w:b/>
          <w:color w:val="auto"/>
          <w:kern w:val="1"/>
          <w:sz w:val="21"/>
          <w:szCs w:val="21"/>
          <w:highlight w:val="none"/>
          <w:lang w:val="en-US" w:eastAsia="zh-CN"/>
        </w:rPr>
        <w:t>与</w:t>
      </w:r>
      <w:r>
        <w:rPr>
          <w:rFonts w:hint="eastAsia" w:ascii="宋体" w:hAnsi="宋体" w:eastAsia="宋体" w:cs="宋体"/>
          <w:b/>
          <w:color w:val="auto"/>
          <w:kern w:val="1"/>
          <w:sz w:val="21"/>
          <w:szCs w:val="21"/>
          <w:highlight w:val="none"/>
        </w:rPr>
        <w:t>撤回</w:t>
      </w:r>
    </w:p>
    <w:p w14:paraId="07DC75F3">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22.1</w:t>
      </w:r>
      <w:r>
        <w:rPr>
          <w:rFonts w:hint="eastAsia" w:ascii="宋体" w:hAnsi="宋体" w:eastAsia="宋体" w:cs="宋体"/>
          <w:color w:val="auto"/>
          <w:sz w:val="21"/>
          <w:szCs w:val="21"/>
          <w:highlight w:val="none"/>
          <w:lang w:val="zh-CN"/>
        </w:rPr>
        <w:t>、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26DE2032">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val="zh-CN"/>
        </w:rPr>
        <w:t>2、供应商的修改或撤回或变动价格的通知应按本须知第</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条的规定编制、密封、标记和递交。</w:t>
      </w:r>
    </w:p>
    <w:p w14:paraId="209473CD">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1"/>
          <w:szCs w:val="21"/>
          <w:highlight w:val="none"/>
          <w:lang w:val="en-US" w:eastAsia="zh-CN"/>
        </w:rPr>
        <w:t>22.3</w:t>
      </w:r>
      <w:r>
        <w:rPr>
          <w:rFonts w:hint="eastAsia" w:ascii="宋体" w:hAnsi="宋体" w:eastAsia="宋体" w:cs="宋体"/>
          <w:color w:val="auto"/>
          <w:sz w:val="21"/>
          <w:szCs w:val="21"/>
          <w:highlight w:val="none"/>
          <w:lang w:val="zh-CN" w:eastAsia="zh-CN"/>
        </w:rPr>
        <w:t>、在磋商截止时间之后，供应商不得对其磋商响应文件做任何修改或撤回。</w:t>
      </w:r>
    </w:p>
    <w:p w14:paraId="635ABA1B">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28"/>
          <w:szCs w:val="28"/>
          <w:highlight w:val="none"/>
          <w:lang w:val="zh-CN" w:eastAsia="zh-CN"/>
        </w:rPr>
      </w:pPr>
      <w:bookmarkStart w:id="25" w:name="_Toc30329"/>
      <w:bookmarkStart w:id="26" w:name="_Toc14052"/>
      <w:r>
        <w:rPr>
          <w:rFonts w:hint="eastAsia" w:ascii="宋体" w:hAnsi="宋体" w:eastAsia="宋体" w:cs="宋体"/>
          <w:b/>
          <w:color w:val="auto"/>
          <w:sz w:val="28"/>
          <w:szCs w:val="28"/>
          <w:highlight w:val="none"/>
          <w:lang w:val="zh-CN" w:eastAsia="zh-CN"/>
        </w:rPr>
        <w:t>E、磋商及评审</w:t>
      </w:r>
      <w:bookmarkEnd w:id="25"/>
      <w:bookmarkEnd w:id="26"/>
    </w:p>
    <w:p w14:paraId="5C09F16D">
      <w:pPr>
        <w:keepLines w:val="0"/>
        <w:pageBreakBefore w:val="0"/>
        <w:widowControl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23、磋商大会</w:t>
      </w:r>
    </w:p>
    <w:p w14:paraId="46EBC3FF">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23.1、采购代理机构按竞争性磋商文件规定的时间、地点组织磋商。</w:t>
      </w:r>
    </w:p>
    <w:p w14:paraId="24BBF9FA">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23.2、磋商大会由采购代理机构主持，采购人代表、磋商供应商等相关人员参加。</w:t>
      </w:r>
    </w:p>
    <w:p w14:paraId="08767DC0">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23.3、磋商供应商应派法定代表人或者授权代表出席开标会，参加开标的代表应签名报到，以证明其出席。磋商供应商的法定代表人或授权代表未出席开标会的，视为其认同磋商结果。</w:t>
      </w:r>
    </w:p>
    <w:p w14:paraId="0A697A17">
      <w:pPr>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23.4、磋商大会程序：</w:t>
      </w:r>
    </w:p>
    <w:p w14:paraId="5A43B78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（1）宣布磋商大会现场纪律。</w:t>
      </w:r>
    </w:p>
    <w:p w14:paraId="734EA56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（2）公布递交磋商响应文件的磋商供应商名称。</w:t>
      </w:r>
    </w:p>
    <w:p w14:paraId="0BE1031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（3）查验磋商响应文件的密封情况。</w:t>
      </w:r>
    </w:p>
    <w:p w14:paraId="49FEC85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23.5、采购代理机构对开标过程做好记录，并存档备案。</w:t>
      </w:r>
    </w:p>
    <w:p w14:paraId="02D84F96">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24、评审程序</w:t>
      </w:r>
    </w:p>
    <w:p w14:paraId="1AB71EB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按照竞争性磋商响应文件初审、澄清有关问题、分别磋商、二次报价、比较与评审、推荐成交候选人名单的工作程序进行评审。在上一步评审中被认定为无效磋商者，不进入下一步的评审。</w:t>
      </w:r>
    </w:p>
    <w:p w14:paraId="54E8377A">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25、评审组织及评审原则</w:t>
      </w:r>
    </w:p>
    <w:p w14:paraId="6C18114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53A6DE5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25.2、竞争性磋商文件和竞争性磋商响应文件是评审的依据。在评审中，不得改变竞争性磋商文件中规定的评审标准、方法和成交条件。</w:t>
      </w:r>
    </w:p>
    <w:p w14:paraId="295502D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06AC142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25.4、如果供应商在澄清规定期限内，未能答复或拒绝答复磋商小组提出的澄清要求，将由磋商小组根据其竞争性磋商响应文件按最大风险进行评审。</w:t>
      </w:r>
    </w:p>
    <w:p w14:paraId="40378AF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25.5、磋商过程中的实质性变动：</w:t>
      </w:r>
    </w:p>
    <w:p w14:paraId="3633FB2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126DDA7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（2）对竞争性磋商文件做出的实质性变动是磋商文件的有效组成部分，磋商小组应当及时以书面形式通知所有参加磋商的供应商。</w:t>
      </w:r>
    </w:p>
    <w:p w14:paraId="23D558E8">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25.6、竞争性磋商响应文件的资格性审查</w:t>
      </w:r>
    </w:p>
    <w:p w14:paraId="4D40E09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开标结束后，采购人依据法律法规和磋商文件的规定，对响应文件中的供应商资格证明文件进行审查，以确定供应商是否具备磋商资格。</w:t>
      </w:r>
    </w:p>
    <w:p w14:paraId="09307A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出现下列情形的，响应文件将被视为无效：</w:t>
      </w:r>
    </w:p>
    <w:p w14:paraId="5134AB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（1）不具备磋商文件中规定的资格要求的；</w:t>
      </w:r>
    </w:p>
    <w:p w14:paraId="7D1F5C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（2）未按磋商文件要求提供资格证明文件，或未按磋商文件要求加盖公章的；</w:t>
      </w:r>
    </w:p>
    <w:p w14:paraId="2808FD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（3）监标人认为供应商的资格证明文件存在疑点，需提供更清晰有效的证明文件，供应商不能在规定时限内提供符合磋商文件要求的证明文件的。</w:t>
      </w:r>
    </w:p>
    <w:p w14:paraId="23D8392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资格审查结束后，监标人应当对审查结果进行签字确认，并告知有关供应商未通过审查的原因。</w:t>
      </w:r>
    </w:p>
    <w:p w14:paraId="21490E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通过资格审查的供应商不足3家的，不得进行符合性审查，应予以废标。</w:t>
      </w:r>
    </w:p>
    <w:p w14:paraId="5FE3AAA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25.7、</w:t>
      </w:r>
      <w:r>
        <w:rPr>
          <w:rFonts w:hint="eastAsia" w:ascii="宋体" w:hAnsi="宋体" w:eastAsia="宋体" w:cs="宋体"/>
          <w:b/>
          <w:bCs/>
          <w:color w:val="auto"/>
          <w:sz w:val="21"/>
          <w:szCs w:val="21"/>
          <w:highlight w:val="none"/>
        </w:rPr>
        <w:t>关于信用记录的查询和使用</w:t>
      </w:r>
    </w:p>
    <w:p w14:paraId="5A6D8D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r>
        <w:rPr>
          <w:rFonts w:hint="eastAsia" w:ascii="宋体" w:hAnsi="宋体" w:eastAsia="宋体" w:cs="宋体"/>
          <w:color w:val="auto"/>
          <w:sz w:val="21"/>
          <w:szCs w:val="21"/>
          <w:highlight w:val="none"/>
          <w:lang w:eastAsia="zh-CN"/>
        </w:rPr>
        <w:t>。</w:t>
      </w:r>
    </w:p>
    <w:p w14:paraId="7ABFE6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（2）供应商在参加政府采购活动前3年内因违法经营被禁止在一定期限内参加政府采购活动，期限届满的，可以参加政府采购活动的，但供应商应提供相关证明材料。</w:t>
      </w:r>
    </w:p>
    <w:p w14:paraId="6D5253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（3）供应商信用记录及企业基本信息查询的时间段为“磋商公告发布之日（含当日）至提交响应文件截止之日（含当日）”。</w:t>
      </w:r>
    </w:p>
    <w:p w14:paraId="27A34C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1CE3B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注：若供应商在失信行为记录名单中，则其响应文件无效。采购代理机构将打印查询记录作为证据留存。</w:t>
      </w:r>
    </w:p>
    <w:p w14:paraId="3C76B78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25.8、竞争性磋商响应文件的符合性审查</w:t>
      </w:r>
    </w:p>
    <w:p w14:paraId="5FAFFA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磋商小组依据磋商文件的规定，对响应文件的有效性、完整性和对磋商文件的响应程度进行审查，以确定是否对磋商文件的全部实质性要求做出响应。</w:t>
      </w:r>
    </w:p>
    <w:p w14:paraId="41291C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小组要审查每份响应文件是否实质上响应了磋商文件的要求。实质上没有响应磋商文件要求的响应文件作无效响应处理，磋商小组应告知有关供应商未通过审查的原因。供应商不得通过修正或撤销不符之处而使其成为实质上响应。</w:t>
      </w:r>
    </w:p>
    <w:p w14:paraId="6A046CAC">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25.9</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评审中，</w:t>
      </w:r>
      <w:r>
        <w:rPr>
          <w:rFonts w:hint="eastAsia" w:ascii="宋体" w:hAnsi="宋体" w:eastAsia="宋体" w:cs="宋体"/>
          <w:b/>
          <w:bCs/>
          <w:color w:val="auto"/>
          <w:sz w:val="21"/>
          <w:szCs w:val="21"/>
          <w:highlight w:val="none"/>
          <w:lang w:val="zh-CN" w:eastAsia="zh-CN"/>
        </w:rPr>
        <w:t>磋商采购响应文件出现下列情况，修正原则为：</w:t>
      </w:r>
    </w:p>
    <w:p w14:paraId="051E3D21">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（1）磋商响应文件内容与第一次磋商报价表对应内容不一致的，以第一次磋商报价表为准；</w:t>
      </w:r>
    </w:p>
    <w:p w14:paraId="6F42CBEA">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报价的大写金额和小写金额不一致的，以大写金额为准；</w:t>
      </w:r>
    </w:p>
    <w:p w14:paraId="5D8EAE9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总价金额与按单价汇总金额不一致的，以单价汇总金额为准；</w:t>
      </w:r>
    </w:p>
    <w:p w14:paraId="45BFA83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单价金额小数点有明显错位的，以总价为准，并修改单价；</w:t>
      </w:r>
    </w:p>
    <w:p w14:paraId="108E3FB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磋商响应文件正本与副本不一致的，以正本为准；</w:t>
      </w:r>
    </w:p>
    <w:p w14:paraId="2ECED1E2">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多处内容交叉不符时，以磋商小组评审结果为准；</w:t>
      </w:r>
    </w:p>
    <w:p w14:paraId="64B2BEFF">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文字与图表不符时，以文字为准；</w:t>
      </w:r>
    </w:p>
    <w:p w14:paraId="37ED88C2">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磋商供应商不同意以上修正，则其投标将被拒绝。磋商供应商同意后，按上述规定修正后的报价对磋商供应商起约束作用。</w:t>
      </w:r>
    </w:p>
    <w:p w14:paraId="27BCFAC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25.10、在详细评审之前，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49DBCBF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25.11、</w:t>
      </w:r>
      <w:r>
        <w:rPr>
          <w:rFonts w:hint="eastAsia" w:ascii="宋体" w:hAnsi="宋体" w:eastAsia="宋体" w:cs="宋体"/>
          <w:color w:val="auto"/>
          <w:sz w:val="21"/>
          <w:szCs w:val="21"/>
          <w:highlight w:val="none"/>
          <w:lang w:val="zh-CN" w:eastAsia="zh-CN"/>
        </w:rPr>
        <w:t>凡审查、澄清、评价和比较投标的有关资料及被授标意见等内容，磋商小组成员均不得向磋商供应商及与评标无关的其他人透露。</w:t>
      </w:r>
    </w:p>
    <w:p w14:paraId="36D681F0">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26、竞争性磋商</w:t>
      </w:r>
      <w:r>
        <w:rPr>
          <w:rFonts w:hint="eastAsia" w:ascii="宋体" w:hAnsi="宋体" w:eastAsia="宋体" w:cs="宋体"/>
          <w:b/>
          <w:bCs/>
          <w:color w:val="auto"/>
          <w:sz w:val="21"/>
          <w:szCs w:val="21"/>
          <w:highlight w:val="none"/>
          <w:lang w:val="zh-CN"/>
        </w:rPr>
        <w:t>响应文件的详细审查</w:t>
      </w:r>
    </w:p>
    <w:p w14:paraId="45E4FAE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lang w:val="zh-CN"/>
        </w:rPr>
        <w:t>.1、经磋商确定最终采购需求和提交最后报价的供应商后，磋商小组采用综合评分法对提交最后报价的供应商的响应文件和最后报价进行综合评分。</w:t>
      </w:r>
    </w:p>
    <w:p w14:paraId="4128D12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lang w:val="zh-CN"/>
        </w:rPr>
        <w:t>.2、综合评分法是指响应文件满足磋商文件全部实质性要求且按评审因素的量化指标评审得分最高的供应商为成交候选供应商的评审方法。磋商文件中没有规定的评审标准不得作为评审依据。</w:t>
      </w:r>
    </w:p>
    <w:p w14:paraId="00410A1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lang w:val="zh-CN"/>
        </w:rPr>
        <w:t>.3、磋商小组各成员应独立对每个有效响应文件进行评价、打分，然后汇总每个供应商每项评分因素的得分，并根据综合评分情况，按照评审得分由高到低顺序推荐成交候选供应商，并编写评审报告。评审得分相同的，按照最后报价由低到高的顺序推荐。评审得分且最后报价相同的，按照技术方案得分由高到低顺序推荐。</w:t>
      </w:r>
    </w:p>
    <w:p w14:paraId="3116D1F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lang w:val="zh-CN"/>
        </w:rPr>
        <w:t>.4、评审报告应当由磋商小组全体人员签字认可。对评审报告有异议的磋商小组成员，应当在报告上签署不同意见并说明理由，由磋商小组书面记录相关情况。磋商小组成员拒绝在报告上签字又不书面说明其不同意见和理由的，视为同意评审报告。</w:t>
      </w:r>
    </w:p>
    <w:p w14:paraId="35D4D61F">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27、</w:t>
      </w:r>
      <w:r>
        <w:rPr>
          <w:rFonts w:hint="eastAsia" w:ascii="宋体" w:hAnsi="宋体" w:eastAsia="宋体" w:cs="宋体"/>
          <w:b/>
          <w:bCs/>
          <w:color w:val="auto"/>
          <w:sz w:val="21"/>
          <w:szCs w:val="21"/>
          <w:highlight w:val="none"/>
          <w:lang w:val="zh-CN"/>
        </w:rPr>
        <w:t>评审过程的保密</w:t>
      </w:r>
    </w:p>
    <w:p w14:paraId="5D0E57A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磋商小组成员和与评审活动有关的工作人员不得泄露有关竞争性磋商响应文件的评审和比较、成交候选人的推荐以及与评审有关的其他情况。</w:t>
      </w:r>
    </w:p>
    <w:p w14:paraId="78AA409C">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28、</w:t>
      </w:r>
      <w:r>
        <w:rPr>
          <w:rFonts w:hint="eastAsia" w:ascii="宋体" w:hAnsi="宋体" w:eastAsia="宋体" w:cs="宋体"/>
          <w:b/>
          <w:bCs/>
          <w:color w:val="auto"/>
          <w:sz w:val="21"/>
          <w:szCs w:val="21"/>
          <w:highlight w:val="none"/>
          <w:lang w:val="zh-CN"/>
        </w:rPr>
        <w:t>评审方法</w:t>
      </w:r>
    </w:p>
    <w:p w14:paraId="66AB6D93">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ascii="宋体" w:hAnsi="宋体" w:eastAsia="宋体" w:cs="宋体"/>
          <w:color w:val="auto"/>
          <w:sz w:val="21"/>
          <w:szCs w:val="21"/>
          <w:highlight w:val="none"/>
          <w:lang w:val="en-US" w:eastAsia="zh-CN"/>
        </w:rPr>
        <w:t>推荐前三名</w:t>
      </w:r>
      <w:r>
        <w:rPr>
          <w:rFonts w:hint="eastAsia" w:ascii="宋体" w:hAnsi="宋体" w:eastAsia="宋体" w:cs="宋体"/>
          <w:color w:val="auto"/>
          <w:sz w:val="21"/>
          <w:szCs w:val="21"/>
          <w:highlight w:val="none"/>
          <w:lang w:val="zh-CN"/>
        </w:rPr>
        <w:t>成交候选人。</w:t>
      </w:r>
    </w:p>
    <w:p w14:paraId="3BDB9303">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29</w:t>
      </w:r>
      <w:r>
        <w:rPr>
          <w:rFonts w:hint="eastAsia" w:ascii="宋体" w:hAnsi="宋体" w:eastAsia="宋体" w:cs="宋体"/>
          <w:b/>
          <w:bCs/>
          <w:color w:val="auto"/>
          <w:sz w:val="21"/>
          <w:szCs w:val="21"/>
          <w:highlight w:val="none"/>
          <w:lang w:val="zh-CN"/>
        </w:rPr>
        <w:t>、磋商小组组成及职责</w:t>
      </w:r>
    </w:p>
    <w:p w14:paraId="3BDAF725">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lang w:val="zh-CN"/>
        </w:rPr>
        <w:t>1、为确保评标工作公开、公平、公正，依法成立磋商小组。磋商小组由采购人</w:t>
      </w:r>
      <w:r>
        <w:rPr>
          <w:rFonts w:hint="eastAsia" w:ascii="宋体" w:hAnsi="宋体" w:eastAsia="宋体" w:cs="宋体"/>
          <w:color w:val="auto"/>
          <w:sz w:val="21"/>
          <w:szCs w:val="21"/>
          <w:highlight w:val="none"/>
          <w:lang w:val="en-US" w:eastAsia="zh-CN"/>
        </w:rPr>
        <w:t>代表</w:t>
      </w:r>
      <w:r>
        <w:rPr>
          <w:rFonts w:hint="eastAsia" w:ascii="宋体" w:hAnsi="宋体" w:eastAsia="宋体" w:cs="宋体"/>
          <w:color w:val="auto"/>
          <w:sz w:val="21"/>
          <w:szCs w:val="21"/>
          <w:highlight w:val="none"/>
          <w:lang w:val="zh-CN"/>
        </w:rPr>
        <w:t>及和评审专家共3人以上单数组成，其中评审专家人数不得不少于磋商小组成员总数的三分之二，评审专家在陕西省</w:t>
      </w:r>
      <w:r>
        <w:rPr>
          <w:rFonts w:hint="eastAsia" w:ascii="宋体" w:hAnsi="宋体" w:eastAsia="宋体" w:cs="宋体"/>
          <w:color w:val="auto"/>
          <w:sz w:val="21"/>
          <w:szCs w:val="21"/>
          <w:highlight w:val="none"/>
          <w:lang w:val="en-US" w:eastAsia="zh-CN"/>
        </w:rPr>
        <w:t>政府采购</w:t>
      </w:r>
      <w:r>
        <w:rPr>
          <w:rFonts w:hint="eastAsia" w:ascii="宋体" w:hAnsi="宋体" w:eastAsia="宋体" w:cs="宋体"/>
          <w:color w:val="auto"/>
          <w:sz w:val="21"/>
          <w:szCs w:val="21"/>
          <w:highlight w:val="none"/>
          <w:lang w:val="zh-CN"/>
        </w:rPr>
        <w:t>专家库中随机抽取产生。</w:t>
      </w:r>
    </w:p>
    <w:p w14:paraId="11B17C8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lang w:val="zh-CN"/>
        </w:rPr>
        <w:t>2、磋商小组负责具体评审事务，并独立履行下列职责：</w:t>
      </w:r>
    </w:p>
    <w:p w14:paraId="1FE3F00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遵纪守法，客观、公正、廉洁地履行职责，审查磋商响应文件是否符合竞争性磋商文件的要求，并做出评价；</w:t>
      </w:r>
    </w:p>
    <w:p w14:paraId="194F626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要求供应商对磋商响应文件有关事项作出解释或者澄清；</w:t>
      </w:r>
    </w:p>
    <w:p w14:paraId="3BD6639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按照竞争性磋商文件的要求和磋商办法进行评审，推荐成交候选单位名单，对评审意见承担个人责任；</w:t>
      </w:r>
    </w:p>
    <w:p w14:paraId="7BFA27B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对评审过程和结果以及供应商的商业秘密保密；</w:t>
      </w:r>
    </w:p>
    <w:p w14:paraId="2951E35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参与磋商结果报告的起草；</w:t>
      </w:r>
    </w:p>
    <w:p w14:paraId="00AD34D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配合采购代理机构答复供应商提出的质疑；</w:t>
      </w:r>
    </w:p>
    <w:p w14:paraId="376C04A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配合财政部门的投诉处理工作；</w:t>
      </w:r>
    </w:p>
    <w:p w14:paraId="17DF434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依据政府采购法有关精神，有权对磋商过程中出现的一切问题做出处理决定。</w:t>
      </w:r>
    </w:p>
    <w:p w14:paraId="42369969">
      <w:pPr>
        <w:keepNext w:val="0"/>
        <w:keepLines w:val="0"/>
        <w:pageBreakBefore w:val="0"/>
        <w:widowControl w:val="0"/>
        <w:shd w:val="clear"/>
        <w:kinsoku/>
        <w:wordWrap/>
        <w:overflowPunct/>
        <w:topLinePunct w:val="0"/>
        <w:bidi w:val="0"/>
        <w:snapToGrid/>
        <w:spacing w:line="400" w:lineRule="exact"/>
        <w:ind w:firstLine="420" w:firstLineChars="20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rPr>
        <w:t>磋商小组在评审过程中发现供应商有行贿、提供虚假材料或者串通等违法行为的，应当及时向财政部门报告。</w:t>
      </w:r>
    </w:p>
    <w:p w14:paraId="7096580A">
      <w:pPr>
        <w:keepNext w:val="0"/>
        <w:keepLines w:val="0"/>
        <w:pageBreakBefore w:val="0"/>
        <w:widowControl w:val="0"/>
        <w:shd w:val="clear"/>
        <w:kinsoku/>
        <w:wordWrap/>
        <w:overflowPunct/>
        <w:topLinePunct w:val="0"/>
        <w:bidi w:val="0"/>
        <w:snapToGrid/>
        <w:spacing w:line="400" w:lineRule="exact"/>
        <w:ind w:firstLine="420" w:firstLineChars="20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kern w:val="1"/>
          <w:sz w:val="21"/>
          <w:szCs w:val="21"/>
          <w:highlight w:val="none"/>
          <w:lang w:val="en-US" w:eastAsia="zh-CN"/>
        </w:rPr>
        <w:t>4、</w:t>
      </w:r>
      <w:r>
        <w:rPr>
          <w:rFonts w:hint="eastAsia" w:ascii="宋体" w:hAnsi="宋体" w:eastAsia="宋体" w:cs="宋体"/>
          <w:color w:val="auto"/>
          <w:kern w:val="1"/>
          <w:sz w:val="21"/>
          <w:szCs w:val="21"/>
          <w:highlight w:val="none"/>
        </w:rPr>
        <w:t>磋商小组在评审过程中收到非法干涉的，应当及时向财政、监察等部门举报。</w:t>
      </w:r>
    </w:p>
    <w:p w14:paraId="4C9C9BD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29.5、磋商小组成员应当按照客观、公正、审慎的原则，根据磋商文件规定的评审程序、评审方法和评审标准进行独立评审。</w:t>
      </w:r>
    </w:p>
    <w:p w14:paraId="34850ED4">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val="zh-CN" w:eastAsia="zh-CN"/>
        </w:rPr>
        <w:t>、磋商小组的职能</w:t>
      </w:r>
    </w:p>
    <w:p w14:paraId="6E34951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eastAsia="zh-CN"/>
        </w:rPr>
        <w:t>1、对供应商响应文件进行审查；</w:t>
      </w:r>
    </w:p>
    <w:p w14:paraId="1E9C777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eastAsia="zh-CN"/>
        </w:rPr>
        <w:t>2、与各供应商就磋商采购响应文件（含澄清、说明或补正的内容）中的磋商报价、技术方案、业绩</w:t>
      </w:r>
      <w:r>
        <w:rPr>
          <w:rFonts w:hint="eastAsia" w:ascii="宋体" w:hAnsi="宋体" w:eastAsia="宋体" w:cs="宋体"/>
          <w:color w:val="auto"/>
          <w:sz w:val="21"/>
          <w:szCs w:val="21"/>
          <w:highlight w:val="none"/>
          <w:lang w:val="en-US" w:eastAsia="zh-CN"/>
        </w:rPr>
        <w:t>及履约能力</w:t>
      </w:r>
      <w:r>
        <w:rPr>
          <w:rFonts w:hint="eastAsia" w:ascii="宋体" w:hAnsi="宋体" w:eastAsia="宋体" w:cs="宋体"/>
          <w:color w:val="auto"/>
          <w:sz w:val="21"/>
          <w:szCs w:val="21"/>
          <w:highlight w:val="none"/>
          <w:lang w:val="zh-CN" w:eastAsia="zh-CN"/>
        </w:rPr>
        <w:t>等进行磋商；</w:t>
      </w:r>
    </w:p>
    <w:p w14:paraId="7306828C">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3、依据采购文件，并视磋商情况，确定进入最终评审的供应商；</w:t>
      </w:r>
    </w:p>
    <w:p w14:paraId="09BCDEF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4、排序推荐侯选成交供应商；</w:t>
      </w:r>
    </w:p>
    <w:p w14:paraId="32AB57B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5、协商处理磋商过程中出现的其它相关问题。</w:t>
      </w:r>
    </w:p>
    <w:p w14:paraId="08987211">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31</w:t>
      </w:r>
      <w:r>
        <w:rPr>
          <w:rFonts w:hint="eastAsia" w:ascii="宋体" w:hAnsi="宋体" w:eastAsia="宋体" w:cs="宋体"/>
          <w:b/>
          <w:bCs/>
          <w:color w:val="auto"/>
          <w:sz w:val="21"/>
          <w:szCs w:val="21"/>
          <w:highlight w:val="none"/>
          <w:lang w:val="zh-CN"/>
        </w:rPr>
        <w:t>、磋商小组及其成员不得有下列行为</w:t>
      </w:r>
    </w:p>
    <w:p w14:paraId="3EE70F1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31.1、</w:t>
      </w:r>
      <w:r>
        <w:rPr>
          <w:rFonts w:hint="eastAsia" w:ascii="宋体" w:hAnsi="宋体" w:eastAsia="宋体" w:cs="宋体"/>
          <w:color w:val="auto"/>
          <w:sz w:val="21"/>
          <w:szCs w:val="21"/>
          <w:highlight w:val="none"/>
          <w:lang w:val="zh-CN"/>
        </w:rPr>
        <w:t>确定参与评审至评审结束前私自接触供应商；</w:t>
      </w:r>
    </w:p>
    <w:p w14:paraId="3F041510">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31.2、</w:t>
      </w:r>
      <w:r>
        <w:rPr>
          <w:rFonts w:hint="eastAsia" w:ascii="宋体" w:hAnsi="宋体" w:eastAsia="宋体" w:cs="宋体"/>
          <w:color w:val="auto"/>
          <w:sz w:val="21"/>
          <w:szCs w:val="21"/>
          <w:highlight w:val="none"/>
          <w:lang w:val="zh-CN"/>
        </w:rPr>
        <w:t>接受供应商提出的与响应文件不一致的澄清或者说明，财政部第87号令第五十一条规定的情形除外；</w:t>
      </w:r>
    </w:p>
    <w:p w14:paraId="4B8E782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31.3、</w:t>
      </w:r>
      <w:r>
        <w:rPr>
          <w:rFonts w:hint="eastAsia" w:ascii="宋体" w:hAnsi="宋体" w:eastAsia="宋体" w:cs="宋体"/>
          <w:color w:val="auto"/>
          <w:sz w:val="21"/>
          <w:szCs w:val="21"/>
          <w:highlight w:val="none"/>
          <w:lang w:val="zh-CN"/>
        </w:rPr>
        <w:t>违反评审纪律发表倾向性意见或者征询采购人的倾向性意见；</w:t>
      </w:r>
    </w:p>
    <w:p w14:paraId="0714A97F">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31.4、</w:t>
      </w:r>
      <w:r>
        <w:rPr>
          <w:rFonts w:hint="eastAsia" w:ascii="宋体" w:hAnsi="宋体" w:eastAsia="宋体" w:cs="宋体"/>
          <w:color w:val="auto"/>
          <w:sz w:val="21"/>
          <w:szCs w:val="21"/>
          <w:highlight w:val="none"/>
          <w:lang w:val="zh-CN"/>
        </w:rPr>
        <w:t>对需要专业判断的主观评审因素协商评分；</w:t>
      </w:r>
    </w:p>
    <w:p w14:paraId="300768A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31.5、</w:t>
      </w:r>
      <w:r>
        <w:rPr>
          <w:rFonts w:hint="eastAsia" w:ascii="宋体" w:hAnsi="宋体" w:eastAsia="宋体" w:cs="宋体"/>
          <w:color w:val="auto"/>
          <w:sz w:val="21"/>
          <w:szCs w:val="21"/>
          <w:highlight w:val="none"/>
          <w:lang w:val="zh-CN"/>
        </w:rPr>
        <w:t>在评审过程中擅离职守，影响评审程序正常进行的；</w:t>
      </w:r>
    </w:p>
    <w:p w14:paraId="41BDD9B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31.6、</w:t>
      </w:r>
      <w:r>
        <w:rPr>
          <w:rFonts w:hint="eastAsia" w:ascii="宋体" w:hAnsi="宋体" w:eastAsia="宋体" w:cs="宋体"/>
          <w:color w:val="auto"/>
          <w:sz w:val="21"/>
          <w:szCs w:val="21"/>
          <w:highlight w:val="none"/>
          <w:lang w:val="zh-CN"/>
        </w:rPr>
        <w:t>记录、复制或者带走任何评审资料；</w:t>
      </w:r>
    </w:p>
    <w:p w14:paraId="78572D6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31.7、</w:t>
      </w:r>
      <w:r>
        <w:rPr>
          <w:rFonts w:hint="eastAsia" w:ascii="宋体" w:hAnsi="宋体" w:eastAsia="宋体" w:cs="宋体"/>
          <w:color w:val="auto"/>
          <w:sz w:val="21"/>
          <w:szCs w:val="21"/>
          <w:highlight w:val="none"/>
          <w:lang w:val="zh-CN" w:eastAsia="zh-CN"/>
        </w:rPr>
        <w:t>其他不遵守评审纪律的行为。</w:t>
      </w:r>
    </w:p>
    <w:p w14:paraId="09E452D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磋商小组成员有前五项行为之一的，其评审意见无效，并不得获取评审劳务报酬和报销异地评审差旅费。</w:t>
      </w:r>
    </w:p>
    <w:p w14:paraId="63A2257E">
      <w:pPr>
        <w:pStyle w:val="2"/>
        <w:keepLines w:val="0"/>
        <w:pageBreakBefore w:val="0"/>
        <w:widowControl w:val="0"/>
        <w:kinsoku/>
        <w:wordWrap/>
        <w:overflowPunct/>
        <w:topLinePunct w:val="0"/>
        <w:bidi w:val="0"/>
        <w:spacing w:line="400" w:lineRule="exact"/>
        <w:ind w:firstLine="562" w:firstLineChars="200"/>
        <w:textAlignment w:val="auto"/>
        <w:rPr>
          <w:rFonts w:hint="eastAsia" w:ascii="宋体" w:hAnsi="宋体" w:eastAsia="宋体" w:cs="宋体"/>
          <w:b/>
          <w:color w:val="auto"/>
          <w:sz w:val="28"/>
          <w:szCs w:val="28"/>
          <w:highlight w:val="none"/>
          <w:lang w:val="zh-CN" w:eastAsia="zh-CN"/>
        </w:rPr>
      </w:pPr>
      <w:bookmarkStart w:id="27" w:name="_Toc386965858"/>
      <w:bookmarkStart w:id="28" w:name="_Toc392236645"/>
      <w:bookmarkStart w:id="29" w:name="_Toc7524503"/>
      <w:bookmarkStart w:id="30" w:name="_Toc5977"/>
      <w:bookmarkStart w:id="31" w:name="_Toc2781"/>
      <w:bookmarkStart w:id="32" w:name="_Toc26534"/>
      <w:bookmarkStart w:id="33" w:name="_Toc2468"/>
      <w:bookmarkStart w:id="34" w:name="_Toc233435947"/>
      <w:bookmarkStart w:id="35" w:name="_Toc29664"/>
      <w:bookmarkStart w:id="36" w:name="_Toc24411"/>
      <w:bookmarkStart w:id="37" w:name="_Toc27212"/>
      <w:bookmarkStart w:id="38" w:name="_Toc18739"/>
      <w:bookmarkStart w:id="39" w:name="_Toc17502"/>
      <w:r>
        <w:rPr>
          <w:rFonts w:hint="eastAsia" w:ascii="宋体" w:hAnsi="宋体" w:eastAsia="宋体" w:cs="宋体"/>
          <w:b/>
          <w:color w:val="auto"/>
          <w:sz w:val="28"/>
          <w:szCs w:val="28"/>
          <w:highlight w:val="none"/>
          <w:lang w:val="zh-CN" w:eastAsia="zh-CN"/>
        </w:rPr>
        <w:t>F</w:t>
      </w:r>
      <w:bookmarkStart w:id="40" w:name="_Hlt491765714"/>
      <w:bookmarkEnd w:id="40"/>
      <w:bookmarkStart w:id="41" w:name="_Hlt497547134"/>
      <w:bookmarkEnd w:id="41"/>
      <w:r>
        <w:rPr>
          <w:rFonts w:hint="eastAsia" w:ascii="宋体" w:hAnsi="宋体" w:eastAsia="宋体" w:cs="宋体"/>
          <w:b/>
          <w:color w:val="auto"/>
          <w:sz w:val="28"/>
          <w:szCs w:val="28"/>
          <w:highlight w:val="none"/>
          <w:lang w:val="zh-CN" w:eastAsia="zh-CN"/>
        </w:rPr>
        <w:t>、</w:t>
      </w:r>
      <w:bookmarkEnd w:id="27"/>
      <w:bookmarkEnd w:id="28"/>
      <w:bookmarkEnd w:id="29"/>
      <w:bookmarkEnd w:id="30"/>
      <w:bookmarkEnd w:id="31"/>
      <w:bookmarkEnd w:id="32"/>
      <w:bookmarkEnd w:id="33"/>
      <w:bookmarkEnd w:id="34"/>
      <w:bookmarkEnd w:id="35"/>
      <w:bookmarkEnd w:id="36"/>
      <w:bookmarkEnd w:id="37"/>
      <w:r>
        <w:rPr>
          <w:rFonts w:hint="eastAsia" w:ascii="宋体" w:hAnsi="宋体" w:eastAsia="宋体" w:cs="宋体"/>
          <w:b/>
          <w:color w:val="auto"/>
          <w:sz w:val="28"/>
          <w:szCs w:val="28"/>
          <w:highlight w:val="none"/>
          <w:lang w:val="en-US" w:eastAsia="zh-CN"/>
        </w:rPr>
        <w:t>确定中标</w:t>
      </w:r>
      <w:bookmarkEnd w:id="38"/>
      <w:bookmarkEnd w:id="39"/>
    </w:p>
    <w:p w14:paraId="29265DE1">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32</w:t>
      </w:r>
      <w:r>
        <w:rPr>
          <w:rFonts w:hint="eastAsia" w:ascii="宋体" w:hAnsi="宋体" w:eastAsia="宋体" w:cs="宋体"/>
          <w:b/>
          <w:color w:val="auto"/>
          <w:sz w:val="21"/>
          <w:szCs w:val="21"/>
          <w:highlight w:val="none"/>
          <w:lang w:val="zh-CN"/>
        </w:rPr>
        <w:t>、成交程序</w:t>
      </w:r>
    </w:p>
    <w:p w14:paraId="652A25B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lang w:val="zh-CN"/>
        </w:rPr>
        <w:t>.1、磋商小组根据评审方法的规定对供应商进行评审排序，推荐</w:t>
      </w:r>
      <w:r>
        <w:rPr>
          <w:rFonts w:hint="eastAsia" w:ascii="宋体" w:hAnsi="宋体" w:eastAsia="宋体" w:cs="宋体"/>
          <w:color w:val="auto"/>
          <w:sz w:val="21"/>
          <w:szCs w:val="21"/>
          <w:highlight w:val="none"/>
          <w:lang w:val="en-US" w:eastAsia="zh-CN"/>
        </w:rPr>
        <w:t>前三名</w:t>
      </w:r>
      <w:r>
        <w:rPr>
          <w:rFonts w:hint="eastAsia" w:ascii="宋体" w:hAnsi="宋体" w:eastAsia="宋体" w:cs="宋体"/>
          <w:color w:val="auto"/>
          <w:sz w:val="21"/>
          <w:szCs w:val="21"/>
          <w:highlight w:val="none"/>
          <w:lang w:val="zh-CN"/>
        </w:rPr>
        <w:t>成交候选人，作为评审结果。评审结果由全体磋商小组成员签字确认。</w:t>
      </w:r>
    </w:p>
    <w:p w14:paraId="2F4B2B6C">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lang w:val="zh-CN"/>
        </w:rPr>
        <w:t>.2、</w:t>
      </w:r>
      <w:r>
        <w:rPr>
          <w:rFonts w:hint="eastAsia" w:ascii="宋体" w:hAnsi="宋体" w:eastAsia="宋体" w:cs="宋体"/>
          <w:color w:val="auto"/>
          <w:highlight w:val="none"/>
          <w:lang w:val="en-US" w:eastAsia="zh-CN"/>
        </w:rPr>
        <w:t>采购代理机构应当在评审结束后2个工作日内将评审报告送采购人确认。采购人应当在收到评审报告后5个工作日内，</w:t>
      </w:r>
      <w:r>
        <w:rPr>
          <w:rFonts w:hint="eastAsia" w:ascii="宋体" w:hAnsi="宋体" w:eastAsia="宋体" w:cs="宋体"/>
          <w:color w:val="auto"/>
          <w:sz w:val="21"/>
          <w:szCs w:val="21"/>
          <w:highlight w:val="none"/>
          <w:lang w:val="zh-CN"/>
        </w:rPr>
        <w:t>根据磋商报告中推荐的成交候选人排列顺序，确定排名第一的为成交供应商。</w:t>
      </w:r>
    </w:p>
    <w:p w14:paraId="7F5A974C">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lang w:val="zh-CN"/>
        </w:rPr>
        <w:t>.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1270BB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32</w:t>
      </w:r>
      <w:r>
        <w:rPr>
          <w:rFonts w:hint="eastAsia" w:ascii="宋体" w:hAnsi="宋体" w:eastAsia="宋体" w:cs="宋体"/>
          <w:color w:val="auto"/>
          <w:sz w:val="21"/>
          <w:szCs w:val="21"/>
          <w:highlight w:val="none"/>
          <w:lang w:val="zh-CN"/>
        </w:rPr>
        <w:t>.4、采购人也可以授权磋商小组评审后直接确定成交供应商。</w:t>
      </w:r>
    </w:p>
    <w:p w14:paraId="118B613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lang w:val="zh-CN"/>
        </w:rPr>
        <w:t>.5、采购代理机构应当在成交供应商确定后2个工作日内，在省级以上财政部门指定的政府采购信息发布媒体上公告成交结果，同时向成交供应商发出成交通知书，并将磋商文件随成交结果同时公告。</w:t>
      </w:r>
    </w:p>
    <w:p w14:paraId="6E0AAC1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lang w:val="zh-CN"/>
        </w:rPr>
        <w:t>.6、供应商或者其他利害关系人对评审结果有异议的，应当在法律规定的时间内提出。</w:t>
      </w:r>
    </w:p>
    <w:p w14:paraId="7BB6737E">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w:t>
      </w:r>
      <w:r>
        <w:rPr>
          <w:rFonts w:hint="eastAsia" w:ascii="宋体" w:hAnsi="宋体" w:eastAsia="宋体" w:cs="宋体"/>
          <w:b/>
          <w:color w:val="auto"/>
          <w:sz w:val="21"/>
          <w:szCs w:val="21"/>
          <w:highlight w:val="none"/>
          <w:lang w:val="zh-CN"/>
        </w:rPr>
        <w:t>成交</w:t>
      </w:r>
      <w:r>
        <w:rPr>
          <w:rFonts w:hint="eastAsia" w:ascii="宋体" w:hAnsi="宋体" w:eastAsia="宋体" w:cs="宋体"/>
          <w:b/>
          <w:color w:val="auto"/>
          <w:sz w:val="21"/>
          <w:szCs w:val="21"/>
          <w:highlight w:val="none"/>
          <w:lang w:val="en-US" w:eastAsia="zh-CN"/>
        </w:rPr>
        <w:t>通知</w:t>
      </w:r>
    </w:p>
    <w:p w14:paraId="0E416C3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33.1、采购代理机构向成交供应商发出《成交通知书》。</w:t>
      </w:r>
      <w:r>
        <w:rPr>
          <w:rFonts w:hint="eastAsia" w:ascii="宋体" w:hAnsi="宋体" w:eastAsia="宋体" w:cs="宋体"/>
          <w:b/>
          <w:bCs/>
          <w:color w:val="auto"/>
          <w:sz w:val="21"/>
          <w:szCs w:val="21"/>
          <w:highlight w:val="none"/>
          <w:lang w:val="en-US" w:eastAsia="zh-CN"/>
        </w:rPr>
        <w:t>成交供应商领取成交通知书时须携带法定代表人授权书及加盖单位公章的被授权人身份证复印件。</w:t>
      </w:r>
    </w:p>
    <w:p w14:paraId="2AA54133">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33.2、成交通知书对采购人和成交供应商具有同等法律效力。成交通知书发出之后，采购人改变成交结果，或者成交供应商放弃成交，应当承担相应的法律责任。</w:t>
      </w:r>
    </w:p>
    <w:p w14:paraId="3DBC3B4F">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34</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val="zh-CN" w:eastAsia="zh-CN"/>
        </w:rPr>
        <w:t>合同</w:t>
      </w:r>
      <w:r>
        <w:rPr>
          <w:rFonts w:hint="eastAsia" w:ascii="宋体" w:hAnsi="宋体" w:eastAsia="宋体" w:cs="宋体"/>
          <w:b/>
          <w:bCs/>
          <w:color w:val="auto"/>
          <w:sz w:val="21"/>
          <w:szCs w:val="21"/>
          <w:highlight w:val="none"/>
          <w:lang w:val="en-US" w:eastAsia="zh-CN"/>
        </w:rPr>
        <w:t>的签订</w:t>
      </w:r>
    </w:p>
    <w:p w14:paraId="70A6F61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34.1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FE2419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34.2、采购人自采购合同签订之日起七个工作日内，将采购合同副本报同级人民政府财政部门备案。</w:t>
      </w:r>
    </w:p>
    <w:p w14:paraId="22BD6F23">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default" w:ascii="宋体" w:hAnsi="宋体" w:eastAsia="宋体" w:cs="宋体"/>
          <w:b/>
          <w:bCs/>
          <w:color w:val="auto"/>
          <w:sz w:val="21"/>
          <w:szCs w:val="21"/>
          <w:highlight w:val="none"/>
          <w:lang w:val="en-US" w:eastAsia="zh-CN"/>
        </w:rPr>
      </w:pPr>
      <w:bookmarkStart w:id="42" w:name="_Toc17542"/>
      <w:r>
        <w:rPr>
          <w:rFonts w:hint="eastAsia" w:ascii="宋体" w:hAnsi="宋体" w:eastAsia="宋体" w:cs="宋体"/>
          <w:b/>
          <w:bCs/>
          <w:color w:val="auto"/>
          <w:sz w:val="21"/>
          <w:szCs w:val="21"/>
          <w:highlight w:val="none"/>
          <w:lang w:val="en-US" w:eastAsia="zh-CN"/>
        </w:rPr>
        <w:t>35、</w:t>
      </w:r>
      <w:r>
        <w:rPr>
          <w:rFonts w:hint="eastAsia" w:ascii="宋体" w:hAnsi="宋体" w:eastAsia="宋体" w:cs="宋体"/>
          <w:b/>
          <w:bCs/>
          <w:color w:val="auto"/>
          <w:sz w:val="21"/>
          <w:szCs w:val="21"/>
          <w:highlight w:val="none"/>
          <w:lang w:val="zh-CN" w:eastAsia="zh-CN"/>
        </w:rPr>
        <w:t>本项目不收取招标代理服务费。</w:t>
      </w:r>
    </w:p>
    <w:p w14:paraId="5A25A793">
      <w:pPr>
        <w:pStyle w:val="2"/>
        <w:keepLines w:val="0"/>
        <w:pageBreakBefore w:val="0"/>
        <w:widowControl w:val="0"/>
        <w:kinsoku/>
        <w:wordWrap/>
        <w:overflowPunct/>
        <w:topLinePunct w:val="0"/>
        <w:bidi w:val="0"/>
        <w:spacing w:line="400" w:lineRule="exact"/>
        <w:textAlignment w:val="auto"/>
        <w:rPr>
          <w:rFonts w:hint="eastAsia" w:ascii="宋体" w:hAnsi="宋体" w:eastAsia="宋体" w:cs="宋体"/>
          <w:b/>
          <w:color w:val="auto"/>
          <w:sz w:val="28"/>
          <w:szCs w:val="28"/>
          <w:highlight w:val="none"/>
          <w:lang w:val="zh-CN" w:eastAsia="zh-CN"/>
        </w:rPr>
      </w:pPr>
      <w:bookmarkStart w:id="43" w:name="_Toc29347"/>
      <w:r>
        <w:rPr>
          <w:rFonts w:hint="eastAsia" w:ascii="宋体" w:hAnsi="宋体" w:eastAsia="宋体" w:cs="宋体"/>
          <w:b/>
          <w:color w:val="auto"/>
          <w:sz w:val="28"/>
          <w:szCs w:val="28"/>
          <w:highlight w:val="none"/>
          <w:lang w:val="en-US" w:eastAsia="zh-CN"/>
        </w:rPr>
        <w:t>G</w:t>
      </w:r>
      <w:r>
        <w:rPr>
          <w:rFonts w:hint="eastAsia" w:ascii="宋体" w:hAnsi="宋体" w:eastAsia="宋体" w:cs="宋体"/>
          <w:b/>
          <w:color w:val="auto"/>
          <w:sz w:val="28"/>
          <w:szCs w:val="28"/>
          <w:highlight w:val="none"/>
          <w:lang w:val="zh-CN" w:eastAsia="zh-CN"/>
        </w:rPr>
        <w:t>、其它</w:t>
      </w:r>
      <w:bookmarkEnd w:id="42"/>
      <w:bookmarkEnd w:id="43"/>
    </w:p>
    <w:p w14:paraId="7D3673DB">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en-US" w:eastAsia="zh-CN"/>
        </w:rPr>
        <w:t>36</w:t>
      </w:r>
      <w:r>
        <w:rPr>
          <w:rFonts w:hint="eastAsia" w:ascii="宋体" w:hAnsi="宋体" w:eastAsia="宋体" w:cs="宋体"/>
          <w:b/>
          <w:bCs w:val="0"/>
          <w:color w:val="auto"/>
          <w:sz w:val="21"/>
          <w:szCs w:val="21"/>
          <w:highlight w:val="none"/>
          <w:lang w:val="zh-CN"/>
        </w:rPr>
        <w:t>、</w:t>
      </w:r>
      <w:r>
        <w:rPr>
          <w:rFonts w:hint="eastAsia" w:ascii="宋体" w:hAnsi="宋体" w:eastAsia="宋体" w:cs="宋体"/>
          <w:b/>
          <w:bCs w:val="0"/>
          <w:color w:val="auto"/>
          <w:sz w:val="21"/>
          <w:szCs w:val="21"/>
          <w:highlight w:val="none"/>
          <w:lang w:val="en-US" w:eastAsia="zh-CN"/>
        </w:rPr>
        <w:t>磋商开始后，出现下列情形之一的，采购代理机构将终止竞争性磋商采购活动，发布项目终止公告并说明原因，重新开展采购活动</w:t>
      </w:r>
    </w:p>
    <w:p w14:paraId="0F1BADC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36.1、</w:t>
      </w:r>
      <w:r>
        <w:rPr>
          <w:rFonts w:hint="eastAsia" w:ascii="宋体" w:hAnsi="宋体" w:eastAsia="宋体" w:cs="宋体"/>
          <w:b w:val="0"/>
          <w:bCs/>
          <w:color w:val="auto"/>
          <w:sz w:val="21"/>
          <w:szCs w:val="21"/>
          <w:highlight w:val="none"/>
          <w:lang w:val="zh-CN"/>
        </w:rPr>
        <w:t>因情况变化，不再符合规定的竞争性磋商采购方式适用情形的；</w:t>
      </w:r>
    </w:p>
    <w:p w14:paraId="08C79A7C">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36.2、</w:t>
      </w:r>
      <w:r>
        <w:rPr>
          <w:rFonts w:hint="eastAsia" w:ascii="宋体" w:hAnsi="宋体" w:eastAsia="宋体" w:cs="宋体"/>
          <w:b w:val="0"/>
          <w:bCs/>
          <w:color w:val="auto"/>
          <w:sz w:val="21"/>
          <w:szCs w:val="21"/>
          <w:highlight w:val="none"/>
          <w:lang w:val="zh-CN"/>
        </w:rPr>
        <w:t>出现影响采购公正的违法、违规行为的；</w:t>
      </w:r>
    </w:p>
    <w:p w14:paraId="43436F5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36.3、</w:t>
      </w:r>
      <w:r>
        <w:rPr>
          <w:rFonts w:hint="eastAsia" w:ascii="宋体" w:hAnsi="宋体" w:eastAsia="宋体" w:cs="宋体"/>
          <w:b w:val="0"/>
          <w:bCs/>
          <w:color w:val="auto"/>
          <w:sz w:val="21"/>
          <w:szCs w:val="21"/>
          <w:highlight w:val="none"/>
          <w:lang w:val="zh-CN"/>
        </w:rPr>
        <w:t>在采购过程中符合要求的供应商不足3家的；</w:t>
      </w:r>
    </w:p>
    <w:p w14:paraId="144E4D6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36.4、</w:t>
      </w:r>
      <w:r>
        <w:rPr>
          <w:rFonts w:hint="eastAsia" w:ascii="宋体" w:hAnsi="宋体" w:eastAsia="宋体" w:cs="宋体"/>
          <w:b w:val="0"/>
          <w:bCs/>
          <w:color w:val="auto"/>
          <w:sz w:val="21"/>
          <w:szCs w:val="21"/>
          <w:highlight w:val="none"/>
          <w:lang w:val="zh-CN"/>
        </w:rPr>
        <w:t>报价未超过采购预算的供应商不足3家的。</w:t>
      </w:r>
    </w:p>
    <w:p w14:paraId="771DF5B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废标后，采购代理机构应在财政部门指定采购网上公告，并公告废标的详细理由。</w:t>
      </w:r>
    </w:p>
    <w:p w14:paraId="143EE67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en-US" w:eastAsia="zh-CN"/>
        </w:rPr>
        <w:t>37、提交最后报价的供应商为2家时，可以继续进行磋商的情形</w:t>
      </w:r>
    </w:p>
    <w:p w14:paraId="47FE7E10">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37.1、市场竞争不充分的科研项目，以及需要扶持的科技成果转化项目；</w:t>
      </w:r>
    </w:p>
    <w:p w14:paraId="49928F45">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37.2、根据陕西省财政厅陕财办采资（2016）53号文件第十八条，在采购过程中符合要求的供应商（社会资本）只有2家的。</w:t>
      </w:r>
    </w:p>
    <w:p w14:paraId="02777173">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en-US" w:eastAsia="zh-CN"/>
        </w:rPr>
        <w:t>38、</w:t>
      </w:r>
      <w:r>
        <w:rPr>
          <w:rFonts w:hint="eastAsia" w:ascii="宋体" w:hAnsi="宋体" w:eastAsia="宋体" w:cs="宋体"/>
          <w:color w:val="auto"/>
          <w:sz w:val="21"/>
          <w:szCs w:val="21"/>
          <w:highlight w:val="none"/>
          <w:lang w:val="zh-CN"/>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5A2092D2">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en-US" w:eastAsia="zh-CN"/>
        </w:rPr>
        <w:t>39</w:t>
      </w: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lang w:val="zh-CN"/>
        </w:rPr>
        <w:t>成交供应商确定后，成交供应商无正当理由拖延或拒签合同的，或未能按照规定的时间提供履约担保，采购人有权取消其成交资格，并按评审顺序重新确定成交供应商。同时报请监督机构予以通报，禁止其进入政府采购市场。给采购人造成损失巨大的，供应商还应当对超过部分予以赔偿，并依法承担相应法律责任。</w:t>
      </w:r>
    </w:p>
    <w:p w14:paraId="321E1666">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40、履约验收</w:t>
      </w:r>
    </w:p>
    <w:p w14:paraId="0FC6DADA">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40.1、采购合同的履行、违约责任和解决争议的方法等适用《民法典》。采购人按照政府采购合同规定的技术、服务、安全标准组织对供应商履约情况进行验收，并出具验收书。</w:t>
      </w:r>
    </w:p>
    <w:p w14:paraId="5498AD09">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40.2、履约验收的费用及要求详见“供应商须知前附表”。</w:t>
      </w:r>
    </w:p>
    <w:p w14:paraId="2C72DC4E">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2"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41</w:t>
      </w:r>
      <w:r>
        <w:rPr>
          <w:rFonts w:hint="eastAsia" w:ascii="宋体" w:hAnsi="宋体" w:eastAsia="宋体" w:cs="宋体"/>
          <w:b/>
          <w:color w:val="auto"/>
          <w:sz w:val="21"/>
          <w:szCs w:val="21"/>
          <w:highlight w:val="none"/>
          <w:lang w:val="zh-CN"/>
        </w:rPr>
        <w:t>、关于询问、质疑和投诉</w:t>
      </w:r>
    </w:p>
    <w:p w14:paraId="5435B004">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41.1、询问</w:t>
      </w:r>
    </w:p>
    <w:p w14:paraId="404C8152">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供应商对政府采购活动事项有疑问的，可以向采购人或采购代理机构提出询问。采购人或采购代理机构将在3个工作日内对供应商依法提出的询问作出答复。</w:t>
      </w:r>
    </w:p>
    <w:p w14:paraId="6D79423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根据采购人和采购代理机构签订的《招标代理合同》，针对采购需求（包括采购内容、技术或服务要求、商务要求、合同条款、供应商资格条件）的询问请向采购人提出。</w:t>
      </w:r>
    </w:p>
    <w:p w14:paraId="7D3805FB">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41</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lang w:val="en-US" w:eastAsia="zh-CN"/>
        </w:rPr>
        <w:t>质疑</w:t>
      </w:r>
    </w:p>
    <w:p w14:paraId="72F24BB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供应商认为招标文件、采购过程、成交结果使自己的权益受到损害的，可以在知道或者应知其权益受到损害之日起7个工作日内，以书面形式向采购人、采购代理机构提出质疑。</w:t>
      </w:r>
    </w:p>
    <w:p w14:paraId="7B588D5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供应商必须在法定质疑期内一次性提出针对同一采购程序环节的质疑。</w:t>
      </w:r>
    </w:p>
    <w:p w14:paraId="08A12F3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F58DB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以联合体形式参加政府采购活动的，其质疑应当由组成联合体的所有供应商共同提出。</w:t>
      </w:r>
    </w:p>
    <w:p w14:paraId="659DD02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供应商提出质疑应当提交质疑函和必要的证明材料。质疑函应当包括下列内容：</w:t>
      </w:r>
    </w:p>
    <w:p w14:paraId="0D4F3F1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供应商的姓名或者名称、地址、邮编、联系人及联系电话；</w:t>
      </w:r>
    </w:p>
    <w:p w14:paraId="0D0A239B">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质疑项目的名称、编号；</w:t>
      </w:r>
    </w:p>
    <w:p w14:paraId="3480CA94">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lang w:val="zh-CN"/>
        </w:rPr>
        <w:t>具体、明确的质疑事项和与质疑事项相关的请求；</w:t>
      </w:r>
    </w:p>
    <w:p w14:paraId="1A7FC23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lang w:val="zh-CN"/>
        </w:rPr>
        <w:t>事实依据；</w:t>
      </w:r>
    </w:p>
    <w:p w14:paraId="1D96589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lang w:val="zh-CN"/>
        </w:rPr>
        <w:t>必要的法律依据；</w:t>
      </w:r>
    </w:p>
    <w:p w14:paraId="25D156F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F.</w:t>
      </w:r>
      <w:r>
        <w:rPr>
          <w:rFonts w:hint="eastAsia" w:ascii="宋体" w:hAnsi="宋体" w:eastAsia="宋体" w:cs="宋体"/>
          <w:color w:val="auto"/>
          <w:sz w:val="21"/>
          <w:szCs w:val="21"/>
          <w:lang w:val="zh-CN"/>
        </w:rPr>
        <w:t>提出质疑的日期。</w:t>
      </w:r>
    </w:p>
    <w:p w14:paraId="0FCE71D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有下列情形之一的，属于无效质疑，采购代理机构和采购人不予受理：</w:t>
      </w:r>
    </w:p>
    <w:p w14:paraId="5DCE3B0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质疑供应商不是参与本次政府采购项目的供应商；</w:t>
      </w:r>
    </w:p>
    <w:p w14:paraId="5560DB73">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质疑供应商与质疑事项不存在利害关系的；</w:t>
      </w:r>
    </w:p>
    <w:p w14:paraId="58567B0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lang w:val="zh-CN"/>
        </w:rPr>
        <w:t>未在法定期限内提出质疑的；</w:t>
      </w:r>
    </w:p>
    <w:p w14:paraId="034376F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lang w:val="zh-CN"/>
        </w:rPr>
        <w:t>质疑未以书面形式提出，或质疑函主要内容构成不完整的；</w:t>
      </w:r>
    </w:p>
    <w:p w14:paraId="5E89233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lang w:val="zh-CN"/>
        </w:rPr>
        <w:t>应当提交授权书而未提交的；</w:t>
      </w:r>
    </w:p>
    <w:p w14:paraId="0F7A1B5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F.</w:t>
      </w:r>
      <w:r>
        <w:rPr>
          <w:rFonts w:hint="eastAsia" w:ascii="宋体" w:hAnsi="宋体" w:eastAsia="宋体" w:cs="宋体"/>
          <w:color w:val="auto"/>
          <w:sz w:val="21"/>
          <w:szCs w:val="21"/>
          <w:lang w:val="zh-CN"/>
        </w:rPr>
        <w:t>以非法手段取得证据、材料的；</w:t>
      </w:r>
    </w:p>
    <w:p w14:paraId="3DD3B4C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G.</w:t>
      </w:r>
      <w:r>
        <w:rPr>
          <w:rFonts w:hint="eastAsia" w:ascii="宋体" w:hAnsi="宋体" w:eastAsia="宋体" w:cs="宋体"/>
          <w:color w:val="auto"/>
          <w:sz w:val="21"/>
          <w:szCs w:val="21"/>
          <w:lang w:val="zh-CN"/>
        </w:rPr>
        <w:t>质疑答复后，同一质疑人就同一事项或同一采购程序环节再次提出质疑的；</w:t>
      </w:r>
    </w:p>
    <w:p w14:paraId="701DA13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H.</w:t>
      </w:r>
      <w:r>
        <w:rPr>
          <w:rFonts w:hint="eastAsia" w:ascii="宋体" w:hAnsi="宋体" w:eastAsia="宋体" w:cs="宋体"/>
          <w:color w:val="auto"/>
          <w:sz w:val="21"/>
          <w:szCs w:val="21"/>
          <w:lang w:val="zh-CN"/>
        </w:rPr>
        <w:t>不符合法律、法规、规章和政府采购监管机构规定的其他条件的。</w:t>
      </w:r>
    </w:p>
    <w:p w14:paraId="585AE45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质疑答复</w:t>
      </w:r>
    </w:p>
    <w:p w14:paraId="5D8FBBBB">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采购人或采购代理机构在收到质疑函后7个工作日内作出答复，并以书面形式通知质疑供应商和其他有关供应商。</w:t>
      </w:r>
    </w:p>
    <w:p w14:paraId="24A5120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质疑供应商对采购人、采购代理机构的答复不满意，或者采购人、采购代理机构未在规定时间内作出答复的，可以在答复期满后15个工作日内向同级人民政府财政部门提起投诉。</w:t>
      </w:r>
    </w:p>
    <w:p w14:paraId="0E2DB841">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其他需要说明的事项</w:t>
      </w:r>
    </w:p>
    <w:p w14:paraId="3443A5A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质疑函须按财政部《质疑函范本》给定的格式进行填写，范本下载详见〔财政部国库司（gks.mof.gov.cn）〕网站〖首页·政府采购管理〗栏目中的《政府采购供应商质疑函范本》。《政府采购供应商质疑函范本》链接地址：</w:t>
      </w:r>
    </w:p>
    <w:p w14:paraId="1CAE1DA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http://gks.mof.gov.cn/ztztz/zhengfucaigouguanli/201802/t20180201_2804589.htm</w:t>
      </w:r>
    </w:p>
    <w:p w14:paraId="4D1C0686">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接收质疑函的方式：书面形式</w:t>
      </w:r>
    </w:p>
    <w:p w14:paraId="2A399E8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lang w:val="zh-CN"/>
        </w:rPr>
        <w:t>联系部门：</w:t>
      </w:r>
      <w:r>
        <w:rPr>
          <w:rFonts w:hint="eastAsia" w:ascii="宋体" w:hAnsi="宋体" w:eastAsia="宋体" w:cs="宋体"/>
          <w:color w:val="auto"/>
          <w:sz w:val="21"/>
          <w:szCs w:val="21"/>
          <w:lang w:val="en-US" w:eastAsia="zh-CN"/>
        </w:rPr>
        <w:t>泾阳县政府采购中心</w:t>
      </w:r>
    </w:p>
    <w:p w14:paraId="3A3D48E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lang w:val="zh-CN"/>
        </w:rPr>
        <w:t>联系电话：见供应商须知前附表</w:t>
      </w:r>
    </w:p>
    <w:p w14:paraId="4EDB07D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lang w:val="zh-CN"/>
        </w:rPr>
        <w:t>通讯地址：咸阳市泾阳县中心街402号</w:t>
      </w:r>
    </w:p>
    <w:p w14:paraId="2B4F0C21">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41</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val="zh-CN"/>
        </w:rPr>
        <w:t>、投诉</w:t>
      </w:r>
    </w:p>
    <w:p w14:paraId="7BB52F6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1）质疑人对代理机构或采购人的答复不满意，以及代理机构或采购人未在规定时间内做出答复的，可以在答复期满后15个工作日内向监管机构提出投诉。</w:t>
      </w:r>
    </w:p>
    <w:p w14:paraId="65D44EA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2）供应商投诉的事项不得超出已质疑事项的范围。供应商提出投诉时，应当提交投诉书和必要的证明材料，并按财政部《投诉书范本》给定的格式进行填写。</w:t>
      </w:r>
    </w:p>
    <w:p w14:paraId="34C97936">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投诉书范本地址：http://download.ccgp.gov.cn/2018/tousushufanben.zip</w:t>
      </w:r>
    </w:p>
    <w:p w14:paraId="469EEA58">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42、恶意质疑、投诉的法律后果</w:t>
      </w:r>
    </w:p>
    <w:p w14:paraId="5DC0773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1）对捏造事实、提供虚假材料进行质疑、投诉的行为予以严肃处理：</w:t>
      </w:r>
    </w:p>
    <w:p w14:paraId="415E48A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5B8BC49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2）对捏造事实诬告陷害他人、诽谤他人的法律适用：</w:t>
      </w:r>
    </w:p>
    <w:p w14:paraId="24632E1B">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《中华人民共和国刑法》第243条【诬告陷害罪】捏造事实诬告陷害他人，意图使他人受刑事追究，情节严重的，处三年以下有期徒刑、拘役或者管制；造成严重后果的，处三年以上十年以下有期徒刑。</w:t>
      </w:r>
    </w:p>
    <w:p w14:paraId="30683DE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《中华人民共和国刑法》第246条【侮辱罪、诽谤罪】以暴力或者其他方法公然侮辱他人或者捏造事实诽谤他人，情节严重的，处三年以下有期徒刑、拘役、管制或者剥夺政治权。</w:t>
      </w:r>
    </w:p>
    <w:p w14:paraId="3B219404">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43、</w:t>
      </w:r>
      <w:r>
        <w:rPr>
          <w:rFonts w:hint="eastAsia" w:ascii="宋体" w:hAnsi="宋体" w:eastAsia="宋体" w:cs="宋体"/>
          <w:b/>
          <w:bCs/>
          <w:color w:val="auto"/>
          <w:sz w:val="21"/>
          <w:szCs w:val="21"/>
          <w:lang w:val="zh-CN"/>
        </w:rPr>
        <w:t>其他</w:t>
      </w:r>
    </w:p>
    <w:p w14:paraId="4DCB271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lang w:val="zh-CN"/>
        </w:rPr>
        <w:t>步骤为：初步评审---综合评审推荐</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候选人。</w:t>
      </w:r>
    </w:p>
    <w:p w14:paraId="3A9F6FB8">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zh-CN" w:eastAsia="zh-CN"/>
        </w:rPr>
        <w:t>根据《政府采购法》第三十六条规定，在招标采购中，出现下列情形之一的，本项目按废标处理：出现影响采购公正的违法、违规行为的；供应商的报价均超过了采购预算，采购人不能支付的；因重大变故，采购任务取消的。废标后，除采购任务取消外，本项目将重新组织招标。</w:t>
      </w:r>
    </w:p>
    <w:p w14:paraId="643DDCE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zh-CN"/>
        </w:rPr>
        <w:t>投标截止后投标人不足三家或者通过资格审查或符合性审查的投标人不足三家的，除采购任务取消情形外，按照以下方式处理：招标文件存在不合理条款或者招标程序不符合规定的，采购人、采购代理机构改正后依法重新招标；招标文件没有不合理条款、招标程序符合规定，需要采用其他采购方式采购的，采购人应当依法报财政部门批准。中标人拒绝与采购人签订合同的，采购人可以按照</w:t>
      </w:r>
      <w:r>
        <w:rPr>
          <w:rFonts w:hint="eastAsia" w:ascii="宋体" w:hAnsi="宋体" w:eastAsia="宋体" w:cs="宋体"/>
          <w:color w:val="auto"/>
          <w:sz w:val="21"/>
          <w:szCs w:val="21"/>
          <w:lang w:val="zh-CN" w:eastAsia="zh-CN"/>
        </w:rPr>
        <w:t>评标结果</w:t>
      </w:r>
      <w:r>
        <w:rPr>
          <w:rFonts w:hint="eastAsia" w:ascii="宋体" w:hAnsi="宋体" w:eastAsia="宋体" w:cs="宋体"/>
          <w:color w:val="auto"/>
          <w:sz w:val="21"/>
          <w:szCs w:val="21"/>
          <w:lang w:val="zh-CN"/>
        </w:rPr>
        <w:t>报告推荐的中标候选人名单排序，确定下一候选人为中标</w:t>
      </w:r>
      <w:r>
        <w:rPr>
          <w:rFonts w:hint="eastAsia" w:ascii="宋体" w:hAnsi="宋体" w:eastAsia="宋体" w:cs="宋体"/>
          <w:color w:val="auto"/>
          <w:sz w:val="21"/>
          <w:szCs w:val="21"/>
          <w:lang w:val="zh-CN" w:eastAsia="zh-CN"/>
        </w:rPr>
        <w:t>供应商</w:t>
      </w:r>
      <w:r>
        <w:rPr>
          <w:rFonts w:hint="eastAsia" w:ascii="宋体" w:hAnsi="宋体" w:eastAsia="宋体" w:cs="宋体"/>
          <w:color w:val="auto"/>
          <w:sz w:val="21"/>
          <w:szCs w:val="21"/>
          <w:lang w:val="zh-CN"/>
        </w:rPr>
        <w:t>，也可以重新开展政府采购活动。</w:t>
      </w:r>
    </w:p>
    <w:p w14:paraId="74E68CF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lang w:val="zh-CN"/>
        </w:rPr>
        <w:t>.4、</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lang w:val="zh-CN"/>
        </w:rPr>
        <w:t>确定后，</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lang w:val="zh-CN"/>
        </w:rPr>
        <w:t>无正当理由拖延或拒签合同的，或未能按照规定的时间提供履约保证金，采购人有权取消其</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资格，并按评审顺序重新确定</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lang w:val="zh-CN"/>
        </w:rPr>
        <w:t>供应商。给采购人造成损失的，应当承担赔偿责任，并依法承担相应法律责任。</w:t>
      </w:r>
    </w:p>
    <w:p w14:paraId="62DB9A65">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lang w:val="zh-CN"/>
        </w:rPr>
        <w:t>.5、</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lang w:val="zh-CN"/>
        </w:rPr>
        <w:t>开始到</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lang w:val="zh-CN"/>
        </w:rPr>
        <w:t>确定前，评标委员会、采购人及有关人员要严格遵循保密原则，任何一方不得向与评审无关的单位和人员透露与</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lang w:val="zh-CN"/>
        </w:rPr>
        <w:t>有关的其它供应商的技术资料、价格及其它信息。否则，按《中华人民共和国政府采购法》、《中华人民共和国政府采购法实施条例》及有关法律、法规的法律规定进行相应的处罚。</w:t>
      </w:r>
    </w:p>
    <w:p w14:paraId="600C0859">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44、</w:t>
      </w:r>
      <w:r>
        <w:rPr>
          <w:rFonts w:hint="eastAsia" w:ascii="宋体" w:hAnsi="宋体" w:eastAsia="宋体" w:cs="宋体"/>
          <w:b/>
          <w:bCs/>
          <w:color w:val="auto"/>
          <w:sz w:val="21"/>
          <w:szCs w:val="21"/>
          <w:lang w:val="zh-CN"/>
        </w:rPr>
        <w:t>信用担保及信用融资</w:t>
      </w:r>
    </w:p>
    <w:p w14:paraId="2D0C37A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44</w:t>
      </w:r>
      <w:r>
        <w:rPr>
          <w:rFonts w:hint="eastAsia" w:ascii="宋体" w:hAnsi="宋体" w:eastAsia="宋体" w:cs="宋体"/>
          <w:color w:val="auto"/>
          <w:sz w:val="21"/>
          <w:szCs w:val="21"/>
          <w:lang w:val="zh-CN"/>
        </w:rPr>
        <w:t>.1、陕西省政府采购信用担保及信用融资政策：</w:t>
      </w:r>
    </w:p>
    <w:p w14:paraId="7BDDE7D4">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44.1.1、</w:t>
      </w:r>
      <w:r>
        <w:rPr>
          <w:rFonts w:hint="eastAsia" w:ascii="宋体" w:hAnsi="宋体" w:eastAsia="宋体" w:cs="宋体"/>
          <w:color w:val="auto"/>
          <w:sz w:val="21"/>
          <w:szCs w:val="21"/>
          <w:lang w:val="zh-CN"/>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w:t>
      </w:r>
    </w:p>
    <w:p w14:paraId="59FCEFB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44.1.2、</w:t>
      </w:r>
      <w:r>
        <w:rPr>
          <w:rFonts w:hint="eastAsia" w:ascii="宋体" w:hAnsi="宋体" w:eastAsia="宋体" w:cs="宋体"/>
          <w:color w:val="auto"/>
          <w:sz w:val="21"/>
          <w:szCs w:val="21"/>
          <w:lang w:val="zh-CN"/>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582C5B4C">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lang w:val="en-US" w:eastAsia="zh-CN"/>
        </w:rPr>
        <w:t>44</w:t>
      </w:r>
      <w:r>
        <w:rPr>
          <w:rFonts w:hint="eastAsia" w:ascii="宋体" w:hAnsi="宋体" w:eastAsia="宋体" w:cs="宋体"/>
          <w:color w:val="auto"/>
          <w:sz w:val="21"/>
          <w:szCs w:val="21"/>
          <w:lang w:val="zh-CN"/>
        </w:rPr>
        <w:t>.2、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14:paraId="536F6FB7">
      <w:pPr>
        <w:pStyle w:val="35"/>
        <w:keepNext w:val="0"/>
        <w:keepLines w:val="0"/>
        <w:pageBreakBefore w:val="0"/>
        <w:widowControl w:val="0"/>
        <w:kinsoku/>
        <w:wordWrap/>
        <w:overflowPunct/>
        <w:topLinePunct w:val="0"/>
        <w:autoSpaceDE w:val="0"/>
        <w:autoSpaceDN w:val="0"/>
        <w:bidi w:val="0"/>
        <w:adjustRightInd w:val="0"/>
        <w:snapToGrid w:val="0"/>
        <w:spacing w:after="0" w:line="420" w:lineRule="exact"/>
        <w:ind w:firstLine="720" w:firstLineChars="200"/>
        <w:jc w:val="both"/>
        <w:textAlignment w:val="bottom"/>
        <w:outlineLvl w:val="9"/>
        <w:rPr>
          <w:rFonts w:hint="eastAsia" w:ascii="宋体" w:hAnsi="宋体" w:eastAsia="宋体" w:cs="宋体"/>
          <w:color w:val="auto"/>
          <w:sz w:val="36"/>
          <w:szCs w:val="36"/>
          <w:highlight w:val="none"/>
        </w:rPr>
        <w:sectPr>
          <w:footerReference r:id="rId16" w:type="first"/>
          <w:headerReference r:id="rId14" w:type="default"/>
          <w:footerReference r:id="rId15" w:type="default"/>
          <w:pgSz w:w="11906" w:h="16838"/>
          <w:pgMar w:top="1417" w:right="1418" w:bottom="1417" w:left="1417" w:header="851" w:footer="992" w:gutter="0"/>
          <w:pgNumType w:fmt="decimal"/>
          <w:cols w:space="720" w:num="1"/>
          <w:docGrid w:type="lines" w:linePitch="312" w:charSpace="0"/>
        </w:sectPr>
      </w:pPr>
    </w:p>
    <w:p w14:paraId="6B7CAA92">
      <w:pPr>
        <w:pStyle w:val="2"/>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36"/>
          <w:szCs w:val="36"/>
          <w:highlight w:val="none"/>
          <w:lang w:val="en-US" w:eastAsia="zh-CN"/>
        </w:rPr>
      </w:pPr>
      <w:bookmarkStart w:id="44" w:name="_Toc7854"/>
      <w:r>
        <w:rPr>
          <w:rFonts w:hint="eastAsia" w:ascii="宋体" w:hAnsi="宋体" w:eastAsia="宋体" w:cs="宋体"/>
          <w:b/>
          <w:bCs/>
          <w:color w:val="auto"/>
          <w:sz w:val="36"/>
          <w:szCs w:val="36"/>
          <w:highlight w:val="none"/>
          <w:lang w:val="en-US" w:eastAsia="zh-CN"/>
        </w:rPr>
        <w:t>第四章 评审办法</w:t>
      </w:r>
      <w:bookmarkEnd w:id="44"/>
    </w:p>
    <w:p w14:paraId="5539B864">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color w:val="auto"/>
          <w:sz w:val="21"/>
          <w:szCs w:val="21"/>
          <w:highlight w:val="none"/>
        </w:rPr>
      </w:pPr>
      <w:bookmarkStart w:id="45" w:name="_Toc492476967"/>
      <w:r>
        <w:rPr>
          <w:rFonts w:hint="eastAsia" w:ascii="宋体" w:hAnsi="宋体" w:eastAsia="宋体" w:cs="宋体"/>
          <w:b/>
          <w:color w:val="auto"/>
          <w:sz w:val="21"/>
          <w:szCs w:val="21"/>
          <w:highlight w:val="none"/>
        </w:rPr>
        <w:t>1、评审方法</w:t>
      </w:r>
    </w:p>
    <w:p w14:paraId="33648103">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按照《中华人民共和国政府采购法》及实施条例和关于印发《政府采购竞争性磋商采购方式管理暂行办法》的通知（财库〔2014〕214号）</w:t>
      </w:r>
      <w:r>
        <w:rPr>
          <w:rFonts w:hint="eastAsia" w:ascii="宋体" w:hAnsi="宋体" w:eastAsia="宋体" w:cs="宋体"/>
          <w:color w:val="auto"/>
          <w:spacing w:val="4"/>
          <w:sz w:val="21"/>
          <w:szCs w:val="21"/>
          <w:highlight w:val="none"/>
        </w:rPr>
        <w:t>的规定，本次评标采用综合评分法，即在最大限度地满足</w:t>
      </w:r>
      <w:r>
        <w:rPr>
          <w:rFonts w:hint="eastAsia" w:ascii="宋体" w:hAnsi="宋体" w:eastAsia="宋体" w:cs="宋体"/>
          <w:color w:val="auto"/>
          <w:spacing w:val="4"/>
          <w:sz w:val="21"/>
          <w:szCs w:val="21"/>
          <w:highlight w:val="none"/>
          <w:lang w:eastAsia="zh-CN"/>
        </w:rPr>
        <w:t>竞争性磋商文件</w:t>
      </w:r>
      <w:r>
        <w:rPr>
          <w:rFonts w:hint="eastAsia" w:ascii="宋体" w:hAnsi="宋体" w:eastAsia="宋体" w:cs="宋体"/>
          <w:color w:val="auto"/>
          <w:spacing w:val="4"/>
          <w:sz w:val="21"/>
          <w:szCs w:val="21"/>
          <w:highlight w:val="none"/>
        </w:rPr>
        <w:t>实质性要求前提下，按照</w:t>
      </w:r>
      <w:r>
        <w:rPr>
          <w:rFonts w:hint="eastAsia" w:ascii="宋体" w:hAnsi="宋体" w:eastAsia="宋体" w:cs="宋体"/>
          <w:color w:val="auto"/>
          <w:spacing w:val="4"/>
          <w:sz w:val="21"/>
          <w:szCs w:val="21"/>
          <w:highlight w:val="none"/>
          <w:lang w:eastAsia="zh-CN"/>
        </w:rPr>
        <w:t>竞争性磋商文件</w:t>
      </w:r>
      <w:r>
        <w:rPr>
          <w:rFonts w:hint="eastAsia" w:ascii="宋体" w:hAnsi="宋体" w:eastAsia="宋体" w:cs="宋体"/>
          <w:color w:val="auto"/>
          <w:spacing w:val="4"/>
          <w:sz w:val="21"/>
          <w:szCs w:val="21"/>
          <w:highlight w:val="none"/>
        </w:rPr>
        <w:t>中规定的各项因素和相应的权重分值进行综合评审后，以总得分最高的供应商作为成交候选人并依次排序（最低报价不是成交的唯一标准）。</w:t>
      </w:r>
    </w:p>
    <w:p w14:paraId="09176E36">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2、评审标准</w:t>
      </w:r>
    </w:p>
    <w:p w14:paraId="1821C878">
      <w:pPr>
        <w:keepNext w:val="0"/>
        <w:keepLines w:val="0"/>
        <w:pageBreakBefore w:val="0"/>
        <w:widowControl w:val="0"/>
        <w:tabs>
          <w:tab w:val="left" w:pos="0"/>
        </w:tabs>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2.1、初步评审标准</w:t>
      </w:r>
    </w:p>
    <w:p w14:paraId="0A54FC02">
      <w:pPr>
        <w:keepNext w:val="0"/>
        <w:keepLines w:val="0"/>
        <w:pageBreakBefore w:val="0"/>
        <w:widowControl w:val="0"/>
        <w:tabs>
          <w:tab w:val="left" w:pos="0"/>
        </w:tabs>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资格性审查标准：见附件1〖资格性审查表〗</w:t>
      </w:r>
    </w:p>
    <w:p w14:paraId="1121277F">
      <w:pPr>
        <w:keepNext w:val="0"/>
        <w:keepLines w:val="0"/>
        <w:pageBreakBefore w:val="0"/>
        <w:widowControl w:val="0"/>
        <w:tabs>
          <w:tab w:val="left" w:pos="0"/>
        </w:tabs>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符合性审查标准：见附件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〖符合性审查表〗</w:t>
      </w:r>
    </w:p>
    <w:p w14:paraId="0CEE1F2B">
      <w:pPr>
        <w:keepNext w:val="0"/>
        <w:keepLines w:val="0"/>
        <w:pageBreakBefore w:val="0"/>
        <w:widowControl w:val="0"/>
        <w:tabs>
          <w:tab w:val="left" w:pos="0"/>
        </w:tabs>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2.2、分值构成与评分标准</w:t>
      </w:r>
    </w:p>
    <w:p w14:paraId="48F3BC93">
      <w:pPr>
        <w:keepNext w:val="0"/>
        <w:keepLines w:val="0"/>
        <w:pageBreakBefore w:val="0"/>
        <w:widowControl w:val="0"/>
        <w:tabs>
          <w:tab w:val="left" w:pos="0"/>
        </w:tabs>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磋商</w:t>
      </w:r>
      <w:r>
        <w:rPr>
          <w:rFonts w:hint="eastAsia" w:ascii="宋体" w:hAnsi="宋体" w:eastAsia="宋体" w:cs="宋体"/>
          <w:bCs/>
          <w:color w:val="auto"/>
          <w:sz w:val="21"/>
          <w:szCs w:val="21"/>
          <w:highlight w:val="none"/>
        </w:rPr>
        <w:t>价格：见附件</w:t>
      </w:r>
      <w:r>
        <w:rPr>
          <w:rFonts w:hint="eastAsia" w:ascii="宋体" w:hAnsi="宋体" w:eastAsia="宋体" w:cs="宋体"/>
          <w:bCs/>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评标因素及权重分值表</w:t>
      </w:r>
      <w:r>
        <w:rPr>
          <w:rFonts w:hint="eastAsia" w:ascii="宋体" w:hAnsi="宋体" w:eastAsia="宋体" w:cs="宋体"/>
          <w:color w:val="auto"/>
          <w:sz w:val="21"/>
          <w:szCs w:val="21"/>
          <w:highlight w:val="none"/>
        </w:rPr>
        <w:t>〗</w:t>
      </w:r>
    </w:p>
    <w:p w14:paraId="3E2CEFB7">
      <w:pPr>
        <w:keepNext w:val="0"/>
        <w:keepLines w:val="0"/>
        <w:pageBreakBefore w:val="0"/>
        <w:widowControl w:val="0"/>
        <w:tabs>
          <w:tab w:val="left" w:pos="0"/>
        </w:tabs>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技术</w:t>
      </w:r>
      <w:r>
        <w:rPr>
          <w:rFonts w:hint="eastAsia" w:ascii="宋体" w:hAnsi="宋体" w:eastAsia="宋体" w:cs="宋体"/>
          <w:bCs/>
          <w:color w:val="auto"/>
          <w:sz w:val="21"/>
          <w:szCs w:val="21"/>
          <w:highlight w:val="none"/>
        </w:rPr>
        <w:t>方案：见附件</w:t>
      </w:r>
      <w:r>
        <w:rPr>
          <w:rFonts w:hint="eastAsia" w:ascii="宋体" w:hAnsi="宋体" w:eastAsia="宋体" w:cs="宋体"/>
          <w:bCs/>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评标因素及权重分值表</w:t>
      </w:r>
      <w:r>
        <w:rPr>
          <w:rFonts w:hint="eastAsia" w:ascii="宋体" w:hAnsi="宋体" w:eastAsia="宋体" w:cs="宋体"/>
          <w:color w:val="auto"/>
          <w:sz w:val="21"/>
          <w:szCs w:val="21"/>
          <w:highlight w:val="none"/>
        </w:rPr>
        <w:t>〗</w:t>
      </w:r>
    </w:p>
    <w:p w14:paraId="4BD430C7">
      <w:pPr>
        <w:keepNext w:val="0"/>
        <w:keepLines w:val="0"/>
        <w:pageBreakBefore w:val="0"/>
        <w:widowControl w:val="0"/>
        <w:tabs>
          <w:tab w:val="left" w:pos="0"/>
        </w:tabs>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（3）业绩及履约能力</w:t>
      </w:r>
      <w:r>
        <w:rPr>
          <w:rFonts w:hint="eastAsia" w:ascii="宋体" w:hAnsi="宋体" w:eastAsia="宋体" w:cs="宋体"/>
          <w:bCs/>
          <w:color w:val="auto"/>
          <w:sz w:val="21"/>
          <w:szCs w:val="21"/>
          <w:highlight w:val="none"/>
        </w:rPr>
        <w:t>：见附件</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〖评标因素及权重分值表〗</w:t>
      </w:r>
    </w:p>
    <w:p w14:paraId="2FF05BC3">
      <w:pPr>
        <w:keepNext w:val="0"/>
        <w:keepLines w:val="0"/>
        <w:pageBreakBefore w:val="0"/>
        <w:widowControl w:val="0"/>
        <w:kinsoku/>
        <w:wordWrap/>
        <w:overflowPunct/>
        <w:topLinePunct w:val="0"/>
        <w:bidi w:val="0"/>
        <w:spacing w:line="360" w:lineRule="exact"/>
        <w:ind w:firstLine="438" w:firstLineChars="200"/>
        <w:textAlignment w:val="auto"/>
        <w:rPr>
          <w:rFonts w:hint="eastAsia" w:ascii="宋体" w:hAnsi="宋体" w:eastAsia="宋体" w:cs="宋体"/>
          <w:b/>
          <w:color w:val="auto"/>
          <w:spacing w:val="4"/>
          <w:sz w:val="21"/>
          <w:szCs w:val="21"/>
          <w:highlight w:val="none"/>
        </w:rPr>
      </w:pPr>
      <w:r>
        <w:rPr>
          <w:rFonts w:hint="eastAsia" w:ascii="宋体" w:hAnsi="宋体" w:eastAsia="宋体" w:cs="宋体"/>
          <w:b/>
          <w:color w:val="auto"/>
          <w:spacing w:val="4"/>
          <w:sz w:val="21"/>
          <w:szCs w:val="21"/>
          <w:highlight w:val="none"/>
        </w:rPr>
        <w:t>3、评审程序</w:t>
      </w:r>
    </w:p>
    <w:p w14:paraId="474B1816">
      <w:pPr>
        <w:pStyle w:val="28"/>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初审、澄清有关问题、分别磋商、二次报价、比较与评审、推荐成交候选人名单。在上一步评审中被认定为无效磋商者，不进入下一步的评审。</w:t>
      </w:r>
    </w:p>
    <w:p w14:paraId="7A3562C5">
      <w:pPr>
        <w:keepNext w:val="0"/>
        <w:keepLines w:val="0"/>
        <w:pageBreakBefore w:val="0"/>
        <w:widowControl w:val="0"/>
        <w:kinsoku/>
        <w:wordWrap/>
        <w:overflowPunct/>
        <w:topLinePunct w:val="0"/>
        <w:bidi w:val="0"/>
        <w:spacing w:line="360" w:lineRule="exact"/>
        <w:ind w:firstLine="438" w:firstLineChars="200"/>
        <w:textAlignment w:val="auto"/>
        <w:rPr>
          <w:rFonts w:hint="eastAsia" w:ascii="宋体" w:hAnsi="宋体" w:eastAsia="宋体" w:cs="宋体"/>
          <w:b/>
          <w:bCs/>
          <w:color w:val="auto"/>
          <w:spacing w:val="4"/>
          <w:sz w:val="21"/>
          <w:szCs w:val="21"/>
          <w:highlight w:val="none"/>
        </w:rPr>
      </w:pPr>
      <w:r>
        <w:rPr>
          <w:rFonts w:hint="eastAsia" w:ascii="宋体" w:hAnsi="宋体" w:eastAsia="宋体" w:cs="宋体"/>
          <w:b/>
          <w:bCs/>
          <w:color w:val="auto"/>
          <w:spacing w:val="4"/>
          <w:sz w:val="21"/>
          <w:szCs w:val="21"/>
          <w:highlight w:val="none"/>
        </w:rPr>
        <w:t>3.1、对</w:t>
      </w:r>
      <w:r>
        <w:rPr>
          <w:rFonts w:hint="eastAsia" w:ascii="宋体" w:hAnsi="宋体" w:eastAsia="宋体" w:cs="宋体"/>
          <w:b/>
          <w:bCs/>
          <w:color w:val="auto"/>
          <w:spacing w:val="4"/>
          <w:sz w:val="21"/>
          <w:szCs w:val="21"/>
          <w:highlight w:val="none"/>
          <w:lang w:eastAsia="zh-CN"/>
        </w:rPr>
        <w:t>竞争性磋商响应文件</w:t>
      </w:r>
      <w:r>
        <w:rPr>
          <w:rFonts w:hint="eastAsia" w:ascii="宋体" w:hAnsi="宋体" w:eastAsia="宋体" w:cs="宋体"/>
          <w:b/>
          <w:bCs/>
          <w:color w:val="auto"/>
          <w:spacing w:val="4"/>
          <w:sz w:val="21"/>
          <w:szCs w:val="21"/>
          <w:highlight w:val="none"/>
        </w:rPr>
        <w:t>的初审</w:t>
      </w:r>
    </w:p>
    <w:p w14:paraId="7D81B517">
      <w:pPr>
        <w:keepNext w:val="0"/>
        <w:keepLines w:val="0"/>
        <w:pageBreakBefore w:val="0"/>
        <w:widowControl w:val="0"/>
        <w:tabs>
          <w:tab w:val="left" w:pos="0"/>
        </w:tabs>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资格性审查：采购人将依据本章附件1规定的评审标准对</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进行资格性审查。有一项不符合评审标准的，将被视为未实质性响应</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，其</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将按无效文件处理。</w:t>
      </w:r>
    </w:p>
    <w:p w14:paraId="070624B8">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符合性审查：磋商小组根据本章附件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规定的评审标准对</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进行符合性评审。有一项不符合评审标准的，将被视为未实质性响应</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，其</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将按无效文件处理。</w:t>
      </w:r>
    </w:p>
    <w:p w14:paraId="6035EDF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在资格性审查阶段，不符合</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要求的，不得进入符合性审查，在符合性审查时未通过的，不得进入后续评审环节。</w:t>
      </w:r>
    </w:p>
    <w:p w14:paraId="5FD1D790">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w:t>
      </w:r>
      <w:r>
        <w:rPr>
          <w:rFonts w:hint="eastAsia" w:ascii="宋体" w:hAnsi="宋体" w:eastAsia="宋体" w:cs="宋体"/>
          <w:b/>
          <w:bCs/>
          <w:color w:val="auto"/>
          <w:sz w:val="21"/>
          <w:szCs w:val="21"/>
          <w:highlight w:val="none"/>
          <w:lang w:eastAsia="zh-CN"/>
        </w:rPr>
        <w:t>竞争性磋商响应文件</w:t>
      </w:r>
      <w:r>
        <w:rPr>
          <w:rFonts w:hint="eastAsia" w:ascii="宋体" w:hAnsi="宋体" w:eastAsia="宋体" w:cs="宋体"/>
          <w:b/>
          <w:bCs/>
          <w:color w:val="auto"/>
          <w:sz w:val="21"/>
          <w:szCs w:val="21"/>
          <w:highlight w:val="none"/>
        </w:rPr>
        <w:t>的澄清</w:t>
      </w:r>
    </w:p>
    <w:p w14:paraId="4A08AEE6">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lang w:val="zh-CN"/>
        </w:rPr>
        <w:t>在评审期间,根据磋商小组的需要，要求供应商对其竞争性磋商响应文件进行澄清，有关澄清的要求和答复应以书面形式提交，但不得寻求、提供或允许对磋商价格等实质性内容做任何更改。</w:t>
      </w:r>
    </w:p>
    <w:p w14:paraId="448ED92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lang w:val="zh-CN"/>
        </w:rPr>
        <w:t>供应商应采用书面形式进行澄清或说明，但不得超出竞争性磋商响应文件的范围或改变竞争性磋商响应文件的实质性内容。</w:t>
      </w:r>
    </w:p>
    <w:p w14:paraId="09C18D44">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磋商小组所有成员集中与单一供应商分别进行磋商，并给予参加磋商的供应商平等的磋商机会。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供应商应当按照竞争性磋商文件的变动情况和磋商小组的要求重新提交竞争性磋商响应文件，并由其法定代表人或授权代表签字或加盖公章。</w:t>
      </w:r>
    </w:p>
    <w:p w14:paraId="619FE890">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3.3</w:t>
      </w:r>
      <w:r>
        <w:rPr>
          <w:rFonts w:hint="eastAsia" w:ascii="宋体" w:hAnsi="宋体" w:eastAsia="宋体" w:cs="宋体"/>
          <w:b/>
          <w:color w:val="auto"/>
          <w:sz w:val="21"/>
          <w:szCs w:val="21"/>
        </w:rPr>
        <w:t>、出现下列情况之一者（但不限于），按无效文件处理：</w:t>
      </w:r>
    </w:p>
    <w:p w14:paraId="478212F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供应商没有经过正常渠道</w:t>
      </w:r>
      <w:r>
        <w:rPr>
          <w:rFonts w:hint="eastAsia" w:ascii="宋体" w:hAnsi="宋体" w:eastAsia="宋体" w:cs="宋体"/>
          <w:color w:val="auto"/>
          <w:sz w:val="21"/>
          <w:szCs w:val="21"/>
          <w:highlight w:val="none"/>
          <w:lang w:val="en-US" w:eastAsia="zh-CN"/>
        </w:rPr>
        <w:t>获取采购</w:t>
      </w:r>
      <w:r>
        <w:rPr>
          <w:rFonts w:hint="eastAsia" w:ascii="宋体" w:hAnsi="宋体" w:eastAsia="宋体" w:cs="宋体"/>
          <w:color w:val="auto"/>
          <w:sz w:val="21"/>
          <w:szCs w:val="21"/>
          <w:highlight w:val="none"/>
          <w:lang w:val="zh-CN" w:eastAsia="zh-CN"/>
        </w:rPr>
        <w:t>文件，或供应商的名称与报名</w:t>
      </w:r>
      <w:r>
        <w:rPr>
          <w:rFonts w:hint="eastAsia" w:ascii="宋体" w:hAnsi="宋体" w:eastAsia="宋体" w:cs="宋体"/>
          <w:color w:val="auto"/>
          <w:sz w:val="21"/>
          <w:szCs w:val="21"/>
          <w:highlight w:val="none"/>
          <w:lang w:val="en-US" w:eastAsia="zh-CN"/>
        </w:rPr>
        <w:t>时登记的</w:t>
      </w:r>
      <w:r>
        <w:rPr>
          <w:rFonts w:hint="eastAsia" w:ascii="宋体" w:hAnsi="宋体" w:eastAsia="宋体" w:cs="宋体"/>
          <w:color w:val="auto"/>
          <w:sz w:val="21"/>
          <w:szCs w:val="21"/>
          <w:highlight w:val="none"/>
          <w:lang w:val="zh-CN" w:eastAsia="zh-CN"/>
        </w:rPr>
        <w:t>供应商单位名称不符；</w:t>
      </w:r>
    </w:p>
    <w:p w14:paraId="71C6E4E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（2）供应商磋商响应文件的有效性和符合性不符合竞争性磋商文件要求的；</w:t>
      </w:r>
    </w:p>
    <w:p w14:paraId="3767F03B">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（3）供应商有串通投标、弄虚作假（包括但不限于虚假资质、虚假证明、虚假应答等）、行贿等违法行为的；</w:t>
      </w:r>
    </w:p>
    <w:p w14:paraId="740D97A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（4）响应文件附加了采购人难以接受的条件或条款的；</w:t>
      </w:r>
    </w:p>
    <w:p w14:paraId="1D28C622">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（5）在政府采购或其他重大项目履约过程中有不良记录，未能按期履约的；</w:t>
      </w:r>
    </w:p>
    <w:p w14:paraId="00FD77B3">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（6）磋商报价与市场价格偏离较大、低于成本、形成不正当竞争的；</w:t>
      </w:r>
    </w:p>
    <w:p w14:paraId="0FA76FEE">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（7）磋商报价子目出现漏项或报价数量与要求不符的；</w:t>
      </w:r>
    </w:p>
    <w:p w14:paraId="1E264748">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（8）提供虚假技术性能指标的。</w:t>
      </w:r>
    </w:p>
    <w:p w14:paraId="305EBAB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4、有下列情形之一的，视为</w:t>
      </w:r>
      <w:r>
        <w:rPr>
          <w:rFonts w:hint="eastAsia" w:ascii="宋体" w:hAnsi="宋体" w:eastAsia="宋体" w:cs="宋体"/>
          <w:b/>
          <w:color w:val="auto"/>
          <w:sz w:val="21"/>
          <w:szCs w:val="21"/>
          <w:lang w:val="en-US" w:eastAsia="zh-CN"/>
        </w:rPr>
        <w:t>供应商</w:t>
      </w:r>
      <w:r>
        <w:rPr>
          <w:rFonts w:hint="eastAsia" w:ascii="宋体" w:hAnsi="宋体" w:eastAsia="宋体" w:cs="宋体"/>
          <w:b/>
          <w:color w:val="auto"/>
          <w:sz w:val="21"/>
          <w:szCs w:val="21"/>
        </w:rPr>
        <w:t>串通投标，</w:t>
      </w:r>
      <w:r>
        <w:rPr>
          <w:rFonts w:hint="eastAsia" w:ascii="宋体" w:hAnsi="宋体" w:eastAsia="宋体" w:cs="宋体"/>
          <w:b/>
          <w:color w:val="auto"/>
          <w:sz w:val="21"/>
          <w:szCs w:val="21"/>
          <w:lang w:val="en-US" w:eastAsia="zh-CN"/>
        </w:rPr>
        <w:t>磋商小组</w:t>
      </w:r>
      <w:r>
        <w:rPr>
          <w:rFonts w:hint="eastAsia" w:ascii="宋体" w:hAnsi="宋体" w:eastAsia="宋体" w:cs="宋体"/>
          <w:b/>
          <w:color w:val="auto"/>
          <w:sz w:val="21"/>
          <w:szCs w:val="21"/>
        </w:rPr>
        <w:t>应当认定其投标无效：</w:t>
      </w:r>
    </w:p>
    <w:p w14:paraId="0C4A2EA2">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不同</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文件由同一单位或者个人编制；</w:t>
      </w:r>
    </w:p>
    <w:p w14:paraId="11C2AA71">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）不同</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委托同一单位或者个人办理投标事宜；</w:t>
      </w:r>
    </w:p>
    <w:p w14:paraId="13DD7409">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不同</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文件载明的项目管理成员或者联系人员为同一人；</w:t>
      </w:r>
    </w:p>
    <w:p w14:paraId="1DBD8DA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）不同</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文件异常一致或者</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eastAsia="zh-CN"/>
        </w:rPr>
        <w:t>报价呈规律性差异；</w:t>
      </w:r>
    </w:p>
    <w:p w14:paraId="6039FDB0">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）不同</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文件相互混装。</w:t>
      </w:r>
    </w:p>
    <w:p w14:paraId="099E50CF">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3.5、有下列情形之一的，属于不合格供应商，其投标或成交资格将被取消：</w:t>
      </w:r>
    </w:p>
    <w:p w14:paraId="28321041">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（1）提供虚假材料谋取成交；</w:t>
      </w:r>
    </w:p>
    <w:p w14:paraId="635EC49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（2）采取不正当手段诋毁、排挤其他</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lang w:val="en-US" w:eastAsia="zh-CN"/>
        </w:rPr>
        <w:t>；</w:t>
      </w:r>
    </w:p>
    <w:p w14:paraId="254C991C">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（3）与采购人、采购代理机构、其他</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lang w:val="en-US" w:eastAsia="zh-CN"/>
        </w:rPr>
        <w:t>恶意串通；</w:t>
      </w:r>
    </w:p>
    <w:p w14:paraId="574815EF">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（4）向采购人、采购代理机构、磋商小组成员行贿或者提供其他不正当利益；</w:t>
      </w:r>
    </w:p>
    <w:p w14:paraId="1DE23E87">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（5）在招标过程中与采购人、采购代理机构进行协商投标；</w:t>
      </w:r>
    </w:p>
    <w:p w14:paraId="2C2E7FC5">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（6）拒绝有关部门的监督检查或者向监督检查部门提供虚假情况。</w:t>
      </w:r>
    </w:p>
    <w:p w14:paraId="7638F61E">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4、磋商：</w:t>
      </w:r>
      <w:r>
        <w:rPr>
          <w:rFonts w:hint="eastAsia" w:ascii="宋体" w:hAnsi="宋体" w:eastAsia="宋体" w:cs="宋体"/>
          <w:color w:val="auto"/>
          <w:sz w:val="21"/>
          <w:szCs w:val="21"/>
          <w:highlight w:val="none"/>
        </w:rPr>
        <w:t>磋商小组所有成员集中与单一供应商分别进行磋商，并要求供应商在规定的时间内提交最后报价。在磋商过程中，磋商小组可以根据</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和磋商情况实质性变动采购需求中的技术、服务要求以及合同草案条款，但不得变动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中的其它内容。实质性变动得内容，需经采购人代表确认。</w:t>
      </w:r>
    </w:p>
    <w:p w14:paraId="415EEA1D">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5、综合评审：</w:t>
      </w:r>
      <w:r>
        <w:rPr>
          <w:rFonts w:hint="eastAsia" w:ascii="宋体" w:hAnsi="宋体" w:eastAsia="宋体" w:cs="宋体"/>
          <w:color w:val="auto"/>
          <w:sz w:val="21"/>
          <w:szCs w:val="21"/>
          <w:highlight w:val="none"/>
        </w:rPr>
        <w:t>对于经初审合格的所有供应商，由磋商小组各成员依据</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和最终报价，按照下列《</w:t>
      </w:r>
      <w:r>
        <w:rPr>
          <w:rFonts w:hint="eastAsia" w:ascii="宋体" w:hAnsi="宋体" w:eastAsia="宋体" w:cs="宋体"/>
          <w:bCs/>
          <w:color w:val="auto"/>
          <w:sz w:val="21"/>
          <w:szCs w:val="21"/>
          <w:highlight w:val="none"/>
        </w:rPr>
        <w:t>评标因素及权重分值表</w:t>
      </w:r>
      <w:r>
        <w:rPr>
          <w:rFonts w:hint="eastAsia" w:ascii="宋体" w:hAnsi="宋体" w:eastAsia="宋体" w:cs="宋体"/>
          <w:color w:val="auto"/>
          <w:sz w:val="21"/>
          <w:szCs w:val="21"/>
          <w:highlight w:val="none"/>
        </w:rPr>
        <w:t>》规定的内容独立进行综合评价、比较打分，然后汇总每个供应商的得分，从高到低依次排序，推荐成交候选人。</w:t>
      </w:r>
    </w:p>
    <w:p w14:paraId="278A1C46">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zh-CN"/>
        </w:rPr>
        <w:t>评审内容、原则及标准（满分100分）</w:t>
      </w:r>
    </w:p>
    <w:p w14:paraId="1B66361D">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.1、磋商小组将遵循公开、公平、公正和择优的原则，对所有供应商的竞争性磋商响应文件评审，都采用相同的程序和标准。</w:t>
      </w:r>
    </w:p>
    <w:p w14:paraId="649BED38">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.2、评审过程的保密：在竞争性磋商响应文件的评审、比较、成交候选单位推荐以及授予合同的过程中，供应商向采购人和磋商小组施加影响的任何行为，都将会导致其报价被拒绝。</w:t>
      </w:r>
    </w:p>
    <w:p w14:paraId="45F2231C">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.3、评审原则和办法：</w:t>
      </w:r>
    </w:p>
    <w:p w14:paraId="50DD90E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lang w:val="zh-CN"/>
        </w:rPr>
        <w:t>综合评分法：即在最大限度地满足竞争性磋商文件实质性要求前提下，按照竞争性磋商文件中规定的各项因素进行综合评审后，以评审总得分顺序推荐成交候选单位。</w:t>
      </w:r>
    </w:p>
    <w:p w14:paraId="39F84F3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zh-CN"/>
        </w:rPr>
        <w:t>磋商小组各专家独立评分，按评审后综合得分由高到低顺序排列，推荐成交候选单位。得分相同的，按磋商报价由低到高顺序排列，得分且磋商报价相同的，比较技术指标得分，此技术得分高者排在前。</w:t>
      </w:r>
    </w:p>
    <w:p w14:paraId="03FF9BE8">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zh-CN"/>
        </w:rPr>
        <w:t>专家评分超过得分界限或未按照本办法规定时，该专家的该项评分作废，不计入汇总；计算采用插入法，数字均保留二位小数，第三位“四舍五入”；评审过程中，若出现本办法以外的特殊情况时，将暂停评审，有关情况待磋商小组确定后，再行评定。</w:t>
      </w:r>
    </w:p>
    <w:p w14:paraId="3E9663C4">
      <w:pPr>
        <w:keepNext w:val="0"/>
        <w:keepLines w:val="0"/>
        <w:pageBreakBefore w:val="0"/>
        <w:widowControl w:val="0"/>
        <w:kinsoku/>
        <w:wordWrap/>
        <w:overflowPunct/>
        <w:topLinePunct w:val="0"/>
        <w:autoSpaceDE w:val="0"/>
        <w:autoSpaceDN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7、</w:t>
      </w:r>
      <w:r>
        <w:rPr>
          <w:rFonts w:hint="eastAsia" w:ascii="宋体" w:hAnsi="宋体" w:eastAsia="宋体" w:cs="宋体"/>
          <w:b/>
          <w:bCs/>
          <w:color w:val="auto"/>
          <w:sz w:val="21"/>
          <w:szCs w:val="21"/>
          <w:highlight w:val="none"/>
          <w:lang w:val="zh-CN"/>
        </w:rPr>
        <w:t>需要落实的政府采购政策</w:t>
      </w:r>
    </w:p>
    <w:p w14:paraId="4701B05D">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7.1、关于印发《政府采购促进中小企业发展管理办法》的通知--（财库〔2020〕46号）</w:t>
      </w:r>
    </w:p>
    <w:p w14:paraId="455F59F4">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》订立劳动合同的从业人员。</w:t>
      </w:r>
    </w:p>
    <w:p w14:paraId="265F562F">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在货物采购项目中，供应商提供的货物既有中小企业制造货物，也有大型企业制造货物的，不享受本办法规定的中小企业扶持政策。</w:t>
      </w:r>
    </w:p>
    <w:p w14:paraId="629846B6">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3DD0A5E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参加政府采购活动的中小企业应提供《中小企业声明函》原件。否则不得享受相关中小企业扶持政策。</w:t>
      </w:r>
    </w:p>
    <w:p w14:paraId="124D9B4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7.2、财政部司法部关于政府采购支持监狱企业发展有关问题的通知--（财库〔2014〕68号）</w:t>
      </w:r>
    </w:p>
    <w:p w14:paraId="54E0498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61DA7CD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7.3、《关于促进残疾人就业政府采购政策的通知》（财库〔2017〕141 号）</w:t>
      </w:r>
    </w:p>
    <w:p w14:paraId="036061B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民政部、中国残疾人联合会下发的《关于促进残疾人就业政府采购政策的通知》（财库〔2017〕141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E44015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参加政府采购活动的残疾人单位应提供《残疾人福利性单位声明函》原件。未提供上述声明函原件，不能享受</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规定的价格扣除，但不影响</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的有效性。</w:t>
      </w:r>
    </w:p>
    <w:p w14:paraId="132DD59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7.4、《国务院办公厅关于建立政府强制采购节能产品制度的通知》--（国办发〔2007〕51号）</w:t>
      </w:r>
    </w:p>
    <w:p w14:paraId="3D50060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各级政府机构使用财政性资金进行政府采购活动时，在技术、服务等指标满足采购需求的前提下，要优先采购节能产品，对部分节能效果、性能等达到要求的产品，实行强制采购。</w:t>
      </w:r>
    </w:p>
    <w:p w14:paraId="160E79F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7.5、《节能产品政府采购实施意见》--（财库[2004]185号） </w:t>
      </w:r>
    </w:p>
    <w:p w14:paraId="686EB20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根据《节能产品政府采购实施意见》--（财库[2004]185号）规定，采购人采购的产品在品目清单中并具有认证证书的，在技术、服务等指标同等条件下，应当优先采购节能清单所列的节能产品。</w:t>
      </w:r>
    </w:p>
    <w:p w14:paraId="6815C22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403721E5">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7.6、《环境标志产品政府采购实施的意见》--（财库[2006]90号）</w:t>
      </w:r>
    </w:p>
    <w:p w14:paraId="47D8260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根据《环境标志产品政府采购实施的意见》--</w:t>
      </w:r>
      <w:r>
        <w:rPr>
          <w:rFonts w:hint="eastAsia" w:ascii="宋体" w:hAnsi="宋体" w:eastAsia="宋体" w:cs="宋体"/>
          <w:b w:val="0"/>
          <w:bCs w:val="0"/>
          <w:color w:val="auto"/>
          <w:sz w:val="21"/>
          <w:szCs w:val="21"/>
          <w:highlight w:val="none"/>
        </w:rPr>
        <w:t>（财库[2006]90号）</w:t>
      </w:r>
      <w:r>
        <w:rPr>
          <w:rFonts w:hint="eastAsia" w:ascii="宋体" w:hAnsi="宋体" w:eastAsia="宋体" w:cs="宋体"/>
          <w:color w:val="auto"/>
          <w:sz w:val="21"/>
          <w:szCs w:val="21"/>
          <w:highlight w:val="none"/>
        </w:rPr>
        <w:t>规定，采购人采购的产品在品目清单中并具有认证证书的，在性能、技术、服务等指标同等条件下，应当优先采购清单中的产品。</w:t>
      </w:r>
    </w:p>
    <w:p w14:paraId="2457DC0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22339CD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7.7、《关于调整优化节能产品、环境标志产品政府采购执行机制的通知》（财库〔2019〕9号）</w:t>
      </w:r>
    </w:p>
    <w:p w14:paraId="6C22A0E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2EEDAE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7.8、《关于印发环境标志产品政府采购品目清单的通知》（财库〔2019〕18号）</w:t>
      </w:r>
    </w:p>
    <w:p w14:paraId="0318F1C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7.9、《关于印发节能产品政府采购品目清单的通知》（财库〔2019〕19号）</w:t>
      </w:r>
    </w:p>
    <w:p w14:paraId="2AB85820">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7.10、《关于运用政府采购政策支持乡村产业振兴的通知》（财库〔2021〕19号）</w:t>
      </w:r>
    </w:p>
    <w:p w14:paraId="779B1610">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7.11、《陕西省中小企业政府采购信用融资办法》（陕财办采〔2018〕23号）</w:t>
      </w:r>
    </w:p>
    <w:p w14:paraId="34CB5A97">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7.12、《陕西省财政厅关于加快推进我省中小企业政府采购信用融资工作的通知》（陕财办采〔2020〕15号）</w:t>
      </w:r>
    </w:p>
    <w:p w14:paraId="656112B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7.13、《财政部关于在政府采购活动中查询及使用信用记录有关问题的通知》（财库〔2016〕125号）</w:t>
      </w:r>
    </w:p>
    <w:p w14:paraId="12F1ECA4">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7.14、《财政部关于进一步加大政府采购支持中小企业力度的通知》（财库〔2022〕19号）；</w:t>
      </w:r>
    </w:p>
    <w:p w14:paraId="47445DE3">
      <w:pPr>
        <w:keepNext w:val="0"/>
        <w:keepLines w:val="0"/>
        <w:pageBreakBefore w:val="0"/>
        <w:widowControl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8、政策性扣减</w:t>
      </w:r>
    </w:p>
    <w:p w14:paraId="56DEB482">
      <w:pPr>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.1、</w:t>
      </w:r>
      <w:r>
        <w:rPr>
          <w:rFonts w:hint="eastAsia" w:ascii="宋体" w:hAnsi="宋体" w:cs="宋体"/>
          <w:b/>
          <w:bCs/>
          <w:color w:val="auto"/>
          <w:sz w:val="21"/>
          <w:szCs w:val="21"/>
          <w:lang w:val="en-US" w:eastAsia="zh-CN"/>
        </w:rPr>
        <w:t>中小</w:t>
      </w:r>
      <w:r>
        <w:rPr>
          <w:rFonts w:hint="eastAsia" w:ascii="宋体" w:hAnsi="宋体" w:eastAsia="宋体" w:cs="宋体"/>
          <w:b/>
          <w:bCs/>
          <w:color w:val="auto"/>
          <w:sz w:val="21"/>
          <w:szCs w:val="21"/>
        </w:rPr>
        <w:t>企业</w:t>
      </w:r>
    </w:p>
    <w:p w14:paraId="53888BF8">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依照&lt;关于印发《政府采购促进中小企业发展管理办法》（财库〔2020〕46号）</w:t>
      </w:r>
      <w:r>
        <w:rPr>
          <w:rFonts w:hint="eastAsia" w:ascii="宋体" w:hAnsi="宋体" w:eastAsia="宋体" w:cs="宋体"/>
          <w:color w:val="auto"/>
          <w:sz w:val="21"/>
          <w:szCs w:val="21"/>
          <w:lang w:val="en-US" w:eastAsia="zh-CN"/>
        </w:rPr>
        <w:t>&gt;</w:t>
      </w:r>
      <w:r>
        <w:rPr>
          <w:rFonts w:hint="eastAsia" w:ascii="宋体" w:hAnsi="宋体" w:eastAsia="宋体" w:cs="宋体"/>
          <w:color w:val="auto"/>
          <w:sz w:val="21"/>
          <w:szCs w:val="21"/>
        </w:rPr>
        <w:t>的规定，中小企业参加政府采购活动，应当出具本办法规定的《中小企业声明函》，否则，按照有关规定予以处理。任何单位和个人不得要求供应商提供《中小企业声明函》之外的中小企业身份证明文件。供应商提供的《中小企业声明函》资料必须真实。</w:t>
      </w:r>
    </w:p>
    <w:p w14:paraId="1AE45341">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专门面向中小企业采购项目不享受优惠政策；</w:t>
      </w:r>
    </w:p>
    <w:p w14:paraId="317C619D">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非专门面向中小企业采购项目(价格扣除)：对小型和微型企业的价格给予</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的扣除，用扣除后的价格参与</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。本项目的扣除比例为：小型企业扣除</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rPr>
        <w:t>%，微型企业扣除</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rPr>
        <w:t>%。</w:t>
      </w:r>
    </w:p>
    <w:p w14:paraId="27C73F61">
      <w:pPr>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.2、支持监狱企业</w:t>
      </w:r>
    </w:p>
    <w:p w14:paraId="38EF22F2">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非专门面向监狱采购项目(价格扣除)：监狱企业可视同小微企业在价格评审时给予</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的扣除，用扣除后的价格参与</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。本项目的扣除比例为：扣除</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rPr>
        <w:t>%。</w:t>
      </w:r>
    </w:p>
    <w:p w14:paraId="7CD9BCDA">
      <w:pPr>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.3、其他法律法规强制性规定或扶持政策</w:t>
      </w:r>
    </w:p>
    <w:p w14:paraId="4CB54D82">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残疾人福利性单位可视同小微企业在价格评审时给予</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的扣除，用扣除后的价格参与评审</w:t>
      </w:r>
      <w:r>
        <w:rPr>
          <w:rFonts w:hint="eastAsia" w:ascii="宋体" w:hAnsi="宋体" w:eastAsia="宋体" w:cs="宋体"/>
          <w:color w:val="auto"/>
          <w:sz w:val="21"/>
          <w:szCs w:val="21"/>
        </w:rPr>
        <w:t>。</w:t>
      </w:r>
    </w:p>
    <w:p w14:paraId="4567F7E9">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本项目的扣除比例为：扣除</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rPr>
        <w:t>%；但应满足下列条件：</w:t>
      </w:r>
    </w:p>
    <w:p w14:paraId="46C7708D">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残疾人福利性单位应符合《财政部、民政部、中国残疾人联合会关于促进残疾人就业政府采购政策的通知》（财库[2017]141号）文件规定，并提供《残疾人福利性单位声明函》，并对声明的真实性负责。</w:t>
      </w:r>
    </w:p>
    <w:p w14:paraId="7E40C43D">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残疾人福利性单位属于小型、微型企业的，不重复享受政策。</w:t>
      </w:r>
    </w:p>
    <w:p w14:paraId="5BBF60F6">
      <w:pPr>
        <w:keepNext w:val="0"/>
        <w:keepLines w:val="0"/>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8.4、</w:t>
      </w:r>
      <w:r>
        <w:rPr>
          <w:rFonts w:hint="eastAsia" w:ascii="宋体" w:hAnsi="宋体" w:eastAsia="宋体" w:cs="宋体"/>
          <w:color w:val="auto"/>
          <w:sz w:val="21"/>
          <w:szCs w:val="21"/>
          <w:lang w:val="en-US" w:eastAsia="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1%～2%的扣除，本项目的扣除比例为：扣除1%；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r>
        <w:rPr>
          <w:rFonts w:hint="eastAsia" w:ascii="宋体" w:hAnsi="宋体" w:eastAsia="宋体" w:cs="宋体"/>
          <w:color w:val="auto"/>
          <w:sz w:val="21"/>
          <w:szCs w:val="21"/>
        </w:rPr>
        <w:t>。</w:t>
      </w:r>
    </w:p>
    <w:p w14:paraId="0CC127D6">
      <w:pPr>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w:t>
      </w:r>
      <w:r>
        <w:rPr>
          <w:rFonts w:hint="eastAsia" w:ascii="宋体" w:hAnsi="宋体" w:eastAsia="宋体" w:cs="宋体"/>
          <w:color w:val="auto"/>
          <w:sz w:val="21"/>
          <w:szCs w:val="21"/>
        </w:rPr>
        <w:t>采购人拟采购产品属于优先采购节能、环境标志产品范围的，应当优先采购节能、环境标志产品；拟采购产品符合政府采购强制采购政策的，实行强制采购。</w:t>
      </w:r>
    </w:p>
    <w:p w14:paraId="263C909E">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（1）采购人依据节能产品、环境标志产品品目清单和节能、环境标志产品认证证书实施政府优先采购和强制采购。</w:t>
      </w:r>
    </w:p>
    <w:p w14:paraId="71B2D1B7">
      <w:pPr>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4981EFB0">
      <w:pPr>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auto"/>
          <w:sz w:val="21"/>
          <w:szCs w:val="21"/>
          <w:highlight w:val="yellow"/>
          <w:lang w:eastAsia="zh-CN"/>
        </w:rPr>
        <w:sectPr>
          <w:headerReference r:id="rId17" w:type="default"/>
          <w:footerReference r:id="rId18" w:type="default"/>
          <w:pgSz w:w="11906" w:h="16838"/>
          <w:pgMar w:top="1440" w:right="1080" w:bottom="1440" w:left="1080" w:header="851" w:footer="992" w:gutter="0"/>
          <w:pgNumType w:fmt="decimal"/>
          <w:cols w:space="425" w:num="1"/>
          <w:docGrid w:linePitch="312" w:charSpace="0"/>
        </w:sect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w:t>
      </w:r>
      <w:r>
        <w:rPr>
          <w:rFonts w:hint="eastAsia" w:ascii="宋体" w:hAnsi="宋体" w:eastAsia="宋体" w:cs="宋体"/>
          <w:color w:val="auto"/>
          <w:sz w:val="21"/>
          <w:szCs w:val="21"/>
        </w:rPr>
        <w:t>供应商享受支持中小型企业发展政策优惠的，可以同时享受节能、环境标志产品优先采购政策</w:t>
      </w:r>
      <w:r>
        <w:rPr>
          <w:rFonts w:hint="eastAsia" w:ascii="宋体" w:hAnsi="宋体" w:eastAsia="宋体" w:cs="宋体"/>
          <w:color w:val="auto"/>
          <w:sz w:val="21"/>
          <w:szCs w:val="21"/>
          <w:lang w:eastAsia="zh-CN"/>
        </w:rPr>
        <w:t>。</w:t>
      </w:r>
    </w:p>
    <w:p w14:paraId="1FE5977B">
      <w:pPr>
        <w:pStyle w:val="1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附件1：</w:t>
      </w:r>
    </w:p>
    <w:p w14:paraId="04C15E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〖资格性审查表〗</w:t>
      </w:r>
    </w:p>
    <w:tbl>
      <w:tblPr>
        <w:tblStyle w:val="37"/>
        <w:tblW w:w="10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517"/>
        <w:gridCol w:w="783"/>
        <w:gridCol w:w="8395"/>
      </w:tblGrid>
      <w:tr w14:paraId="4A79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26" w:type="dxa"/>
            <w:gridSpan w:val="2"/>
            <w:vAlign w:val="center"/>
          </w:tcPr>
          <w:p w14:paraId="0980EAB6">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条款号</w:t>
            </w:r>
          </w:p>
        </w:tc>
        <w:tc>
          <w:tcPr>
            <w:tcW w:w="783" w:type="dxa"/>
            <w:vAlign w:val="center"/>
          </w:tcPr>
          <w:p w14:paraId="2EFA8B87">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评标</w:t>
            </w:r>
            <w:r>
              <w:rPr>
                <w:rFonts w:hint="eastAsia" w:ascii="宋体" w:hAnsi="宋体" w:eastAsia="宋体" w:cs="宋体"/>
                <w:bCs/>
                <w:color w:val="auto"/>
                <w:sz w:val="21"/>
                <w:szCs w:val="21"/>
                <w:highlight w:val="none"/>
              </w:rPr>
              <w:t>因素</w:t>
            </w:r>
          </w:p>
        </w:tc>
        <w:tc>
          <w:tcPr>
            <w:tcW w:w="8395" w:type="dxa"/>
            <w:vAlign w:val="center"/>
          </w:tcPr>
          <w:p w14:paraId="72CC2A7B">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评标</w:t>
            </w:r>
            <w:r>
              <w:rPr>
                <w:rFonts w:hint="eastAsia" w:ascii="宋体" w:hAnsi="宋体" w:eastAsia="宋体" w:cs="宋体"/>
                <w:bCs/>
                <w:color w:val="auto"/>
                <w:sz w:val="21"/>
                <w:szCs w:val="21"/>
                <w:highlight w:val="none"/>
              </w:rPr>
              <w:t>标准</w:t>
            </w:r>
          </w:p>
        </w:tc>
      </w:tr>
      <w:tr w14:paraId="063E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restart"/>
            <w:vAlign w:val="center"/>
          </w:tcPr>
          <w:p w14:paraId="0CB5F671">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2.1.1</w:t>
            </w:r>
          </w:p>
        </w:tc>
        <w:tc>
          <w:tcPr>
            <w:tcW w:w="517" w:type="dxa"/>
            <w:vMerge w:val="restart"/>
            <w:vAlign w:val="center"/>
          </w:tcPr>
          <w:p w14:paraId="2492FE2C">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资格</w:t>
            </w:r>
            <w:r>
              <w:rPr>
                <w:rFonts w:hint="eastAsia" w:ascii="宋体" w:hAnsi="宋体" w:eastAsia="宋体" w:cs="宋体"/>
                <w:bCs/>
                <w:color w:val="auto"/>
                <w:sz w:val="21"/>
                <w:szCs w:val="21"/>
                <w:highlight w:val="none"/>
                <w:lang w:eastAsia="zh-CN"/>
              </w:rPr>
              <w:t>评标</w:t>
            </w:r>
          </w:p>
          <w:p w14:paraId="6784CDA0">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标准</w:t>
            </w:r>
          </w:p>
        </w:tc>
        <w:tc>
          <w:tcPr>
            <w:tcW w:w="783" w:type="dxa"/>
            <w:vMerge w:val="restart"/>
            <w:vAlign w:val="center"/>
          </w:tcPr>
          <w:p w14:paraId="214C0F32">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基本资格条件</w:t>
            </w:r>
          </w:p>
        </w:tc>
        <w:tc>
          <w:tcPr>
            <w:tcW w:w="8395" w:type="dxa"/>
            <w:vAlign w:val="center"/>
          </w:tcPr>
          <w:p w14:paraId="0102CE0C">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zh-CN"/>
              </w:rPr>
              <w:t>具有独立承担民事责任能力的法人、其他组织或自然人，并出具合法有效的营业执照或事业单位法人证书等国家规定的相关证明，自然人参与的提供其身份证明；</w:t>
            </w:r>
          </w:p>
        </w:tc>
      </w:tr>
      <w:tr w14:paraId="3F6C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09" w:type="dxa"/>
            <w:vMerge w:val="continue"/>
            <w:vAlign w:val="center"/>
          </w:tcPr>
          <w:p w14:paraId="03B2692B">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50E1BEEB">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696AC703">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2959321A">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zh-CN"/>
              </w:rPr>
              <w:t>供应商须提供具有财务审计资质单位出具的2023年-2024年任意一年年度财务报告（包括资产负债表、利润表、现金流量表及会计报表附注，成立时间至开标时间不足一年的可提供成立后任意时段的资产负债表）或开标前六个月内其基本账户银行出具的资信证明（附开户许可证或基本存款账户信息）或政府采购信用担保机构出具的投标担保函；</w:t>
            </w:r>
          </w:p>
        </w:tc>
      </w:tr>
      <w:tr w14:paraId="2C2C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continue"/>
            <w:vAlign w:val="center"/>
          </w:tcPr>
          <w:p w14:paraId="73CF9DA8">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0C420460">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6FA03EAD">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shd w:val="clear" w:color="auto" w:fill="FFFFFF"/>
              </w:rPr>
            </w:pPr>
          </w:p>
        </w:tc>
        <w:tc>
          <w:tcPr>
            <w:tcW w:w="8395" w:type="dxa"/>
            <w:vAlign w:val="center"/>
          </w:tcPr>
          <w:p w14:paraId="0EE88C7C">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 xml:space="preserve">供应商须提供2024年7月至今任意一个月已缴纳完税凭证或税务机关开具的完税证明，依法免税或无须缴纳税收的供应商应提供相关文件证明； </w:t>
            </w:r>
          </w:p>
        </w:tc>
      </w:tr>
      <w:tr w14:paraId="5578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09" w:type="dxa"/>
            <w:vMerge w:val="continue"/>
            <w:vAlign w:val="center"/>
          </w:tcPr>
          <w:p w14:paraId="137AC14E">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25D82B65">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552E11D1">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7CDD3B1C">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zh-CN"/>
              </w:rPr>
              <w:t>供应商须提供2024年7月至今任意一个月已缴纳的社会保障资金缴存单据或社保机构开具的社会保险参保缴费情况证明，依法不需要缴纳社会保障资金的供应商应提供相关证明；</w:t>
            </w:r>
          </w:p>
        </w:tc>
      </w:tr>
      <w:tr w14:paraId="3CBB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09" w:type="dxa"/>
            <w:vMerge w:val="continue"/>
            <w:vAlign w:val="center"/>
          </w:tcPr>
          <w:p w14:paraId="5243D789">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64E464DB">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556DE280">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0CA117FF">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具备履行合同所必需的设备和专业技术能力的证明材料(由供应商根据项目需求提供说明材料或者承诺)；</w:t>
            </w:r>
          </w:p>
        </w:tc>
      </w:tr>
      <w:tr w14:paraId="4344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vMerge w:val="continue"/>
            <w:vAlign w:val="center"/>
          </w:tcPr>
          <w:p w14:paraId="7C98987C">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60A94BF8">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4FD296E0">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72A36602">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提供参加政府采购活动前三年内在经营活动中没有重大违法记录的书面声明；</w:t>
            </w:r>
          </w:p>
        </w:tc>
      </w:tr>
      <w:tr w14:paraId="3FFD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vMerge w:val="continue"/>
            <w:vAlign w:val="center"/>
          </w:tcPr>
          <w:p w14:paraId="79BD2CEA">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78119B42">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Align w:val="center"/>
          </w:tcPr>
          <w:p w14:paraId="221DF65D">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val="en-US" w:eastAsia="zh-CN"/>
              </w:rPr>
              <w:t>政府采购政策</w:t>
            </w:r>
          </w:p>
        </w:tc>
        <w:tc>
          <w:tcPr>
            <w:tcW w:w="8395" w:type="dxa"/>
            <w:vAlign w:val="center"/>
          </w:tcPr>
          <w:p w14:paraId="2FBD3C36">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val="en-US" w:eastAsia="zh-CN"/>
              </w:rPr>
              <w:t>本项目专门面向中小企业采购。</w:t>
            </w:r>
          </w:p>
        </w:tc>
      </w:tr>
      <w:tr w14:paraId="5D99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vMerge w:val="continue"/>
            <w:vAlign w:val="center"/>
          </w:tcPr>
          <w:p w14:paraId="3C40B545">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40250580">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restart"/>
            <w:vAlign w:val="center"/>
          </w:tcPr>
          <w:p w14:paraId="36DE13DD">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特定资格条件</w:t>
            </w:r>
          </w:p>
        </w:tc>
        <w:tc>
          <w:tcPr>
            <w:tcW w:w="8395" w:type="dxa"/>
            <w:vAlign w:val="center"/>
          </w:tcPr>
          <w:p w14:paraId="43506CFA">
            <w:pPr>
              <w:keepNext w:val="0"/>
              <w:keepLines w:val="0"/>
              <w:pageBreakBefore w:val="0"/>
              <w:tabs>
                <w:tab w:val="left" w:pos="0"/>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p>
        </w:tc>
      </w:tr>
      <w:tr w14:paraId="13C2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continue"/>
            <w:vAlign w:val="center"/>
          </w:tcPr>
          <w:p w14:paraId="7024E579">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63F02757">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3893FA42">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5197BD72">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供应商须具备建筑工程施工总承包叁级（含叁级）以上资质，同时具备建设行政主管部门颁发有效的安全生产许可证；</w:t>
            </w:r>
          </w:p>
        </w:tc>
      </w:tr>
      <w:tr w14:paraId="59D4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continue"/>
            <w:vAlign w:val="center"/>
          </w:tcPr>
          <w:p w14:paraId="5ADA28DB">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73AD4F81">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2FDAB888">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38A94722">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拟投入的项目经理须具备建筑工程专业贰级（含贰级）以上注册建造师执业资格和有效的安全生产考核B证，且未担任其他在建工程项目的项目经理（需提供企业书面承诺等证明材料）；</w:t>
            </w:r>
          </w:p>
        </w:tc>
      </w:tr>
      <w:tr w14:paraId="642D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continue"/>
            <w:vAlign w:val="center"/>
          </w:tcPr>
          <w:p w14:paraId="7210E8E9">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0C77E678">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5DAE2120">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6EF4FFC7">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p>
        </w:tc>
      </w:tr>
      <w:tr w14:paraId="4E80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vMerge w:val="continue"/>
            <w:vAlign w:val="center"/>
          </w:tcPr>
          <w:p w14:paraId="042FA4BF">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0104A294">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283BB87D">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292580C8">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与招标人存在利害关系可能影响招标公正性的单位，不得参加投标、单位负责人为同一人或存在控股、管理关系的不同单位，不得参加同一标段投标，否则，相关投标均无效；</w:t>
            </w:r>
          </w:p>
        </w:tc>
      </w:tr>
      <w:tr w14:paraId="0B8B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09" w:type="dxa"/>
            <w:vMerge w:val="continue"/>
            <w:vAlign w:val="center"/>
          </w:tcPr>
          <w:p w14:paraId="355C04D4">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517" w:type="dxa"/>
            <w:vMerge w:val="continue"/>
            <w:vAlign w:val="center"/>
          </w:tcPr>
          <w:p w14:paraId="06E73346">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783" w:type="dxa"/>
            <w:vMerge w:val="continue"/>
            <w:vAlign w:val="center"/>
          </w:tcPr>
          <w:p w14:paraId="43B9AE49">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p>
        </w:tc>
        <w:tc>
          <w:tcPr>
            <w:tcW w:w="8395" w:type="dxa"/>
            <w:vAlign w:val="center"/>
          </w:tcPr>
          <w:p w14:paraId="0234A9B6">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本项目不接受联合体磋商</w:t>
            </w:r>
            <w:r>
              <w:rPr>
                <w:rFonts w:hint="eastAsia" w:ascii="宋体" w:hAnsi="宋体" w:eastAsia="宋体" w:cs="宋体"/>
                <w:color w:val="auto"/>
                <w:sz w:val="21"/>
                <w:szCs w:val="21"/>
                <w:highlight w:val="none"/>
                <w:lang w:eastAsia="zh-CN"/>
              </w:rPr>
              <w:t>。</w:t>
            </w:r>
          </w:p>
        </w:tc>
      </w:tr>
    </w:tbl>
    <w:p w14:paraId="640C14DE">
      <w:pPr>
        <w:pStyle w:val="16"/>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sectPr>
          <w:headerReference r:id="rId19" w:type="default"/>
          <w:footerReference r:id="rId20"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667F9850">
      <w:pPr>
        <w:pStyle w:val="16"/>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p>
    <w:p w14:paraId="53C98FD7">
      <w:pPr>
        <w:keepNext/>
        <w:keepLines w:val="0"/>
        <w:pageBreakBefore w:val="0"/>
        <w:widowControl w:val="0"/>
        <w:kinsoku/>
        <w:wordWrap/>
        <w:overflowPunct/>
        <w:topLinePunct w:val="0"/>
        <w:autoSpaceDE/>
        <w:autoSpaceDN/>
        <w:bidi w:val="0"/>
        <w:adjustRightInd/>
        <w:snapToGrid/>
        <w:spacing w:line="360" w:lineRule="exact"/>
        <w:jc w:val="center"/>
        <w:textAlignment w:val="auto"/>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〖符合性审查表〗</w:t>
      </w:r>
    </w:p>
    <w:tbl>
      <w:tblPr>
        <w:tblStyle w:val="37"/>
        <w:tblW w:w="989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93"/>
        <w:gridCol w:w="557"/>
        <w:gridCol w:w="2122"/>
        <w:gridCol w:w="6827"/>
      </w:tblGrid>
      <w:tr w14:paraId="277091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950" w:type="dxa"/>
            <w:gridSpan w:val="2"/>
            <w:tcBorders>
              <w:top w:val="single" w:color="auto" w:sz="2" w:space="0"/>
            </w:tcBorders>
            <w:vAlign w:val="center"/>
          </w:tcPr>
          <w:p w14:paraId="1441C43E">
            <w:pPr>
              <w:keepNext/>
              <w:keepLines w:val="0"/>
              <w:pageBreakBefore w:val="0"/>
              <w:widowControl w:val="0"/>
              <w:kinsoku/>
              <w:wordWrap/>
              <w:overflowPunct/>
              <w:topLinePunct w:val="0"/>
              <w:autoSpaceDE/>
              <w:autoSpaceDN/>
              <w:bidi w:val="0"/>
              <w:adjustRightInd/>
              <w:snapToGrid/>
              <w:spacing w:line="360" w:lineRule="exact"/>
              <w:jc w:val="center"/>
              <w:textAlignment w:val="auto"/>
              <w:outlineLvl w:val="3"/>
              <w:rPr>
                <w:rFonts w:hint="eastAsia" w:ascii="宋体" w:hAnsi="宋体" w:eastAsia="宋体" w:cs="宋体"/>
                <w:b w:val="0"/>
                <w:bCs/>
                <w:color w:val="auto"/>
                <w:sz w:val="21"/>
                <w:szCs w:val="21"/>
                <w:highlight w:val="none"/>
              </w:rPr>
            </w:pPr>
            <w:r>
              <w:rPr>
                <w:rFonts w:hint="eastAsia" w:ascii="宋体" w:hAnsi="宋体" w:eastAsia="宋体" w:cs="宋体"/>
                <w:bCs/>
                <w:color w:val="auto"/>
                <w:sz w:val="21"/>
                <w:szCs w:val="21"/>
                <w:highlight w:val="none"/>
              </w:rPr>
              <w:t>条款号</w:t>
            </w:r>
          </w:p>
        </w:tc>
        <w:tc>
          <w:tcPr>
            <w:tcW w:w="2122" w:type="dxa"/>
            <w:tcBorders>
              <w:top w:val="single" w:color="auto" w:sz="2" w:space="0"/>
            </w:tcBorders>
            <w:vAlign w:val="center"/>
          </w:tcPr>
          <w:p w14:paraId="15455413">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评标</w:t>
            </w:r>
            <w:r>
              <w:rPr>
                <w:rFonts w:hint="eastAsia" w:ascii="宋体" w:hAnsi="宋体" w:eastAsia="宋体" w:cs="宋体"/>
                <w:bCs/>
                <w:color w:val="auto"/>
                <w:sz w:val="21"/>
                <w:szCs w:val="21"/>
                <w:highlight w:val="none"/>
              </w:rPr>
              <w:t>因素</w:t>
            </w:r>
          </w:p>
        </w:tc>
        <w:tc>
          <w:tcPr>
            <w:tcW w:w="6827" w:type="dxa"/>
            <w:tcBorders>
              <w:top w:val="single" w:color="auto" w:sz="2" w:space="0"/>
            </w:tcBorders>
            <w:vAlign w:val="center"/>
          </w:tcPr>
          <w:p w14:paraId="121E919B">
            <w:pPr>
              <w:keepNext w:val="0"/>
              <w:keepLines w:val="0"/>
              <w:pageBreakBefore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评标</w:t>
            </w:r>
            <w:r>
              <w:rPr>
                <w:rFonts w:hint="eastAsia" w:ascii="宋体" w:hAnsi="宋体" w:eastAsia="宋体" w:cs="宋体"/>
                <w:bCs/>
                <w:color w:val="auto"/>
                <w:sz w:val="21"/>
                <w:szCs w:val="21"/>
                <w:highlight w:val="none"/>
              </w:rPr>
              <w:t>标准</w:t>
            </w:r>
          </w:p>
        </w:tc>
      </w:tr>
      <w:tr w14:paraId="6D88D1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8" w:hRule="atLeast"/>
          <w:jc w:val="center"/>
        </w:trPr>
        <w:tc>
          <w:tcPr>
            <w:tcW w:w="393" w:type="dxa"/>
            <w:vMerge w:val="restart"/>
            <w:tcBorders>
              <w:top w:val="single" w:color="auto" w:sz="2" w:space="0"/>
            </w:tcBorders>
            <w:vAlign w:val="center"/>
          </w:tcPr>
          <w:p w14:paraId="4E08D60C">
            <w:pPr>
              <w:pStyle w:val="1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contextualSpacing w:val="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2.1.</w:t>
            </w:r>
            <w:r>
              <w:rPr>
                <w:rFonts w:hint="eastAsia" w:ascii="宋体" w:hAnsi="宋体" w:eastAsia="宋体" w:cs="宋体"/>
                <w:b w:val="0"/>
                <w:bCs/>
                <w:color w:val="auto"/>
                <w:sz w:val="21"/>
                <w:szCs w:val="21"/>
                <w:highlight w:val="none"/>
                <w:lang w:val="en-US" w:eastAsia="zh-CN"/>
              </w:rPr>
              <w:t>2</w:t>
            </w:r>
          </w:p>
        </w:tc>
        <w:tc>
          <w:tcPr>
            <w:tcW w:w="557" w:type="dxa"/>
            <w:vMerge w:val="restart"/>
            <w:tcBorders>
              <w:top w:val="single" w:color="auto" w:sz="2" w:space="0"/>
            </w:tcBorders>
            <w:vAlign w:val="center"/>
          </w:tcPr>
          <w:p w14:paraId="5682AB13">
            <w:pPr>
              <w:keepNext/>
              <w:keepLines w:val="0"/>
              <w:pageBreakBefore w:val="0"/>
              <w:widowControl w:val="0"/>
              <w:kinsoku/>
              <w:wordWrap/>
              <w:overflowPunct/>
              <w:topLinePunct w:val="0"/>
              <w:autoSpaceDE/>
              <w:autoSpaceDN/>
              <w:bidi w:val="0"/>
              <w:adjustRightInd/>
              <w:snapToGrid/>
              <w:spacing w:line="360" w:lineRule="exact"/>
              <w:jc w:val="center"/>
              <w:textAlignment w:val="auto"/>
              <w:outlineLvl w:val="3"/>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符合性审查表</w:t>
            </w:r>
          </w:p>
        </w:tc>
        <w:tc>
          <w:tcPr>
            <w:tcW w:w="2122" w:type="dxa"/>
            <w:tcBorders>
              <w:top w:val="single" w:color="auto" w:sz="2" w:space="0"/>
            </w:tcBorders>
            <w:vAlign w:val="center"/>
          </w:tcPr>
          <w:p w14:paraId="458676D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与项目的一致性</w:t>
            </w:r>
          </w:p>
        </w:tc>
        <w:tc>
          <w:tcPr>
            <w:tcW w:w="6827" w:type="dxa"/>
            <w:tcBorders>
              <w:top w:val="single" w:color="auto" w:sz="2" w:space="0"/>
            </w:tcBorders>
            <w:vAlign w:val="center"/>
          </w:tcPr>
          <w:p w14:paraId="286CC5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rPr>
              <w:t>供应商</w:t>
            </w:r>
            <w:r>
              <w:rPr>
                <w:rFonts w:hint="eastAsia" w:ascii="宋体" w:hAnsi="宋体" w:eastAsia="宋体" w:cs="宋体"/>
                <w:color w:val="auto"/>
                <w:sz w:val="21"/>
                <w:szCs w:val="21"/>
              </w:rPr>
              <w:t>名称是否与营业执照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资质证书</w:t>
            </w:r>
            <w:r>
              <w:rPr>
                <w:rFonts w:hint="eastAsia" w:ascii="宋体" w:hAnsi="宋体" w:eastAsia="宋体" w:cs="宋体"/>
                <w:color w:val="auto"/>
                <w:sz w:val="21"/>
                <w:szCs w:val="21"/>
              </w:rPr>
              <w:t>一致</w:t>
            </w:r>
          </w:p>
        </w:tc>
      </w:tr>
      <w:tr w14:paraId="481C8C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24" w:hRule="atLeast"/>
          <w:jc w:val="center"/>
        </w:trPr>
        <w:tc>
          <w:tcPr>
            <w:tcW w:w="393" w:type="dxa"/>
            <w:vMerge w:val="continue"/>
            <w:vAlign w:val="center"/>
          </w:tcPr>
          <w:p w14:paraId="0A54E1EC">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1A0FC32A">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0CAE55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竞争性磋商响应文件</w:t>
            </w:r>
            <w:r>
              <w:rPr>
                <w:rFonts w:hint="eastAsia" w:ascii="宋体" w:hAnsi="宋体" w:eastAsia="宋体" w:cs="宋体"/>
                <w:bCs/>
                <w:color w:val="auto"/>
                <w:sz w:val="21"/>
                <w:szCs w:val="21"/>
                <w:highlight w:val="none"/>
              </w:rPr>
              <w:t>组成</w:t>
            </w:r>
          </w:p>
        </w:tc>
        <w:tc>
          <w:tcPr>
            <w:tcW w:w="6827" w:type="dxa"/>
            <w:vAlign w:val="center"/>
          </w:tcPr>
          <w:p w14:paraId="022E7B9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竞争性磋商响应文件应包含以下部分：</w:t>
            </w:r>
          </w:p>
          <w:p w14:paraId="30E1BA2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第一部分 磋商响应函</w:t>
            </w:r>
          </w:p>
          <w:p w14:paraId="1C9C0D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第二部分 第一次磋商报价表</w:t>
            </w:r>
          </w:p>
          <w:p w14:paraId="262B8E6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第三部分 已标价工程量清单</w:t>
            </w:r>
          </w:p>
          <w:p w14:paraId="15725C8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第四部分 技术/商务条款偏差表</w:t>
            </w:r>
          </w:p>
          <w:p w14:paraId="730FA1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第五部分 磋商方案说明</w:t>
            </w:r>
          </w:p>
          <w:p w14:paraId="5428B46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第六部分 供应商承诺书</w:t>
            </w:r>
          </w:p>
          <w:p w14:paraId="5A0EA7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第七部分 项目管理机构</w:t>
            </w:r>
          </w:p>
          <w:p w14:paraId="2D08608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第八部分 供应商资质证明文件</w:t>
            </w:r>
          </w:p>
          <w:p w14:paraId="50E3A93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第九部分 其他资料</w:t>
            </w:r>
          </w:p>
        </w:tc>
      </w:tr>
      <w:tr w14:paraId="7039FD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393" w:type="dxa"/>
            <w:vMerge w:val="continue"/>
            <w:vAlign w:val="center"/>
          </w:tcPr>
          <w:p w14:paraId="636FC8B5">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0021AA2E">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28FD808B">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文件份数</w:t>
            </w:r>
          </w:p>
        </w:tc>
        <w:tc>
          <w:tcPr>
            <w:tcW w:w="6827" w:type="dxa"/>
            <w:vAlign w:val="center"/>
          </w:tcPr>
          <w:p w14:paraId="21CF80CE">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应符合“供应商须知前附表”规定的正本、副本、电子文件数量。</w:t>
            </w:r>
          </w:p>
        </w:tc>
      </w:tr>
      <w:tr w14:paraId="0DDAB1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393" w:type="dxa"/>
            <w:vMerge w:val="continue"/>
            <w:vAlign w:val="center"/>
          </w:tcPr>
          <w:p w14:paraId="2F0CACD3">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6430B323">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27484BF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签章</w:t>
            </w:r>
          </w:p>
        </w:tc>
        <w:tc>
          <w:tcPr>
            <w:tcW w:w="6827" w:type="dxa"/>
            <w:vAlign w:val="center"/>
          </w:tcPr>
          <w:p w14:paraId="0F33DA6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签章均符合</w:t>
            </w:r>
            <w:r>
              <w:rPr>
                <w:rFonts w:hint="eastAsia" w:ascii="宋体" w:hAnsi="宋体" w:eastAsia="宋体" w:cs="宋体"/>
                <w:bCs/>
                <w:color w:val="auto"/>
                <w:sz w:val="21"/>
                <w:szCs w:val="21"/>
                <w:highlight w:val="none"/>
                <w:lang w:val="en-US" w:eastAsia="zh-CN"/>
              </w:rPr>
              <w:t>竞争性磋商文件</w:t>
            </w:r>
            <w:r>
              <w:rPr>
                <w:rFonts w:hint="eastAsia" w:ascii="宋体" w:hAnsi="宋体" w:eastAsia="宋体" w:cs="宋体"/>
                <w:color w:val="auto"/>
                <w:sz w:val="21"/>
                <w:szCs w:val="21"/>
                <w:highlight w:val="none"/>
              </w:rPr>
              <w:t>要求，且无遗漏。</w:t>
            </w:r>
          </w:p>
        </w:tc>
      </w:tr>
      <w:tr w14:paraId="35D472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93" w:type="dxa"/>
            <w:vMerge w:val="continue"/>
            <w:vAlign w:val="center"/>
          </w:tcPr>
          <w:p w14:paraId="4D4B9F9A">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4498F7B5">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394544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语言和计量单位</w:t>
            </w:r>
          </w:p>
        </w:tc>
        <w:tc>
          <w:tcPr>
            <w:tcW w:w="6827" w:type="dxa"/>
            <w:vAlign w:val="center"/>
          </w:tcPr>
          <w:p w14:paraId="7B94C9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w:t>
            </w:r>
            <w:r>
              <w:rPr>
                <w:rFonts w:hint="eastAsia" w:ascii="宋体" w:hAnsi="宋体" w:eastAsia="宋体" w:cs="宋体"/>
                <w:color w:val="auto"/>
                <w:sz w:val="21"/>
                <w:szCs w:val="21"/>
                <w:highlight w:val="none"/>
                <w:lang w:eastAsia="zh-CN"/>
              </w:rPr>
              <w:t>。</w:t>
            </w:r>
          </w:p>
        </w:tc>
      </w:tr>
      <w:tr w14:paraId="1E2F4E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3" w:type="dxa"/>
            <w:vMerge w:val="continue"/>
            <w:vAlign w:val="center"/>
          </w:tcPr>
          <w:p w14:paraId="39C828B3">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5A020BD3">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6DA5A771">
            <w:pPr>
              <w:keepLines w:val="0"/>
              <w:pageBreakBefore w:val="0"/>
              <w:tabs>
                <w:tab w:val="left" w:pos="0"/>
              </w:tabs>
              <w:kinsoku/>
              <w:wordWrap/>
              <w:overflowPunct/>
              <w:topLinePunct w:val="0"/>
              <w:bidi w:val="0"/>
              <w:adjustRightInd w:val="0"/>
              <w:snapToGrid w:val="0"/>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工期</w:t>
            </w:r>
          </w:p>
        </w:tc>
        <w:tc>
          <w:tcPr>
            <w:tcW w:w="6827" w:type="dxa"/>
            <w:vAlign w:val="center"/>
          </w:tcPr>
          <w:p w14:paraId="326C4B6D">
            <w:pPr>
              <w:keepLines w:val="0"/>
              <w:pageBreakBefore w:val="0"/>
              <w:tabs>
                <w:tab w:val="left" w:pos="0"/>
              </w:tabs>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应满足</w:t>
            </w:r>
            <w:r>
              <w:rPr>
                <w:rFonts w:hint="eastAsia" w:ascii="宋体" w:hAnsi="宋体" w:eastAsia="宋体" w:cs="宋体"/>
                <w:bCs/>
                <w:color w:val="auto"/>
                <w:sz w:val="21"/>
                <w:szCs w:val="21"/>
                <w:highlight w:val="none"/>
                <w:lang w:eastAsia="zh-CN"/>
              </w:rPr>
              <w:t>竞争性磋商文件</w:t>
            </w:r>
            <w:r>
              <w:rPr>
                <w:rFonts w:hint="eastAsia" w:ascii="宋体" w:hAnsi="宋体" w:eastAsia="宋体" w:cs="宋体"/>
                <w:bCs/>
                <w:color w:val="auto"/>
                <w:sz w:val="21"/>
                <w:szCs w:val="21"/>
                <w:highlight w:val="none"/>
              </w:rPr>
              <w:t>中要求</w:t>
            </w:r>
            <w:r>
              <w:rPr>
                <w:rFonts w:hint="eastAsia" w:ascii="宋体" w:hAnsi="宋体" w:eastAsia="宋体" w:cs="宋体"/>
                <w:bCs/>
                <w:color w:val="auto"/>
                <w:sz w:val="21"/>
                <w:szCs w:val="21"/>
                <w:highlight w:val="none"/>
                <w:lang w:eastAsia="zh-CN"/>
              </w:rPr>
              <w:t>的工期</w:t>
            </w:r>
            <w:r>
              <w:rPr>
                <w:rFonts w:hint="eastAsia" w:ascii="宋体" w:hAnsi="宋体" w:eastAsia="宋体" w:cs="宋体"/>
                <w:bCs/>
                <w:color w:val="auto"/>
                <w:sz w:val="21"/>
                <w:szCs w:val="21"/>
                <w:highlight w:val="none"/>
              </w:rPr>
              <w:t>。</w:t>
            </w:r>
          </w:p>
        </w:tc>
      </w:tr>
      <w:tr w14:paraId="689DC6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3" w:type="dxa"/>
            <w:vMerge w:val="continue"/>
            <w:vAlign w:val="center"/>
          </w:tcPr>
          <w:p w14:paraId="23EFF8CE">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185A834B">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24CD35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竞争性磋商响应文件</w:t>
            </w:r>
            <w:r>
              <w:rPr>
                <w:rFonts w:hint="eastAsia" w:ascii="宋体" w:hAnsi="宋体" w:eastAsia="宋体" w:cs="宋体"/>
                <w:bCs/>
                <w:color w:val="auto"/>
                <w:sz w:val="21"/>
                <w:szCs w:val="21"/>
                <w:highlight w:val="none"/>
              </w:rPr>
              <w:t>有效期</w:t>
            </w:r>
          </w:p>
        </w:tc>
        <w:tc>
          <w:tcPr>
            <w:tcW w:w="6827" w:type="dxa"/>
            <w:vAlign w:val="center"/>
          </w:tcPr>
          <w:p w14:paraId="59562BB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bCs/>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w:t>
            </w:r>
            <w:r>
              <w:rPr>
                <w:rFonts w:hint="eastAsia" w:ascii="宋体" w:hAnsi="宋体" w:eastAsia="宋体" w:cs="宋体"/>
                <w:color w:val="auto"/>
                <w:sz w:val="21"/>
                <w:szCs w:val="21"/>
                <w:highlight w:val="none"/>
                <w:lang w:eastAsia="zh-CN"/>
              </w:rPr>
              <w:t>。</w:t>
            </w:r>
          </w:p>
        </w:tc>
      </w:tr>
      <w:tr w14:paraId="0BA21F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60" w:hRule="atLeast"/>
          <w:jc w:val="center"/>
        </w:trPr>
        <w:tc>
          <w:tcPr>
            <w:tcW w:w="393" w:type="dxa"/>
            <w:vMerge w:val="continue"/>
            <w:vAlign w:val="center"/>
          </w:tcPr>
          <w:p w14:paraId="178A25A2">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02A7605B">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7605309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磋商</w:t>
            </w:r>
            <w:r>
              <w:rPr>
                <w:rFonts w:hint="eastAsia" w:ascii="宋体" w:hAnsi="宋体" w:eastAsia="宋体" w:cs="宋体"/>
                <w:bCs/>
                <w:color w:val="auto"/>
                <w:sz w:val="21"/>
                <w:szCs w:val="21"/>
                <w:highlight w:val="none"/>
              </w:rPr>
              <w:t>报价</w:t>
            </w:r>
          </w:p>
        </w:tc>
        <w:tc>
          <w:tcPr>
            <w:tcW w:w="6827" w:type="dxa"/>
            <w:vAlign w:val="center"/>
          </w:tcPr>
          <w:p w14:paraId="42C18B4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同时满足以下条款：</w:t>
            </w:r>
          </w:p>
          <w:p w14:paraId="31D9DB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（1）货币单位符合</w:t>
            </w:r>
            <w:r>
              <w:rPr>
                <w:rFonts w:hint="eastAsia" w:ascii="宋体" w:hAnsi="宋体" w:eastAsia="宋体" w:cs="宋体"/>
                <w:bCs/>
                <w:color w:val="auto"/>
                <w:sz w:val="21"/>
                <w:szCs w:val="21"/>
                <w:highlight w:val="none"/>
                <w:lang w:val="en-US" w:eastAsia="zh-CN"/>
              </w:rPr>
              <w:t>竞争性磋商文件</w:t>
            </w:r>
            <w:r>
              <w:rPr>
                <w:rFonts w:hint="eastAsia" w:ascii="宋体" w:hAnsi="宋体" w:eastAsia="宋体" w:cs="宋体"/>
                <w:bCs/>
                <w:color w:val="auto"/>
                <w:sz w:val="21"/>
                <w:szCs w:val="21"/>
                <w:highlight w:val="none"/>
              </w:rPr>
              <w:t>要求</w:t>
            </w:r>
          </w:p>
          <w:p w14:paraId="6F98DC3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（2）报价符合唯一性要求</w:t>
            </w:r>
          </w:p>
          <w:p w14:paraId="6EFBE3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（3）未超出</w:t>
            </w:r>
            <w:r>
              <w:rPr>
                <w:rFonts w:hint="eastAsia" w:ascii="宋体" w:hAnsi="宋体" w:eastAsia="宋体" w:cs="宋体"/>
                <w:bCs/>
                <w:color w:val="auto"/>
                <w:sz w:val="21"/>
                <w:szCs w:val="21"/>
                <w:highlight w:val="none"/>
                <w:lang w:val="en-US" w:eastAsia="zh-CN"/>
              </w:rPr>
              <w:t>最高限价</w:t>
            </w:r>
          </w:p>
          <w:p w14:paraId="1FD55B8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（4）符合《</w:t>
            </w:r>
            <w:r>
              <w:rPr>
                <w:rFonts w:hint="eastAsia" w:ascii="宋体" w:hAnsi="宋体" w:eastAsia="宋体" w:cs="宋体"/>
                <w:bCs/>
                <w:color w:val="auto"/>
                <w:sz w:val="21"/>
                <w:szCs w:val="21"/>
                <w:highlight w:val="none"/>
                <w:lang w:val="zh-CN"/>
              </w:rPr>
              <w:t>第一次磋商报价表</w:t>
            </w:r>
            <w:r>
              <w:rPr>
                <w:rFonts w:hint="eastAsia" w:ascii="宋体" w:hAnsi="宋体" w:eastAsia="宋体" w:cs="宋体"/>
                <w:bCs/>
                <w:color w:val="auto"/>
                <w:sz w:val="21"/>
                <w:szCs w:val="21"/>
                <w:highlight w:val="none"/>
              </w:rPr>
              <w:t>》的填</w:t>
            </w:r>
            <w:r>
              <w:rPr>
                <w:rFonts w:hint="eastAsia" w:ascii="宋体" w:hAnsi="宋体" w:eastAsia="宋体" w:cs="宋体"/>
                <w:bCs/>
                <w:color w:val="auto"/>
                <w:sz w:val="21"/>
                <w:szCs w:val="21"/>
                <w:highlight w:val="none"/>
                <w:lang w:val="en-US" w:eastAsia="zh-CN"/>
              </w:rPr>
              <w:t>表</w:t>
            </w:r>
            <w:r>
              <w:rPr>
                <w:rFonts w:hint="eastAsia" w:ascii="宋体" w:hAnsi="宋体" w:eastAsia="宋体" w:cs="宋体"/>
                <w:bCs/>
                <w:color w:val="auto"/>
                <w:sz w:val="21"/>
                <w:szCs w:val="21"/>
                <w:highlight w:val="none"/>
              </w:rPr>
              <w:t>要求</w:t>
            </w:r>
          </w:p>
        </w:tc>
      </w:tr>
      <w:tr w14:paraId="2A563B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93" w:type="dxa"/>
            <w:vMerge w:val="continue"/>
            <w:vAlign w:val="center"/>
          </w:tcPr>
          <w:p w14:paraId="237FCD31">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22C208C2">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4AABD4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Cs/>
                <w:color w:val="auto"/>
                <w:sz w:val="21"/>
                <w:szCs w:val="21"/>
                <w:highlight w:val="yellow"/>
                <w:lang w:val="en-US" w:eastAsia="zh-CN"/>
              </w:rPr>
            </w:pPr>
            <w:r>
              <w:rPr>
                <w:rFonts w:hint="eastAsia" w:ascii="宋体" w:hAnsi="宋体" w:eastAsia="宋体" w:cs="宋体"/>
                <w:bCs/>
                <w:color w:val="auto"/>
                <w:sz w:val="21"/>
                <w:szCs w:val="21"/>
                <w:lang w:val="en-US" w:eastAsia="zh-CN"/>
              </w:rPr>
              <w:t>响应程度</w:t>
            </w:r>
          </w:p>
        </w:tc>
        <w:tc>
          <w:tcPr>
            <w:tcW w:w="6827" w:type="dxa"/>
            <w:vAlign w:val="center"/>
          </w:tcPr>
          <w:p w14:paraId="7347EE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《第五章施工内容及技术要求》、实质性条款均不允许负偏离。</w:t>
            </w:r>
          </w:p>
        </w:tc>
      </w:tr>
      <w:tr w14:paraId="6131DE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93" w:type="dxa"/>
            <w:vMerge w:val="continue"/>
            <w:vAlign w:val="center"/>
          </w:tcPr>
          <w:p w14:paraId="0640355A">
            <w:pPr>
              <w:pStyle w:val="11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210" w:firstLineChars="100"/>
              <w:contextualSpacing w:val="0"/>
              <w:jc w:val="both"/>
              <w:textAlignment w:val="auto"/>
              <w:rPr>
                <w:rFonts w:hint="eastAsia" w:ascii="宋体" w:hAnsi="宋体" w:eastAsia="宋体" w:cs="宋体"/>
                <w:bCs/>
                <w:color w:val="auto"/>
                <w:sz w:val="21"/>
                <w:szCs w:val="21"/>
                <w:highlight w:val="none"/>
              </w:rPr>
            </w:pPr>
          </w:p>
        </w:tc>
        <w:tc>
          <w:tcPr>
            <w:tcW w:w="557" w:type="dxa"/>
            <w:vMerge w:val="continue"/>
            <w:vAlign w:val="center"/>
          </w:tcPr>
          <w:p w14:paraId="53B05806">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3"/>
              <w:rPr>
                <w:rFonts w:hint="eastAsia" w:ascii="宋体" w:hAnsi="宋体" w:eastAsia="宋体" w:cs="宋体"/>
                <w:bCs/>
                <w:color w:val="auto"/>
                <w:sz w:val="21"/>
                <w:szCs w:val="21"/>
                <w:highlight w:val="none"/>
              </w:rPr>
            </w:pPr>
          </w:p>
        </w:tc>
        <w:tc>
          <w:tcPr>
            <w:tcW w:w="2122" w:type="dxa"/>
            <w:vAlign w:val="center"/>
          </w:tcPr>
          <w:p w14:paraId="50B5820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rPr>
              <w:t>其他</w:t>
            </w:r>
          </w:p>
        </w:tc>
        <w:tc>
          <w:tcPr>
            <w:tcW w:w="6827" w:type="dxa"/>
            <w:vAlign w:val="center"/>
          </w:tcPr>
          <w:p w14:paraId="121D30D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完全理解并接受法律法规和</w:t>
            </w:r>
            <w:r>
              <w:rPr>
                <w:rFonts w:hint="eastAsia" w:ascii="宋体" w:hAnsi="宋体" w:eastAsia="宋体" w:cs="宋体"/>
                <w:bCs/>
                <w:color w:val="auto"/>
                <w:sz w:val="21"/>
                <w:szCs w:val="21"/>
                <w:highlight w:val="none"/>
                <w:lang w:val="en-US" w:eastAsia="zh-CN"/>
              </w:rPr>
              <w:t>竞争性磋商文件</w:t>
            </w:r>
            <w:r>
              <w:rPr>
                <w:rFonts w:hint="eastAsia" w:ascii="宋体" w:hAnsi="宋体" w:eastAsia="宋体" w:cs="宋体"/>
                <w:color w:val="auto"/>
                <w:sz w:val="21"/>
                <w:szCs w:val="21"/>
                <w:highlight w:val="none"/>
              </w:rPr>
              <w:t>对供应商合法经营的各类规约和责任义务要求，没有出现法律法规或</w:t>
            </w:r>
            <w:r>
              <w:rPr>
                <w:rFonts w:hint="eastAsia" w:ascii="宋体" w:hAnsi="宋体" w:eastAsia="宋体" w:cs="宋体"/>
                <w:bCs/>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规定的其他无效情形。</w:t>
            </w:r>
          </w:p>
        </w:tc>
      </w:tr>
    </w:tbl>
    <w:p w14:paraId="66889D24">
      <w:pPr>
        <w:pStyle w:val="16"/>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bCs/>
          <w:color w:val="auto"/>
          <w:sz w:val="21"/>
          <w:szCs w:val="21"/>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02D5447E">
      <w:pPr>
        <w:pStyle w:val="16"/>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附件3：</w:t>
      </w:r>
    </w:p>
    <w:p w14:paraId="71F4FC56">
      <w:pPr>
        <w:keepNext w:val="0"/>
        <w:keepLines w:val="0"/>
        <w:pageBreakBefore w:val="0"/>
        <w:widowControl w:val="0"/>
        <w:kinsoku/>
        <w:wordWrap/>
        <w:overflowPunct/>
        <w:topLinePunct w:val="0"/>
        <w:autoSpaceDE w:val="0"/>
        <w:autoSpaceDN w:val="0"/>
        <w:bidi w:val="0"/>
        <w:adjustRightInd w:val="0"/>
        <w:snapToGrid w:val="0"/>
        <w:spacing w:line="360" w:lineRule="exact"/>
        <w:ind w:firstLine="63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〖评标因素及权重分值表〗</w:t>
      </w:r>
    </w:p>
    <w:p w14:paraId="26C79A75">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lang w:val="zh-CN" w:eastAsia="zh-CN"/>
        </w:rPr>
      </w:pPr>
    </w:p>
    <w:tbl>
      <w:tblPr>
        <w:tblStyle w:val="3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67"/>
        <w:gridCol w:w="8290"/>
      </w:tblGrid>
      <w:tr w14:paraId="6492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CDF3C67">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14:paraId="55DB0F99">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c>
          <w:tcPr>
            <w:tcW w:w="767" w:type="dxa"/>
            <w:tcBorders>
              <w:top w:val="single" w:color="auto" w:sz="4" w:space="0"/>
              <w:left w:val="single" w:color="auto" w:sz="4" w:space="0"/>
              <w:right w:val="single" w:color="auto" w:sz="4" w:space="0"/>
            </w:tcBorders>
            <w:vAlign w:val="center"/>
          </w:tcPr>
          <w:p w14:paraId="39C06B9E">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权值</w:t>
            </w:r>
          </w:p>
          <w:p w14:paraId="261F2D60">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290" w:type="dxa"/>
            <w:tcBorders>
              <w:top w:val="single" w:color="auto" w:sz="4" w:space="0"/>
              <w:left w:val="single" w:color="auto" w:sz="4" w:space="0"/>
              <w:bottom w:val="single" w:color="auto" w:sz="4" w:space="0"/>
              <w:right w:val="single" w:color="auto" w:sz="4" w:space="0"/>
            </w:tcBorders>
            <w:vAlign w:val="center"/>
          </w:tcPr>
          <w:p w14:paraId="6436D8E7">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评价要素</w:t>
            </w:r>
          </w:p>
        </w:tc>
      </w:tr>
      <w:tr w14:paraId="6236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065BE35">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c>
          <w:tcPr>
            <w:tcW w:w="767" w:type="dxa"/>
            <w:tcBorders>
              <w:top w:val="single" w:color="auto" w:sz="4" w:space="0"/>
              <w:left w:val="single" w:color="auto" w:sz="4" w:space="0"/>
              <w:bottom w:val="single" w:color="auto" w:sz="4" w:space="0"/>
              <w:right w:val="single" w:color="auto" w:sz="4" w:space="0"/>
            </w:tcBorders>
            <w:vAlign w:val="center"/>
          </w:tcPr>
          <w:p w14:paraId="0BB1C152">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8290" w:type="dxa"/>
            <w:tcBorders>
              <w:top w:val="single" w:color="auto" w:sz="4" w:space="0"/>
              <w:left w:val="single" w:color="auto" w:sz="4" w:space="0"/>
              <w:bottom w:val="single" w:color="auto" w:sz="4" w:space="0"/>
              <w:right w:val="single" w:color="auto" w:sz="4" w:space="0"/>
            </w:tcBorders>
            <w:vAlign w:val="center"/>
          </w:tcPr>
          <w:p w14:paraId="196447C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满足磋商文件要求且投标价格最低的磋商报价为磋商基准价，其价格分为满分。其他供应商的价格分统一按照下列公式计算：磋商报价得分=（磋商基准价/最后磋商报价）×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100。</w:t>
            </w:r>
          </w:p>
          <w:p w14:paraId="54DAC8B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eastAsia="zh-CN"/>
              </w:rPr>
              <w:t>注：本项目专门面向</w:t>
            </w:r>
            <w:r>
              <w:rPr>
                <w:rFonts w:hint="eastAsia" w:ascii="宋体" w:hAnsi="宋体" w:eastAsia="宋体" w:cs="宋体"/>
                <w:b/>
                <w:bCs/>
                <w:color w:val="auto"/>
                <w:sz w:val="21"/>
                <w:szCs w:val="21"/>
                <w:highlight w:val="none"/>
                <w:lang w:val="en-US" w:eastAsia="zh-CN"/>
              </w:rPr>
              <w:t>中小</w:t>
            </w:r>
            <w:r>
              <w:rPr>
                <w:rFonts w:hint="eastAsia" w:ascii="宋体" w:hAnsi="宋体" w:eastAsia="宋体" w:cs="宋体"/>
                <w:b/>
                <w:bCs/>
                <w:color w:val="auto"/>
                <w:sz w:val="21"/>
                <w:szCs w:val="21"/>
                <w:highlight w:val="none"/>
                <w:lang w:val="zh-CN" w:eastAsia="zh-CN"/>
              </w:rPr>
              <w:t>企业采购，不享受优惠政策。</w:t>
            </w:r>
          </w:p>
        </w:tc>
      </w:tr>
      <w:tr w14:paraId="30ED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4F7EA55">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55519FB1">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p>
        </w:tc>
        <w:tc>
          <w:tcPr>
            <w:tcW w:w="767" w:type="dxa"/>
            <w:tcBorders>
              <w:top w:val="single" w:color="auto" w:sz="4" w:space="0"/>
              <w:left w:val="single" w:color="auto" w:sz="4" w:space="0"/>
              <w:bottom w:val="single" w:color="auto" w:sz="4" w:space="0"/>
              <w:right w:val="single" w:color="auto" w:sz="4" w:space="0"/>
            </w:tcBorders>
            <w:vAlign w:val="center"/>
          </w:tcPr>
          <w:p w14:paraId="2C41B248">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c>
          <w:tcPr>
            <w:tcW w:w="8290" w:type="dxa"/>
            <w:tcBorders>
              <w:top w:val="single" w:color="auto" w:sz="4" w:space="0"/>
              <w:left w:val="single" w:color="auto" w:sz="4" w:space="0"/>
              <w:bottom w:val="single" w:color="auto" w:sz="4" w:space="0"/>
              <w:right w:val="single" w:color="auto" w:sz="4" w:space="0"/>
            </w:tcBorders>
            <w:vAlign w:val="center"/>
          </w:tcPr>
          <w:p w14:paraId="3679075B">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工程质量的技术组织措施，质量目标明确，满足采购人要求；有质保体系，责任明确；质保措施切合实际，满足质量目标要求。内容完备、科学、合理、针对性强得（5-7]分；内容合理、可行得（3-5]分；内容一般、基本可行得（0-3]分；未提供不得分。</w:t>
            </w:r>
          </w:p>
          <w:p w14:paraId="4D4B4743">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针对项目施工的重点、难点目标及施工环节，提出切实可行的专项施工方案（含主要施工方法、组织措施、检验手段等）及应急预案</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内容完备、科学、合理、针对性强得（5-7]分；内容合理、可行得（3-5]分；内容一般、基本可行得（0-3]分；未提供不得分。</w:t>
            </w:r>
          </w:p>
          <w:p w14:paraId="53AED55B">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确保安全生产的技术组织措施，安全目标明确，满足采购人要求；有安保体系，责任明确；安保措施切合实际，满足安全目标要求；有应对突发事件的应急措施</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内容完备、科学、合理、针对性强得（4-6]分；内容合理、可行得（2-4]分；内容一般、基本可行得（0-2]分；未提供不得分。</w:t>
            </w:r>
          </w:p>
          <w:p w14:paraId="0CBB60C2">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确保文明施工、环保施工、防尘降噪等技术保证措施。内容完备、科学、合理、针对性强得（4-6]分；内容合理、可行得（2-4]分；内容一般、基本可行得（0-2]分；未提供不得分。</w:t>
            </w:r>
          </w:p>
          <w:p w14:paraId="578DC5F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5.项目部组成人员，整个项目的实施组织机构、人员配置合理、责任明确。内容完备、科学、合理、针对性强得（5-7]分；内容合理、可行得（3-5]分；内容一般、基本可行得（0-3]分；未提供不得分。</w:t>
            </w:r>
          </w:p>
          <w:p w14:paraId="02749D3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6.确保工期的技术组织措施</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施工进度计划图示清晰、科学、合理；关键工序控制合理；工期保证措施合理，能够保证总工期</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内容完备、科学、合理、针对性强得（5-7]分；内容合理、可行得（3-5]分；内容一般、基本可行得（0-3]分；未提供不得分。</w:t>
            </w:r>
          </w:p>
          <w:p w14:paraId="62290F1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7.根据供应商拟用于本项目的主要施工设备和材料投入计划，按其响应程度赋分。内容完备、科学、合理、针对性强得（2-5]分；内容合理、可行得（1-2]分；内容一般、基本可行得（0-1]分；未提供不得分。</w:t>
            </w:r>
          </w:p>
          <w:p w14:paraId="55A7406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8.根据供应商新技术、新产品、新工艺、新材料应用，按其响应程度赋分。内容完备、科学、合理、针对性强得（2-5]分；内容合理、可行得（1-2]分；内容一般、基本可行得（0-1]分；未提供不得分。</w:t>
            </w:r>
          </w:p>
        </w:tc>
      </w:tr>
      <w:tr w14:paraId="2EF0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2BAF520">
            <w:pPr>
              <w:keepNext w:val="0"/>
              <w:keepLines w:val="0"/>
              <w:pageBreakBefore w:val="0"/>
              <w:widowControl w:val="0"/>
              <w:kinsoku/>
              <w:wordWrap/>
              <w:overflowPunct/>
              <w:topLinePunct w:val="0"/>
              <w:autoSpaceDE/>
              <w:autoSpaceDN/>
              <w:bidi w:val="0"/>
              <w:snapToGrid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业绩</w:t>
            </w:r>
          </w:p>
        </w:tc>
        <w:tc>
          <w:tcPr>
            <w:tcW w:w="767" w:type="dxa"/>
            <w:tcBorders>
              <w:top w:val="single" w:color="auto" w:sz="4" w:space="0"/>
              <w:left w:val="single" w:color="auto" w:sz="4" w:space="0"/>
              <w:bottom w:val="single" w:color="auto" w:sz="4" w:space="0"/>
              <w:right w:val="single" w:color="auto" w:sz="4" w:space="0"/>
            </w:tcBorders>
            <w:vAlign w:val="center"/>
          </w:tcPr>
          <w:p w14:paraId="2CA0C73A">
            <w:pPr>
              <w:keepNext w:val="0"/>
              <w:keepLines w:val="0"/>
              <w:pageBreakBefore w:val="0"/>
              <w:widowControl w:val="0"/>
              <w:kinsoku/>
              <w:wordWrap/>
              <w:overflowPunct/>
              <w:topLinePunct w:val="0"/>
              <w:autoSpaceDE/>
              <w:autoSpaceDN/>
              <w:bidi w:val="0"/>
              <w:snapToGrid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290" w:type="dxa"/>
            <w:tcBorders>
              <w:top w:val="single" w:color="auto" w:sz="4" w:space="0"/>
              <w:left w:val="single" w:color="auto" w:sz="4" w:space="0"/>
              <w:bottom w:val="single" w:color="auto" w:sz="4" w:space="0"/>
              <w:right w:val="single" w:color="auto" w:sz="4" w:space="0"/>
            </w:tcBorders>
            <w:vAlign w:val="center"/>
          </w:tcPr>
          <w:p w14:paraId="04706B7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附</w:t>
            </w:r>
            <w:r>
              <w:rPr>
                <w:rFonts w:hint="eastAsia" w:ascii="宋体" w:hAnsi="宋体" w:eastAsia="宋体" w:cs="宋体"/>
                <w:color w:val="auto"/>
                <w:sz w:val="21"/>
                <w:szCs w:val="21"/>
                <w:highlight w:val="none"/>
              </w:rPr>
              <w:t>合同协议书</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中标通知书等相关证明材料</w:t>
            </w:r>
            <w:r>
              <w:rPr>
                <w:rFonts w:hint="eastAsia" w:ascii="宋体" w:hAnsi="宋体" w:eastAsia="宋体" w:cs="宋体"/>
                <w:color w:val="auto"/>
                <w:sz w:val="21"/>
                <w:szCs w:val="21"/>
                <w:highlight w:val="none"/>
                <w:lang w:eastAsia="zh-CN"/>
              </w:rPr>
              <w:t>；已合同签订日期为准</w:t>
            </w:r>
            <w:r>
              <w:rPr>
                <w:rFonts w:hint="eastAsia" w:ascii="宋体" w:hAnsi="宋体" w:eastAsia="宋体" w:cs="宋体"/>
                <w:color w:val="auto"/>
                <w:sz w:val="21"/>
                <w:szCs w:val="21"/>
                <w:highlight w:val="none"/>
              </w:rPr>
              <w:t>）至今</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sz w:val="21"/>
                <w:szCs w:val="21"/>
                <w:highlight w:val="none"/>
              </w:rPr>
              <w:t>项目业绩，每提供1个得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5530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0F648F4">
            <w:pPr>
              <w:keepNext w:val="0"/>
              <w:keepLines w:val="0"/>
              <w:pageBreakBefore w:val="0"/>
              <w:widowControl w:val="0"/>
              <w:kinsoku/>
              <w:wordWrap/>
              <w:overflowPunct/>
              <w:topLinePunct w:val="0"/>
              <w:autoSpaceDE/>
              <w:autoSpaceDN/>
              <w:bidi w:val="0"/>
              <w:snapToGrid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w:t>
            </w:r>
          </w:p>
          <w:p w14:paraId="7CD69EEE">
            <w:pPr>
              <w:keepNext w:val="0"/>
              <w:keepLines w:val="0"/>
              <w:pageBreakBefore w:val="0"/>
              <w:widowControl w:val="0"/>
              <w:kinsoku/>
              <w:wordWrap/>
              <w:overflowPunct/>
              <w:topLinePunct w:val="0"/>
              <w:autoSpaceDE/>
              <w:autoSpaceDN/>
              <w:bidi w:val="0"/>
              <w:snapToGrid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能力</w:t>
            </w:r>
          </w:p>
        </w:tc>
        <w:tc>
          <w:tcPr>
            <w:tcW w:w="767" w:type="dxa"/>
            <w:tcBorders>
              <w:top w:val="single" w:color="auto" w:sz="4" w:space="0"/>
              <w:left w:val="single" w:color="auto" w:sz="4" w:space="0"/>
              <w:bottom w:val="single" w:color="auto" w:sz="4" w:space="0"/>
              <w:right w:val="single" w:color="auto" w:sz="4" w:space="0"/>
            </w:tcBorders>
            <w:vAlign w:val="center"/>
          </w:tcPr>
          <w:p w14:paraId="3AF318A7">
            <w:pPr>
              <w:keepNext w:val="0"/>
              <w:keepLines w:val="0"/>
              <w:pageBreakBefore w:val="0"/>
              <w:widowControl w:val="0"/>
              <w:kinsoku/>
              <w:wordWrap/>
              <w:overflowPunct/>
              <w:topLinePunct w:val="0"/>
              <w:autoSpaceDE/>
              <w:autoSpaceDN/>
              <w:bidi w:val="0"/>
              <w:snapToGrid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8290" w:type="dxa"/>
            <w:tcBorders>
              <w:top w:val="single" w:color="auto" w:sz="4" w:space="0"/>
              <w:left w:val="single" w:color="auto" w:sz="4" w:space="0"/>
              <w:bottom w:val="single" w:color="auto" w:sz="4" w:space="0"/>
              <w:right w:val="single" w:color="auto" w:sz="4" w:space="0"/>
            </w:tcBorders>
            <w:vAlign w:val="center"/>
          </w:tcPr>
          <w:p w14:paraId="7C71738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1.根据本项目实际需求，</w:t>
            </w:r>
            <w:r>
              <w:rPr>
                <w:rFonts w:hint="eastAsia" w:ascii="宋体" w:hAnsi="宋体" w:eastAsia="宋体" w:cs="宋体"/>
                <w:color w:val="auto"/>
                <w:sz w:val="21"/>
                <w:szCs w:val="21"/>
                <w:highlight w:val="none"/>
                <w:lang w:val="zh-CN" w:eastAsia="zh-CN"/>
              </w:rPr>
              <w:t>有详细的</w:t>
            </w:r>
            <w:r>
              <w:rPr>
                <w:rFonts w:hint="eastAsia" w:ascii="宋体" w:hAnsi="宋体" w:eastAsia="宋体" w:cs="宋体"/>
                <w:color w:val="auto"/>
                <w:sz w:val="21"/>
                <w:szCs w:val="21"/>
                <w:highlight w:val="none"/>
                <w:lang w:val="en-US" w:eastAsia="zh-CN"/>
              </w:rPr>
              <w:t>保修</w:t>
            </w:r>
            <w:r>
              <w:rPr>
                <w:rFonts w:hint="eastAsia" w:ascii="宋体" w:hAnsi="宋体" w:eastAsia="宋体" w:cs="宋体"/>
                <w:color w:val="auto"/>
                <w:sz w:val="21"/>
                <w:szCs w:val="21"/>
                <w:highlight w:val="none"/>
                <w:lang w:val="zh-CN" w:eastAsia="zh-CN"/>
              </w:rPr>
              <w:t>服务措施</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zh-CN" w:eastAsia="zh-CN"/>
              </w:rPr>
              <w:t>承诺，</w:t>
            </w:r>
            <w:r>
              <w:rPr>
                <w:rFonts w:hint="eastAsia" w:ascii="宋体" w:hAnsi="宋体" w:eastAsia="宋体" w:cs="宋体"/>
                <w:color w:val="auto"/>
                <w:sz w:val="21"/>
                <w:szCs w:val="21"/>
                <w:highlight w:val="none"/>
                <w:lang w:val="en-US" w:eastAsia="zh-CN"/>
              </w:rPr>
              <w:t>保修</w:t>
            </w:r>
            <w:r>
              <w:rPr>
                <w:rFonts w:hint="eastAsia" w:ascii="宋体" w:hAnsi="宋体" w:eastAsia="宋体" w:cs="宋体"/>
                <w:color w:val="auto"/>
                <w:sz w:val="21"/>
                <w:szCs w:val="21"/>
                <w:highlight w:val="none"/>
                <w:lang w:val="zh-CN" w:eastAsia="zh-CN"/>
              </w:rPr>
              <w:t>服务条款具体、可行。</w:t>
            </w:r>
            <w:r>
              <w:rPr>
                <w:rFonts w:hint="eastAsia" w:ascii="宋体" w:hAnsi="宋体" w:eastAsia="宋体" w:cs="宋体"/>
                <w:color w:val="auto"/>
                <w:sz w:val="21"/>
                <w:szCs w:val="21"/>
                <w:highlight w:val="none"/>
                <w:lang w:val="en-US" w:eastAsia="zh-CN"/>
              </w:rPr>
              <w:t>内容完备、科学、合理、针对性强得（5-7]分；内容合理、可行得（3-5]分；内容一般、基本可行得（0-3]分；未提供不得分。</w:t>
            </w:r>
          </w:p>
          <w:p w14:paraId="1B32411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2.针对本项目实际需求提供合理化建议，确有利于本次磋商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内容完备、科学、合理、针对性强得（5-7]分；内容合理、可行得（3-5]分；内容一般、基本可行得（0-3]分；未提供不得分。</w:t>
            </w:r>
          </w:p>
        </w:tc>
      </w:tr>
    </w:tbl>
    <w:p w14:paraId="6E033735">
      <w:pPr>
        <w:keepLines w:val="0"/>
        <w:pageBreakBefore w:val="0"/>
        <w:kinsoku/>
        <w:wordWrap/>
        <w:overflowPunct/>
        <w:topLinePunct w:val="0"/>
        <w:bidi w:val="0"/>
        <w:spacing w:line="36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14:paraId="265A4258">
      <w:pPr>
        <w:pStyle w:val="2"/>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36"/>
          <w:szCs w:val="36"/>
          <w:highlight w:val="none"/>
          <w:lang w:val="en-US" w:eastAsia="zh-CN"/>
        </w:rPr>
      </w:pPr>
      <w:bookmarkStart w:id="46" w:name="_Toc1326"/>
      <w:r>
        <w:rPr>
          <w:rFonts w:hint="eastAsia" w:ascii="宋体" w:hAnsi="宋体" w:eastAsia="宋体" w:cs="宋体"/>
          <w:b/>
          <w:bCs/>
          <w:color w:val="auto"/>
          <w:sz w:val="36"/>
          <w:szCs w:val="36"/>
          <w:highlight w:val="none"/>
          <w:lang w:val="en-US" w:eastAsia="zh-CN"/>
        </w:rPr>
        <w:t xml:space="preserve">第五章 </w:t>
      </w:r>
      <w:r>
        <w:rPr>
          <w:rFonts w:hint="eastAsia" w:ascii="宋体" w:hAnsi="宋体" w:eastAsia="宋体" w:cs="宋体"/>
          <w:b/>
          <w:bCs/>
          <w:color w:val="auto"/>
          <w:sz w:val="36"/>
          <w:szCs w:val="36"/>
          <w:highlight w:val="none"/>
          <w:lang w:val="zh-CN" w:eastAsia="zh-CN"/>
        </w:rPr>
        <w:t>施工内容及技术要求</w:t>
      </w:r>
      <w:bookmarkEnd w:id="46"/>
    </w:p>
    <w:p w14:paraId="78D470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bookmarkStart w:id="47" w:name="_Toc503276971"/>
      <w:bookmarkStart w:id="48" w:name="_Toc503181530"/>
      <w:bookmarkStart w:id="49" w:name="_Toc507748766"/>
      <w:bookmarkStart w:id="50" w:name="_Toc9211"/>
      <w:bookmarkStart w:id="51" w:name="_Toc503268284"/>
      <w:r>
        <w:rPr>
          <w:rFonts w:hint="eastAsia" w:ascii="宋体" w:hAnsi="宋体" w:eastAsia="宋体" w:cs="宋体"/>
          <w:b/>
          <w:bCs/>
          <w:color w:val="auto"/>
          <w:sz w:val="21"/>
          <w:szCs w:val="21"/>
          <w:highlight w:val="none"/>
          <w:lang w:val="en-US" w:eastAsia="zh-CN"/>
        </w:rPr>
        <w:t>1、项目概况</w:t>
      </w:r>
    </w:p>
    <w:bookmarkEnd w:id="47"/>
    <w:bookmarkEnd w:id="48"/>
    <w:bookmarkEnd w:id="49"/>
    <w:bookmarkEnd w:id="50"/>
    <w:bookmarkEnd w:id="51"/>
    <w:p w14:paraId="5269D67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b w:val="0"/>
          <w:bCs w:val="0"/>
          <w:color w:val="auto"/>
          <w:sz w:val="21"/>
          <w:szCs w:val="21"/>
          <w:highlight w:val="none"/>
          <w:lang w:val="en-US" w:eastAsia="zh-CN"/>
        </w:rPr>
      </w:pPr>
      <w:bookmarkStart w:id="52" w:name="_bookmark184"/>
      <w:bookmarkEnd w:id="52"/>
      <w:r>
        <w:rPr>
          <w:rFonts w:hint="eastAsia" w:ascii="宋体" w:hAnsi="宋体" w:cs="宋体"/>
          <w:b w:val="0"/>
          <w:bCs w:val="0"/>
          <w:color w:val="auto"/>
          <w:sz w:val="21"/>
          <w:szCs w:val="21"/>
          <w:highlight w:val="none"/>
          <w:lang w:val="en-US" w:eastAsia="zh-CN"/>
        </w:rPr>
        <w:t>本项目主要包含</w:t>
      </w:r>
      <w:r>
        <w:rPr>
          <w:rFonts w:hint="eastAsia" w:ascii="宋体" w:hAnsi="宋体" w:eastAsia="宋体" w:cs="宋体"/>
          <w:b w:val="0"/>
          <w:bCs w:val="0"/>
          <w:color w:val="auto"/>
          <w:sz w:val="21"/>
          <w:szCs w:val="21"/>
          <w:highlight w:val="none"/>
          <w:lang w:val="en-US" w:eastAsia="zh-CN"/>
        </w:rPr>
        <w:t>考务办、会议活动室及图书楼等工程。</w:t>
      </w:r>
    </w:p>
    <w:p w14:paraId="5127E19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2、工程目标和承诺</w:t>
      </w:r>
    </w:p>
    <w:p w14:paraId="7AF7DAC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2.1、工程质量目标：合格</w:t>
      </w:r>
    </w:p>
    <w:p w14:paraId="71E0854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2.2、工期：合同签订30日</w:t>
      </w:r>
    </w:p>
    <w:p w14:paraId="7DB1E02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2.3、质保期：自工程竣工验收合格之日起1年</w:t>
      </w:r>
    </w:p>
    <w:p w14:paraId="3E94F3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2.4、安全生产目标：无伤亡事故、无重大机械事故、无扬尘、无噪音扰民。</w:t>
      </w:r>
    </w:p>
    <w:p w14:paraId="11EE9CD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bookmarkStart w:id="53" w:name="_Toc23057"/>
      <w:r>
        <w:rPr>
          <w:rFonts w:hint="eastAsia" w:ascii="宋体" w:hAnsi="宋体" w:eastAsia="宋体" w:cs="宋体"/>
          <w:b/>
          <w:bCs/>
          <w:color w:val="auto"/>
          <w:sz w:val="21"/>
          <w:szCs w:val="21"/>
          <w:highlight w:val="none"/>
          <w:lang w:val="en-US" w:eastAsia="zh-CN"/>
        </w:rPr>
        <w:t>3、报价说明</w:t>
      </w:r>
      <w:bookmarkEnd w:id="53"/>
    </w:p>
    <w:p w14:paraId="75AECD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bookmarkStart w:id="54" w:name="_Toc778"/>
      <w:r>
        <w:rPr>
          <w:rFonts w:hint="eastAsia" w:ascii="宋体" w:hAnsi="宋体" w:eastAsia="宋体" w:cs="宋体"/>
          <w:color w:val="auto"/>
          <w:sz w:val="21"/>
          <w:szCs w:val="21"/>
          <w:highlight w:val="none"/>
          <w:lang w:val="en-US" w:eastAsia="zh-CN"/>
        </w:rPr>
        <w:t>3.1、工程量清单为磋商文件的组成部分，一经成交且签订合同，即成为合同的组成部分。</w:t>
      </w:r>
    </w:p>
    <w:p w14:paraId="5DF072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3.2、工程量清单中各项金额均以人民币（元）结算。</w:t>
      </w:r>
    </w:p>
    <w:p w14:paraId="6473A5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3.3、供应商不得随意改动工程量清单内容，评标时均按采购人所发的工程量清单进行检查和评审。</w:t>
      </w:r>
    </w:p>
    <w:p w14:paraId="544981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3.4、磋商报价是依据本工程磋商文件的供应商须知、合同文件、工程建设标准、工程量清单和答疑纪要及其它有关文件进行编制。</w:t>
      </w:r>
    </w:p>
    <w:p w14:paraId="47B3AF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3.5、磋商报价为完成本项目所发生的一切费用,包括施工及质量保修期间所有含税费用，如有遗漏，视为已包含在内。</w:t>
      </w:r>
    </w:p>
    <w:p w14:paraId="42A533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3.6、本项目为固定总价，一次包死。交钥匙工程。</w:t>
      </w:r>
    </w:p>
    <w:p w14:paraId="423B2B3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4、安全要求</w:t>
      </w:r>
    </w:p>
    <w:p w14:paraId="760B23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遵守工程建设安全生产有关管理规定，严格按安全标准组织施工，采取必要的安全生产措施，消除事故隐患。安全措施不力造成事故责任和发生的费用由成交供应商承担。</w:t>
      </w:r>
    </w:p>
    <w:p w14:paraId="547E049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5、工程施工基本要求</w:t>
      </w:r>
    </w:p>
    <w:p w14:paraId="2EC60E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严格按国家有关规定做到文明施工，规范施工，严格把好各道施工工序的质量，确保工程质量，并按要求如期完成工程建设，编制施工组织设计方案，确保工程按时优质完成，编制总进度计划，合理安排劳动力、物力、财力，尽量做到综合平衡配套施工，确保工程顺利完成。</w:t>
      </w:r>
    </w:p>
    <w:p w14:paraId="2990D0E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6、验收标准</w:t>
      </w:r>
      <w:bookmarkEnd w:id="54"/>
    </w:p>
    <w:p w14:paraId="694F71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1、工程竣工验收应具备的条件：</w:t>
      </w:r>
    </w:p>
    <w:p w14:paraId="7085A8C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工程全部完成并通过相关部门的预验收并完成全部清理工作。</w:t>
      </w:r>
    </w:p>
    <w:p w14:paraId="344B1A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施工单位准备好全部验收资料。包括：交付验收基础资料、隐蔽工程验收资料、及工程竣工图，主要材料、设备、设施清单（品名、生产厂家、产地、产品质保书）预验收报告，质量评定等。</w:t>
      </w:r>
    </w:p>
    <w:p w14:paraId="029BFF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2、工程竣工验收条件具备后，建设单位组织本工程的竣工验收。</w:t>
      </w:r>
    </w:p>
    <w:p w14:paraId="6D71FC7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3、工程的验收依据是：</w:t>
      </w:r>
    </w:p>
    <w:p w14:paraId="646257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val="0"/>
          <w:bCs w:val="0"/>
          <w:color w:val="auto"/>
          <w:kern w:val="2"/>
          <w:sz w:val="21"/>
          <w:szCs w:val="21"/>
          <w:highlight w:val="none"/>
          <w:lang w:val="zh-CN" w:eastAsia="zh-CN" w:bidi="ar-SA"/>
        </w:rPr>
        <w:t>合同</w:t>
      </w:r>
      <w:r>
        <w:rPr>
          <w:rFonts w:hint="eastAsia" w:ascii="宋体" w:hAnsi="宋体" w:eastAsia="宋体" w:cs="宋体"/>
          <w:color w:val="auto"/>
          <w:sz w:val="21"/>
          <w:szCs w:val="21"/>
          <w:highlight w:val="none"/>
        </w:rPr>
        <w:t>。</w:t>
      </w:r>
    </w:p>
    <w:p w14:paraId="21D402D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（2）磋商文</w:t>
      </w:r>
      <w:r>
        <w:rPr>
          <w:rFonts w:hint="eastAsia" w:ascii="宋体" w:hAnsi="宋体" w:eastAsia="宋体" w:cs="宋体"/>
          <w:color w:val="auto"/>
          <w:sz w:val="21"/>
          <w:szCs w:val="21"/>
          <w:highlight w:val="none"/>
        </w:rPr>
        <w:t>件。</w:t>
      </w:r>
    </w:p>
    <w:p w14:paraId="2006AF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b w:val="0"/>
          <w:bCs w:val="0"/>
          <w:color w:val="auto"/>
          <w:kern w:val="2"/>
          <w:sz w:val="21"/>
          <w:szCs w:val="21"/>
          <w:highlight w:val="none"/>
          <w:lang w:val="en-US" w:eastAsia="zh-CN" w:bidi="ar-SA"/>
        </w:rPr>
        <w:t>响应</w:t>
      </w:r>
      <w:r>
        <w:rPr>
          <w:rFonts w:hint="eastAsia" w:ascii="宋体" w:hAnsi="宋体" w:eastAsia="宋体" w:cs="宋体"/>
          <w:b w:val="0"/>
          <w:bCs w:val="0"/>
          <w:color w:val="auto"/>
          <w:kern w:val="2"/>
          <w:sz w:val="21"/>
          <w:szCs w:val="21"/>
          <w:highlight w:val="none"/>
          <w:lang w:val="zh-CN" w:eastAsia="zh-CN" w:bidi="ar-SA"/>
        </w:rPr>
        <w:t>文件及承诺</w:t>
      </w:r>
      <w:r>
        <w:rPr>
          <w:rFonts w:hint="eastAsia" w:ascii="宋体" w:hAnsi="宋体" w:eastAsia="宋体" w:cs="宋体"/>
          <w:color w:val="auto"/>
          <w:sz w:val="21"/>
          <w:szCs w:val="21"/>
          <w:highlight w:val="none"/>
        </w:rPr>
        <w:t>。</w:t>
      </w:r>
    </w:p>
    <w:p w14:paraId="6A3798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b w:val="0"/>
          <w:bCs w:val="0"/>
          <w:color w:val="auto"/>
          <w:kern w:val="2"/>
          <w:sz w:val="21"/>
          <w:szCs w:val="21"/>
          <w:highlight w:val="none"/>
          <w:lang w:val="zh-CN" w:eastAsia="zh-CN" w:bidi="ar-SA"/>
        </w:rPr>
        <w:t>国家相关</w:t>
      </w:r>
      <w:r>
        <w:rPr>
          <w:rFonts w:hint="eastAsia" w:ascii="宋体" w:hAnsi="宋体" w:eastAsia="宋体" w:cs="宋体"/>
          <w:b w:val="0"/>
          <w:bCs w:val="0"/>
          <w:color w:val="auto"/>
          <w:kern w:val="2"/>
          <w:sz w:val="21"/>
          <w:szCs w:val="21"/>
          <w:highlight w:val="none"/>
          <w:lang w:val="en-US" w:eastAsia="zh-CN" w:bidi="ar-SA"/>
        </w:rPr>
        <w:t>标准、规范及有关技术文件</w:t>
      </w:r>
      <w:r>
        <w:rPr>
          <w:rFonts w:hint="eastAsia" w:ascii="宋体" w:hAnsi="宋体" w:eastAsia="宋体" w:cs="宋体"/>
          <w:color w:val="auto"/>
          <w:sz w:val="21"/>
          <w:szCs w:val="21"/>
          <w:highlight w:val="none"/>
        </w:rPr>
        <w:t>。</w:t>
      </w:r>
    </w:p>
    <w:p w14:paraId="099732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6.4、工程验收后，施工单位有义务将其维护管理至正式移交。</w:t>
      </w:r>
    </w:p>
    <w:p w14:paraId="5F0BAE5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bookmarkStart w:id="55" w:name="_Toc30297"/>
      <w:r>
        <w:rPr>
          <w:rFonts w:hint="eastAsia" w:ascii="宋体" w:hAnsi="宋体" w:eastAsia="宋体" w:cs="宋体"/>
          <w:b/>
          <w:bCs/>
          <w:color w:val="auto"/>
          <w:sz w:val="21"/>
          <w:szCs w:val="21"/>
          <w:highlight w:val="none"/>
          <w:lang w:val="en-US" w:eastAsia="zh-CN"/>
        </w:rPr>
        <w:t>7、违约责任</w:t>
      </w:r>
      <w:bookmarkEnd w:id="55"/>
    </w:p>
    <w:p w14:paraId="2E26CF5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7.1、按《中华人民共和国民法典》中的相关条款执行。</w:t>
      </w:r>
    </w:p>
    <w:p w14:paraId="598ACDF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7.2、未按合同要求施工的，采购人有权终止合同，并对供应商的违约责任进行追究，同时按照《中华人民共和国政府采购法》的有关要求进行处罚。</w:t>
      </w:r>
    </w:p>
    <w:p w14:paraId="202A3A3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yellow"/>
          <w:lang w:val="en-US" w:eastAsia="zh-CN"/>
        </w:rPr>
      </w:pPr>
    </w:p>
    <w:p w14:paraId="55345A27">
      <w:pPr>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yellow"/>
          <w:lang w:val="en-US" w:eastAsia="zh-CN"/>
        </w:rPr>
        <w:br w:type="page"/>
      </w:r>
    </w:p>
    <w:p w14:paraId="6822154D">
      <w:pPr>
        <w:pStyle w:val="2"/>
        <w:keepNext/>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36"/>
          <w:szCs w:val="36"/>
          <w:highlight w:val="none"/>
          <w:lang w:val="en-US" w:eastAsia="zh-CN"/>
        </w:rPr>
      </w:pPr>
      <w:bookmarkStart w:id="56" w:name="_Toc9271"/>
      <w:r>
        <w:rPr>
          <w:rFonts w:hint="eastAsia" w:ascii="宋体" w:hAnsi="宋体" w:eastAsia="宋体" w:cs="宋体"/>
          <w:b/>
          <w:bCs/>
          <w:color w:val="auto"/>
          <w:sz w:val="36"/>
          <w:szCs w:val="36"/>
          <w:highlight w:val="none"/>
          <w:lang w:val="zh-CN"/>
        </w:rPr>
        <w:t>第</w:t>
      </w:r>
      <w:r>
        <w:rPr>
          <w:rFonts w:hint="eastAsia" w:ascii="宋体" w:hAnsi="宋体" w:eastAsia="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lang w:val="zh-CN"/>
        </w:rPr>
        <w:t>章</w:t>
      </w:r>
      <w:r>
        <w:rPr>
          <w:rFonts w:hint="eastAsia" w:ascii="宋体" w:hAnsi="宋体" w:eastAsia="宋体" w:cs="宋体"/>
          <w:b/>
          <w:bCs/>
          <w:color w:val="auto"/>
          <w:sz w:val="36"/>
          <w:szCs w:val="36"/>
          <w:highlight w:val="none"/>
          <w:lang w:val="en-US" w:eastAsia="zh-CN"/>
        </w:rPr>
        <w:t xml:space="preserve"> 工程量清单</w:t>
      </w:r>
      <w:bookmarkEnd w:id="56"/>
    </w:p>
    <w:bookmarkEnd w:id="45"/>
    <w:p w14:paraId="3CBF2054">
      <w:pPr>
        <w:keepNext w:val="0"/>
        <w:keepLines w:val="0"/>
        <w:pageBreakBefore w:val="0"/>
        <w:widowControl w:val="0"/>
        <w:kinsoku/>
        <w:wordWrap/>
        <w:overflowPunct/>
        <w:topLinePunct w:val="0"/>
        <w:autoSpaceDE/>
        <w:autoSpaceDN/>
        <w:bidi w:val="0"/>
        <w:adjustRightInd/>
        <w:snapToGrid/>
        <w:spacing w:afterAutospacing="0" w:line="400" w:lineRule="exact"/>
        <w:ind w:firstLine="422" w:firstLineChars="200"/>
        <w:textAlignment w:val="auto"/>
        <w:rPr>
          <w:rFonts w:hint="eastAsia" w:ascii="宋体" w:hAnsi="宋体" w:eastAsia="宋体" w:cs="宋体"/>
          <w:b/>
          <w:color w:val="auto"/>
          <w:sz w:val="21"/>
          <w:szCs w:val="16"/>
          <w:highlight w:val="none"/>
        </w:rPr>
      </w:pPr>
      <w:r>
        <w:rPr>
          <w:rFonts w:hint="eastAsia" w:ascii="宋体" w:hAnsi="宋体" w:eastAsia="宋体" w:cs="宋体"/>
          <w:b/>
          <w:color w:val="auto"/>
          <w:sz w:val="21"/>
          <w:szCs w:val="16"/>
          <w:highlight w:val="none"/>
          <w:lang w:val="en-US" w:eastAsia="zh-CN"/>
        </w:rPr>
        <w:t>1</w:t>
      </w:r>
      <w:r>
        <w:rPr>
          <w:rFonts w:hint="eastAsia" w:ascii="宋体" w:hAnsi="宋体" w:eastAsia="宋体" w:cs="宋体"/>
          <w:b/>
          <w:color w:val="auto"/>
          <w:sz w:val="21"/>
          <w:szCs w:val="16"/>
          <w:highlight w:val="none"/>
        </w:rPr>
        <w:t>、编制依据</w:t>
      </w:r>
    </w:p>
    <w:p w14:paraId="607BC15D">
      <w:pPr>
        <w:keepNext w:val="0"/>
        <w:keepLines w:val="0"/>
        <w:pageBreakBefore w:val="0"/>
        <w:widowControl w:val="0"/>
        <w:kinsoku/>
        <w:wordWrap/>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 w:val="0"/>
          <w:bCs/>
          <w:color w:val="auto"/>
          <w:sz w:val="21"/>
          <w:szCs w:val="16"/>
          <w:highlight w:val="none"/>
          <w:lang w:val="en-US" w:eastAsia="zh-CN"/>
        </w:rPr>
      </w:pPr>
      <w:r>
        <w:rPr>
          <w:rFonts w:hint="eastAsia" w:ascii="宋体" w:hAnsi="宋体" w:cs="宋体"/>
          <w:b w:val="0"/>
          <w:bCs/>
          <w:color w:val="auto"/>
          <w:sz w:val="21"/>
          <w:szCs w:val="16"/>
          <w:highlight w:val="none"/>
          <w:lang w:val="en-US" w:eastAsia="zh-CN"/>
        </w:rPr>
        <w:t>1.</w:t>
      </w:r>
      <w:r>
        <w:rPr>
          <w:rFonts w:hint="eastAsia" w:ascii="宋体" w:hAnsi="宋体" w:eastAsia="宋体" w:cs="宋体"/>
          <w:b w:val="0"/>
          <w:bCs/>
          <w:color w:val="auto"/>
          <w:sz w:val="21"/>
          <w:szCs w:val="16"/>
          <w:highlight w:val="none"/>
          <w:lang w:val="en-US" w:eastAsia="zh-CN"/>
        </w:rPr>
        <w:t>1、工程量依据泾干中学功能部室改造工程图纸及相关工程建设规范、标准、图集等。</w:t>
      </w:r>
    </w:p>
    <w:p w14:paraId="49F21322">
      <w:pPr>
        <w:keepNext w:val="0"/>
        <w:keepLines w:val="0"/>
        <w:pageBreakBefore w:val="0"/>
        <w:widowControl w:val="0"/>
        <w:kinsoku/>
        <w:wordWrap/>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 w:val="0"/>
          <w:bCs/>
          <w:color w:val="auto"/>
          <w:sz w:val="21"/>
          <w:szCs w:val="16"/>
          <w:highlight w:val="none"/>
          <w:lang w:val="en-US" w:eastAsia="zh-CN"/>
        </w:rPr>
      </w:pPr>
      <w:r>
        <w:rPr>
          <w:rFonts w:hint="eastAsia" w:ascii="宋体" w:hAnsi="宋体" w:cs="宋体"/>
          <w:b w:val="0"/>
          <w:bCs/>
          <w:color w:val="auto"/>
          <w:sz w:val="21"/>
          <w:szCs w:val="16"/>
          <w:highlight w:val="none"/>
          <w:lang w:val="en-US" w:eastAsia="zh-CN"/>
        </w:rPr>
        <w:t>1.</w:t>
      </w:r>
      <w:r>
        <w:rPr>
          <w:rFonts w:hint="eastAsia" w:ascii="宋体" w:hAnsi="宋体" w:eastAsia="宋体" w:cs="宋体"/>
          <w:b w:val="0"/>
          <w:bCs/>
          <w:color w:val="auto"/>
          <w:sz w:val="21"/>
          <w:szCs w:val="16"/>
          <w:highlight w:val="none"/>
          <w:lang w:val="en-US" w:eastAsia="zh-CN"/>
        </w:rPr>
        <w:t>2、计价编制依据《陕西省建设工程工程量清单计价规则(2009)》、《陕西省建筑、装饰工程价目表(2009)》及相关费率文件。</w:t>
      </w:r>
    </w:p>
    <w:p w14:paraId="6BB1EC7E">
      <w:pPr>
        <w:keepNext w:val="0"/>
        <w:keepLines w:val="0"/>
        <w:pageBreakBefore w:val="0"/>
        <w:widowControl w:val="0"/>
        <w:kinsoku/>
        <w:wordWrap/>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 w:val="0"/>
          <w:bCs/>
          <w:color w:val="auto"/>
          <w:sz w:val="21"/>
          <w:szCs w:val="16"/>
          <w:highlight w:val="none"/>
          <w:lang w:val="en-US" w:eastAsia="zh-CN"/>
        </w:rPr>
      </w:pPr>
      <w:r>
        <w:rPr>
          <w:rFonts w:hint="eastAsia" w:ascii="宋体" w:hAnsi="宋体" w:cs="宋体"/>
          <w:b w:val="0"/>
          <w:bCs/>
          <w:color w:val="auto"/>
          <w:sz w:val="21"/>
          <w:szCs w:val="16"/>
          <w:highlight w:val="none"/>
          <w:lang w:val="en-US" w:eastAsia="zh-CN"/>
        </w:rPr>
        <w:t>1.</w:t>
      </w:r>
      <w:r>
        <w:rPr>
          <w:rFonts w:hint="eastAsia" w:ascii="宋体" w:hAnsi="宋体" w:eastAsia="宋体" w:cs="宋体"/>
          <w:b w:val="0"/>
          <w:bCs/>
          <w:color w:val="auto"/>
          <w:sz w:val="21"/>
          <w:szCs w:val="16"/>
          <w:highlight w:val="none"/>
          <w:lang w:val="en-US" w:eastAsia="zh-CN"/>
        </w:rPr>
        <w:t>3、人工费执行陕建发【2021】1097号文件。</w:t>
      </w:r>
    </w:p>
    <w:p w14:paraId="471E9BAB">
      <w:pPr>
        <w:keepNext w:val="0"/>
        <w:keepLines w:val="0"/>
        <w:pageBreakBefore w:val="0"/>
        <w:widowControl w:val="0"/>
        <w:kinsoku/>
        <w:wordWrap/>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 w:val="0"/>
          <w:bCs/>
          <w:color w:val="auto"/>
          <w:sz w:val="21"/>
          <w:szCs w:val="16"/>
          <w:highlight w:val="none"/>
          <w:lang w:val="en-US" w:eastAsia="zh-CN"/>
        </w:rPr>
      </w:pPr>
      <w:r>
        <w:rPr>
          <w:rFonts w:hint="eastAsia" w:ascii="宋体" w:hAnsi="宋体" w:cs="宋体"/>
          <w:b w:val="0"/>
          <w:bCs/>
          <w:color w:val="auto"/>
          <w:sz w:val="21"/>
          <w:szCs w:val="16"/>
          <w:highlight w:val="none"/>
          <w:lang w:val="en-US" w:eastAsia="zh-CN"/>
        </w:rPr>
        <w:t>1.</w:t>
      </w:r>
      <w:r>
        <w:rPr>
          <w:rFonts w:hint="eastAsia" w:ascii="宋体" w:hAnsi="宋体" w:eastAsia="宋体" w:cs="宋体"/>
          <w:b w:val="0"/>
          <w:bCs/>
          <w:color w:val="auto"/>
          <w:sz w:val="21"/>
          <w:szCs w:val="16"/>
          <w:highlight w:val="none"/>
          <w:lang w:val="en-US" w:eastAsia="zh-CN"/>
        </w:rPr>
        <w:t>4、税率执行陕建发【2016】100号文件、【2019】45号文件。</w:t>
      </w:r>
    </w:p>
    <w:p w14:paraId="2A0A2D26">
      <w:pPr>
        <w:keepNext w:val="0"/>
        <w:keepLines w:val="0"/>
        <w:pageBreakBefore w:val="0"/>
        <w:widowControl w:val="0"/>
        <w:kinsoku/>
        <w:wordWrap/>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 w:val="0"/>
          <w:bCs/>
          <w:color w:val="auto"/>
          <w:sz w:val="21"/>
          <w:szCs w:val="16"/>
          <w:highlight w:val="none"/>
          <w:lang w:val="en-US" w:eastAsia="zh-CN"/>
        </w:rPr>
      </w:pPr>
      <w:r>
        <w:rPr>
          <w:rFonts w:hint="eastAsia" w:ascii="宋体" w:hAnsi="宋体" w:cs="宋体"/>
          <w:b w:val="0"/>
          <w:bCs/>
          <w:color w:val="auto"/>
          <w:sz w:val="21"/>
          <w:szCs w:val="16"/>
          <w:highlight w:val="none"/>
          <w:lang w:val="en-US" w:eastAsia="zh-CN"/>
        </w:rPr>
        <w:t>1.</w:t>
      </w:r>
      <w:r>
        <w:rPr>
          <w:rFonts w:hint="eastAsia" w:ascii="宋体" w:hAnsi="宋体" w:eastAsia="宋体" w:cs="宋体"/>
          <w:b w:val="0"/>
          <w:bCs/>
          <w:color w:val="auto"/>
          <w:sz w:val="21"/>
          <w:szCs w:val="16"/>
          <w:highlight w:val="none"/>
          <w:lang w:val="en-US" w:eastAsia="zh-CN"/>
        </w:rPr>
        <w:t>5、扬尘污染治理费执行陕建发【2017】270号文件。</w:t>
      </w:r>
    </w:p>
    <w:p w14:paraId="7D00A021">
      <w:pPr>
        <w:keepNext w:val="0"/>
        <w:keepLines w:val="0"/>
        <w:pageBreakBefore w:val="0"/>
        <w:widowControl w:val="0"/>
        <w:kinsoku/>
        <w:wordWrap/>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 w:val="0"/>
          <w:bCs/>
          <w:color w:val="auto"/>
          <w:sz w:val="21"/>
          <w:szCs w:val="16"/>
          <w:highlight w:val="none"/>
          <w:lang w:val="en-US" w:eastAsia="zh-CN"/>
        </w:rPr>
      </w:pPr>
      <w:r>
        <w:rPr>
          <w:rFonts w:hint="eastAsia" w:ascii="宋体" w:hAnsi="宋体" w:cs="宋体"/>
          <w:b w:val="0"/>
          <w:bCs/>
          <w:color w:val="auto"/>
          <w:sz w:val="21"/>
          <w:szCs w:val="16"/>
          <w:highlight w:val="none"/>
          <w:lang w:val="en-US" w:eastAsia="zh-CN"/>
        </w:rPr>
        <w:t>1.</w:t>
      </w:r>
      <w:r>
        <w:rPr>
          <w:rFonts w:hint="eastAsia" w:ascii="宋体" w:hAnsi="宋体" w:eastAsia="宋体" w:cs="宋体"/>
          <w:b w:val="0"/>
          <w:bCs/>
          <w:color w:val="auto"/>
          <w:sz w:val="21"/>
          <w:szCs w:val="16"/>
          <w:highlight w:val="none"/>
          <w:lang w:val="en-US" w:eastAsia="zh-CN"/>
        </w:rPr>
        <w:t>6、材料价执行陕西省咸阳市工程造价信息2025年第3期材料信息价及参考市场价。</w:t>
      </w:r>
    </w:p>
    <w:p w14:paraId="326827BF">
      <w:pPr>
        <w:keepNext w:val="0"/>
        <w:keepLines w:val="0"/>
        <w:pageBreakBefore w:val="0"/>
        <w:widowControl w:val="0"/>
        <w:kinsoku/>
        <w:wordWrap/>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 w:val="0"/>
          <w:bCs/>
          <w:color w:val="auto"/>
          <w:sz w:val="21"/>
          <w:szCs w:val="16"/>
          <w:highlight w:val="none"/>
          <w:lang w:val="en-US" w:eastAsia="zh-CN"/>
        </w:rPr>
      </w:pPr>
      <w:r>
        <w:rPr>
          <w:rFonts w:hint="eastAsia" w:ascii="宋体" w:hAnsi="宋体" w:cs="宋体"/>
          <w:b w:val="0"/>
          <w:bCs/>
          <w:color w:val="auto"/>
          <w:sz w:val="21"/>
          <w:szCs w:val="16"/>
          <w:highlight w:val="none"/>
          <w:lang w:val="en-US" w:eastAsia="zh-CN"/>
        </w:rPr>
        <w:t>1.</w:t>
      </w:r>
      <w:r>
        <w:rPr>
          <w:rFonts w:hint="eastAsia" w:ascii="宋体" w:hAnsi="宋体" w:eastAsia="宋体" w:cs="宋体"/>
          <w:b w:val="0"/>
          <w:bCs/>
          <w:color w:val="auto"/>
          <w:sz w:val="21"/>
          <w:szCs w:val="16"/>
          <w:highlight w:val="none"/>
          <w:lang w:val="en-US" w:eastAsia="zh-CN"/>
        </w:rPr>
        <w:t>7、建筑工人实名制管理费用执行陕建发【2019】1246号“关于发布我省落实建筑工人实名制管理计价依据”的通知。</w:t>
      </w:r>
    </w:p>
    <w:p w14:paraId="4D60AD66">
      <w:pPr>
        <w:keepNext w:val="0"/>
        <w:keepLines w:val="0"/>
        <w:pageBreakBefore w:val="0"/>
        <w:widowControl w:val="0"/>
        <w:kinsoku/>
        <w:wordWrap/>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 w:val="0"/>
          <w:bCs/>
          <w:color w:val="auto"/>
          <w:sz w:val="21"/>
          <w:szCs w:val="16"/>
          <w:highlight w:val="none"/>
          <w:lang w:val="en-US" w:eastAsia="zh-CN"/>
        </w:rPr>
      </w:pPr>
      <w:r>
        <w:rPr>
          <w:rFonts w:hint="eastAsia" w:ascii="宋体" w:hAnsi="宋体" w:cs="宋体"/>
          <w:b w:val="0"/>
          <w:bCs/>
          <w:color w:val="auto"/>
          <w:sz w:val="21"/>
          <w:szCs w:val="16"/>
          <w:highlight w:val="none"/>
          <w:lang w:val="en-US" w:eastAsia="zh-CN"/>
        </w:rPr>
        <w:t>1.</w:t>
      </w:r>
      <w:r>
        <w:rPr>
          <w:rFonts w:hint="eastAsia" w:ascii="宋体" w:hAnsi="宋体" w:eastAsia="宋体" w:cs="宋体"/>
          <w:b w:val="0"/>
          <w:bCs/>
          <w:color w:val="auto"/>
          <w:sz w:val="21"/>
          <w:szCs w:val="16"/>
          <w:highlight w:val="none"/>
          <w:lang w:val="en-US" w:eastAsia="zh-CN"/>
        </w:rPr>
        <w:t>8、建筑施工安全生产责任保险费执行陕建发【2020】1097号关于建筑施工安全生产责任保险费用计价的通知。</w:t>
      </w:r>
    </w:p>
    <w:p w14:paraId="2ED68BE7">
      <w:pPr>
        <w:keepNext w:val="0"/>
        <w:keepLines w:val="0"/>
        <w:pageBreakBefore w:val="0"/>
        <w:widowControl w:val="0"/>
        <w:kinsoku/>
        <w:wordWrap/>
        <w:overflowPunct/>
        <w:topLinePunct w:val="0"/>
        <w:autoSpaceDE/>
        <w:autoSpaceDN/>
        <w:bidi w:val="0"/>
        <w:adjustRightInd/>
        <w:snapToGrid/>
        <w:spacing w:afterAutospacing="0" w:line="400" w:lineRule="exact"/>
        <w:ind w:firstLine="420" w:firstLineChars="200"/>
        <w:textAlignment w:val="auto"/>
        <w:rPr>
          <w:rFonts w:hint="eastAsia" w:ascii="宋体" w:hAnsi="宋体" w:eastAsia="宋体" w:cs="宋体"/>
          <w:b w:val="0"/>
          <w:bCs/>
          <w:color w:val="auto"/>
          <w:sz w:val="21"/>
          <w:szCs w:val="16"/>
          <w:highlight w:val="none"/>
          <w:lang w:val="en-US" w:eastAsia="zh-CN"/>
        </w:rPr>
      </w:pPr>
      <w:r>
        <w:rPr>
          <w:rFonts w:hint="eastAsia" w:ascii="宋体" w:hAnsi="宋体" w:cs="宋体"/>
          <w:b w:val="0"/>
          <w:bCs/>
          <w:color w:val="auto"/>
          <w:sz w:val="21"/>
          <w:szCs w:val="16"/>
          <w:highlight w:val="none"/>
          <w:lang w:val="en-US" w:eastAsia="zh-CN"/>
        </w:rPr>
        <w:t>1.</w:t>
      </w:r>
      <w:r>
        <w:rPr>
          <w:rFonts w:hint="eastAsia" w:ascii="宋体" w:hAnsi="宋体" w:eastAsia="宋体" w:cs="宋体"/>
          <w:b w:val="0"/>
          <w:bCs/>
          <w:color w:val="auto"/>
          <w:sz w:val="21"/>
          <w:szCs w:val="16"/>
          <w:highlight w:val="none"/>
          <w:lang w:val="en-US" w:eastAsia="zh-CN"/>
        </w:rPr>
        <w:t>9、建筑企业人员社会养老保险费执行陕建发【2021】1021号关于全省统一停止收缴建筑业劳保费用的通知。</w:t>
      </w:r>
    </w:p>
    <w:p w14:paraId="5A04E656">
      <w:pPr>
        <w:keepNext w:val="0"/>
        <w:keepLines w:val="0"/>
        <w:pageBreakBefore w:val="0"/>
        <w:widowControl w:val="0"/>
        <w:kinsoku/>
        <w:wordWrap/>
        <w:overflowPunct/>
        <w:topLinePunct w:val="0"/>
        <w:autoSpaceDE/>
        <w:autoSpaceDN/>
        <w:bidi w:val="0"/>
        <w:adjustRightInd/>
        <w:snapToGrid/>
        <w:spacing w:afterAutospacing="0" w:line="400" w:lineRule="exact"/>
        <w:ind w:firstLine="422" w:firstLineChars="200"/>
        <w:textAlignment w:val="auto"/>
        <w:rPr>
          <w:rFonts w:hint="eastAsia" w:ascii="宋体" w:hAnsi="宋体" w:eastAsia="宋体" w:cs="宋体"/>
          <w:color w:val="auto"/>
          <w:sz w:val="21"/>
          <w:szCs w:val="16"/>
          <w:highlight w:val="none"/>
        </w:rPr>
      </w:pPr>
      <w:r>
        <w:rPr>
          <w:rFonts w:hint="eastAsia" w:ascii="宋体" w:hAnsi="宋体" w:eastAsia="宋体" w:cs="宋体"/>
          <w:b/>
          <w:color w:val="auto"/>
          <w:sz w:val="21"/>
          <w:szCs w:val="16"/>
          <w:highlight w:val="none"/>
          <w:lang w:val="en-US" w:eastAsia="zh-CN"/>
        </w:rPr>
        <w:t>2</w:t>
      </w:r>
      <w:r>
        <w:rPr>
          <w:rFonts w:hint="eastAsia" w:ascii="宋体" w:hAnsi="宋体" w:eastAsia="宋体" w:cs="宋体"/>
          <w:b/>
          <w:color w:val="auto"/>
          <w:sz w:val="21"/>
          <w:szCs w:val="16"/>
          <w:highlight w:val="none"/>
        </w:rPr>
        <w:t>、</w:t>
      </w:r>
      <w:r>
        <w:rPr>
          <w:rFonts w:hint="eastAsia" w:ascii="宋体" w:hAnsi="宋体" w:eastAsia="宋体" w:cs="宋体"/>
          <w:b/>
          <w:bCs w:val="0"/>
          <w:color w:val="auto"/>
          <w:sz w:val="21"/>
          <w:szCs w:val="16"/>
          <w:highlight w:val="none"/>
        </w:rPr>
        <w:t>软件说明</w:t>
      </w:r>
      <w:r>
        <w:rPr>
          <w:rFonts w:hint="eastAsia" w:ascii="宋体" w:hAnsi="宋体" w:eastAsia="宋体" w:cs="宋体"/>
          <w:b/>
          <w:bCs w:val="0"/>
          <w:color w:val="auto"/>
          <w:sz w:val="21"/>
          <w:szCs w:val="16"/>
          <w:highlight w:val="none"/>
          <w:lang w:eastAsia="zh-CN"/>
        </w:rPr>
        <w:t>：</w:t>
      </w:r>
      <w:r>
        <w:rPr>
          <w:rFonts w:hint="eastAsia" w:ascii="宋体" w:hAnsi="宋体" w:eastAsia="宋体" w:cs="宋体"/>
          <w:b/>
          <w:bCs w:val="0"/>
          <w:color w:val="auto"/>
          <w:sz w:val="21"/>
          <w:szCs w:val="16"/>
          <w:highlight w:val="none"/>
          <w:lang w:val="en-US" w:eastAsia="zh-CN"/>
        </w:rPr>
        <w:t>本工程计价软件采用广联达计价软件6.4100.23.122版本。</w:t>
      </w:r>
    </w:p>
    <w:p w14:paraId="1ED413C9">
      <w:pPr>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3、工程量清单：</w:t>
      </w:r>
      <w:r>
        <w:rPr>
          <w:rFonts w:hint="eastAsia" w:ascii="宋体" w:hAnsi="宋体" w:cs="宋体"/>
          <w:b/>
          <w:bCs/>
          <w:color w:val="auto"/>
          <w:sz w:val="21"/>
          <w:szCs w:val="21"/>
          <w:highlight w:val="none"/>
          <w:lang w:val="en-US" w:eastAsia="zh-CN"/>
        </w:rPr>
        <w:t>（另附）</w:t>
      </w:r>
    </w:p>
    <w:p w14:paraId="06148739">
      <w:pPr>
        <w:rPr>
          <w:rFonts w:hint="eastAsia" w:ascii="宋体" w:hAnsi="宋体" w:eastAsia="宋体" w:cs="宋体"/>
          <w:b/>
          <w:bCs/>
          <w:color w:val="auto"/>
          <w:sz w:val="21"/>
          <w:szCs w:val="21"/>
          <w:highlight w:val="none"/>
          <w:lang w:val="en-US" w:eastAsia="zh-CN"/>
        </w:rPr>
      </w:pPr>
    </w:p>
    <w:p w14:paraId="58BC293B">
      <w:pPr>
        <w:rPr>
          <w:rFonts w:hint="eastAsia" w:ascii="宋体" w:hAnsi="宋体" w:eastAsia="宋体" w:cs="宋体"/>
          <w:b/>
          <w:bCs/>
          <w:color w:val="auto"/>
          <w:sz w:val="21"/>
          <w:szCs w:val="21"/>
          <w:highlight w:val="none"/>
          <w:lang w:val="en-US" w:eastAsia="zh-CN"/>
        </w:rPr>
      </w:pPr>
    </w:p>
    <w:p w14:paraId="3A73A392">
      <w:pPr>
        <w:rPr>
          <w:rFonts w:hint="eastAsia" w:ascii="宋体" w:hAnsi="宋体" w:eastAsia="宋体" w:cs="宋体"/>
          <w:b/>
          <w:bCs/>
          <w:color w:val="auto"/>
          <w:sz w:val="21"/>
          <w:szCs w:val="21"/>
          <w:highlight w:val="none"/>
          <w:lang w:val="en-US" w:eastAsia="zh-CN"/>
        </w:rPr>
        <w:sectPr>
          <w:headerReference r:id="rId21" w:type="default"/>
          <w:footerReference r:id="rId22"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D809032">
      <w:pPr>
        <w:pStyle w:val="2"/>
        <w:keepLines w:val="0"/>
        <w:pageBreakBefore w:val="0"/>
        <w:kinsoku/>
        <w:bidi w:val="0"/>
        <w:spacing w:line="360" w:lineRule="auto"/>
        <w:jc w:val="center"/>
        <w:rPr>
          <w:rFonts w:hint="eastAsia" w:ascii="宋体" w:hAnsi="宋体" w:eastAsia="宋体" w:cs="宋体"/>
          <w:b/>
          <w:bCs/>
          <w:color w:val="auto"/>
          <w:sz w:val="36"/>
          <w:szCs w:val="36"/>
          <w:highlight w:val="none"/>
          <w:lang w:val="zh-CN"/>
        </w:rPr>
      </w:pPr>
      <w:bookmarkStart w:id="57" w:name="_Toc22572"/>
      <w:r>
        <w:rPr>
          <w:rFonts w:hint="eastAsia" w:ascii="宋体" w:hAnsi="宋体" w:eastAsia="宋体" w:cs="宋体"/>
          <w:b/>
          <w:bCs/>
          <w:color w:val="auto"/>
          <w:sz w:val="36"/>
          <w:szCs w:val="36"/>
          <w:highlight w:val="none"/>
          <w:lang w:val="zh-CN"/>
        </w:rPr>
        <w:t>第</w:t>
      </w:r>
      <w:r>
        <w:rPr>
          <w:rFonts w:hint="eastAsia" w:ascii="宋体" w:hAnsi="宋体" w:eastAsia="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lang w:val="zh-CN"/>
        </w:rPr>
        <w:t>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rPr>
        <w:t>合同协议书</w:t>
      </w:r>
      <w:bookmarkEnd w:id="57"/>
      <w:bookmarkStart w:id="58" w:name="_Toc8194597"/>
      <w:bookmarkStart w:id="59" w:name="_Toc389553742"/>
    </w:p>
    <w:p w14:paraId="3C8B95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lang w:val="en-US" w:eastAsia="zh-CN"/>
        </w:rPr>
      </w:pPr>
    </w:p>
    <w:p w14:paraId="0D6B16E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s="宋体"/>
          <w:b/>
          <w:color w:val="auto"/>
          <w:sz w:val="28"/>
          <w:szCs w:val="28"/>
          <w:highlight w:val="none"/>
          <w:lang w:val="en-US" w:eastAsia="zh-CN"/>
        </w:rPr>
      </w:pPr>
    </w:p>
    <w:p w14:paraId="60E9D48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（合同模板仅供参考，具体以实际签订合同为准）</w:t>
      </w:r>
    </w:p>
    <w:p w14:paraId="7BC1D32B">
      <w:pPr>
        <w:keepNext w:val="0"/>
        <w:keepLines w:val="0"/>
        <w:pageBreakBefore w:val="0"/>
        <w:kinsoku/>
        <w:wordWrap/>
        <w:overflowPunct/>
        <w:topLinePunct w:val="0"/>
        <w:bidi w:val="0"/>
        <w:spacing w:line="360" w:lineRule="auto"/>
        <w:jc w:val="left"/>
        <w:rPr>
          <w:rFonts w:ascii="宋体" w:hAnsi="宋体"/>
          <w:bCs/>
          <w:color w:val="auto"/>
          <w:sz w:val="28"/>
          <w:szCs w:val="28"/>
          <w:highlight w:val="none"/>
        </w:rPr>
      </w:pPr>
    </w:p>
    <w:p w14:paraId="749AB63A">
      <w:pPr>
        <w:keepNext w:val="0"/>
        <w:keepLines w:val="0"/>
        <w:pageBreakBefore w:val="0"/>
        <w:kinsoku/>
        <w:wordWrap/>
        <w:overflowPunct/>
        <w:topLinePunct w:val="0"/>
        <w:bidi w:val="0"/>
        <w:spacing w:line="360" w:lineRule="auto"/>
        <w:jc w:val="left"/>
        <w:textAlignment w:val="auto"/>
        <w:rPr>
          <w:rFonts w:hint="eastAsia" w:ascii="宋体" w:hAnsi="宋体" w:eastAsia="宋体" w:cs="宋体"/>
          <w:bCs/>
          <w:color w:val="auto"/>
          <w:sz w:val="28"/>
          <w:szCs w:val="28"/>
          <w:highlight w:val="none"/>
        </w:rPr>
      </w:pPr>
    </w:p>
    <w:p w14:paraId="3B6845EB">
      <w:pPr>
        <w:keepNext w:val="0"/>
        <w:keepLines w:val="0"/>
        <w:pageBreakBefore w:val="0"/>
        <w:kinsoku/>
        <w:wordWrap/>
        <w:overflowPunct/>
        <w:topLinePunct w:val="0"/>
        <w:bidi w:val="0"/>
        <w:spacing w:line="360" w:lineRule="auto"/>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（GF—2017—0201）</w:t>
      </w:r>
    </w:p>
    <w:p w14:paraId="45BAB38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auto"/>
          <w:kern w:val="0"/>
          <w:sz w:val="28"/>
          <w:szCs w:val="28"/>
          <w:highlight w:val="none"/>
        </w:rPr>
      </w:pPr>
    </w:p>
    <w:p w14:paraId="4866B834">
      <w:pPr>
        <w:keepNext w:val="0"/>
        <w:keepLines w:val="0"/>
        <w:pageBreakBefore w:val="0"/>
        <w:kinsoku/>
        <w:wordWrap/>
        <w:overflowPunct/>
        <w:topLinePunct w:val="0"/>
        <w:bidi w:val="0"/>
        <w:spacing w:line="360" w:lineRule="auto"/>
        <w:jc w:val="both"/>
        <w:textAlignment w:val="auto"/>
        <w:rPr>
          <w:rFonts w:hint="eastAsia" w:ascii="宋体" w:hAnsi="宋体" w:eastAsia="宋体" w:cs="宋体"/>
          <w:b/>
          <w:bCs w:val="0"/>
          <w:color w:val="auto"/>
          <w:kern w:val="0"/>
          <w:sz w:val="28"/>
          <w:szCs w:val="28"/>
          <w:highlight w:val="none"/>
        </w:rPr>
      </w:pPr>
    </w:p>
    <w:p w14:paraId="6046E7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kern w:val="0"/>
          <w:sz w:val="52"/>
          <w:szCs w:val="52"/>
          <w:highlight w:val="none"/>
          <w:lang w:eastAsia="zh-CN"/>
        </w:rPr>
      </w:pPr>
      <w:r>
        <w:rPr>
          <w:rFonts w:hint="eastAsia" w:ascii="宋体" w:hAnsi="宋体" w:eastAsia="宋体" w:cs="宋体"/>
          <w:b/>
          <w:bCs w:val="0"/>
          <w:color w:val="auto"/>
          <w:kern w:val="0"/>
          <w:sz w:val="52"/>
          <w:szCs w:val="52"/>
          <w:highlight w:val="none"/>
        </w:rPr>
        <w:t>建设工程施工合同</w:t>
      </w:r>
    </w:p>
    <w:p w14:paraId="64B51D8F">
      <w:pPr>
        <w:pStyle w:val="35"/>
        <w:rPr>
          <w:rFonts w:hint="eastAsia"/>
          <w:color w:val="auto"/>
          <w:lang w:eastAsia="zh-CN"/>
        </w:rPr>
      </w:pPr>
    </w:p>
    <w:p w14:paraId="71AB62F2">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bCs/>
          <w:color w:val="auto"/>
          <w:kern w:val="0"/>
          <w:sz w:val="28"/>
          <w:szCs w:val="28"/>
          <w:highlight w:val="none"/>
        </w:rPr>
      </w:pPr>
    </w:p>
    <w:p w14:paraId="3BFD2A64">
      <w:pPr>
        <w:keepNext w:val="0"/>
        <w:keepLines w:val="0"/>
        <w:pageBreakBefore w:val="0"/>
        <w:widowControl/>
        <w:kinsoku/>
        <w:wordWrap/>
        <w:overflowPunct/>
        <w:topLinePunct w:val="0"/>
        <w:bidi w:val="0"/>
        <w:spacing w:line="360" w:lineRule="auto"/>
        <w:ind w:firstLine="200"/>
        <w:jc w:val="center"/>
        <w:textAlignment w:val="auto"/>
        <w:rPr>
          <w:rFonts w:hint="eastAsia" w:ascii="宋体" w:hAnsi="宋体" w:eastAsia="宋体" w:cs="宋体"/>
          <w:b/>
          <w:bCs/>
          <w:color w:val="auto"/>
          <w:kern w:val="0"/>
          <w:sz w:val="28"/>
          <w:szCs w:val="28"/>
          <w:highlight w:val="none"/>
        </w:rPr>
      </w:pPr>
    </w:p>
    <w:p w14:paraId="695DC5B8">
      <w:pPr>
        <w:keepNext w:val="0"/>
        <w:keepLines w:val="0"/>
        <w:pageBreakBefore w:val="0"/>
        <w:widowControl/>
        <w:kinsoku/>
        <w:wordWrap/>
        <w:overflowPunct/>
        <w:topLinePunct w:val="0"/>
        <w:bidi w:val="0"/>
        <w:spacing w:line="360" w:lineRule="auto"/>
        <w:ind w:firstLine="200"/>
        <w:jc w:val="center"/>
        <w:textAlignment w:val="auto"/>
        <w:rPr>
          <w:rFonts w:hint="eastAsia" w:ascii="宋体" w:hAnsi="宋体" w:eastAsia="宋体" w:cs="宋体"/>
          <w:b/>
          <w:bCs/>
          <w:color w:val="auto"/>
          <w:kern w:val="0"/>
          <w:sz w:val="28"/>
          <w:szCs w:val="28"/>
          <w:highlight w:val="none"/>
        </w:rPr>
      </w:pPr>
    </w:p>
    <w:p w14:paraId="7AB31E16">
      <w:pPr>
        <w:keepNext w:val="0"/>
        <w:keepLines w:val="0"/>
        <w:pageBreakBefore w:val="0"/>
        <w:widowControl/>
        <w:kinsoku/>
        <w:wordWrap/>
        <w:overflowPunct/>
        <w:topLinePunct w:val="0"/>
        <w:bidi w:val="0"/>
        <w:spacing w:line="360" w:lineRule="auto"/>
        <w:ind w:firstLine="200"/>
        <w:jc w:val="center"/>
        <w:textAlignment w:val="auto"/>
        <w:rPr>
          <w:rFonts w:hint="eastAsia" w:ascii="宋体" w:hAnsi="宋体" w:eastAsia="宋体" w:cs="宋体"/>
          <w:b/>
          <w:bCs/>
          <w:color w:val="auto"/>
          <w:kern w:val="0"/>
          <w:sz w:val="28"/>
          <w:szCs w:val="28"/>
          <w:highlight w:val="none"/>
        </w:rPr>
      </w:pPr>
    </w:p>
    <w:p w14:paraId="28F460D1">
      <w:pPr>
        <w:keepNext w:val="0"/>
        <w:keepLines w:val="0"/>
        <w:pageBreakBefore w:val="0"/>
        <w:widowControl/>
        <w:kinsoku/>
        <w:wordWrap/>
        <w:overflowPunct/>
        <w:topLinePunct w:val="0"/>
        <w:bidi w:val="0"/>
        <w:spacing w:line="360" w:lineRule="auto"/>
        <w:jc w:val="both"/>
        <w:textAlignment w:val="auto"/>
        <w:rPr>
          <w:rFonts w:hint="eastAsia" w:ascii="宋体" w:hAnsi="宋体" w:eastAsia="宋体" w:cs="宋体"/>
          <w:b/>
          <w:bCs/>
          <w:color w:val="auto"/>
          <w:kern w:val="0"/>
          <w:sz w:val="28"/>
          <w:szCs w:val="28"/>
          <w:highlight w:val="none"/>
        </w:rPr>
      </w:pPr>
    </w:p>
    <w:p w14:paraId="52B56B36">
      <w:pPr>
        <w:keepNext w:val="0"/>
        <w:keepLines w:val="0"/>
        <w:pageBreakBefore w:val="0"/>
        <w:widowControl/>
        <w:kinsoku/>
        <w:wordWrap/>
        <w:overflowPunct/>
        <w:topLinePunct w:val="0"/>
        <w:bidi w:val="0"/>
        <w:spacing w:line="360" w:lineRule="auto"/>
        <w:ind w:firstLine="200"/>
        <w:jc w:val="center"/>
        <w:textAlignment w:val="auto"/>
        <w:rPr>
          <w:rFonts w:hint="eastAsia" w:ascii="宋体" w:hAnsi="宋体" w:eastAsia="宋体" w:cs="宋体"/>
          <w:b/>
          <w:bCs/>
          <w:color w:val="auto"/>
          <w:kern w:val="0"/>
          <w:sz w:val="32"/>
          <w:szCs w:val="32"/>
          <w:highlight w:val="none"/>
        </w:rPr>
      </w:pPr>
    </w:p>
    <w:p w14:paraId="78EC17E6">
      <w:pPr>
        <w:keepNext w:val="0"/>
        <w:keepLines w:val="0"/>
        <w:pageBreakBefore w:val="0"/>
        <w:kinsoku/>
        <w:wordWrap/>
        <w:overflowPunct/>
        <w:topLinePunct w:val="0"/>
        <w:bidi w:val="0"/>
        <w:spacing w:line="360" w:lineRule="auto"/>
        <w:ind w:right="2719" w:rightChars="1295"/>
        <w:jc w:val="distribute"/>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4342765</wp:posOffset>
                </wp:positionH>
                <wp:positionV relativeFrom="paragraph">
                  <wp:posOffset>79375</wp:posOffset>
                </wp:positionV>
                <wp:extent cx="723900" cy="457200"/>
                <wp:effectExtent l="4445" t="4445" r="14605" b="14605"/>
                <wp:wrapNone/>
                <wp:docPr id="18" name="文本框 18"/>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56DD205D">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41.95pt;margin-top:6.25pt;height:36pt;width:57pt;z-index:251659264;mso-width-relative:page;mso-height-relative:page;" filled="f" stroked="t" coordsize="21600,21600" o:gfxdata="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0kISPZAAAACQEAAA8AAAAAAAAAAQAgAAAAIgAAAGRy&#10;cy9kb3ducmV2LnhtbFBLAQIUABQAAAAIAIdO4kAqOSleBAIAAA4EAAAOAAAAAAAAAAEAIAAAACgB&#10;AABkcnMvZTJvRG9jLnhtbFBLBQYAAAAABgAGAFkBAACeBQAAAAA=&#10;">
                <v:fill on="f" focussize="0,0"/>
                <v:stroke color="#FFFFFF" joinstyle="miter"/>
                <v:imagedata o:title=""/>
                <o:lock v:ext="edit" aspectratio="f"/>
                <v:textbox>
                  <w:txbxContent>
                    <w:p w14:paraId="56DD205D">
                      <w:pPr>
                        <w:rPr>
                          <w:b/>
                          <w:bCs/>
                          <w:sz w:val="32"/>
                        </w:rPr>
                      </w:pPr>
                      <w:r>
                        <w:rPr>
                          <w:rFonts w:hint="eastAsia"/>
                          <w:b/>
                          <w:bCs/>
                          <w:sz w:val="32"/>
                        </w:rPr>
                        <w:t>制定</w:t>
                      </w:r>
                    </w:p>
                  </w:txbxContent>
                </v:textbox>
              </v:shape>
            </w:pict>
          </mc:Fallback>
        </mc:AlternateConten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住房和城乡建设部</w:t>
      </w:r>
    </w:p>
    <w:p w14:paraId="2837C45C">
      <w:pPr>
        <w:pStyle w:val="16"/>
        <w:keepLines w:val="0"/>
        <w:pageBreakBefore w:val="0"/>
        <w:kinsoku/>
        <w:bidi w:val="0"/>
        <w:spacing w:line="360" w:lineRule="auto"/>
        <w:rPr>
          <w:rFonts w:hint="eastAsia"/>
          <w:color w:val="auto"/>
        </w:rPr>
      </w:pPr>
    </w:p>
    <w:p w14:paraId="66175135">
      <w:pPr>
        <w:keepNext w:val="0"/>
        <w:keepLines w:val="0"/>
        <w:pageBreakBefore w:val="0"/>
        <w:kinsoku/>
        <w:wordWrap/>
        <w:overflowPunct/>
        <w:topLinePunct w:val="0"/>
        <w:bidi w:val="0"/>
        <w:spacing w:line="360" w:lineRule="auto"/>
        <w:ind w:right="2719" w:rightChars="1295" w:firstLine="2750" w:firstLineChars="856"/>
        <w:jc w:val="distribute"/>
        <w:textAlignment w:val="auto"/>
        <w:rPr>
          <w:rFonts w:hint="eastAsia" w:ascii="宋体" w:hAnsi="宋体" w:eastAsia="宋体" w:cs="宋体"/>
          <w:b/>
          <w:color w:val="auto"/>
          <w:sz w:val="32"/>
          <w:szCs w:val="32"/>
          <w:highlight w:val="none"/>
        </w:rPr>
      </w:pPr>
      <w:bookmarkStart w:id="60" w:name="_Toc30486_WPSOffice_Level2"/>
      <w:r>
        <w:rPr>
          <w:rFonts w:hint="eastAsia" w:ascii="宋体" w:hAnsi="宋体" w:eastAsia="宋体" w:cs="宋体"/>
          <w:b/>
          <w:color w:val="auto"/>
          <w:sz w:val="32"/>
          <w:szCs w:val="32"/>
          <w:highlight w:val="none"/>
        </w:rPr>
        <w:t>国家工商行政管理总局</w:t>
      </w:r>
      <w:bookmarkEnd w:id="60"/>
    </w:p>
    <w:p w14:paraId="4B15A90D">
      <w:pPr>
        <w:rPr>
          <w:rFonts w:hint="eastAsia"/>
          <w:color w:val="auto"/>
        </w:rPr>
      </w:pPr>
    </w:p>
    <w:p w14:paraId="382B156A">
      <w:pPr>
        <w:numPr>
          <w:ilvl w:val="0"/>
          <w:numId w:val="0"/>
        </w:numPr>
        <w:rPr>
          <w:rFonts w:hint="eastAsia"/>
          <w:color w:val="auto"/>
          <w:lang w:val="en-US" w:eastAsia="zh-CN"/>
        </w:rPr>
      </w:pPr>
    </w:p>
    <w:p w14:paraId="5416682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val="0"/>
          <w:color w:val="auto"/>
          <w:kern w:val="0"/>
          <w:sz w:val="28"/>
          <w:szCs w:val="28"/>
          <w:highlight w:val="none"/>
          <w:lang w:val="en-US" w:eastAsia="zh-CN"/>
        </w:rPr>
      </w:pPr>
    </w:p>
    <w:p w14:paraId="63E5AD64">
      <w:pPr>
        <w:pStyle w:val="16"/>
        <w:rPr>
          <w:rFonts w:hint="eastAsia" w:ascii="宋体" w:hAnsi="宋体" w:eastAsia="宋体" w:cs="宋体"/>
          <w:b/>
          <w:bCs w:val="0"/>
          <w:color w:val="auto"/>
          <w:kern w:val="0"/>
          <w:sz w:val="28"/>
          <w:szCs w:val="28"/>
          <w:highlight w:val="none"/>
          <w:lang w:val="en-US" w:eastAsia="zh-CN"/>
        </w:rPr>
      </w:pPr>
    </w:p>
    <w:p w14:paraId="15639B09">
      <w:pPr>
        <w:rPr>
          <w:rFonts w:hint="eastAsia"/>
          <w:color w:val="auto"/>
          <w:lang w:val="en-US" w:eastAsia="zh-CN"/>
        </w:rPr>
      </w:pPr>
    </w:p>
    <w:p w14:paraId="0EF5AC64">
      <w:pPr>
        <w:rPr>
          <w:rFonts w:hint="eastAsia" w:ascii="宋体" w:hAnsi="宋体" w:eastAsia="宋体" w:cs="宋体"/>
          <w:b/>
          <w:bCs w:val="0"/>
          <w:color w:val="auto"/>
          <w:kern w:val="0"/>
          <w:sz w:val="28"/>
          <w:szCs w:val="28"/>
          <w:highlight w:val="none"/>
          <w:lang w:val="en-US" w:eastAsia="zh-CN"/>
        </w:rPr>
      </w:pPr>
    </w:p>
    <w:p w14:paraId="56D399D8">
      <w:pPr>
        <w:keepNext w:val="0"/>
        <w:keepLines w:val="0"/>
        <w:pageBreakBefore w:val="0"/>
        <w:kinsoku/>
        <w:wordWrap/>
        <w:overflowPunct/>
        <w:topLinePunct w:val="0"/>
        <w:bidi w:val="0"/>
        <w:spacing w:line="360" w:lineRule="exact"/>
        <w:ind w:left="0" w:leftChars="0" w:firstLine="422" w:firstLineChars="200"/>
        <w:jc w:val="center"/>
        <w:textAlignment w:val="auto"/>
        <w:outlineLvl w:val="1"/>
        <w:rPr>
          <w:rFonts w:hint="eastAsia" w:ascii="宋体" w:hAnsi="宋体" w:eastAsia="宋体" w:cs="宋体"/>
          <w:color w:val="auto"/>
          <w:kern w:val="0"/>
          <w:sz w:val="21"/>
          <w:szCs w:val="21"/>
          <w:highlight w:val="none"/>
        </w:rPr>
      </w:pPr>
      <w:bookmarkStart w:id="61" w:name="_Toc29417"/>
      <w:bookmarkStart w:id="62" w:name="_Toc29525"/>
      <w:r>
        <w:rPr>
          <w:rFonts w:hint="eastAsia" w:ascii="宋体" w:hAnsi="宋体" w:eastAsia="宋体" w:cs="宋体"/>
          <w:b/>
          <w:bCs w:val="0"/>
          <w:color w:val="auto"/>
          <w:kern w:val="0"/>
          <w:sz w:val="21"/>
          <w:szCs w:val="21"/>
          <w:highlight w:val="none"/>
          <w:lang w:val="en-US" w:eastAsia="zh-CN"/>
        </w:rPr>
        <w:t>第一节</w:t>
      </w:r>
      <w:r>
        <w:rPr>
          <w:rFonts w:hint="eastAsia" w:ascii="宋体" w:hAnsi="宋体" w:eastAsia="宋体" w:cs="宋体"/>
          <w:b/>
          <w:bCs w:val="0"/>
          <w:color w:val="auto"/>
          <w:kern w:val="0"/>
          <w:sz w:val="21"/>
          <w:szCs w:val="21"/>
          <w:highlight w:val="none"/>
        </w:rPr>
        <w:t xml:space="preserve">  合同协议书</w:t>
      </w:r>
      <w:bookmarkEnd w:id="61"/>
      <w:bookmarkEnd w:id="62"/>
    </w:p>
    <w:p w14:paraId="2A46D91B">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rPr>
        <w:t xml:space="preserve">                           </w:t>
      </w:r>
    </w:p>
    <w:p w14:paraId="36573C4C">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xml:space="preserve">                           </w:t>
      </w:r>
    </w:p>
    <w:p w14:paraId="51698EF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1"/>
          <w:szCs w:val="21"/>
          <w:highlight w:val="none"/>
          <w:u w:val="single"/>
          <w:lang w:val="en-US" w:eastAsia="zh-CN"/>
        </w:rPr>
        <w:t xml:space="preserve"> 泾干中学功能部室改造工程</w:t>
      </w:r>
      <w:r>
        <w:rPr>
          <w:rFonts w:hint="eastAsia" w:ascii="宋体" w:hAnsi="宋体" w:eastAsia="宋体" w:cs="宋体"/>
          <w:color w:val="auto"/>
          <w:sz w:val="21"/>
          <w:szCs w:val="21"/>
          <w:highlight w:val="none"/>
        </w:rPr>
        <w:t>施工及有关事项协商一致，共同达成如下协议：</w:t>
      </w:r>
    </w:p>
    <w:p w14:paraId="376E0165">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color w:val="auto"/>
          <w:sz w:val="21"/>
          <w:szCs w:val="21"/>
          <w:highlight w:val="none"/>
        </w:rPr>
      </w:pPr>
      <w:bookmarkStart w:id="63" w:name="_Toc351203481"/>
      <w:r>
        <w:rPr>
          <w:rFonts w:hint="eastAsia" w:ascii="宋体" w:hAnsi="宋体" w:eastAsia="宋体" w:cs="宋体"/>
          <w:b/>
          <w:color w:val="auto"/>
          <w:sz w:val="21"/>
          <w:szCs w:val="21"/>
          <w:highlight w:val="none"/>
        </w:rPr>
        <w:t>一、工程概况</w:t>
      </w:r>
      <w:bookmarkEnd w:id="63"/>
    </w:p>
    <w:p w14:paraId="7B8EBA8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i w:val="0"/>
          <w:iCs w:val="0"/>
          <w:caps w:val="0"/>
          <w:color w:val="auto"/>
          <w:spacing w:val="0"/>
          <w:sz w:val="21"/>
          <w:szCs w:val="21"/>
          <w:highlight w:val="none"/>
          <w:u w:val="single"/>
          <w:shd w:val="clear" w:fill="FFFFFF"/>
          <w:vertAlign w:val="baseline"/>
          <w:lang w:val="en-US" w:eastAsia="zh-CN"/>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泾干中学功能部室改造工程</w:t>
      </w:r>
    </w:p>
    <w:p w14:paraId="38FB77B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14:paraId="77940C0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0899FDD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58F8F77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5.工程内容：</w:t>
      </w:r>
      <w:r>
        <w:rPr>
          <w:rFonts w:hint="eastAsia" w:ascii="宋体" w:hAnsi="宋体" w:eastAsia="宋体" w:cs="宋体"/>
          <w:color w:val="auto"/>
          <w:sz w:val="21"/>
          <w:szCs w:val="21"/>
          <w:highlight w:val="none"/>
          <w:u w:val="single"/>
        </w:rPr>
        <w:t xml:space="preserve">   详见工程量清单        </w:t>
      </w:r>
      <w:r>
        <w:rPr>
          <w:rFonts w:hint="eastAsia" w:ascii="宋体" w:hAnsi="宋体" w:eastAsia="宋体" w:cs="宋体"/>
          <w:bCs/>
          <w:color w:val="auto"/>
          <w:sz w:val="21"/>
          <w:szCs w:val="21"/>
          <w:highlight w:val="none"/>
        </w:rPr>
        <w:t>。</w:t>
      </w:r>
    </w:p>
    <w:p w14:paraId="798A128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6.工程承包范围：</w:t>
      </w:r>
      <w:r>
        <w:rPr>
          <w:rFonts w:hint="eastAsia" w:ascii="宋体" w:hAnsi="宋体" w:eastAsia="宋体" w:cs="宋体"/>
          <w:bCs/>
          <w:color w:val="auto"/>
          <w:sz w:val="21"/>
          <w:szCs w:val="21"/>
          <w:highlight w:val="none"/>
          <w:u w:val="single"/>
        </w:rPr>
        <w:t>工程量清单、答疑以及本</w:t>
      </w:r>
      <w:r>
        <w:rPr>
          <w:rFonts w:hint="eastAsia" w:ascii="宋体" w:hAnsi="宋体" w:eastAsia="宋体" w:cs="宋体"/>
          <w:bCs/>
          <w:color w:val="auto"/>
          <w:sz w:val="21"/>
          <w:szCs w:val="21"/>
          <w:highlight w:val="none"/>
          <w:u w:val="single"/>
          <w:lang w:eastAsia="zh-CN"/>
        </w:rPr>
        <w:t>竞争性磋商文件</w:t>
      </w:r>
      <w:r>
        <w:rPr>
          <w:rFonts w:hint="eastAsia" w:ascii="宋体" w:hAnsi="宋体" w:eastAsia="宋体" w:cs="宋体"/>
          <w:bCs/>
          <w:color w:val="auto"/>
          <w:sz w:val="21"/>
          <w:szCs w:val="21"/>
          <w:highlight w:val="none"/>
          <w:u w:val="single"/>
        </w:rPr>
        <w:t>规定的全部内容。文字与清单不符时，以清单为准。</w:t>
      </w:r>
    </w:p>
    <w:p w14:paraId="71EEE6D5">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color w:val="auto"/>
          <w:sz w:val="21"/>
          <w:szCs w:val="21"/>
          <w:highlight w:val="none"/>
        </w:rPr>
      </w:pPr>
      <w:bookmarkStart w:id="64" w:name="_Toc351203482"/>
      <w:r>
        <w:rPr>
          <w:rFonts w:hint="eastAsia" w:ascii="宋体" w:hAnsi="宋体" w:eastAsia="宋体" w:cs="宋体"/>
          <w:b/>
          <w:color w:val="auto"/>
          <w:sz w:val="21"/>
          <w:szCs w:val="21"/>
          <w:highlight w:val="none"/>
        </w:rPr>
        <w:t>二、合同工期</w:t>
      </w:r>
      <w:bookmarkEnd w:id="64"/>
    </w:p>
    <w:p w14:paraId="3548012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D16DC4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0ABBA1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14:paraId="67454958">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color w:val="auto"/>
          <w:sz w:val="21"/>
          <w:szCs w:val="21"/>
          <w:highlight w:val="none"/>
        </w:rPr>
      </w:pPr>
      <w:bookmarkStart w:id="65" w:name="_Toc351203483"/>
      <w:r>
        <w:rPr>
          <w:rFonts w:hint="eastAsia" w:ascii="宋体" w:hAnsi="宋体" w:eastAsia="宋体" w:cs="宋体"/>
          <w:b/>
          <w:color w:val="auto"/>
          <w:sz w:val="21"/>
          <w:szCs w:val="21"/>
          <w:highlight w:val="none"/>
        </w:rPr>
        <w:t>三、质量标准</w:t>
      </w:r>
      <w:bookmarkEnd w:id="65"/>
    </w:p>
    <w:p w14:paraId="799F607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工程质量符合 </w:t>
      </w:r>
      <w:r>
        <w:rPr>
          <w:rFonts w:hint="eastAsia" w:ascii="宋体" w:hAnsi="宋体" w:eastAsia="宋体" w:cs="宋体"/>
          <w:color w:val="auto"/>
          <w:sz w:val="21"/>
          <w:szCs w:val="21"/>
          <w:highlight w:val="none"/>
          <w:u w:val="single"/>
        </w:rPr>
        <w:t>合格</w:t>
      </w:r>
      <w:r>
        <w:rPr>
          <w:rFonts w:hint="eastAsia" w:ascii="宋体" w:hAnsi="宋体" w:eastAsia="宋体" w:cs="宋体"/>
          <w:color w:val="auto"/>
          <w:sz w:val="21"/>
          <w:szCs w:val="21"/>
          <w:highlight w:val="none"/>
        </w:rPr>
        <w:t xml:space="preserve"> 标准。</w:t>
      </w:r>
    </w:p>
    <w:p w14:paraId="5EC2385F">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color w:val="auto"/>
          <w:sz w:val="21"/>
          <w:szCs w:val="21"/>
          <w:highlight w:val="none"/>
        </w:rPr>
      </w:pPr>
      <w:bookmarkStart w:id="66" w:name="_Toc351203484"/>
      <w:r>
        <w:rPr>
          <w:rFonts w:hint="eastAsia" w:ascii="宋体" w:hAnsi="宋体" w:eastAsia="宋体" w:cs="宋体"/>
          <w:b/>
          <w:color w:val="auto"/>
          <w:sz w:val="21"/>
          <w:szCs w:val="21"/>
          <w:highlight w:val="none"/>
        </w:rPr>
        <w:t>四、签约合同价与合同价格形式</w:t>
      </w:r>
      <w:bookmarkEnd w:id="66"/>
      <w:r>
        <w:rPr>
          <w:rFonts w:hint="eastAsia" w:ascii="宋体" w:hAnsi="宋体" w:eastAsia="宋体" w:cs="宋体"/>
          <w:b/>
          <w:color w:val="auto"/>
          <w:sz w:val="21"/>
          <w:szCs w:val="21"/>
          <w:highlight w:val="none"/>
        </w:rPr>
        <w:tab/>
      </w:r>
    </w:p>
    <w:p w14:paraId="7F19BA23">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14:paraId="13F77CF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575EA2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其中：   </w:t>
      </w:r>
    </w:p>
    <w:p w14:paraId="51E94E3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793B17C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09F322F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总价</w:t>
      </w:r>
      <w:r>
        <w:rPr>
          <w:rFonts w:hint="eastAsia" w:ascii="宋体" w:hAnsi="宋体" w:eastAsia="宋体" w:cs="宋体"/>
          <w:color w:val="auto"/>
          <w:sz w:val="21"/>
          <w:szCs w:val="21"/>
          <w:highlight w:val="none"/>
          <w:u w:val="single"/>
        </w:rPr>
        <w:t xml:space="preserve">合同           </w:t>
      </w:r>
      <w:r>
        <w:rPr>
          <w:rFonts w:hint="eastAsia" w:ascii="宋体" w:hAnsi="宋体" w:eastAsia="宋体" w:cs="宋体"/>
          <w:color w:val="auto"/>
          <w:sz w:val="21"/>
          <w:szCs w:val="21"/>
          <w:highlight w:val="none"/>
        </w:rPr>
        <w:t>。</w:t>
      </w:r>
    </w:p>
    <w:p w14:paraId="6AD7A7AD">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color w:val="auto"/>
          <w:sz w:val="21"/>
          <w:szCs w:val="21"/>
          <w:highlight w:val="none"/>
        </w:rPr>
      </w:pPr>
      <w:bookmarkStart w:id="67" w:name="_Toc351203485"/>
      <w:r>
        <w:rPr>
          <w:rFonts w:hint="eastAsia" w:ascii="宋体" w:hAnsi="宋体" w:eastAsia="宋体" w:cs="宋体"/>
          <w:b/>
          <w:color w:val="auto"/>
          <w:sz w:val="21"/>
          <w:szCs w:val="21"/>
          <w:highlight w:val="none"/>
        </w:rPr>
        <w:t>五、</w:t>
      </w:r>
      <w:bookmarkEnd w:id="67"/>
      <w:r>
        <w:rPr>
          <w:rFonts w:hint="eastAsia" w:ascii="宋体" w:hAnsi="宋体" w:eastAsia="宋体" w:cs="宋体"/>
          <w:b/>
          <w:color w:val="auto"/>
          <w:sz w:val="21"/>
          <w:szCs w:val="21"/>
          <w:highlight w:val="none"/>
        </w:rPr>
        <w:t>项目经理</w:t>
      </w:r>
    </w:p>
    <w:p w14:paraId="64AAF79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5F5AD9C">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color w:val="auto"/>
          <w:sz w:val="21"/>
          <w:szCs w:val="21"/>
          <w:highlight w:val="none"/>
        </w:rPr>
      </w:pPr>
      <w:bookmarkStart w:id="68" w:name="_Toc351203486"/>
      <w:r>
        <w:rPr>
          <w:rFonts w:hint="eastAsia" w:ascii="宋体" w:hAnsi="宋体" w:eastAsia="宋体" w:cs="宋体"/>
          <w:b/>
          <w:color w:val="auto"/>
          <w:sz w:val="21"/>
          <w:szCs w:val="21"/>
          <w:highlight w:val="none"/>
        </w:rPr>
        <w:t>六、合同文件构成</w:t>
      </w:r>
      <w:bookmarkEnd w:id="68"/>
    </w:p>
    <w:p w14:paraId="74165CA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1566E856">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（1）成交通知书；</w:t>
      </w:r>
    </w:p>
    <w:p w14:paraId="7A9C817A">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（2）响应函； </w:t>
      </w:r>
    </w:p>
    <w:p w14:paraId="3911F6DD">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14:paraId="3A86BAE2">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5CCB8444">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14:paraId="4111567F">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1D016BCF">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14:paraId="187EF559">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2C8D4E7B">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2793DD70">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50512FCC">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color w:val="auto"/>
          <w:sz w:val="21"/>
          <w:szCs w:val="21"/>
          <w:highlight w:val="none"/>
        </w:rPr>
      </w:pPr>
      <w:bookmarkStart w:id="69" w:name="_Toc351203487"/>
      <w:r>
        <w:rPr>
          <w:rFonts w:hint="eastAsia" w:ascii="宋体" w:hAnsi="宋体" w:eastAsia="宋体" w:cs="宋体"/>
          <w:b/>
          <w:color w:val="auto"/>
          <w:sz w:val="21"/>
          <w:szCs w:val="21"/>
          <w:highlight w:val="none"/>
        </w:rPr>
        <w:t>七、承诺</w:t>
      </w:r>
      <w:bookmarkEnd w:id="69"/>
    </w:p>
    <w:p w14:paraId="55AFFE5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14:paraId="16B93C7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2C17D83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14:paraId="646D8292">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auto"/>
          <w:sz w:val="21"/>
          <w:szCs w:val="21"/>
          <w:highlight w:val="none"/>
        </w:rPr>
      </w:pPr>
      <w:bookmarkStart w:id="70" w:name="_Toc351203488"/>
      <w:r>
        <w:rPr>
          <w:rFonts w:hint="eastAsia" w:ascii="宋体" w:hAnsi="宋体" w:eastAsia="宋体" w:cs="宋体"/>
          <w:b/>
          <w:color w:val="auto"/>
          <w:sz w:val="21"/>
          <w:szCs w:val="21"/>
          <w:highlight w:val="none"/>
        </w:rPr>
        <w:t>八、词语含义</w:t>
      </w:r>
      <w:bookmarkEnd w:id="70"/>
    </w:p>
    <w:p w14:paraId="21FFDC7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5C66DABB">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auto"/>
          <w:sz w:val="21"/>
          <w:szCs w:val="21"/>
          <w:highlight w:val="none"/>
        </w:rPr>
      </w:pPr>
      <w:bookmarkStart w:id="71" w:name="_Toc351203489"/>
      <w:r>
        <w:rPr>
          <w:rFonts w:hint="eastAsia" w:ascii="宋体" w:hAnsi="宋体" w:eastAsia="宋体" w:cs="宋体"/>
          <w:b/>
          <w:color w:val="auto"/>
          <w:sz w:val="21"/>
          <w:szCs w:val="21"/>
          <w:highlight w:val="none"/>
        </w:rPr>
        <w:t>九、签订时间</w:t>
      </w:r>
      <w:bookmarkEnd w:id="71"/>
    </w:p>
    <w:p w14:paraId="7005639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1F516304">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auto"/>
          <w:sz w:val="21"/>
          <w:szCs w:val="21"/>
          <w:highlight w:val="none"/>
        </w:rPr>
      </w:pPr>
      <w:bookmarkStart w:id="72" w:name="_Toc351203490"/>
      <w:r>
        <w:rPr>
          <w:rFonts w:hint="eastAsia" w:ascii="宋体" w:hAnsi="宋体" w:eastAsia="宋体" w:cs="宋体"/>
          <w:b/>
          <w:color w:val="auto"/>
          <w:sz w:val="21"/>
          <w:szCs w:val="21"/>
          <w:highlight w:val="none"/>
        </w:rPr>
        <w:t>十、签订地点</w:t>
      </w:r>
      <w:bookmarkEnd w:id="72"/>
    </w:p>
    <w:p w14:paraId="1229636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3F361AE0">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auto"/>
          <w:sz w:val="21"/>
          <w:szCs w:val="21"/>
          <w:highlight w:val="none"/>
        </w:rPr>
      </w:pPr>
      <w:bookmarkStart w:id="73" w:name="_Toc351203491"/>
      <w:r>
        <w:rPr>
          <w:rFonts w:hint="eastAsia" w:ascii="宋体" w:hAnsi="宋体" w:eastAsia="宋体" w:cs="宋体"/>
          <w:b/>
          <w:color w:val="auto"/>
          <w:sz w:val="21"/>
          <w:szCs w:val="21"/>
          <w:highlight w:val="none"/>
        </w:rPr>
        <w:t>十一、补充协议</w:t>
      </w:r>
      <w:bookmarkEnd w:id="73"/>
    </w:p>
    <w:p w14:paraId="6618049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21BB4BDD">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color w:val="auto"/>
          <w:sz w:val="21"/>
          <w:szCs w:val="21"/>
          <w:highlight w:val="none"/>
        </w:rPr>
      </w:pPr>
      <w:bookmarkStart w:id="74" w:name="_Toc351203492"/>
      <w:r>
        <w:rPr>
          <w:rFonts w:hint="eastAsia" w:ascii="宋体" w:hAnsi="宋体" w:eastAsia="宋体" w:cs="宋体"/>
          <w:b/>
          <w:color w:val="auto"/>
          <w:sz w:val="21"/>
          <w:szCs w:val="21"/>
          <w:highlight w:val="none"/>
        </w:rPr>
        <w:t>十二、合同生效</w:t>
      </w:r>
      <w:bookmarkEnd w:id="74"/>
    </w:p>
    <w:p w14:paraId="05D7D0A3">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双方签字盖章后     </w:t>
      </w:r>
      <w:r>
        <w:rPr>
          <w:rFonts w:hint="eastAsia" w:ascii="宋体" w:hAnsi="宋体" w:eastAsia="宋体" w:cs="宋体"/>
          <w:bCs/>
          <w:color w:val="auto"/>
          <w:sz w:val="21"/>
          <w:szCs w:val="21"/>
          <w:highlight w:val="none"/>
        </w:rPr>
        <w:t>生效。</w:t>
      </w:r>
    </w:p>
    <w:p w14:paraId="350BFDB3">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auto"/>
          <w:sz w:val="21"/>
          <w:szCs w:val="21"/>
          <w:highlight w:val="none"/>
        </w:rPr>
      </w:pPr>
      <w:bookmarkStart w:id="75" w:name="_Toc351203493"/>
      <w:r>
        <w:rPr>
          <w:rFonts w:hint="eastAsia" w:ascii="宋体" w:hAnsi="宋体" w:eastAsia="宋体" w:cs="宋体"/>
          <w:b/>
          <w:color w:val="auto"/>
          <w:sz w:val="21"/>
          <w:szCs w:val="21"/>
          <w:highlight w:val="none"/>
        </w:rPr>
        <w:t>十三、合同份数</w:t>
      </w:r>
      <w:bookmarkEnd w:id="75"/>
    </w:p>
    <w:p w14:paraId="1A5573C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14:paraId="58B75B5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  (公章)                   承包人：  (公章)                                 </w:t>
      </w:r>
    </w:p>
    <w:p w14:paraId="7DA04B7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14:paraId="09F97A0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                           （签字）</w:t>
      </w:r>
    </w:p>
    <w:p w14:paraId="647FD68C">
      <w:pPr>
        <w:keepNext w:val="0"/>
        <w:keepLines w:val="0"/>
        <w:pageBreakBefore w:val="0"/>
        <w:tabs>
          <w:tab w:val="left" w:pos="4410"/>
        </w:tabs>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6F5D35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w:t>
      </w:r>
    </w:p>
    <w:p w14:paraId="69BE56D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438887C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w:t>
      </w:r>
    </w:p>
    <w:p w14:paraId="71581E4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39C60A5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14:paraId="5462997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w:t>
      </w:r>
    </w:p>
    <w:p w14:paraId="3496010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u w:val="single"/>
        </w:rPr>
        <w:t xml:space="preserve">                    </w:t>
      </w:r>
    </w:p>
    <w:p w14:paraId="69EB449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0E4A6FE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p>
    <w:p w14:paraId="7E36DC43">
      <w:pPr>
        <w:pStyle w:val="2"/>
        <w:keepLines w:val="0"/>
        <w:pageBreakBefore w:val="0"/>
        <w:kinsoku/>
        <w:wordWrap/>
        <w:overflowPunct/>
        <w:topLinePunct w:val="0"/>
        <w:bidi w:val="0"/>
        <w:spacing w:line="360" w:lineRule="exact"/>
        <w:ind w:left="0" w:leftChars="0" w:firstLine="422" w:firstLineChars="200"/>
        <w:jc w:val="both"/>
        <w:textAlignment w:val="auto"/>
        <w:outlineLvl w:val="9"/>
        <w:rPr>
          <w:rFonts w:hint="eastAsia" w:ascii="宋体" w:hAnsi="宋体" w:eastAsia="宋体" w:cs="宋体"/>
          <w:b/>
          <w:bCs/>
          <w:color w:val="auto"/>
          <w:sz w:val="21"/>
          <w:szCs w:val="21"/>
          <w:lang w:val="zh-CN"/>
        </w:rPr>
      </w:pPr>
    </w:p>
    <w:p w14:paraId="1052EC8A">
      <w:pPr>
        <w:pStyle w:val="16"/>
        <w:keepLines w:val="0"/>
        <w:pageBreakBefore w:val="0"/>
        <w:kinsoku/>
        <w:wordWrap/>
        <w:overflowPunct/>
        <w:topLinePunct w:val="0"/>
        <w:bidi w:val="0"/>
        <w:spacing w:line="360" w:lineRule="exact"/>
        <w:textAlignment w:val="auto"/>
        <w:rPr>
          <w:rFonts w:hint="eastAsia" w:ascii="宋体" w:hAnsi="宋体" w:eastAsia="宋体" w:cs="宋体"/>
          <w:b/>
          <w:bCs/>
          <w:color w:val="auto"/>
          <w:sz w:val="21"/>
          <w:szCs w:val="21"/>
          <w:lang w:val="zh-CN"/>
        </w:rPr>
      </w:pPr>
    </w:p>
    <w:p w14:paraId="32A52723">
      <w:pPr>
        <w:keepNext w:val="0"/>
        <w:keepLines w:val="0"/>
        <w:pageBreakBefore w:val="0"/>
        <w:kinsoku/>
        <w:wordWrap/>
        <w:overflowPunct/>
        <w:topLinePunct w:val="0"/>
        <w:bidi w:val="0"/>
        <w:spacing w:line="360" w:lineRule="exact"/>
        <w:ind w:left="0" w:leftChars="0" w:firstLine="422" w:firstLineChars="200"/>
        <w:jc w:val="center"/>
        <w:textAlignment w:val="auto"/>
        <w:outlineLvl w:val="1"/>
        <w:rPr>
          <w:rFonts w:hint="eastAsia" w:ascii="宋体" w:hAnsi="宋体" w:eastAsia="宋体" w:cs="宋体"/>
          <w:bCs/>
          <w:color w:val="auto"/>
          <w:kern w:val="0"/>
          <w:sz w:val="21"/>
          <w:szCs w:val="21"/>
          <w:highlight w:val="none"/>
        </w:rPr>
      </w:pPr>
      <w:bookmarkStart w:id="76" w:name="_Toc23063"/>
      <w:bookmarkStart w:id="77" w:name="_Toc9221"/>
      <w:r>
        <w:rPr>
          <w:rFonts w:hint="eastAsia" w:ascii="宋体" w:hAnsi="宋体" w:eastAsia="宋体" w:cs="宋体"/>
          <w:b/>
          <w:bCs w:val="0"/>
          <w:color w:val="auto"/>
          <w:kern w:val="0"/>
          <w:sz w:val="21"/>
          <w:szCs w:val="21"/>
          <w:highlight w:val="none"/>
          <w:lang w:val="en-US" w:eastAsia="zh-CN"/>
        </w:rPr>
        <w:t>第二节  通用合同条款</w:t>
      </w:r>
      <w:bookmarkEnd w:id="76"/>
      <w:bookmarkEnd w:id="77"/>
    </w:p>
    <w:p w14:paraId="5B661826">
      <w:pPr>
        <w:keepNext w:val="0"/>
        <w:keepLines w:val="0"/>
        <w:pageBreakBefore w:val="0"/>
        <w:kinsoku/>
        <w:wordWrap/>
        <w:overflowPunct/>
        <w:topLinePunct w:val="0"/>
        <w:bidi w:val="0"/>
        <w:spacing w:line="360" w:lineRule="exact"/>
        <w:ind w:left="0" w:leftChars="0" w:firstLine="420" w:firstLineChars="200"/>
        <w:jc w:val="center"/>
        <w:textAlignment w:val="auto"/>
        <w:rPr>
          <w:rFonts w:hint="eastAsia" w:ascii="宋体" w:hAnsi="宋体" w:eastAsia="宋体" w:cs="宋体"/>
          <w:color w:val="auto"/>
          <w:kern w:val="0"/>
          <w:sz w:val="21"/>
          <w:szCs w:val="21"/>
          <w:highlight w:val="none"/>
        </w:rPr>
      </w:pPr>
    </w:p>
    <w:p w14:paraId="2904E0E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详见（GF—2017—0201）建设工程施工合同示范文本通用合同条款</w:t>
      </w:r>
    </w:p>
    <w:p w14:paraId="54CB91B3">
      <w:pPr>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bCs/>
          <w:color w:val="auto"/>
          <w:sz w:val="21"/>
          <w:szCs w:val="21"/>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2FAA4FF8">
      <w:pPr>
        <w:keepNext w:val="0"/>
        <w:keepLines w:val="0"/>
        <w:pageBreakBefore w:val="0"/>
        <w:kinsoku/>
        <w:wordWrap/>
        <w:overflowPunct/>
        <w:topLinePunct w:val="0"/>
        <w:bidi w:val="0"/>
        <w:spacing w:line="360" w:lineRule="exact"/>
        <w:ind w:left="0" w:leftChars="0" w:firstLine="422" w:firstLineChars="200"/>
        <w:jc w:val="center"/>
        <w:textAlignment w:val="auto"/>
        <w:outlineLvl w:val="1"/>
        <w:rPr>
          <w:rFonts w:hint="eastAsia" w:ascii="宋体" w:hAnsi="宋体" w:eastAsia="宋体" w:cs="宋体"/>
          <w:bCs/>
          <w:color w:val="auto"/>
          <w:kern w:val="0"/>
          <w:sz w:val="21"/>
          <w:szCs w:val="21"/>
          <w:highlight w:val="none"/>
        </w:rPr>
      </w:pPr>
      <w:bookmarkStart w:id="78" w:name="_Toc10129"/>
      <w:bookmarkStart w:id="79" w:name="_Toc30167"/>
      <w:r>
        <w:rPr>
          <w:rFonts w:hint="eastAsia" w:ascii="宋体" w:hAnsi="宋体" w:eastAsia="宋体" w:cs="宋体"/>
          <w:b/>
          <w:bCs w:val="0"/>
          <w:color w:val="auto"/>
          <w:kern w:val="0"/>
          <w:sz w:val="21"/>
          <w:szCs w:val="21"/>
          <w:highlight w:val="none"/>
          <w:lang w:val="en-US" w:eastAsia="zh-CN"/>
        </w:rPr>
        <w:t>第三节   专用合同条款</w:t>
      </w:r>
      <w:bookmarkEnd w:id="78"/>
      <w:bookmarkEnd w:id="79"/>
    </w:p>
    <w:p w14:paraId="3A4EA87E">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bCs/>
          <w:color w:val="auto"/>
          <w:sz w:val="21"/>
          <w:szCs w:val="21"/>
          <w:highlight w:val="none"/>
        </w:rPr>
      </w:pPr>
      <w:bookmarkStart w:id="80" w:name="_Toc351203633"/>
      <w:r>
        <w:rPr>
          <w:rFonts w:hint="eastAsia" w:ascii="宋体" w:hAnsi="宋体" w:eastAsia="宋体" w:cs="宋体"/>
          <w:b/>
          <w:bCs/>
          <w:color w:val="auto"/>
          <w:sz w:val="21"/>
          <w:szCs w:val="21"/>
          <w:highlight w:val="none"/>
        </w:rPr>
        <w:t>1</w:t>
      </w:r>
      <w:bookmarkStart w:id="81" w:name="_Toc296890984"/>
      <w:bookmarkStart w:id="82" w:name="_Toc296944495"/>
      <w:bookmarkStart w:id="83" w:name="_Toc296891196"/>
      <w:bookmarkStart w:id="84" w:name="_Toc297048342"/>
      <w:bookmarkStart w:id="85" w:name="_Toc296347155"/>
      <w:bookmarkStart w:id="86" w:name="_Toc292559866"/>
      <w:bookmarkStart w:id="87" w:name="_Toc296503156"/>
      <w:bookmarkStart w:id="88" w:name="_Toc297120456"/>
      <w:bookmarkStart w:id="89" w:name="_Toc292559361"/>
      <w:bookmarkStart w:id="90" w:name="_Toc296346657"/>
      <w:r>
        <w:rPr>
          <w:rFonts w:hint="eastAsia" w:ascii="宋体" w:hAnsi="宋体" w:eastAsia="宋体" w:cs="宋体"/>
          <w:b/>
          <w:bCs/>
          <w:color w:val="auto"/>
          <w:sz w:val="21"/>
          <w:szCs w:val="21"/>
          <w:highlight w:val="none"/>
        </w:rPr>
        <w:t>.一般约定</w:t>
      </w:r>
      <w:bookmarkEnd w:id="80"/>
    </w:p>
    <w:bookmarkEnd w:id="81"/>
    <w:bookmarkEnd w:id="82"/>
    <w:bookmarkEnd w:id="83"/>
    <w:bookmarkEnd w:id="84"/>
    <w:bookmarkEnd w:id="85"/>
    <w:bookmarkEnd w:id="86"/>
    <w:bookmarkEnd w:id="87"/>
    <w:bookmarkEnd w:id="88"/>
    <w:bookmarkEnd w:id="89"/>
    <w:bookmarkEnd w:id="90"/>
    <w:p w14:paraId="394DEA7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14:paraId="73358BD3">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1.1.1合同</w:t>
      </w:r>
    </w:p>
    <w:p w14:paraId="79C6319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1.1.1.10其他合同文件包括：</w:t>
      </w:r>
      <w:r>
        <w:rPr>
          <w:rFonts w:hint="eastAsia" w:ascii="宋体" w:hAnsi="宋体" w:eastAsia="宋体" w:cs="宋体"/>
          <w:color w:val="auto"/>
          <w:sz w:val="21"/>
          <w:szCs w:val="21"/>
          <w:highlight w:val="none"/>
          <w:u w:val="single"/>
        </w:rPr>
        <w:t>1、合同签署及履行中承发包双方之间澄清、洽商、变更等明确双方权利义务的纪要、补充协议2、本合同协议书3、中标通知书4、本合同专用条款5、本合同通用条款6、施工</w:t>
      </w:r>
      <w:r>
        <w:rPr>
          <w:rFonts w:hint="eastAsia" w:ascii="宋体" w:hAnsi="宋体" w:eastAsia="宋体" w:cs="宋体"/>
          <w:color w:val="auto"/>
          <w:sz w:val="21"/>
          <w:szCs w:val="21"/>
          <w:highlight w:val="none"/>
          <w:u w:val="single"/>
          <w:lang w:eastAsia="zh-CN"/>
        </w:rPr>
        <w:t>竞争性磋商文件</w:t>
      </w:r>
      <w:r>
        <w:rPr>
          <w:rFonts w:hint="eastAsia" w:ascii="宋体" w:hAnsi="宋体" w:eastAsia="宋体" w:cs="宋体"/>
          <w:color w:val="auto"/>
          <w:sz w:val="21"/>
          <w:szCs w:val="21"/>
          <w:highlight w:val="none"/>
          <w:u w:val="single"/>
        </w:rPr>
        <w:t>及附件7、标准、规范及有关技术文件 8、施工投标文件及附件9、工程量清单10、工程报价单或预算书。</w:t>
      </w:r>
    </w:p>
    <w:p w14:paraId="4E6E4D3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01E8EB6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07C9D6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color w:val="auto"/>
          <w:sz w:val="21"/>
          <w:szCs w:val="21"/>
          <w:highlight w:val="none"/>
          <w:u w:val="single"/>
        </w:rPr>
        <w:t xml:space="preserve">          用地红线内             </w:t>
      </w:r>
      <w:r>
        <w:rPr>
          <w:rFonts w:hint="eastAsia" w:ascii="宋体" w:hAnsi="宋体" w:eastAsia="宋体" w:cs="宋体"/>
          <w:color w:val="auto"/>
          <w:kern w:val="0"/>
          <w:sz w:val="21"/>
          <w:szCs w:val="21"/>
          <w:highlight w:val="none"/>
        </w:rPr>
        <w:t>。</w:t>
      </w:r>
    </w:p>
    <w:p w14:paraId="1BFE5B4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1.1.3.10 临时占地包括：</w:t>
      </w:r>
      <w:r>
        <w:rPr>
          <w:rFonts w:hint="eastAsia" w:ascii="宋体" w:hAnsi="宋体" w:eastAsia="宋体" w:cs="宋体"/>
          <w:color w:val="auto"/>
          <w:sz w:val="21"/>
          <w:szCs w:val="21"/>
          <w:highlight w:val="none"/>
          <w:u w:val="single"/>
        </w:rPr>
        <w:t xml:space="preserve"> 施工过程中的临时用房，生产用地等</w:t>
      </w:r>
      <w:r>
        <w:rPr>
          <w:rFonts w:hint="eastAsia" w:ascii="宋体" w:hAnsi="宋体" w:eastAsia="宋体" w:cs="宋体"/>
          <w:color w:val="auto"/>
          <w:kern w:val="0"/>
          <w:sz w:val="21"/>
          <w:szCs w:val="21"/>
          <w:highlight w:val="none"/>
        </w:rPr>
        <w:t>。</w:t>
      </w:r>
    </w:p>
    <w:p w14:paraId="1D62660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14:paraId="15602075">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中华人民共和国建筑法》、《中华人民共和国民法典》、《中华人民共和国政府采购法》、国务院《建设工程质量管理条例》、国务院《建设工程安全生产管理条例》、建设部《房屋建筑工程和市政基础设施工程竣工验收备案管理暂行办法》、建设部《房屋建筑工程质量保修办法》、《陕西省建设工程工程量清单计价规则》（2009版）、中华人民共和国《工程建设标准强制性条文》、现行《建筑工程质量验收统一标准》、《建筑工程施工及验收规范》等国家、部门及地方现行及后续的有关法律、法规、规章、规范性文件等</w:t>
      </w:r>
      <w:r>
        <w:rPr>
          <w:rFonts w:hint="eastAsia" w:ascii="宋体" w:hAnsi="宋体" w:eastAsia="宋体" w:cs="宋体"/>
          <w:color w:val="auto"/>
          <w:sz w:val="21"/>
          <w:szCs w:val="21"/>
          <w:highlight w:val="none"/>
        </w:rPr>
        <w:t>。</w:t>
      </w:r>
    </w:p>
    <w:p w14:paraId="23C38F2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14:paraId="4F22810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color w:val="auto"/>
          <w:sz w:val="21"/>
          <w:szCs w:val="21"/>
          <w:highlight w:val="none"/>
          <w:u w:val="single"/>
        </w:rPr>
        <w:t>执行国家现行的技术标准、施工验收规范及质量检验评定标准，以及材料、设备所涉及的现行国家、省、市或行业的工程建设标准、规范的要求</w:t>
      </w:r>
      <w:r>
        <w:rPr>
          <w:rFonts w:hint="eastAsia" w:ascii="宋体" w:hAnsi="宋体" w:eastAsia="宋体" w:cs="宋体"/>
          <w:color w:val="auto"/>
          <w:sz w:val="21"/>
          <w:szCs w:val="21"/>
          <w:highlight w:val="none"/>
        </w:rPr>
        <w:t>。</w:t>
      </w:r>
    </w:p>
    <w:p w14:paraId="0C02784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合同文件的优先顺序</w:t>
      </w:r>
    </w:p>
    <w:p w14:paraId="6B11E2C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r>
        <w:rPr>
          <w:rFonts w:hint="eastAsia" w:ascii="宋体" w:hAnsi="宋体" w:eastAsia="宋体" w:cs="宋体"/>
          <w:color w:val="auto"/>
          <w:sz w:val="21"/>
          <w:szCs w:val="21"/>
          <w:highlight w:val="none"/>
          <w:u w:val="single"/>
        </w:rPr>
        <w:t>1、合同签署及履行中承发包双方之间澄清、洽商、变更等明确双方权利义务的纪要、补充协议2、本合同协议书3、中标通知书4、本合同专用条款及其附件5、本合同通用条款6、施工</w:t>
      </w:r>
      <w:r>
        <w:rPr>
          <w:rFonts w:hint="eastAsia" w:ascii="宋体" w:hAnsi="宋体" w:eastAsia="宋体" w:cs="宋体"/>
          <w:color w:val="auto"/>
          <w:sz w:val="21"/>
          <w:szCs w:val="21"/>
          <w:highlight w:val="none"/>
          <w:u w:val="single"/>
          <w:lang w:eastAsia="zh-CN"/>
        </w:rPr>
        <w:t>竞争性磋商文件</w:t>
      </w:r>
      <w:r>
        <w:rPr>
          <w:rFonts w:hint="eastAsia" w:ascii="宋体" w:hAnsi="宋体" w:eastAsia="宋体" w:cs="宋体"/>
          <w:color w:val="auto"/>
          <w:sz w:val="21"/>
          <w:szCs w:val="21"/>
          <w:highlight w:val="none"/>
          <w:u w:val="single"/>
        </w:rPr>
        <w:t>及附件7、标准、规范及有关技术文件8、施工投标文件及附件9、工程量清单10、工程报价单或预算书，以及其他合同文件</w:t>
      </w:r>
      <w:r>
        <w:rPr>
          <w:rFonts w:hint="eastAsia" w:ascii="宋体" w:hAnsi="宋体" w:eastAsia="宋体" w:cs="宋体"/>
          <w:color w:val="auto"/>
          <w:sz w:val="21"/>
          <w:szCs w:val="21"/>
          <w:highlight w:val="none"/>
        </w:rPr>
        <w:t>。</w:t>
      </w:r>
    </w:p>
    <w:p w14:paraId="2F1138E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r>
        <w:rPr>
          <w:rFonts w:hint="eastAsia" w:ascii="宋体" w:hAnsi="宋体" w:eastAsia="宋体" w:cs="宋体"/>
          <w:color w:val="auto"/>
          <w:sz w:val="21"/>
          <w:szCs w:val="21"/>
          <w:highlight w:val="none"/>
        </w:rPr>
        <w:tab/>
      </w:r>
    </w:p>
    <w:p w14:paraId="2A2DE5F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1.6.1 图纸的提供：</w:t>
      </w:r>
    </w:p>
    <w:p w14:paraId="79C4CA8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在合同签订后5日内；</w:t>
      </w:r>
    </w:p>
    <w:p w14:paraId="09E9176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四套，标准图由承包人自备；</w:t>
      </w:r>
    </w:p>
    <w:p w14:paraId="14BB93B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color w:val="auto"/>
          <w:sz w:val="21"/>
          <w:szCs w:val="21"/>
          <w:highlight w:val="none"/>
          <w:u w:val="single"/>
        </w:rPr>
        <w:t>施工图（包括水、电、暖、结构、建筑等）。</w:t>
      </w:r>
    </w:p>
    <w:p w14:paraId="222F643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1544547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 xml:space="preserve">施工组织设计（施工方案）、工期进度计划、安全文明施工措施、人员安排等 </w:t>
      </w:r>
      <w:r>
        <w:rPr>
          <w:rFonts w:hint="eastAsia" w:ascii="宋体" w:hAnsi="宋体" w:eastAsia="宋体" w:cs="宋体"/>
          <w:color w:val="auto"/>
          <w:sz w:val="21"/>
          <w:szCs w:val="21"/>
          <w:highlight w:val="none"/>
        </w:rPr>
        <w:t>；</w:t>
      </w:r>
    </w:p>
    <w:p w14:paraId="4B49B1D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 xml:space="preserve">开工前5日内 </w:t>
      </w:r>
      <w:r>
        <w:rPr>
          <w:rFonts w:hint="eastAsia" w:ascii="宋体" w:hAnsi="宋体" w:eastAsia="宋体" w:cs="宋体"/>
          <w:color w:val="auto"/>
          <w:sz w:val="21"/>
          <w:szCs w:val="21"/>
          <w:highlight w:val="none"/>
        </w:rPr>
        <w:t>；</w:t>
      </w:r>
    </w:p>
    <w:p w14:paraId="7D05448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 xml:space="preserve">不少于5份   </w:t>
      </w:r>
      <w:r>
        <w:rPr>
          <w:rFonts w:hint="eastAsia" w:ascii="宋体" w:hAnsi="宋体" w:eastAsia="宋体" w:cs="宋体"/>
          <w:color w:val="auto"/>
          <w:sz w:val="21"/>
          <w:szCs w:val="21"/>
          <w:highlight w:val="none"/>
        </w:rPr>
        <w:t>；</w:t>
      </w:r>
    </w:p>
    <w:p w14:paraId="74E9BE6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 xml:space="preserve">纸质文件   </w:t>
      </w:r>
      <w:r>
        <w:rPr>
          <w:rFonts w:hint="eastAsia" w:ascii="宋体" w:hAnsi="宋体" w:eastAsia="宋体" w:cs="宋体"/>
          <w:color w:val="auto"/>
          <w:sz w:val="21"/>
          <w:szCs w:val="21"/>
          <w:highlight w:val="none"/>
        </w:rPr>
        <w:t>；</w:t>
      </w:r>
    </w:p>
    <w:p w14:paraId="53E632F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接到承包人文件后7日内</w:t>
      </w:r>
      <w:r>
        <w:rPr>
          <w:rFonts w:hint="eastAsia" w:ascii="宋体" w:hAnsi="宋体" w:eastAsia="宋体" w:cs="宋体"/>
          <w:color w:val="auto"/>
          <w:sz w:val="21"/>
          <w:szCs w:val="21"/>
          <w:highlight w:val="none"/>
        </w:rPr>
        <w:t>。</w:t>
      </w:r>
    </w:p>
    <w:p w14:paraId="7101696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522E5A2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执行通用条款。</w:t>
      </w:r>
    </w:p>
    <w:p w14:paraId="2A0ED7C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41B20E5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1.7.1发包人和承包人应当在</w:t>
      </w:r>
      <w:r>
        <w:rPr>
          <w:rFonts w:hint="eastAsia" w:ascii="宋体" w:hAnsi="宋体" w:eastAsia="宋体" w:cs="宋体"/>
          <w:color w:val="auto"/>
          <w:sz w:val="21"/>
          <w:szCs w:val="21"/>
          <w:highlight w:val="none"/>
          <w:u w:val="single"/>
        </w:rPr>
        <w:t>7</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w:t>
      </w:r>
    </w:p>
    <w:p w14:paraId="66FDDB5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 交通运输</w:t>
      </w:r>
    </w:p>
    <w:p w14:paraId="6350478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91" w:name="_Toc312677986"/>
      <w:bookmarkStart w:id="92" w:name="_Toc300934943"/>
      <w:bookmarkStart w:id="93" w:name="_Toc304295521"/>
      <w:bookmarkStart w:id="94" w:name="_Toc303539100"/>
      <w:bookmarkStart w:id="95" w:name="_Toc318581155"/>
      <w:r>
        <w:rPr>
          <w:rFonts w:hint="eastAsia" w:ascii="宋体" w:hAnsi="宋体" w:eastAsia="宋体" w:cs="宋体"/>
          <w:color w:val="auto"/>
          <w:sz w:val="21"/>
          <w:szCs w:val="21"/>
          <w:highlight w:val="none"/>
        </w:rPr>
        <w:t>.10.1 出入现场的权利</w:t>
      </w:r>
    </w:p>
    <w:p w14:paraId="0872E00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关于出入现场的权利的约定：承包人负责现场管理，</w:t>
      </w:r>
      <w:r>
        <w:rPr>
          <w:rFonts w:hint="eastAsia" w:ascii="宋体" w:hAnsi="宋体" w:eastAsia="宋体" w:cs="宋体"/>
          <w:color w:val="auto"/>
          <w:kern w:val="0"/>
          <w:sz w:val="21"/>
          <w:szCs w:val="21"/>
          <w:highlight w:val="none"/>
          <w:u w:val="single"/>
        </w:rPr>
        <w:t>发包人遵守承包人现场管理的规定。</w:t>
      </w:r>
    </w:p>
    <w:bookmarkEnd w:id="91"/>
    <w:bookmarkEnd w:id="92"/>
    <w:bookmarkEnd w:id="93"/>
    <w:bookmarkEnd w:id="94"/>
    <w:bookmarkEnd w:id="95"/>
    <w:p w14:paraId="75B20B7E">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96" w:name="_Toc303539101"/>
      <w:bookmarkStart w:id="97" w:name="_Toc312677987"/>
      <w:bookmarkStart w:id="98" w:name="_Toc300934944"/>
      <w:bookmarkStart w:id="99" w:name="_Toc318581156"/>
      <w:bookmarkStart w:id="100" w:name="_Toc304295522"/>
      <w:r>
        <w:rPr>
          <w:rFonts w:hint="eastAsia" w:ascii="宋体" w:hAnsi="宋体" w:eastAsia="宋体" w:cs="宋体"/>
          <w:color w:val="auto"/>
          <w:sz w:val="21"/>
          <w:szCs w:val="21"/>
          <w:highlight w:val="none"/>
        </w:rPr>
        <w:t>.10.3 场内交通</w:t>
      </w:r>
    </w:p>
    <w:p w14:paraId="18A9295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sz w:val="21"/>
          <w:szCs w:val="21"/>
          <w:highlight w:val="none"/>
          <w:u w:val="single"/>
        </w:rPr>
        <w:t>施工围墙以外为场外交通，施工围墙以内为场内交通，但施工大门至公共道路处为场内交通</w:t>
      </w:r>
      <w:r>
        <w:rPr>
          <w:rFonts w:hint="eastAsia" w:ascii="宋体" w:hAnsi="宋体" w:eastAsia="宋体" w:cs="宋体"/>
          <w:color w:val="auto"/>
          <w:sz w:val="21"/>
          <w:szCs w:val="21"/>
          <w:highlight w:val="none"/>
        </w:rPr>
        <w:t>。</w:t>
      </w:r>
    </w:p>
    <w:p w14:paraId="01AAEAC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场内道路的施工及交通设施由承包人负责，场外道路设施由发包人承担。</w:t>
      </w:r>
      <w:bookmarkEnd w:id="96"/>
      <w:bookmarkEnd w:id="97"/>
      <w:bookmarkEnd w:id="98"/>
      <w:bookmarkEnd w:id="99"/>
      <w:bookmarkEnd w:id="100"/>
      <w:bookmarkStart w:id="101" w:name="_Toc318581157"/>
    </w:p>
    <w:p w14:paraId="4454045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14:paraId="369DF5F7">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承包人</w:t>
      </w:r>
      <w:r>
        <w:rPr>
          <w:rFonts w:hint="eastAsia" w:ascii="宋体" w:hAnsi="宋体" w:eastAsia="宋体" w:cs="宋体"/>
          <w:color w:val="auto"/>
          <w:sz w:val="21"/>
          <w:szCs w:val="21"/>
          <w:highlight w:val="none"/>
        </w:rPr>
        <w:t>承担。</w:t>
      </w:r>
    </w:p>
    <w:bookmarkEnd w:id="101"/>
    <w:p w14:paraId="7396A85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知识产权</w:t>
      </w:r>
    </w:p>
    <w:p w14:paraId="3B95827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rPr>
        <w:t>。</w:t>
      </w:r>
    </w:p>
    <w:p w14:paraId="1590E7E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承包人对上述文件复制应经发包人同意并记录，按受控文件要求进行管理，不得外传、外借。</w:t>
      </w:r>
    </w:p>
    <w:p w14:paraId="6AC30D5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rPr>
        <w:t>。</w:t>
      </w:r>
    </w:p>
    <w:p w14:paraId="001FB1B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承包人对上述文件复制应经发包人同意并记录，按受控文件要求进行管理，不得外传、外借</w:t>
      </w:r>
      <w:r>
        <w:rPr>
          <w:rFonts w:hint="eastAsia" w:ascii="宋体" w:hAnsi="宋体" w:eastAsia="宋体" w:cs="宋体"/>
          <w:color w:val="auto"/>
          <w:sz w:val="21"/>
          <w:szCs w:val="21"/>
          <w:highlight w:val="none"/>
        </w:rPr>
        <w:t>。</w:t>
      </w:r>
    </w:p>
    <w:p w14:paraId="1E48E87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承包人自行承担</w:t>
      </w:r>
      <w:r>
        <w:rPr>
          <w:rFonts w:hint="eastAsia" w:ascii="宋体" w:hAnsi="宋体" w:eastAsia="宋体" w:cs="宋体"/>
          <w:color w:val="auto"/>
          <w:kern w:val="0"/>
          <w:sz w:val="21"/>
          <w:szCs w:val="21"/>
          <w:highlight w:val="none"/>
        </w:rPr>
        <w:t>。</w:t>
      </w:r>
    </w:p>
    <w:p w14:paraId="0A3EA8C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14:paraId="1401C4A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16A6AF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w:t>
      </w:r>
    </w:p>
    <w:p w14:paraId="35292948">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bCs/>
          <w:color w:val="auto"/>
          <w:sz w:val="21"/>
          <w:szCs w:val="21"/>
          <w:highlight w:val="none"/>
        </w:rPr>
      </w:pPr>
      <w:bookmarkStart w:id="102" w:name="_Toc351203634"/>
      <w:r>
        <w:rPr>
          <w:rFonts w:hint="eastAsia" w:ascii="宋体" w:hAnsi="宋体" w:eastAsia="宋体" w:cs="宋体"/>
          <w:b/>
          <w:bCs/>
          <w:color w:val="auto"/>
          <w:sz w:val="21"/>
          <w:szCs w:val="21"/>
          <w:highlight w:val="none"/>
        </w:rPr>
        <w:t>2</w:t>
      </w:r>
      <w:bookmarkStart w:id="103" w:name="_Toc292559362"/>
      <w:bookmarkStart w:id="104" w:name="_Toc296503157"/>
      <w:bookmarkStart w:id="105" w:name="_Toc297048343"/>
      <w:bookmarkStart w:id="106" w:name="_Toc296347156"/>
      <w:bookmarkStart w:id="107" w:name="_Toc292559867"/>
      <w:bookmarkStart w:id="108" w:name="_Toc296890985"/>
      <w:bookmarkStart w:id="109" w:name="_Toc297120457"/>
      <w:bookmarkStart w:id="110" w:name="_Toc296346658"/>
      <w:bookmarkStart w:id="111" w:name="_Toc296891197"/>
      <w:bookmarkStart w:id="112" w:name="_Toc296944496"/>
      <w:r>
        <w:rPr>
          <w:rFonts w:hint="eastAsia" w:ascii="宋体" w:hAnsi="宋体" w:eastAsia="宋体" w:cs="宋体"/>
          <w:b/>
          <w:bCs/>
          <w:color w:val="auto"/>
          <w:sz w:val="21"/>
          <w:szCs w:val="21"/>
          <w:highlight w:val="none"/>
        </w:rPr>
        <w:t>. 发包人</w:t>
      </w:r>
      <w:bookmarkEnd w:id="102"/>
    </w:p>
    <w:bookmarkEnd w:id="103"/>
    <w:bookmarkEnd w:id="104"/>
    <w:bookmarkEnd w:id="105"/>
    <w:bookmarkEnd w:id="106"/>
    <w:bookmarkEnd w:id="107"/>
    <w:bookmarkEnd w:id="108"/>
    <w:bookmarkEnd w:id="109"/>
    <w:bookmarkEnd w:id="110"/>
    <w:bookmarkEnd w:id="111"/>
    <w:bookmarkEnd w:id="112"/>
    <w:p w14:paraId="09CD71A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发包人代表</w:t>
      </w:r>
    </w:p>
    <w:p w14:paraId="1871353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0BA2FB4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E05B13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86DA71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298C563">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966F03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117C76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819A8B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负责施工全过程的安全、进度、质量及现场费用控制管理、协调现场各种关系等。</w:t>
      </w:r>
    </w:p>
    <w:p w14:paraId="3265814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施工现场、施工条件和基础资料的提供</w:t>
      </w:r>
    </w:p>
    <w:p w14:paraId="5C60604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47B6889D">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 xml:space="preserve">按通用条款执行 </w:t>
      </w:r>
      <w:r>
        <w:rPr>
          <w:rFonts w:hint="eastAsia" w:ascii="宋体" w:hAnsi="宋体" w:eastAsia="宋体" w:cs="宋体"/>
          <w:color w:val="auto"/>
          <w:sz w:val="21"/>
          <w:szCs w:val="21"/>
          <w:highlight w:val="none"/>
        </w:rPr>
        <w:t>。</w:t>
      </w:r>
    </w:p>
    <w:p w14:paraId="5767901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72D61A9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p>
    <w:p w14:paraId="716B298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a、工程开工前，发包人负责将水准点与座标控制点以书面形式交给承包人，并进行现场交验，承包人正式放线后，由发包人负责及时请城建管理部门进行验线。</w:t>
      </w:r>
    </w:p>
    <w:p w14:paraId="75EF231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将施工所需的水电线路接至施工场地的时间、地点和供应要求：承包人在发包人现场指定地点，将水电引至施工现场，并配备校验合格的水电表，表后水电线路由承包人安装并向发包人交纳水电费，水电费交纳标准按规定执行，开工前由承包人同发包人水电主管部门另行签订水电供应协议。</w:t>
      </w:r>
    </w:p>
    <w:p w14:paraId="2D822D6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c、通讯线路和设备由承包人自行解决并承担其费用。</w:t>
      </w:r>
    </w:p>
    <w:p w14:paraId="30F84952">
      <w:pPr>
        <w:keepNext w:val="0"/>
        <w:keepLines w:val="0"/>
        <w:pageBreakBefore w:val="0"/>
        <w:kinsoku/>
        <w:wordWrap/>
        <w:overflowPunct/>
        <w:topLinePunct w:val="0"/>
        <w:bidi w:val="0"/>
        <w:spacing w:line="360" w:lineRule="exact"/>
        <w:ind w:left="0" w:leftChars="0" w:firstLine="422" w:firstLineChars="200"/>
        <w:textAlignment w:val="auto"/>
        <w:rPr>
          <w:rFonts w:hint="eastAsia" w:ascii="宋体" w:hAnsi="宋体" w:eastAsia="宋体" w:cs="宋体"/>
          <w:b/>
          <w:bCs/>
          <w:color w:val="auto"/>
          <w:sz w:val="21"/>
          <w:szCs w:val="21"/>
          <w:highlight w:val="none"/>
        </w:rPr>
      </w:pPr>
      <w:bookmarkStart w:id="113" w:name="_Toc351203635"/>
      <w:r>
        <w:rPr>
          <w:rFonts w:hint="eastAsia" w:ascii="宋体" w:hAnsi="宋体" w:eastAsia="宋体" w:cs="宋体"/>
          <w:b/>
          <w:bCs/>
          <w:color w:val="auto"/>
          <w:sz w:val="21"/>
          <w:szCs w:val="21"/>
          <w:highlight w:val="none"/>
        </w:rPr>
        <w:t>3</w:t>
      </w:r>
      <w:bookmarkStart w:id="114" w:name="_Toc296944497"/>
      <w:bookmarkStart w:id="115" w:name="_Toc296347157"/>
      <w:bookmarkStart w:id="116" w:name="_Toc297120458"/>
      <w:bookmarkStart w:id="117" w:name="_Toc297048344"/>
      <w:bookmarkStart w:id="118" w:name="_Toc292559363"/>
      <w:bookmarkStart w:id="119" w:name="_Toc296890986"/>
      <w:bookmarkStart w:id="120" w:name="_Toc296503158"/>
      <w:bookmarkStart w:id="121" w:name="_Toc292559868"/>
      <w:bookmarkStart w:id="122" w:name="_Toc296891198"/>
      <w:bookmarkStart w:id="123" w:name="_Toc296346659"/>
      <w:r>
        <w:rPr>
          <w:rFonts w:hint="eastAsia" w:ascii="宋体" w:hAnsi="宋体" w:eastAsia="宋体" w:cs="宋体"/>
          <w:b/>
          <w:bCs/>
          <w:color w:val="auto"/>
          <w:sz w:val="21"/>
          <w:szCs w:val="21"/>
          <w:highlight w:val="none"/>
        </w:rPr>
        <w:t>. 承包人</w:t>
      </w:r>
      <w:bookmarkEnd w:id="113"/>
    </w:p>
    <w:bookmarkEnd w:id="114"/>
    <w:bookmarkEnd w:id="115"/>
    <w:bookmarkEnd w:id="116"/>
    <w:bookmarkEnd w:id="117"/>
    <w:bookmarkEnd w:id="118"/>
    <w:bookmarkEnd w:id="119"/>
    <w:bookmarkEnd w:id="120"/>
    <w:bookmarkEnd w:id="121"/>
    <w:bookmarkEnd w:id="122"/>
    <w:bookmarkEnd w:id="123"/>
    <w:p w14:paraId="75CBF93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14:paraId="30204A07">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z w:val="21"/>
          <w:szCs w:val="21"/>
          <w:highlight w:val="none"/>
        </w:rPr>
        <w:t>承包人提交的竣工资料的内容：</w:t>
      </w:r>
      <w:r>
        <w:rPr>
          <w:rFonts w:hint="eastAsia" w:ascii="宋体" w:hAnsi="宋体" w:eastAsia="宋体" w:cs="宋体"/>
          <w:color w:val="auto"/>
          <w:sz w:val="21"/>
          <w:szCs w:val="21"/>
          <w:highlight w:val="none"/>
          <w:u w:val="single"/>
        </w:rPr>
        <w:t>竣工验收后一个月内，提交竣工图及完整资料文件。</w:t>
      </w:r>
    </w:p>
    <w:p w14:paraId="3A2F28E3">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 xml:space="preserve">        不少于4套     </w:t>
      </w:r>
      <w:r>
        <w:rPr>
          <w:rFonts w:hint="eastAsia" w:ascii="宋体" w:hAnsi="宋体" w:eastAsia="宋体" w:cs="宋体"/>
          <w:color w:val="auto"/>
          <w:sz w:val="21"/>
          <w:szCs w:val="21"/>
          <w:highlight w:val="none"/>
        </w:rPr>
        <w:t>。</w:t>
      </w:r>
    </w:p>
    <w:p w14:paraId="2AB70337">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 xml:space="preserve">    承包人承担      </w:t>
      </w:r>
      <w:r>
        <w:rPr>
          <w:rFonts w:hint="eastAsia" w:ascii="宋体" w:hAnsi="宋体" w:eastAsia="宋体" w:cs="宋体"/>
          <w:color w:val="auto"/>
          <w:sz w:val="21"/>
          <w:szCs w:val="21"/>
          <w:highlight w:val="none"/>
        </w:rPr>
        <w:t>。</w:t>
      </w:r>
    </w:p>
    <w:p w14:paraId="6BF3453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 xml:space="preserve">   竣工验收后一个月内 </w:t>
      </w:r>
      <w:r>
        <w:rPr>
          <w:rFonts w:hint="eastAsia" w:ascii="宋体" w:hAnsi="宋体" w:eastAsia="宋体" w:cs="宋体"/>
          <w:color w:val="auto"/>
          <w:sz w:val="21"/>
          <w:szCs w:val="21"/>
          <w:highlight w:val="none"/>
        </w:rPr>
        <w:t>。</w:t>
      </w:r>
    </w:p>
    <w:p w14:paraId="7A59A6ED">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 xml:space="preserve">        纸质文件      </w:t>
      </w:r>
      <w:r>
        <w:rPr>
          <w:rFonts w:hint="eastAsia" w:ascii="宋体" w:hAnsi="宋体" w:eastAsia="宋体" w:cs="宋体"/>
          <w:color w:val="auto"/>
          <w:sz w:val="21"/>
          <w:szCs w:val="21"/>
          <w:highlight w:val="none"/>
        </w:rPr>
        <w:t>。</w:t>
      </w:r>
    </w:p>
    <w:p w14:paraId="1FE7047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（10）承包人应履行的其他义务：</w:t>
      </w:r>
    </w:p>
    <w:p w14:paraId="229108A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a、承担施工安全保卫工作及非夜间施工照明的责任和要求：</w:t>
      </w:r>
      <w:r>
        <w:rPr>
          <w:rFonts w:hint="eastAsia" w:ascii="宋体" w:hAnsi="宋体" w:eastAsia="宋体" w:cs="宋体"/>
          <w:color w:val="auto"/>
          <w:sz w:val="21"/>
          <w:szCs w:val="21"/>
          <w:highlight w:val="none"/>
          <w:u w:val="single"/>
        </w:rPr>
        <w:t xml:space="preserve">根据工程需要，提供和维修非夜间施工使用的照明、围拦设计；负责施工现场安全保护。  </w:t>
      </w:r>
    </w:p>
    <w:p w14:paraId="1E8F582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b、需承包人办理的有关施工场地交通、环卫和施工噪音管理等手续：</w:t>
      </w:r>
      <w:r>
        <w:rPr>
          <w:rFonts w:hint="eastAsia" w:ascii="宋体" w:hAnsi="宋体" w:eastAsia="宋体" w:cs="宋体"/>
          <w:color w:val="auto"/>
          <w:sz w:val="21"/>
          <w:szCs w:val="21"/>
          <w:highlight w:val="none"/>
          <w:u w:val="single"/>
        </w:rPr>
        <w:t xml:space="preserve"> 施工场地交通、道路硬化、环卫和施工噪音管理在开工前完成。 </w:t>
      </w:r>
    </w:p>
    <w:p w14:paraId="1D6D6D6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c、已完工程成品保护的特殊要求及费用承担：</w:t>
      </w:r>
      <w:r>
        <w:rPr>
          <w:rFonts w:hint="eastAsia" w:ascii="宋体" w:hAnsi="宋体" w:eastAsia="宋体" w:cs="宋体"/>
          <w:color w:val="auto"/>
          <w:sz w:val="21"/>
          <w:szCs w:val="21"/>
          <w:highlight w:val="none"/>
          <w:u w:val="single"/>
        </w:rPr>
        <w:t xml:space="preserve">已完成工程未正式向发包人移交之前，承包人应当按照专用条款约定负责对已完工程的保护工作（包括发包人对工程某些特殊部位和部分设施、设备保护提出的特殊要求），费用由承包人承担。在此期间发生的损坏由承包人自费负责予以修复。 </w:t>
      </w:r>
    </w:p>
    <w:p w14:paraId="2CC3B74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d、施工场地周围以下管线和邻近建筑物、构筑物（含文物保护建筑）、古树名木的保护要求及费用承担：</w:t>
      </w:r>
      <w:r>
        <w:rPr>
          <w:rFonts w:hint="eastAsia" w:ascii="宋体" w:hAnsi="宋体" w:eastAsia="宋体" w:cs="宋体"/>
          <w:color w:val="auto"/>
          <w:sz w:val="21"/>
          <w:szCs w:val="21"/>
          <w:highlight w:val="none"/>
          <w:u w:val="single"/>
        </w:rPr>
        <w:t>工程竣工移交前由承包人负责。由于施工方法不当造成损失、损坏发生的费用由承包方承担。</w:t>
      </w:r>
    </w:p>
    <w:p w14:paraId="45373FD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e、施工场地清洁卫生的要求：</w:t>
      </w:r>
      <w:r>
        <w:rPr>
          <w:rFonts w:hint="eastAsia" w:ascii="宋体" w:hAnsi="宋体" w:eastAsia="宋体" w:cs="宋体"/>
          <w:color w:val="auto"/>
          <w:sz w:val="21"/>
          <w:szCs w:val="21"/>
          <w:highlight w:val="none"/>
          <w:u w:val="single"/>
        </w:rPr>
        <w:t>参照省、市级文明工地要求并符合创卫标准，做到工完场清、构件、材料、设施分类堆放，做好标志、道路清洁、给排水畅通。</w:t>
      </w:r>
    </w:p>
    <w:p w14:paraId="07129B9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f、双方约定承包人应做的其他工作：</w:t>
      </w:r>
      <w:r>
        <w:rPr>
          <w:rFonts w:hint="eastAsia" w:ascii="宋体" w:hAnsi="宋体" w:eastAsia="宋体" w:cs="宋体"/>
          <w:color w:val="auto"/>
          <w:sz w:val="21"/>
          <w:szCs w:val="21"/>
          <w:highlight w:val="none"/>
          <w:u w:val="single"/>
        </w:rPr>
        <w:t>主动与发包人配合共同办理施工许可证等有关手续的工作。按时足额支付农民工工资。</w:t>
      </w:r>
    </w:p>
    <w:p w14:paraId="41E81B6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14:paraId="783B0D8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sz w:val="21"/>
          <w:szCs w:val="21"/>
          <w:highlight w:val="none"/>
        </w:rPr>
        <w:t>项目经理：</w:t>
      </w:r>
    </w:p>
    <w:p w14:paraId="0B64A2F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5F415E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5931483">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372422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E4997DF">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23899C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86E323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3B6F83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2AC0A6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57C3B3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承包人对项目经理的授权范围如下：</w:t>
      </w:r>
      <w:r>
        <w:rPr>
          <w:rFonts w:hint="eastAsia" w:ascii="宋体" w:hAnsi="宋体" w:eastAsia="宋体" w:cs="宋体"/>
          <w:color w:val="auto"/>
          <w:sz w:val="21"/>
          <w:szCs w:val="21"/>
          <w:highlight w:val="none"/>
          <w:u w:val="single"/>
        </w:rPr>
        <w:t>施工现场的进度、安全、质量、费用等项目管理工作</w:t>
      </w:r>
      <w:r>
        <w:rPr>
          <w:rFonts w:hint="eastAsia" w:ascii="宋体" w:hAnsi="宋体" w:eastAsia="宋体" w:cs="宋体"/>
          <w:color w:val="auto"/>
          <w:sz w:val="21"/>
          <w:szCs w:val="21"/>
          <w:highlight w:val="none"/>
        </w:rPr>
        <w:t>。</w:t>
      </w:r>
    </w:p>
    <w:p w14:paraId="0A8BE38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sz w:val="21"/>
          <w:szCs w:val="21"/>
          <w:highlight w:val="none"/>
          <w:u w:val="single"/>
        </w:rPr>
        <w:t>项目经理必须坚守工地，每周在现场工作日不少于5天，每少一天罚款500元，外出连续等于或超过三天以上时，必须事先取得发包人的许可。</w:t>
      </w:r>
    </w:p>
    <w:p w14:paraId="4527A34C">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sz w:val="21"/>
          <w:szCs w:val="21"/>
          <w:highlight w:val="none"/>
          <w:u w:val="single"/>
        </w:rPr>
        <w:t>由承包人自行承担。</w:t>
      </w:r>
    </w:p>
    <w:p w14:paraId="404F77F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sz w:val="21"/>
          <w:szCs w:val="21"/>
          <w:highlight w:val="none"/>
          <w:u w:val="single"/>
        </w:rPr>
        <w:t>发包人有权按照500元/天进行处罚。</w:t>
      </w:r>
    </w:p>
    <w:p w14:paraId="2A075B1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color w:val="auto"/>
          <w:sz w:val="21"/>
          <w:szCs w:val="21"/>
          <w:highlight w:val="none"/>
          <w:u w:val="single"/>
        </w:rPr>
        <w:t>视为承包人违约，发包人有权取消合同</w:t>
      </w:r>
      <w:r>
        <w:rPr>
          <w:rFonts w:hint="eastAsia" w:ascii="宋体" w:hAnsi="宋体" w:eastAsia="宋体" w:cs="宋体"/>
          <w:color w:val="auto"/>
          <w:sz w:val="21"/>
          <w:szCs w:val="21"/>
          <w:highlight w:val="none"/>
        </w:rPr>
        <w:t>。</w:t>
      </w:r>
    </w:p>
    <w:p w14:paraId="7975576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color w:val="auto"/>
          <w:sz w:val="21"/>
          <w:szCs w:val="21"/>
          <w:highlight w:val="none"/>
          <w:u w:val="single"/>
        </w:rPr>
        <w:t>视为承包人违约，发包人有权取消合同</w:t>
      </w:r>
      <w:r>
        <w:rPr>
          <w:rFonts w:hint="eastAsia" w:ascii="宋体" w:hAnsi="宋体" w:eastAsia="宋体" w:cs="宋体"/>
          <w:color w:val="auto"/>
          <w:sz w:val="21"/>
          <w:szCs w:val="21"/>
          <w:highlight w:val="none"/>
        </w:rPr>
        <w:t>。</w:t>
      </w:r>
    </w:p>
    <w:p w14:paraId="51D74DF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14:paraId="035A3F9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 w:val="21"/>
          <w:szCs w:val="21"/>
          <w:highlight w:val="none"/>
          <w:u w:val="single"/>
        </w:rPr>
        <w:t>合同签订后7日内</w:t>
      </w:r>
      <w:r>
        <w:rPr>
          <w:rFonts w:hint="eastAsia" w:ascii="宋体" w:hAnsi="宋体" w:eastAsia="宋体" w:cs="宋体"/>
          <w:color w:val="auto"/>
          <w:sz w:val="21"/>
          <w:szCs w:val="21"/>
          <w:highlight w:val="none"/>
        </w:rPr>
        <w:t>。</w:t>
      </w:r>
    </w:p>
    <w:p w14:paraId="3B50139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rPr>
        <w:t>视为承包人违约，发包人有权解除合同</w:t>
      </w:r>
      <w:r>
        <w:rPr>
          <w:rFonts w:hint="eastAsia" w:ascii="宋体" w:hAnsi="宋体" w:eastAsia="宋体" w:cs="宋体"/>
          <w:color w:val="auto"/>
          <w:sz w:val="21"/>
          <w:szCs w:val="21"/>
          <w:highlight w:val="none"/>
        </w:rPr>
        <w:t>。</w:t>
      </w:r>
    </w:p>
    <w:p w14:paraId="5DDAA3F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必须事先取得发包人的许可</w:t>
      </w:r>
      <w:r>
        <w:rPr>
          <w:rFonts w:hint="eastAsia" w:ascii="宋体" w:hAnsi="宋体" w:eastAsia="宋体" w:cs="宋体"/>
          <w:color w:val="auto"/>
          <w:sz w:val="21"/>
          <w:szCs w:val="21"/>
          <w:highlight w:val="none"/>
        </w:rPr>
        <w:t>。</w:t>
      </w:r>
    </w:p>
    <w:p w14:paraId="31CF08B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3.3.5承包人擅自更换主要施工管理人员的违约责任：</w:t>
      </w:r>
      <w:r>
        <w:rPr>
          <w:rFonts w:hint="eastAsia" w:ascii="宋体" w:hAnsi="宋体" w:eastAsia="宋体" w:cs="宋体"/>
          <w:color w:val="auto"/>
          <w:sz w:val="21"/>
          <w:szCs w:val="21"/>
          <w:highlight w:val="none"/>
          <w:u w:val="single"/>
        </w:rPr>
        <w:t>视为承包人违约，发包人有权根据情况扣除承包人5000元-10000元/人违约金</w:t>
      </w:r>
      <w:r>
        <w:rPr>
          <w:rFonts w:hint="eastAsia" w:ascii="宋体" w:hAnsi="宋体" w:eastAsia="宋体" w:cs="宋体"/>
          <w:color w:val="auto"/>
          <w:sz w:val="21"/>
          <w:szCs w:val="21"/>
          <w:highlight w:val="none"/>
        </w:rPr>
        <w:t>。</w:t>
      </w:r>
    </w:p>
    <w:p w14:paraId="06044F2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 xml:space="preserve">发包人有权按照500元/人/天进行处罚  </w:t>
      </w:r>
      <w:r>
        <w:rPr>
          <w:rFonts w:hint="eastAsia" w:ascii="宋体" w:hAnsi="宋体" w:eastAsia="宋体" w:cs="宋体"/>
          <w:color w:val="auto"/>
          <w:sz w:val="21"/>
          <w:szCs w:val="21"/>
          <w:highlight w:val="none"/>
        </w:rPr>
        <w:t>。</w:t>
      </w:r>
    </w:p>
    <w:p w14:paraId="31BF924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24" w:name="_Toc297123492"/>
      <w:bookmarkStart w:id="125" w:name="_Toc296503159"/>
      <w:bookmarkStart w:id="126" w:name="_Toc296891199"/>
      <w:bookmarkStart w:id="127" w:name="_Toc300934945"/>
      <w:bookmarkStart w:id="128" w:name="_Toc303539102"/>
      <w:bookmarkStart w:id="129" w:name="_Toc304295523"/>
      <w:bookmarkStart w:id="130" w:name="_Toc297120459"/>
      <w:bookmarkStart w:id="131" w:name="_Toc296944498"/>
      <w:bookmarkStart w:id="132" w:name="_Toc296890987"/>
      <w:bookmarkStart w:id="133" w:name="_Toc296347158"/>
      <w:bookmarkStart w:id="134" w:name="_Toc312677988"/>
      <w:bookmarkStart w:id="135" w:name="_Toc296346660"/>
      <w:bookmarkStart w:id="136" w:name="_Toc297048345"/>
      <w:bookmarkStart w:id="137" w:name="_Toc292559869"/>
      <w:bookmarkStart w:id="138" w:name="_Toc297216151"/>
      <w:bookmarkStart w:id="139" w:name="_Toc292559364"/>
      <w:r>
        <w:rPr>
          <w:rFonts w:hint="eastAsia" w:ascii="宋体" w:hAnsi="宋体" w:eastAsia="宋体" w:cs="宋体"/>
          <w:color w:val="auto"/>
          <w:sz w:val="21"/>
          <w:szCs w:val="21"/>
          <w:highlight w:val="none"/>
        </w:rPr>
        <w:t>.5 分包</w:t>
      </w:r>
    </w:p>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5C7A50E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40" w:name="_Toc312677989"/>
      <w:bookmarkStart w:id="141" w:name="_Toc296944499"/>
      <w:bookmarkStart w:id="142" w:name="_Toc296347159"/>
      <w:bookmarkStart w:id="143" w:name="_Toc297120460"/>
      <w:bookmarkStart w:id="144" w:name="_Toc304295524"/>
      <w:bookmarkStart w:id="145" w:name="_Toc297123493"/>
      <w:bookmarkStart w:id="146" w:name="_Toc303539103"/>
      <w:bookmarkStart w:id="147" w:name="_Toc296346661"/>
      <w:bookmarkStart w:id="148" w:name="_Toc300934946"/>
      <w:bookmarkStart w:id="149" w:name="_Toc296890988"/>
      <w:bookmarkStart w:id="150" w:name="_Toc297216152"/>
      <w:bookmarkStart w:id="151" w:name="_Toc297048346"/>
      <w:bookmarkStart w:id="152" w:name="_Toc296503160"/>
      <w:bookmarkStart w:id="153" w:name="_Toc296891200"/>
      <w:bookmarkStart w:id="154" w:name="_Toc318581158"/>
      <w:bookmarkStart w:id="155" w:name="_Toc292559365"/>
      <w:bookmarkStart w:id="156" w:name="_Toc292559870"/>
      <w:r>
        <w:rPr>
          <w:rFonts w:hint="eastAsia" w:ascii="宋体" w:hAnsi="宋体" w:eastAsia="宋体" w:cs="宋体"/>
          <w:color w:val="auto"/>
          <w:sz w:val="21"/>
          <w:szCs w:val="21"/>
          <w:highlight w:val="none"/>
        </w:rPr>
        <w:t>.5.1 分包的一般约定</w:t>
      </w:r>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14:paraId="13D75B8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rPr>
        <w:t>承包人不得将其承包的全部工程转包给第三人，或将其承包的全部工程肢解后以分包的名义转包给第三人</w:t>
      </w:r>
      <w:r>
        <w:rPr>
          <w:rFonts w:hint="eastAsia" w:ascii="宋体" w:hAnsi="宋体" w:eastAsia="宋体" w:cs="宋体"/>
          <w:color w:val="auto"/>
          <w:sz w:val="21"/>
          <w:szCs w:val="21"/>
          <w:highlight w:val="none"/>
        </w:rPr>
        <w:t>。</w:t>
      </w:r>
      <w:bookmarkStart w:id="157" w:name="_Toc296944500"/>
      <w:bookmarkStart w:id="158" w:name="_Toc297120461"/>
      <w:bookmarkStart w:id="159" w:name="_Toc300934947"/>
      <w:bookmarkStart w:id="160" w:name="_Toc296347160"/>
      <w:bookmarkStart w:id="161" w:name="_Toc303539104"/>
      <w:bookmarkStart w:id="162" w:name="_Toc297216153"/>
      <w:bookmarkStart w:id="163" w:name="_Toc297123494"/>
      <w:bookmarkStart w:id="164" w:name="_Toc297048347"/>
      <w:bookmarkStart w:id="165" w:name="_Toc296890989"/>
      <w:bookmarkStart w:id="166" w:name="_Toc304295525"/>
      <w:bookmarkStart w:id="167" w:name="_Toc296346662"/>
      <w:bookmarkStart w:id="168" w:name="_Toc296891201"/>
      <w:bookmarkStart w:id="169" w:name="_Toc296503161"/>
    </w:p>
    <w:bookmarkEnd w:id="157"/>
    <w:bookmarkEnd w:id="158"/>
    <w:bookmarkEnd w:id="159"/>
    <w:bookmarkEnd w:id="160"/>
    <w:bookmarkEnd w:id="161"/>
    <w:bookmarkEnd w:id="162"/>
    <w:bookmarkEnd w:id="163"/>
    <w:bookmarkEnd w:id="164"/>
    <w:bookmarkEnd w:id="165"/>
    <w:bookmarkEnd w:id="166"/>
    <w:bookmarkEnd w:id="167"/>
    <w:bookmarkEnd w:id="168"/>
    <w:bookmarkEnd w:id="169"/>
    <w:p w14:paraId="0001F9B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14:paraId="3000E69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kern w:val="0"/>
          <w:sz w:val="21"/>
          <w:szCs w:val="21"/>
          <w:highlight w:val="none"/>
          <w:u w:val="single"/>
        </w:rPr>
        <w:t>项目正式开工至项目移交竣工验收并交付使用</w:t>
      </w:r>
      <w:r>
        <w:rPr>
          <w:rFonts w:hint="eastAsia" w:ascii="宋体" w:hAnsi="宋体" w:eastAsia="宋体" w:cs="宋体"/>
          <w:color w:val="auto"/>
          <w:kern w:val="0"/>
          <w:sz w:val="21"/>
          <w:szCs w:val="21"/>
          <w:highlight w:val="none"/>
        </w:rPr>
        <w:t>。</w:t>
      </w:r>
    </w:p>
    <w:p w14:paraId="153C11AB">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170" w:name="_Toc267251418"/>
      <w:bookmarkStart w:id="171" w:name="_Toc351203637"/>
      <w:r>
        <w:rPr>
          <w:rFonts w:hint="eastAsia" w:ascii="宋体" w:hAnsi="宋体" w:eastAsia="宋体" w:cs="宋体"/>
          <w:b/>
          <w:bCs/>
          <w:color w:val="auto"/>
          <w:sz w:val="21"/>
          <w:szCs w:val="21"/>
          <w:highlight w:val="none"/>
        </w:rPr>
        <w:t>5</w:t>
      </w:r>
      <w:bookmarkEnd w:id="170"/>
      <w:bookmarkStart w:id="172" w:name="_Toc296346664"/>
      <w:bookmarkStart w:id="173" w:name="_Toc296944502"/>
      <w:bookmarkStart w:id="174" w:name="_Toc297120463"/>
      <w:bookmarkStart w:id="175" w:name="_Toc296891203"/>
      <w:bookmarkStart w:id="176" w:name="_Toc297048349"/>
      <w:bookmarkStart w:id="177" w:name="_Toc292559872"/>
      <w:bookmarkStart w:id="178" w:name="_Toc296890991"/>
      <w:bookmarkStart w:id="179" w:name="_Toc296347162"/>
      <w:bookmarkStart w:id="180" w:name="_Toc292559367"/>
      <w:bookmarkStart w:id="181" w:name="_Toc296503163"/>
      <w:r>
        <w:rPr>
          <w:rFonts w:hint="eastAsia" w:ascii="宋体" w:hAnsi="宋体" w:eastAsia="宋体" w:cs="宋体"/>
          <w:b/>
          <w:bCs/>
          <w:color w:val="auto"/>
          <w:sz w:val="21"/>
          <w:szCs w:val="21"/>
          <w:highlight w:val="none"/>
        </w:rPr>
        <w:t>. 工程质量</w:t>
      </w:r>
      <w:bookmarkEnd w:id="171"/>
    </w:p>
    <w:p w14:paraId="223B9A53">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质量要求</w:t>
      </w:r>
    </w:p>
    <w:p w14:paraId="045A037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bookmarkStart w:id="182" w:name="_Toc297123496"/>
      <w:bookmarkStart w:id="183" w:name="_Toc312677997"/>
      <w:bookmarkStart w:id="184" w:name="_Toc300934949"/>
      <w:bookmarkStart w:id="185" w:name="_Toc297216155"/>
      <w:bookmarkStart w:id="186" w:name="_Toc303539106"/>
      <w:bookmarkStart w:id="187" w:name="_Toc318581164"/>
      <w:bookmarkStart w:id="188" w:name="_Toc304295527"/>
      <w:r>
        <w:rPr>
          <w:rFonts w:hint="eastAsia" w:ascii="宋体" w:hAnsi="宋体" w:eastAsia="宋体" w:cs="宋体"/>
          <w:color w:val="auto"/>
          <w:sz w:val="21"/>
          <w:szCs w:val="21"/>
          <w:highlight w:val="none"/>
        </w:rPr>
        <w:t>5.1.1 特殊质量标准和要求：</w:t>
      </w:r>
      <w:r>
        <w:rPr>
          <w:rFonts w:hint="eastAsia" w:ascii="宋体" w:hAnsi="宋体" w:eastAsia="宋体" w:cs="宋体"/>
          <w:color w:val="auto"/>
          <w:sz w:val="21"/>
          <w:szCs w:val="21"/>
          <w:highlight w:val="none"/>
          <w:u w:val="single"/>
        </w:rPr>
        <w:t>达到国家现行施工验收规范“合格”标准，本工程参照省、市级“文明工地”标准。</w:t>
      </w:r>
    </w:p>
    <w:p w14:paraId="52A7D4CE">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189" w:name="_Toc351203638"/>
      <w:r>
        <w:rPr>
          <w:rFonts w:hint="eastAsia" w:ascii="宋体" w:hAnsi="宋体" w:eastAsia="宋体" w:cs="宋体"/>
          <w:b/>
          <w:bCs/>
          <w:color w:val="auto"/>
          <w:sz w:val="21"/>
          <w:szCs w:val="21"/>
          <w:highlight w:val="none"/>
        </w:rPr>
        <w:t>6. 安全文明施工与环境保护</w:t>
      </w:r>
      <w:bookmarkEnd w:id="189"/>
    </w:p>
    <w:p w14:paraId="0E7BB0F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14:paraId="14D36F59">
      <w:pPr>
        <w:pStyle w:val="20"/>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执行《通用条款》全部条款和国家、省、市关于安全文明施工的要求规定和创卫标准，因承包方原因达不到安全文明施工的要求规定和创卫标准时，承包人应切实整改达到此要求，所需费用均由承包人承担。本工程参照省、市级文明工地标准。承包人应建立安全防护和文明施工制度，严格按照安全防护和文明施工的规定组织施工，并做好下列工作：在施工出入口处、临时用电设施、脚手架、出入通道口、楼梯口电梯井口、孔洞口、爆破物及有害危险气体和液体存放处等危险部位，设置明显的安全警示标志；保持现场道路畅通、排水及排水设施通畅，做必要的现场地面硬化处理；妥善存放和处理材料设备和施工机械，水泥和其他易飞扬细颗粒的建筑材料应密闭存放或采取覆盖等措施，易燃易爆和有毒有害气体应分类存放；现场设置消防通道、配置消防设施和灭火器材，保证施工现场安全；施工垃圾、生活垃圾应分类存放，并及时从现场清运。</w:t>
      </w:r>
    </w:p>
    <w:p w14:paraId="4DD31C12">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真贯彻执行国家及省、市有关安全文明生产的法律法规规章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其他文明和安全生产要求如下：</w:t>
      </w:r>
    </w:p>
    <w:p w14:paraId="3AA4FE69">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（1）建立与工程规模相适应的、以项目经理为第一责任人的施工现场安全文明生产管理机构，配备相应监管人员，赋予监管权力，确保对施工现场安全文明生产实施有效管理。</w:t>
      </w:r>
    </w:p>
    <w:p w14:paraId="21170B6E">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（2）施工现场实行封闭式管理，保证安全文明生产经费的投入。安全文明生产设施、设备按标准设置，配套齐备，牢固可靠。</w:t>
      </w:r>
    </w:p>
    <w:p w14:paraId="15499308">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（3）强化安全文明生产教育培训，严格实行三级安全教育制度，做到全员持证上岗。在日常监管和各级检查的基础上，严格执行汇检制度，发现隐患立即进行整改，不留死角。</w:t>
      </w:r>
    </w:p>
    <w:p w14:paraId="29E08163">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（4）施工现场使用的建筑材料、构配件、安全防护用品、安全设施、机具、机械设备和电气装置等，必须符合建筑施工安全和其他有关技术规范、标准的要求，并按规定进行检测检验。否则，一律不投入使用。</w:t>
      </w:r>
    </w:p>
    <w:p w14:paraId="0A45B4F3">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（5）现场运入运出各类建筑材料必须使用密封车辆运输，加强路面保洁，规范沙石料堆场，不定时洒水控制扬尘。</w:t>
      </w:r>
    </w:p>
    <w:p w14:paraId="2FCA3050">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持施工现场整洁有序，各种材料分类存放、堆码整齐，建筑垃圾及时清运处理，不从高处向下抛投建筑材料、施工用具及建筑垃圾。工地设保洁工或卫生值班人员，各工种完工后做到“工完料尽场地清”。现场场地进行“硬化”处理，做到场内道路平整、通畅、不积水，泥浆、废水不外流，不尘土飞扬，不排泄有毒有害气体。</w:t>
      </w:r>
    </w:p>
    <w:p w14:paraId="71F7226A">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（7）保证施工现场及周围人居环境良好，施工区、办公区、生活区原则上应明显分开或进行隔断。按规定设置食堂、饮水处、厕所、浴室并符合卫生要求。</w:t>
      </w:r>
    </w:p>
    <w:p w14:paraId="49E96114">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（8）按规定设置现场标志牌（五牌一图）和安全警示标志，对涉及社会公众安全的，要在显著位置设置警示牌，并采取相应保护措施。</w:t>
      </w:r>
    </w:p>
    <w:p w14:paraId="1DC0340F">
      <w:pPr>
        <w:keepNext w:val="0"/>
        <w:keepLines w:val="0"/>
        <w:pageBreakBefore w:val="0"/>
        <w:kinsoku/>
        <w:wordWrap/>
        <w:overflowPunct/>
        <w:topLinePunct w:val="0"/>
        <w:bidi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（9）重大安全事故按有关规定及时准确上报，并进行调查处理。</w:t>
      </w:r>
    </w:p>
    <w:p w14:paraId="5796AFDF">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（10）自觉接受并积极配合建设单位的督促检查；建筑安全监管部门的监督管理，依法接受国家安全监察。</w:t>
      </w:r>
    </w:p>
    <w:p w14:paraId="7D8BC76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（1）施工现场内外由本项目承包人提供的生产区、办公区、生活区治安保卫工作由承包人全面负责；（2）上述区域内若发生群殴、械斗等群体性头发治安事件的，每发生一起承包人对发包人支付违约金50000元。</w:t>
      </w:r>
    </w:p>
    <w:p w14:paraId="2C0CE11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由承包人在工程开工后7天内编制施工场地治安管理计划</w:t>
      </w:r>
      <w:r>
        <w:rPr>
          <w:rFonts w:hint="eastAsia" w:ascii="宋体" w:hAnsi="宋体" w:eastAsia="宋体" w:cs="宋体"/>
          <w:color w:val="auto"/>
          <w:sz w:val="21"/>
          <w:szCs w:val="21"/>
          <w:highlight w:val="none"/>
        </w:rPr>
        <w:t>。</w:t>
      </w:r>
    </w:p>
    <w:p w14:paraId="4CA10C3D">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2B472EE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参照陕西省和</w:t>
      </w:r>
      <w:r>
        <w:rPr>
          <w:rFonts w:hint="eastAsia" w:ascii="宋体" w:hAnsi="宋体" w:eastAsia="宋体" w:cs="宋体"/>
          <w:color w:val="auto"/>
          <w:sz w:val="21"/>
          <w:szCs w:val="21"/>
          <w:highlight w:val="none"/>
          <w:u w:val="single"/>
          <w:lang w:val="en-US" w:eastAsia="zh-CN"/>
        </w:rPr>
        <w:t>咸阳</w:t>
      </w:r>
      <w:r>
        <w:rPr>
          <w:rFonts w:hint="eastAsia" w:ascii="宋体" w:hAnsi="宋体" w:eastAsia="宋体" w:cs="宋体"/>
          <w:color w:val="auto"/>
          <w:sz w:val="21"/>
          <w:szCs w:val="21"/>
          <w:highlight w:val="none"/>
          <w:u w:val="single"/>
        </w:rPr>
        <w:t>市对文明工地的要求。</w:t>
      </w:r>
    </w:p>
    <w:p w14:paraId="1FAEC82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sz w:val="21"/>
          <w:szCs w:val="21"/>
          <w:highlight w:val="none"/>
          <w:u w:val="single"/>
        </w:rPr>
        <w:t>/</w:t>
      </w:r>
    </w:p>
    <w:p w14:paraId="4866B96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6.1.9安全生产责任：</w:t>
      </w:r>
      <w:r>
        <w:rPr>
          <w:rFonts w:hint="eastAsia" w:ascii="宋体" w:hAnsi="宋体" w:eastAsia="宋体" w:cs="宋体"/>
          <w:color w:val="auto"/>
          <w:sz w:val="21"/>
          <w:szCs w:val="21"/>
          <w:highlight w:val="none"/>
          <w:u w:val="single"/>
        </w:rPr>
        <w:t>施工现场发生的一切安全事故由承包人承担全部责任及损失。</w:t>
      </w:r>
    </w:p>
    <w:bookmarkEnd w:id="182"/>
    <w:bookmarkEnd w:id="183"/>
    <w:bookmarkEnd w:id="184"/>
    <w:bookmarkEnd w:id="185"/>
    <w:bookmarkEnd w:id="186"/>
    <w:bookmarkEnd w:id="187"/>
    <w:bookmarkEnd w:id="188"/>
    <w:p w14:paraId="7099CC15">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190" w:name="_Toc351203639"/>
      <w:r>
        <w:rPr>
          <w:rFonts w:hint="eastAsia" w:ascii="宋体" w:hAnsi="宋体" w:eastAsia="宋体" w:cs="宋体"/>
          <w:b/>
          <w:bCs/>
          <w:color w:val="auto"/>
          <w:sz w:val="21"/>
          <w:szCs w:val="21"/>
          <w:highlight w:val="none"/>
        </w:rPr>
        <w:t>7. 工期和进度</w:t>
      </w:r>
      <w:bookmarkEnd w:id="190"/>
    </w:p>
    <w:p w14:paraId="5AA60FA5">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14:paraId="13894D34">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承包人提交详细施工组织设计的期限的约定：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合同签订7天内 </w:t>
      </w:r>
      <w:r>
        <w:rPr>
          <w:rFonts w:hint="eastAsia" w:ascii="宋体" w:hAnsi="宋体" w:eastAsia="宋体" w:cs="宋体"/>
          <w:color w:val="auto"/>
          <w:sz w:val="21"/>
          <w:szCs w:val="21"/>
          <w:highlight w:val="none"/>
        </w:rPr>
        <w:t>。</w:t>
      </w:r>
    </w:p>
    <w:p w14:paraId="057917C7">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发包人在收到详细的施工组织设计后确认或提出修改意见的期限：</w:t>
      </w:r>
      <w:r>
        <w:rPr>
          <w:rFonts w:hint="eastAsia" w:ascii="宋体" w:hAnsi="宋体" w:eastAsia="宋体" w:cs="宋体"/>
          <w:color w:val="auto"/>
          <w:sz w:val="21"/>
          <w:szCs w:val="21"/>
          <w:highlight w:val="none"/>
          <w:u w:val="single"/>
        </w:rPr>
        <w:t>执行通用条款</w:t>
      </w:r>
      <w:r>
        <w:rPr>
          <w:rFonts w:hint="eastAsia" w:ascii="宋体" w:hAnsi="宋体" w:eastAsia="宋体" w:cs="宋体"/>
          <w:color w:val="auto"/>
          <w:sz w:val="21"/>
          <w:szCs w:val="21"/>
          <w:highlight w:val="none"/>
        </w:rPr>
        <w:t>。</w:t>
      </w:r>
    </w:p>
    <w:p w14:paraId="6EEC922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91" w:name="_Toc312678005"/>
      <w:bookmarkStart w:id="192" w:name="_Toc303539123"/>
      <w:bookmarkStart w:id="193" w:name="_Toc304295541"/>
      <w:bookmarkStart w:id="194" w:name="_Toc297216173"/>
      <w:bookmarkStart w:id="195" w:name="_Toc300934966"/>
      <w:bookmarkStart w:id="196" w:name="_Toc312677479"/>
      <w:bookmarkStart w:id="197" w:name="_Toc297123514"/>
      <w:r>
        <w:rPr>
          <w:rFonts w:hint="eastAsia" w:ascii="宋体" w:hAnsi="宋体" w:eastAsia="宋体" w:cs="宋体"/>
          <w:color w:val="auto"/>
          <w:sz w:val="21"/>
          <w:szCs w:val="21"/>
          <w:highlight w:val="none"/>
        </w:rPr>
        <w:t>.2 施工进度计划</w:t>
      </w:r>
    </w:p>
    <w:p w14:paraId="1F45DB9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0613EA0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发包人在收到修订的施工进度计划后确认或提出修改意见的期限：</w:t>
      </w:r>
      <w:r>
        <w:rPr>
          <w:rFonts w:hint="eastAsia" w:ascii="宋体" w:hAnsi="宋体" w:eastAsia="宋体" w:cs="宋体"/>
          <w:color w:val="auto"/>
          <w:sz w:val="21"/>
          <w:szCs w:val="21"/>
          <w:highlight w:val="none"/>
          <w:u w:val="single"/>
        </w:rPr>
        <w:t>执行通用条款</w:t>
      </w:r>
      <w:r>
        <w:rPr>
          <w:rFonts w:hint="eastAsia" w:ascii="宋体" w:hAnsi="宋体" w:eastAsia="宋体" w:cs="宋体"/>
          <w:color w:val="auto"/>
          <w:sz w:val="21"/>
          <w:szCs w:val="21"/>
          <w:highlight w:val="none"/>
        </w:rPr>
        <w:t>。</w:t>
      </w:r>
    </w:p>
    <w:p w14:paraId="5B31133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0EA5416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207369B3">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w:t>
      </w:r>
      <w:r>
        <w:rPr>
          <w:rFonts w:hint="eastAsia" w:ascii="宋体" w:hAnsi="宋体" w:eastAsia="宋体" w:cs="宋体"/>
          <w:color w:val="auto"/>
          <w:kern w:val="0"/>
          <w:sz w:val="21"/>
          <w:szCs w:val="21"/>
          <w:highlight w:val="none"/>
        </w:rPr>
        <w:t>工程开工报审表的期限：</w:t>
      </w:r>
      <w:r>
        <w:rPr>
          <w:rFonts w:hint="eastAsia" w:ascii="宋体" w:hAnsi="宋体" w:eastAsia="宋体" w:cs="宋体"/>
          <w:color w:val="auto"/>
          <w:sz w:val="21"/>
          <w:szCs w:val="21"/>
          <w:highlight w:val="none"/>
          <w:u w:val="single"/>
        </w:rPr>
        <w:t>合同签订后5天内，但不得晚于通用条款7.3.2项[开工通知]载明的开工日期前10天</w:t>
      </w:r>
      <w:r>
        <w:rPr>
          <w:rFonts w:hint="eastAsia" w:ascii="宋体" w:hAnsi="宋体" w:eastAsia="宋体" w:cs="宋体"/>
          <w:color w:val="auto"/>
          <w:sz w:val="21"/>
          <w:szCs w:val="21"/>
          <w:highlight w:val="none"/>
        </w:rPr>
        <w:t>。</w:t>
      </w:r>
    </w:p>
    <w:p w14:paraId="6937380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 xml:space="preserve">扬尘治理专项方案，合同签订后15个日历天内    </w:t>
      </w:r>
      <w:r>
        <w:rPr>
          <w:rFonts w:hint="eastAsia" w:ascii="宋体" w:hAnsi="宋体" w:eastAsia="宋体" w:cs="宋体"/>
          <w:color w:val="auto"/>
          <w:sz w:val="21"/>
          <w:szCs w:val="21"/>
          <w:highlight w:val="none"/>
        </w:rPr>
        <w:t>。</w:t>
      </w:r>
    </w:p>
    <w:bookmarkEnd w:id="191"/>
    <w:bookmarkEnd w:id="192"/>
    <w:bookmarkEnd w:id="193"/>
    <w:bookmarkEnd w:id="194"/>
    <w:bookmarkEnd w:id="195"/>
    <w:bookmarkEnd w:id="196"/>
    <w:bookmarkEnd w:id="197"/>
    <w:p w14:paraId="7212D2E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98" w:name="_Toc297216175"/>
      <w:bookmarkStart w:id="199" w:name="_Toc312677484"/>
      <w:bookmarkStart w:id="200" w:name="_Toc304295546"/>
      <w:bookmarkStart w:id="201" w:name="_Toc312678010"/>
      <w:bookmarkStart w:id="202" w:name="_Toc303539125"/>
      <w:bookmarkStart w:id="203" w:name="_Toc297123516"/>
      <w:bookmarkStart w:id="204" w:name="_Toc300934968"/>
      <w:r>
        <w:rPr>
          <w:rFonts w:hint="eastAsia" w:ascii="宋体" w:hAnsi="宋体" w:eastAsia="宋体" w:cs="宋体"/>
          <w:color w:val="auto"/>
          <w:sz w:val="21"/>
          <w:szCs w:val="21"/>
          <w:highlight w:val="none"/>
        </w:rPr>
        <w:t>.5 工期延误</w:t>
      </w:r>
    </w:p>
    <w:bookmarkEnd w:id="198"/>
    <w:bookmarkEnd w:id="199"/>
    <w:bookmarkEnd w:id="200"/>
    <w:bookmarkEnd w:id="201"/>
    <w:bookmarkEnd w:id="202"/>
    <w:bookmarkEnd w:id="203"/>
    <w:bookmarkEnd w:id="204"/>
    <w:p w14:paraId="58B6F1D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bookmarkStart w:id="205" w:name="_Toc312678014"/>
      <w:bookmarkStart w:id="206" w:name="_Toc318581171"/>
      <w:r>
        <w:rPr>
          <w:rFonts w:hint="eastAsia" w:ascii="宋体" w:hAnsi="宋体" w:eastAsia="宋体" w:cs="宋体"/>
          <w:color w:val="auto"/>
          <w:sz w:val="21"/>
          <w:szCs w:val="21"/>
          <w:highlight w:val="none"/>
        </w:rPr>
        <w:t>7.5.1 因发包人原因导致工期延误</w:t>
      </w:r>
    </w:p>
    <w:p w14:paraId="36014E47">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 不可抗力，此延误工期须在发生后7天内办理延期申请，逾期不予认可</w:t>
      </w:r>
      <w:r>
        <w:rPr>
          <w:rFonts w:hint="eastAsia" w:ascii="宋体" w:hAnsi="宋体" w:eastAsia="宋体" w:cs="宋体"/>
          <w:color w:val="auto"/>
          <w:sz w:val="21"/>
          <w:szCs w:val="21"/>
          <w:highlight w:val="none"/>
        </w:rPr>
        <w:t>。</w:t>
      </w:r>
    </w:p>
    <w:p w14:paraId="642C5D2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07" w:name="_Toc312678012"/>
      <w:bookmarkStart w:id="208" w:name="_Toc318581169"/>
      <w:bookmarkStart w:id="209" w:name="_Toc312677486"/>
      <w:bookmarkStart w:id="210" w:name="_Toc303539127"/>
      <w:bookmarkStart w:id="211" w:name="_Toc304295548"/>
      <w:bookmarkStart w:id="212" w:name="_Toc297216177"/>
      <w:bookmarkStart w:id="213" w:name="_Toc300934970"/>
      <w:bookmarkStart w:id="214" w:name="_Toc297123518"/>
      <w:r>
        <w:rPr>
          <w:rFonts w:hint="eastAsia" w:ascii="宋体" w:hAnsi="宋体" w:eastAsia="宋体" w:cs="宋体"/>
          <w:color w:val="auto"/>
          <w:sz w:val="21"/>
          <w:szCs w:val="21"/>
          <w:highlight w:val="none"/>
        </w:rPr>
        <w:t>.5.2 因承包人原因导致工期延误</w:t>
      </w:r>
    </w:p>
    <w:bookmarkEnd w:id="207"/>
    <w:bookmarkEnd w:id="208"/>
    <w:bookmarkEnd w:id="209"/>
    <w:p w14:paraId="5A109A14">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bookmarkStart w:id="215" w:name="_Toc312677487"/>
      <w:bookmarkStart w:id="216" w:name="_Toc312678013"/>
      <w:bookmarkStart w:id="217" w:name="_Toc318581170"/>
      <w:r>
        <w:rPr>
          <w:rFonts w:hint="eastAsia" w:ascii="宋体" w:hAnsi="宋体" w:eastAsia="宋体" w:cs="宋体"/>
          <w:color w:val="auto"/>
          <w:sz w:val="21"/>
          <w:szCs w:val="21"/>
          <w:highlight w:val="none"/>
        </w:rPr>
        <w:t>承包人原因造成工期延误，逾期竣工违约金的计算方法为：</w:t>
      </w:r>
      <w:bookmarkEnd w:id="210"/>
      <w:bookmarkEnd w:id="211"/>
      <w:bookmarkEnd w:id="212"/>
      <w:bookmarkEnd w:id="213"/>
      <w:bookmarkEnd w:id="214"/>
      <w:bookmarkEnd w:id="215"/>
      <w:bookmarkEnd w:id="216"/>
      <w:r>
        <w:rPr>
          <w:rFonts w:hint="eastAsia" w:ascii="宋体" w:hAnsi="宋体" w:eastAsia="宋体" w:cs="宋体"/>
          <w:color w:val="auto"/>
          <w:sz w:val="21"/>
          <w:szCs w:val="21"/>
          <w:highlight w:val="none"/>
          <w:u w:val="single"/>
        </w:rPr>
        <w:t>按投标工期提前无奖励。1）承包人工期每推迟一天除按合同价的万分之二处罚外，若影响发包人使用时，还应按合同总价的5‰向发包人支付使用违约金。2）因工程量变化引起的工期变化，本工程不予调整即总工期不变。</w:t>
      </w:r>
    </w:p>
    <w:bookmarkEnd w:id="217"/>
    <w:p w14:paraId="44FCC88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因承包人原因造成工期延误，逾期竣工违约金的上限：</w:t>
      </w:r>
      <w:r>
        <w:rPr>
          <w:rFonts w:hint="eastAsia" w:ascii="宋体" w:hAnsi="宋体" w:eastAsia="宋体" w:cs="宋体"/>
          <w:color w:val="auto"/>
          <w:sz w:val="21"/>
          <w:szCs w:val="21"/>
          <w:highlight w:val="none"/>
          <w:u w:val="single"/>
        </w:rPr>
        <w:t>无上限</w:t>
      </w:r>
      <w:r>
        <w:rPr>
          <w:rFonts w:hint="eastAsia" w:ascii="宋体" w:hAnsi="宋体" w:eastAsia="宋体" w:cs="宋体"/>
          <w:color w:val="auto"/>
          <w:sz w:val="21"/>
          <w:szCs w:val="21"/>
          <w:highlight w:val="none"/>
        </w:rPr>
        <w:t>。</w:t>
      </w:r>
    </w:p>
    <w:bookmarkEnd w:id="205"/>
    <w:bookmarkEnd w:id="206"/>
    <w:p w14:paraId="6BA920F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18" w:name="_Toc297216180"/>
      <w:bookmarkStart w:id="219" w:name="_Toc304295551"/>
      <w:bookmarkStart w:id="220" w:name="_Toc312678017"/>
      <w:bookmarkStart w:id="221" w:name="_Toc303539130"/>
      <w:bookmarkStart w:id="222" w:name="_Toc300934973"/>
      <w:bookmarkStart w:id="223" w:name="_Toc297123521"/>
      <w:r>
        <w:rPr>
          <w:rFonts w:hint="eastAsia" w:ascii="宋体" w:hAnsi="宋体" w:eastAsia="宋体" w:cs="宋体"/>
          <w:color w:val="auto"/>
          <w:sz w:val="21"/>
          <w:szCs w:val="21"/>
          <w:highlight w:val="none"/>
        </w:rPr>
        <w:t>.7异常恶劣的气候条件</w:t>
      </w:r>
    </w:p>
    <w:bookmarkEnd w:id="218"/>
    <w:bookmarkEnd w:id="219"/>
    <w:bookmarkEnd w:id="220"/>
    <w:bookmarkEnd w:id="221"/>
    <w:bookmarkEnd w:id="222"/>
    <w:bookmarkEnd w:id="223"/>
    <w:p w14:paraId="549B9D2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3458C8E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u w:val="single"/>
        </w:rPr>
        <w:t xml:space="preserve">7级以上大风 </w:t>
      </w:r>
      <w:r>
        <w:rPr>
          <w:rFonts w:hint="eastAsia" w:ascii="宋体" w:hAnsi="宋体" w:eastAsia="宋体" w:cs="宋体"/>
          <w:color w:val="auto"/>
          <w:sz w:val="21"/>
          <w:szCs w:val="21"/>
          <w:highlight w:val="none"/>
        </w:rPr>
        <w:t>。</w:t>
      </w:r>
    </w:p>
    <w:p w14:paraId="2CF1B49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sz w:val="21"/>
          <w:szCs w:val="21"/>
          <w:highlight w:val="none"/>
          <w:u w:val="single"/>
        </w:rPr>
        <w:t xml:space="preserve">3小时内降雨量将达50毫米以上，或者已达50毫米以上且降雨可能持续 </w:t>
      </w:r>
      <w:r>
        <w:rPr>
          <w:rFonts w:hint="eastAsia" w:ascii="宋体" w:hAnsi="宋体" w:eastAsia="宋体" w:cs="宋体"/>
          <w:color w:val="auto"/>
          <w:sz w:val="21"/>
          <w:szCs w:val="21"/>
          <w:highlight w:val="none"/>
        </w:rPr>
        <w:t>。</w:t>
      </w:r>
    </w:p>
    <w:p w14:paraId="3B4B01F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u w:val="single"/>
        </w:rPr>
        <w:t>雾霾红色预警</w:t>
      </w:r>
      <w:r>
        <w:rPr>
          <w:rFonts w:hint="eastAsia" w:ascii="宋体" w:hAnsi="宋体" w:eastAsia="宋体" w:cs="宋体"/>
          <w:color w:val="auto"/>
          <w:sz w:val="21"/>
          <w:szCs w:val="21"/>
          <w:highlight w:val="none"/>
        </w:rPr>
        <w:t>。</w:t>
      </w:r>
    </w:p>
    <w:p w14:paraId="170C4B7C">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224" w:name="_Toc351203640"/>
      <w:r>
        <w:rPr>
          <w:rFonts w:hint="eastAsia" w:ascii="宋体" w:hAnsi="宋体" w:eastAsia="宋体" w:cs="宋体"/>
          <w:b/>
          <w:bCs/>
          <w:color w:val="auto"/>
          <w:sz w:val="21"/>
          <w:szCs w:val="21"/>
          <w:highlight w:val="none"/>
        </w:rPr>
        <w:t>8. 材料与设备</w:t>
      </w:r>
      <w:bookmarkEnd w:id="224"/>
    </w:p>
    <w:bookmarkEnd w:id="172"/>
    <w:bookmarkEnd w:id="173"/>
    <w:bookmarkEnd w:id="174"/>
    <w:bookmarkEnd w:id="175"/>
    <w:bookmarkEnd w:id="176"/>
    <w:bookmarkEnd w:id="177"/>
    <w:bookmarkEnd w:id="178"/>
    <w:bookmarkEnd w:id="179"/>
    <w:bookmarkEnd w:id="180"/>
    <w:bookmarkEnd w:id="181"/>
    <w:p w14:paraId="15B75EE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bookmarkStart w:id="225" w:name="_Toc303539137"/>
      <w:bookmarkStart w:id="226" w:name="_Toc304295557"/>
      <w:bookmarkStart w:id="227" w:name="_Toc296503168"/>
      <w:bookmarkStart w:id="228" w:name="_Toc297120468"/>
      <w:bookmarkStart w:id="229" w:name="_Toc312678020"/>
      <w:bookmarkStart w:id="230" w:name="_Toc297123528"/>
      <w:bookmarkStart w:id="231" w:name="_Toc297048354"/>
      <w:bookmarkStart w:id="232" w:name="_Toc267251424"/>
      <w:bookmarkStart w:id="233" w:name="_Toc296891208"/>
      <w:bookmarkStart w:id="234" w:name="_Toc296346669"/>
      <w:bookmarkStart w:id="235" w:name="_Toc297216187"/>
      <w:bookmarkStart w:id="236" w:name="_Toc318581173"/>
      <w:bookmarkStart w:id="237" w:name="_Toc296890996"/>
      <w:bookmarkStart w:id="238" w:name="_Toc280868655"/>
      <w:bookmarkStart w:id="239" w:name="_Toc280868656"/>
      <w:bookmarkStart w:id="240" w:name="_Toc296347167"/>
      <w:bookmarkStart w:id="241" w:name="_Toc312677494"/>
      <w:bookmarkStart w:id="242" w:name="_Toc300934980"/>
      <w:bookmarkStart w:id="243" w:name="_Toc296944507"/>
      <w:r>
        <w:rPr>
          <w:rFonts w:hint="eastAsia" w:ascii="宋体" w:hAnsi="宋体" w:eastAsia="宋体" w:cs="宋体"/>
          <w:color w:val="auto"/>
          <w:sz w:val="21"/>
          <w:szCs w:val="21"/>
          <w:highlight w:val="none"/>
        </w:rPr>
        <w:t>8.2承包人采购材料与工程设备：</w:t>
      </w:r>
    </w:p>
    <w:p w14:paraId="7231B1B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由发包人暂定价的材料设备必须经发包人认质认价和</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审批程序后承包人方可采购，发包人认定的价格与暂定价差额计算材料价差，其差价部分只计取规费、安全文明施工费和税金。发包人暂定价或需认质认价的材料设备单价已包含全部费用（为工地出库价）。</w:t>
      </w:r>
    </w:p>
    <w:p w14:paraId="036E92B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承包人采购的所有材料、设备，除满足</w:t>
      </w:r>
      <w:r>
        <w:rPr>
          <w:rFonts w:hint="eastAsia" w:ascii="宋体" w:hAnsi="宋体" w:eastAsia="宋体" w:cs="宋体"/>
          <w:color w:val="auto"/>
          <w:sz w:val="21"/>
          <w:szCs w:val="21"/>
          <w:highlight w:val="none"/>
          <w:u w:val="single"/>
          <w:lang w:eastAsia="zh-CN"/>
        </w:rPr>
        <w:t>竞争性磋商文件</w:t>
      </w:r>
      <w:r>
        <w:rPr>
          <w:rFonts w:hint="eastAsia" w:ascii="宋体" w:hAnsi="宋体" w:eastAsia="宋体" w:cs="宋体"/>
          <w:color w:val="auto"/>
          <w:sz w:val="21"/>
          <w:szCs w:val="21"/>
          <w:highlight w:val="none"/>
          <w:u w:val="single"/>
        </w:rPr>
        <w:t>要求外，且应达到国家规范或设计要求的“合格”及以上标准，且应符合国家、省市关于健康、节能、环保以及强制性认证等要求。由承包人自购的主要材料、设备必须经发包方认质审批后，方可采购。如因材料、设备质量造成的工程损失由承包人负全部责任。</w:t>
      </w:r>
    </w:p>
    <w:p w14:paraId="7334BB51">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其它主要材料价格调整约定：</w:t>
      </w:r>
    </w:p>
    <w:p w14:paraId="5E418BBB">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商品砼市场价中已含运费、泵送费、抗渗费及其它所需添加剂等一切费用。</w:t>
      </w:r>
    </w:p>
    <w:p w14:paraId="14DEAED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承包人中标后，应在一周内提交总采购计划书（包括品牌、规格型号、数量、采购时间等内容）。在各批材料进场一周前，承包人应向发包人提交该批材料采购情况及说明。各批材料进场前应提前通知发包人进行现场复核确认。</w:t>
      </w:r>
    </w:p>
    <w:p w14:paraId="7F2585BA">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244" w:name="_Toc292559877"/>
      <w:bookmarkStart w:id="245" w:name="_Toc312678019"/>
      <w:bookmarkStart w:id="246" w:name="_Toc312677493"/>
      <w:bookmarkStart w:id="247" w:name="_Toc296346668"/>
      <w:bookmarkStart w:id="248" w:name="_Toc280868654"/>
      <w:bookmarkStart w:id="249" w:name="_Toc303539136"/>
      <w:bookmarkStart w:id="250" w:name="_Toc296347166"/>
      <w:bookmarkStart w:id="251" w:name="_Toc296503167"/>
      <w:bookmarkStart w:id="252" w:name="_Toc296890995"/>
      <w:bookmarkStart w:id="253" w:name="_Toc297216186"/>
      <w:bookmarkStart w:id="254" w:name="_Toc300934979"/>
      <w:bookmarkStart w:id="255" w:name="_Toc292559372"/>
      <w:bookmarkStart w:id="256" w:name="_Toc297048353"/>
      <w:bookmarkStart w:id="257" w:name="_Toc296891207"/>
      <w:bookmarkStart w:id="258" w:name="_Toc296944506"/>
      <w:bookmarkStart w:id="259" w:name="_Toc297123527"/>
      <w:bookmarkStart w:id="260" w:name="_Toc297120467"/>
      <w:bookmarkStart w:id="261" w:name="_Toc304295556"/>
      <w:r>
        <w:rPr>
          <w:rFonts w:hint="eastAsia" w:ascii="宋体" w:hAnsi="宋体" w:eastAsia="宋体" w:cs="宋体"/>
          <w:color w:val="auto"/>
          <w:sz w:val="21"/>
          <w:szCs w:val="21"/>
          <w:highlight w:val="none"/>
        </w:rPr>
        <w:t>.4材料与工程设备的保管与使用：</w:t>
      </w:r>
      <w:r>
        <w:rPr>
          <w:rFonts w:hint="eastAsia" w:ascii="宋体" w:hAnsi="宋体" w:eastAsia="宋体" w:cs="宋体"/>
          <w:color w:val="auto"/>
          <w:sz w:val="21"/>
          <w:szCs w:val="21"/>
          <w:highlight w:val="none"/>
          <w:u w:val="single"/>
        </w:rPr>
        <w:t>本项目采购材料与工程设备由承包人保管。</w:t>
      </w: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7FB3F0C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bookmarkStart w:id="262" w:name="_Toc292559373"/>
      <w:bookmarkStart w:id="263" w:name="_Toc292559878"/>
      <w:r>
        <w:rPr>
          <w:rFonts w:hint="eastAsia" w:ascii="宋体" w:hAnsi="宋体" w:eastAsia="宋体" w:cs="宋体"/>
          <w:color w:val="auto"/>
          <w:kern w:val="0"/>
          <w:sz w:val="21"/>
          <w:szCs w:val="21"/>
          <w:highlight w:val="none"/>
        </w:rPr>
        <w:t>8.4.2 承包人采购</w:t>
      </w:r>
      <w:r>
        <w:rPr>
          <w:rFonts w:hint="eastAsia" w:ascii="宋体" w:hAnsi="宋体" w:eastAsia="宋体" w:cs="宋体"/>
          <w:color w:val="auto"/>
          <w:sz w:val="21"/>
          <w:szCs w:val="21"/>
          <w:highlight w:val="none"/>
        </w:rPr>
        <w:t>材料与</w:t>
      </w:r>
      <w:r>
        <w:rPr>
          <w:rFonts w:hint="eastAsia" w:ascii="宋体" w:hAnsi="宋体" w:eastAsia="宋体" w:cs="宋体"/>
          <w:color w:val="auto"/>
          <w:kern w:val="0"/>
          <w:sz w:val="21"/>
          <w:szCs w:val="21"/>
          <w:highlight w:val="none"/>
        </w:rPr>
        <w:t>工程</w:t>
      </w:r>
      <w:r>
        <w:rPr>
          <w:rFonts w:hint="eastAsia" w:ascii="宋体" w:hAnsi="宋体" w:eastAsia="宋体" w:cs="宋体"/>
          <w:color w:val="auto"/>
          <w:sz w:val="21"/>
          <w:szCs w:val="21"/>
          <w:highlight w:val="none"/>
        </w:rPr>
        <w:t>设备的保管与使用：</w:t>
      </w:r>
      <w:bookmarkEnd w:id="262"/>
      <w:bookmarkEnd w:id="263"/>
      <w:r>
        <w:rPr>
          <w:rFonts w:hint="eastAsia" w:ascii="宋体" w:hAnsi="宋体" w:eastAsia="宋体" w:cs="宋体"/>
          <w:color w:val="auto"/>
          <w:sz w:val="21"/>
          <w:szCs w:val="21"/>
          <w:highlight w:val="none"/>
          <w:u w:val="single"/>
        </w:rPr>
        <w:t>执行通用条款。</w:t>
      </w:r>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55773D2B">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264" w:name="_Toc296347172"/>
      <w:bookmarkStart w:id="265" w:name="_Toc267251427"/>
      <w:bookmarkStart w:id="266" w:name="_Toc292559883"/>
      <w:bookmarkStart w:id="267" w:name="_Toc296944512"/>
      <w:bookmarkStart w:id="268" w:name="_Toc297120473"/>
      <w:bookmarkStart w:id="269" w:name="_Toc296503173"/>
      <w:bookmarkStart w:id="270" w:name="_Toc296346674"/>
      <w:bookmarkStart w:id="271" w:name="_Toc296891213"/>
      <w:bookmarkStart w:id="272" w:name="_Toc292559378"/>
      <w:bookmarkStart w:id="273" w:name="_Toc296891001"/>
      <w:bookmarkStart w:id="274" w:name="_Toc297048359"/>
      <w:bookmarkStart w:id="275" w:name="_Toc267251428"/>
      <w:bookmarkStart w:id="276" w:name="_Toc351203642"/>
      <w:r>
        <w:rPr>
          <w:rFonts w:hint="eastAsia" w:ascii="宋体" w:hAnsi="宋体" w:eastAsia="宋体" w:cs="宋体"/>
          <w:b/>
          <w:bCs/>
          <w:color w:val="auto"/>
          <w:sz w:val="21"/>
          <w:szCs w:val="21"/>
          <w:highlight w:val="none"/>
        </w:rPr>
        <w:t>1</w:t>
      </w:r>
      <w:bookmarkEnd w:id="264"/>
      <w:bookmarkEnd w:id="265"/>
      <w:bookmarkEnd w:id="266"/>
      <w:bookmarkEnd w:id="267"/>
      <w:bookmarkEnd w:id="268"/>
      <w:bookmarkEnd w:id="269"/>
      <w:bookmarkEnd w:id="270"/>
      <w:bookmarkEnd w:id="271"/>
      <w:bookmarkEnd w:id="272"/>
      <w:bookmarkEnd w:id="273"/>
      <w:bookmarkEnd w:id="274"/>
      <w:bookmarkEnd w:id="275"/>
      <w:bookmarkStart w:id="277" w:name="_Toc292559903"/>
      <w:bookmarkStart w:id="278" w:name="_Toc303539146"/>
      <w:bookmarkStart w:id="279" w:name="_Toc304295566"/>
      <w:bookmarkStart w:id="280" w:name="_Toc297120493"/>
      <w:bookmarkStart w:id="281" w:name="_Toc297216199"/>
      <w:bookmarkStart w:id="282" w:name="_Toc297048379"/>
      <w:bookmarkStart w:id="283" w:name="_Toc300934989"/>
      <w:bookmarkStart w:id="284" w:name="_Toc296503193"/>
      <w:bookmarkStart w:id="285" w:name="_Toc296891021"/>
      <w:bookmarkStart w:id="286" w:name="_Toc296347192"/>
      <w:bookmarkStart w:id="287" w:name="_Toc296891233"/>
      <w:bookmarkStart w:id="288" w:name="_Toc296944532"/>
      <w:bookmarkStart w:id="289" w:name="_Toc297123540"/>
      <w:bookmarkStart w:id="290" w:name="_Toc292559398"/>
      <w:bookmarkStart w:id="291" w:name="_Toc296346694"/>
      <w:bookmarkStart w:id="292" w:name="_Toc312678025"/>
      <w:bookmarkStart w:id="293" w:name="_Toc312677499"/>
      <w:bookmarkStart w:id="294" w:name="_Toc267251437"/>
      <w:bookmarkStart w:id="295" w:name="_Toc267251435"/>
      <w:bookmarkStart w:id="296" w:name="_Toc267251433"/>
      <w:bookmarkStart w:id="297" w:name="_Toc267251439"/>
      <w:bookmarkStart w:id="298" w:name="_Toc267251440"/>
      <w:bookmarkStart w:id="299" w:name="_Toc267251441"/>
      <w:bookmarkStart w:id="300" w:name="_Toc267251442"/>
      <w:r>
        <w:rPr>
          <w:rFonts w:hint="eastAsia" w:ascii="宋体" w:hAnsi="宋体" w:eastAsia="宋体" w:cs="宋体"/>
          <w:b/>
          <w:bCs/>
          <w:color w:val="auto"/>
          <w:sz w:val="21"/>
          <w:szCs w:val="21"/>
          <w:highlight w:val="none"/>
        </w:rPr>
        <w:t>0. 变更</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bookmarkEnd w:id="292"/>
    <w:bookmarkEnd w:id="293"/>
    <w:p w14:paraId="141716F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bookmarkStart w:id="301" w:name="_Toc297123541"/>
      <w:bookmarkStart w:id="302" w:name="_Toc297048380"/>
      <w:bookmarkStart w:id="303" w:name="_Toc296346695"/>
      <w:bookmarkStart w:id="304" w:name="_Toc300934990"/>
      <w:bookmarkStart w:id="305" w:name="_Toc292559399"/>
      <w:bookmarkStart w:id="306" w:name="_Toc292559904"/>
      <w:bookmarkStart w:id="307" w:name="_Toc303539147"/>
      <w:bookmarkStart w:id="308" w:name="_Toc312677500"/>
      <w:bookmarkStart w:id="309" w:name="_Toc296891022"/>
      <w:bookmarkStart w:id="310" w:name="_Toc297120494"/>
      <w:bookmarkStart w:id="311" w:name="_Toc312678026"/>
      <w:bookmarkStart w:id="312" w:name="_Toc297216200"/>
      <w:bookmarkStart w:id="313" w:name="_Toc296347193"/>
      <w:bookmarkStart w:id="314" w:name="_Toc296944533"/>
      <w:bookmarkStart w:id="315" w:name="_Toc296891234"/>
      <w:bookmarkStart w:id="316" w:name="_Toc296503194"/>
      <w:bookmarkStart w:id="317" w:name="_Toc304295567"/>
      <w:r>
        <w:rPr>
          <w:rFonts w:hint="eastAsia" w:ascii="宋体" w:hAnsi="宋体" w:eastAsia="宋体" w:cs="宋体"/>
          <w:color w:val="auto"/>
          <w:sz w:val="21"/>
          <w:szCs w:val="21"/>
          <w:highlight w:val="none"/>
        </w:rPr>
        <w:t>10.1变更的范围</w:t>
      </w:r>
    </w:p>
    <w:p w14:paraId="5DB5F40F">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：除通用条款外，承包人在施工中提出的合理化建议涉及到对设计图纸或施工组织设计的更改及对材料、设备的换用，须经报发包人批准后以设计变更单的形式通知承包人实施，否则不作为工程设计变更对待。</w:t>
      </w:r>
    </w:p>
    <w:p w14:paraId="2F316EC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任何变更的提出都应当依据合同或国家有关规范和标准提出。任何变更都必须取得发包人的确认。</w:t>
      </w:r>
    </w:p>
    <w:p w14:paraId="58A5453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2727033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5E0A2ADE">
      <w:pPr>
        <w:keepNext w:val="0"/>
        <w:keepLines w:val="0"/>
        <w:pageBreakBefore w:val="0"/>
        <w:widowControl/>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关于变更估价的约定：</w:t>
      </w:r>
      <w:r>
        <w:rPr>
          <w:rFonts w:hint="eastAsia" w:ascii="宋体" w:hAnsi="宋体" w:eastAsia="宋体" w:cs="宋体"/>
          <w:color w:val="auto"/>
          <w:sz w:val="21"/>
          <w:szCs w:val="21"/>
          <w:highlight w:val="none"/>
          <w:u w:val="single"/>
          <w:lang w:val="en-US" w:eastAsia="zh-CN"/>
        </w:rPr>
        <w:t xml:space="preserve">    无   </w:t>
      </w:r>
    </w:p>
    <w:p w14:paraId="797B22E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Start w:id="318" w:name="_Toc300934993"/>
      <w:bookmarkStart w:id="319" w:name="_Toc296891025"/>
      <w:bookmarkStart w:id="320" w:name="_Toc296891237"/>
      <w:bookmarkStart w:id="321" w:name="_Toc297216203"/>
      <w:bookmarkStart w:id="322" w:name="_Toc296944536"/>
      <w:bookmarkStart w:id="323" w:name="_Toc297120497"/>
      <w:bookmarkStart w:id="324" w:name="_Toc292559907"/>
      <w:bookmarkStart w:id="325" w:name="_Toc296347196"/>
      <w:bookmarkStart w:id="326" w:name="_Toc303539150"/>
      <w:bookmarkStart w:id="327" w:name="_Toc296503197"/>
      <w:bookmarkStart w:id="328" w:name="_Toc297123544"/>
      <w:bookmarkStart w:id="329" w:name="_Toc297048383"/>
      <w:bookmarkStart w:id="330" w:name="_Toc296346698"/>
      <w:bookmarkStart w:id="331" w:name="_Toc292559402"/>
      <w:bookmarkStart w:id="332" w:name="_Toc304295570"/>
      <w:bookmarkStart w:id="333" w:name="_Toc312677503"/>
      <w:bookmarkStart w:id="334" w:name="_Toc312678029"/>
      <w:r>
        <w:rPr>
          <w:rFonts w:hint="eastAsia" w:ascii="宋体" w:hAnsi="宋体" w:eastAsia="宋体" w:cs="宋体"/>
          <w:color w:val="auto"/>
          <w:sz w:val="21"/>
          <w:szCs w:val="21"/>
          <w:highlight w:val="none"/>
        </w:rPr>
        <w:t>0.5承</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Start w:id="335" w:name="_Toc292559913"/>
      <w:bookmarkStart w:id="336" w:name="_Toc296891243"/>
      <w:bookmarkStart w:id="337" w:name="_Toc297120503"/>
      <w:bookmarkStart w:id="338" w:name="_Toc296347202"/>
      <w:bookmarkStart w:id="339" w:name="_Toc297216204"/>
      <w:bookmarkStart w:id="340" w:name="_Toc300934994"/>
      <w:bookmarkStart w:id="341" w:name="_Toc303539151"/>
      <w:bookmarkStart w:id="342" w:name="_Toc296944542"/>
      <w:bookmarkStart w:id="343" w:name="_Toc297048389"/>
      <w:bookmarkStart w:id="344" w:name="_Toc297123545"/>
      <w:bookmarkStart w:id="345" w:name="_Toc292559408"/>
      <w:bookmarkStart w:id="346" w:name="_Toc296503203"/>
      <w:bookmarkStart w:id="347" w:name="_Toc296346704"/>
      <w:bookmarkStart w:id="348" w:name="_Toc296891031"/>
      <w:r>
        <w:rPr>
          <w:rFonts w:hint="eastAsia" w:ascii="宋体" w:hAnsi="宋体" w:eastAsia="宋体" w:cs="宋体"/>
          <w:color w:val="auto"/>
          <w:sz w:val="21"/>
          <w:szCs w:val="21"/>
          <w:highlight w:val="none"/>
        </w:rPr>
        <w:t>包人的合理化建议</w:t>
      </w:r>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14:paraId="52751A83">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14天内审核完毕</w:t>
      </w:r>
      <w:r>
        <w:rPr>
          <w:rFonts w:hint="eastAsia" w:ascii="宋体" w:hAnsi="宋体" w:eastAsia="宋体" w:cs="宋体"/>
          <w:color w:val="auto"/>
          <w:sz w:val="21"/>
          <w:szCs w:val="21"/>
          <w:highlight w:val="none"/>
        </w:rPr>
        <w:t>。</w:t>
      </w:r>
    </w:p>
    <w:p w14:paraId="72A5278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349" w:name="_Toc300934995"/>
      <w:bookmarkStart w:id="350" w:name="_Toc297120504"/>
      <w:bookmarkStart w:id="351" w:name="_Toc304295571"/>
      <w:bookmarkStart w:id="352" w:name="_Toc318581175"/>
      <w:bookmarkStart w:id="353" w:name="_Toc296891032"/>
      <w:bookmarkStart w:id="354" w:name="_Toc296503204"/>
      <w:bookmarkStart w:id="355" w:name="_Toc296891244"/>
      <w:bookmarkStart w:id="356" w:name="_Toc292559914"/>
      <w:bookmarkStart w:id="357" w:name="_Toc297123546"/>
      <w:bookmarkStart w:id="358" w:name="_Toc296944543"/>
      <w:bookmarkStart w:id="359" w:name="_Toc312678030"/>
      <w:bookmarkStart w:id="360" w:name="_Toc303539152"/>
      <w:bookmarkStart w:id="361" w:name="_Toc297216205"/>
      <w:bookmarkStart w:id="362" w:name="_Toc312677504"/>
      <w:bookmarkStart w:id="363" w:name="_Toc297048390"/>
      <w:bookmarkStart w:id="364" w:name="_Toc292559409"/>
      <w:bookmarkStart w:id="365" w:name="_Toc296347203"/>
      <w:bookmarkStart w:id="366" w:name="_Toc296346705"/>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14:paraId="093F9AE1">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367" w:name="_Toc351203643"/>
      <w:r>
        <w:rPr>
          <w:rFonts w:hint="eastAsia" w:ascii="宋体" w:hAnsi="宋体" w:eastAsia="宋体" w:cs="宋体"/>
          <w:b/>
          <w:bCs/>
          <w:color w:val="auto"/>
          <w:sz w:val="21"/>
          <w:szCs w:val="21"/>
          <w:highlight w:val="none"/>
        </w:rPr>
        <w:t>11. 价格调整</w:t>
      </w:r>
      <w:bookmarkEnd w:id="367"/>
    </w:p>
    <w:bookmarkEnd w:id="294"/>
    <w:bookmarkEnd w:id="295"/>
    <w:bookmarkEnd w:id="296"/>
    <w:bookmarkEnd w:id="297"/>
    <w:bookmarkEnd w:id="298"/>
    <w:bookmarkEnd w:id="299"/>
    <w:p w14:paraId="1BCF1BD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bookmarkStart w:id="368" w:name="_Toc296891029"/>
      <w:bookmarkStart w:id="369" w:name="_Toc297123550"/>
      <w:bookmarkStart w:id="370" w:name="_Toc296891241"/>
      <w:bookmarkStart w:id="371" w:name="_Toc297048387"/>
      <w:bookmarkStart w:id="372" w:name="_Toc296944540"/>
      <w:bookmarkStart w:id="373" w:name="_Toc292559911"/>
      <w:bookmarkStart w:id="374" w:name="_Toc312678039"/>
      <w:bookmarkStart w:id="375" w:name="_Toc300935000"/>
      <w:bookmarkStart w:id="376" w:name="_Toc296347200"/>
      <w:bookmarkStart w:id="377" w:name="_Toc296503201"/>
      <w:bookmarkStart w:id="378" w:name="_Toc297120501"/>
      <w:bookmarkStart w:id="379" w:name="_Toc296346702"/>
      <w:bookmarkStart w:id="380" w:name="_Toc304295577"/>
      <w:bookmarkStart w:id="381" w:name="_Toc297216209"/>
      <w:bookmarkStart w:id="382" w:name="_Toc292559406"/>
      <w:bookmarkStart w:id="383" w:name="_Toc303539157"/>
      <w:bookmarkStart w:id="384" w:name="_Toc296346706"/>
      <w:bookmarkStart w:id="385" w:name="_Toc297048391"/>
      <w:bookmarkStart w:id="386" w:name="_Toc292559915"/>
      <w:bookmarkStart w:id="387" w:name="_Toc296944544"/>
      <w:bookmarkStart w:id="388" w:name="_Toc296503205"/>
      <w:bookmarkStart w:id="389" w:name="_Toc296891033"/>
      <w:bookmarkStart w:id="390" w:name="_Toc296347204"/>
      <w:bookmarkStart w:id="391" w:name="_Toc297120505"/>
      <w:bookmarkStart w:id="392" w:name="_Toc296891245"/>
      <w:bookmarkStart w:id="393" w:name="_Toc292559410"/>
      <w:bookmarkStart w:id="394" w:name="_Toc351203644"/>
      <w:bookmarkStart w:id="395" w:name="_Toc303539159"/>
      <w:bookmarkStart w:id="396" w:name="_Toc297216211"/>
      <w:bookmarkStart w:id="397" w:name="_Toc297123552"/>
      <w:bookmarkStart w:id="398" w:name="_Toc312678040"/>
      <w:bookmarkStart w:id="399" w:name="_Toc304295579"/>
      <w:bookmarkStart w:id="400" w:name="_Toc300935002"/>
      <w:r>
        <w:rPr>
          <w:rFonts w:hint="eastAsia" w:ascii="宋体" w:hAnsi="宋体" w:eastAsia="宋体" w:cs="宋体"/>
          <w:color w:val="auto"/>
          <w:sz w:val="21"/>
          <w:szCs w:val="21"/>
          <w:highlight w:val="none"/>
        </w:rPr>
        <w:t>11.1 市场价格波动引起的调整</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14:paraId="38BE469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不调整</w:t>
      </w:r>
      <w:r>
        <w:rPr>
          <w:rFonts w:hint="eastAsia" w:ascii="宋体" w:hAnsi="宋体" w:eastAsia="宋体" w:cs="宋体"/>
          <w:color w:val="auto"/>
          <w:sz w:val="21"/>
          <w:szCs w:val="21"/>
          <w:highlight w:val="none"/>
        </w:rPr>
        <w:t>。</w:t>
      </w:r>
    </w:p>
    <w:bookmarkEnd w:id="384"/>
    <w:bookmarkEnd w:id="385"/>
    <w:bookmarkEnd w:id="386"/>
    <w:bookmarkEnd w:id="387"/>
    <w:bookmarkEnd w:id="388"/>
    <w:bookmarkEnd w:id="389"/>
    <w:bookmarkEnd w:id="390"/>
    <w:bookmarkEnd w:id="391"/>
    <w:bookmarkEnd w:id="392"/>
    <w:bookmarkEnd w:id="393"/>
    <w:p w14:paraId="63CA609F">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12.合同价格、计量与支付</w:t>
      </w:r>
      <w:bookmarkEnd w:id="394"/>
    </w:p>
    <w:p w14:paraId="5A1E55F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bookmarkStart w:id="401" w:name="_Toc292559411"/>
      <w:bookmarkStart w:id="402" w:name="_Toc292559916"/>
      <w:bookmarkStart w:id="403" w:name="_Toc267251461"/>
      <w:bookmarkStart w:id="404" w:name="_Toc296346707"/>
      <w:bookmarkStart w:id="405" w:name="_Toc296891246"/>
      <w:bookmarkStart w:id="406" w:name="_Toc296503206"/>
      <w:bookmarkStart w:id="407" w:name="_Toc296891034"/>
      <w:bookmarkStart w:id="408" w:name="_Toc296347205"/>
      <w:bookmarkStart w:id="409" w:name="_Toc296944545"/>
      <w:bookmarkStart w:id="410" w:name="_Toc297120506"/>
      <w:bookmarkStart w:id="411" w:name="_Toc297048392"/>
      <w:r>
        <w:rPr>
          <w:rFonts w:hint="eastAsia" w:ascii="宋体" w:hAnsi="宋体" w:eastAsia="宋体" w:cs="宋体"/>
          <w:color w:val="auto"/>
          <w:sz w:val="21"/>
          <w:szCs w:val="21"/>
          <w:highlight w:val="none"/>
        </w:rPr>
        <w:t>12.1 合</w:t>
      </w:r>
      <w:bookmarkEnd w:id="401"/>
      <w:bookmarkEnd w:id="402"/>
      <w:bookmarkEnd w:id="403"/>
      <w:r>
        <w:rPr>
          <w:rFonts w:hint="eastAsia" w:ascii="宋体" w:hAnsi="宋体" w:eastAsia="宋体" w:cs="宋体"/>
          <w:color w:val="auto"/>
          <w:sz w:val="21"/>
          <w:szCs w:val="21"/>
          <w:highlight w:val="none"/>
        </w:rPr>
        <w:t>同价</w:t>
      </w:r>
      <w:bookmarkEnd w:id="404"/>
      <w:bookmarkEnd w:id="405"/>
      <w:bookmarkEnd w:id="406"/>
      <w:bookmarkEnd w:id="407"/>
      <w:bookmarkEnd w:id="408"/>
      <w:bookmarkEnd w:id="409"/>
      <w:bookmarkEnd w:id="410"/>
      <w:bookmarkEnd w:id="411"/>
      <w:r>
        <w:rPr>
          <w:rFonts w:hint="eastAsia" w:ascii="宋体" w:hAnsi="宋体" w:eastAsia="宋体" w:cs="宋体"/>
          <w:color w:val="auto"/>
          <w:sz w:val="21"/>
          <w:szCs w:val="21"/>
          <w:highlight w:val="none"/>
        </w:rPr>
        <w:t>格形式</w:t>
      </w:r>
    </w:p>
    <w:bookmarkEnd w:id="300"/>
    <w:bookmarkEnd w:id="395"/>
    <w:bookmarkEnd w:id="396"/>
    <w:bookmarkEnd w:id="397"/>
    <w:bookmarkEnd w:id="398"/>
    <w:bookmarkEnd w:id="399"/>
    <w:bookmarkEnd w:id="400"/>
    <w:p w14:paraId="19C3340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bookmarkStart w:id="412" w:name="_Toc297048393"/>
      <w:bookmarkStart w:id="413" w:name="_Toc296891247"/>
      <w:bookmarkStart w:id="414" w:name="_Toc292559917"/>
      <w:bookmarkStart w:id="415" w:name="_Toc296891035"/>
      <w:bookmarkStart w:id="416" w:name="_Toc296347206"/>
      <w:bookmarkStart w:id="417" w:name="_Toc296944546"/>
      <w:bookmarkStart w:id="418" w:name="_Toc297120507"/>
      <w:bookmarkStart w:id="419" w:name="_Toc296346708"/>
      <w:bookmarkStart w:id="420" w:name="_Toc292559412"/>
      <w:bookmarkStart w:id="421" w:name="_Toc296503207"/>
      <w:bookmarkStart w:id="422" w:name="_Toc351203645"/>
      <w:bookmarkStart w:id="423" w:name="_Toc292559424"/>
      <w:bookmarkStart w:id="424" w:name="_Toc303539172"/>
      <w:bookmarkStart w:id="425" w:name="_Toc312678053"/>
      <w:bookmarkStart w:id="426" w:name="_Toc296346720"/>
      <w:bookmarkStart w:id="427" w:name="_Toc297048405"/>
      <w:bookmarkStart w:id="428" w:name="_Toc292559929"/>
      <w:bookmarkStart w:id="429" w:name="_Toc297123564"/>
      <w:bookmarkStart w:id="430" w:name="_Toc304295593"/>
      <w:bookmarkStart w:id="431" w:name="_Toc297216223"/>
      <w:bookmarkStart w:id="432" w:name="_Toc296891047"/>
      <w:bookmarkStart w:id="433" w:name="_Toc297120519"/>
      <w:bookmarkStart w:id="434" w:name="_Toc296347218"/>
      <w:bookmarkStart w:id="435" w:name="_Toc296944558"/>
      <w:bookmarkStart w:id="436" w:name="_Toc296891259"/>
      <w:bookmarkStart w:id="437" w:name="_Toc296503219"/>
      <w:bookmarkStart w:id="438" w:name="_Toc300935015"/>
      <w:r>
        <w:rPr>
          <w:rFonts w:hint="eastAsia" w:ascii="宋体" w:hAnsi="宋体" w:eastAsia="宋体" w:cs="宋体"/>
          <w:color w:val="auto"/>
          <w:sz w:val="21"/>
          <w:szCs w:val="21"/>
          <w:highlight w:val="none"/>
        </w:rPr>
        <w:t>12.1.1</w:t>
      </w:r>
      <w:r>
        <w:rPr>
          <w:rFonts w:hint="eastAsia" w:ascii="宋体" w:hAnsi="宋体" w:eastAsia="宋体" w:cs="宋体"/>
          <w:color w:val="auto"/>
          <w:sz w:val="21"/>
          <w:szCs w:val="21"/>
          <w:highlight w:val="none"/>
          <w:lang w:val="en-US" w:eastAsia="zh-CN"/>
        </w:rPr>
        <w:t>总价</w:t>
      </w:r>
      <w:r>
        <w:rPr>
          <w:rFonts w:hint="eastAsia" w:ascii="宋体" w:hAnsi="宋体" w:eastAsia="宋体" w:cs="宋体"/>
          <w:color w:val="auto"/>
          <w:sz w:val="21"/>
          <w:szCs w:val="21"/>
          <w:highlight w:val="none"/>
        </w:rPr>
        <w:t>合同。</w:t>
      </w:r>
    </w:p>
    <w:p w14:paraId="561B9F0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12.1.2合同价款调整：</w:t>
      </w:r>
      <w:r>
        <w:rPr>
          <w:rFonts w:hint="eastAsia" w:ascii="宋体" w:hAnsi="宋体" w:eastAsia="宋体" w:cs="宋体"/>
          <w:color w:val="auto"/>
          <w:sz w:val="21"/>
          <w:szCs w:val="21"/>
          <w:highlight w:val="none"/>
          <w:lang w:val="en-US" w:eastAsia="zh-CN"/>
        </w:rPr>
        <w:t>不调整</w:t>
      </w:r>
    </w:p>
    <w:p w14:paraId="16F84DC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预付款</w:t>
      </w:r>
    </w:p>
    <w:bookmarkEnd w:id="412"/>
    <w:bookmarkEnd w:id="413"/>
    <w:bookmarkEnd w:id="414"/>
    <w:bookmarkEnd w:id="415"/>
    <w:bookmarkEnd w:id="416"/>
    <w:bookmarkEnd w:id="417"/>
    <w:bookmarkEnd w:id="418"/>
    <w:bookmarkEnd w:id="419"/>
    <w:bookmarkEnd w:id="420"/>
    <w:bookmarkEnd w:id="421"/>
    <w:p w14:paraId="2533745E">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74FDBCB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rPr>
        <w:t>/。</w:t>
      </w:r>
    </w:p>
    <w:p w14:paraId="144833F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A96F0E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w:t>
      </w:r>
    </w:p>
    <w:p w14:paraId="328E406F">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6788A62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承包人提交预付款担保的期限及比例：</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AA9ACA0">
      <w:pPr>
        <w:keepNext w:val="0"/>
        <w:keepLines w:val="0"/>
        <w:pageBreakBefore w:val="0"/>
        <w:tabs>
          <w:tab w:val="left" w:pos="3686"/>
        </w:tabs>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担保时效：</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5698A4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7FB6BA84">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779A9F40">
      <w:pPr>
        <w:keepNext w:val="0"/>
        <w:keepLines w:val="0"/>
        <w:pageBreakBefore w:val="0"/>
        <w:widowControl w:val="0"/>
        <w:numPr>
          <w:ilvl w:val="0"/>
          <w:numId w:val="0"/>
        </w:numPr>
        <w:shd w:val="clear"/>
        <w:tabs>
          <w:tab w:val="center" w:pos="4535"/>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color w:val="auto"/>
          <w:sz w:val="21"/>
          <w:szCs w:val="21"/>
          <w:highlight w:val="yellow"/>
          <w:lang w:val="en-US" w:eastAsia="zh-CN"/>
        </w:rPr>
      </w:pPr>
      <w:r>
        <w:rPr>
          <w:rFonts w:hint="eastAsia" w:ascii="宋体" w:hAnsi="宋体" w:eastAsia="宋体" w:cs="宋体"/>
          <w:color w:val="auto"/>
          <w:sz w:val="21"/>
          <w:szCs w:val="21"/>
          <w:highlight w:val="none"/>
          <w:u w:val="single"/>
        </w:rPr>
        <w:t>工程量计算规则</w:t>
      </w:r>
      <w:r>
        <w:rPr>
          <w:rFonts w:hint="eastAsia" w:ascii="宋体" w:hAnsi="宋体" w:eastAsia="宋体" w:cs="宋体"/>
          <w:color w:val="auto"/>
          <w:sz w:val="21"/>
          <w:szCs w:val="21"/>
          <w:highlight w:val="none"/>
          <w:u w:val="single"/>
          <w:lang w:val="en-US" w:eastAsia="zh-CN"/>
        </w:rPr>
        <w:t>：工程量依据泾干中学功能部室改造工程图纸及相关工程建设规范、标准、图集等、计价编制依据《陕西省建设工程工程量清单计价规则(2009)》、《陕西省建筑、装饰工程价目表(2009)》及相关费率文件、人工费执行陕建发【2021】1097号文件、税率执行陕建发【2016】100号文件、【2019】45号文件、扬尘污染治理费执行陕建发【2017】270号文件、材料价执行陕西省咸阳市工程造价信息2025年第3期材料信息价及参考市场价、建筑工人实名制管理费用执行陕建发【2019】1246号“关于发布我省落实建筑工人实名制管理计价依据”的通知、建筑施工安全生产责任保险费执行陕建发【2020】1097号关于建筑施工安全生产责任保险费用计价的通知、建筑企业人员社会养老保险费执行陕建发【2021】1021号关于全省统一停止收缴建筑业劳保费用的通知</w:t>
      </w:r>
      <w:r>
        <w:rPr>
          <w:rFonts w:hint="eastAsia" w:ascii="宋体" w:hAnsi="宋体" w:eastAsia="宋体" w:cs="宋体"/>
          <w:color w:val="auto"/>
          <w:kern w:val="0"/>
          <w:sz w:val="21"/>
          <w:szCs w:val="21"/>
          <w:u w:val="single"/>
          <w:lang w:val="en-US" w:eastAsia="zh-CN" w:bidi="ar"/>
        </w:rPr>
        <w:t>。</w:t>
      </w:r>
    </w:p>
    <w:p w14:paraId="47DBC71D">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36B1B31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按周计量    </w:t>
      </w:r>
      <w:r>
        <w:rPr>
          <w:rFonts w:hint="eastAsia" w:ascii="宋体" w:hAnsi="宋体" w:eastAsia="宋体" w:cs="宋体"/>
          <w:color w:val="auto"/>
          <w:sz w:val="21"/>
          <w:szCs w:val="21"/>
          <w:highlight w:val="none"/>
        </w:rPr>
        <w:t>。</w:t>
      </w:r>
    </w:p>
    <w:p w14:paraId="3502186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3FB2B19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 xml:space="preserve"> 执行通用条款 </w:t>
      </w:r>
      <w:r>
        <w:rPr>
          <w:rFonts w:hint="eastAsia" w:ascii="宋体" w:hAnsi="宋体" w:eastAsia="宋体" w:cs="宋体"/>
          <w:color w:val="auto"/>
          <w:sz w:val="21"/>
          <w:szCs w:val="21"/>
          <w:highlight w:val="none"/>
        </w:rPr>
        <w:t>。</w:t>
      </w:r>
    </w:p>
    <w:p w14:paraId="6B1E989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bookmarkStart w:id="439" w:name="_Toc300935006"/>
      <w:bookmarkStart w:id="440" w:name="_Toc292559921"/>
      <w:bookmarkStart w:id="441" w:name="_Toc296346712"/>
      <w:bookmarkStart w:id="442" w:name="_Toc296347210"/>
      <w:bookmarkStart w:id="443" w:name="_Toc296891251"/>
      <w:bookmarkStart w:id="444" w:name="_Toc296891039"/>
      <w:bookmarkStart w:id="445" w:name="_Toc297120511"/>
      <w:bookmarkStart w:id="446" w:name="_Toc297216215"/>
      <w:bookmarkStart w:id="447" w:name="_Toc292559416"/>
      <w:bookmarkStart w:id="448" w:name="_Toc303539163"/>
      <w:bookmarkStart w:id="449" w:name="_Toc297123556"/>
      <w:bookmarkStart w:id="450" w:name="_Toc297048397"/>
      <w:bookmarkStart w:id="451" w:name="_Toc296944550"/>
      <w:bookmarkStart w:id="452" w:name="_Toc296503211"/>
      <w:r>
        <w:rPr>
          <w:rFonts w:hint="eastAsia" w:ascii="宋体" w:hAnsi="宋体" w:eastAsia="宋体" w:cs="宋体"/>
          <w:color w:val="auto"/>
          <w:sz w:val="21"/>
          <w:szCs w:val="21"/>
          <w:highlight w:val="none"/>
        </w:rPr>
        <w:t>12.4 工程进度款支付</w:t>
      </w:r>
    </w:p>
    <w:p w14:paraId="04DBDFA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12.4.1 付款周期</w:t>
      </w:r>
    </w:p>
    <w:p w14:paraId="441C494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关于付款周期的约定：</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72F7663D">
      <w:pPr>
        <w:keepNext w:val="0"/>
        <w:keepLines w:val="0"/>
        <w:pageBreakBefore w:val="0"/>
        <w:numPr>
          <w:ilvl w:val="0"/>
          <w:numId w:val="5"/>
        </w:numPr>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FF0000"/>
          <w:sz w:val="21"/>
          <w:szCs w:val="21"/>
          <w:highlight w:val="none"/>
          <w:u w:val="single"/>
          <w:lang w:val="en-US" w:eastAsia="zh-CN"/>
        </w:rPr>
      </w:pPr>
      <w:r>
        <w:rPr>
          <w:rFonts w:hint="eastAsia" w:ascii="宋体" w:hAnsi="宋体" w:eastAsia="宋体" w:cs="宋体"/>
          <w:b/>
          <w:bCs/>
          <w:color w:val="FF0000"/>
          <w:sz w:val="21"/>
          <w:szCs w:val="21"/>
          <w:highlight w:val="none"/>
          <w:u w:val="single"/>
          <w:lang w:val="en-US" w:eastAsia="zh-CN"/>
        </w:rPr>
        <w:t>工程竣工验收合格后支付80%工程款，审计后支付剩余工程款。</w:t>
      </w:r>
    </w:p>
    <w:p w14:paraId="01ED9E71">
      <w:pPr>
        <w:keepNext w:val="0"/>
        <w:keepLines w:val="0"/>
        <w:pageBreakBefore w:val="0"/>
        <w:numPr>
          <w:ilvl w:val="0"/>
          <w:numId w:val="5"/>
        </w:numPr>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每次拨付款额时，如有发包人代缴的有关费用（如水、电费等）时，应予以扣除。</w:t>
      </w:r>
    </w:p>
    <w:p w14:paraId="2B4B7C31">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）发包人在支付工程进度款前，承包人应按规定提前提供等额有效发票，发包人见票付款；审计结算后，提供全额税制票据。承包人不能提供的，发包人有权不支付工程款。</w:t>
      </w:r>
    </w:p>
    <w:p w14:paraId="7336BBC6">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 验收工程</w:t>
      </w:r>
      <w:bookmarkEnd w:id="422"/>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14:paraId="23D9166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bookmarkStart w:id="453" w:name="_Toc292559428"/>
      <w:bookmarkStart w:id="454" w:name="_Toc300935016"/>
      <w:bookmarkStart w:id="455" w:name="_Toc296347222"/>
      <w:bookmarkStart w:id="456" w:name="_Toc303539173"/>
      <w:bookmarkStart w:id="457" w:name="_Toc297123565"/>
      <w:bookmarkStart w:id="458" w:name="_Toc296891051"/>
      <w:bookmarkStart w:id="459" w:name="_Toc296346724"/>
      <w:bookmarkStart w:id="460" w:name="_Toc297216224"/>
      <w:bookmarkStart w:id="461" w:name="_Toc296944562"/>
      <w:bookmarkStart w:id="462" w:name="_Toc297048409"/>
      <w:bookmarkStart w:id="463" w:name="_Toc296503223"/>
      <w:bookmarkStart w:id="464" w:name="_Toc304295596"/>
      <w:bookmarkStart w:id="465" w:name="_Toc292559933"/>
      <w:bookmarkStart w:id="466" w:name="_Toc296891263"/>
      <w:bookmarkStart w:id="467" w:name="_Toc297120523"/>
      <w:bookmarkStart w:id="468" w:name="_Toc312678056"/>
      <w:bookmarkStart w:id="469" w:name="_Toc267251475"/>
      <w:bookmarkStart w:id="470" w:name="_Toc267251476"/>
      <w:bookmarkStart w:id="471" w:name="_Toc267251474"/>
      <w:bookmarkStart w:id="472" w:name="_Toc267251471"/>
      <w:bookmarkStart w:id="473" w:name="_Toc267251473"/>
      <w:bookmarkStart w:id="474" w:name="_Toc267251470"/>
      <w:bookmarkStart w:id="475" w:name="_Toc267251472"/>
      <w:r>
        <w:rPr>
          <w:rFonts w:hint="eastAsia" w:ascii="宋体" w:hAnsi="宋体" w:eastAsia="宋体" w:cs="宋体"/>
          <w:color w:val="auto"/>
          <w:sz w:val="21"/>
          <w:szCs w:val="21"/>
          <w:highlight w:val="none"/>
        </w:rPr>
        <w:t>13.2 竣工验收</w:t>
      </w:r>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14:paraId="7EB4E89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bookmarkStart w:id="476" w:name="_Toc280868704"/>
      <w:bookmarkStart w:id="477" w:name="_Toc280868705"/>
      <w:bookmarkStart w:id="478" w:name="_Toc280868706"/>
      <w:bookmarkStart w:id="479" w:name="_Toc280868707"/>
      <w:bookmarkStart w:id="480" w:name="_Toc280868708"/>
      <w:bookmarkStart w:id="481" w:name="_Toc280868709"/>
      <w:r>
        <w:rPr>
          <w:rFonts w:hint="eastAsia" w:ascii="宋体" w:hAnsi="宋体" w:eastAsia="宋体" w:cs="宋体"/>
          <w:color w:val="auto"/>
          <w:sz w:val="21"/>
          <w:szCs w:val="21"/>
          <w:highlight w:val="none"/>
        </w:rPr>
        <w:t>13.2.2竣工验收程序</w:t>
      </w:r>
    </w:p>
    <w:bookmarkEnd w:id="476"/>
    <w:p w14:paraId="3FD65F1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sz w:val="21"/>
          <w:szCs w:val="21"/>
          <w:highlight w:val="none"/>
          <w:u w:val="single"/>
        </w:rPr>
        <w:t>承包人按国家、陕西省、</w:t>
      </w:r>
      <w:r>
        <w:rPr>
          <w:rFonts w:hint="eastAsia" w:ascii="宋体" w:hAnsi="宋体" w:eastAsia="宋体" w:cs="宋体"/>
          <w:color w:val="auto"/>
          <w:sz w:val="21"/>
          <w:szCs w:val="21"/>
          <w:highlight w:val="none"/>
          <w:u w:val="single"/>
          <w:lang w:val="en-US" w:eastAsia="zh-CN"/>
        </w:rPr>
        <w:t>咸阳市</w:t>
      </w:r>
      <w:r>
        <w:rPr>
          <w:rFonts w:hint="eastAsia" w:ascii="宋体" w:hAnsi="宋体" w:eastAsia="宋体" w:cs="宋体"/>
          <w:color w:val="auto"/>
          <w:sz w:val="21"/>
          <w:szCs w:val="21"/>
          <w:highlight w:val="none"/>
          <w:u w:val="single"/>
        </w:rPr>
        <w:t>相关规定，完成验收后，进行工程竣工验收。竣工验收后一个月内，提交竣工图及完整资料文件四套。</w:t>
      </w:r>
    </w:p>
    <w:p w14:paraId="20665CF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w:t>
      </w:r>
    </w:p>
    <w:bookmarkEnd w:id="477"/>
    <w:p w14:paraId="62FFECCE">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bookmarkEnd w:id="478"/>
    <w:p w14:paraId="5DE4A35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kern w:val="0"/>
          <w:sz w:val="21"/>
          <w:szCs w:val="21"/>
          <w:highlight w:val="none"/>
          <w:u w:val="single"/>
        </w:rPr>
        <w:t>颁发工程接收证书后7天内</w:t>
      </w:r>
      <w:r>
        <w:rPr>
          <w:rFonts w:hint="eastAsia" w:ascii="宋体" w:hAnsi="宋体" w:eastAsia="宋体" w:cs="宋体"/>
          <w:color w:val="auto"/>
          <w:sz w:val="21"/>
          <w:szCs w:val="21"/>
          <w:highlight w:val="none"/>
        </w:rPr>
        <w:t>。</w:t>
      </w:r>
    </w:p>
    <w:p w14:paraId="210868F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bookmarkEnd w:id="479"/>
    <w:p w14:paraId="1563344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按专用条款7.5.2条执行</w:t>
      </w:r>
      <w:r>
        <w:rPr>
          <w:rFonts w:hint="eastAsia" w:ascii="宋体" w:hAnsi="宋体" w:eastAsia="宋体" w:cs="宋体"/>
          <w:color w:val="auto"/>
          <w:sz w:val="21"/>
          <w:szCs w:val="21"/>
          <w:highlight w:val="none"/>
        </w:rPr>
        <w:t>。</w:t>
      </w:r>
    </w:p>
    <w:bookmarkEnd w:id="480"/>
    <w:p w14:paraId="2B90873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737F39E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6D2503C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 xml:space="preserve">   工程竣工移交后，以发包人书面指令为准  </w:t>
      </w:r>
      <w:r>
        <w:rPr>
          <w:rFonts w:hint="eastAsia" w:ascii="宋体" w:hAnsi="宋体" w:eastAsia="宋体" w:cs="宋体"/>
          <w:color w:val="auto"/>
          <w:kern w:val="0"/>
          <w:sz w:val="21"/>
          <w:szCs w:val="21"/>
          <w:highlight w:val="none"/>
        </w:rPr>
        <w:t>。</w:t>
      </w:r>
    </w:p>
    <w:p w14:paraId="2F91E75E">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482" w:name="_Toc351203646"/>
      <w:r>
        <w:rPr>
          <w:rFonts w:hint="eastAsia" w:ascii="宋体" w:hAnsi="宋体" w:eastAsia="宋体" w:cs="宋体"/>
          <w:b/>
          <w:bCs/>
          <w:color w:val="auto"/>
          <w:sz w:val="21"/>
          <w:szCs w:val="21"/>
          <w:highlight w:val="none"/>
        </w:rPr>
        <w:t>14. 竣工结算</w:t>
      </w:r>
      <w:bookmarkEnd w:id="482"/>
    </w:p>
    <w:p w14:paraId="462BB57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竣工付款申请</w:t>
      </w:r>
    </w:p>
    <w:p w14:paraId="6B45D68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提交的竣工验收报告获得发包人批准后，承包人应在60个工作日内办理并提交“竣工结算资料”    </w:t>
      </w:r>
      <w:r>
        <w:rPr>
          <w:rFonts w:hint="eastAsia" w:ascii="宋体" w:hAnsi="宋体" w:eastAsia="宋体" w:cs="宋体"/>
          <w:color w:val="auto"/>
          <w:sz w:val="21"/>
          <w:szCs w:val="21"/>
          <w:highlight w:val="none"/>
        </w:rPr>
        <w:t>。</w:t>
      </w:r>
    </w:p>
    <w:p w14:paraId="42D256C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竣工付款申请单应包括的内容：</w:t>
      </w:r>
      <w:r>
        <w:rPr>
          <w:rFonts w:hint="eastAsia" w:ascii="宋体" w:hAnsi="宋体" w:eastAsia="宋体" w:cs="宋体"/>
          <w:color w:val="auto"/>
          <w:sz w:val="21"/>
          <w:szCs w:val="21"/>
          <w:highlight w:val="none"/>
          <w:u w:val="single"/>
        </w:rPr>
        <w:t xml:space="preserve">竣工结算合同总价、已支付的工程价款、应扣留的质量保证金、应支付的竣工付款金额及相关证明材料等  </w:t>
      </w:r>
      <w:r>
        <w:rPr>
          <w:rFonts w:hint="eastAsia" w:ascii="宋体" w:hAnsi="宋体" w:eastAsia="宋体" w:cs="宋体"/>
          <w:color w:val="auto"/>
          <w:sz w:val="21"/>
          <w:szCs w:val="21"/>
          <w:highlight w:val="none"/>
        </w:rPr>
        <w:t>。</w:t>
      </w:r>
    </w:p>
    <w:p w14:paraId="7F4CB469">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69E5D3E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rPr>
        <w:t>结算审查期限，从收到承包人上报的完整的竣工结算资料（竣工图、变更、签证、认价单、结算书、结算申请单）之日起，两个月内审核完成或提出修改意见，结算时间最长不超过12个月</w:t>
      </w:r>
      <w:r>
        <w:rPr>
          <w:rFonts w:hint="eastAsia" w:ascii="宋体" w:hAnsi="宋体" w:eastAsia="宋体" w:cs="宋体"/>
          <w:color w:val="auto"/>
          <w:sz w:val="21"/>
          <w:szCs w:val="21"/>
          <w:highlight w:val="none"/>
        </w:rPr>
        <w:t>。</w:t>
      </w:r>
    </w:p>
    <w:p w14:paraId="4C78752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发包人委托的第三方造价审计机构出具正式结算报告后1个月内</w:t>
      </w:r>
      <w:r>
        <w:rPr>
          <w:rFonts w:hint="eastAsia" w:ascii="宋体" w:hAnsi="宋体" w:eastAsia="宋体" w:cs="宋体"/>
          <w:color w:val="auto"/>
          <w:sz w:val="21"/>
          <w:szCs w:val="21"/>
          <w:highlight w:val="none"/>
        </w:rPr>
        <w:t>。</w:t>
      </w:r>
    </w:p>
    <w:p w14:paraId="7062EA8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由发包人委托的第三方造价审计机构进行复核</w:t>
      </w:r>
      <w:r>
        <w:rPr>
          <w:rFonts w:hint="eastAsia" w:ascii="宋体" w:hAnsi="宋体" w:eastAsia="宋体" w:cs="宋体"/>
          <w:color w:val="auto"/>
          <w:sz w:val="21"/>
          <w:szCs w:val="21"/>
          <w:highlight w:val="none"/>
        </w:rPr>
        <w:t>。</w:t>
      </w:r>
    </w:p>
    <w:p w14:paraId="1D84059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7B0D345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046FA63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6份   </w:t>
      </w:r>
      <w:r>
        <w:rPr>
          <w:rFonts w:hint="eastAsia" w:ascii="宋体" w:hAnsi="宋体" w:eastAsia="宋体" w:cs="宋体"/>
          <w:color w:val="auto"/>
          <w:sz w:val="21"/>
          <w:szCs w:val="21"/>
          <w:highlight w:val="none"/>
        </w:rPr>
        <w:t>。</w:t>
      </w:r>
    </w:p>
    <w:p w14:paraId="490529A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sz w:val="21"/>
          <w:szCs w:val="21"/>
          <w:highlight w:val="none"/>
          <w:u w:val="single"/>
        </w:rPr>
        <w:t>在缺陷责任期终止证书颁发后10天内</w:t>
      </w:r>
      <w:r>
        <w:rPr>
          <w:rFonts w:hint="eastAsia" w:ascii="宋体" w:hAnsi="宋体" w:eastAsia="宋体" w:cs="宋体"/>
          <w:color w:val="auto"/>
          <w:sz w:val="21"/>
          <w:szCs w:val="21"/>
          <w:highlight w:val="none"/>
        </w:rPr>
        <w:t xml:space="preserve">。 </w:t>
      </w:r>
    </w:p>
    <w:p w14:paraId="73626FC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4937CD9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 xml:space="preserve"> 执行通用条款 </w:t>
      </w:r>
      <w:r>
        <w:rPr>
          <w:rFonts w:hint="eastAsia" w:ascii="宋体" w:hAnsi="宋体" w:eastAsia="宋体" w:cs="宋体"/>
          <w:color w:val="auto"/>
          <w:sz w:val="21"/>
          <w:szCs w:val="21"/>
          <w:highlight w:val="none"/>
        </w:rPr>
        <w:t>。</w:t>
      </w:r>
    </w:p>
    <w:p w14:paraId="173F659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执行通用条款  </w:t>
      </w:r>
      <w:r>
        <w:rPr>
          <w:rFonts w:hint="eastAsia" w:ascii="宋体" w:hAnsi="宋体" w:eastAsia="宋体" w:cs="宋体"/>
          <w:color w:val="auto"/>
          <w:sz w:val="21"/>
          <w:szCs w:val="21"/>
          <w:highlight w:val="none"/>
        </w:rPr>
        <w:t>。</w:t>
      </w:r>
    </w:p>
    <w:bookmarkEnd w:id="469"/>
    <w:bookmarkEnd w:id="470"/>
    <w:bookmarkEnd w:id="471"/>
    <w:bookmarkEnd w:id="472"/>
    <w:bookmarkEnd w:id="473"/>
    <w:bookmarkEnd w:id="474"/>
    <w:bookmarkEnd w:id="475"/>
    <w:bookmarkEnd w:id="481"/>
    <w:p w14:paraId="49B46286">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483" w:name="_Toc351203647"/>
      <w:bookmarkStart w:id="484" w:name="_Toc267251483"/>
      <w:bookmarkStart w:id="485" w:name="_Toc267251485"/>
      <w:bookmarkStart w:id="486" w:name="_Toc267251488"/>
      <w:bookmarkStart w:id="487" w:name="_Toc267251484"/>
      <w:bookmarkStart w:id="488" w:name="_Toc267251490"/>
      <w:bookmarkStart w:id="489" w:name="_Toc267251486"/>
      <w:bookmarkStart w:id="490" w:name="_Toc267251489"/>
      <w:bookmarkStart w:id="491" w:name="_Toc267251482"/>
      <w:bookmarkStart w:id="492" w:name="_Toc267251494"/>
      <w:bookmarkStart w:id="493" w:name="_Toc267251502"/>
      <w:bookmarkStart w:id="494" w:name="_Toc267251501"/>
      <w:bookmarkStart w:id="495" w:name="_Toc267251496"/>
      <w:bookmarkStart w:id="496" w:name="_Toc267251497"/>
      <w:bookmarkStart w:id="497" w:name="_Toc267251493"/>
      <w:bookmarkStart w:id="498" w:name="_Toc267251492"/>
      <w:bookmarkStart w:id="499" w:name="_Toc267251499"/>
      <w:bookmarkStart w:id="500" w:name="_Toc267251491"/>
      <w:bookmarkStart w:id="501" w:name="_Toc267251498"/>
      <w:bookmarkStart w:id="502" w:name="_Toc267251495"/>
      <w:bookmarkStart w:id="503" w:name="_Toc267251503"/>
      <w:bookmarkStart w:id="504" w:name="_Toc267251506"/>
      <w:bookmarkStart w:id="505" w:name="_Toc267251507"/>
      <w:bookmarkStart w:id="506" w:name="_Toc267251504"/>
      <w:bookmarkStart w:id="507" w:name="_Toc267251508"/>
      <w:bookmarkStart w:id="508" w:name="_Toc267251513"/>
      <w:bookmarkStart w:id="509" w:name="_Toc267251509"/>
      <w:bookmarkStart w:id="510" w:name="_Toc267251514"/>
      <w:bookmarkStart w:id="511" w:name="_Toc267251515"/>
      <w:bookmarkStart w:id="512" w:name="_Toc267251510"/>
      <w:bookmarkStart w:id="513" w:name="_Toc267251511"/>
      <w:r>
        <w:rPr>
          <w:rFonts w:hint="eastAsia" w:ascii="宋体" w:hAnsi="宋体" w:eastAsia="宋体" w:cs="宋体"/>
          <w:b/>
          <w:bCs/>
          <w:color w:val="auto"/>
          <w:sz w:val="21"/>
          <w:szCs w:val="21"/>
          <w:highlight w:val="none"/>
        </w:rPr>
        <w:t>15. 缺陷责任期与保修</w:t>
      </w:r>
      <w:bookmarkEnd w:id="483"/>
    </w:p>
    <w:bookmarkEnd w:id="484"/>
    <w:bookmarkEnd w:id="485"/>
    <w:bookmarkEnd w:id="486"/>
    <w:bookmarkEnd w:id="487"/>
    <w:bookmarkEnd w:id="488"/>
    <w:bookmarkEnd w:id="489"/>
    <w:bookmarkEnd w:id="490"/>
    <w:bookmarkEnd w:id="491"/>
    <w:p w14:paraId="7B23EE5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b w:val="0"/>
          <w:bCs w:val="0"/>
          <w:color w:val="auto"/>
          <w:sz w:val="21"/>
          <w:szCs w:val="21"/>
          <w:highlight w:val="none"/>
        </w:rPr>
      </w:pPr>
      <w:bookmarkStart w:id="514" w:name="_Toc351203648"/>
      <w:bookmarkStart w:id="515" w:name="_Toc280868717"/>
      <w:bookmarkStart w:id="516" w:name="_Toc280868718"/>
      <w:r>
        <w:rPr>
          <w:rFonts w:hint="eastAsia" w:ascii="宋体" w:hAnsi="宋体" w:eastAsia="宋体" w:cs="宋体"/>
          <w:b w:val="0"/>
          <w:bCs w:val="0"/>
          <w:color w:val="auto"/>
          <w:sz w:val="21"/>
          <w:szCs w:val="21"/>
          <w:highlight w:val="none"/>
        </w:rPr>
        <w:t>15.2缺陷责任期</w:t>
      </w:r>
    </w:p>
    <w:p w14:paraId="35A68C4D">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FF0000"/>
          <w:sz w:val="21"/>
          <w:szCs w:val="21"/>
          <w:highlight w:val="none"/>
          <w:shd w:val="clear" w:color="auto" w:fill="auto"/>
        </w:rPr>
      </w:pPr>
      <w:r>
        <w:rPr>
          <w:rFonts w:hint="eastAsia" w:ascii="宋体" w:hAnsi="宋体" w:eastAsia="宋体" w:cs="宋体"/>
          <w:b/>
          <w:bCs/>
          <w:color w:val="FF0000"/>
          <w:sz w:val="21"/>
          <w:szCs w:val="21"/>
          <w:highlight w:val="none"/>
          <w:shd w:val="clear" w:color="auto" w:fill="auto"/>
        </w:rPr>
        <w:t>缺陷责任期的具体期限：</w:t>
      </w:r>
      <w:r>
        <w:rPr>
          <w:rFonts w:hint="eastAsia" w:ascii="宋体" w:hAnsi="宋体" w:eastAsia="宋体" w:cs="宋体"/>
          <w:b/>
          <w:bCs/>
          <w:color w:val="FF0000"/>
          <w:sz w:val="21"/>
          <w:szCs w:val="21"/>
          <w:highlight w:val="none"/>
          <w:u w:val="single"/>
          <w:shd w:val="clear" w:color="auto" w:fill="auto"/>
          <w:lang w:val="en-US" w:eastAsia="zh-CN"/>
        </w:rPr>
        <w:t>12</w:t>
      </w:r>
      <w:r>
        <w:rPr>
          <w:rFonts w:hint="eastAsia" w:ascii="宋体" w:hAnsi="宋体" w:eastAsia="宋体" w:cs="宋体"/>
          <w:b/>
          <w:bCs/>
          <w:color w:val="FF0000"/>
          <w:sz w:val="21"/>
          <w:szCs w:val="21"/>
          <w:highlight w:val="none"/>
          <w:u w:val="single"/>
          <w:shd w:val="clear" w:color="auto" w:fill="auto"/>
        </w:rPr>
        <w:t>个月</w:t>
      </w:r>
      <w:r>
        <w:rPr>
          <w:rFonts w:hint="eastAsia" w:ascii="宋体" w:hAnsi="宋体" w:eastAsia="宋体" w:cs="宋体"/>
          <w:b/>
          <w:bCs/>
          <w:color w:val="FF0000"/>
          <w:sz w:val="21"/>
          <w:szCs w:val="21"/>
          <w:highlight w:val="none"/>
          <w:shd w:val="clear" w:color="auto" w:fill="auto"/>
        </w:rPr>
        <w:t>。</w:t>
      </w:r>
    </w:p>
    <w:p w14:paraId="378FC182">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5F6AF32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lang w:val="en-US" w:eastAsia="zh-CN"/>
        </w:rPr>
        <w:t>/</w:t>
      </w:r>
    </w:p>
    <w:p w14:paraId="610B0B16">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 违约</w:t>
      </w:r>
      <w:bookmarkEnd w:id="514"/>
    </w:p>
    <w:p w14:paraId="60183FD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7C9B369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0DBEA1A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3FDE17EB">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16.1.2 发包人违约的责任</w:t>
      </w:r>
    </w:p>
    <w:p w14:paraId="285ED194">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14:paraId="42FA7BD6">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宋体" w:hAnsi="宋体" w:eastAsia="宋体" w:cs="宋体"/>
          <w:color w:val="auto"/>
          <w:kern w:val="0"/>
          <w:sz w:val="21"/>
          <w:szCs w:val="21"/>
          <w:highlight w:val="none"/>
          <w:u w:val="single"/>
        </w:rPr>
        <w:t>工期顺延</w:t>
      </w:r>
      <w:r>
        <w:rPr>
          <w:rFonts w:hint="eastAsia" w:ascii="宋体" w:hAnsi="宋体" w:eastAsia="宋体" w:cs="宋体"/>
          <w:color w:val="auto"/>
          <w:kern w:val="0"/>
          <w:sz w:val="21"/>
          <w:szCs w:val="21"/>
          <w:highlight w:val="none"/>
        </w:rPr>
        <w:t>。</w:t>
      </w:r>
    </w:p>
    <w:p w14:paraId="6885E6E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宋体" w:hAnsi="宋体" w:eastAsia="宋体" w:cs="宋体"/>
          <w:color w:val="auto"/>
          <w:kern w:val="0"/>
          <w:sz w:val="21"/>
          <w:szCs w:val="21"/>
          <w:highlight w:val="none"/>
          <w:u w:val="single"/>
        </w:rPr>
        <w:t xml:space="preserve">  双方另行协商 </w:t>
      </w:r>
      <w:r>
        <w:rPr>
          <w:rFonts w:hint="eastAsia" w:ascii="宋体" w:hAnsi="宋体" w:eastAsia="宋体" w:cs="宋体"/>
          <w:color w:val="auto"/>
          <w:kern w:val="0"/>
          <w:sz w:val="21"/>
          <w:szCs w:val="21"/>
          <w:highlight w:val="none"/>
        </w:rPr>
        <w:t>。</w:t>
      </w:r>
    </w:p>
    <w:p w14:paraId="52819D69">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rPr>
        <w:t xml:space="preserve">双方另行协商 </w:t>
      </w:r>
      <w:r>
        <w:rPr>
          <w:rFonts w:hint="eastAsia" w:ascii="宋体" w:hAnsi="宋体" w:eastAsia="宋体" w:cs="宋体"/>
          <w:color w:val="auto"/>
          <w:kern w:val="0"/>
          <w:sz w:val="21"/>
          <w:szCs w:val="21"/>
          <w:highlight w:val="none"/>
        </w:rPr>
        <w:t>。</w:t>
      </w:r>
    </w:p>
    <w:p w14:paraId="0DAEB28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（4）因发包人违反合同约定造成暂停施工的违约责任：</w:t>
      </w:r>
      <w:r>
        <w:rPr>
          <w:rFonts w:hint="eastAsia" w:ascii="宋体" w:hAnsi="宋体" w:eastAsia="宋体" w:cs="宋体"/>
          <w:color w:val="auto"/>
          <w:kern w:val="0"/>
          <w:sz w:val="21"/>
          <w:szCs w:val="21"/>
          <w:highlight w:val="none"/>
          <w:u w:val="single"/>
        </w:rPr>
        <w:t>若影响工期的，工期予以顺延</w:t>
      </w:r>
      <w:r>
        <w:rPr>
          <w:rFonts w:hint="eastAsia" w:ascii="宋体" w:hAnsi="宋体" w:eastAsia="宋体" w:cs="宋体"/>
          <w:color w:val="auto"/>
          <w:kern w:val="0"/>
          <w:sz w:val="21"/>
          <w:szCs w:val="21"/>
          <w:highlight w:val="none"/>
        </w:rPr>
        <w:t>。</w:t>
      </w:r>
    </w:p>
    <w:p w14:paraId="26E82A87">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rPr>
        <w:t>若影响工期的，工期予以顺延</w:t>
      </w:r>
      <w:r>
        <w:rPr>
          <w:rFonts w:hint="eastAsia" w:ascii="宋体" w:hAnsi="宋体" w:eastAsia="宋体" w:cs="宋体"/>
          <w:color w:val="auto"/>
          <w:kern w:val="0"/>
          <w:sz w:val="21"/>
          <w:szCs w:val="21"/>
          <w:highlight w:val="none"/>
        </w:rPr>
        <w:t>。</w:t>
      </w:r>
    </w:p>
    <w:p w14:paraId="1B48D80A">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27228240">
      <w:pPr>
        <w:keepNext w:val="0"/>
        <w:keepLines w:val="0"/>
        <w:pageBreakBefore w:val="0"/>
        <w:kinsoku/>
        <w:wordWrap/>
        <w:overflowPunct/>
        <w:topLinePunct w:val="0"/>
        <w:autoSpaceDE w:val="0"/>
        <w:autoSpaceDN w:val="0"/>
        <w:bidi w:val="0"/>
        <w:adjustRightInd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14:paraId="0516775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60EDA101">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14:paraId="286685F3">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 1）擅自更换项目经理的；2）未经发包人许可，擅自采购材料设备表以外设备及材料的或未经准用批准使用的</w:t>
      </w:r>
      <w:r>
        <w:rPr>
          <w:rFonts w:hint="eastAsia" w:ascii="宋体" w:hAnsi="宋体" w:eastAsia="宋体" w:cs="宋体"/>
          <w:color w:val="auto"/>
          <w:kern w:val="0"/>
          <w:sz w:val="21"/>
          <w:szCs w:val="21"/>
          <w:highlight w:val="none"/>
        </w:rPr>
        <w:t>。</w:t>
      </w:r>
    </w:p>
    <w:p w14:paraId="2EC7A108">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16.2.2承包人违约的责任</w:t>
      </w:r>
    </w:p>
    <w:p w14:paraId="3F81F27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承包人违约责任的承担方式和计算方法：（1）</w:t>
      </w:r>
      <w:r>
        <w:rPr>
          <w:rFonts w:hint="eastAsia" w:ascii="宋体" w:hAnsi="宋体" w:eastAsia="宋体" w:cs="宋体"/>
          <w:b/>
          <w:color w:val="auto"/>
          <w:sz w:val="21"/>
          <w:szCs w:val="21"/>
          <w:highlight w:val="none"/>
          <w:u w:val="single"/>
        </w:rPr>
        <w:t>建设过程中分部分项工程质量</w:t>
      </w:r>
      <w:r>
        <w:rPr>
          <w:rFonts w:hint="eastAsia" w:ascii="宋体" w:hAnsi="宋体" w:eastAsia="宋体" w:cs="宋体"/>
          <w:color w:val="auto"/>
          <w:sz w:val="21"/>
          <w:szCs w:val="21"/>
          <w:highlight w:val="none"/>
          <w:u w:val="single"/>
        </w:rPr>
        <w:t>若达不到合格标准，承包人应按要求整改至合格（整改费用承包人自行承担），并承担1000-5000元/次的违约金。</w:t>
      </w:r>
    </w:p>
    <w:p w14:paraId="6A3BCE2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确保现场劳务人员基本权益，保证劳务工资按月发放，若发生讨薪投诉事件，承包人承担30000元/次的违约金。</w:t>
      </w:r>
    </w:p>
    <w:p w14:paraId="46B0056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（3）工程建设过程中，承包人没有按照发包人要求进度实施工程建设的，发包人有权对承包人收取1000-5000元/天的违约金。</w:t>
      </w:r>
    </w:p>
    <w:p w14:paraId="27B68FC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（4）以上违约金应在承包人当期进度款中扣除。</w:t>
      </w:r>
      <w:r>
        <w:rPr>
          <w:rFonts w:hint="eastAsia" w:ascii="宋体" w:hAnsi="宋体" w:eastAsia="宋体" w:cs="宋体"/>
          <w:color w:val="auto"/>
          <w:sz w:val="21"/>
          <w:szCs w:val="21"/>
          <w:highlight w:val="none"/>
        </w:rPr>
        <w:t xml:space="preserve">    </w:t>
      </w:r>
    </w:p>
    <w:p w14:paraId="2AE7FF85">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u w:val="single"/>
        </w:rPr>
        <w:t>（5）本工程要求工程质量达到国家规定的合格标准，竣工验收达不到合格标准的，除按国家规定对承包人予以处罚外，承包方按合同价的20%向发包人支付质量违约金并修复至达到验收合格标准。中间验收时如果出现局部或分部或分项质量不合格，承包人除免费立即纠正、修复外，还要按该局部或分部或分项工程的合同价的20%向发包人支付质量违约金。</w:t>
      </w:r>
    </w:p>
    <w:p w14:paraId="6D270451">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3AD60618">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sz w:val="21"/>
          <w:szCs w:val="21"/>
          <w:highlight w:val="none"/>
          <w:u w:val="single"/>
        </w:rPr>
        <w:t>（1）承包人未按双方确认的施工计划组织施工；（2）承包人所施工的分部分项工程经两次验收均不合格；（3）承包人擅自更换本工程项目经理；（4）承包人未按照本合同约定及时移交工程和满足备案要求的完整竣工资料，逾期超过30天；（5）承包人欠付农民工工资、劳务费、材料款等，导致相关人员围堵发包人工地5天或办公经营场所3次或办公经营场所单次一天以上；（6）项目经理不胜任本职工作，发包人和工程师可提前7天以书面形式通知承包人更换合格的项目经理，如更换后的项目经理仍旧不能胜任本职工作，发包人有解除合同的权利；（7）承包人违反本合同约定义务，经发包人催告后在限期内未改正的</w:t>
      </w:r>
      <w:r>
        <w:rPr>
          <w:rFonts w:hint="eastAsia" w:ascii="宋体" w:hAnsi="宋体" w:eastAsia="宋体" w:cs="宋体"/>
          <w:color w:val="auto"/>
          <w:kern w:val="0"/>
          <w:sz w:val="21"/>
          <w:szCs w:val="21"/>
          <w:highlight w:val="none"/>
          <w:u w:val="single"/>
        </w:rPr>
        <w:t>。</w:t>
      </w:r>
    </w:p>
    <w:p w14:paraId="7FED61A4">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工程材料设备由发包人按照承包人的采购价使用，但不得高于承包人</w:t>
      </w:r>
      <w:r>
        <w:rPr>
          <w:rFonts w:hint="eastAsia" w:ascii="宋体" w:hAnsi="宋体" w:eastAsia="宋体" w:cs="宋体"/>
          <w:color w:val="auto"/>
          <w:sz w:val="21"/>
          <w:szCs w:val="21"/>
          <w:highlight w:val="none"/>
          <w:u w:val="single"/>
          <w:lang w:val="en-US" w:eastAsia="zh-CN"/>
        </w:rPr>
        <w:t>磋商</w:t>
      </w:r>
      <w:r>
        <w:rPr>
          <w:rFonts w:hint="eastAsia" w:ascii="宋体" w:hAnsi="宋体" w:eastAsia="宋体" w:cs="宋体"/>
          <w:color w:val="auto"/>
          <w:kern w:val="0"/>
          <w:sz w:val="21"/>
          <w:szCs w:val="21"/>
          <w:highlight w:val="none"/>
          <w:u w:val="single"/>
          <w:lang w:eastAsia="zh-CN"/>
        </w:rPr>
        <w:t>报价</w:t>
      </w:r>
      <w:r>
        <w:rPr>
          <w:rFonts w:hint="eastAsia" w:ascii="宋体" w:hAnsi="宋体" w:eastAsia="宋体" w:cs="宋体"/>
          <w:color w:val="auto"/>
          <w:kern w:val="0"/>
          <w:sz w:val="21"/>
          <w:szCs w:val="21"/>
          <w:highlight w:val="none"/>
          <w:u w:val="single"/>
        </w:rPr>
        <w:t>中的材料单价；施工设备、临时工程、承包人文件和由承包人或以其名义编制的其他文件的由发包人免费使用，由承包人负责维护、拆除及退场并承担费用</w:t>
      </w:r>
      <w:r>
        <w:rPr>
          <w:rFonts w:hint="eastAsia" w:ascii="宋体" w:hAnsi="宋体" w:eastAsia="宋体" w:cs="宋体"/>
          <w:color w:val="auto"/>
          <w:kern w:val="0"/>
          <w:sz w:val="21"/>
          <w:szCs w:val="21"/>
          <w:highlight w:val="none"/>
        </w:rPr>
        <w:t>。</w:t>
      </w:r>
    </w:p>
    <w:p w14:paraId="46A4C23E">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517" w:name="_Toc351203649"/>
      <w:r>
        <w:rPr>
          <w:rFonts w:hint="eastAsia" w:ascii="宋体" w:hAnsi="宋体" w:eastAsia="宋体" w:cs="宋体"/>
          <w:b/>
          <w:bCs/>
          <w:color w:val="auto"/>
          <w:sz w:val="21"/>
          <w:szCs w:val="21"/>
          <w:highlight w:val="none"/>
        </w:rPr>
        <w:t>17. 不可抗力</w:t>
      </w:r>
      <w:bookmarkEnd w:id="517"/>
      <w:r>
        <w:rPr>
          <w:rFonts w:hint="eastAsia" w:ascii="宋体" w:hAnsi="宋体" w:eastAsia="宋体" w:cs="宋体"/>
          <w:b/>
          <w:bCs/>
          <w:color w:val="auto"/>
          <w:sz w:val="21"/>
          <w:szCs w:val="21"/>
          <w:highlight w:val="none"/>
        </w:rPr>
        <w:t xml:space="preserve"> </w:t>
      </w:r>
      <w:bookmarkEnd w:id="515"/>
    </w:p>
    <w:p w14:paraId="4D72A1C5">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0289EA0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color w:val="auto"/>
          <w:sz w:val="21"/>
          <w:szCs w:val="21"/>
          <w:highlight w:val="none"/>
          <w:u w:val="single"/>
        </w:rPr>
        <w:t>按通用条款执行。其中正常年份的风、雨、雪、雾天气不属于不可抗力；一个有经验的承包商应当能够估计到的自然气候、环境（制约）变化的影响原则上也不做为不可抗力事件对待；高考、中考、运动会以及政府部门发出的有碍于施工的临时性指令均不做为不可抗力事件对待。由于发生30年以上一遇的降雨引起的洪水灾害、雪灾造成对工程的影响，经国家有关部门鉴定后可按不可抗力对待；发生破坏性地震的属于不可抗力事件</w:t>
      </w:r>
      <w:r>
        <w:rPr>
          <w:rFonts w:hint="eastAsia" w:ascii="宋体" w:hAnsi="宋体" w:eastAsia="宋体" w:cs="宋体"/>
          <w:color w:val="auto"/>
          <w:kern w:val="0"/>
          <w:sz w:val="21"/>
          <w:szCs w:val="21"/>
          <w:highlight w:val="none"/>
        </w:rPr>
        <w:t>。</w:t>
      </w:r>
    </w:p>
    <w:p w14:paraId="68E074F7">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79D36962">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100 </w:t>
      </w:r>
      <w:r>
        <w:rPr>
          <w:rFonts w:hint="eastAsia" w:ascii="宋体" w:hAnsi="宋体" w:eastAsia="宋体" w:cs="宋体"/>
          <w:color w:val="auto"/>
          <w:sz w:val="21"/>
          <w:szCs w:val="21"/>
          <w:highlight w:val="none"/>
        </w:rPr>
        <w:t>天内完成款项的支付。</w:t>
      </w:r>
    </w:p>
    <w:bookmarkEnd w:id="492"/>
    <w:bookmarkEnd w:id="493"/>
    <w:bookmarkEnd w:id="494"/>
    <w:bookmarkEnd w:id="495"/>
    <w:bookmarkEnd w:id="496"/>
    <w:bookmarkEnd w:id="497"/>
    <w:bookmarkEnd w:id="498"/>
    <w:bookmarkEnd w:id="499"/>
    <w:bookmarkEnd w:id="500"/>
    <w:bookmarkEnd w:id="501"/>
    <w:bookmarkEnd w:id="502"/>
    <w:bookmarkEnd w:id="503"/>
    <w:bookmarkEnd w:id="516"/>
    <w:p w14:paraId="7F8058AE">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bCs/>
          <w:color w:val="auto"/>
          <w:sz w:val="21"/>
          <w:szCs w:val="21"/>
          <w:highlight w:val="none"/>
        </w:rPr>
      </w:pPr>
      <w:bookmarkStart w:id="518" w:name="_Toc351203651"/>
      <w:r>
        <w:rPr>
          <w:rFonts w:hint="eastAsia" w:ascii="宋体" w:hAnsi="宋体" w:eastAsia="宋体" w:cs="宋体"/>
          <w:b/>
          <w:bCs/>
          <w:color w:val="auto"/>
          <w:sz w:val="21"/>
          <w:szCs w:val="21"/>
          <w:highlight w:val="none"/>
        </w:rPr>
        <w:t>20. 争议解决</w:t>
      </w:r>
      <w:bookmarkEnd w:id="518"/>
    </w:p>
    <w:bookmarkEnd w:id="504"/>
    <w:bookmarkEnd w:id="505"/>
    <w:bookmarkEnd w:id="506"/>
    <w:p w14:paraId="0D00389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bookmarkEnd w:id="507"/>
    </w:p>
    <w:p w14:paraId="507C799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4E5F9230">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525126AC">
      <w:pPr>
        <w:keepNext w:val="0"/>
        <w:keepLines w:val="0"/>
        <w:pageBreakBefore w:val="0"/>
        <w:kinsoku/>
        <w:wordWrap/>
        <w:overflowPunct/>
        <w:topLinePunct w:val="0"/>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lang w:val="en-US" w:eastAsia="zh-CN"/>
        </w:rPr>
        <w:t xml:space="preserve"> 甲方所在地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bookmarkEnd w:id="508"/>
      <w:bookmarkEnd w:id="509"/>
      <w:bookmarkEnd w:id="510"/>
      <w:bookmarkEnd w:id="511"/>
      <w:bookmarkEnd w:id="512"/>
      <w:bookmarkEnd w:id="513"/>
    </w:p>
    <w:p w14:paraId="6972EBE5">
      <w:pPr>
        <w:keepNext w:val="0"/>
        <w:keepLines w:val="0"/>
        <w:pageBreakBefore w:val="0"/>
        <w:kinsoku/>
        <w:wordWrap/>
        <w:overflowPunct/>
        <w:topLinePunct w:val="0"/>
        <w:bidi w:val="0"/>
        <w:spacing w:line="36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补充条款：</w:t>
      </w:r>
    </w:p>
    <w:p w14:paraId="7480A95B">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1承包人在工程施工管理过程中应当推行标准化管理，开工前应当建立健全各项规章制度和有关程序文件等，随时接受发包人的检查。</w:t>
      </w:r>
    </w:p>
    <w:p w14:paraId="6E4BAC7F">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2承包人的中标价作为合同价已经包含了发包人在</w:t>
      </w:r>
      <w:r>
        <w:rPr>
          <w:rFonts w:hint="eastAsia" w:ascii="宋体" w:hAnsi="宋体" w:eastAsia="宋体" w:cs="宋体"/>
          <w:color w:val="auto"/>
          <w:sz w:val="21"/>
          <w:szCs w:val="21"/>
          <w:highlight w:val="none"/>
          <w:u w:val="single"/>
          <w:lang w:eastAsia="zh-CN"/>
        </w:rPr>
        <w:t>竞争性磋商文件</w:t>
      </w:r>
      <w:r>
        <w:rPr>
          <w:rFonts w:hint="eastAsia" w:ascii="宋体" w:hAnsi="宋体" w:eastAsia="宋体" w:cs="宋体"/>
          <w:color w:val="auto"/>
          <w:sz w:val="21"/>
          <w:szCs w:val="21"/>
          <w:highlight w:val="none"/>
          <w:u w:val="single"/>
        </w:rPr>
        <w:t>中和招标答疑文件所提出承包（招标）范围内全部工程量的费用，承包人不得以投标时未计某一部分（不论在投标文件中注明与否）为由向发包人提出重新计价的要求。</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针对</w:t>
      </w:r>
      <w:r>
        <w:rPr>
          <w:rFonts w:hint="eastAsia" w:ascii="宋体" w:hAnsi="宋体" w:eastAsia="宋体" w:cs="宋体"/>
          <w:color w:val="auto"/>
          <w:sz w:val="21"/>
          <w:szCs w:val="21"/>
          <w:highlight w:val="none"/>
          <w:u w:val="single"/>
          <w:lang w:eastAsia="zh-CN"/>
        </w:rPr>
        <w:t>采购人</w:t>
      </w:r>
      <w:r>
        <w:rPr>
          <w:rFonts w:hint="eastAsia" w:ascii="宋体" w:hAnsi="宋体" w:eastAsia="宋体" w:cs="宋体"/>
          <w:color w:val="auto"/>
          <w:sz w:val="21"/>
          <w:szCs w:val="21"/>
          <w:highlight w:val="none"/>
          <w:u w:val="single"/>
        </w:rPr>
        <w:t>提供的工程量清单及其描述内容进行报价。如施工现场发生变化，发包人与承包人另行签署补充协议，补充协议与本合同具备同等效力。</w:t>
      </w:r>
    </w:p>
    <w:p w14:paraId="6A8C9C79">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承包人使用劳务分包和招聘的农民工情况，应当定期向发包人报送备案。承包人应当确保农民工工资的按时、足额发放。承包人在申报当期进度款计划时应当包括农民工工资。发包人有权监督承包人在支付的当期进度款中发放农民工工资情况。如承包人未按时发放农民工工资，影响到本工程的施工进度及工程质量，则发包人有权在工程进度款中将承包人所欠的工资额扣除，直接发放给农民工，并另按发放金额的50%从承包人的工程结算款中扣除作为违约金。</w:t>
      </w:r>
    </w:p>
    <w:p w14:paraId="0E7B1DA4">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4承包人必须按照自报的并经发包人审定的施工组织设计方案进行施工，不得任意修改和变更其内容、方法等。确需修改时，应当会同发包人商议，取得发包人同意。但不能因施工组织设计的变化而调整中标价。</w:t>
      </w:r>
    </w:p>
    <w:p w14:paraId="79A35832">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本项目受周围环境和施工场地的限制，承包人应充分考察周围环境和施工现场。</w:t>
      </w:r>
    </w:p>
    <w:p w14:paraId="66D50335">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承包方必须按规定做好工程的安全管理、文明施工工作，落实职业健康管理，必须达到省、市级文明工地标准和创卫标准。严格按文明工地和创卫标准施工，设立专用、分类垃圾场（箱），不得在施工区内任意堆放或乱倒垃圾，定期将垃圾清理外运。</w:t>
      </w:r>
    </w:p>
    <w:p w14:paraId="616968A8">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承包人在进入施工现场直至工程竣工验收移交期间，应当遵守发包人的有关管理制度，接受发包人有关部门的相应管理。由于承包人过错或不服从发包人有关人员的管理出现承包人违纪、违章，造成发包人的道路、线路等设施损坏，环境受到破坏和污染，排水管道堵塞等，承包人均应自费进行纠正、修补、恢复或予以赔偿。</w:t>
      </w:r>
    </w:p>
    <w:p w14:paraId="083D984A">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7承包人安全管理人员必须持证上岗，严格按照 “三标”管理体系运行管理，负责检查现场和施工人员安全情况。如发包人管理人员发现有不安全因素存在且未采取预防保护的，每项支付违约金5000元人民币；经指出未及时纠正，再次检查又发现问题的，则支付违约金10000元/项和责令停工整改；出现安全事故的，承包人应当承担全部责任后果。</w:t>
      </w:r>
    </w:p>
    <w:p w14:paraId="7E51C745">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8承包人现场用电必须按照发包人要求，三相五线制，一机一闸必须带漏电保护，不许用电炉。如施工现场出现用电漏电或短路跳闸，造成停电、影响到发包人用电的，每次支付违约金2000元。</w:t>
      </w:r>
    </w:p>
    <w:p w14:paraId="49014273">
      <w:pPr>
        <w:keepNext w:val="0"/>
        <w:keepLines w:val="0"/>
        <w:pageBreakBefore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9本工程竣工验收合格后，承包人应在发包人规定时间内免费将施工现场周围和施工单位生活区周围清除干净；无建筑材料、无建筑设备、无临时垃圾、无坑池渠沟、无掩埋的硬化道路和垃圾，场地整洁。否则发包人不予支付工程款。</w:t>
      </w:r>
    </w:p>
    <w:p w14:paraId="2CFE08F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10承包单位的项目经理部到位人员、投入劳动力、投入机械设备、投入周转材料等必须与投标施工组织设计所列相符，否则视为中标人违约，应按每项5000元向发包人支付违约金。</w:t>
      </w:r>
    </w:p>
    <w:p w14:paraId="3ED3964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11施工单位应当确保安全防护、文明施工措施费专款专用，不得挪用安全防护、文明施工措施费。在财务管理中应单独核算列出安全防护、文明施工措施费用，且必须有详细的费用支付计划表。</w:t>
      </w:r>
    </w:p>
    <w:p w14:paraId="42CEA55D">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12承包单位进场后应承担办理有关施工许可证、环保、卫生、城管、噪音等有关手续，以上工作实施中涉及有关缴纳费用按相关规定由发承包双方各自承担。</w:t>
      </w:r>
    </w:p>
    <w:p w14:paraId="65075FE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13工程承包人应在投标工期内，负责完成本工程的综合验收、维护交接和竣工验收备案工作，否则按本工程未完成对待。以上工作实施中涉及有关缴纳费用按相关规定由发承包双方各自承担。</w:t>
      </w:r>
    </w:p>
    <w:p w14:paraId="3D701F91">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14承包方应保证项目实施过程顺利进行，自行协调处理项目周边建设环境及相关各方利益关系，严禁发生项目劳务用工或村民进行上访、堵门、堵路等事件及媒体、网络发布的因施工引起的不良影响，如发生此类事件，将视情节严重程度，由承包方按1～5万元／次向发包方缴纳违约金。</w:t>
      </w:r>
    </w:p>
    <w:p w14:paraId="40898FF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15所有专业工种必须持证上岗，证书等级必须满足国家有关文件规定。</w:t>
      </w:r>
    </w:p>
    <w:p w14:paraId="4140DA1E">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16工程决算中，为了避免给发包人造成不必要的额外损失，工程审计的审减率应控制在5%以内，如超出5%审减率时，将按发包人与审计单位签定合同规定，超额部分的基础审计费和审减审计费由承包人向审计单位另行支付。</w:t>
      </w:r>
    </w:p>
    <w:p w14:paraId="443BD800">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17税务条款</w:t>
      </w:r>
    </w:p>
    <w:p w14:paraId="5AD42016">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合同双方将承担中国有关机构根据中国税务法律向其征收的所有与合同执行有关的税款，在本合同履行过程中无偷漏税等违法行为，双方应各自承担其未按中华人民共和国相关税务法规足额缴纳税款而产生的全部责任。承包人在发包人支付合同款项时，应向发包人开具符合国家法律法规和税制的建筑施工发票。不开具或开具不合格发票的，发包人有权迟延支付应付款项直至承包人开具合格票据之日且不承担任何违约责任，同时承包人的各项合同义务仍应按合同约定履行</w:t>
      </w:r>
      <w:r>
        <w:rPr>
          <w:rFonts w:hint="eastAsia" w:ascii="宋体" w:hAnsi="宋体" w:eastAsia="宋体" w:cs="宋体"/>
          <w:color w:val="auto"/>
          <w:sz w:val="21"/>
          <w:szCs w:val="21"/>
          <w:highlight w:val="none"/>
          <w:u w:val="single"/>
          <w:lang w:eastAsia="zh-CN"/>
        </w:rPr>
        <w:t>。</w:t>
      </w:r>
    </w:p>
    <w:p w14:paraId="4A45699B">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br w:type="page"/>
      </w:r>
    </w:p>
    <w:p w14:paraId="51224A3B">
      <w:pPr>
        <w:keepNext w:val="0"/>
        <w:keepLines w:val="0"/>
        <w:pageBreakBefore w:val="0"/>
        <w:kinsoku/>
        <w:wordWrap/>
        <w:overflowPunct/>
        <w:topLinePunct w:val="0"/>
        <w:autoSpaceDE/>
        <w:autoSpaceDN/>
        <w:bidi w:val="0"/>
        <w:spacing w:line="360" w:lineRule="exact"/>
        <w:ind w:left="0" w:leftChars="0" w:firstLine="422" w:firstLineChars="200"/>
        <w:jc w:val="both"/>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rPr>
        <w:t>附</w:t>
      </w:r>
      <w:bookmarkStart w:id="519" w:name="_Toc296503226"/>
      <w:bookmarkStart w:id="520" w:name="_Toc296891266"/>
      <w:bookmarkStart w:id="521" w:name="_Toc296891054"/>
      <w:bookmarkStart w:id="522" w:name="_Toc296347225"/>
      <w:bookmarkStart w:id="523" w:name="_Toc296346727"/>
      <w:bookmarkStart w:id="524" w:name="_Toc267261693"/>
      <w:bookmarkStart w:id="525" w:name="_Toc296944565"/>
      <w:r>
        <w:rPr>
          <w:rFonts w:hint="eastAsia" w:ascii="宋体" w:hAnsi="宋体" w:eastAsia="宋体" w:cs="宋体"/>
          <w:b/>
          <w:bCs/>
          <w:color w:val="auto"/>
          <w:sz w:val="21"/>
          <w:szCs w:val="21"/>
          <w:highlight w:val="none"/>
        </w:rPr>
        <w:t>件1：</w:t>
      </w:r>
      <w:bookmarkEnd w:id="519"/>
      <w:bookmarkEnd w:id="520"/>
      <w:bookmarkEnd w:id="521"/>
      <w:bookmarkEnd w:id="522"/>
      <w:bookmarkEnd w:id="523"/>
      <w:bookmarkEnd w:id="524"/>
      <w:bookmarkEnd w:id="525"/>
    </w:p>
    <w:p w14:paraId="7D3A19A4">
      <w:pPr>
        <w:keepNext w:val="0"/>
        <w:keepLines w:val="0"/>
        <w:pageBreakBefore w:val="0"/>
        <w:kinsoku/>
        <w:wordWrap/>
        <w:overflowPunct/>
        <w:topLinePunct w:val="0"/>
        <w:autoSpaceDE/>
        <w:autoSpaceDN/>
        <w:bidi w:val="0"/>
        <w:spacing w:line="360" w:lineRule="exact"/>
        <w:ind w:left="0" w:leftChars="0" w:firstLine="422" w:firstLineChars="200"/>
        <w:jc w:val="center"/>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工程质量保修书</w:t>
      </w:r>
    </w:p>
    <w:p w14:paraId="70451CF2">
      <w:pPr>
        <w:keepNext w:val="0"/>
        <w:keepLines w:val="0"/>
        <w:pageBreakBefore w:val="0"/>
        <w:kinsoku/>
        <w:wordWrap/>
        <w:overflowPunct/>
        <w:topLinePunct w:val="0"/>
        <w:autoSpaceDE/>
        <w:autoSpaceDN/>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p>
    <w:p w14:paraId="3E4DD329">
      <w:pPr>
        <w:keepNext w:val="0"/>
        <w:keepLines w:val="0"/>
        <w:pageBreakBefore w:val="0"/>
        <w:kinsoku/>
        <w:wordWrap/>
        <w:overflowPunct/>
        <w:topLinePunct w:val="0"/>
        <w:autoSpaceDE/>
        <w:autoSpaceDN/>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rPr>
        <w:t xml:space="preserve">                              </w:t>
      </w:r>
    </w:p>
    <w:p w14:paraId="4AA1790B">
      <w:pPr>
        <w:keepNext w:val="0"/>
        <w:keepLines w:val="0"/>
        <w:pageBreakBefore w:val="0"/>
        <w:kinsoku/>
        <w:wordWrap/>
        <w:overflowPunct/>
        <w:topLinePunct w:val="0"/>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发包人、承包人根据《中华人民共和国建筑法》和《建设工程质量管理条例》，经协商一致就</w:t>
      </w:r>
      <w:r>
        <w:rPr>
          <w:rFonts w:hint="eastAsia" w:ascii="宋体" w:hAnsi="宋体" w:eastAsia="宋体" w:cs="宋体"/>
          <w:color w:val="auto"/>
          <w:sz w:val="21"/>
          <w:szCs w:val="21"/>
          <w:highlight w:val="none"/>
          <w:u w:val="single"/>
          <w:lang w:val="en-US" w:eastAsia="zh-CN"/>
        </w:rPr>
        <w:t>泾干中学功能部室改造工程</w:t>
      </w:r>
      <w:r>
        <w:rPr>
          <w:rFonts w:hint="eastAsia" w:ascii="宋体" w:hAnsi="宋体" w:eastAsia="宋体" w:cs="宋体"/>
          <w:color w:val="auto"/>
          <w:sz w:val="21"/>
          <w:szCs w:val="21"/>
          <w:highlight w:val="none"/>
        </w:rPr>
        <w:t>签订工程质量保修书。</w:t>
      </w:r>
    </w:p>
    <w:p w14:paraId="2390C89E">
      <w:pPr>
        <w:keepNext w:val="0"/>
        <w:keepLines w:val="0"/>
        <w:pageBreakBefore w:val="0"/>
        <w:kinsoku/>
        <w:wordWrap/>
        <w:overflowPunct/>
        <w:topLinePunct w:val="0"/>
        <w:autoSpaceDE/>
        <w:autoSpaceDN/>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一、工程质量保修范围和内容</w:t>
      </w:r>
    </w:p>
    <w:p w14:paraId="693ECBC1">
      <w:pPr>
        <w:keepNext w:val="0"/>
        <w:keepLines w:val="0"/>
        <w:pageBreakBefore w:val="0"/>
        <w:kinsoku/>
        <w:wordWrap/>
        <w:overflowPunct/>
        <w:topLinePunct w:val="0"/>
        <w:autoSpaceDE/>
        <w:autoSpaceDN/>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承包人在质量保修期内，按照有关法律规定和合同约定，承担工程质量保修责任。</w:t>
      </w:r>
    </w:p>
    <w:p w14:paraId="5EE7942C">
      <w:pPr>
        <w:keepNext w:val="0"/>
        <w:keepLines w:val="0"/>
        <w:pageBreakBefore w:val="0"/>
        <w:kinsoku/>
        <w:wordWrap/>
        <w:overflowPunct/>
        <w:topLinePunct w:val="0"/>
        <w:autoSpaceDE/>
        <w:autoSpaceDN/>
        <w:bidi w:val="0"/>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CD32C38">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二、质量保修期</w:t>
      </w:r>
    </w:p>
    <w:p w14:paraId="469B154F">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根据《建设工程质量管理条例》及有关规定，工程的质量保修期如下：</w:t>
      </w:r>
    </w:p>
    <w:p w14:paraId="2FE4892F">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基础设施工程、房屋建筑的地基基础工程和主体结构工程，为设计文件规定的该工程的合理使用年限；</w:t>
      </w:r>
    </w:p>
    <w:p w14:paraId="42AE60C2">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屋面防水工程、有防水要求的卫生间、房间和外墙面的防渗漏，为</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rPr>
        <w:t>年；</w:t>
      </w:r>
    </w:p>
    <w:p w14:paraId="7E216FDA">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供热与供冷系统，为</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rPr>
        <w:t>个采暖期、供冷期；</w:t>
      </w:r>
    </w:p>
    <w:p w14:paraId="6B1BB257">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电气管线、给排水管道、设备安装和装修工程，为</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rPr>
        <w:t>年。</w:t>
      </w:r>
    </w:p>
    <w:p w14:paraId="2EF10BCC">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FF0000"/>
          <w:kern w:val="0"/>
          <w:sz w:val="21"/>
          <w:szCs w:val="21"/>
          <w:highlight w:val="none"/>
        </w:rPr>
      </w:pPr>
      <w:r>
        <w:rPr>
          <w:rFonts w:hint="eastAsia" w:ascii="宋体" w:hAnsi="宋体" w:eastAsia="宋体" w:cs="宋体"/>
          <w:color w:val="FF0000"/>
          <w:kern w:val="0"/>
          <w:sz w:val="21"/>
          <w:szCs w:val="21"/>
          <w:highlight w:val="none"/>
        </w:rPr>
        <w:t>其他项目保修期限约定如下</w:t>
      </w:r>
      <w:r>
        <w:rPr>
          <w:rFonts w:hint="eastAsia" w:ascii="宋体" w:hAnsi="宋体" w:eastAsia="宋体" w:cs="宋体"/>
          <w:color w:val="FF0000"/>
          <w:kern w:val="0"/>
          <w:sz w:val="21"/>
          <w:szCs w:val="21"/>
          <w:highlight w:val="none"/>
          <w:lang w:eastAsia="zh-CN"/>
        </w:rPr>
        <w:t>：</w:t>
      </w:r>
      <w:r>
        <w:rPr>
          <w:rFonts w:hint="eastAsia" w:ascii="宋体" w:hAnsi="宋体" w:eastAsia="宋体" w:cs="宋体"/>
          <w:color w:val="FF0000"/>
          <w:kern w:val="0"/>
          <w:sz w:val="21"/>
          <w:szCs w:val="21"/>
          <w:highlight w:val="none"/>
          <w:u w:val="single"/>
        </w:rPr>
        <w:t>本项目质量保修期为</w:t>
      </w:r>
      <w:r>
        <w:rPr>
          <w:rFonts w:hint="eastAsia" w:ascii="宋体" w:hAnsi="宋体" w:eastAsia="宋体" w:cs="宋体"/>
          <w:color w:val="FF0000"/>
          <w:kern w:val="0"/>
          <w:sz w:val="21"/>
          <w:szCs w:val="21"/>
          <w:highlight w:val="none"/>
          <w:u w:val="single"/>
          <w:lang w:val="en-US" w:eastAsia="zh-CN"/>
        </w:rPr>
        <w:t>1</w:t>
      </w:r>
      <w:r>
        <w:rPr>
          <w:rFonts w:hint="eastAsia" w:ascii="宋体" w:hAnsi="宋体" w:eastAsia="宋体" w:cs="宋体"/>
          <w:color w:val="FF0000"/>
          <w:kern w:val="0"/>
          <w:sz w:val="21"/>
          <w:szCs w:val="21"/>
          <w:highlight w:val="none"/>
          <w:u w:val="single"/>
        </w:rPr>
        <w:t xml:space="preserve">年 </w:t>
      </w:r>
      <w:r>
        <w:rPr>
          <w:rFonts w:hint="eastAsia" w:ascii="宋体" w:hAnsi="宋体" w:eastAsia="宋体" w:cs="宋体"/>
          <w:color w:val="FF0000"/>
          <w:kern w:val="0"/>
          <w:sz w:val="21"/>
          <w:szCs w:val="21"/>
          <w:highlight w:val="none"/>
          <w:u w:val="none"/>
        </w:rPr>
        <w:t xml:space="preserve"> 。</w:t>
      </w:r>
    </w:p>
    <w:p w14:paraId="1FA54C2B">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质量保修期自工程竣工验收合格之日起计算。</w:t>
      </w:r>
    </w:p>
    <w:p w14:paraId="0867014E">
      <w:pPr>
        <w:keepNext w:val="0"/>
        <w:keepLines w:val="0"/>
        <w:pageBreakBefore w:val="0"/>
        <w:widowControl/>
        <w:kinsoku/>
        <w:wordWrap/>
        <w:overflowPunct/>
        <w:topLinePunct w:val="0"/>
        <w:autoSpaceDE/>
        <w:autoSpaceDN/>
        <w:bidi w:val="0"/>
        <w:adjustRightInd w:val="0"/>
        <w:snapToGrid w:val="0"/>
        <w:spacing w:line="360" w:lineRule="exact"/>
        <w:ind w:left="0" w:lef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三、缺陷责任期</w:t>
      </w:r>
    </w:p>
    <w:p w14:paraId="0329CCE1">
      <w:pPr>
        <w:keepNext w:val="0"/>
        <w:keepLines w:val="0"/>
        <w:pageBreakBefore w:val="0"/>
        <w:widowControl/>
        <w:kinsoku/>
        <w:wordWrap/>
        <w:overflowPunct/>
        <w:topLinePunct w:val="0"/>
        <w:autoSpaceDE/>
        <w:autoSpaceDN/>
        <w:bidi w:val="0"/>
        <w:adjustRightInd w:val="0"/>
        <w:snapToGrid w:val="0"/>
        <w:spacing w:line="360" w:lineRule="exact"/>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工程缺陷责任期为</w:t>
      </w:r>
      <w:r>
        <w:rPr>
          <w:rFonts w:hint="eastAsia" w:ascii="宋体" w:hAnsi="宋体" w:eastAsia="宋体" w:cs="宋体"/>
          <w:b/>
          <w:bCs/>
          <w:color w:val="auto"/>
          <w:kern w:val="0"/>
          <w:sz w:val="21"/>
          <w:szCs w:val="21"/>
          <w:highlight w:val="none"/>
          <w:u w:val="single"/>
          <w:lang w:val="en-US" w:eastAsia="zh-CN"/>
        </w:rPr>
        <w:t>12</w:t>
      </w:r>
      <w:r>
        <w:rPr>
          <w:rFonts w:hint="eastAsia" w:ascii="宋体" w:hAnsi="宋体" w:eastAsia="宋体" w:cs="宋体"/>
          <w:b/>
          <w:bCs/>
          <w:color w:val="auto"/>
          <w:kern w:val="0"/>
          <w:sz w:val="21"/>
          <w:szCs w:val="21"/>
          <w:highlight w:val="none"/>
        </w:rPr>
        <w:t>个月，</w:t>
      </w:r>
      <w:r>
        <w:rPr>
          <w:rFonts w:hint="eastAsia" w:ascii="宋体" w:hAnsi="宋体" w:eastAsia="宋体" w:cs="宋体"/>
          <w:color w:val="auto"/>
          <w:kern w:val="0"/>
          <w:sz w:val="21"/>
          <w:szCs w:val="21"/>
          <w:highlight w:val="none"/>
        </w:rPr>
        <w:t>缺陷责任期自工程通过竣工验收之日起计算。单位工程先于全部工程进行验收，单位工程缺陷责任期自单位工程验收合格之日起算。</w:t>
      </w:r>
    </w:p>
    <w:p w14:paraId="5CAE78E6">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缺陷责任期终止后，发包人应退还剩余的质量保证金。</w:t>
      </w:r>
    </w:p>
    <w:p w14:paraId="5EFE1531">
      <w:pPr>
        <w:keepNext w:val="0"/>
        <w:keepLines w:val="0"/>
        <w:pageBreakBefore w:val="0"/>
        <w:widowControl/>
        <w:kinsoku/>
        <w:wordWrap/>
        <w:overflowPunct/>
        <w:topLinePunct w:val="0"/>
        <w:autoSpaceDE/>
        <w:autoSpaceDN/>
        <w:bidi w:val="0"/>
        <w:adjustRightInd w:val="0"/>
        <w:snapToGrid w:val="0"/>
        <w:spacing w:line="360" w:lineRule="exact"/>
        <w:ind w:left="0" w:lef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四、质量保修责任</w:t>
      </w:r>
    </w:p>
    <w:p w14:paraId="52021D21">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1.保修费用由造成质量缺陷的责任方承担。</w:t>
      </w:r>
    </w:p>
    <w:p w14:paraId="2346EDA5">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2.保修金为工程竣工结算审定总价的 </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%，在工程竣工结算时预留。质保期间无质量问题则于质保期后支付至保修金总额的</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%（无息）。</w:t>
      </w:r>
    </w:p>
    <w:p w14:paraId="5E87D269">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3.属于保修范围、内容的项目，承包人应当在接到保修通知之日起1天内派人保修。承包人不在约定期限内派人保修的，发包人可以委托他人修理，</w:t>
      </w:r>
      <w:r>
        <w:rPr>
          <w:rFonts w:hint="eastAsia" w:ascii="宋体" w:hAnsi="宋体" w:eastAsia="宋体" w:cs="宋体"/>
          <w:color w:val="auto"/>
          <w:sz w:val="21"/>
          <w:szCs w:val="21"/>
          <w:highlight w:val="none"/>
        </w:rPr>
        <w:t>由此产生的费用从保修金中扣除。</w:t>
      </w:r>
    </w:p>
    <w:p w14:paraId="157A59C0">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4.发生紧急抢修事故的，承包人在接到事故通知后，应当立即到达事故现场抢修。</w:t>
      </w:r>
    </w:p>
    <w:p w14:paraId="31F99781">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E5206C3">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6.质量保修完成后，由发包人组织验收。</w:t>
      </w:r>
    </w:p>
    <w:p w14:paraId="7B355A5F">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kern w:val="0"/>
          <w:sz w:val="21"/>
          <w:szCs w:val="21"/>
          <w:highlight w:val="none"/>
        </w:rPr>
        <w:t>缺陷责任期从工程通过竣工验收之日起计。由于承包人原因导致工程无法按规定期限进行竣（交）工验收的，缺陷责任期从实际通过竣（交）工验收之日起计。由于发包人原因导致工程无法按规定期限进行竣（交）工验收的，在承包人提交竣（交）工验收报告90天后，工程自动进入缺陷责任期。</w:t>
      </w:r>
    </w:p>
    <w:p w14:paraId="3CB96ABB">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缺陷责任期内，由承包人原因造成的缺陷，承包人应负责维修，并承担鉴定及维修费用。如承包人不维修也不承担费用，发包人可按合同约定扣除保证金，并由承包人承担违约责任。承包人维修并承担相应费用后，不免除对工程的一般损失赔偿责任。由他人原因造成的缺陷，发包人负责组织维修，承包人不承担费用，且发包人不得从保证金中扣除费用。</w:t>
      </w:r>
    </w:p>
    <w:p w14:paraId="72B26EE3">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9.缺陷责任期内，承包人认真履行合同约定的责任，到期后，承包人向发包人申请返还保证金。</w:t>
      </w:r>
    </w:p>
    <w:p w14:paraId="75DDE363">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在接到承包人返还保证金申请后，应于14日内会同承包人按照合同约定的内容进行核实。如无异议，发包人应当在核实后14日内将保证金返还给承包人，逾期支付的，从逾期之日起，按照同期银行贷款利率计付利息，并承担违约责任。发包人在接到承包人返还保证金申请后14日内不予答复，经催告后14日内仍不予答复，视同认可承包人的返还保证金申请。</w:t>
      </w:r>
    </w:p>
    <w:p w14:paraId="48026AD0">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发包人和承包人对保证金预留、返还以及工程维修质量、费用有争议，按承包合同约定的争议和纠纷解决程序处理</w:t>
      </w:r>
    </w:p>
    <w:p w14:paraId="0C105BE4">
      <w:pPr>
        <w:keepNext w:val="0"/>
        <w:keepLines w:val="0"/>
        <w:pageBreakBefore w:val="0"/>
        <w:numPr>
          <w:ilvl w:val="0"/>
          <w:numId w:val="7"/>
        </w:numPr>
        <w:kinsoku/>
        <w:wordWrap/>
        <w:overflowPunct/>
        <w:topLinePunct w:val="0"/>
        <w:autoSpaceDE/>
        <w:autoSpaceDN/>
        <w:bidi w:val="0"/>
        <w:spacing w:line="360" w:lineRule="exact"/>
        <w:ind w:left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保修费用</w:t>
      </w:r>
    </w:p>
    <w:p w14:paraId="1646E39D">
      <w:pPr>
        <w:keepNext w:val="0"/>
        <w:keepLines w:val="0"/>
        <w:pageBreakBefore w:val="0"/>
        <w:numPr>
          <w:ilvl w:val="0"/>
          <w:numId w:val="0"/>
        </w:numPr>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保修费用由造成质量缺陷的责任方承担。</w:t>
      </w:r>
    </w:p>
    <w:p w14:paraId="6DB31DCC">
      <w:pPr>
        <w:keepNext w:val="0"/>
        <w:keepLines w:val="0"/>
        <w:pageBreakBefore w:val="0"/>
        <w:kinsoku/>
        <w:wordWrap/>
        <w:overflowPunct/>
        <w:topLinePunct w:val="0"/>
        <w:autoSpaceDE/>
        <w:autoSpaceDN/>
        <w:bidi w:val="0"/>
        <w:spacing w:line="360" w:lineRule="exact"/>
        <w:ind w:left="0" w:lef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六</w:t>
      </w:r>
      <w:r>
        <w:rPr>
          <w:rFonts w:hint="eastAsia" w:ascii="宋体" w:hAnsi="宋体" w:eastAsia="宋体" w:cs="宋体"/>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p w14:paraId="537F0444">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14:paraId="287C0244">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p>
    <w:p w14:paraId="51F89BFC">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承包人(公章)：</w:t>
      </w:r>
      <w:r>
        <w:rPr>
          <w:rFonts w:hint="eastAsia" w:ascii="宋体" w:hAnsi="宋体" w:eastAsia="宋体" w:cs="宋体"/>
          <w:color w:val="auto"/>
          <w:sz w:val="21"/>
          <w:szCs w:val="21"/>
          <w:highlight w:val="none"/>
          <w:u w:val="single"/>
        </w:rPr>
        <w:t xml:space="preserve">              </w:t>
      </w:r>
    </w:p>
    <w:p w14:paraId="761B9F05">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w:t>
      </w:r>
    </w:p>
    <w:p w14:paraId="009DCFCD">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法定代表人(签章)：</w:t>
      </w:r>
      <w:r>
        <w:rPr>
          <w:rFonts w:hint="eastAsia" w:ascii="宋体" w:hAnsi="宋体" w:eastAsia="宋体" w:cs="宋体"/>
          <w:color w:val="auto"/>
          <w:sz w:val="21"/>
          <w:szCs w:val="21"/>
          <w:highlight w:val="none"/>
          <w:u w:val="single"/>
        </w:rPr>
        <w:t xml:space="preserve">            </w:t>
      </w:r>
    </w:p>
    <w:p w14:paraId="61394E74">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委托代理人(签章)：</w:t>
      </w:r>
      <w:r>
        <w:rPr>
          <w:rFonts w:hint="eastAsia" w:ascii="宋体" w:hAnsi="宋体" w:eastAsia="宋体" w:cs="宋体"/>
          <w:color w:val="auto"/>
          <w:sz w:val="21"/>
          <w:szCs w:val="21"/>
          <w:highlight w:val="none"/>
          <w:u w:val="single"/>
        </w:rPr>
        <w:t xml:space="preserve">               </w:t>
      </w:r>
    </w:p>
    <w:p w14:paraId="4819C0A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p>
    <w:p w14:paraId="0572853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FC8AA6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施工安全生产协议格式</w:t>
      </w:r>
    </w:p>
    <w:p w14:paraId="4FD915B8">
      <w:pPr>
        <w:keepNext w:val="0"/>
        <w:keepLines w:val="0"/>
        <w:pageBreakBefore w:val="0"/>
        <w:widowControl w:val="0"/>
        <w:kinsoku/>
        <w:wordWrap/>
        <w:overflowPunct/>
        <w:topLinePunct w:val="0"/>
        <w:autoSpaceDE/>
        <w:autoSpaceDN/>
        <w:bidi w:val="0"/>
        <w:spacing w:line="360" w:lineRule="exact"/>
        <w:ind w:left="0" w:leftChars="0" w:firstLine="422" w:firstLineChars="200"/>
        <w:jc w:val="center"/>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安全生产协议</w:t>
      </w:r>
    </w:p>
    <w:p w14:paraId="5D17468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发包人（甲方）：</w:t>
      </w:r>
      <w:r>
        <w:rPr>
          <w:rFonts w:hint="eastAsia" w:ascii="宋体" w:hAnsi="宋体" w:eastAsia="宋体" w:cs="宋体"/>
          <w:color w:val="auto"/>
          <w:sz w:val="21"/>
          <w:szCs w:val="21"/>
          <w:highlight w:val="none"/>
          <w:u w:val="single"/>
        </w:rPr>
        <w:t xml:space="preserve">                              </w:t>
      </w:r>
    </w:p>
    <w:p w14:paraId="227EBB6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承包人（乙方）：</w:t>
      </w:r>
      <w:r>
        <w:rPr>
          <w:rFonts w:hint="eastAsia" w:ascii="宋体" w:hAnsi="宋体" w:eastAsia="宋体" w:cs="宋体"/>
          <w:color w:val="auto"/>
          <w:sz w:val="21"/>
          <w:szCs w:val="21"/>
          <w:highlight w:val="none"/>
          <w:u w:val="single"/>
        </w:rPr>
        <w:t xml:space="preserve">                              </w:t>
      </w:r>
    </w:p>
    <w:p w14:paraId="5D17274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为加强建设工程安全生产管理，落实安全生产责任，防止和减少生产安全事故，经甲乙双方在平等、自愿的基础上协商一致，根据《中华人民共和国安全生产法》、《建设工程安全生产管理条例》及相关法律、法规的规定，达成《安全生产协议》如下： </w:t>
      </w:r>
    </w:p>
    <w:p w14:paraId="765305D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一、承包工程项目：</w:t>
      </w:r>
    </w:p>
    <w:p w14:paraId="6FD2FCE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1、工程项目名称：</w:t>
      </w:r>
      <w:r>
        <w:rPr>
          <w:rFonts w:hint="eastAsia" w:ascii="宋体" w:hAnsi="宋体" w:eastAsia="宋体" w:cs="宋体"/>
          <w:color w:val="auto"/>
          <w:kern w:val="0"/>
          <w:sz w:val="21"/>
          <w:szCs w:val="21"/>
          <w:highlight w:val="none"/>
          <w:u w:val="single"/>
        </w:rPr>
        <w:t xml:space="preserve">                                           </w:t>
      </w:r>
    </w:p>
    <w:p w14:paraId="43AC63A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2、工 程 地 址： </w:t>
      </w:r>
      <w:r>
        <w:rPr>
          <w:rFonts w:hint="eastAsia" w:ascii="宋体" w:hAnsi="宋体" w:eastAsia="宋体" w:cs="宋体"/>
          <w:color w:val="auto"/>
          <w:sz w:val="21"/>
          <w:szCs w:val="21"/>
          <w:highlight w:val="none"/>
          <w:u w:val="single"/>
        </w:rPr>
        <w:t xml:space="preserve">                                           </w:t>
      </w:r>
    </w:p>
    <w:p w14:paraId="7B32AC6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 包 范 围：</w:t>
      </w:r>
      <w:r>
        <w:rPr>
          <w:rFonts w:hint="eastAsia" w:ascii="宋体" w:hAnsi="宋体" w:eastAsia="宋体" w:cs="宋体"/>
          <w:color w:val="auto"/>
          <w:sz w:val="21"/>
          <w:szCs w:val="21"/>
          <w:highlight w:val="none"/>
          <w:u w:val="single"/>
        </w:rPr>
        <w:t>见协议书</w:t>
      </w:r>
      <w:r>
        <w:rPr>
          <w:rFonts w:hint="eastAsia" w:ascii="宋体" w:hAnsi="宋体" w:eastAsia="宋体" w:cs="宋体"/>
          <w:color w:val="auto"/>
          <w:sz w:val="21"/>
          <w:szCs w:val="21"/>
          <w:highlight w:val="none"/>
        </w:rPr>
        <w:t xml:space="preserve">                       </w:t>
      </w:r>
    </w:p>
    <w:p w14:paraId="5C7B2A5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 包 方 式：</w:t>
      </w:r>
      <w:r>
        <w:rPr>
          <w:rFonts w:hint="eastAsia" w:ascii="宋体" w:hAnsi="宋体" w:eastAsia="宋体" w:cs="宋体"/>
          <w:color w:val="auto"/>
          <w:sz w:val="21"/>
          <w:szCs w:val="21"/>
          <w:highlight w:val="none"/>
          <w:u w:val="single"/>
        </w:rPr>
        <w:t>见协议书</w:t>
      </w:r>
      <w:r>
        <w:rPr>
          <w:rFonts w:hint="eastAsia" w:ascii="宋体" w:hAnsi="宋体" w:eastAsia="宋体" w:cs="宋体"/>
          <w:color w:val="auto"/>
          <w:sz w:val="21"/>
          <w:szCs w:val="21"/>
          <w:highlight w:val="none"/>
        </w:rPr>
        <w:t xml:space="preserve">        </w:t>
      </w:r>
    </w:p>
    <w:p w14:paraId="685DCC9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二、建设工程安全生产管理目标及必须达到安全事故控制指标</w:t>
      </w:r>
    </w:p>
    <w:p w14:paraId="053D6ED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遵守《建设工程安全生产管理条例》的规定，实现安全生产管理目标：无重伤、无死亡、无施工坍塌、无高处坠落、无滑坡、无火灾、无用电事故、无重大机械事故等各类安全生产事故。即：</w:t>
      </w:r>
    </w:p>
    <w:p w14:paraId="11E3A16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1、因工死亡率为零；</w:t>
      </w:r>
    </w:p>
    <w:p w14:paraId="0251296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2、因工重伤率为零；</w:t>
      </w:r>
    </w:p>
    <w:p w14:paraId="0A9E1F8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3、因工轻伤事故频率不高于15%；</w:t>
      </w:r>
    </w:p>
    <w:p w14:paraId="0705585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4、不发生2万元以上的机械、设备、交通和火灾事故。</w:t>
      </w:r>
    </w:p>
    <w:p w14:paraId="6D63D55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三、本协议有效期限</w:t>
      </w:r>
    </w:p>
    <w:p w14:paraId="4B62A85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自承包人入驻施工场地之日起，至工程竣工验收合格交付发包人使用时止（同施工合同期限）。</w:t>
      </w:r>
    </w:p>
    <w:p w14:paraId="682AC97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四、甲方的安全生产管理权利</w:t>
      </w:r>
    </w:p>
    <w:p w14:paraId="7BA22A4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1、监督检查乙方的各项安全生产工作，对建筑工地现场实施日常检查和定期、不定期的巡查。</w:t>
      </w:r>
    </w:p>
    <w:p w14:paraId="0723091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2、在实施检查、巡查过程中，发现建设工程存在安全事故隐患的，有权要求乙方暂时停止施工进行整改，直至消除安全事故隐患。</w:t>
      </w:r>
    </w:p>
    <w:p w14:paraId="1452BE5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3、根据本协议约定，甲方享有对乙方违反安全生产约定的经济处罚权。</w:t>
      </w:r>
    </w:p>
    <w:p w14:paraId="0B1381A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4、查阅与检查、巡查事项有关的文件、资料。并可根据实际情况，对施工现场进行检测、拍照、录音、摄像等。</w:t>
      </w:r>
    </w:p>
    <w:p w14:paraId="550EAA3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五、甲方的安全生产管理义务</w:t>
      </w:r>
    </w:p>
    <w:p w14:paraId="269E026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1、甲方不得对乙方提出不符合建设工程安全生产法律、法规和强制性标准的要求。</w:t>
      </w:r>
    </w:p>
    <w:p w14:paraId="3290CFA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2、甲方不得明示或暗示乙方购买、租赁、使用不符合安全施工要求的安全防护用具、机械设备、施工机具及配件、消防设施和器材。</w:t>
      </w:r>
    </w:p>
    <w:p w14:paraId="6BFE046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3、对乙方施工现场采取的安全施工技术措施，根据乙方的请求，提供必要的协助。</w:t>
      </w:r>
    </w:p>
    <w:p w14:paraId="3E5FE53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六、乙方的安全生产责任与义务</w:t>
      </w:r>
    </w:p>
    <w:p w14:paraId="748E4D1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1、乙方应当在其资质等级许可范围内，并具备安全生产许可证的条件下承揽工程。</w:t>
      </w:r>
    </w:p>
    <w:p w14:paraId="685F8F1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当严格按照建设工程安全生产的法律、法规、规章及安全生产的标准、规程的有关规定，组织工程施工，并对工程建设施工的安全生产工作全面负责。因乙方安全生产措施不力造成事故的责任和因此而发生的费用由乙方承担。</w:t>
      </w:r>
    </w:p>
    <w:p w14:paraId="2F9F2F4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3、建立、健全与落实安全生产责任制度、安全生产教育培训制度、安全生产规章制度和操作规程。</w:t>
      </w:r>
    </w:p>
    <w:p w14:paraId="6212C3B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4、设立安全生产管理机构，配备专职安全生产管理人员。</w:t>
      </w:r>
    </w:p>
    <w:p w14:paraId="44E3D43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5、根据工程特点组织制定安全施工措施，消除安全事故隐患。强化对基坑开挖、起重吊装、模板工程等危险性较大的工程施工的监控和安全防护措施的落实，严防高空坠落、施工坍塌等安全事故的发生。</w:t>
      </w:r>
    </w:p>
    <w:p w14:paraId="6766E30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6、随时接受甲方实施的安全检查、巡查、并按照甲方的要求进行整改，消除安全事故隐患，确保安全生产。</w:t>
      </w:r>
    </w:p>
    <w:p w14:paraId="32EB733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7、乙方应当在施工现场入口处、施工起重机械、临时用电设施、脚手架、出入通道口、基坑边沿等危险部位，设置明显的安全警示标志，安全警示标志必须符合国家标准。</w:t>
      </w:r>
    </w:p>
    <w:p w14:paraId="615A534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8、乙方应根据不同施工阶段和周围环境及季节、气候气象的变化，在施工现场采取相应的安全施工措施。确保雨季等特殊气候气象情况下的施工安全。</w:t>
      </w:r>
    </w:p>
    <w:p w14:paraId="65FF912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9、对建设工程施工进行定期和专项安全自检，并做好安全检查记录，及时发现并消除安全生产事故隐患。</w:t>
      </w:r>
    </w:p>
    <w:p w14:paraId="4D75B73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10、在施工现场建立消防安全责任制度，确定消防安全责任人，制定用火、用电等各项消防安全管理制度和操作规程。</w:t>
      </w:r>
    </w:p>
    <w:p w14:paraId="017C1E8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11、制定实施工程现场生产安全事故应急救援预案，并定期组织演练。</w:t>
      </w:r>
    </w:p>
    <w:p w14:paraId="6E1F196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12、根据安全生产法律、法规规章，标准、规程的规定，乙方应承担的其它责任与义务。</w:t>
      </w:r>
    </w:p>
    <w:p w14:paraId="613AE1F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七、现场停工整改约定</w:t>
      </w:r>
    </w:p>
    <w:p w14:paraId="2B3229D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在乙方施工现场检查、巡查过程中，发现存在安全事故隐患，认为必须暂停施工的，应以书面形式下达停工整改通知。乙方对甲方的停工整改通知应予以执行，并按照甲方要求停止施工进行整改，妥善保护已完工程。</w:t>
      </w:r>
    </w:p>
    <w:p w14:paraId="327A984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2、乙方进行整改后，经甲方检查已消除安全事故隐患的，可以进行复工。</w:t>
      </w:r>
    </w:p>
    <w:p w14:paraId="56DE597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3、若在一个月内由于乙方出现安全事故隐患，被甲方下达停工整改通知累计两次的，则乙方同意甲方暂停支付其当月的工程进度款，该扣款延期至工程竣工验收合格后再行支付。</w:t>
      </w:r>
    </w:p>
    <w:p w14:paraId="3E3074E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八、安全生产奖励约定</w:t>
      </w:r>
    </w:p>
    <w:p w14:paraId="58A29EE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乙方在本安全生产期间，全面实现建设工程安全生产管理目标，无安全生产事故发生，并且未违反本协议约定，未被甲方发出停工整改通知单与经济处罚的，甲方应当给予乙方安全生产奖励。奖励标准为：无。奖励金额为：无。</w:t>
      </w:r>
    </w:p>
    <w:p w14:paraId="44EB033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九、安全生产处罚约定</w:t>
      </w:r>
    </w:p>
    <w:p w14:paraId="0C57B14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1、若乙方未能实现本协议约定的安全生产管理目标，发生安全生产事故的，乙方同意，甲方将其缴纳的安全生产保证金予以扣除，扣除金额不再向乙方返还。具体扣除办法由下款约定。乙方对此不持异议。</w:t>
      </w:r>
    </w:p>
    <w:p w14:paraId="29E78B8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在进行安全生产检查与巡查过程中，若乙方违反本协议约定，甲方有权要求乙方支付违约金。甲方可根据乙方违约的事实、性质、情节，就安全生产的危害程度要求支付违约金。违约金金额一次性最高不超过5000元。</w:t>
      </w:r>
    </w:p>
    <w:p w14:paraId="1786E96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3、甲方要求乙方支付违约金，应当以书面形式通知乙方。其中：</w:t>
      </w:r>
    </w:p>
    <w:p w14:paraId="218D75B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（1）乙方有下列行为之一的，违约金金额为50000元。</w:t>
      </w:r>
    </w:p>
    <w:p w14:paraId="06D6922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①发生人员死亡的生产安全事故；</w:t>
      </w:r>
    </w:p>
    <w:p w14:paraId="2D69501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②发生人员重伤的生产安全事故。</w:t>
      </w:r>
    </w:p>
    <w:p w14:paraId="1B0E693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（2）乙方有下列行为之一的，违约金金额为3000元。</w:t>
      </w:r>
    </w:p>
    <w:p w14:paraId="02CBD32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①发生人员轻伤的生产安全事故超过三次或一个月内连续发生两次；</w:t>
      </w:r>
    </w:p>
    <w:p w14:paraId="780772B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②发生2万元以上的机械、设备、交通和火灾生产安全事故一次的。</w:t>
      </w:r>
    </w:p>
    <w:p w14:paraId="5D6DD96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4、甲方按本协议约定要求乙方支付违约金，并不能免除乙方应承担的有关国家机关行政处罚与民事赔偿责任，以及应负的其他法律责任。</w:t>
      </w:r>
    </w:p>
    <w:p w14:paraId="4DD36F1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十、附则</w:t>
      </w:r>
    </w:p>
    <w:p w14:paraId="583C73A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1、本协议与双方签订的《合同》具有同等法律效力。《合同》中没有约定或约定与本协议冲突的，均以本协议约定为准。</w:t>
      </w:r>
    </w:p>
    <w:p w14:paraId="0709415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2、本协议自双方签字盖章后生效。</w:t>
      </w:r>
    </w:p>
    <w:p w14:paraId="1F958A8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3、本协议一式拾份，甲方执伍份，乙方执伍份，具有同等法律效力。</w:t>
      </w:r>
    </w:p>
    <w:p w14:paraId="59A12A8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p>
    <w:p w14:paraId="0C14B45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                                        乙 方：</w:t>
      </w:r>
    </w:p>
    <w:p w14:paraId="19326CF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法定代表人（或授权代表人）：                  法定代表人（或授权代表人）</w:t>
      </w:r>
    </w:p>
    <w:p w14:paraId="43504FC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签订日期：   年   月   日</w:t>
      </w:r>
    </w:p>
    <w:p w14:paraId="46C5B9A8">
      <w:pPr>
        <w:pStyle w:val="30"/>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p>
    <w:p w14:paraId="23CACA8C">
      <w:pPr>
        <w:pStyle w:val="30"/>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p>
    <w:p w14:paraId="11FA5318">
      <w:pPr>
        <w:pStyle w:val="30"/>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p>
    <w:p w14:paraId="65C5D096">
      <w:pPr>
        <w:pStyle w:val="30"/>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p>
    <w:p w14:paraId="2760D415">
      <w:pPr>
        <w:pStyle w:val="30"/>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bookmarkEnd w:id="58"/>
    <w:bookmarkEnd w:id="59"/>
    <w:p w14:paraId="736C0EC3">
      <w:pPr>
        <w:pStyle w:val="2"/>
        <w:keepLines w:val="0"/>
        <w:pageBreakBefore w:val="0"/>
        <w:kinsoku/>
        <w:bidi w:val="0"/>
        <w:spacing w:line="360" w:lineRule="auto"/>
        <w:rPr>
          <w:rFonts w:hint="eastAsia" w:ascii="宋体" w:hAnsi="宋体" w:eastAsia="宋体" w:cs="宋体"/>
          <w:b/>
          <w:bCs/>
          <w:color w:val="auto"/>
          <w:sz w:val="36"/>
          <w:szCs w:val="36"/>
          <w:highlight w:val="none"/>
          <w:lang w:val="zh-CN"/>
        </w:rPr>
      </w:pPr>
      <w:bookmarkStart w:id="526" w:name="_Toc12043"/>
      <w:r>
        <w:rPr>
          <w:rFonts w:hint="eastAsia" w:ascii="宋体" w:hAnsi="宋体" w:eastAsia="宋体" w:cs="宋体"/>
          <w:b/>
          <w:bCs/>
          <w:color w:val="auto"/>
          <w:sz w:val="36"/>
          <w:szCs w:val="36"/>
          <w:highlight w:val="none"/>
          <w:lang w:val="zh-CN"/>
        </w:rPr>
        <w:t>第</w:t>
      </w:r>
      <w:r>
        <w:rPr>
          <w:rFonts w:hint="eastAsia" w:ascii="宋体" w:hAnsi="宋体" w:eastAsia="宋体" w:cs="宋体"/>
          <w:b/>
          <w:bCs/>
          <w:color w:val="auto"/>
          <w:sz w:val="36"/>
          <w:szCs w:val="36"/>
          <w:highlight w:val="none"/>
          <w:lang w:val="en-US" w:eastAsia="zh-CN"/>
        </w:rPr>
        <w:t>八</w:t>
      </w:r>
      <w:r>
        <w:rPr>
          <w:rFonts w:hint="eastAsia" w:ascii="宋体" w:hAnsi="宋体" w:eastAsia="宋体" w:cs="宋体"/>
          <w:b/>
          <w:bCs/>
          <w:color w:val="auto"/>
          <w:sz w:val="36"/>
          <w:szCs w:val="36"/>
          <w:highlight w:val="none"/>
          <w:lang w:val="zh-CN"/>
        </w:rPr>
        <w:t>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rPr>
        <w:t>响应文件格式</w:t>
      </w:r>
      <w:bookmarkEnd w:id="526"/>
    </w:p>
    <w:p w14:paraId="2E3C0717">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67FA38EB">
      <w:pPr>
        <w:keepLines w:val="0"/>
        <w:pageBreakBefore w:val="0"/>
        <w:kinsoku/>
        <w:bidi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响应文件格式是磋商供应商的部分磋商响应文件格式，磋商供应商应按照这些格式编制磋商响应文件。编制磋商响应文件前，请详细阅读竞争性磋商文件，理解文件中的每一项要求，逐一做出实质性响应，认为有必要，可做补充说明。</w:t>
      </w:r>
    </w:p>
    <w:p w14:paraId="6614C6F4">
      <w:pPr>
        <w:keepLines w:val="0"/>
        <w:pageBreakBefore w:val="0"/>
        <w:kinsoku/>
        <w:bidi w:val="0"/>
        <w:spacing w:line="360" w:lineRule="auto"/>
        <w:rPr>
          <w:rFonts w:hint="eastAsia" w:ascii="宋体" w:hAnsi="宋体" w:eastAsia="宋体" w:cs="宋体"/>
          <w:color w:val="auto"/>
          <w:sz w:val="21"/>
          <w:szCs w:val="21"/>
          <w:highlight w:val="none"/>
          <w:lang w:val="zh-CN"/>
        </w:rPr>
      </w:pPr>
    </w:p>
    <w:p w14:paraId="11FC1160">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1"/>
          <w:szCs w:val="21"/>
          <w:highlight w:val="none"/>
          <w:lang w:val="zh-CN"/>
        </w:rPr>
      </w:pPr>
    </w:p>
    <w:p w14:paraId="137C9453">
      <w:pPr>
        <w:keepLines w:val="0"/>
        <w:pageBreakBefore w:val="0"/>
        <w:kinsoku/>
        <w:bidi w:val="0"/>
        <w:spacing w:line="360" w:lineRule="auto"/>
        <w:ind w:firstLine="413" w:firstLineChars="196"/>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注:非独立企业法人参与本次磋商的，竞争性磋商响应文件内涉及到法人签字盖章的部分均可由负责人签字盖章，授权书格式参照法人代表授权书。</w:t>
      </w:r>
    </w:p>
    <w:p w14:paraId="449222AA">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32CD98F6">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1A791DEE">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492C4095">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6F439837">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262EDC69">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4C90EB03">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481A31C9">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0365CB93">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12EE00CA">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70BFA258">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7310F05C">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5DB201F0">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70DB3DB6">
      <w:pPr>
        <w:pStyle w:val="16"/>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7745DCE4">
      <w:pPr>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6877627D">
      <w:pPr>
        <w:pStyle w:val="16"/>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53E343A9">
      <w:pPr>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6DB96BDC">
      <w:pPr>
        <w:keepLines w:val="0"/>
        <w:pageBreakBefore w:val="0"/>
        <w:kinsoku/>
        <w:autoSpaceDE w:val="0"/>
        <w:autoSpaceDN w:val="0"/>
        <w:bidi w:val="0"/>
        <w:adjustRightInd w:val="0"/>
        <w:snapToGrid w:val="0"/>
        <w:spacing w:line="360" w:lineRule="auto"/>
        <w:jc w:val="both"/>
        <w:rPr>
          <w:rFonts w:hint="eastAsia" w:ascii="宋体" w:hAnsi="宋体" w:eastAsia="宋体" w:cs="宋体"/>
          <w:b/>
          <w:bCs/>
          <w:color w:val="auto"/>
          <w:sz w:val="36"/>
          <w:szCs w:val="36"/>
          <w:highlight w:val="none"/>
          <w:lang w:val="zh-CN"/>
        </w:rPr>
      </w:pPr>
    </w:p>
    <w:p w14:paraId="0819FE6B">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36"/>
          <w:szCs w:val="36"/>
          <w:highlight w:val="none"/>
          <w:lang w:val="zh-CN"/>
        </w:rPr>
      </w:pPr>
    </w:p>
    <w:p w14:paraId="754B1CD7">
      <w:pPr>
        <w:keepLines w:val="0"/>
        <w:pageBreakBefore w:val="0"/>
        <w:kinsoku/>
        <w:autoSpaceDE w:val="0"/>
        <w:autoSpaceDN w:val="0"/>
        <w:bidi w:val="0"/>
        <w:adjustRightInd w:val="0"/>
        <w:snapToGrid w:val="0"/>
        <w:spacing w:line="360" w:lineRule="auto"/>
        <w:jc w:val="right"/>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正本/副本</w:t>
      </w:r>
    </w:p>
    <w:p w14:paraId="7AA2AFD3">
      <w:pPr>
        <w:keepLines w:val="0"/>
        <w:pageBreakBefore w:val="0"/>
        <w:kinsoku/>
        <w:bidi w:val="0"/>
        <w:spacing w:line="360" w:lineRule="auto"/>
        <w:rPr>
          <w:rFonts w:hint="eastAsia" w:ascii="宋体" w:hAnsi="宋体" w:eastAsia="宋体" w:cs="宋体"/>
          <w:b/>
          <w:bCs/>
          <w:color w:val="auto"/>
          <w:sz w:val="28"/>
          <w:szCs w:val="28"/>
          <w:highlight w:val="none"/>
        </w:rPr>
      </w:pPr>
    </w:p>
    <w:p w14:paraId="6928BB64">
      <w:pPr>
        <w:keepLines w:val="0"/>
        <w:pageBreakBefore w:val="0"/>
        <w:kinsoku/>
        <w:bidi w:val="0"/>
        <w:spacing w:line="360" w:lineRule="auto"/>
        <w:rPr>
          <w:rFonts w:hint="eastAsia" w:ascii="宋体" w:hAnsi="宋体" w:eastAsia="宋体" w:cs="宋体"/>
          <w:b/>
          <w:color w:val="auto"/>
          <w:sz w:val="28"/>
          <w:szCs w:val="28"/>
          <w:highlight w:val="none"/>
          <w:u w:val="single"/>
          <w:lang w:eastAsia="zh-CN"/>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eastAsia="zh-CN"/>
        </w:rPr>
        <w:t>ZFCG-泾阳县-2025-00009</w:t>
      </w:r>
    </w:p>
    <w:p w14:paraId="492C6023">
      <w:pPr>
        <w:pStyle w:val="5"/>
        <w:keepLines w:val="0"/>
        <w:pageBreakBefore w:val="0"/>
        <w:kinsoku/>
        <w:bidi w:val="0"/>
        <w:spacing w:line="360" w:lineRule="auto"/>
        <w:jc w:val="both"/>
        <w:rPr>
          <w:rFonts w:hint="eastAsia" w:ascii="宋体" w:hAnsi="宋体" w:eastAsia="宋体" w:cs="宋体"/>
          <w:color w:val="auto"/>
          <w:highlight w:val="none"/>
        </w:rPr>
      </w:pPr>
    </w:p>
    <w:p w14:paraId="10B63D22">
      <w:pPr>
        <w:keepLines w:val="0"/>
        <w:pageBreakBefore w:val="0"/>
        <w:widowControl w:val="0"/>
        <w:tabs>
          <w:tab w:val="left" w:pos="5670"/>
        </w:tabs>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color w:val="auto"/>
          <w:sz w:val="52"/>
          <w:szCs w:val="52"/>
          <w:highlight w:val="none"/>
          <w:lang w:val="zh-CN"/>
        </w:rPr>
      </w:pPr>
    </w:p>
    <w:p w14:paraId="6D61F6DA">
      <w:pPr>
        <w:keepLines w:val="0"/>
        <w:pageBreakBefore w:val="0"/>
        <w:widowControl w:val="0"/>
        <w:tabs>
          <w:tab w:val="left" w:pos="5670"/>
        </w:tabs>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52"/>
          <w:szCs w:val="52"/>
          <w:highlight w:val="none"/>
          <w:lang w:val="zh-CN"/>
        </w:rPr>
      </w:pPr>
      <w:r>
        <w:rPr>
          <w:rFonts w:hint="eastAsia" w:ascii="宋体" w:hAnsi="宋体" w:cs="宋体"/>
          <w:b/>
          <w:bCs/>
          <w:color w:val="auto"/>
          <w:sz w:val="52"/>
          <w:szCs w:val="52"/>
          <w:highlight w:val="none"/>
          <w:lang w:val="zh-CN"/>
        </w:rPr>
        <w:t>泾干中学功能部室改造工程</w:t>
      </w:r>
    </w:p>
    <w:p w14:paraId="27C53DE2">
      <w:pPr>
        <w:rPr>
          <w:rFonts w:hint="eastAsia" w:ascii="宋体" w:hAnsi="宋体" w:eastAsia="宋体" w:cs="宋体"/>
          <w:color w:val="auto"/>
          <w:highlight w:val="none"/>
        </w:rPr>
      </w:pPr>
    </w:p>
    <w:p w14:paraId="29832616">
      <w:pPr>
        <w:pStyle w:val="16"/>
        <w:rPr>
          <w:rFonts w:hint="eastAsia" w:ascii="宋体" w:hAnsi="宋体" w:eastAsia="宋体" w:cs="宋体"/>
          <w:color w:val="auto"/>
        </w:rPr>
      </w:pPr>
    </w:p>
    <w:p w14:paraId="59888F68">
      <w:pPr>
        <w:pStyle w:val="16"/>
        <w:rPr>
          <w:rFonts w:hint="eastAsia" w:ascii="宋体" w:hAnsi="宋体" w:eastAsia="宋体" w:cs="宋体"/>
          <w:color w:val="auto"/>
        </w:rPr>
      </w:pPr>
    </w:p>
    <w:p w14:paraId="0EB1AE69">
      <w:pPr>
        <w:keepLines w:val="0"/>
        <w:pageBreakBefore w:val="0"/>
        <w:widowControl w:val="0"/>
        <w:kinsoku/>
        <w:wordWrap/>
        <w:overflowPunct/>
        <w:topLinePunct w:val="0"/>
        <w:bidi w:val="0"/>
        <w:spacing w:line="360" w:lineRule="auto"/>
        <w:textAlignment w:val="auto"/>
        <w:rPr>
          <w:rFonts w:hint="eastAsia" w:ascii="宋体" w:hAnsi="宋体" w:eastAsia="宋体" w:cs="宋体"/>
          <w:color w:val="auto"/>
          <w:highlight w:val="none"/>
        </w:rPr>
      </w:pPr>
    </w:p>
    <w:p w14:paraId="1868CDA7">
      <w:pPr>
        <w:keepLines w:val="0"/>
        <w:pageBreakBefore w:val="0"/>
        <w:widowControl w:val="0"/>
        <w:tabs>
          <w:tab w:val="left" w:pos="5670"/>
        </w:tabs>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竞争性磋商响应文件</w:t>
      </w:r>
    </w:p>
    <w:p w14:paraId="0AE1A914">
      <w:pPr>
        <w:keepLines w:val="0"/>
        <w:pageBreakBefore w:val="0"/>
        <w:tabs>
          <w:tab w:val="left" w:pos="5670"/>
        </w:tabs>
        <w:kinsoku/>
        <w:autoSpaceDE w:val="0"/>
        <w:autoSpaceDN w:val="0"/>
        <w:bidi w:val="0"/>
        <w:adjustRightInd w:val="0"/>
        <w:snapToGrid w:val="0"/>
        <w:spacing w:line="360" w:lineRule="auto"/>
        <w:jc w:val="both"/>
        <w:rPr>
          <w:rFonts w:hint="eastAsia" w:ascii="宋体" w:hAnsi="宋体" w:eastAsia="宋体" w:cs="宋体"/>
          <w:color w:val="auto"/>
          <w:sz w:val="28"/>
          <w:szCs w:val="28"/>
          <w:highlight w:val="none"/>
        </w:rPr>
      </w:pPr>
    </w:p>
    <w:p w14:paraId="44F24845">
      <w:pPr>
        <w:pStyle w:val="16"/>
        <w:rPr>
          <w:rFonts w:hint="eastAsia" w:ascii="宋体" w:hAnsi="宋体" w:eastAsia="宋体" w:cs="宋体"/>
          <w:color w:val="auto"/>
          <w:sz w:val="28"/>
          <w:szCs w:val="28"/>
          <w:highlight w:val="none"/>
        </w:rPr>
      </w:pPr>
    </w:p>
    <w:p w14:paraId="73B59C89">
      <w:pPr>
        <w:rPr>
          <w:rFonts w:hint="eastAsia" w:ascii="宋体" w:hAnsi="宋体" w:eastAsia="宋体" w:cs="宋体"/>
          <w:color w:val="auto"/>
          <w:highlight w:val="none"/>
        </w:rPr>
      </w:pPr>
    </w:p>
    <w:p w14:paraId="225EB62D">
      <w:pPr>
        <w:pStyle w:val="16"/>
        <w:rPr>
          <w:rFonts w:hint="eastAsia" w:ascii="宋体" w:hAnsi="宋体" w:eastAsia="宋体" w:cs="宋体"/>
          <w:color w:val="auto"/>
          <w:highlight w:val="none"/>
        </w:rPr>
      </w:pPr>
    </w:p>
    <w:p w14:paraId="742975ED">
      <w:pPr>
        <w:keepLines w:val="0"/>
        <w:pageBreakBefore w:val="0"/>
        <w:kinsoku/>
        <w:autoSpaceDE w:val="0"/>
        <w:autoSpaceDN w:val="0"/>
        <w:bidi w:val="0"/>
        <w:adjustRightInd w:val="0"/>
        <w:snapToGrid w:val="0"/>
        <w:spacing w:line="360" w:lineRule="auto"/>
        <w:rPr>
          <w:rFonts w:hint="eastAsia" w:ascii="宋体" w:hAnsi="宋体" w:eastAsia="宋体" w:cs="宋体"/>
          <w:color w:val="auto"/>
          <w:sz w:val="28"/>
          <w:szCs w:val="28"/>
          <w:highlight w:val="none"/>
          <w:u w:val="single"/>
        </w:rPr>
      </w:pPr>
    </w:p>
    <w:p w14:paraId="30E6091E">
      <w:pPr>
        <w:keepLines w:val="0"/>
        <w:pageBreakBefore w:val="0"/>
        <w:kinsoku/>
        <w:autoSpaceDE w:val="0"/>
        <w:autoSpaceDN w:val="0"/>
        <w:bidi w:val="0"/>
        <w:adjustRightInd w:val="0"/>
        <w:snapToGrid w:val="0"/>
        <w:spacing w:line="360" w:lineRule="auto"/>
        <w:ind w:firstLine="869" w:firstLineChars="309"/>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lang w:val="zh-CN"/>
        </w:rPr>
        <w:t>磋商供应商：</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rPr>
        <w:t>（单位盖章）</w:t>
      </w:r>
    </w:p>
    <w:p w14:paraId="628E8CA7">
      <w:pPr>
        <w:keepLines w:val="0"/>
        <w:pageBreakBefore w:val="0"/>
        <w:kinsoku/>
        <w:autoSpaceDE w:val="0"/>
        <w:autoSpaceDN w:val="0"/>
        <w:bidi w:val="0"/>
        <w:adjustRightInd w:val="0"/>
        <w:snapToGrid w:val="0"/>
        <w:spacing w:line="360" w:lineRule="auto"/>
        <w:ind w:firstLine="869" w:firstLineChars="309"/>
        <w:jc w:val="lef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法定代表人或其授权代表：</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rPr>
        <w:t>（签字或盖章）</w:t>
      </w:r>
    </w:p>
    <w:p w14:paraId="0ABD992B">
      <w:pPr>
        <w:keepLines w:val="0"/>
        <w:pageBreakBefore w:val="0"/>
        <w:kinsoku/>
        <w:autoSpaceDE w:val="0"/>
        <w:autoSpaceDN w:val="0"/>
        <w:bidi w:val="0"/>
        <w:adjustRightInd w:val="0"/>
        <w:snapToGrid w:val="0"/>
        <w:spacing w:line="360" w:lineRule="auto"/>
        <w:ind w:firstLine="869" w:firstLineChars="309"/>
        <w:rPr>
          <w:rFonts w:hint="eastAsia" w:ascii="宋体" w:hAnsi="宋体" w:eastAsia="宋体" w:cs="宋体"/>
          <w:bCs/>
          <w:color w:val="auto"/>
          <w:sz w:val="28"/>
          <w:szCs w:val="28"/>
          <w:highlight w:val="none"/>
          <w:lang w:eastAsia="zh-CN"/>
        </w:rPr>
      </w:pPr>
      <w:r>
        <w:rPr>
          <w:rFonts w:hint="eastAsia" w:ascii="宋体" w:hAnsi="宋体" w:eastAsia="宋体" w:cs="宋体"/>
          <w:b/>
          <w:bCs/>
          <w:color w:val="auto"/>
          <w:sz w:val="28"/>
          <w:szCs w:val="28"/>
          <w:highlight w:val="none"/>
          <w:lang w:val="zh-CN"/>
        </w:rPr>
        <w:t>时</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间：</w:t>
      </w:r>
      <w:r>
        <w:rPr>
          <w:rFonts w:hint="eastAsia" w:ascii="宋体" w:hAnsi="宋体" w:eastAsia="宋体" w:cs="宋体"/>
          <w:b/>
          <w:bCs/>
          <w:color w:val="auto"/>
          <w:sz w:val="28"/>
          <w:szCs w:val="28"/>
          <w:highlight w:val="none"/>
          <w:u w:val="single"/>
          <w:lang w:val="en-US" w:eastAsia="zh-CN"/>
        </w:rPr>
        <w:t xml:space="preserve">                          </w:t>
      </w:r>
    </w:p>
    <w:p w14:paraId="7F489DE6">
      <w:pPr>
        <w:keepLines w:val="0"/>
        <w:pageBreakBefore w:val="0"/>
        <w:kinsoku/>
        <w:autoSpaceDE w:val="0"/>
        <w:autoSpaceDN w:val="0"/>
        <w:bidi w:val="0"/>
        <w:adjustRightInd w:val="0"/>
        <w:snapToGrid w:val="0"/>
        <w:spacing w:line="360" w:lineRule="auto"/>
        <w:rPr>
          <w:rFonts w:hint="eastAsia" w:ascii="宋体" w:hAnsi="宋体" w:eastAsia="宋体" w:cs="宋体"/>
          <w:b/>
          <w:bCs/>
          <w:color w:val="auto"/>
          <w:sz w:val="28"/>
          <w:szCs w:val="28"/>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5EB82D8">
      <w:pPr>
        <w:keepLines w:val="0"/>
        <w:pageBreakBefore w:val="0"/>
        <w:kinsoku/>
        <w:autoSpaceDE w:val="0"/>
        <w:autoSpaceDN w:val="0"/>
        <w:bidi w:val="0"/>
        <w:adjustRightInd w:val="0"/>
        <w:snapToGrid w:val="0"/>
        <w:spacing w:line="360" w:lineRule="auto"/>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目录</w:t>
      </w:r>
    </w:p>
    <w:p w14:paraId="3308B87C">
      <w:pPr>
        <w:keepLines w:val="0"/>
        <w:pageBreakBefore w:val="0"/>
        <w:kinsoku/>
        <w:autoSpaceDE w:val="0"/>
        <w:autoSpaceDN w:val="0"/>
        <w:bidi w:val="0"/>
        <w:adjustRightInd w:val="0"/>
        <w:snapToGrid w:val="0"/>
        <w:spacing w:line="360" w:lineRule="auto"/>
        <w:jc w:val="center"/>
        <w:rPr>
          <w:rFonts w:hint="eastAsia" w:ascii="宋体" w:hAnsi="宋体" w:eastAsia="宋体" w:cs="宋体"/>
          <w:b/>
          <w:bCs/>
          <w:color w:val="auto"/>
          <w:sz w:val="28"/>
          <w:szCs w:val="28"/>
          <w:highlight w:val="none"/>
          <w:lang w:val="zh-CN"/>
        </w:rPr>
      </w:pPr>
    </w:p>
    <w:p w14:paraId="71165113">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第一部分 磋商响应函</w:t>
      </w:r>
    </w:p>
    <w:p w14:paraId="04B2141E">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第二部分 第一次磋商报价表</w:t>
      </w:r>
    </w:p>
    <w:p w14:paraId="3271A299">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第三部分 </w:t>
      </w:r>
      <w:r>
        <w:rPr>
          <w:rFonts w:hint="eastAsia" w:ascii="宋体" w:hAnsi="宋体" w:eastAsia="宋体" w:cs="宋体"/>
          <w:color w:val="auto"/>
          <w:sz w:val="21"/>
          <w:szCs w:val="21"/>
          <w:highlight w:val="none"/>
          <w:lang w:val="zh-CN"/>
        </w:rPr>
        <w:t>已标价工程量清单</w:t>
      </w:r>
    </w:p>
    <w:p w14:paraId="4EA3B590">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第四部分 技术/商务条款偏差表</w:t>
      </w:r>
    </w:p>
    <w:p w14:paraId="1A0DB361">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zh-CN" w:eastAsia="zh-CN"/>
        </w:rPr>
        <w:t>部分</w:t>
      </w:r>
      <w:r>
        <w:rPr>
          <w:rFonts w:hint="eastAsia" w:ascii="宋体" w:hAnsi="宋体" w:eastAsia="宋体" w:cs="宋体"/>
          <w:color w:val="auto"/>
          <w:sz w:val="21"/>
          <w:szCs w:val="21"/>
          <w:highlight w:val="none"/>
          <w:lang w:val="en-US" w:eastAsia="zh-CN"/>
        </w:rPr>
        <w:t xml:space="preserve"> 磋商方案说明</w:t>
      </w:r>
    </w:p>
    <w:p w14:paraId="0ADEF503">
      <w:pPr>
        <w:pStyle w:val="11"/>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第六部分 供应商承诺书</w:t>
      </w:r>
    </w:p>
    <w:p w14:paraId="12124E6C">
      <w:pPr>
        <w:pStyle w:val="11"/>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val="zh-CN"/>
        </w:rPr>
        <w:t>部分</w:t>
      </w:r>
      <w:r>
        <w:rPr>
          <w:rFonts w:hint="eastAsia" w:ascii="宋体" w:hAnsi="宋体" w:eastAsia="宋体" w:cs="宋体"/>
          <w:color w:val="auto"/>
          <w:sz w:val="21"/>
          <w:szCs w:val="21"/>
          <w:highlight w:val="none"/>
          <w:lang w:val="en-US" w:eastAsia="zh-CN"/>
        </w:rPr>
        <w:t xml:space="preserve"> 项目管理机构</w:t>
      </w:r>
    </w:p>
    <w:p w14:paraId="3A072E23">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第八部分 供应商资质证明文件</w:t>
      </w:r>
    </w:p>
    <w:p w14:paraId="10D96652">
      <w:pPr>
        <w:pStyle w:val="3"/>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lang w:val="zh-CN" w:eastAsia="zh-CN"/>
        </w:rPr>
        <w:t>部分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eastAsia="zh-CN"/>
        </w:rPr>
        <w:t>其他资料</w:t>
      </w:r>
    </w:p>
    <w:p w14:paraId="4A84C7AD">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78766A8B">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1DC636DD">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4000752B">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57C20EC6">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146FEB2D">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76F06B03">
      <w:pPr>
        <w:keepLines w:val="0"/>
        <w:pageBreakBefore w:val="0"/>
        <w:kinsoku/>
        <w:autoSpaceDE w:val="0"/>
        <w:autoSpaceDN w:val="0"/>
        <w:bidi w:val="0"/>
        <w:adjustRightInd w:val="0"/>
        <w:spacing w:line="360" w:lineRule="auto"/>
        <w:jc w:val="left"/>
        <w:rPr>
          <w:rFonts w:hint="eastAsia" w:ascii="宋体" w:hAnsi="宋体" w:eastAsia="宋体" w:cs="宋体"/>
          <w:b/>
          <w:bCs/>
          <w:color w:val="auto"/>
          <w:sz w:val="28"/>
          <w:szCs w:val="28"/>
          <w:highlight w:val="none"/>
          <w:lang w:val="zh-CN"/>
        </w:rPr>
      </w:pPr>
    </w:p>
    <w:p w14:paraId="4F7FDA92">
      <w:pPr>
        <w:keepLines w:val="0"/>
        <w:pageBreakBefore w:val="0"/>
        <w:kinsoku/>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FB1957C">
      <w:pPr>
        <w:pStyle w:val="2"/>
        <w:keepLines w:val="0"/>
        <w:pageBreakBefore w:val="0"/>
        <w:kinsoku/>
        <w:bidi w:val="0"/>
        <w:spacing w:line="360" w:lineRule="auto"/>
        <w:rPr>
          <w:rFonts w:hint="eastAsia" w:ascii="宋体" w:hAnsi="宋体" w:eastAsia="宋体" w:cs="宋体"/>
          <w:b/>
          <w:bCs/>
          <w:color w:val="auto"/>
          <w:sz w:val="28"/>
          <w:szCs w:val="28"/>
          <w:highlight w:val="none"/>
          <w:lang w:val="en-US" w:eastAsia="zh-CN"/>
        </w:rPr>
      </w:pPr>
      <w:bookmarkStart w:id="527" w:name="_Toc8294"/>
      <w:bookmarkStart w:id="528" w:name="_Toc6601"/>
      <w:r>
        <w:rPr>
          <w:rFonts w:hint="eastAsia" w:ascii="宋体" w:hAnsi="宋体" w:eastAsia="宋体" w:cs="宋体"/>
          <w:b/>
          <w:bCs/>
          <w:color w:val="auto"/>
          <w:sz w:val="28"/>
          <w:szCs w:val="28"/>
          <w:highlight w:val="none"/>
          <w:lang w:val="zh-CN"/>
        </w:rPr>
        <w:t>第一部分</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磋商响应函</w:t>
      </w:r>
      <w:bookmarkEnd w:id="527"/>
      <w:bookmarkEnd w:id="528"/>
    </w:p>
    <w:p w14:paraId="19E81BF4">
      <w:pPr>
        <w:keepNext w:val="0"/>
        <w:keepLines w:val="0"/>
        <w:pageBreakBefore w:val="0"/>
        <w:widowControl w:val="0"/>
        <w:tabs>
          <w:tab w:val="left" w:pos="1155"/>
        </w:tabs>
        <w:kinsoku/>
        <w:wordWrap/>
        <w:overflowPunct w:val="0"/>
        <w:topLinePunct/>
        <w:autoSpaceDE/>
        <w:autoSpaceDN/>
        <w:bidi w:val="0"/>
        <w:adjustRightInd/>
        <w:spacing w:line="360" w:lineRule="auto"/>
        <w:ind w:firstLine="460" w:firstLineChars="192"/>
        <w:jc w:val="both"/>
        <w:textAlignment w:val="auto"/>
        <w:rPr>
          <w:rFonts w:hint="eastAsia" w:ascii="宋体" w:hAnsi="宋体" w:eastAsia="宋体" w:cs="宋体"/>
          <w:bCs/>
          <w:color w:val="auto"/>
          <w:sz w:val="24"/>
          <w:szCs w:val="24"/>
          <w:highlight w:val="none"/>
          <w:u w:val="single"/>
        </w:rPr>
      </w:pPr>
    </w:p>
    <w:p w14:paraId="2334C61D">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u w:val="single"/>
        </w:rPr>
        <w:t>（采购人名称）</w:t>
      </w:r>
      <w:r>
        <w:rPr>
          <w:rFonts w:hint="eastAsia" w:ascii="宋体" w:hAnsi="宋体" w:eastAsia="宋体" w:cs="宋体"/>
          <w:bCs/>
          <w:color w:val="auto"/>
          <w:sz w:val="21"/>
          <w:szCs w:val="21"/>
          <w:highlight w:val="none"/>
        </w:rPr>
        <w:t>：</w:t>
      </w:r>
    </w:p>
    <w:p w14:paraId="41471D82">
      <w:pPr>
        <w:keepNext w:val="0"/>
        <w:keepLines w:val="0"/>
        <w:pageBreakBefore w:val="0"/>
        <w:widowControl w:val="0"/>
        <w:kinsoku/>
        <w:wordWrap/>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1、我方已仔细研究了（项目名称）磋商文件的全部内容，愿意以第一次报价为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（大写金额）</w:t>
      </w:r>
      <w:r>
        <w:rPr>
          <w:rFonts w:hint="eastAsia" w:ascii="宋体" w:hAnsi="宋体" w:eastAsia="宋体" w:cs="宋体"/>
          <w:color w:val="auto"/>
          <w:sz w:val="21"/>
          <w:szCs w:val="21"/>
          <w:highlight w:val="none"/>
          <w:u w:val="none"/>
        </w:rPr>
        <w:t>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rPr>
        <w:t>（小写金额）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none"/>
        </w:rPr>
        <w:t>工期：</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，质量目标：</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，并按合同约定的工期及质量实施和完成全部项目。</w:t>
      </w:r>
    </w:p>
    <w:p w14:paraId="352C2081">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2、我方承诺自响应截止之日起</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日历天（同响应文件有效期）不补充、修改、替代或者撤回本响应性文件。</w:t>
      </w:r>
    </w:p>
    <w:p w14:paraId="2C3D1854">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、如我方成交：</w:t>
      </w:r>
    </w:p>
    <w:p w14:paraId="48790A1F">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（1）我方承诺在收到成交通知书后，在规定的期限内与采购人签订合同。</w:t>
      </w:r>
    </w:p>
    <w:p w14:paraId="76AF17EF">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（2）本磋商函属于合同文件的组成部分。</w:t>
      </w:r>
    </w:p>
    <w:p w14:paraId="4CBE909A">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（3）我方承诺按照磋商文件规定向你方提供要求的任何证据、资料。</w:t>
      </w:r>
    </w:p>
    <w:p w14:paraId="496974E7">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（4）我方承诺在合同约定的期限内完成并移交全部合同项目。</w:t>
      </w:r>
    </w:p>
    <w:p w14:paraId="5F863FDB">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、我方在此声明，所递交的磋商响应文件及有关资料内容完整、真实和准确，并愿承担法律责任。</w:t>
      </w:r>
    </w:p>
    <w:p w14:paraId="30EEECD0">
      <w:pPr>
        <w:keepNext w:val="0"/>
        <w:keepLines w:val="0"/>
        <w:pageBreakBefore w:val="0"/>
        <w:widowControl w:val="0"/>
        <w:tabs>
          <w:tab w:val="left" w:pos="1155"/>
        </w:tabs>
        <w:kinsoku/>
        <w:wordWrap/>
        <w:overflowPunct w:val="0"/>
        <w:topLinePunct/>
        <w:autoSpaceDE/>
        <w:autoSpaceDN/>
        <w:bidi w:val="0"/>
        <w:adjustRightInd/>
        <w:spacing w:line="360" w:lineRule="auto"/>
        <w:ind w:firstLine="403" w:firstLineChars="192"/>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、（其他承诺事项）：</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w:t>
      </w:r>
    </w:p>
    <w:p w14:paraId="16B16192">
      <w:pPr>
        <w:keepNext w:val="0"/>
        <w:keepLines w:val="0"/>
        <w:pageBreakBefore w:val="0"/>
        <w:widowControl w:val="0"/>
        <w:kinsoku/>
        <w:wordWrap/>
        <w:overflowPunct w:val="0"/>
        <w:topLinePunct/>
        <w:autoSpaceDE/>
        <w:autoSpaceDN/>
        <w:bidi w:val="0"/>
        <w:adjustRightInd/>
        <w:spacing w:line="360" w:lineRule="auto"/>
        <w:ind w:firstLine="2940" w:firstLineChars="1400"/>
        <w:jc w:val="both"/>
        <w:textAlignment w:val="auto"/>
        <w:rPr>
          <w:rFonts w:hint="eastAsia" w:ascii="宋体" w:hAnsi="宋体" w:eastAsia="宋体" w:cs="宋体"/>
          <w:color w:val="auto"/>
          <w:sz w:val="21"/>
          <w:szCs w:val="21"/>
          <w:highlight w:val="none"/>
          <w:lang w:eastAsia="zh-CN"/>
        </w:rPr>
      </w:pPr>
    </w:p>
    <w:p w14:paraId="3B2D8ABD">
      <w:pPr>
        <w:keepNext w:val="0"/>
        <w:keepLines w:val="0"/>
        <w:pageBreakBefore w:val="0"/>
        <w:widowControl w:val="0"/>
        <w:kinsoku/>
        <w:wordWrap/>
        <w:overflowPunct w:val="0"/>
        <w:topLinePunct/>
        <w:autoSpaceDE/>
        <w:autoSpaceDN/>
        <w:bidi w:val="0"/>
        <w:adjustRightInd/>
        <w:snapToGrid w:val="0"/>
        <w:spacing w:line="360" w:lineRule="auto"/>
        <w:ind w:firstLine="2940" w:firstLineChars="14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（盖单位章）</w:t>
      </w:r>
    </w:p>
    <w:p w14:paraId="2A772B68">
      <w:pPr>
        <w:keepNext w:val="0"/>
        <w:keepLines w:val="0"/>
        <w:pageBreakBefore w:val="0"/>
        <w:widowControl w:val="0"/>
        <w:kinsoku/>
        <w:wordWrap/>
        <w:overflowPunct w:val="0"/>
        <w:topLinePunct/>
        <w:autoSpaceDE/>
        <w:autoSpaceDN/>
        <w:bidi w:val="0"/>
        <w:adjustRightInd/>
        <w:snapToGrid w:val="0"/>
        <w:spacing w:line="360" w:lineRule="auto"/>
        <w:ind w:firstLine="2940" w:firstLineChars="1400"/>
        <w:jc w:val="both"/>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（签字或签章）</w:t>
      </w:r>
    </w:p>
    <w:p w14:paraId="79EE6839">
      <w:pPr>
        <w:keepNext w:val="0"/>
        <w:keepLines w:val="0"/>
        <w:pageBreakBefore w:val="0"/>
        <w:widowControl w:val="0"/>
        <w:kinsoku/>
        <w:wordWrap/>
        <w:overflowPunct w:val="0"/>
        <w:topLinePunct/>
        <w:autoSpaceDE/>
        <w:autoSpaceDN/>
        <w:bidi w:val="0"/>
        <w:adjustRightInd/>
        <w:snapToGrid w:val="0"/>
        <w:spacing w:line="360" w:lineRule="auto"/>
        <w:ind w:firstLine="2940" w:firstLineChars="140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lang w:val="en-US" w:eastAsia="zh-CN"/>
        </w:rPr>
        <w:t xml:space="preserve">                              </w:t>
      </w:r>
    </w:p>
    <w:p w14:paraId="3A68C346">
      <w:pPr>
        <w:keepNext w:val="0"/>
        <w:keepLines w:val="0"/>
        <w:pageBreakBefore w:val="0"/>
        <w:widowControl w:val="0"/>
        <w:kinsoku/>
        <w:wordWrap/>
        <w:overflowPunct w:val="0"/>
        <w:topLinePunct/>
        <w:autoSpaceDE/>
        <w:autoSpaceDN/>
        <w:bidi w:val="0"/>
        <w:adjustRightInd/>
        <w:snapToGrid w:val="0"/>
        <w:spacing w:line="360" w:lineRule="auto"/>
        <w:ind w:firstLine="2940" w:firstLineChars="140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电</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lang w:val="en-US" w:eastAsia="zh-CN"/>
        </w:rPr>
        <w:t xml:space="preserve">                              </w:t>
      </w:r>
    </w:p>
    <w:p w14:paraId="7B08DB6D">
      <w:pPr>
        <w:keepNext w:val="0"/>
        <w:keepLines w:val="0"/>
        <w:pageBreakBefore w:val="0"/>
        <w:widowControl w:val="0"/>
        <w:kinsoku/>
        <w:wordWrap/>
        <w:overflowPunct w:val="0"/>
        <w:topLinePunct/>
        <w:autoSpaceDE/>
        <w:autoSpaceDN/>
        <w:bidi w:val="0"/>
        <w:adjustRightInd/>
        <w:snapToGrid w:val="0"/>
        <w:spacing w:line="360" w:lineRule="auto"/>
        <w:ind w:firstLine="2940" w:firstLineChars="140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lang w:val="en-US" w:eastAsia="zh-CN"/>
        </w:rPr>
        <w:t xml:space="preserve">                              </w:t>
      </w:r>
    </w:p>
    <w:p w14:paraId="14BD1B80">
      <w:pPr>
        <w:keepNext w:val="0"/>
        <w:keepLines w:val="0"/>
        <w:pageBreakBefore w:val="0"/>
        <w:widowControl w:val="0"/>
        <w:tabs>
          <w:tab w:val="left" w:pos="210"/>
        </w:tabs>
        <w:kinsoku/>
        <w:wordWrap/>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p>
    <w:p w14:paraId="1756D90A">
      <w:pPr>
        <w:keepNext w:val="0"/>
        <w:keepLines w:val="0"/>
        <w:pageBreakBefore w:val="0"/>
        <w:widowControl w:val="0"/>
        <w:kinsoku/>
        <w:wordWrap/>
        <w:autoSpaceDE w:val="0"/>
        <w:autoSpaceDN w:val="0"/>
        <w:bidi w:val="0"/>
        <w:adjustRightInd w:val="0"/>
        <w:spacing w:line="360" w:lineRule="auto"/>
        <w:textAlignment w:val="auto"/>
        <w:rPr>
          <w:rFonts w:hint="eastAsia" w:ascii="宋体" w:hAnsi="宋体" w:eastAsia="宋体" w:cs="宋体"/>
          <w:b/>
          <w:bCs/>
          <w:color w:val="auto"/>
          <w:sz w:val="21"/>
          <w:szCs w:val="21"/>
          <w:highlight w:val="none"/>
          <w:lang w:val="zh-CN"/>
        </w:rPr>
      </w:pPr>
    </w:p>
    <w:p w14:paraId="258D65BE">
      <w:pPr>
        <w:pStyle w:val="48"/>
        <w:keepLines w:val="0"/>
        <w:pageBreakBefore w:val="0"/>
        <w:kinsoku/>
        <w:bidi w:val="0"/>
        <w:spacing w:line="360" w:lineRule="auto"/>
        <w:rPr>
          <w:rFonts w:hint="eastAsia" w:ascii="宋体" w:hAnsi="宋体" w:eastAsia="宋体" w:cs="宋体"/>
          <w:b/>
          <w:bCs/>
          <w:color w:val="auto"/>
          <w:sz w:val="24"/>
          <w:szCs w:val="24"/>
          <w:highlight w:val="none"/>
          <w:lang w:val="zh-CN"/>
        </w:rPr>
      </w:pPr>
    </w:p>
    <w:p w14:paraId="7CDFEAB3">
      <w:pPr>
        <w:pStyle w:val="48"/>
        <w:keepLines w:val="0"/>
        <w:pageBreakBefore w:val="0"/>
        <w:kinsoku/>
        <w:bidi w:val="0"/>
        <w:spacing w:line="360" w:lineRule="auto"/>
        <w:rPr>
          <w:rFonts w:hint="eastAsia" w:ascii="宋体" w:hAnsi="宋体" w:eastAsia="宋体" w:cs="宋体"/>
          <w:b/>
          <w:bCs/>
          <w:color w:val="auto"/>
          <w:sz w:val="24"/>
          <w:szCs w:val="24"/>
          <w:highlight w:val="none"/>
          <w:lang w:val="zh-CN"/>
        </w:rPr>
      </w:pPr>
    </w:p>
    <w:p w14:paraId="169DEFD0">
      <w:pPr>
        <w:pStyle w:val="48"/>
        <w:keepLines w:val="0"/>
        <w:pageBreakBefore w:val="0"/>
        <w:kinsoku/>
        <w:bidi w:val="0"/>
        <w:spacing w:line="360" w:lineRule="auto"/>
        <w:rPr>
          <w:rFonts w:hint="eastAsia" w:ascii="宋体" w:hAnsi="宋体" w:eastAsia="宋体" w:cs="宋体"/>
          <w:b/>
          <w:bCs/>
          <w:color w:val="auto"/>
          <w:sz w:val="24"/>
          <w:szCs w:val="24"/>
          <w:highlight w:val="none"/>
          <w:lang w:val="zh-CN"/>
        </w:rPr>
      </w:pPr>
    </w:p>
    <w:p w14:paraId="3610F3ED">
      <w:pPr>
        <w:pStyle w:val="48"/>
        <w:keepLines w:val="0"/>
        <w:pageBreakBefore w:val="0"/>
        <w:kinsoku/>
        <w:bidi w:val="0"/>
        <w:spacing w:line="360" w:lineRule="auto"/>
        <w:rPr>
          <w:rFonts w:hint="eastAsia" w:ascii="宋体" w:hAnsi="宋体" w:eastAsia="宋体" w:cs="宋体"/>
          <w:b/>
          <w:bCs/>
          <w:color w:val="auto"/>
          <w:sz w:val="24"/>
          <w:szCs w:val="24"/>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1CB3AF0D">
      <w:pPr>
        <w:pStyle w:val="2"/>
        <w:keepLines w:val="0"/>
        <w:pageBreakBefore w:val="0"/>
        <w:kinsoku/>
        <w:bidi w:val="0"/>
        <w:spacing w:line="360" w:lineRule="auto"/>
        <w:rPr>
          <w:rFonts w:hint="eastAsia" w:ascii="宋体" w:hAnsi="宋体" w:eastAsia="宋体" w:cs="宋体"/>
          <w:b/>
          <w:bCs/>
          <w:color w:val="auto"/>
          <w:sz w:val="28"/>
          <w:szCs w:val="28"/>
          <w:highlight w:val="none"/>
          <w:lang w:val="zh-CN"/>
        </w:rPr>
      </w:pPr>
      <w:bookmarkStart w:id="529" w:name="_Toc23189"/>
      <w:bookmarkStart w:id="530" w:name="_Toc16353"/>
      <w:r>
        <w:rPr>
          <w:rFonts w:hint="eastAsia" w:ascii="宋体" w:hAnsi="宋体" w:eastAsia="宋体" w:cs="宋体"/>
          <w:b/>
          <w:bCs/>
          <w:color w:val="auto"/>
          <w:sz w:val="28"/>
          <w:szCs w:val="28"/>
          <w:highlight w:val="none"/>
          <w:lang w:val="zh-CN"/>
        </w:rPr>
        <w:t>第二部分</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第一次磋商报价表</w:t>
      </w:r>
      <w:bookmarkEnd w:id="529"/>
      <w:bookmarkEnd w:id="530"/>
    </w:p>
    <w:p w14:paraId="7DC8FBF4">
      <w:pPr>
        <w:keepLines w:val="0"/>
        <w:pageBreakBefore w:val="0"/>
        <w:kinsoku/>
        <w:autoSpaceDE w:val="0"/>
        <w:autoSpaceDN w:val="0"/>
        <w:bidi w:val="0"/>
        <w:adjustRightInd w:val="0"/>
        <w:spacing w:line="360" w:lineRule="auto"/>
        <w:jc w:val="both"/>
        <w:rPr>
          <w:rFonts w:hint="eastAsia" w:ascii="宋体" w:hAnsi="宋体" w:eastAsia="宋体" w:cs="宋体"/>
          <w:b/>
          <w:bCs/>
          <w:color w:val="auto"/>
          <w:sz w:val="21"/>
          <w:szCs w:val="21"/>
          <w:highlight w:val="none"/>
          <w:lang w:val="zh-CN"/>
        </w:rPr>
      </w:pPr>
    </w:p>
    <w:p w14:paraId="7B75BB9C">
      <w:pPr>
        <w:keepLines w:val="0"/>
        <w:pageBreakBefore w:val="0"/>
        <w:tabs>
          <w:tab w:val="left" w:pos="8180"/>
          <w:tab w:val="left" w:pos="8400"/>
        </w:tabs>
        <w:kinsoku/>
        <w:autoSpaceDE w:val="0"/>
        <w:autoSpaceDN w:val="0"/>
        <w:bidi w:val="0"/>
        <w:adjustRightInd w:val="0"/>
        <w:snapToGrid w:val="0"/>
        <w:spacing w:line="360" w:lineRule="auto"/>
        <w:ind w:right="670" w:rightChars="0" w:firstLine="525" w:firstLineChars="250"/>
        <w:rPr>
          <w:rFonts w:hint="eastAsia" w:ascii="宋体" w:hAnsi="宋体" w:eastAsia="宋体" w:cs="宋体"/>
          <w:color w:val="auto"/>
          <w:sz w:val="21"/>
          <w:szCs w:val="21"/>
          <w:highlight w:val="none"/>
          <w:lang w:val="zh-CN"/>
        </w:rPr>
      </w:pPr>
      <w:r>
        <w:rPr>
          <w:rFonts w:hint="eastAsia" w:ascii="宋体" w:hAnsi="宋体" w:eastAsia="宋体" w:cs="宋体"/>
          <w:bCs/>
          <w:color w:val="auto"/>
          <w:kern w:val="0"/>
          <w:sz w:val="21"/>
          <w:szCs w:val="21"/>
          <w:highlight w:val="none"/>
        </w:rPr>
        <w:t>项目编号：</w:t>
      </w:r>
      <w:r>
        <w:rPr>
          <w:rFonts w:hint="eastAsia" w:ascii="宋体" w:hAnsi="宋体" w:eastAsia="宋体" w:cs="宋体"/>
          <w:bCs/>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rPr>
        <w:t>单位:</w:t>
      </w:r>
      <w:r>
        <w:rPr>
          <w:rFonts w:hint="eastAsia" w:ascii="宋体" w:hAnsi="宋体" w:eastAsia="宋体" w:cs="宋体"/>
          <w:color w:val="auto"/>
          <w:sz w:val="21"/>
          <w:szCs w:val="21"/>
          <w:highlight w:val="none"/>
          <w:lang w:val="zh-CN"/>
        </w:rPr>
        <w:t>元</w:t>
      </w:r>
    </w:p>
    <w:tbl>
      <w:tblPr>
        <w:tblStyle w:val="37"/>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921"/>
        <w:gridCol w:w="6136"/>
      </w:tblGrid>
      <w:tr w14:paraId="542A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82" w:type="dxa"/>
            <w:vAlign w:val="center"/>
          </w:tcPr>
          <w:p w14:paraId="4BC8BB79">
            <w:pPr>
              <w:keepLines w:val="0"/>
              <w:pageBreakBefore w:val="0"/>
              <w:kinsoku/>
              <w:bidi w:val="0"/>
              <w:spacing w:line="360" w:lineRule="auto"/>
              <w:jc w:val="center"/>
              <w:rPr>
                <w:rFonts w:hint="eastAsia" w:ascii="宋体" w:hAnsi="宋体" w:eastAsia="宋体" w:cs="宋体"/>
                <w:b/>
                <w:bCs/>
                <w:color w:val="auto"/>
                <w:sz w:val="21"/>
                <w:szCs w:val="21"/>
                <w:highlight w:val="none"/>
              </w:rPr>
            </w:pPr>
            <w:bookmarkStart w:id="531" w:name="_Toc443640468"/>
            <w:bookmarkStart w:id="532" w:name="_Toc375125038"/>
            <w:bookmarkStart w:id="533" w:name="_Toc443640378"/>
            <w:bookmarkStart w:id="534" w:name="_Toc443639914"/>
            <w:bookmarkStart w:id="535" w:name="_Toc363558512"/>
            <w:r>
              <w:rPr>
                <w:rFonts w:hint="eastAsia" w:ascii="宋体" w:hAnsi="宋体" w:eastAsia="宋体" w:cs="宋体"/>
                <w:b/>
                <w:bCs/>
                <w:color w:val="auto"/>
                <w:sz w:val="21"/>
                <w:szCs w:val="21"/>
                <w:highlight w:val="none"/>
              </w:rPr>
              <w:t>序号</w:t>
            </w:r>
            <w:bookmarkEnd w:id="531"/>
            <w:bookmarkEnd w:id="532"/>
            <w:bookmarkEnd w:id="533"/>
            <w:bookmarkEnd w:id="534"/>
            <w:bookmarkEnd w:id="535"/>
          </w:p>
        </w:tc>
        <w:tc>
          <w:tcPr>
            <w:tcW w:w="1921" w:type="dxa"/>
            <w:vAlign w:val="center"/>
          </w:tcPr>
          <w:p w14:paraId="79325C04">
            <w:pPr>
              <w:keepLines w:val="0"/>
              <w:pageBreakBefore w:val="0"/>
              <w:kinsoku/>
              <w:bidi w:val="0"/>
              <w:spacing w:line="360" w:lineRule="auto"/>
              <w:jc w:val="center"/>
              <w:rPr>
                <w:rFonts w:hint="eastAsia" w:ascii="宋体" w:hAnsi="宋体" w:eastAsia="宋体" w:cs="宋体"/>
                <w:b/>
                <w:bCs/>
                <w:color w:val="auto"/>
                <w:sz w:val="21"/>
                <w:szCs w:val="21"/>
                <w:highlight w:val="none"/>
              </w:rPr>
            </w:pPr>
            <w:bookmarkStart w:id="536" w:name="_Toc443640469"/>
            <w:bookmarkStart w:id="537" w:name="_Toc443640379"/>
            <w:bookmarkStart w:id="538" w:name="_Toc375125039"/>
            <w:bookmarkStart w:id="539" w:name="_Toc363558513"/>
            <w:bookmarkStart w:id="540" w:name="_Toc443639915"/>
            <w:r>
              <w:rPr>
                <w:rFonts w:hint="eastAsia" w:ascii="宋体" w:hAnsi="宋体" w:eastAsia="宋体" w:cs="宋体"/>
                <w:b/>
                <w:bCs/>
                <w:color w:val="auto"/>
                <w:sz w:val="21"/>
                <w:szCs w:val="21"/>
                <w:highlight w:val="none"/>
              </w:rPr>
              <w:t>名称</w:t>
            </w:r>
            <w:bookmarkEnd w:id="536"/>
            <w:bookmarkEnd w:id="537"/>
            <w:bookmarkEnd w:id="538"/>
            <w:bookmarkEnd w:id="539"/>
            <w:bookmarkEnd w:id="540"/>
          </w:p>
        </w:tc>
        <w:tc>
          <w:tcPr>
            <w:tcW w:w="6136" w:type="dxa"/>
            <w:vAlign w:val="center"/>
          </w:tcPr>
          <w:p w14:paraId="79371A09">
            <w:pPr>
              <w:keepLines w:val="0"/>
              <w:pageBreakBefore w:val="0"/>
              <w:kinsoku/>
              <w:bidi w:val="0"/>
              <w:spacing w:line="360" w:lineRule="auto"/>
              <w:jc w:val="center"/>
              <w:rPr>
                <w:rFonts w:hint="eastAsia" w:ascii="宋体" w:hAnsi="宋体" w:eastAsia="宋体" w:cs="宋体"/>
                <w:b/>
                <w:bCs/>
                <w:color w:val="auto"/>
                <w:sz w:val="21"/>
                <w:szCs w:val="21"/>
                <w:highlight w:val="none"/>
              </w:rPr>
            </w:pPr>
            <w:bookmarkStart w:id="541" w:name="_Toc443639916"/>
            <w:bookmarkStart w:id="542" w:name="_Toc375125040"/>
            <w:bookmarkStart w:id="543" w:name="_Toc443640380"/>
            <w:bookmarkStart w:id="544" w:name="_Toc363558514"/>
            <w:bookmarkStart w:id="545" w:name="_Toc443640470"/>
            <w:r>
              <w:rPr>
                <w:rFonts w:hint="eastAsia" w:ascii="宋体" w:hAnsi="宋体" w:eastAsia="宋体" w:cs="宋体"/>
                <w:b/>
                <w:bCs/>
                <w:color w:val="auto"/>
                <w:sz w:val="21"/>
                <w:szCs w:val="21"/>
                <w:highlight w:val="none"/>
              </w:rPr>
              <w:t>内容</w:t>
            </w:r>
            <w:bookmarkEnd w:id="541"/>
            <w:bookmarkEnd w:id="542"/>
            <w:bookmarkEnd w:id="543"/>
            <w:bookmarkEnd w:id="544"/>
            <w:bookmarkEnd w:id="545"/>
          </w:p>
        </w:tc>
      </w:tr>
      <w:tr w14:paraId="0262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682" w:type="dxa"/>
            <w:vAlign w:val="center"/>
          </w:tcPr>
          <w:p w14:paraId="26348E87">
            <w:pPr>
              <w:keepLines w:val="0"/>
              <w:pageBreakBefore w:val="0"/>
              <w:kinsoku/>
              <w:bidi w:val="0"/>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p>
        </w:tc>
        <w:tc>
          <w:tcPr>
            <w:tcW w:w="1921" w:type="dxa"/>
            <w:vAlign w:val="center"/>
          </w:tcPr>
          <w:p w14:paraId="282FDB4E">
            <w:pPr>
              <w:keepLines w:val="0"/>
              <w:pageBreakBefore w:val="0"/>
              <w:kinsoku/>
              <w:bidi w:val="0"/>
              <w:spacing w:line="360" w:lineRule="auto"/>
              <w:jc w:val="center"/>
              <w:rPr>
                <w:rFonts w:hint="eastAsia" w:ascii="宋体" w:hAnsi="宋体" w:eastAsia="宋体" w:cs="宋体"/>
                <w:b/>
                <w:bCs/>
                <w:color w:val="auto"/>
                <w:sz w:val="21"/>
                <w:szCs w:val="21"/>
                <w:highlight w:val="none"/>
              </w:rPr>
            </w:pPr>
            <w:bookmarkStart w:id="546" w:name="_Toc443640476"/>
            <w:bookmarkStart w:id="547" w:name="_Toc363558520"/>
            <w:bookmarkStart w:id="548" w:name="_Toc443640386"/>
            <w:bookmarkStart w:id="549" w:name="_Toc443639922"/>
            <w:bookmarkStart w:id="550" w:name="_Toc375125046"/>
            <w:r>
              <w:rPr>
                <w:rFonts w:hint="eastAsia" w:ascii="宋体" w:hAnsi="宋体" w:eastAsia="宋体" w:cs="宋体"/>
                <w:b/>
                <w:bCs/>
                <w:color w:val="auto"/>
                <w:sz w:val="21"/>
                <w:szCs w:val="21"/>
                <w:highlight w:val="none"/>
              </w:rPr>
              <w:t>第一次报价</w:t>
            </w:r>
            <w:bookmarkEnd w:id="546"/>
            <w:bookmarkEnd w:id="547"/>
            <w:bookmarkEnd w:id="548"/>
            <w:bookmarkEnd w:id="549"/>
            <w:bookmarkEnd w:id="550"/>
          </w:p>
        </w:tc>
        <w:tc>
          <w:tcPr>
            <w:tcW w:w="6136" w:type="dxa"/>
            <w:vAlign w:val="center"/>
          </w:tcPr>
          <w:p w14:paraId="43473C00">
            <w:pPr>
              <w:keepLines w:val="0"/>
              <w:pageBreakBefore w:val="0"/>
              <w:kinsoku/>
              <w:bidi w:val="0"/>
              <w:spacing w:line="360" w:lineRule="auto"/>
              <w:jc w:val="both"/>
              <w:rPr>
                <w:rFonts w:hint="eastAsia" w:ascii="宋体" w:hAnsi="宋体" w:eastAsia="宋体" w:cs="宋体"/>
                <w:i w:val="0"/>
                <w:color w:val="auto"/>
                <w:sz w:val="21"/>
                <w:szCs w:val="21"/>
                <w:highlight w:val="none"/>
                <w:u w:val="none"/>
                <w:lang w:val="en-US" w:eastAsia="zh-CN"/>
              </w:rPr>
            </w:pPr>
          </w:p>
          <w:p w14:paraId="24D22B77">
            <w:pPr>
              <w:keepLines w:val="0"/>
              <w:pageBreakBefore w:val="0"/>
              <w:kinsoku/>
              <w:bidi w:val="0"/>
              <w:spacing w:line="360" w:lineRule="auto"/>
              <w:jc w:val="both"/>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大写：</w:t>
            </w:r>
            <w:r>
              <w:rPr>
                <w:rFonts w:hint="eastAsia" w:ascii="宋体" w:hAnsi="宋体" w:eastAsia="宋体" w:cs="宋体"/>
                <w:color w:val="auto"/>
                <w:sz w:val="21"/>
                <w:szCs w:val="21"/>
                <w:highlight w:val="none"/>
                <w:u w:val="single"/>
                <w:lang w:val="en-US" w:eastAsia="zh-CN"/>
              </w:rPr>
              <w:t xml:space="preserve">                              </w:t>
            </w:r>
          </w:p>
          <w:p w14:paraId="4D7F5E33">
            <w:pPr>
              <w:keepLines w:val="0"/>
              <w:pageBreakBefore w:val="0"/>
              <w:kinsoku/>
              <w:bidi w:val="0"/>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sz w:val="21"/>
                <w:szCs w:val="21"/>
                <w:highlight w:val="none"/>
                <w:u w:val="none"/>
                <w:lang w:val="en-US" w:eastAsia="zh-CN"/>
              </w:rPr>
              <w:t>小写：</w:t>
            </w:r>
            <w:r>
              <w:rPr>
                <w:rFonts w:hint="eastAsia" w:ascii="宋体" w:hAnsi="宋体" w:eastAsia="宋体" w:cs="宋体"/>
                <w:color w:val="auto"/>
                <w:sz w:val="21"/>
                <w:szCs w:val="21"/>
                <w:highlight w:val="none"/>
                <w:u w:val="single"/>
                <w:lang w:val="en-US" w:eastAsia="zh-CN"/>
              </w:rPr>
              <w:t xml:space="preserve">                              </w:t>
            </w:r>
          </w:p>
        </w:tc>
      </w:tr>
      <w:tr w14:paraId="1436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82" w:type="dxa"/>
            <w:vAlign w:val="center"/>
          </w:tcPr>
          <w:p w14:paraId="2620A81E">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921" w:type="dxa"/>
            <w:vAlign w:val="center"/>
          </w:tcPr>
          <w:p w14:paraId="0C0793DA">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工期</w:t>
            </w:r>
          </w:p>
        </w:tc>
        <w:tc>
          <w:tcPr>
            <w:tcW w:w="6136" w:type="dxa"/>
            <w:vAlign w:val="center"/>
          </w:tcPr>
          <w:p w14:paraId="4448D2E0">
            <w:pPr>
              <w:keepLines w:val="0"/>
              <w:pageBreakBefore w:val="0"/>
              <w:kinsoku/>
              <w:bidi w:val="0"/>
              <w:spacing w:line="360" w:lineRule="auto"/>
              <w:jc w:val="center"/>
              <w:rPr>
                <w:rFonts w:hint="eastAsia" w:ascii="宋体" w:hAnsi="宋体" w:eastAsia="宋体" w:cs="宋体"/>
                <w:b/>
                <w:bCs/>
                <w:color w:val="auto"/>
                <w:sz w:val="21"/>
                <w:szCs w:val="21"/>
                <w:highlight w:val="none"/>
              </w:rPr>
            </w:pPr>
          </w:p>
        </w:tc>
      </w:tr>
      <w:tr w14:paraId="0898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682" w:type="dxa"/>
            <w:vAlign w:val="center"/>
          </w:tcPr>
          <w:p w14:paraId="1ED6B2A5">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4"/>
                <w:szCs w:val="24"/>
                <w:highlight w:val="none"/>
                <w:lang w:val="en-US" w:eastAsia="zh-CN"/>
              </w:rPr>
              <w:t>3</w:t>
            </w:r>
          </w:p>
        </w:tc>
        <w:tc>
          <w:tcPr>
            <w:tcW w:w="1921" w:type="dxa"/>
            <w:vAlign w:val="center"/>
          </w:tcPr>
          <w:p w14:paraId="33892C41">
            <w:pPr>
              <w:keepLines w:val="0"/>
              <w:pageBreakBefore w:val="0"/>
              <w:kinsoku/>
              <w:wordWrap/>
              <w:bidi w:val="0"/>
              <w:spacing w:line="4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项目经理</w:t>
            </w:r>
          </w:p>
        </w:tc>
        <w:tc>
          <w:tcPr>
            <w:tcW w:w="6136" w:type="dxa"/>
            <w:vAlign w:val="center"/>
          </w:tcPr>
          <w:p w14:paraId="790E5B42">
            <w:pPr>
              <w:keepLines w:val="0"/>
              <w:pageBreakBefore w:val="0"/>
              <w:kinsoku/>
              <w:bidi w:val="0"/>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姓名：</w:t>
            </w:r>
            <w:r>
              <w:rPr>
                <w:rFonts w:hint="eastAsia" w:ascii="宋体" w:hAnsi="宋体" w:eastAsia="宋体" w:cs="宋体"/>
                <w:color w:val="auto"/>
                <w:sz w:val="21"/>
                <w:szCs w:val="21"/>
                <w:highlight w:val="none"/>
                <w:u w:val="single"/>
                <w:lang w:val="en-US" w:eastAsia="zh-CN"/>
              </w:rPr>
              <w:t xml:space="preserve">                              </w:t>
            </w:r>
          </w:p>
          <w:p w14:paraId="03A40534">
            <w:pPr>
              <w:keepLines w:val="0"/>
              <w:pageBreakBefore w:val="0"/>
              <w:kinsoku/>
              <w:bidi w:val="0"/>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专业：</w:t>
            </w:r>
            <w:r>
              <w:rPr>
                <w:rFonts w:hint="eastAsia" w:ascii="宋体" w:hAnsi="宋体" w:eastAsia="宋体" w:cs="宋体"/>
                <w:color w:val="auto"/>
                <w:sz w:val="21"/>
                <w:szCs w:val="21"/>
                <w:highlight w:val="none"/>
                <w:u w:val="single"/>
                <w:lang w:val="en-US" w:eastAsia="zh-CN"/>
              </w:rPr>
              <w:t xml:space="preserve">                              </w:t>
            </w:r>
          </w:p>
          <w:p w14:paraId="7480201D">
            <w:pPr>
              <w:keepLines w:val="0"/>
              <w:pageBreakBefore w:val="0"/>
              <w:kinsoku/>
              <w:bidi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证号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p>
        </w:tc>
      </w:tr>
      <w:tr w14:paraId="28FD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82" w:type="dxa"/>
            <w:vAlign w:val="center"/>
          </w:tcPr>
          <w:p w14:paraId="50D870F2">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921" w:type="dxa"/>
            <w:vAlign w:val="center"/>
          </w:tcPr>
          <w:p w14:paraId="30B6970E">
            <w:pPr>
              <w:keepLines w:val="0"/>
              <w:pageBreakBefore w:val="0"/>
              <w:kinsoku/>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质量保修期</w:t>
            </w:r>
          </w:p>
        </w:tc>
        <w:tc>
          <w:tcPr>
            <w:tcW w:w="6136" w:type="dxa"/>
            <w:vAlign w:val="center"/>
          </w:tcPr>
          <w:p w14:paraId="5C63F781">
            <w:pPr>
              <w:keepLines w:val="0"/>
              <w:pageBreakBefore w:val="0"/>
              <w:kinsoku/>
              <w:bidi w:val="0"/>
              <w:spacing w:line="360" w:lineRule="auto"/>
              <w:jc w:val="center"/>
              <w:rPr>
                <w:rFonts w:hint="eastAsia" w:ascii="宋体" w:hAnsi="宋体" w:eastAsia="宋体" w:cs="宋体"/>
                <w:b/>
                <w:bCs/>
                <w:color w:val="auto"/>
                <w:sz w:val="21"/>
                <w:szCs w:val="21"/>
                <w:highlight w:val="none"/>
              </w:rPr>
            </w:pPr>
          </w:p>
        </w:tc>
      </w:tr>
      <w:tr w14:paraId="6A64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82" w:type="dxa"/>
            <w:vAlign w:val="center"/>
          </w:tcPr>
          <w:p w14:paraId="16ECCEA2">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921" w:type="dxa"/>
            <w:vAlign w:val="center"/>
          </w:tcPr>
          <w:p w14:paraId="6D6FA2D6">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质量标准</w:t>
            </w:r>
          </w:p>
        </w:tc>
        <w:tc>
          <w:tcPr>
            <w:tcW w:w="6136" w:type="dxa"/>
            <w:vAlign w:val="center"/>
          </w:tcPr>
          <w:p w14:paraId="1E03B983">
            <w:pPr>
              <w:keepLines w:val="0"/>
              <w:pageBreakBefore w:val="0"/>
              <w:kinsoku/>
              <w:bidi w:val="0"/>
              <w:spacing w:line="360" w:lineRule="auto"/>
              <w:jc w:val="center"/>
              <w:rPr>
                <w:rFonts w:hint="eastAsia" w:ascii="宋体" w:hAnsi="宋体" w:eastAsia="宋体" w:cs="宋体"/>
                <w:b/>
                <w:bCs/>
                <w:color w:val="auto"/>
                <w:sz w:val="21"/>
                <w:szCs w:val="21"/>
                <w:highlight w:val="none"/>
              </w:rPr>
            </w:pPr>
          </w:p>
        </w:tc>
      </w:tr>
      <w:tr w14:paraId="0F7E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82" w:type="dxa"/>
            <w:vAlign w:val="center"/>
          </w:tcPr>
          <w:p w14:paraId="6308243E">
            <w:pPr>
              <w:keepLines w:val="0"/>
              <w:pageBreakBefore w:val="0"/>
              <w:kinsoku/>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921" w:type="dxa"/>
            <w:vAlign w:val="center"/>
          </w:tcPr>
          <w:p w14:paraId="581E1ED3">
            <w:pPr>
              <w:keepLines w:val="0"/>
              <w:pageBreakBefore w:val="0"/>
              <w:kinsoku/>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c>
          <w:tcPr>
            <w:tcW w:w="6136" w:type="dxa"/>
            <w:vAlign w:val="center"/>
          </w:tcPr>
          <w:p w14:paraId="70A8F10C">
            <w:pPr>
              <w:keepLines w:val="0"/>
              <w:pageBreakBefore w:val="0"/>
              <w:kinsoku/>
              <w:bidi w:val="0"/>
              <w:spacing w:line="360" w:lineRule="auto"/>
              <w:jc w:val="center"/>
              <w:rPr>
                <w:rFonts w:hint="eastAsia" w:ascii="宋体" w:hAnsi="宋体" w:eastAsia="宋体" w:cs="宋体"/>
                <w:b/>
                <w:bCs/>
                <w:color w:val="auto"/>
                <w:sz w:val="21"/>
                <w:szCs w:val="21"/>
                <w:highlight w:val="none"/>
              </w:rPr>
            </w:pPr>
          </w:p>
        </w:tc>
      </w:tr>
    </w:tbl>
    <w:p w14:paraId="7EEDB626">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p>
    <w:p w14:paraId="3A39C018">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注：</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报价应按磋商总价填写，最多保留小数点后两位，大小写不一致时，以大写为准</w:t>
      </w:r>
      <w:r>
        <w:rPr>
          <w:rFonts w:hint="eastAsia" w:ascii="宋体" w:hAnsi="宋体" w:eastAsia="宋体" w:cs="宋体"/>
          <w:b w:val="0"/>
          <w:bCs w:val="0"/>
          <w:color w:val="auto"/>
          <w:sz w:val="21"/>
          <w:szCs w:val="21"/>
          <w:highlight w:val="none"/>
          <w:lang w:eastAsia="zh-CN"/>
        </w:rPr>
        <w:t>。</w:t>
      </w:r>
    </w:p>
    <w:p w14:paraId="38B4FF4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各供应商必须严格按照上表要求填写。</w:t>
      </w:r>
    </w:p>
    <w:p w14:paraId="64429EF0">
      <w:pPr>
        <w:keepLines w:val="0"/>
        <w:pageBreakBefore w:val="0"/>
        <w:kinsoku/>
        <w:autoSpaceDE w:val="0"/>
        <w:autoSpaceDN w:val="0"/>
        <w:bidi w:val="0"/>
        <w:adjustRightInd w:val="0"/>
        <w:snapToGrid w:val="0"/>
        <w:spacing w:line="360" w:lineRule="auto"/>
        <w:rPr>
          <w:rFonts w:hint="eastAsia" w:ascii="宋体" w:hAnsi="宋体" w:eastAsia="宋体" w:cs="宋体"/>
          <w:b/>
          <w:bCs/>
          <w:color w:val="auto"/>
          <w:sz w:val="21"/>
          <w:szCs w:val="21"/>
          <w:highlight w:val="none"/>
        </w:rPr>
      </w:pPr>
    </w:p>
    <w:p w14:paraId="3217BB24">
      <w:pPr>
        <w:keepLines w:val="0"/>
        <w:pageBreakBefore w:val="0"/>
        <w:kinsoku/>
        <w:autoSpaceDE w:val="0"/>
        <w:autoSpaceDN w:val="0"/>
        <w:bidi w:val="0"/>
        <w:adjustRightInd w:val="0"/>
        <w:snapToGrid w:val="0"/>
        <w:spacing w:line="360" w:lineRule="auto"/>
        <w:rPr>
          <w:rFonts w:hint="eastAsia" w:ascii="宋体" w:hAnsi="宋体" w:eastAsia="宋体" w:cs="宋体"/>
          <w:b/>
          <w:bCs/>
          <w:color w:val="auto"/>
          <w:sz w:val="21"/>
          <w:szCs w:val="21"/>
          <w:highlight w:val="none"/>
        </w:rPr>
      </w:pPr>
    </w:p>
    <w:p w14:paraId="742F9C89">
      <w:pPr>
        <w:keepLines w:val="0"/>
        <w:pageBreakBefore w:val="0"/>
        <w:kinsoku/>
        <w:autoSpaceDE w:val="0"/>
        <w:autoSpaceDN w:val="0"/>
        <w:bidi w:val="0"/>
        <w:adjustRightInd w:val="0"/>
        <w:snapToGrid w:val="0"/>
        <w:spacing w:line="360" w:lineRule="auto"/>
        <w:ind w:firstLine="211" w:firstLineChars="100"/>
        <w:rPr>
          <w:rFonts w:hint="eastAsia" w:ascii="宋体" w:hAnsi="宋体" w:eastAsia="宋体" w:cs="宋体"/>
          <w:b/>
          <w:color w:val="auto"/>
          <w:sz w:val="21"/>
          <w:szCs w:val="21"/>
          <w:highlight w:val="none"/>
          <w:lang w:val="zh-CN"/>
        </w:rPr>
      </w:pPr>
    </w:p>
    <w:p w14:paraId="1DAEB75C">
      <w:pPr>
        <w:keepLines w:val="0"/>
        <w:pageBreakBefore w:val="0"/>
        <w:kinsoku/>
        <w:autoSpaceDE w:val="0"/>
        <w:autoSpaceDN w:val="0"/>
        <w:bidi w:val="0"/>
        <w:adjustRightInd w:val="0"/>
        <w:snapToGrid w:val="0"/>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供应商名称（单位公章）：</w:t>
      </w:r>
    </w:p>
    <w:p w14:paraId="2EFD1286">
      <w:pPr>
        <w:keepLines w:val="0"/>
        <w:pageBreakBefore w:val="0"/>
        <w:kinsoku/>
        <w:autoSpaceDE w:val="0"/>
        <w:autoSpaceDN w:val="0"/>
        <w:bidi w:val="0"/>
        <w:adjustRightInd w:val="0"/>
        <w:snapToGrid w:val="0"/>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color w:val="auto"/>
          <w:sz w:val="21"/>
          <w:szCs w:val="21"/>
          <w:highlight w:val="none"/>
          <w:lang w:val="zh-CN"/>
        </w:rPr>
        <w:t>（签名或盖章）：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期：</w:t>
      </w:r>
    </w:p>
    <w:p w14:paraId="78F3619E">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br w:type="page"/>
      </w:r>
    </w:p>
    <w:p w14:paraId="337E05D6">
      <w:pPr>
        <w:pStyle w:val="2"/>
        <w:keepLines w:val="0"/>
        <w:pageBreakBefore w:val="0"/>
        <w:numPr>
          <w:ilvl w:val="0"/>
          <w:numId w:val="8"/>
        </w:numPr>
        <w:kinsoku/>
        <w:bidi w:val="0"/>
        <w:spacing w:line="360" w:lineRule="auto"/>
        <w:jc w:val="center"/>
        <w:rPr>
          <w:rFonts w:hint="eastAsia" w:ascii="宋体" w:hAnsi="宋体" w:eastAsia="宋体" w:cs="宋体"/>
          <w:b/>
          <w:bCs/>
          <w:color w:val="auto"/>
          <w:sz w:val="28"/>
          <w:szCs w:val="28"/>
          <w:highlight w:val="none"/>
          <w:lang w:val="zh-CN"/>
        </w:rPr>
      </w:pPr>
      <w:bookmarkStart w:id="551" w:name="_Toc44955246"/>
      <w:bookmarkStart w:id="552" w:name="_Toc18045"/>
      <w:bookmarkStart w:id="553" w:name="_Toc20309"/>
      <w:r>
        <w:rPr>
          <w:rFonts w:hint="eastAsia" w:ascii="宋体" w:hAnsi="宋体" w:eastAsia="宋体" w:cs="宋体"/>
          <w:b/>
          <w:bCs/>
          <w:color w:val="auto"/>
          <w:sz w:val="28"/>
          <w:szCs w:val="28"/>
          <w:highlight w:val="none"/>
          <w:lang w:val="zh-CN"/>
        </w:rPr>
        <w:t>已标价工程量清单</w:t>
      </w:r>
      <w:bookmarkEnd w:id="551"/>
      <w:bookmarkEnd w:id="552"/>
      <w:bookmarkEnd w:id="553"/>
    </w:p>
    <w:p w14:paraId="23A2913F">
      <w:pPr>
        <w:numPr>
          <w:ilvl w:val="0"/>
          <w:numId w:val="0"/>
        </w:numPr>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rPr>
        <w:t>（</w:t>
      </w:r>
      <w:r>
        <w:rPr>
          <w:rFonts w:hint="eastAsia" w:ascii="宋体" w:hAnsi="宋体" w:eastAsia="宋体" w:cs="宋体"/>
          <w:b/>
          <w:bCs/>
          <w:color w:val="auto"/>
          <w:kern w:val="0"/>
          <w:sz w:val="21"/>
          <w:szCs w:val="21"/>
        </w:rPr>
        <w:t>格式以广联达软件格式为准）</w:t>
      </w:r>
    </w:p>
    <w:p w14:paraId="313B7A4A">
      <w:pPr>
        <w:spacing w:line="4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highlight w:val="none"/>
          <w:lang w:val="zh-CN"/>
        </w:rPr>
        <w:br w:type="page"/>
      </w:r>
    </w:p>
    <w:p w14:paraId="2867D5CC">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8"/>
          <w:szCs w:val="28"/>
          <w:highlight w:val="none"/>
          <w:lang w:val="en-US" w:eastAsia="zh-CN"/>
        </w:rPr>
      </w:pPr>
      <w:bookmarkStart w:id="554" w:name="_Toc65937618"/>
      <w:bookmarkStart w:id="555" w:name="_Toc46500226"/>
      <w:r>
        <w:rPr>
          <w:rFonts w:hint="eastAsia" w:ascii="宋体" w:hAnsi="宋体" w:eastAsia="宋体" w:cs="宋体"/>
          <w:b/>
          <w:bCs/>
          <w:color w:val="auto"/>
          <w:sz w:val="28"/>
          <w:szCs w:val="28"/>
          <w:highlight w:val="none"/>
          <w:lang w:val="en-US" w:eastAsia="zh-CN"/>
        </w:rPr>
        <w:t>第四部分</w:t>
      </w:r>
      <w:bookmarkStart w:id="556" w:name="_Toc11411"/>
      <w:r>
        <w:rPr>
          <w:rFonts w:hint="eastAsia" w:ascii="宋体" w:hAnsi="宋体" w:eastAsia="宋体" w:cs="宋体"/>
          <w:b/>
          <w:bCs/>
          <w:color w:val="auto"/>
          <w:sz w:val="28"/>
          <w:szCs w:val="28"/>
          <w:highlight w:val="none"/>
          <w:lang w:val="en-US" w:eastAsia="zh-CN"/>
        </w:rPr>
        <w:t xml:space="preserve"> </w:t>
      </w:r>
      <w:bookmarkEnd w:id="554"/>
      <w:bookmarkEnd w:id="555"/>
      <w:bookmarkEnd w:id="556"/>
      <w:r>
        <w:rPr>
          <w:rFonts w:hint="eastAsia" w:ascii="宋体" w:hAnsi="宋体" w:eastAsia="宋体" w:cs="宋体"/>
          <w:b/>
          <w:bCs/>
          <w:color w:val="auto"/>
          <w:sz w:val="28"/>
          <w:szCs w:val="28"/>
          <w:highlight w:val="none"/>
          <w:lang w:val="en-US" w:eastAsia="zh-CN"/>
        </w:rPr>
        <w:t>技术/商务条款偏差表</w:t>
      </w:r>
    </w:p>
    <w:tbl>
      <w:tblPr>
        <w:tblStyle w:val="37"/>
        <w:tblW w:w="9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6"/>
        <w:gridCol w:w="3232"/>
        <w:gridCol w:w="3266"/>
        <w:gridCol w:w="1226"/>
        <w:gridCol w:w="1167"/>
      </w:tblGrid>
      <w:tr w14:paraId="7E876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84" w:hRule="atLeast"/>
          <w:jc w:val="center"/>
        </w:trPr>
        <w:tc>
          <w:tcPr>
            <w:tcW w:w="766" w:type="dxa"/>
            <w:tcBorders>
              <w:top w:val="single" w:color="auto" w:sz="4" w:space="0"/>
              <w:left w:val="single" w:color="auto" w:sz="4" w:space="0"/>
              <w:bottom w:val="single" w:color="auto" w:sz="4" w:space="0"/>
            </w:tcBorders>
            <w:noWrap w:val="0"/>
            <w:vAlign w:val="center"/>
          </w:tcPr>
          <w:p w14:paraId="17CD71B9">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32" w:type="dxa"/>
            <w:noWrap w:val="0"/>
            <w:vAlign w:val="center"/>
          </w:tcPr>
          <w:p w14:paraId="1BAC373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磋商文件条款明细</w:t>
            </w:r>
          </w:p>
        </w:tc>
        <w:tc>
          <w:tcPr>
            <w:tcW w:w="3266" w:type="dxa"/>
            <w:noWrap w:val="0"/>
            <w:vAlign w:val="center"/>
          </w:tcPr>
          <w:p w14:paraId="5F5FA8E5">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响应文件实际响应</w:t>
            </w:r>
          </w:p>
        </w:tc>
        <w:tc>
          <w:tcPr>
            <w:tcW w:w="1226" w:type="dxa"/>
            <w:noWrap w:val="0"/>
            <w:vAlign w:val="center"/>
          </w:tcPr>
          <w:p w14:paraId="5D2E3F32">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w:t>
            </w:r>
          </w:p>
          <w:p w14:paraId="57976C6B">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c>
          <w:tcPr>
            <w:tcW w:w="1167" w:type="dxa"/>
            <w:noWrap w:val="0"/>
            <w:vAlign w:val="center"/>
          </w:tcPr>
          <w:p w14:paraId="40971B8C">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6958F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7" w:hRule="atLeast"/>
          <w:jc w:val="center"/>
        </w:trPr>
        <w:tc>
          <w:tcPr>
            <w:tcW w:w="9657" w:type="dxa"/>
            <w:gridSpan w:val="5"/>
            <w:tcBorders>
              <w:top w:val="single" w:color="auto" w:sz="4" w:space="0"/>
              <w:left w:val="single" w:color="auto" w:sz="4" w:space="0"/>
              <w:bottom w:val="single" w:color="auto" w:sz="4" w:space="0"/>
            </w:tcBorders>
            <w:noWrap w:val="0"/>
            <w:vAlign w:val="center"/>
          </w:tcPr>
          <w:p w14:paraId="4B27ABA6">
            <w:pPr>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rPr>
              <w:t>要求偏差</w:t>
            </w:r>
          </w:p>
        </w:tc>
      </w:tr>
      <w:tr w14:paraId="003D7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2" w:hRule="atLeast"/>
          <w:jc w:val="center"/>
        </w:trPr>
        <w:tc>
          <w:tcPr>
            <w:tcW w:w="766" w:type="dxa"/>
            <w:tcBorders>
              <w:top w:val="single" w:color="auto" w:sz="4" w:space="0"/>
              <w:left w:val="single" w:color="auto" w:sz="4" w:space="0"/>
              <w:bottom w:val="single" w:color="auto" w:sz="4" w:space="0"/>
            </w:tcBorders>
            <w:noWrap w:val="0"/>
            <w:vAlign w:val="center"/>
          </w:tcPr>
          <w:p w14:paraId="67ED61F8">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32" w:type="dxa"/>
            <w:noWrap w:val="0"/>
            <w:vAlign w:val="top"/>
          </w:tcPr>
          <w:p w14:paraId="2458FD17">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66" w:type="dxa"/>
            <w:noWrap w:val="0"/>
            <w:vAlign w:val="top"/>
          </w:tcPr>
          <w:p w14:paraId="26DDE813">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226" w:type="dxa"/>
            <w:noWrap w:val="0"/>
            <w:vAlign w:val="top"/>
          </w:tcPr>
          <w:p w14:paraId="1920B3B3">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167" w:type="dxa"/>
            <w:noWrap w:val="0"/>
            <w:vAlign w:val="top"/>
          </w:tcPr>
          <w:p w14:paraId="50598E2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r>
      <w:tr w14:paraId="37F77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7" w:hRule="atLeast"/>
          <w:jc w:val="center"/>
        </w:trPr>
        <w:tc>
          <w:tcPr>
            <w:tcW w:w="766" w:type="dxa"/>
            <w:tcBorders>
              <w:top w:val="single" w:color="auto" w:sz="4" w:space="0"/>
              <w:left w:val="single" w:color="auto" w:sz="4" w:space="0"/>
              <w:bottom w:val="single" w:color="auto" w:sz="4" w:space="0"/>
            </w:tcBorders>
            <w:noWrap w:val="0"/>
            <w:vAlign w:val="center"/>
          </w:tcPr>
          <w:p w14:paraId="0AD5843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32" w:type="dxa"/>
            <w:noWrap w:val="0"/>
            <w:vAlign w:val="top"/>
          </w:tcPr>
          <w:p w14:paraId="233000B0">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66" w:type="dxa"/>
            <w:noWrap w:val="0"/>
            <w:vAlign w:val="top"/>
          </w:tcPr>
          <w:p w14:paraId="1FD7790E">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226" w:type="dxa"/>
            <w:noWrap w:val="0"/>
            <w:vAlign w:val="top"/>
          </w:tcPr>
          <w:p w14:paraId="230B92AB">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167" w:type="dxa"/>
            <w:noWrap w:val="0"/>
            <w:vAlign w:val="top"/>
          </w:tcPr>
          <w:p w14:paraId="4C93CAC2">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r>
      <w:tr w14:paraId="23416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7" w:hRule="atLeast"/>
          <w:jc w:val="center"/>
        </w:trPr>
        <w:tc>
          <w:tcPr>
            <w:tcW w:w="9657" w:type="dxa"/>
            <w:gridSpan w:val="5"/>
            <w:tcBorders>
              <w:top w:val="single" w:color="auto" w:sz="4" w:space="0"/>
              <w:left w:val="single" w:color="auto" w:sz="4" w:space="0"/>
              <w:bottom w:val="single" w:color="auto" w:sz="4" w:space="0"/>
            </w:tcBorders>
            <w:noWrap w:val="0"/>
            <w:vAlign w:val="center"/>
          </w:tcPr>
          <w:p w14:paraId="087BC7E9">
            <w:pPr>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、商务要求偏差</w:t>
            </w:r>
          </w:p>
        </w:tc>
      </w:tr>
      <w:tr w14:paraId="10A54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7" w:hRule="atLeast"/>
          <w:jc w:val="center"/>
        </w:trPr>
        <w:tc>
          <w:tcPr>
            <w:tcW w:w="766" w:type="dxa"/>
            <w:tcBorders>
              <w:top w:val="single" w:color="auto" w:sz="4" w:space="0"/>
              <w:left w:val="single" w:color="auto" w:sz="4" w:space="0"/>
              <w:bottom w:val="single" w:color="auto" w:sz="4" w:space="0"/>
            </w:tcBorders>
            <w:noWrap w:val="0"/>
            <w:vAlign w:val="center"/>
          </w:tcPr>
          <w:p w14:paraId="2E1E7F37">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32" w:type="dxa"/>
            <w:noWrap w:val="0"/>
            <w:vAlign w:val="top"/>
          </w:tcPr>
          <w:p w14:paraId="6CCCACBE">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66" w:type="dxa"/>
            <w:noWrap w:val="0"/>
            <w:vAlign w:val="top"/>
          </w:tcPr>
          <w:p w14:paraId="0EDADEAC">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226" w:type="dxa"/>
            <w:noWrap w:val="0"/>
            <w:vAlign w:val="top"/>
          </w:tcPr>
          <w:p w14:paraId="5C4C6086">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167" w:type="dxa"/>
            <w:noWrap w:val="0"/>
            <w:vAlign w:val="top"/>
          </w:tcPr>
          <w:p w14:paraId="2F2D4DB4">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r>
      <w:tr w14:paraId="3E079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61" w:hRule="atLeast"/>
          <w:jc w:val="center"/>
        </w:trPr>
        <w:tc>
          <w:tcPr>
            <w:tcW w:w="766" w:type="dxa"/>
            <w:tcBorders>
              <w:top w:val="single" w:color="auto" w:sz="4" w:space="0"/>
              <w:left w:val="single" w:color="auto" w:sz="4" w:space="0"/>
              <w:bottom w:val="single" w:color="auto" w:sz="4" w:space="0"/>
            </w:tcBorders>
            <w:noWrap w:val="0"/>
            <w:vAlign w:val="center"/>
          </w:tcPr>
          <w:p w14:paraId="64C2427C">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32" w:type="dxa"/>
            <w:noWrap w:val="0"/>
            <w:vAlign w:val="top"/>
          </w:tcPr>
          <w:p w14:paraId="4CA41F9B">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3266" w:type="dxa"/>
            <w:noWrap w:val="0"/>
            <w:vAlign w:val="top"/>
          </w:tcPr>
          <w:p w14:paraId="30035580">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226" w:type="dxa"/>
            <w:noWrap w:val="0"/>
            <w:vAlign w:val="top"/>
          </w:tcPr>
          <w:p w14:paraId="33412D06">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c>
          <w:tcPr>
            <w:tcW w:w="1167" w:type="dxa"/>
            <w:noWrap w:val="0"/>
            <w:vAlign w:val="top"/>
          </w:tcPr>
          <w:p w14:paraId="3B3DA1C1">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rPr>
            </w:pPr>
          </w:p>
        </w:tc>
      </w:tr>
      <w:tr w14:paraId="473D0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575" w:hRule="atLeast"/>
          <w:jc w:val="center"/>
        </w:trPr>
        <w:tc>
          <w:tcPr>
            <w:tcW w:w="766" w:type="dxa"/>
            <w:tcBorders>
              <w:top w:val="single" w:color="auto" w:sz="4" w:space="0"/>
              <w:left w:val="single" w:color="auto" w:sz="4" w:space="0"/>
              <w:bottom w:val="single" w:color="auto" w:sz="4" w:space="0"/>
            </w:tcBorders>
            <w:noWrap w:val="0"/>
            <w:vAlign w:val="center"/>
          </w:tcPr>
          <w:p w14:paraId="3DDD2D7D">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c>
          <w:tcPr>
            <w:tcW w:w="8891" w:type="dxa"/>
            <w:gridSpan w:val="4"/>
            <w:tcBorders>
              <w:top w:val="single" w:color="auto" w:sz="4" w:space="0"/>
              <w:left w:val="single" w:color="auto" w:sz="4" w:space="0"/>
              <w:bottom w:val="single" w:color="auto" w:sz="4" w:space="0"/>
            </w:tcBorders>
            <w:noWrap w:val="0"/>
            <w:vAlign w:val="center"/>
          </w:tcPr>
          <w:p w14:paraId="71D654D3">
            <w:pPr>
              <w:keepNext w:val="0"/>
              <w:keepLines w:val="0"/>
              <w:pageBreakBefore w:val="0"/>
              <w:widowControl w:val="0"/>
              <w:kinsoku/>
              <w:wordWrap/>
              <w:overflowPunct/>
              <w:topLinePunct w:val="0"/>
              <w:bidi w:val="0"/>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1、对“第五章施工内容及技术要求、第七章合同协议书”中的技术要求/</w:t>
            </w:r>
            <w:r>
              <w:rPr>
                <w:rFonts w:hint="eastAsia" w:ascii="宋体" w:hAnsi="宋体" w:eastAsia="宋体" w:cs="宋体"/>
                <w:color w:val="auto"/>
                <w:sz w:val="21"/>
                <w:szCs w:val="21"/>
                <w:highlight w:val="none"/>
              </w:rPr>
              <w:t>商务要求</w:t>
            </w:r>
            <w:r>
              <w:rPr>
                <w:rFonts w:hint="eastAsia" w:ascii="宋体" w:hAnsi="宋体" w:cs="宋体"/>
                <w:color w:val="auto"/>
                <w:sz w:val="21"/>
                <w:szCs w:val="21"/>
                <w:highlight w:val="none"/>
                <w:lang w:val="en-US" w:eastAsia="zh-CN"/>
              </w:rPr>
              <w:t>进行响应。</w:t>
            </w:r>
          </w:p>
          <w:p w14:paraId="69F26D1A">
            <w:pPr>
              <w:keepNext w:val="0"/>
              <w:keepLines w:val="0"/>
              <w:pageBreakBefore w:val="0"/>
              <w:widowControl w:val="0"/>
              <w:kinsoku/>
              <w:wordWrap/>
              <w:overflowPunct/>
              <w:topLinePunct w:val="0"/>
              <w:bidi w:val="0"/>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2、响应说明按实际响应情况填写“优于”、“响应”、“不响应”。当且仅当某项条款响应说明为“响应”时，该项条款及其响应可省略不填，按表格下方声明处理。</w:t>
            </w:r>
          </w:p>
          <w:p w14:paraId="2248BBA4">
            <w:pPr>
              <w:keepNext w:val="0"/>
              <w:keepLines w:val="0"/>
              <w:pageBreakBefore w:val="0"/>
              <w:widowControl w:val="0"/>
              <w:kinsoku/>
              <w:wordWrap/>
              <w:overflowPunct/>
              <w:topLinePunct w:val="0"/>
              <w:bidi w:val="0"/>
              <w:spacing w:line="42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3、表格空间不足以容纳响应内容时可自行扩展，也可在单元格中注明引用位置，如“见响应文件第×页××位置”。</w:t>
            </w:r>
          </w:p>
        </w:tc>
      </w:tr>
    </w:tbl>
    <w:p w14:paraId="7AA53016">
      <w:pPr>
        <w:keepNext w:val="0"/>
        <w:keepLines w:val="0"/>
        <w:pageBreakBefore w:val="0"/>
        <w:widowControl w:val="0"/>
        <w:kinsoku/>
        <w:wordWrap/>
        <w:overflowPunct/>
        <w:topLinePunct w:val="0"/>
        <w:autoSpaceDE w:val="0"/>
        <w:autoSpaceDN w:val="0"/>
        <w:bidi w:val="0"/>
        <w:adjustRightInd w:val="0"/>
        <w:snapToGrid w:val="0"/>
        <w:spacing w:line="420" w:lineRule="exact"/>
        <w:ind w:firstLine="210" w:firstLineChars="1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声明：除本偏差表所列的各项条款外，响应文件均完全响应磋商文件中的要求。</w:t>
      </w:r>
    </w:p>
    <w:p w14:paraId="634A424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1"/>
          <w:szCs w:val="21"/>
          <w:lang w:val="zh-CN"/>
        </w:rPr>
      </w:pPr>
    </w:p>
    <w:p w14:paraId="7463F5F8">
      <w:pPr>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zh-CN"/>
        </w:rPr>
        <w:t>供应商名称（单位公章）：</w:t>
      </w:r>
    </w:p>
    <w:p w14:paraId="61388203">
      <w:pPr>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color w:val="auto"/>
          <w:sz w:val="21"/>
          <w:szCs w:val="21"/>
          <w:lang w:val="zh-CN"/>
        </w:rPr>
        <w:t>（签名或盖章）：</w:t>
      </w:r>
    </w:p>
    <w:p w14:paraId="3805B531">
      <w:pPr>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ascii="宋体" w:hAnsi="宋体" w:eastAsia="宋体" w:cs="宋体"/>
          <w:color w:val="auto"/>
          <w:sz w:val="24"/>
          <w:szCs w:val="24"/>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r>
        <w:rPr>
          <w:rFonts w:hint="eastAsia" w:ascii="宋体" w:hAnsi="宋体" w:eastAsia="宋体" w:cs="宋体"/>
          <w:color w:val="auto"/>
          <w:sz w:val="21"/>
          <w:szCs w:val="21"/>
          <w:lang w:val="zh-CN"/>
        </w:rPr>
        <w:t>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期：</w:t>
      </w:r>
    </w:p>
    <w:p w14:paraId="6845F879">
      <w:pPr>
        <w:pStyle w:val="2"/>
        <w:keepLines w:val="0"/>
        <w:pageBreakBefore w:val="0"/>
        <w:kinsoku/>
        <w:bidi w:val="0"/>
        <w:spacing w:line="360" w:lineRule="auto"/>
        <w:rPr>
          <w:rFonts w:hint="eastAsia" w:ascii="宋体" w:hAnsi="宋体" w:eastAsia="宋体" w:cs="宋体"/>
          <w:b/>
          <w:bCs/>
          <w:color w:val="auto"/>
          <w:sz w:val="32"/>
          <w:szCs w:val="32"/>
          <w:highlight w:val="none"/>
          <w:lang w:val="zh-CN"/>
        </w:rPr>
      </w:pPr>
      <w:bookmarkStart w:id="557" w:name="_Toc1142"/>
      <w:bookmarkStart w:id="558" w:name="_Toc22109"/>
      <w:r>
        <w:rPr>
          <w:rFonts w:hint="eastAsia" w:ascii="宋体" w:hAnsi="宋体" w:eastAsia="宋体" w:cs="宋体"/>
          <w:b/>
          <w:bCs/>
          <w:color w:val="auto"/>
          <w:sz w:val="28"/>
          <w:szCs w:val="28"/>
          <w:highlight w:val="none"/>
          <w:lang w:val="zh-CN"/>
        </w:rPr>
        <w:t>第</w:t>
      </w: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zh-CN"/>
        </w:rPr>
        <w:t>部分</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磋商方案说明</w:t>
      </w:r>
      <w:bookmarkEnd w:id="557"/>
      <w:bookmarkEnd w:id="558"/>
    </w:p>
    <w:p w14:paraId="37A6FE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内容不限于此，供应商可补充：</w:t>
      </w:r>
    </w:p>
    <w:p w14:paraId="7F4B8D1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确保工程质量的技术组织措施</w:t>
      </w:r>
    </w:p>
    <w:p w14:paraId="0AB4C82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施工方案及应急预案</w:t>
      </w:r>
    </w:p>
    <w:p w14:paraId="3E466B4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确保安全生产的技术组织措施</w:t>
      </w:r>
    </w:p>
    <w:p w14:paraId="295BE0E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确保文明施工、环保施工、防尘降噪等技术保证措施</w:t>
      </w:r>
    </w:p>
    <w:p w14:paraId="3087F72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项目部组成人员</w:t>
      </w:r>
    </w:p>
    <w:p w14:paraId="5C71D17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确保工期的技术组织措施</w:t>
      </w:r>
    </w:p>
    <w:p w14:paraId="30F9FB6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施工设备和材料投入计划</w:t>
      </w:r>
    </w:p>
    <w:p w14:paraId="337822C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新技术、新产品、新工艺、新材料应用</w:t>
      </w:r>
    </w:p>
    <w:p w14:paraId="61039BB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保修</w:t>
      </w:r>
      <w:r>
        <w:rPr>
          <w:rFonts w:hint="eastAsia" w:ascii="宋体" w:hAnsi="宋体" w:eastAsia="宋体" w:cs="宋体"/>
          <w:color w:val="auto"/>
          <w:sz w:val="21"/>
          <w:szCs w:val="21"/>
          <w:highlight w:val="none"/>
          <w:lang w:val="zh-CN" w:eastAsia="zh-CN"/>
        </w:rPr>
        <w:t>服务措施</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zh-CN" w:eastAsia="zh-CN"/>
        </w:rPr>
        <w:t>承诺</w:t>
      </w:r>
    </w:p>
    <w:p w14:paraId="322F312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合理化建议</w:t>
      </w:r>
    </w:p>
    <w:p w14:paraId="20CDCA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color w:val="auto"/>
          <w:sz w:val="21"/>
          <w:szCs w:val="21"/>
          <w:highlight w:val="none"/>
        </w:rPr>
      </w:pPr>
    </w:p>
    <w:p w14:paraId="1ABEE9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注意：磋商方案是磋商小组对磋商响应文件进行评分的重要依据，请结合本项目竞争性磋商文件中关于采购项目要求及磋商办法进行认真编制。</w:t>
      </w:r>
    </w:p>
    <w:p w14:paraId="35D9AD02">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67660696">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78FD33C8">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39E5C86B">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36E3DAE4">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7DE38D6C">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748983FB">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40460D56">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61CD6DCC">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751026E1">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450E1F1C">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181BD81F">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6AEC4B09">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41105DB2">
      <w:pPr>
        <w:pStyle w:val="48"/>
        <w:keepLines w:val="0"/>
        <w:pageBreakBefore w:val="0"/>
        <w:kinsoku/>
        <w:bidi w:val="0"/>
        <w:spacing w:line="360" w:lineRule="auto"/>
        <w:rPr>
          <w:rFonts w:hint="eastAsia" w:ascii="宋体" w:hAnsi="宋体" w:eastAsia="宋体" w:cs="宋体"/>
          <w:b/>
          <w:bCs/>
          <w:color w:val="auto"/>
          <w:sz w:val="28"/>
          <w:szCs w:val="28"/>
          <w:highlight w:val="none"/>
          <w:lang w:val="zh-CN"/>
        </w:rPr>
      </w:pPr>
    </w:p>
    <w:p w14:paraId="299142F7">
      <w:pPr>
        <w:pStyle w:val="137"/>
        <w:keepLines w:val="0"/>
        <w:pageBreakBefore w:val="0"/>
        <w:kinsoku/>
        <w:wordWrap/>
        <w:overflowPunct/>
        <w:topLinePunct w:val="0"/>
        <w:bidi w:val="0"/>
        <w:spacing w:before="0" w:after="0"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附件1：</w:t>
      </w:r>
    </w:p>
    <w:p w14:paraId="5C6D8163">
      <w:pPr>
        <w:pStyle w:val="3"/>
        <w:spacing w:line="5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近三年完成的类似项目表</w:t>
      </w:r>
    </w:p>
    <w:tbl>
      <w:tblPr>
        <w:tblStyle w:val="37"/>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6182"/>
      </w:tblGrid>
      <w:tr w14:paraId="7345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207EAE16">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182" w:type="dxa"/>
            <w:vAlign w:val="center"/>
          </w:tcPr>
          <w:p w14:paraId="388C99D0">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540F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53D1F838">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项目所在地</w:t>
            </w:r>
          </w:p>
        </w:tc>
        <w:tc>
          <w:tcPr>
            <w:tcW w:w="6182" w:type="dxa"/>
            <w:vAlign w:val="center"/>
          </w:tcPr>
          <w:p w14:paraId="5D21A293">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5B0D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79053401">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发包人名称</w:t>
            </w:r>
          </w:p>
        </w:tc>
        <w:tc>
          <w:tcPr>
            <w:tcW w:w="6182" w:type="dxa"/>
            <w:vAlign w:val="center"/>
          </w:tcPr>
          <w:p w14:paraId="61F5BD69">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24F0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038E16D7">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发包人地址</w:t>
            </w:r>
          </w:p>
        </w:tc>
        <w:tc>
          <w:tcPr>
            <w:tcW w:w="6182" w:type="dxa"/>
            <w:vAlign w:val="center"/>
          </w:tcPr>
          <w:p w14:paraId="0B9EFA06">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1102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068A2AA6">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发包人联系人及电话</w:t>
            </w:r>
          </w:p>
        </w:tc>
        <w:tc>
          <w:tcPr>
            <w:tcW w:w="6182" w:type="dxa"/>
            <w:vAlign w:val="center"/>
          </w:tcPr>
          <w:p w14:paraId="1F9A29C1">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264E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6F85B6C6">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合同价格</w:t>
            </w:r>
          </w:p>
        </w:tc>
        <w:tc>
          <w:tcPr>
            <w:tcW w:w="6182" w:type="dxa"/>
            <w:vAlign w:val="center"/>
          </w:tcPr>
          <w:p w14:paraId="5800F937">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3903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342C356D">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开工日期</w:t>
            </w:r>
          </w:p>
        </w:tc>
        <w:tc>
          <w:tcPr>
            <w:tcW w:w="6182" w:type="dxa"/>
            <w:vAlign w:val="center"/>
          </w:tcPr>
          <w:p w14:paraId="2CF947A9">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7ADE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7E050219">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竣工日期</w:t>
            </w:r>
          </w:p>
        </w:tc>
        <w:tc>
          <w:tcPr>
            <w:tcW w:w="6182" w:type="dxa"/>
            <w:vAlign w:val="center"/>
          </w:tcPr>
          <w:p w14:paraId="75ED5966">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32A5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68590211">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承担的工作</w:t>
            </w:r>
          </w:p>
        </w:tc>
        <w:tc>
          <w:tcPr>
            <w:tcW w:w="6182" w:type="dxa"/>
            <w:vAlign w:val="center"/>
          </w:tcPr>
          <w:p w14:paraId="5DCF955C">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45F5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5B54207E">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c>
          <w:tcPr>
            <w:tcW w:w="6182" w:type="dxa"/>
            <w:vAlign w:val="center"/>
          </w:tcPr>
          <w:p w14:paraId="779E7758">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544E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17138684">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182" w:type="dxa"/>
            <w:vAlign w:val="center"/>
          </w:tcPr>
          <w:p w14:paraId="5466D22E">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21F1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66ACF6FF">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6182" w:type="dxa"/>
            <w:vAlign w:val="center"/>
          </w:tcPr>
          <w:p w14:paraId="14A64013">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268A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72" w:type="dxa"/>
            <w:vAlign w:val="center"/>
          </w:tcPr>
          <w:p w14:paraId="74879BDE">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总监理工程师及电话</w:t>
            </w:r>
          </w:p>
        </w:tc>
        <w:tc>
          <w:tcPr>
            <w:tcW w:w="6182" w:type="dxa"/>
            <w:vAlign w:val="center"/>
          </w:tcPr>
          <w:p w14:paraId="6131839A">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2511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2672" w:type="dxa"/>
            <w:vAlign w:val="center"/>
          </w:tcPr>
          <w:p w14:paraId="7A365ED0">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项目描述</w:t>
            </w:r>
          </w:p>
        </w:tc>
        <w:tc>
          <w:tcPr>
            <w:tcW w:w="6182" w:type="dxa"/>
            <w:vAlign w:val="center"/>
          </w:tcPr>
          <w:p w14:paraId="2EC53B07">
            <w:pPr>
              <w:keepLines w:val="0"/>
              <w:pageBreakBefore w:val="0"/>
              <w:kinsoku/>
              <w:bidi w:val="0"/>
              <w:spacing w:line="360" w:lineRule="auto"/>
              <w:jc w:val="center"/>
              <w:rPr>
                <w:rFonts w:hint="eastAsia" w:ascii="宋体" w:hAnsi="宋体" w:eastAsia="宋体" w:cs="宋体"/>
                <w:color w:val="auto"/>
                <w:sz w:val="21"/>
                <w:szCs w:val="21"/>
                <w:highlight w:val="none"/>
              </w:rPr>
            </w:pPr>
          </w:p>
        </w:tc>
      </w:tr>
      <w:tr w14:paraId="5853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672" w:type="dxa"/>
            <w:vAlign w:val="center"/>
          </w:tcPr>
          <w:p w14:paraId="22CA27A0">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182" w:type="dxa"/>
            <w:vAlign w:val="center"/>
          </w:tcPr>
          <w:p w14:paraId="0B0083A3">
            <w:pPr>
              <w:keepLines w:val="0"/>
              <w:pageBreakBefore w:val="0"/>
              <w:kinsoku/>
              <w:bidi w:val="0"/>
              <w:spacing w:line="360" w:lineRule="auto"/>
              <w:jc w:val="center"/>
              <w:rPr>
                <w:rFonts w:hint="eastAsia" w:ascii="宋体" w:hAnsi="宋体" w:eastAsia="宋体" w:cs="宋体"/>
                <w:color w:val="auto"/>
                <w:sz w:val="21"/>
                <w:szCs w:val="21"/>
                <w:highlight w:val="none"/>
              </w:rPr>
            </w:pPr>
          </w:p>
        </w:tc>
      </w:tr>
    </w:tbl>
    <w:p w14:paraId="3439763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注：供应商按以上表格填写相关信息，响应性文件中</w:t>
      </w:r>
      <w:r>
        <w:rPr>
          <w:rFonts w:hint="eastAsia" w:ascii="宋体" w:hAnsi="宋体" w:eastAsia="宋体" w:cs="宋体"/>
          <w:color w:val="auto"/>
          <w:sz w:val="21"/>
          <w:szCs w:val="21"/>
          <w:highlight w:val="none"/>
          <w:lang w:val="en-US" w:eastAsia="zh-CN"/>
        </w:rPr>
        <w:t>附</w:t>
      </w:r>
      <w:r>
        <w:rPr>
          <w:rFonts w:hint="eastAsia" w:ascii="宋体" w:hAnsi="宋体" w:eastAsia="宋体" w:cs="宋体"/>
          <w:color w:val="auto"/>
          <w:sz w:val="21"/>
          <w:szCs w:val="21"/>
          <w:highlight w:val="none"/>
        </w:rPr>
        <w:t>合同协议书等相关证明材料</w:t>
      </w:r>
      <w:r>
        <w:rPr>
          <w:rFonts w:hint="eastAsia" w:ascii="宋体" w:hAnsi="宋体" w:eastAsia="宋体" w:cs="宋体"/>
          <w:color w:val="auto"/>
          <w:sz w:val="21"/>
          <w:szCs w:val="21"/>
          <w:highlight w:val="none"/>
          <w:lang w:eastAsia="zh-CN"/>
        </w:rPr>
        <w:t>；每个项目标注序号，已合同签订日期为准。</w:t>
      </w:r>
    </w:p>
    <w:p w14:paraId="2452962E">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1"/>
          <w:szCs w:val="21"/>
          <w:highlight w:val="none"/>
        </w:rPr>
      </w:pPr>
    </w:p>
    <w:p w14:paraId="78290F11">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供应商名称：（盖章）</w:t>
      </w:r>
    </w:p>
    <w:p w14:paraId="4B7B3A86">
      <w:pPr>
        <w:pStyle w:val="48"/>
        <w:keepLines w:val="0"/>
        <w:pageBreakBefore w:val="0"/>
        <w:kinsoku/>
        <w:bidi w:val="0"/>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法定代表人或其授权代表（签名或盖章）</w:t>
      </w:r>
      <w:r>
        <w:rPr>
          <w:rFonts w:hint="eastAsia" w:ascii="宋体" w:hAnsi="宋体" w:eastAsia="宋体" w:cs="宋体"/>
          <w:bCs/>
          <w:color w:val="auto"/>
          <w:sz w:val="21"/>
          <w:szCs w:val="21"/>
          <w:highlight w:val="none"/>
        </w:rPr>
        <w:t>：</w:t>
      </w:r>
    </w:p>
    <w:p w14:paraId="4628D917">
      <w:pPr>
        <w:pStyle w:val="48"/>
        <w:keepLines w:val="0"/>
        <w:pageBreakBefore w:val="0"/>
        <w:kinsoku/>
        <w:bidi w:val="0"/>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期:</w:t>
      </w:r>
    </w:p>
    <w:p w14:paraId="5D6D35E2">
      <w:pPr>
        <w:pStyle w:val="48"/>
        <w:keepLines w:val="0"/>
        <w:pageBreakBefore w:val="0"/>
        <w:kinsoku/>
        <w:bidi w:val="0"/>
        <w:spacing w:line="360" w:lineRule="auto"/>
        <w:rPr>
          <w:rFonts w:hint="eastAsia" w:ascii="宋体" w:hAnsi="宋体" w:eastAsia="宋体" w:cs="宋体"/>
          <w:bCs/>
          <w:color w:val="auto"/>
          <w:sz w:val="21"/>
          <w:szCs w:val="21"/>
          <w:highlight w:val="none"/>
        </w:rPr>
      </w:pPr>
    </w:p>
    <w:p w14:paraId="11CB8C5A">
      <w:pPr>
        <w:pStyle w:val="2"/>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bookmarkStart w:id="559" w:name="_Toc4690"/>
      <w:bookmarkStart w:id="560" w:name="_Toc12640"/>
      <w:r>
        <w:rPr>
          <w:rFonts w:hint="eastAsia" w:ascii="宋体" w:hAnsi="宋体" w:eastAsia="宋体" w:cs="宋体"/>
          <w:b/>
          <w:bCs/>
          <w:color w:val="auto"/>
          <w:sz w:val="28"/>
          <w:szCs w:val="28"/>
          <w:highlight w:val="none"/>
          <w:lang w:val="zh-CN"/>
        </w:rPr>
        <w:t>第</w:t>
      </w: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lang w:val="zh-CN"/>
        </w:rPr>
        <w:t>部分</w:t>
      </w:r>
      <w:r>
        <w:rPr>
          <w:rFonts w:hint="eastAsia" w:ascii="宋体" w:hAnsi="宋体" w:eastAsia="宋体" w:cs="宋体"/>
          <w:b/>
          <w:bCs/>
          <w:color w:val="auto"/>
          <w:sz w:val="28"/>
          <w:szCs w:val="28"/>
          <w:highlight w:val="none"/>
          <w:lang w:val="en-US" w:eastAsia="zh-CN"/>
        </w:rPr>
        <w:t xml:space="preserve"> 供应商承诺书</w:t>
      </w:r>
      <w:bookmarkEnd w:id="559"/>
      <w:bookmarkEnd w:id="560"/>
    </w:p>
    <w:p w14:paraId="22710001">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政府采购供应商拒绝政府采购</w:t>
      </w:r>
      <w:bookmarkStart w:id="561" w:name="_Toc438541326"/>
      <w:bookmarkStart w:id="562" w:name="_Toc28167"/>
      <w:bookmarkStart w:id="563" w:name="_Toc437247481"/>
      <w:bookmarkStart w:id="564" w:name="_Toc437425973"/>
      <w:bookmarkStart w:id="565" w:name="_Toc435777821"/>
      <w:r>
        <w:rPr>
          <w:rFonts w:hint="eastAsia" w:ascii="宋体" w:hAnsi="宋体" w:eastAsia="宋体" w:cs="宋体"/>
          <w:b/>
          <w:bCs/>
          <w:color w:val="auto"/>
          <w:sz w:val="24"/>
          <w:szCs w:val="24"/>
          <w:highlight w:val="none"/>
          <w:lang w:val="zh-CN"/>
        </w:rPr>
        <w:t>领域</w:t>
      </w:r>
      <w:bookmarkStart w:id="566" w:name="_Toc435776434"/>
      <w:bookmarkStart w:id="567" w:name="_Toc435777721"/>
      <w:r>
        <w:rPr>
          <w:rFonts w:hint="eastAsia" w:ascii="宋体" w:hAnsi="宋体" w:eastAsia="宋体" w:cs="宋体"/>
          <w:b/>
          <w:bCs/>
          <w:color w:val="auto"/>
          <w:sz w:val="24"/>
          <w:szCs w:val="24"/>
          <w:highlight w:val="none"/>
          <w:lang w:val="zh-CN"/>
        </w:rPr>
        <w:t>商业</w:t>
      </w:r>
      <w:bookmarkEnd w:id="561"/>
      <w:bookmarkEnd w:id="562"/>
      <w:bookmarkEnd w:id="563"/>
      <w:bookmarkEnd w:id="564"/>
      <w:bookmarkEnd w:id="565"/>
      <w:bookmarkEnd w:id="566"/>
      <w:bookmarkEnd w:id="567"/>
      <w:r>
        <w:rPr>
          <w:rFonts w:hint="eastAsia" w:ascii="宋体" w:hAnsi="宋体" w:eastAsia="宋体" w:cs="宋体"/>
          <w:b/>
          <w:bCs/>
          <w:color w:val="auto"/>
          <w:sz w:val="24"/>
          <w:szCs w:val="24"/>
          <w:highlight w:val="none"/>
          <w:lang w:val="zh-CN"/>
        </w:rPr>
        <w:t>贿赂承诺书</w:t>
      </w:r>
    </w:p>
    <w:p w14:paraId="05B77726">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为响应党中央、国务院关于治理政府采购领域商业贿赂行为的号召，我单位在此庄严承诺：</w:t>
      </w:r>
    </w:p>
    <w:p w14:paraId="2D4BF53F">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在参与政府采购活动中遵纪守法、诚信经营、公平竞标。</w:t>
      </w:r>
    </w:p>
    <w:p w14:paraId="35A99CC6">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不向采购人、采购代理机构和政府采购评审专家进行任何形式的商业贿赂以谋取交易机会。</w:t>
      </w:r>
    </w:p>
    <w:p w14:paraId="23464620">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不向采购代理机构和采购人提供虚假资质文件或采用虚假应标方式参与政府采购市场竞争并谋取</w:t>
      </w:r>
      <w:r>
        <w:rPr>
          <w:rFonts w:hint="eastAsia" w:ascii="宋体" w:hAnsi="宋体" w:eastAsia="宋体" w:cs="宋体"/>
          <w:color w:val="auto"/>
          <w:kern w:val="0"/>
          <w:sz w:val="21"/>
          <w:szCs w:val="21"/>
          <w:highlight w:val="none"/>
          <w:lang w:val="en-US" w:eastAsia="zh-CN"/>
        </w:rPr>
        <w:t>中标</w:t>
      </w:r>
      <w:r>
        <w:rPr>
          <w:rFonts w:hint="eastAsia" w:ascii="宋体" w:hAnsi="宋体" w:eastAsia="宋体" w:cs="宋体"/>
          <w:color w:val="auto"/>
          <w:kern w:val="0"/>
          <w:sz w:val="21"/>
          <w:szCs w:val="21"/>
          <w:highlight w:val="none"/>
        </w:rPr>
        <w:t>、成交。</w:t>
      </w:r>
    </w:p>
    <w:p w14:paraId="0399CF8E">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不采取“围标、陪标”等商业欺诈手段获得政府采购</w:t>
      </w:r>
      <w:r>
        <w:rPr>
          <w:rFonts w:hint="eastAsia" w:ascii="宋体" w:hAnsi="宋体" w:eastAsia="宋体" w:cs="宋体"/>
          <w:color w:val="auto"/>
          <w:kern w:val="0"/>
          <w:sz w:val="21"/>
          <w:szCs w:val="21"/>
          <w:highlight w:val="none"/>
          <w:lang w:val="en-US" w:eastAsia="zh-CN"/>
        </w:rPr>
        <w:t>订</w:t>
      </w:r>
      <w:r>
        <w:rPr>
          <w:rFonts w:hint="eastAsia" w:ascii="宋体" w:hAnsi="宋体" w:eastAsia="宋体" w:cs="宋体"/>
          <w:color w:val="auto"/>
          <w:kern w:val="0"/>
          <w:sz w:val="21"/>
          <w:szCs w:val="21"/>
          <w:highlight w:val="none"/>
        </w:rPr>
        <w:t>单。</w:t>
      </w:r>
    </w:p>
    <w:p w14:paraId="2B9AB9A8">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不采取不正当手段</w:t>
      </w:r>
      <w:r>
        <w:rPr>
          <w:rFonts w:hint="eastAsia" w:ascii="宋体" w:hAnsi="宋体" w:eastAsia="宋体" w:cs="宋体"/>
          <w:color w:val="auto"/>
          <w:kern w:val="0"/>
          <w:sz w:val="21"/>
          <w:szCs w:val="21"/>
          <w:highlight w:val="none"/>
          <w:lang w:val="en-US" w:eastAsia="zh-CN"/>
        </w:rPr>
        <w:t>诋</w:t>
      </w:r>
      <w:r>
        <w:rPr>
          <w:rFonts w:hint="eastAsia" w:ascii="宋体" w:hAnsi="宋体" w:eastAsia="宋体" w:cs="宋体"/>
          <w:color w:val="auto"/>
          <w:kern w:val="0"/>
          <w:sz w:val="21"/>
          <w:szCs w:val="21"/>
          <w:highlight w:val="none"/>
        </w:rPr>
        <w:t>毁、排挤其他供应商。</w:t>
      </w:r>
    </w:p>
    <w:p w14:paraId="05826ACA">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不在提供商品和服务时“偷梁换柱、以次充好”损害采购人的合法权益。</w:t>
      </w:r>
    </w:p>
    <w:p w14:paraId="0BE64DC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不与采购人、采购代理机构、政府采购评审专家或其它供应商恶意串通，进行质疑和投诉，维护政府采购市场秩序。</w:t>
      </w:r>
    </w:p>
    <w:p w14:paraId="3C649BF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尊重和接受政府采购监督管理部门的监督和采购代理机构的招标要求，承担因违约行为给采购人造成的损失。</w:t>
      </w:r>
    </w:p>
    <w:p w14:paraId="155E6CE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不发生其他有悖于政府采购公开、公平、公正和诚信原则的行为。</w:t>
      </w:r>
    </w:p>
    <w:p w14:paraId="070EE1B6">
      <w:pPr>
        <w:pStyle w:val="115"/>
        <w:keepNext w:val="0"/>
        <w:keepLines w:val="0"/>
        <w:pageBreakBefore w:val="0"/>
        <w:kinsoku/>
        <w:wordWrap/>
        <w:overflowPunct/>
        <w:topLinePunct w:val="0"/>
        <w:bidi w:val="0"/>
        <w:snapToGrid/>
        <w:spacing w:line="360" w:lineRule="auto"/>
        <w:ind w:left="200" w:firstLine="0" w:firstLineChars="0"/>
        <w:textAlignment w:val="auto"/>
        <w:rPr>
          <w:rFonts w:hint="eastAsia" w:ascii="宋体" w:hAnsi="宋体" w:eastAsia="宋体" w:cs="宋体"/>
          <w:color w:val="auto"/>
          <w:sz w:val="21"/>
          <w:szCs w:val="21"/>
          <w:highlight w:val="none"/>
        </w:rPr>
      </w:pPr>
    </w:p>
    <w:p w14:paraId="22A8C5AE">
      <w:pPr>
        <w:keepNext w:val="0"/>
        <w:keepLines w:val="0"/>
        <w:pageBreakBefore w:val="0"/>
        <w:widowControl/>
        <w:tabs>
          <w:tab w:val="left" w:pos="2394"/>
        </w:tabs>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承诺单位：（公章）</w:t>
      </w:r>
    </w:p>
    <w:p w14:paraId="47EC3B6E">
      <w:pPr>
        <w:keepNext w:val="0"/>
        <w:keepLines w:val="0"/>
        <w:pageBreakBefore w:val="0"/>
        <w:widowControl/>
        <w:tabs>
          <w:tab w:val="left" w:pos="2394"/>
        </w:tabs>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color w:val="auto"/>
          <w:kern w:val="0"/>
          <w:sz w:val="21"/>
          <w:szCs w:val="21"/>
          <w:highlight w:val="none"/>
        </w:rPr>
        <w:t>：（签字或盖章）</w:t>
      </w:r>
    </w:p>
    <w:p w14:paraId="72FFA121">
      <w:pPr>
        <w:keepNext w:val="0"/>
        <w:keepLines w:val="0"/>
        <w:pageBreakBefore w:val="0"/>
        <w:widowControl/>
        <w:tabs>
          <w:tab w:val="left" w:pos="2394"/>
        </w:tabs>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地址：</w:t>
      </w:r>
    </w:p>
    <w:p w14:paraId="61614AD3">
      <w:pPr>
        <w:keepNext w:val="0"/>
        <w:keepLines w:val="0"/>
        <w:pageBreakBefore w:val="0"/>
        <w:widowControl/>
        <w:tabs>
          <w:tab w:val="left" w:pos="2394"/>
        </w:tabs>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邮编：</w:t>
      </w:r>
    </w:p>
    <w:p w14:paraId="613C5694">
      <w:pPr>
        <w:keepNext w:val="0"/>
        <w:keepLines w:val="0"/>
        <w:pageBreakBefore w:val="0"/>
        <w:tabs>
          <w:tab w:val="left" w:pos="5580"/>
        </w:tabs>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电话：</w:t>
      </w:r>
    </w:p>
    <w:p w14:paraId="292EDF1B">
      <w:pPr>
        <w:pStyle w:val="16"/>
        <w:keepNext w:val="0"/>
        <w:keepLines w:val="0"/>
        <w:pageBreakBefore w:val="0"/>
        <w:kinsoku/>
        <w:wordWrap/>
        <w:overflowPunct/>
        <w:topLinePunct w:val="0"/>
        <w:bidi w:val="0"/>
        <w:spacing w:line="360" w:lineRule="auto"/>
        <w:ind w:firstLine="42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日期：</w:t>
      </w:r>
    </w:p>
    <w:p w14:paraId="722F69C1">
      <w:pPr>
        <w:keepNext w:val="0"/>
        <w:keepLines w:val="0"/>
        <w:pageBreakBefore w:val="0"/>
        <w:kinsoku/>
        <w:wordWrap/>
        <w:overflowPunct/>
        <w:topLinePunct w:val="0"/>
        <w:bidi w:val="0"/>
        <w:spacing w:line="360" w:lineRule="auto"/>
        <w:ind w:firstLine="420"/>
        <w:textAlignment w:val="auto"/>
        <w:rPr>
          <w:rFonts w:hint="eastAsia" w:ascii="宋体" w:hAnsi="宋体" w:eastAsia="宋体" w:cs="宋体"/>
          <w:color w:val="auto"/>
          <w:highlight w:val="none"/>
          <w:lang w:val="en-US" w:eastAsia="zh-CN"/>
        </w:rPr>
      </w:pPr>
    </w:p>
    <w:p w14:paraId="1918CB7F">
      <w:pPr>
        <w:pStyle w:val="16"/>
        <w:keepNext w:val="0"/>
        <w:keepLines w:val="0"/>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p>
    <w:p w14:paraId="2DBEF76E">
      <w:pPr>
        <w:rPr>
          <w:rFonts w:hint="eastAsia" w:ascii="宋体" w:hAnsi="宋体" w:eastAsia="宋体" w:cs="宋体"/>
          <w:color w:val="auto"/>
          <w:highlight w:val="none"/>
          <w:lang w:val="en-US" w:eastAsia="zh-CN"/>
        </w:rPr>
      </w:pPr>
    </w:p>
    <w:p w14:paraId="29F63EC2">
      <w:pPr>
        <w:pStyle w:val="22"/>
        <w:rPr>
          <w:rFonts w:hint="eastAsia" w:ascii="宋体" w:hAnsi="宋体" w:eastAsia="宋体" w:cs="宋体"/>
          <w:color w:val="auto"/>
          <w:highlight w:val="none"/>
          <w:lang w:val="en-US" w:eastAsia="zh-CN"/>
        </w:rPr>
      </w:pPr>
    </w:p>
    <w:p w14:paraId="2388142F">
      <w:pPr>
        <w:pStyle w:val="22"/>
        <w:rPr>
          <w:rFonts w:hint="eastAsia" w:ascii="宋体" w:hAnsi="宋体" w:eastAsia="宋体" w:cs="宋体"/>
          <w:color w:val="auto"/>
          <w:highlight w:val="none"/>
          <w:lang w:val="en-US" w:eastAsia="zh-CN"/>
        </w:rPr>
      </w:pPr>
    </w:p>
    <w:p w14:paraId="10322942">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p>
    <w:p w14:paraId="1DAD786F">
      <w:pPr>
        <w:pStyle w:val="16"/>
        <w:keepNext w:val="0"/>
        <w:keepLines w:val="0"/>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p>
    <w:p w14:paraId="3F0EC089">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p>
    <w:p w14:paraId="4820B929">
      <w:pPr>
        <w:pStyle w:val="16"/>
        <w:keepLines w:val="0"/>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p>
    <w:p w14:paraId="34733B30">
      <w:pPr>
        <w:pStyle w:val="16"/>
        <w:keepNext w:val="0"/>
        <w:keepLines w:val="0"/>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p>
    <w:p w14:paraId="7DAAC9E8">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eastAsia="zh-CN"/>
        </w:rPr>
        <w:t>供应商书面声明</w:t>
      </w:r>
    </w:p>
    <w:p w14:paraId="3D2AEA0C">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21"/>
          <w:szCs w:val="21"/>
          <w:highlight w:val="none"/>
          <w:lang w:val="zh-CN"/>
        </w:rPr>
      </w:pPr>
    </w:p>
    <w:p w14:paraId="2318BC23">
      <w:pPr>
        <w:pStyle w:val="16"/>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eastAsia="zh-CN"/>
        </w:rPr>
        <w:t>泾阳县政府采购中心</w:t>
      </w:r>
      <w:r>
        <w:rPr>
          <w:rFonts w:hint="eastAsia" w:ascii="宋体" w:hAnsi="宋体" w:eastAsia="宋体" w:cs="宋体"/>
          <w:color w:val="auto"/>
          <w:sz w:val="21"/>
          <w:szCs w:val="21"/>
          <w:highlight w:val="none"/>
        </w:rPr>
        <w:t>：</w:t>
      </w:r>
    </w:p>
    <w:p w14:paraId="0095E0EC">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作为参加贵单位组织的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的供应商，本公司郑重承诺：</w:t>
      </w:r>
    </w:p>
    <w:p w14:paraId="30DE989C">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在参加本项目磋商之前不存在被依法禁止经营行为、财产被接管或冻结的情况，如有隐瞒实情，愿承担一切责任及后果。</w:t>
      </w:r>
    </w:p>
    <w:p w14:paraId="51DCBBB8">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近三年受到有关行政主管部门的行政处理、不良行为记录为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次（没有填零），如有隐瞒实情，愿承担一切责任及后果。</w:t>
      </w:r>
    </w:p>
    <w:p w14:paraId="4B892C40">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参加本次磋商提交的所有资质证明文件及业绩证明文件是真实的、有效的，如有隐瞒实情，愿承担一切责任及后果。</w:t>
      </w:r>
    </w:p>
    <w:p w14:paraId="48FE5048">
      <w:pPr>
        <w:keepNext w:val="0"/>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hint="eastAsia" w:ascii="宋体" w:hAnsi="宋体" w:eastAsia="宋体" w:cs="宋体"/>
          <w:b/>
          <w:color w:val="auto"/>
          <w:sz w:val="21"/>
          <w:szCs w:val="21"/>
          <w:highlight w:val="none"/>
        </w:rPr>
      </w:pPr>
    </w:p>
    <w:p w14:paraId="6B85B1B5">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 </w:t>
      </w:r>
    </w:p>
    <w:p w14:paraId="2ECBF4C9">
      <w:pPr>
        <w:keepNext w:val="0"/>
        <w:keepLines w:val="0"/>
        <w:pageBreakBefore w:val="0"/>
        <w:widowControl w:val="0"/>
        <w:kinsoku/>
        <w:wordWrap/>
        <w:overflowPunct/>
        <w:topLinePunct w:val="0"/>
        <w:bidi w:val="0"/>
        <w:adjustRightInd w:val="0"/>
        <w:snapToGrid w:val="0"/>
        <w:spacing w:line="360" w:lineRule="auto"/>
        <w:ind w:firstLine="315" w:firstLineChars="1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供应商（单位公章）：</w:t>
      </w:r>
      <w:r>
        <w:rPr>
          <w:rFonts w:hint="eastAsia" w:ascii="宋体" w:hAnsi="宋体" w:eastAsia="宋体" w:cs="宋体"/>
          <w:color w:val="auto"/>
          <w:sz w:val="21"/>
          <w:szCs w:val="21"/>
          <w:highlight w:val="none"/>
          <w:lang w:val="en-US" w:eastAsia="zh-CN"/>
        </w:rPr>
        <w:t xml:space="preserve">                                  </w:t>
      </w:r>
    </w:p>
    <w:p w14:paraId="0217E8D8">
      <w:pPr>
        <w:keepNext w:val="0"/>
        <w:keepLines w:val="0"/>
        <w:pageBreakBefore w:val="0"/>
        <w:widowControl w:val="0"/>
        <w:kinsoku/>
        <w:wordWrap/>
        <w:overflowPunct/>
        <w:topLinePunct w:val="0"/>
        <w:bidi w:val="0"/>
        <w:adjustRightInd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法定代表人或其授权代表（签字或盖章）：</w:t>
      </w:r>
    </w:p>
    <w:p w14:paraId="641D559D">
      <w:pPr>
        <w:keepNext w:val="0"/>
        <w:keepLines w:val="0"/>
        <w:pageBreakBefore w:val="0"/>
        <w:widowControl w:val="0"/>
        <w:kinsoku/>
        <w:wordWrap/>
        <w:overflowPunct/>
        <w:topLinePunct w:val="0"/>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none"/>
          <w:lang w:val="en-US" w:eastAsia="zh-CN"/>
        </w:rPr>
        <w:t>日</w:t>
      </w:r>
    </w:p>
    <w:p w14:paraId="761C67BF">
      <w:pPr>
        <w:pStyle w:val="16"/>
        <w:keepLines w:val="0"/>
        <w:pageBreakBefore w:val="0"/>
        <w:kinsoku/>
        <w:bidi w:val="0"/>
        <w:spacing w:line="360" w:lineRule="auto"/>
        <w:rPr>
          <w:rFonts w:hint="eastAsia" w:ascii="宋体" w:hAnsi="宋体" w:eastAsia="宋体" w:cs="宋体"/>
          <w:color w:val="auto"/>
          <w:sz w:val="24"/>
          <w:szCs w:val="24"/>
          <w:highlight w:val="none"/>
          <w:u w:val="single"/>
        </w:rPr>
      </w:pPr>
    </w:p>
    <w:p w14:paraId="723192D2">
      <w:pPr>
        <w:keepLines w:val="0"/>
        <w:pageBreakBefore w:val="0"/>
        <w:kinsoku/>
        <w:bidi w:val="0"/>
        <w:spacing w:line="360" w:lineRule="auto"/>
        <w:rPr>
          <w:rFonts w:hint="eastAsia" w:ascii="宋体" w:hAnsi="宋体" w:eastAsia="宋体" w:cs="宋体"/>
          <w:color w:val="auto"/>
          <w:sz w:val="24"/>
          <w:szCs w:val="24"/>
          <w:highlight w:val="none"/>
          <w:u w:val="single"/>
        </w:rPr>
      </w:pPr>
    </w:p>
    <w:p w14:paraId="499B3799">
      <w:pPr>
        <w:pStyle w:val="35"/>
        <w:rPr>
          <w:rFonts w:hint="eastAsia" w:ascii="宋体" w:hAnsi="宋体" w:eastAsia="宋体" w:cs="宋体"/>
          <w:color w:val="auto"/>
          <w:sz w:val="24"/>
          <w:szCs w:val="24"/>
          <w:highlight w:val="none"/>
          <w:u w:val="single"/>
        </w:rPr>
      </w:pPr>
    </w:p>
    <w:p w14:paraId="57F18E31">
      <w:pPr>
        <w:pStyle w:val="36"/>
        <w:rPr>
          <w:rFonts w:hint="eastAsia" w:ascii="宋体" w:hAnsi="宋体" w:eastAsia="宋体" w:cs="宋体"/>
          <w:color w:val="auto"/>
          <w:sz w:val="24"/>
          <w:szCs w:val="24"/>
          <w:highlight w:val="none"/>
          <w:u w:val="single"/>
        </w:rPr>
      </w:pPr>
    </w:p>
    <w:p w14:paraId="7FF0FC58">
      <w:pPr>
        <w:pStyle w:val="16"/>
        <w:rPr>
          <w:rFonts w:hint="eastAsia" w:ascii="宋体" w:hAnsi="宋体" w:eastAsia="宋体" w:cs="宋体"/>
          <w:color w:val="auto"/>
          <w:sz w:val="24"/>
          <w:szCs w:val="24"/>
          <w:highlight w:val="none"/>
          <w:u w:val="single"/>
        </w:rPr>
      </w:pPr>
    </w:p>
    <w:p w14:paraId="5C721E5D">
      <w:pPr>
        <w:rPr>
          <w:rFonts w:hint="eastAsia" w:ascii="宋体" w:hAnsi="宋体" w:eastAsia="宋体" w:cs="宋体"/>
          <w:color w:val="auto"/>
          <w:sz w:val="24"/>
          <w:szCs w:val="24"/>
          <w:highlight w:val="none"/>
          <w:u w:val="single"/>
        </w:rPr>
      </w:pPr>
    </w:p>
    <w:p w14:paraId="699303A1">
      <w:pPr>
        <w:pStyle w:val="35"/>
        <w:rPr>
          <w:rFonts w:hint="eastAsia" w:ascii="宋体" w:hAnsi="宋体" w:eastAsia="宋体" w:cs="宋体"/>
          <w:color w:val="auto"/>
          <w:sz w:val="24"/>
          <w:szCs w:val="24"/>
          <w:highlight w:val="none"/>
          <w:u w:val="single"/>
        </w:rPr>
      </w:pPr>
    </w:p>
    <w:p w14:paraId="1C202512">
      <w:pPr>
        <w:pStyle w:val="36"/>
        <w:rPr>
          <w:rFonts w:hint="eastAsia" w:ascii="宋体" w:hAnsi="宋体" w:eastAsia="宋体" w:cs="宋体"/>
          <w:color w:val="auto"/>
          <w:sz w:val="24"/>
          <w:szCs w:val="24"/>
          <w:highlight w:val="none"/>
          <w:u w:val="single"/>
        </w:rPr>
      </w:pPr>
    </w:p>
    <w:p w14:paraId="0C99C8D5">
      <w:pPr>
        <w:pStyle w:val="16"/>
        <w:rPr>
          <w:rFonts w:hint="eastAsia" w:ascii="宋体" w:hAnsi="宋体" w:eastAsia="宋体" w:cs="宋体"/>
          <w:color w:val="auto"/>
          <w:sz w:val="24"/>
          <w:szCs w:val="24"/>
          <w:highlight w:val="none"/>
          <w:u w:val="single"/>
        </w:rPr>
      </w:pPr>
    </w:p>
    <w:p w14:paraId="29931660">
      <w:pPr>
        <w:rPr>
          <w:rFonts w:hint="eastAsia" w:ascii="宋体" w:hAnsi="宋体" w:eastAsia="宋体" w:cs="宋体"/>
          <w:color w:val="auto"/>
          <w:highlight w:val="none"/>
        </w:rPr>
      </w:pPr>
    </w:p>
    <w:p w14:paraId="07F7CC0C">
      <w:pPr>
        <w:pStyle w:val="16"/>
        <w:keepLines w:val="0"/>
        <w:pageBreakBefore w:val="0"/>
        <w:kinsoku/>
        <w:bidi w:val="0"/>
        <w:spacing w:line="360" w:lineRule="auto"/>
        <w:rPr>
          <w:rFonts w:hint="eastAsia" w:ascii="宋体" w:hAnsi="宋体" w:eastAsia="宋体" w:cs="宋体"/>
          <w:color w:val="auto"/>
          <w:sz w:val="24"/>
          <w:szCs w:val="24"/>
          <w:highlight w:val="none"/>
          <w:u w:val="single"/>
        </w:rPr>
      </w:pPr>
    </w:p>
    <w:p w14:paraId="38F06CBC">
      <w:pPr>
        <w:rPr>
          <w:rFonts w:hint="eastAsia" w:ascii="宋体" w:hAnsi="宋体" w:eastAsia="宋体" w:cs="宋体"/>
          <w:color w:val="auto"/>
          <w:sz w:val="24"/>
          <w:szCs w:val="24"/>
          <w:highlight w:val="none"/>
          <w:u w:val="single"/>
        </w:rPr>
      </w:pPr>
    </w:p>
    <w:p w14:paraId="1F0A1F9D">
      <w:pPr>
        <w:pStyle w:val="35"/>
        <w:rPr>
          <w:rFonts w:hint="eastAsia" w:ascii="宋体" w:hAnsi="宋体" w:eastAsia="宋体" w:cs="宋体"/>
          <w:color w:val="auto"/>
          <w:sz w:val="24"/>
          <w:szCs w:val="24"/>
          <w:highlight w:val="none"/>
          <w:u w:val="single"/>
        </w:rPr>
      </w:pPr>
    </w:p>
    <w:p w14:paraId="014B9547">
      <w:pPr>
        <w:pStyle w:val="36"/>
        <w:rPr>
          <w:rFonts w:hint="eastAsia" w:ascii="宋体" w:hAnsi="宋体" w:eastAsia="宋体" w:cs="宋体"/>
          <w:color w:val="auto"/>
          <w:sz w:val="24"/>
          <w:szCs w:val="24"/>
          <w:highlight w:val="none"/>
          <w:u w:val="single"/>
        </w:rPr>
      </w:pPr>
    </w:p>
    <w:p w14:paraId="35946EBD">
      <w:pPr>
        <w:pStyle w:val="16"/>
        <w:rPr>
          <w:rFonts w:hint="eastAsia" w:ascii="宋体" w:hAnsi="宋体" w:eastAsia="宋体" w:cs="宋体"/>
          <w:color w:val="auto"/>
          <w:sz w:val="24"/>
          <w:szCs w:val="24"/>
          <w:highlight w:val="none"/>
          <w:u w:val="single"/>
        </w:rPr>
      </w:pPr>
    </w:p>
    <w:p w14:paraId="691CE859">
      <w:pPr>
        <w:pStyle w:val="36"/>
        <w:ind w:left="0" w:leftChars="0" w:firstLine="0" w:firstLineChars="0"/>
        <w:rPr>
          <w:rFonts w:hint="eastAsia" w:ascii="宋体" w:hAnsi="宋体" w:eastAsia="宋体" w:cs="宋体"/>
          <w:color w:val="auto"/>
          <w:sz w:val="24"/>
          <w:szCs w:val="24"/>
          <w:highlight w:val="none"/>
          <w:u w:val="single"/>
        </w:rPr>
      </w:pPr>
    </w:p>
    <w:p w14:paraId="225293AA">
      <w:pPr>
        <w:pStyle w:val="2"/>
        <w:keepLines w:val="0"/>
        <w:pageBreakBefore w:val="0"/>
        <w:kinsoku/>
        <w:wordWrap/>
        <w:overflowPunct/>
        <w:topLinePunct w:val="0"/>
        <w:bidi w:val="0"/>
        <w:spacing w:line="360" w:lineRule="auto"/>
        <w:textAlignment w:val="auto"/>
        <w:rPr>
          <w:rFonts w:hint="eastAsia" w:ascii="宋体" w:hAnsi="宋体" w:eastAsia="宋体" w:cs="宋体"/>
          <w:b/>
          <w:bCs/>
          <w:color w:val="auto"/>
          <w:sz w:val="28"/>
          <w:szCs w:val="28"/>
          <w:highlight w:val="none"/>
          <w:lang w:val="zh-CN"/>
        </w:rPr>
      </w:pPr>
      <w:bookmarkStart w:id="568" w:name="_Toc22366"/>
      <w:bookmarkStart w:id="569" w:name="_Toc12344"/>
      <w:bookmarkStart w:id="570" w:name="_Toc6616"/>
      <w:r>
        <w:rPr>
          <w:rFonts w:hint="eastAsia" w:ascii="宋体" w:hAnsi="宋体" w:eastAsia="宋体" w:cs="宋体"/>
          <w:b/>
          <w:bCs/>
          <w:color w:val="auto"/>
          <w:sz w:val="28"/>
          <w:szCs w:val="28"/>
          <w:highlight w:val="none"/>
          <w:lang w:val="zh-CN"/>
        </w:rPr>
        <w:t>第</w:t>
      </w: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lang w:val="zh-CN"/>
        </w:rPr>
        <w:t>部分</w:t>
      </w:r>
      <w:bookmarkEnd w:id="568"/>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项目管理机构</w:t>
      </w:r>
      <w:bookmarkEnd w:id="569"/>
      <w:bookmarkEnd w:id="570"/>
    </w:p>
    <w:p w14:paraId="507B1CB3">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（一）项目管理机构组成表</w:t>
      </w:r>
    </w:p>
    <w:tbl>
      <w:tblPr>
        <w:tblStyle w:val="37"/>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37"/>
        <w:gridCol w:w="1025"/>
        <w:gridCol w:w="1674"/>
        <w:gridCol w:w="1038"/>
        <w:gridCol w:w="1246"/>
        <w:gridCol w:w="1695"/>
        <w:gridCol w:w="859"/>
      </w:tblGrid>
      <w:tr w14:paraId="2839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23" w:type="dxa"/>
            <w:vMerge w:val="restart"/>
            <w:vAlign w:val="center"/>
          </w:tcPr>
          <w:p w14:paraId="48E05D74">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37" w:type="dxa"/>
            <w:vMerge w:val="restart"/>
            <w:vAlign w:val="center"/>
          </w:tcPr>
          <w:p w14:paraId="131BE6AC">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5" w:type="dxa"/>
            <w:vMerge w:val="restart"/>
            <w:vAlign w:val="center"/>
          </w:tcPr>
          <w:p w14:paraId="6725BA92">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5653" w:type="dxa"/>
            <w:gridSpan w:val="4"/>
            <w:vAlign w:val="center"/>
          </w:tcPr>
          <w:p w14:paraId="2973D7CE">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859" w:type="dxa"/>
            <w:vAlign w:val="center"/>
          </w:tcPr>
          <w:p w14:paraId="2C2D1191">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952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3" w:type="dxa"/>
            <w:vMerge w:val="continue"/>
            <w:vAlign w:val="top"/>
          </w:tcPr>
          <w:p w14:paraId="4402B480">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Merge w:val="continue"/>
            <w:vAlign w:val="top"/>
          </w:tcPr>
          <w:p w14:paraId="0DB16AD6">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Merge w:val="continue"/>
            <w:vAlign w:val="top"/>
          </w:tcPr>
          <w:p w14:paraId="3433FA2B">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center"/>
          </w:tcPr>
          <w:p w14:paraId="377ACB56">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1038" w:type="dxa"/>
            <w:vAlign w:val="center"/>
          </w:tcPr>
          <w:p w14:paraId="5F506FFF">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1246" w:type="dxa"/>
            <w:vAlign w:val="center"/>
          </w:tcPr>
          <w:p w14:paraId="0808FB30">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1695" w:type="dxa"/>
            <w:vAlign w:val="center"/>
          </w:tcPr>
          <w:p w14:paraId="4A6FB7C4">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859" w:type="dxa"/>
            <w:vAlign w:val="top"/>
          </w:tcPr>
          <w:p w14:paraId="1131C6D6">
            <w:pPr>
              <w:keepLines w:val="0"/>
              <w:pageBreakBefore w:val="0"/>
              <w:kinsoku/>
              <w:bidi w:val="0"/>
              <w:spacing w:line="360" w:lineRule="auto"/>
              <w:rPr>
                <w:rFonts w:hint="eastAsia" w:ascii="宋体" w:hAnsi="宋体" w:eastAsia="宋体" w:cs="宋体"/>
                <w:color w:val="auto"/>
                <w:sz w:val="21"/>
                <w:szCs w:val="21"/>
                <w:highlight w:val="none"/>
              </w:rPr>
            </w:pPr>
          </w:p>
        </w:tc>
      </w:tr>
      <w:tr w14:paraId="79DC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00C106C5">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6C0B07BA">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57E230EB">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63760A0F">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59CA80F8">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634F4632">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00A32A14">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30F72CAA">
            <w:pPr>
              <w:keepLines w:val="0"/>
              <w:pageBreakBefore w:val="0"/>
              <w:kinsoku/>
              <w:bidi w:val="0"/>
              <w:spacing w:line="360" w:lineRule="auto"/>
              <w:rPr>
                <w:rFonts w:hint="eastAsia" w:ascii="宋体" w:hAnsi="宋体" w:eastAsia="宋体" w:cs="宋体"/>
                <w:color w:val="auto"/>
                <w:sz w:val="21"/>
                <w:szCs w:val="21"/>
                <w:highlight w:val="none"/>
              </w:rPr>
            </w:pPr>
          </w:p>
        </w:tc>
      </w:tr>
      <w:tr w14:paraId="2120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Align w:val="top"/>
          </w:tcPr>
          <w:p w14:paraId="3139B622">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2B5AF664">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50D82906">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482B61BD">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2795908E">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24ECE992">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648374D2">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477EEC69">
            <w:pPr>
              <w:keepLines w:val="0"/>
              <w:pageBreakBefore w:val="0"/>
              <w:kinsoku/>
              <w:bidi w:val="0"/>
              <w:spacing w:line="360" w:lineRule="auto"/>
              <w:rPr>
                <w:rFonts w:hint="eastAsia" w:ascii="宋体" w:hAnsi="宋体" w:eastAsia="宋体" w:cs="宋体"/>
                <w:color w:val="auto"/>
                <w:sz w:val="21"/>
                <w:szCs w:val="21"/>
                <w:highlight w:val="none"/>
              </w:rPr>
            </w:pPr>
          </w:p>
        </w:tc>
      </w:tr>
      <w:tr w14:paraId="366E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7BC3ACF2">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0713A852">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761CCBA8">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6C7EAABA">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23F55F0C">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436C9F8C">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2454E456">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530BF503">
            <w:pPr>
              <w:keepLines w:val="0"/>
              <w:pageBreakBefore w:val="0"/>
              <w:kinsoku/>
              <w:bidi w:val="0"/>
              <w:spacing w:line="360" w:lineRule="auto"/>
              <w:rPr>
                <w:rFonts w:hint="eastAsia" w:ascii="宋体" w:hAnsi="宋体" w:eastAsia="宋体" w:cs="宋体"/>
                <w:color w:val="auto"/>
                <w:sz w:val="21"/>
                <w:szCs w:val="21"/>
                <w:highlight w:val="none"/>
              </w:rPr>
            </w:pPr>
          </w:p>
        </w:tc>
      </w:tr>
      <w:tr w14:paraId="3EDC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Align w:val="top"/>
          </w:tcPr>
          <w:p w14:paraId="31C8E5FD">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61B7D18F">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667E61C9">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490C2E00">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6F0FA508">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5E095B82">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4F8DBB71">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7C61CB1B">
            <w:pPr>
              <w:keepLines w:val="0"/>
              <w:pageBreakBefore w:val="0"/>
              <w:kinsoku/>
              <w:bidi w:val="0"/>
              <w:spacing w:line="360" w:lineRule="auto"/>
              <w:rPr>
                <w:rFonts w:hint="eastAsia" w:ascii="宋体" w:hAnsi="宋体" w:eastAsia="宋体" w:cs="宋体"/>
                <w:color w:val="auto"/>
                <w:sz w:val="21"/>
                <w:szCs w:val="21"/>
                <w:highlight w:val="none"/>
              </w:rPr>
            </w:pPr>
          </w:p>
        </w:tc>
      </w:tr>
      <w:tr w14:paraId="0AC8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6645E8C7">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7D5FDC89">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3832FA60">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1903AB25">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0482E698">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42C13170">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24FD35C4">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6E40F1B0">
            <w:pPr>
              <w:keepLines w:val="0"/>
              <w:pageBreakBefore w:val="0"/>
              <w:kinsoku/>
              <w:bidi w:val="0"/>
              <w:spacing w:line="360" w:lineRule="auto"/>
              <w:rPr>
                <w:rFonts w:hint="eastAsia" w:ascii="宋体" w:hAnsi="宋体" w:eastAsia="宋体" w:cs="宋体"/>
                <w:color w:val="auto"/>
                <w:sz w:val="21"/>
                <w:szCs w:val="21"/>
                <w:highlight w:val="none"/>
              </w:rPr>
            </w:pPr>
          </w:p>
        </w:tc>
      </w:tr>
      <w:tr w14:paraId="72DF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Align w:val="top"/>
          </w:tcPr>
          <w:p w14:paraId="1CABC17C">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411D61E6">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1D6C3D64">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6387AA54">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7F5AF39F">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30DB43AF">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04DF96DB">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50FEEE8B">
            <w:pPr>
              <w:keepLines w:val="0"/>
              <w:pageBreakBefore w:val="0"/>
              <w:kinsoku/>
              <w:bidi w:val="0"/>
              <w:spacing w:line="360" w:lineRule="auto"/>
              <w:rPr>
                <w:rFonts w:hint="eastAsia" w:ascii="宋体" w:hAnsi="宋体" w:eastAsia="宋体" w:cs="宋体"/>
                <w:color w:val="auto"/>
                <w:sz w:val="21"/>
                <w:szCs w:val="21"/>
                <w:highlight w:val="none"/>
              </w:rPr>
            </w:pPr>
          </w:p>
        </w:tc>
      </w:tr>
      <w:tr w14:paraId="3473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7039DDC8">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684F45DF">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69869451">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5CCA64BB">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041095E9">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483C9917">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40007540">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0587AE0A">
            <w:pPr>
              <w:keepLines w:val="0"/>
              <w:pageBreakBefore w:val="0"/>
              <w:kinsoku/>
              <w:bidi w:val="0"/>
              <w:spacing w:line="360" w:lineRule="auto"/>
              <w:rPr>
                <w:rFonts w:hint="eastAsia" w:ascii="宋体" w:hAnsi="宋体" w:eastAsia="宋体" w:cs="宋体"/>
                <w:color w:val="auto"/>
                <w:sz w:val="21"/>
                <w:szCs w:val="21"/>
                <w:highlight w:val="none"/>
              </w:rPr>
            </w:pPr>
          </w:p>
        </w:tc>
      </w:tr>
      <w:tr w14:paraId="4E81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Align w:val="top"/>
          </w:tcPr>
          <w:p w14:paraId="6C8A459A">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1C1B145E">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652DBAF6">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007B7028">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16F6AEB0">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05394899">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551913D2">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072EC782">
            <w:pPr>
              <w:keepLines w:val="0"/>
              <w:pageBreakBefore w:val="0"/>
              <w:kinsoku/>
              <w:bidi w:val="0"/>
              <w:spacing w:line="360" w:lineRule="auto"/>
              <w:rPr>
                <w:rFonts w:hint="eastAsia" w:ascii="宋体" w:hAnsi="宋体" w:eastAsia="宋体" w:cs="宋体"/>
                <w:color w:val="auto"/>
                <w:sz w:val="21"/>
                <w:szCs w:val="21"/>
                <w:highlight w:val="none"/>
              </w:rPr>
            </w:pPr>
          </w:p>
        </w:tc>
      </w:tr>
      <w:tr w14:paraId="3A55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2C20A2DC">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476313B1">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420794D4">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1F002E9E">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1BC6D936">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49304352">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784F1EE9">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36C6EB12">
            <w:pPr>
              <w:keepLines w:val="0"/>
              <w:pageBreakBefore w:val="0"/>
              <w:kinsoku/>
              <w:bidi w:val="0"/>
              <w:spacing w:line="360" w:lineRule="auto"/>
              <w:rPr>
                <w:rFonts w:hint="eastAsia" w:ascii="宋体" w:hAnsi="宋体" w:eastAsia="宋体" w:cs="宋体"/>
                <w:color w:val="auto"/>
                <w:sz w:val="21"/>
                <w:szCs w:val="21"/>
                <w:highlight w:val="none"/>
              </w:rPr>
            </w:pPr>
          </w:p>
        </w:tc>
      </w:tr>
      <w:tr w14:paraId="141C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Align w:val="top"/>
          </w:tcPr>
          <w:p w14:paraId="2FEB79FB">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23DC640B">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2A14E5B3">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46A7DCA1">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61013B8A">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2F4BF088">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02CF3EAF">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014FF541">
            <w:pPr>
              <w:keepLines w:val="0"/>
              <w:pageBreakBefore w:val="0"/>
              <w:kinsoku/>
              <w:bidi w:val="0"/>
              <w:spacing w:line="360" w:lineRule="auto"/>
              <w:rPr>
                <w:rFonts w:hint="eastAsia" w:ascii="宋体" w:hAnsi="宋体" w:eastAsia="宋体" w:cs="宋体"/>
                <w:color w:val="auto"/>
                <w:sz w:val="21"/>
                <w:szCs w:val="21"/>
                <w:highlight w:val="none"/>
              </w:rPr>
            </w:pPr>
          </w:p>
        </w:tc>
      </w:tr>
      <w:tr w14:paraId="6418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2709E08A">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21983040">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58C8063B">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6234C8A3">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2582D6A8">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0B1FA64F">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70F9F054">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77998808">
            <w:pPr>
              <w:keepLines w:val="0"/>
              <w:pageBreakBefore w:val="0"/>
              <w:kinsoku/>
              <w:bidi w:val="0"/>
              <w:spacing w:line="360" w:lineRule="auto"/>
              <w:rPr>
                <w:rFonts w:hint="eastAsia" w:ascii="宋体" w:hAnsi="宋体" w:eastAsia="宋体" w:cs="宋体"/>
                <w:color w:val="auto"/>
                <w:sz w:val="21"/>
                <w:szCs w:val="21"/>
                <w:highlight w:val="none"/>
              </w:rPr>
            </w:pPr>
          </w:p>
        </w:tc>
      </w:tr>
      <w:tr w14:paraId="62CB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Align w:val="top"/>
          </w:tcPr>
          <w:p w14:paraId="760614EC">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687512C4">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20FBC1BE">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2AC37475">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6BF9A7F5">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1084C095">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4D1B94FA">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3AF93DF7">
            <w:pPr>
              <w:keepLines w:val="0"/>
              <w:pageBreakBefore w:val="0"/>
              <w:kinsoku/>
              <w:bidi w:val="0"/>
              <w:spacing w:line="360" w:lineRule="auto"/>
              <w:rPr>
                <w:rFonts w:hint="eastAsia" w:ascii="宋体" w:hAnsi="宋体" w:eastAsia="宋体" w:cs="宋体"/>
                <w:color w:val="auto"/>
                <w:sz w:val="21"/>
                <w:szCs w:val="21"/>
                <w:highlight w:val="none"/>
              </w:rPr>
            </w:pPr>
          </w:p>
        </w:tc>
      </w:tr>
      <w:tr w14:paraId="7F4A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3" w:type="dxa"/>
            <w:vAlign w:val="top"/>
          </w:tcPr>
          <w:p w14:paraId="7091735A">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6D311655">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2B7A08D5">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41879AE8">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50BC1632">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62FBC142">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0FC28722">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7C7A2331">
            <w:pPr>
              <w:keepLines w:val="0"/>
              <w:pageBreakBefore w:val="0"/>
              <w:kinsoku/>
              <w:bidi w:val="0"/>
              <w:spacing w:line="360" w:lineRule="auto"/>
              <w:rPr>
                <w:rFonts w:hint="eastAsia" w:ascii="宋体" w:hAnsi="宋体" w:eastAsia="宋体" w:cs="宋体"/>
                <w:color w:val="auto"/>
                <w:sz w:val="21"/>
                <w:szCs w:val="21"/>
                <w:highlight w:val="none"/>
              </w:rPr>
            </w:pPr>
          </w:p>
        </w:tc>
      </w:tr>
      <w:tr w14:paraId="22BE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3" w:type="dxa"/>
            <w:vAlign w:val="top"/>
          </w:tcPr>
          <w:p w14:paraId="2694A8B4">
            <w:pPr>
              <w:keepLines w:val="0"/>
              <w:pageBreakBefore w:val="0"/>
              <w:kinsoku/>
              <w:bidi w:val="0"/>
              <w:spacing w:line="360" w:lineRule="auto"/>
              <w:rPr>
                <w:rFonts w:hint="eastAsia" w:ascii="宋体" w:hAnsi="宋体" w:eastAsia="宋体" w:cs="宋体"/>
                <w:color w:val="auto"/>
                <w:sz w:val="21"/>
                <w:szCs w:val="21"/>
                <w:highlight w:val="none"/>
              </w:rPr>
            </w:pPr>
          </w:p>
        </w:tc>
        <w:tc>
          <w:tcPr>
            <w:tcW w:w="837" w:type="dxa"/>
            <w:vAlign w:val="top"/>
          </w:tcPr>
          <w:p w14:paraId="4AC044EB">
            <w:pPr>
              <w:keepLines w:val="0"/>
              <w:pageBreakBefore w:val="0"/>
              <w:kinsoku/>
              <w:bidi w:val="0"/>
              <w:spacing w:line="360" w:lineRule="auto"/>
              <w:rPr>
                <w:rFonts w:hint="eastAsia" w:ascii="宋体" w:hAnsi="宋体" w:eastAsia="宋体" w:cs="宋体"/>
                <w:color w:val="auto"/>
                <w:sz w:val="21"/>
                <w:szCs w:val="21"/>
                <w:highlight w:val="none"/>
              </w:rPr>
            </w:pPr>
          </w:p>
        </w:tc>
        <w:tc>
          <w:tcPr>
            <w:tcW w:w="1025" w:type="dxa"/>
            <w:vAlign w:val="top"/>
          </w:tcPr>
          <w:p w14:paraId="1604C277">
            <w:pPr>
              <w:keepLines w:val="0"/>
              <w:pageBreakBefore w:val="0"/>
              <w:kinsoku/>
              <w:bidi w:val="0"/>
              <w:spacing w:line="360" w:lineRule="auto"/>
              <w:rPr>
                <w:rFonts w:hint="eastAsia" w:ascii="宋体" w:hAnsi="宋体" w:eastAsia="宋体" w:cs="宋体"/>
                <w:color w:val="auto"/>
                <w:sz w:val="21"/>
                <w:szCs w:val="21"/>
                <w:highlight w:val="none"/>
              </w:rPr>
            </w:pPr>
          </w:p>
        </w:tc>
        <w:tc>
          <w:tcPr>
            <w:tcW w:w="1674" w:type="dxa"/>
            <w:vAlign w:val="top"/>
          </w:tcPr>
          <w:p w14:paraId="74708999">
            <w:pPr>
              <w:keepLines w:val="0"/>
              <w:pageBreakBefore w:val="0"/>
              <w:kinsoku/>
              <w:bidi w:val="0"/>
              <w:spacing w:line="360" w:lineRule="auto"/>
              <w:rPr>
                <w:rFonts w:hint="eastAsia" w:ascii="宋体" w:hAnsi="宋体" w:eastAsia="宋体" w:cs="宋体"/>
                <w:color w:val="auto"/>
                <w:sz w:val="21"/>
                <w:szCs w:val="21"/>
                <w:highlight w:val="none"/>
              </w:rPr>
            </w:pPr>
          </w:p>
        </w:tc>
        <w:tc>
          <w:tcPr>
            <w:tcW w:w="1038" w:type="dxa"/>
            <w:vAlign w:val="top"/>
          </w:tcPr>
          <w:p w14:paraId="7CA1E1BD">
            <w:pPr>
              <w:keepLines w:val="0"/>
              <w:pageBreakBefore w:val="0"/>
              <w:kinsoku/>
              <w:bidi w:val="0"/>
              <w:spacing w:line="360" w:lineRule="auto"/>
              <w:rPr>
                <w:rFonts w:hint="eastAsia" w:ascii="宋体" w:hAnsi="宋体" w:eastAsia="宋体" w:cs="宋体"/>
                <w:color w:val="auto"/>
                <w:sz w:val="21"/>
                <w:szCs w:val="21"/>
                <w:highlight w:val="none"/>
              </w:rPr>
            </w:pPr>
          </w:p>
        </w:tc>
        <w:tc>
          <w:tcPr>
            <w:tcW w:w="1246" w:type="dxa"/>
            <w:vAlign w:val="top"/>
          </w:tcPr>
          <w:p w14:paraId="6C93A904">
            <w:pPr>
              <w:keepLines w:val="0"/>
              <w:pageBreakBefore w:val="0"/>
              <w:kinsoku/>
              <w:bidi w:val="0"/>
              <w:spacing w:line="360" w:lineRule="auto"/>
              <w:rPr>
                <w:rFonts w:hint="eastAsia" w:ascii="宋体" w:hAnsi="宋体" w:eastAsia="宋体" w:cs="宋体"/>
                <w:color w:val="auto"/>
                <w:sz w:val="21"/>
                <w:szCs w:val="21"/>
                <w:highlight w:val="none"/>
              </w:rPr>
            </w:pPr>
          </w:p>
        </w:tc>
        <w:tc>
          <w:tcPr>
            <w:tcW w:w="1695" w:type="dxa"/>
            <w:vAlign w:val="top"/>
          </w:tcPr>
          <w:p w14:paraId="715981C8">
            <w:pPr>
              <w:keepLines w:val="0"/>
              <w:pageBreakBefore w:val="0"/>
              <w:kinsoku/>
              <w:bidi w:val="0"/>
              <w:spacing w:line="360" w:lineRule="auto"/>
              <w:rPr>
                <w:rFonts w:hint="eastAsia" w:ascii="宋体" w:hAnsi="宋体" w:eastAsia="宋体" w:cs="宋体"/>
                <w:color w:val="auto"/>
                <w:sz w:val="21"/>
                <w:szCs w:val="21"/>
                <w:highlight w:val="none"/>
              </w:rPr>
            </w:pPr>
          </w:p>
        </w:tc>
        <w:tc>
          <w:tcPr>
            <w:tcW w:w="859" w:type="dxa"/>
            <w:vAlign w:val="top"/>
          </w:tcPr>
          <w:p w14:paraId="53194AF0">
            <w:pPr>
              <w:keepLines w:val="0"/>
              <w:pageBreakBefore w:val="0"/>
              <w:kinsoku/>
              <w:bidi w:val="0"/>
              <w:spacing w:line="360" w:lineRule="auto"/>
              <w:rPr>
                <w:rFonts w:hint="eastAsia" w:ascii="宋体" w:hAnsi="宋体" w:eastAsia="宋体" w:cs="宋体"/>
                <w:color w:val="auto"/>
                <w:sz w:val="21"/>
                <w:szCs w:val="21"/>
                <w:highlight w:val="none"/>
              </w:rPr>
            </w:pPr>
          </w:p>
        </w:tc>
      </w:tr>
    </w:tbl>
    <w:p w14:paraId="7C5ECE39">
      <w:pPr>
        <w:pStyle w:val="35"/>
        <w:ind w:left="0" w:leftChars="0" w:firstLine="0" w:firstLineChars="0"/>
        <w:rPr>
          <w:rFonts w:hint="eastAsia" w:ascii="宋体" w:hAnsi="宋体" w:eastAsia="宋体" w:cs="宋体"/>
          <w:color w:val="auto"/>
          <w:sz w:val="21"/>
          <w:szCs w:val="21"/>
          <w:highlight w:val="none"/>
        </w:rPr>
      </w:pPr>
    </w:p>
    <w:p w14:paraId="2CDD6BD5">
      <w:pPr>
        <w:pStyle w:val="36"/>
        <w:rPr>
          <w:rFonts w:hint="eastAsia" w:ascii="宋体" w:hAnsi="宋体" w:eastAsia="宋体" w:cs="宋体"/>
          <w:color w:val="auto"/>
          <w:highlight w:val="none"/>
        </w:rPr>
      </w:pPr>
    </w:p>
    <w:p w14:paraId="78F94397">
      <w:pPr>
        <w:pStyle w:val="36"/>
        <w:rPr>
          <w:rFonts w:hint="eastAsia" w:ascii="宋体" w:hAnsi="宋体" w:eastAsia="宋体" w:cs="宋体"/>
          <w:color w:val="auto"/>
          <w:sz w:val="21"/>
          <w:szCs w:val="21"/>
          <w:highlight w:val="none"/>
        </w:rPr>
      </w:pPr>
    </w:p>
    <w:p w14:paraId="4F710069">
      <w:pPr>
        <w:pStyle w:val="36"/>
        <w:ind w:left="0" w:leftChars="0" w:firstLine="0" w:firstLineChars="0"/>
        <w:rPr>
          <w:rFonts w:hint="eastAsia" w:ascii="宋体" w:hAnsi="宋体" w:eastAsia="宋体" w:cs="宋体"/>
          <w:color w:val="auto"/>
          <w:highlight w:val="none"/>
        </w:rPr>
      </w:pPr>
    </w:p>
    <w:p w14:paraId="2832F6B7">
      <w:pPr>
        <w:pStyle w:val="16"/>
        <w:rPr>
          <w:rFonts w:hint="eastAsia" w:ascii="宋体" w:hAnsi="宋体" w:eastAsia="宋体" w:cs="宋体"/>
          <w:color w:val="auto"/>
          <w:highlight w:val="none"/>
        </w:rPr>
      </w:pPr>
    </w:p>
    <w:p w14:paraId="4310A077">
      <w:pPr>
        <w:pStyle w:val="137"/>
        <w:keepLines w:val="0"/>
        <w:pageBreakBefore w:val="0"/>
        <w:numPr>
          <w:ilvl w:val="0"/>
          <w:numId w:val="12"/>
        </w:numPr>
        <w:kinsoku/>
        <w:bidi w:val="0"/>
        <w:spacing w:before="0" w:after="0" w:line="360" w:lineRule="auto"/>
        <w:jc w:val="center"/>
        <w:rPr>
          <w:rFonts w:hint="eastAsia" w:ascii="宋体" w:hAnsi="宋体" w:eastAsia="宋体" w:cs="宋体"/>
          <w:b/>
          <w:bCs/>
          <w:color w:val="auto"/>
          <w:sz w:val="24"/>
          <w:szCs w:val="24"/>
          <w:highlight w:val="none"/>
        </w:rPr>
      </w:pPr>
      <w:bookmarkStart w:id="571" w:name="_Toc44955254"/>
      <w:bookmarkStart w:id="572" w:name="_Toc152045805"/>
      <w:bookmarkStart w:id="573" w:name="_Toc144974873"/>
      <w:bookmarkStart w:id="574" w:name="_Toc152042594"/>
      <w:bookmarkStart w:id="575" w:name="_Toc44245300"/>
      <w:bookmarkStart w:id="576" w:name="_Toc1116"/>
      <w:bookmarkStart w:id="577" w:name="_Toc42008310"/>
      <w:r>
        <w:rPr>
          <w:rFonts w:hint="eastAsia" w:ascii="宋体" w:hAnsi="宋体" w:eastAsia="宋体" w:cs="宋体"/>
          <w:b/>
          <w:bCs/>
          <w:color w:val="auto"/>
          <w:sz w:val="24"/>
          <w:szCs w:val="24"/>
          <w:highlight w:val="none"/>
        </w:rPr>
        <w:t>主要人员简历表</w:t>
      </w:r>
      <w:bookmarkEnd w:id="571"/>
      <w:bookmarkEnd w:id="572"/>
      <w:bookmarkEnd w:id="573"/>
      <w:bookmarkEnd w:id="574"/>
      <w:bookmarkEnd w:id="575"/>
      <w:bookmarkEnd w:id="576"/>
      <w:bookmarkEnd w:id="577"/>
    </w:p>
    <w:tbl>
      <w:tblPr>
        <w:tblStyle w:val="3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594"/>
        <w:gridCol w:w="721"/>
        <w:gridCol w:w="928"/>
        <w:gridCol w:w="1066"/>
        <w:gridCol w:w="710"/>
        <w:gridCol w:w="1263"/>
        <w:gridCol w:w="160"/>
        <w:gridCol w:w="2138"/>
      </w:tblGrid>
      <w:tr w14:paraId="1437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57" w:type="dxa"/>
            <w:vAlign w:val="center"/>
          </w:tcPr>
          <w:p w14:paraId="304891AD">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姓</w:t>
            </w:r>
            <w:r>
              <w:rPr>
                <w:rFonts w:hint="eastAsia" w:ascii="宋体" w:hAnsi="宋体" w:eastAsia="宋体" w:cs="宋体"/>
                <w:color w:val="auto"/>
                <w:sz w:val="21"/>
                <w:szCs w:val="21"/>
                <w:highlight w:val="none"/>
              </w:rPr>
              <w:t>名</w:t>
            </w:r>
          </w:p>
        </w:tc>
        <w:tc>
          <w:tcPr>
            <w:tcW w:w="1315" w:type="dxa"/>
            <w:gridSpan w:val="2"/>
            <w:vAlign w:val="center"/>
          </w:tcPr>
          <w:p w14:paraId="06CDD02B">
            <w:pPr>
              <w:keepLines w:val="0"/>
              <w:pageBreakBefore w:val="0"/>
              <w:kinsoku/>
              <w:bidi w:val="0"/>
              <w:spacing w:line="360" w:lineRule="auto"/>
              <w:rPr>
                <w:rFonts w:hint="eastAsia" w:ascii="宋体" w:hAnsi="宋体" w:eastAsia="宋体" w:cs="宋体"/>
                <w:color w:val="auto"/>
                <w:sz w:val="21"/>
                <w:szCs w:val="21"/>
                <w:highlight w:val="none"/>
              </w:rPr>
            </w:pPr>
          </w:p>
        </w:tc>
        <w:tc>
          <w:tcPr>
            <w:tcW w:w="928" w:type="dxa"/>
            <w:vAlign w:val="center"/>
          </w:tcPr>
          <w:p w14:paraId="71E5F08C">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66" w:type="dxa"/>
            <w:vAlign w:val="center"/>
          </w:tcPr>
          <w:p w14:paraId="746023D9">
            <w:pPr>
              <w:keepLines w:val="0"/>
              <w:pageBreakBefore w:val="0"/>
              <w:kinsoku/>
              <w:bidi w:val="0"/>
              <w:spacing w:line="360" w:lineRule="auto"/>
              <w:rPr>
                <w:rFonts w:hint="eastAsia" w:ascii="宋体" w:hAnsi="宋体" w:eastAsia="宋体" w:cs="宋体"/>
                <w:color w:val="auto"/>
                <w:sz w:val="21"/>
                <w:szCs w:val="21"/>
                <w:highlight w:val="none"/>
              </w:rPr>
            </w:pPr>
          </w:p>
        </w:tc>
        <w:tc>
          <w:tcPr>
            <w:tcW w:w="2133" w:type="dxa"/>
            <w:gridSpan w:val="3"/>
            <w:vAlign w:val="center"/>
          </w:tcPr>
          <w:p w14:paraId="7625749E">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138" w:type="dxa"/>
            <w:vAlign w:val="center"/>
          </w:tcPr>
          <w:p w14:paraId="3DD9AECE">
            <w:pPr>
              <w:keepLines w:val="0"/>
              <w:pageBreakBefore w:val="0"/>
              <w:kinsoku/>
              <w:bidi w:val="0"/>
              <w:spacing w:line="360" w:lineRule="auto"/>
              <w:rPr>
                <w:rFonts w:hint="eastAsia" w:ascii="宋体" w:hAnsi="宋体" w:eastAsia="宋体" w:cs="宋体"/>
                <w:color w:val="auto"/>
                <w:sz w:val="21"/>
                <w:szCs w:val="21"/>
                <w:highlight w:val="none"/>
              </w:rPr>
            </w:pPr>
          </w:p>
        </w:tc>
      </w:tr>
      <w:tr w14:paraId="78A7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57" w:type="dxa"/>
            <w:vAlign w:val="center"/>
          </w:tcPr>
          <w:p w14:paraId="78522FD4">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315" w:type="dxa"/>
            <w:gridSpan w:val="2"/>
            <w:vAlign w:val="center"/>
          </w:tcPr>
          <w:p w14:paraId="42F6982B">
            <w:pPr>
              <w:keepLines w:val="0"/>
              <w:pageBreakBefore w:val="0"/>
              <w:kinsoku/>
              <w:bidi w:val="0"/>
              <w:spacing w:line="360" w:lineRule="auto"/>
              <w:rPr>
                <w:rFonts w:hint="eastAsia" w:ascii="宋体" w:hAnsi="宋体" w:eastAsia="宋体" w:cs="宋体"/>
                <w:color w:val="auto"/>
                <w:sz w:val="21"/>
                <w:szCs w:val="21"/>
                <w:highlight w:val="none"/>
              </w:rPr>
            </w:pPr>
          </w:p>
        </w:tc>
        <w:tc>
          <w:tcPr>
            <w:tcW w:w="928" w:type="dxa"/>
            <w:vAlign w:val="center"/>
          </w:tcPr>
          <w:p w14:paraId="5E6A0BFF">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066" w:type="dxa"/>
            <w:vAlign w:val="center"/>
          </w:tcPr>
          <w:p w14:paraId="6347251D">
            <w:pPr>
              <w:keepLines w:val="0"/>
              <w:pageBreakBefore w:val="0"/>
              <w:kinsoku/>
              <w:bidi w:val="0"/>
              <w:spacing w:line="360" w:lineRule="auto"/>
              <w:rPr>
                <w:rFonts w:hint="eastAsia" w:ascii="宋体" w:hAnsi="宋体" w:eastAsia="宋体" w:cs="宋体"/>
                <w:color w:val="auto"/>
                <w:sz w:val="21"/>
                <w:szCs w:val="21"/>
                <w:highlight w:val="none"/>
              </w:rPr>
            </w:pPr>
          </w:p>
        </w:tc>
        <w:tc>
          <w:tcPr>
            <w:tcW w:w="2133" w:type="dxa"/>
            <w:gridSpan w:val="3"/>
            <w:vAlign w:val="center"/>
          </w:tcPr>
          <w:p w14:paraId="1EDE8FC7">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拟在本合同任职</w:t>
            </w:r>
          </w:p>
        </w:tc>
        <w:tc>
          <w:tcPr>
            <w:tcW w:w="2138" w:type="dxa"/>
            <w:vAlign w:val="center"/>
          </w:tcPr>
          <w:p w14:paraId="7E6FDD06">
            <w:pPr>
              <w:keepLines w:val="0"/>
              <w:pageBreakBefore w:val="0"/>
              <w:kinsoku/>
              <w:bidi w:val="0"/>
              <w:spacing w:line="360" w:lineRule="auto"/>
              <w:rPr>
                <w:rFonts w:hint="eastAsia" w:ascii="宋体" w:hAnsi="宋体" w:eastAsia="宋体" w:cs="宋体"/>
                <w:color w:val="auto"/>
                <w:sz w:val="21"/>
                <w:szCs w:val="21"/>
                <w:highlight w:val="none"/>
              </w:rPr>
            </w:pPr>
          </w:p>
        </w:tc>
      </w:tr>
      <w:tr w14:paraId="67C9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57" w:type="dxa"/>
            <w:vAlign w:val="center"/>
          </w:tcPr>
          <w:p w14:paraId="484E7D23">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7580" w:type="dxa"/>
            <w:gridSpan w:val="8"/>
            <w:vAlign w:val="center"/>
          </w:tcPr>
          <w:p w14:paraId="75131D2F">
            <w:pPr>
              <w:keepLines w:val="0"/>
              <w:pageBreakBefore w:val="0"/>
              <w:kinsoku/>
              <w:bidi w:val="0"/>
              <w:spacing w:line="360" w:lineRule="auto"/>
              <w:ind w:firstLine="1260" w:firstLineChars="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毕业于</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学校</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专业</w:t>
            </w:r>
          </w:p>
        </w:tc>
      </w:tr>
      <w:tr w14:paraId="6AA6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837" w:type="dxa"/>
            <w:gridSpan w:val="9"/>
            <w:vAlign w:val="center"/>
          </w:tcPr>
          <w:p w14:paraId="66D7651A">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14:paraId="097E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6E1BD3D0">
            <w:pPr>
              <w:keepLines w:val="0"/>
              <w:pageBreakBefore w:val="0"/>
              <w:kinsoku/>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c>
          <w:tcPr>
            <w:tcW w:w="3425" w:type="dxa"/>
            <w:gridSpan w:val="4"/>
            <w:vAlign w:val="center"/>
          </w:tcPr>
          <w:p w14:paraId="3769A906">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263" w:type="dxa"/>
            <w:vAlign w:val="center"/>
          </w:tcPr>
          <w:p w14:paraId="049C8D06">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2298" w:type="dxa"/>
            <w:gridSpan w:val="2"/>
            <w:vAlign w:val="center"/>
          </w:tcPr>
          <w:p w14:paraId="59EC599A">
            <w:pPr>
              <w:keepLines w:val="0"/>
              <w:pageBreakBefore w:val="0"/>
              <w:kinsoku/>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14:paraId="029E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4B9420CF">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6D500DF3">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5D1BE085">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10F2C985">
            <w:pPr>
              <w:keepLines w:val="0"/>
              <w:pageBreakBefore w:val="0"/>
              <w:kinsoku/>
              <w:bidi w:val="0"/>
              <w:spacing w:line="360" w:lineRule="auto"/>
              <w:rPr>
                <w:rFonts w:hint="eastAsia" w:ascii="宋体" w:hAnsi="宋体" w:eastAsia="宋体" w:cs="宋体"/>
                <w:color w:val="auto"/>
                <w:sz w:val="21"/>
                <w:szCs w:val="21"/>
                <w:highlight w:val="none"/>
              </w:rPr>
            </w:pPr>
          </w:p>
        </w:tc>
      </w:tr>
      <w:tr w14:paraId="7BC8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7095C2C8">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1ABD16B2">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7D3A2AF9">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4049D3D8">
            <w:pPr>
              <w:keepLines w:val="0"/>
              <w:pageBreakBefore w:val="0"/>
              <w:kinsoku/>
              <w:bidi w:val="0"/>
              <w:spacing w:line="360" w:lineRule="auto"/>
              <w:rPr>
                <w:rFonts w:hint="eastAsia" w:ascii="宋体" w:hAnsi="宋体" w:eastAsia="宋体" w:cs="宋体"/>
                <w:color w:val="auto"/>
                <w:sz w:val="21"/>
                <w:szCs w:val="21"/>
                <w:highlight w:val="none"/>
              </w:rPr>
            </w:pPr>
          </w:p>
        </w:tc>
      </w:tr>
      <w:tr w14:paraId="5056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23F0FCA9">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4A1E4962">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484A76B9">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0C91505F">
            <w:pPr>
              <w:keepLines w:val="0"/>
              <w:pageBreakBefore w:val="0"/>
              <w:kinsoku/>
              <w:bidi w:val="0"/>
              <w:spacing w:line="360" w:lineRule="auto"/>
              <w:rPr>
                <w:rFonts w:hint="eastAsia" w:ascii="宋体" w:hAnsi="宋体" w:eastAsia="宋体" w:cs="宋体"/>
                <w:color w:val="auto"/>
                <w:sz w:val="21"/>
                <w:szCs w:val="21"/>
                <w:highlight w:val="none"/>
              </w:rPr>
            </w:pPr>
          </w:p>
        </w:tc>
      </w:tr>
      <w:tr w14:paraId="4EE1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037E5D4B">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2963B600">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09588AD5">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236DEA84">
            <w:pPr>
              <w:keepLines w:val="0"/>
              <w:pageBreakBefore w:val="0"/>
              <w:kinsoku/>
              <w:bidi w:val="0"/>
              <w:spacing w:line="360" w:lineRule="auto"/>
              <w:rPr>
                <w:rFonts w:hint="eastAsia" w:ascii="宋体" w:hAnsi="宋体" w:eastAsia="宋体" w:cs="宋体"/>
                <w:color w:val="auto"/>
                <w:sz w:val="21"/>
                <w:szCs w:val="21"/>
                <w:highlight w:val="none"/>
              </w:rPr>
            </w:pPr>
          </w:p>
        </w:tc>
      </w:tr>
      <w:tr w14:paraId="640D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704F7057">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5810F669">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0BA49B45">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3FF6338D">
            <w:pPr>
              <w:keepLines w:val="0"/>
              <w:pageBreakBefore w:val="0"/>
              <w:kinsoku/>
              <w:bidi w:val="0"/>
              <w:spacing w:line="360" w:lineRule="auto"/>
              <w:rPr>
                <w:rFonts w:hint="eastAsia" w:ascii="宋体" w:hAnsi="宋体" w:eastAsia="宋体" w:cs="宋体"/>
                <w:color w:val="auto"/>
                <w:sz w:val="21"/>
                <w:szCs w:val="21"/>
                <w:highlight w:val="none"/>
              </w:rPr>
            </w:pPr>
          </w:p>
        </w:tc>
      </w:tr>
      <w:tr w14:paraId="0398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70250D0B">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75217E99">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0482F57A">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525D75FF">
            <w:pPr>
              <w:keepLines w:val="0"/>
              <w:pageBreakBefore w:val="0"/>
              <w:kinsoku/>
              <w:bidi w:val="0"/>
              <w:spacing w:line="360" w:lineRule="auto"/>
              <w:rPr>
                <w:rFonts w:hint="eastAsia" w:ascii="宋体" w:hAnsi="宋体" w:eastAsia="宋体" w:cs="宋体"/>
                <w:color w:val="auto"/>
                <w:sz w:val="21"/>
                <w:szCs w:val="21"/>
                <w:highlight w:val="none"/>
              </w:rPr>
            </w:pPr>
          </w:p>
        </w:tc>
      </w:tr>
      <w:tr w14:paraId="28BE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40EAFA7F">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5D795380">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2DA12FEE">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1FF3E36A">
            <w:pPr>
              <w:keepLines w:val="0"/>
              <w:pageBreakBefore w:val="0"/>
              <w:kinsoku/>
              <w:bidi w:val="0"/>
              <w:spacing w:line="360" w:lineRule="auto"/>
              <w:rPr>
                <w:rFonts w:hint="eastAsia" w:ascii="宋体" w:hAnsi="宋体" w:eastAsia="宋体" w:cs="宋体"/>
                <w:color w:val="auto"/>
                <w:sz w:val="21"/>
                <w:szCs w:val="21"/>
                <w:highlight w:val="none"/>
              </w:rPr>
            </w:pPr>
          </w:p>
        </w:tc>
      </w:tr>
      <w:tr w14:paraId="1DC2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71373649">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71C6A4E9">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564499EF">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65EFA970">
            <w:pPr>
              <w:keepLines w:val="0"/>
              <w:pageBreakBefore w:val="0"/>
              <w:kinsoku/>
              <w:bidi w:val="0"/>
              <w:spacing w:line="360" w:lineRule="auto"/>
              <w:rPr>
                <w:rFonts w:hint="eastAsia" w:ascii="宋体" w:hAnsi="宋体" w:eastAsia="宋体" w:cs="宋体"/>
                <w:color w:val="auto"/>
                <w:sz w:val="21"/>
                <w:szCs w:val="21"/>
                <w:highlight w:val="none"/>
              </w:rPr>
            </w:pPr>
          </w:p>
        </w:tc>
      </w:tr>
      <w:tr w14:paraId="27AD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1" w:type="dxa"/>
            <w:gridSpan w:val="2"/>
            <w:vAlign w:val="center"/>
          </w:tcPr>
          <w:p w14:paraId="00548024">
            <w:pPr>
              <w:keepLines w:val="0"/>
              <w:pageBreakBefore w:val="0"/>
              <w:kinsoku/>
              <w:bidi w:val="0"/>
              <w:spacing w:line="360" w:lineRule="auto"/>
              <w:jc w:val="center"/>
              <w:rPr>
                <w:rFonts w:hint="eastAsia" w:ascii="宋体" w:hAnsi="宋体" w:eastAsia="宋体" w:cs="宋体"/>
                <w:color w:val="auto"/>
                <w:sz w:val="21"/>
                <w:szCs w:val="21"/>
                <w:highlight w:val="none"/>
              </w:rPr>
            </w:pPr>
          </w:p>
        </w:tc>
        <w:tc>
          <w:tcPr>
            <w:tcW w:w="3425" w:type="dxa"/>
            <w:gridSpan w:val="4"/>
            <w:vAlign w:val="center"/>
          </w:tcPr>
          <w:p w14:paraId="18354CD9">
            <w:pPr>
              <w:keepLines w:val="0"/>
              <w:pageBreakBefore w:val="0"/>
              <w:kinsoku/>
              <w:bidi w:val="0"/>
              <w:spacing w:line="360" w:lineRule="auto"/>
              <w:rPr>
                <w:rFonts w:hint="eastAsia" w:ascii="宋体" w:hAnsi="宋体" w:eastAsia="宋体" w:cs="宋体"/>
                <w:color w:val="auto"/>
                <w:sz w:val="21"/>
                <w:szCs w:val="21"/>
                <w:highlight w:val="none"/>
              </w:rPr>
            </w:pPr>
          </w:p>
        </w:tc>
        <w:tc>
          <w:tcPr>
            <w:tcW w:w="1263" w:type="dxa"/>
            <w:vAlign w:val="center"/>
          </w:tcPr>
          <w:p w14:paraId="52B7EA09">
            <w:pPr>
              <w:keepLines w:val="0"/>
              <w:pageBreakBefore w:val="0"/>
              <w:kinsoku/>
              <w:bidi w:val="0"/>
              <w:spacing w:line="360" w:lineRule="auto"/>
              <w:rPr>
                <w:rFonts w:hint="eastAsia" w:ascii="宋体" w:hAnsi="宋体" w:eastAsia="宋体" w:cs="宋体"/>
                <w:color w:val="auto"/>
                <w:sz w:val="21"/>
                <w:szCs w:val="21"/>
                <w:highlight w:val="none"/>
              </w:rPr>
            </w:pPr>
          </w:p>
        </w:tc>
        <w:tc>
          <w:tcPr>
            <w:tcW w:w="2298" w:type="dxa"/>
            <w:gridSpan w:val="2"/>
            <w:vAlign w:val="center"/>
          </w:tcPr>
          <w:p w14:paraId="492E94D8">
            <w:pPr>
              <w:keepLines w:val="0"/>
              <w:pageBreakBefore w:val="0"/>
              <w:kinsoku/>
              <w:bidi w:val="0"/>
              <w:spacing w:line="360" w:lineRule="auto"/>
              <w:rPr>
                <w:rFonts w:hint="eastAsia" w:ascii="宋体" w:hAnsi="宋体" w:eastAsia="宋体" w:cs="宋体"/>
                <w:color w:val="auto"/>
                <w:sz w:val="21"/>
                <w:szCs w:val="21"/>
                <w:highlight w:val="none"/>
              </w:rPr>
            </w:pPr>
          </w:p>
        </w:tc>
      </w:tr>
    </w:tbl>
    <w:p w14:paraId="6DCBAF77">
      <w:pPr>
        <w:keepLines w:val="0"/>
        <w:pageBreakBefore w:val="0"/>
        <w:kinsoku/>
        <w:bidi w:val="0"/>
        <w:spacing w:line="360" w:lineRule="auto"/>
        <w:rPr>
          <w:rFonts w:hint="eastAsia" w:ascii="宋体" w:hAnsi="宋体" w:eastAsia="宋体" w:cs="宋体"/>
          <w:color w:val="auto"/>
          <w:highlight w:val="none"/>
          <w:u w:val="none"/>
          <w:lang w:val="en-US" w:eastAsia="zh-CN"/>
        </w:rPr>
      </w:pPr>
    </w:p>
    <w:p w14:paraId="2C9EC00E">
      <w:pPr>
        <w:pStyle w:val="137"/>
        <w:keepLines w:val="0"/>
        <w:pageBreakBefore w:val="0"/>
        <w:numPr>
          <w:ilvl w:val="0"/>
          <w:numId w:val="0"/>
        </w:numPr>
        <w:kinsoku/>
        <w:bidi w:val="0"/>
        <w:spacing w:before="0" w:after="0"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注：后附人员相关证件。</w:t>
      </w:r>
    </w:p>
    <w:p w14:paraId="6C4E71C7">
      <w:pPr>
        <w:keepLines w:val="0"/>
        <w:pageBreakBefore w:val="0"/>
        <w:kinsoku/>
        <w:bidi w:val="0"/>
        <w:spacing w:line="360" w:lineRule="auto"/>
        <w:rPr>
          <w:rFonts w:hint="eastAsia" w:ascii="宋体" w:hAnsi="宋体" w:eastAsia="宋体" w:cs="宋体"/>
          <w:color w:val="auto"/>
          <w:highlight w:val="none"/>
          <w:u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9A41A00">
      <w:pPr>
        <w:pStyle w:val="2"/>
        <w:keepLines w:val="0"/>
        <w:pageBreakBefore w:val="0"/>
        <w:kinsoku/>
        <w:wordWrap/>
        <w:overflowPunct/>
        <w:topLinePunct w:val="0"/>
        <w:bidi w:val="0"/>
        <w:spacing w:line="360" w:lineRule="auto"/>
        <w:textAlignment w:val="auto"/>
        <w:rPr>
          <w:rFonts w:hint="eastAsia" w:ascii="宋体" w:hAnsi="宋体" w:eastAsia="宋体" w:cs="宋体"/>
          <w:b/>
          <w:bCs/>
          <w:color w:val="auto"/>
          <w:sz w:val="28"/>
          <w:szCs w:val="28"/>
          <w:highlight w:val="none"/>
          <w:lang w:val="zh-CN"/>
        </w:rPr>
      </w:pPr>
      <w:bookmarkStart w:id="578" w:name="_Toc9084"/>
      <w:bookmarkStart w:id="579" w:name="_Toc5799"/>
      <w:r>
        <w:rPr>
          <w:rFonts w:hint="eastAsia" w:ascii="宋体" w:hAnsi="宋体" w:eastAsia="宋体" w:cs="宋体"/>
          <w:b/>
          <w:bCs/>
          <w:color w:val="auto"/>
          <w:sz w:val="28"/>
          <w:szCs w:val="28"/>
          <w:highlight w:val="none"/>
          <w:lang w:val="zh-CN"/>
        </w:rPr>
        <w:t>第</w:t>
      </w: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lang w:val="zh-CN"/>
        </w:rPr>
        <w:t>部分</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供应商资质证明文件</w:t>
      </w:r>
      <w:bookmarkEnd w:id="578"/>
      <w:bookmarkEnd w:id="579"/>
    </w:p>
    <w:p w14:paraId="26EFAABC">
      <w:pPr>
        <w:pStyle w:val="84"/>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1、磋商供应商基本情况表；</w:t>
      </w:r>
    </w:p>
    <w:p w14:paraId="3644A4B1">
      <w:pPr>
        <w:keepNext w:val="0"/>
        <w:keepLines w:val="0"/>
        <w:pageBreakBefore w:val="0"/>
        <w:numPr>
          <w:ilvl w:val="0"/>
          <w:numId w:val="0"/>
        </w:numPr>
        <w:kinsoku/>
        <w:wordWrap/>
        <w:overflowPunct/>
        <w:topLinePunct w:val="0"/>
        <w:bidi w:val="0"/>
        <w:snapToGrid/>
        <w:spacing w:line="36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满足《中华人民共和国政府采购法》第二十二条规定</w:t>
      </w:r>
    </w:p>
    <w:p w14:paraId="048E86B3">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具有独立承担民事责任能力的法人、其他组织或自然人，并出具合法有效的营业执照或事业单位法人证书等国家规定的相关证明，自然人参与的提供其身份证明；</w:t>
      </w:r>
    </w:p>
    <w:p w14:paraId="2C21004C">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提供具有财务审计资质单位出具的2023年-2024年任意一年年度财务报告（包括资产负债表、利润表、现金流量表及会计报表附注，成立时间至开标时间不足一年的可提供成立后任意时段的资产负债表）或开标前六个月内其基本账户银行出具的资信证明（附开户许可证或基本存款账户信息）或政府采购信用担保机构出具的投标担保函；</w:t>
      </w:r>
    </w:p>
    <w:p w14:paraId="13ED683A">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供应商须提供2024年7月至今任意一个月已缴纳完税凭证或税务机关开具的完税证明，依法免税或无须缴纳税收的供应商应提供相关文件证明； </w:t>
      </w:r>
    </w:p>
    <w:p w14:paraId="10E6A93B">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供应商须提供2024年7月至今任意一个月已缴纳的社会保障资金缴存单据或社保机构开具的社会保险参保缴费情况证明，依法不需要缴纳社会保障资金的供应商应提供相关证明；</w:t>
      </w:r>
    </w:p>
    <w:p w14:paraId="1768961B">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具备履行合同所必需的设备和专业技术能力的证明材料(由供应商根据项目需求提供说明材料或者承诺)；</w:t>
      </w:r>
    </w:p>
    <w:p w14:paraId="70AF064C">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提供参加政府采购活动前三年内在经营活动中没有重大违法记录的书面声明；</w:t>
      </w:r>
    </w:p>
    <w:p w14:paraId="00E3260B">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落实政府采购政策需满足的资格要求：</w:t>
      </w:r>
      <w:r>
        <w:rPr>
          <w:rFonts w:hint="eastAsia" w:ascii="宋体" w:hAnsi="宋体" w:eastAsia="宋体" w:cs="宋体"/>
          <w:b/>
          <w:bCs/>
          <w:color w:val="auto"/>
          <w:sz w:val="21"/>
          <w:szCs w:val="21"/>
          <w:highlight w:val="none"/>
          <w:lang w:val="en-US" w:eastAsia="zh-CN"/>
        </w:rPr>
        <w:t>本项目专门面向</w:t>
      </w:r>
      <w:r>
        <w:rPr>
          <w:rFonts w:hint="eastAsia" w:ascii="宋体" w:hAnsi="宋体" w:cs="宋体"/>
          <w:b/>
          <w:bCs/>
          <w:color w:val="auto"/>
          <w:sz w:val="21"/>
          <w:szCs w:val="21"/>
          <w:highlight w:val="none"/>
          <w:lang w:val="en-US" w:eastAsia="zh-CN"/>
        </w:rPr>
        <w:t>中小</w:t>
      </w:r>
      <w:r>
        <w:rPr>
          <w:rFonts w:hint="eastAsia" w:ascii="宋体" w:hAnsi="宋体" w:eastAsia="宋体" w:cs="宋体"/>
          <w:b/>
          <w:bCs/>
          <w:color w:val="auto"/>
          <w:sz w:val="21"/>
          <w:szCs w:val="21"/>
          <w:highlight w:val="none"/>
          <w:lang w:val="en-US" w:eastAsia="zh-CN"/>
        </w:rPr>
        <w:t>企业采购。</w:t>
      </w:r>
    </w:p>
    <w:p w14:paraId="03FD441D">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、本项目的特定资格要求：</w:t>
      </w:r>
    </w:p>
    <w:p w14:paraId="211B4708">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p>
    <w:p w14:paraId="58C6E63D">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供应商须具备建筑工程施工总承包叁级（含叁级）以上资质，同时具备建设行政主管部门颁发有效的安全生产许可证；</w:t>
      </w:r>
    </w:p>
    <w:p w14:paraId="4FAF1F58">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拟投入的项目经理须具备建筑工程专业贰级（含贰级）以上注册建造师执业资格和有效的安全生产考核B证，且未担任其他在建工程项目的项目经理（需提供企业书面承诺等证明材料）；</w:t>
      </w:r>
    </w:p>
    <w:p w14:paraId="266882AA">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p>
    <w:p w14:paraId="01DFFF7C">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与招标人存在利害关系可能影响招标公正性的单位，不得参加投标、单位负责人为同一人或存在控股、管理关系的不同单位，不得参加同一标段投标，否则，相关投标均无效；</w:t>
      </w:r>
    </w:p>
    <w:p w14:paraId="60512855">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本项目不接受联合体磋商。</w:t>
      </w:r>
    </w:p>
    <w:p w14:paraId="529941F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注：供应商按以上序号顺序提供相关资格证明文件的复印件或扫描件，并逐页加盖单位公章（信用中国、中国执行信息公开网和中国政府采购网信用记录可不提供，由代理机构查询并留存为准）。</w:t>
      </w:r>
    </w:p>
    <w:p w14:paraId="25E53340">
      <w:pPr>
        <w:pStyle w:val="16"/>
        <w:keepNext w:val="0"/>
        <w:keepLines w:val="0"/>
        <w:pageBreakBefore w:val="0"/>
        <w:kinsoku/>
        <w:wordWrap/>
        <w:overflowPunct/>
        <w:topLinePunct w:val="0"/>
        <w:bidi w:val="0"/>
        <w:spacing w:line="420" w:lineRule="exact"/>
        <w:rPr>
          <w:rFonts w:hint="eastAsia" w:ascii="宋体" w:hAnsi="宋体" w:eastAsia="宋体" w:cs="宋体"/>
          <w:b/>
          <w:bCs/>
          <w:color w:val="auto"/>
          <w:sz w:val="21"/>
          <w:szCs w:val="21"/>
          <w:highlight w:val="none"/>
          <w:lang w:val="en-US" w:eastAsia="zh-CN"/>
        </w:rPr>
      </w:pPr>
    </w:p>
    <w:p w14:paraId="77E979AC">
      <w:pPr>
        <w:keepNext w:val="0"/>
        <w:keepLines w:val="0"/>
        <w:pageBreakBefore w:val="0"/>
        <w:kinsoku/>
        <w:wordWrap/>
        <w:overflowPunct/>
        <w:topLinePunct w:val="0"/>
        <w:bidi w:val="0"/>
        <w:spacing w:line="420" w:lineRule="exact"/>
        <w:rPr>
          <w:rFonts w:hint="eastAsia" w:ascii="宋体" w:hAnsi="宋体" w:eastAsia="宋体" w:cs="宋体"/>
          <w:b/>
          <w:bCs/>
          <w:color w:val="auto"/>
          <w:sz w:val="21"/>
          <w:szCs w:val="21"/>
          <w:highlight w:val="none"/>
          <w:lang w:val="en-US" w:eastAsia="zh-CN"/>
        </w:rPr>
      </w:pPr>
    </w:p>
    <w:p w14:paraId="41A4FA4A">
      <w:pPr>
        <w:pStyle w:val="16"/>
        <w:keepNext w:val="0"/>
        <w:keepLines w:val="0"/>
        <w:pageBreakBefore w:val="0"/>
        <w:kinsoku/>
        <w:wordWrap/>
        <w:overflowPunct/>
        <w:topLinePunct w:val="0"/>
        <w:bidi w:val="0"/>
        <w:spacing w:line="420" w:lineRule="exact"/>
        <w:rPr>
          <w:rFonts w:hint="eastAsia" w:ascii="宋体" w:hAnsi="宋体" w:eastAsia="宋体" w:cs="宋体"/>
          <w:b/>
          <w:bCs/>
          <w:color w:val="auto"/>
          <w:sz w:val="21"/>
          <w:szCs w:val="21"/>
          <w:highlight w:val="none"/>
          <w:lang w:val="en-US" w:eastAsia="zh-CN"/>
        </w:rPr>
      </w:pPr>
    </w:p>
    <w:p w14:paraId="19406319">
      <w:pPr>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1、磋商供应商基本情况表</w:t>
      </w:r>
    </w:p>
    <w:tbl>
      <w:tblPr>
        <w:tblStyle w:val="37"/>
        <w:tblW w:w="9067"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7"/>
        <w:gridCol w:w="947"/>
        <w:gridCol w:w="1503"/>
        <w:gridCol w:w="1250"/>
        <w:gridCol w:w="1484"/>
        <w:gridCol w:w="1023"/>
        <w:gridCol w:w="1163"/>
      </w:tblGrid>
      <w:tr w14:paraId="70155E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12" w:space="0"/>
              <w:left w:val="single" w:color="auto" w:sz="12" w:space="0"/>
              <w:bottom w:val="single" w:color="auto" w:sz="6" w:space="0"/>
              <w:right w:val="single" w:color="auto" w:sz="6" w:space="0"/>
            </w:tcBorders>
            <w:vAlign w:val="center"/>
          </w:tcPr>
          <w:p w14:paraId="48EEA35F">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磋商供应商</w:t>
            </w:r>
          </w:p>
          <w:p w14:paraId="721CF5EE">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7370" w:type="dxa"/>
            <w:gridSpan w:val="6"/>
            <w:tcBorders>
              <w:top w:val="single" w:color="auto" w:sz="12" w:space="0"/>
              <w:left w:val="single" w:color="auto" w:sz="6" w:space="0"/>
              <w:bottom w:val="single" w:color="auto" w:sz="6" w:space="0"/>
              <w:right w:val="single" w:color="auto" w:sz="12" w:space="0"/>
            </w:tcBorders>
            <w:vAlign w:val="center"/>
          </w:tcPr>
          <w:p w14:paraId="0637992C">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r>
      <w:tr w14:paraId="1285D5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vAlign w:val="center"/>
          </w:tcPr>
          <w:p w14:paraId="10FFEA59">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注册地址</w:t>
            </w:r>
          </w:p>
        </w:tc>
        <w:tc>
          <w:tcPr>
            <w:tcW w:w="3700" w:type="dxa"/>
            <w:gridSpan w:val="3"/>
            <w:tcBorders>
              <w:top w:val="single" w:color="auto" w:sz="6" w:space="0"/>
              <w:left w:val="single" w:color="auto" w:sz="6" w:space="0"/>
              <w:bottom w:val="single" w:color="auto" w:sz="6" w:space="0"/>
              <w:right w:val="single" w:color="auto" w:sz="6" w:space="0"/>
            </w:tcBorders>
            <w:vAlign w:val="center"/>
          </w:tcPr>
          <w:p w14:paraId="26058379">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0273097A">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3E24D1F7">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r>
      <w:tr w14:paraId="0B4AE4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vMerge w:val="restart"/>
            <w:tcBorders>
              <w:top w:val="single" w:color="auto" w:sz="6" w:space="0"/>
              <w:left w:val="single" w:color="auto" w:sz="12" w:space="0"/>
              <w:bottom w:val="single" w:color="auto" w:sz="6" w:space="0"/>
              <w:right w:val="single" w:color="auto" w:sz="6" w:space="0"/>
            </w:tcBorders>
            <w:vAlign w:val="center"/>
          </w:tcPr>
          <w:p w14:paraId="7E8E550E">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p>
        </w:tc>
        <w:tc>
          <w:tcPr>
            <w:tcW w:w="947" w:type="dxa"/>
            <w:tcBorders>
              <w:top w:val="single" w:color="auto" w:sz="6" w:space="0"/>
              <w:left w:val="single" w:color="auto" w:sz="6" w:space="0"/>
              <w:bottom w:val="single" w:color="auto" w:sz="6" w:space="0"/>
              <w:right w:val="single" w:color="auto" w:sz="6" w:space="0"/>
            </w:tcBorders>
            <w:vAlign w:val="center"/>
          </w:tcPr>
          <w:p w14:paraId="360D2F10">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p>
        </w:tc>
        <w:tc>
          <w:tcPr>
            <w:tcW w:w="2753" w:type="dxa"/>
            <w:gridSpan w:val="2"/>
            <w:tcBorders>
              <w:top w:val="single" w:color="auto" w:sz="6" w:space="0"/>
              <w:left w:val="single" w:color="auto" w:sz="6" w:space="0"/>
              <w:bottom w:val="single" w:color="auto" w:sz="6" w:space="0"/>
              <w:right w:val="single" w:color="auto" w:sz="6" w:space="0"/>
            </w:tcBorders>
            <w:vAlign w:val="center"/>
          </w:tcPr>
          <w:p w14:paraId="142EDB09">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3DFD3C17">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3B499810">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r>
      <w:tr w14:paraId="7DFB40A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7" w:type="dxa"/>
            <w:vMerge w:val="continue"/>
            <w:tcBorders>
              <w:top w:val="single" w:color="auto" w:sz="6" w:space="0"/>
              <w:left w:val="single" w:color="auto" w:sz="12" w:space="0"/>
              <w:bottom w:val="single" w:color="auto" w:sz="6" w:space="0"/>
              <w:right w:val="single" w:color="auto" w:sz="6" w:space="0"/>
            </w:tcBorders>
            <w:vAlign w:val="center"/>
          </w:tcPr>
          <w:p w14:paraId="76D7FDDE">
            <w:pPr>
              <w:keepNext w:val="0"/>
              <w:keepLines w:val="0"/>
              <w:pageBreakBefore w:val="0"/>
              <w:widowControl/>
              <w:kinsoku/>
              <w:wordWrap/>
              <w:overflowPunct/>
              <w:topLinePunct w:val="0"/>
              <w:bidi w:val="0"/>
              <w:spacing w:line="420" w:lineRule="exact"/>
              <w:jc w:val="left"/>
              <w:rPr>
                <w:rFonts w:hint="eastAsia" w:ascii="宋体" w:hAnsi="宋体" w:eastAsia="宋体" w:cs="宋体"/>
                <w:color w:val="auto"/>
                <w:kern w:val="0"/>
                <w:sz w:val="21"/>
                <w:szCs w:val="21"/>
                <w:highlight w:val="none"/>
              </w:rPr>
            </w:pPr>
          </w:p>
        </w:tc>
        <w:tc>
          <w:tcPr>
            <w:tcW w:w="947" w:type="dxa"/>
            <w:tcBorders>
              <w:top w:val="single" w:color="auto" w:sz="6" w:space="0"/>
              <w:left w:val="single" w:color="auto" w:sz="6" w:space="0"/>
              <w:bottom w:val="single" w:color="auto" w:sz="6" w:space="0"/>
              <w:right w:val="single" w:color="auto" w:sz="6" w:space="0"/>
            </w:tcBorders>
            <w:vAlign w:val="center"/>
          </w:tcPr>
          <w:p w14:paraId="6D4FDAA3">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w:t>
            </w:r>
          </w:p>
        </w:tc>
        <w:tc>
          <w:tcPr>
            <w:tcW w:w="2753" w:type="dxa"/>
            <w:gridSpan w:val="2"/>
            <w:tcBorders>
              <w:top w:val="single" w:color="auto" w:sz="6" w:space="0"/>
              <w:left w:val="single" w:color="auto" w:sz="6" w:space="0"/>
              <w:bottom w:val="single" w:color="auto" w:sz="6" w:space="0"/>
              <w:right w:val="single" w:color="auto" w:sz="6" w:space="0"/>
            </w:tcBorders>
            <w:vAlign w:val="center"/>
          </w:tcPr>
          <w:p w14:paraId="54EC05BA">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58E82B39">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网址</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1E3F068C">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r>
      <w:tr w14:paraId="2DB1B1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14:paraId="12A57874">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单位性质</w:t>
            </w:r>
          </w:p>
        </w:tc>
        <w:tc>
          <w:tcPr>
            <w:tcW w:w="7370" w:type="dxa"/>
            <w:gridSpan w:val="6"/>
            <w:tcBorders>
              <w:top w:val="single" w:color="auto" w:sz="6" w:space="0"/>
              <w:left w:val="single" w:color="auto" w:sz="6" w:space="0"/>
              <w:bottom w:val="single" w:color="auto" w:sz="6" w:space="0"/>
              <w:right w:val="single" w:color="auto" w:sz="12" w:space="0"/>
            </w:tcBorders>
            <w:vAlign w:val="center"/>
          </w:tcPr>
          <w:p w14:paraId="56CA9C18">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r>
      <w:tr w14:paraId="162A1B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7" w:type="dxa"/>
            <w:tcBorders>
              <w:top w:val="single" w:color="auto" w:sz="6" w:space="0"/>
              <w:left w:val="single" w:color="auto" w:sz="12" w:space="0"/>
              <w:bottom w:val="single" w:color="auto" w:sz="6" w:space="0"/>
              <w:right w:val="single" w:color="auto" w:sz="6" w:space="0"/>
            </w:tcBorders>
            <w:vAlign w:val="center"/>
          </w:tcPr>
          <w:p w14:paraId="33DDAB52">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p>
        </w:tc>
        <w:tc>
          <w:tcPr>
            <w:tcW w:w="947" w:type="dxa"/>
            <w:tcBorders>
              <w:top w:val="single" w:color="auto" w:sz="6" w:space="0"/>
              <w:left w:val="single" w:color="auto" w:sz="6" w:space="0"/>
              <w:bottom w:val="single" w:color="auto" w:sz="6" w:space="0"/>
              <w:right w:val="single" w:color="auto" w:sz="6" w:space="0"/>
            </w:tcBorders>
            <w:vAlign w:val="center"/>
          </w:tcPr>
          <w:p w14:paraId="46921ED6">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1503" w:type="dxa"/>
            <w:tcBorders>
              <w:top w:val="single" w:color="auto" w:sz="6" w:space="0"/>
              <w:left w:val="single" w:color="auto" w:sz="6" w:space="0"/>
              <w:bottom w:val="single" w:color="auto" w:sz="6" w:space="0"/>
              <w:right w:val="single" w:color="auto" w:sz="6" w:space="0"/>
            </w:tcBorders>
            <w:vAlign w:val="center"/>
          </w:tcPr>
          <w:p w14:paraId="2F529658">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250" w:type="dxa"/>
            <w:tcBorders>
              <w:top w:val="single" w:color="auto" w:sz="6" w:space="0"/>
              <w:left w:val="single" w:color="auto" w:sz="6" w:space="0"/>
              <w:bottom w:val="single" w:color="auto" w:sz="6" w:space="0"/>
              <w:right w:val="single" w:color="auto" w:sz="6" w:space="0"/>
            </w:tcBorders>
            <w:vAlign w:val="center"/>
          </w:tcPr>
          <w:p w14:paraId="3704E970">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技术职称</w:t>
            </w:r>
          </w:p>
        </w:tc>
        <w:tc>
          <w:tcPr>
            <w:tcW w:w="1484" w:type="dxa"/>
            <w:tcBorders>
              <w:top w:val="single" w:color="auto" w:sz="6" w:space="0"/>
              <w:left w:val="single" w:color="auto" w:sz="6" w:space="0"/>
              <w:bottom w:val="single" w:color="auto" w:sz="6" w:space="0"/>
              <w:right w:val="single" w:color="auto" w:sz="6" w:space="0"/>
            </w:tcBorders>
            <w:vAlign w:val="center"/>
          </w:tcPr>
          <w:p w14:paraId="57BB6A27">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023" w:type="dxa"/>
            <w:tcBorders>
              <w:top w:val="single" w:color="auto" w:sz="6" w:space="0"/>
              <w:left w:val="single" w:color="auto" w:sz="6" w:space="0"/>
              <w:bottom w:val="single" w:color="auto" w:sz="6" w:space="0"/>
              <w:right w:val="single" w:color="auto" w:sz="6" w:space="0"/>
            </w:tcBorders>
            <w:vAlign w:val="center"/>
          </w:tcPr>
          <w:p w14:paraId="66F85C01">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1163" w:type="dxa"/>
            <w:tcBorders>
              <w:top w:val="single" w:color="auto" w:sz="6" w:space="0"/>
              <w:left w:val="single" w:color="auto" w:sz="6" w:space="0"/>
              <w:bottom w:val="single" w:color="auto" w:sz="6" w:space="0"/>
              <w:right w:val="single" w:color="auto" w:sz="12" w:space="0"/>
            </w:tcBorders>
            <w:vAlign w:val="center"/>
          </w:tcPr>
          <w:p w14:paraId="7AA74887">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b/>
                <w:bCs/>
                <w:color w:val="auto"/>
                <w:kern w:val="0"/>
                <w:sz w:val="21"/>
                <w:szCs w:val="21"/>
                <w:highlight w:val="none"/>
              </w:rPr>
            </w:pPr>
          </w:p>
        </w:tc>
      </w:tr>
      <w:tr w14:paraId="7675B4A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14:paraId="7A7D470D">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技术负责人</w:t>
            </w:r>
          </w:p>
        </w:tc>
        <w:tc>
          <w:tcPr>
            <w:tcW w:w="947" w:type="dxa"/>
            <w:tcBorders>
              <w:top w:val="single" w:color="auto" w:sz="6" w:space="0"/>
              <w:left w:val="single" w:color="auto" w:sz="6" w:space="0"/>
              <w:bottom w:val="single" w:color="auto" w:sz="4" w:space="0"/>
              <w:right w:val="single" w:color="auto" w:sz="6" w:space="0"/>
            </w:tcBorders>
            <w:vAlign w:val="center"/>
          </w:tcPr>
          <w:p w14:paraId="19BC70A0">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1503" w:type="dxa"/>
            <w:tcBorders>
              <w:top w:val="single" w:color="auto" w:sz="6" w:space="0"/>
              <w:left w:val="single" w:color="auto" w:sz="6" w:space="0"/>
              <w:bottom w:val="single" w:color="auto" w:sz="4" w:space="0"/>
              <w:right w:val="single" w:color="auto" w:sz="6" w:space="0"/>
            </w:tcBorders>
            <w:vAlign w:val="center"/>
          </w:tcPr>
          <w:p w14:paraId="6920B5AF">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250" w:type="dxa"/>
            <w:tcBorders>
              <w:top w:val="single" w:color="auto" w:sz="6" w:space="0"/>
              <w:left w:val="single" w:color="auto" w:sz="6" w:space="0"/>
              <w:bottom w:val="single" w:color="auto" w:sz="4" w:space="0"/>
              <w:right w:val="single" w:color="auto" w:sz="6" w:space="0"/>
            </w:tcBorders>
            <w:vAlign w:val="center"/>
          </w:tcPr>
          <w:p w14:paraId="0380350E">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技术职称</w:t>
            </w:r>
          </w:p>
        </w:tc>
        <w:tc>
          <w:tcPr>
            <w:tcW w:w="1484" w:type="dxa"/>
            <w:tcBorders>
              <w:top w:val="single" w:color="auto" w:sz="6" w:space="0"/>
              <w:left w:val="single" w:color="auto" w:sz="6" w:space="0"/>
              <w:bottom w:val="single" w:color="auto" w:sz="6" w:space="0"/>
              <w:right w:val="single" w:color="auto" w:sz="6" w:space="0"/>
            </w:tcBorders>
            <w:vAlign w:val="center"/>
          </w:tcPr>
          <w:p w14:paraId="7200FF57">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023" w:type="dxa"/>
            <w:tcBorders>
              <w:top w:val="single" w:color="auto" w:sz="6" w:space="0"/>
              <w:left w:val="single" w:color="auto" w:sz="6" w:space="0"/>
              <w:bottom w:val="single" w:color="auto" w:sz="6" w:space="0"/>
              <w:right w:val="single" w:color="auto" w:sz="6" w:space="0"/>
            </w:tcBorders>
            <w:vAlign w:val="center"/>
          </w:tcPr>
          <w:p w14:paraId="5940B7C6">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1163" w:type="dxa"/>
            <w:tcBorders>
              <w:top w:val="single" w:color="auto" w:sz="6" w:space="0"/>
              <w:left w:val="single" w:color="auto" w:sz="6" w:space="0"/>
              <w:bottom w:val="single" w:color="auto" w:sz="6" w:space="0"/>
              <w:right w:val="single" w:color="auto" w:sz="12" w:space="0"/>
            </w:tcBorders>
            <w:vAlign w:val="center"/>
          </w:tcPr>
          <w:p w14:paraId="6B3C86E5">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b/>
                <w:bCs/>
                <w:color w:val="auto"/>
                <w:kern w:val="0"/>
                <w:sz w:val="21"/>
                <w:szCs w:val="21"/>
                <w:highlight w:val="none"/>
              </w:rPr>
            </w:pPr>
          </w:p>
        </w:tc>
      </w:tr>
      <w:tr w14:paraId="4E85E8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4" w:space="0"/>
            </w:tcBorders>
            <w:vAlign w:val="center"/>
          </w:tcPr>
          <w:p w14:paraId="626F2C24">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企业资质等级</w:t>
            </w:r>
          </w:p>
        </w:tc>
        <w:tc>
          <w:tcPr>
            <w:tcW w:w="2450" w:type="dxa"/>
            <w:gridSpan w:val="2"/>
            <w:tcBorders>
              <w:top w:val="single" w:color="auto" w:sz="4" w:space="0"/>
              <w:left w:val="single" w:color="auto" w:sz="4" w:space="0"/>
              <w:bottom w:val="single" w:color="auto" w:sz="4" w:space="0"/>
              <w:right w:val="single" w:color="auto" w:sz="4" w:space="0"/>
            </w:tcBorders>
            <w:vAlign w:val="center"/>
          </w:tcPr>
          <w:p w14:paraId="51B691AF">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bCs/>
                <w:color w:val="auto"/>
                <w:kern w:val="0"/>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41B0F0D1">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成立时间</w:t>
            </w:r>
          </w:p>
        </w:tc>
        <w:tc>
          <w:tcPr>
            <w:tcW w:w="3670" w:type="dxa"/>
            <w:gridSpan w:val="3"/>
            <w:tcBorders>
              <w:top w:val="single" w:color="auto" w:sz="6" w:space="0"/>
              <w:left w:val="single" w:color="auto" w:sz="4" w:space="0"/>
              <w:right w:val="single" w:color="auto" w:sz="12" w:space="0"/>
            </w:tcBorders>
            <w:vAlign w:val="center"/>
          </w:tcPr>
          <w:p w14:paraId="5DDAE744">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bCs/>
                <w:color w:val="auto"/>
                <w:kern w:val="0"/>
                <w:sz w:val="21"/>
                <w:szCs w:val="21"/>
                <w:highlight w:val="none"/>
              </w:rPr>
            </w:pPr>
          </w:p>
        </w:tc>
      </w:tr>
      <w:tr w14:paraId="1BC615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14:paraId="165E1201">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注册资金</w:t>
            </w:r>
          </w:p>
        </w:tc>
        <w:tc>
          <w:tcPr>
            <w:tcW w:w="2450" w:type="dxa"/>
            <w:gridSpan w:val="2"/>
            <w:tcBorders>
              <w:top w:val="single" w:color="auto" w:sz="4" w:space="0"/>
              <w:left w:val="single" w:color="auto" w:sz="6" w:space="0"/>
              <w:bottom w:val="single" w:color="auto" w:sz="6" w:space="0"/>
              <w:right w:val="single" w:color="auto" w:sz="6" w:space="0"/>
            </w:tcBorders>
            <w:vAlign w:val="center"/>
          </w:tcPr>
          <w:p w14:paraId="439237CA">
            <w:pPr>
              <w:keepNext w:val="0"/>
              <w:keepLines w:val="0"/>
              <w:pageBreakBefore w:val="0"/>
              <w:kinsoku/>
              <w:wordWrap/>
              <w:overflowPunct/>
              <w:topLinePunct w:val="0"/>
              <w:autoSpaceDE w:val="0"/>
              <w:autoSpaceDN w:val="0"/>
              <w:bidi w:val="0"/>
              <w:adjustRightInd w:val="0"/>
              <w:spacing w:line="420" w:lineRule="exact"/>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50" w:type="dxa"/>
            <w:vMerge w:val="restart"/>
            <w:tcBorders>
              <w:top w:val="single" w:color="auto" w:sz="4" w:space="0"/>
              <w:left w:val="single" w:color="auto" w:sz="6" w:space="0"/>
              <w:right w:val="single" w:color="auto" w:sz="6" w:space="0"/>
            </w:tcBorders>
            <w:vAlign w:val="center"/>
          </w:tcPr>
          <w:p w14:paraId="32E45020">
            <w:pPr>
              <w:keepNext w:val="0"/>
              <w:keepLines w:val="0"/>
              <w:pageBreakBefore w:val="0"/>
              <w:widowControl/>
              <w:kinsoku/>
              <w:wordWrap/>
              <w:overflowPunct/>
              <w:topLinePunct w:val="0"/>
              <w:bidi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固定资产</w:t>
            </w:r>
          </w:p>
        </w:tc>
        <w:tc>
          <w:tcPr>
            <w:tcW w:w="1484" w:type="dxa"/>
            <w:tcBorders>
              <w:top w:val="single" w:color="auto" w:sz="6" w:space="0"/>
              <w:left w:val="single" w:color="auto" w:sz="6" w:space="0"/>
              <w:bottom w:val="single" w:color="auto" w:sz="6" w:space="0"/>
              <w:right w:val="single" w:color="auto" w:sz="6" w:space="0"/>
            </w:tcBorders>
            <w:vAlign w:val="center"/>
          </w:tcPr>
          <w:p w14:paraId="48357077">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原值</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3179AC1F">
            <w:pPr>
              <w:keepNext w:val="0"/>
              <w:keepLines w:val="0"/>
              <w:pageBreakBefore w:val="0"/>
              <w:kinsoku/>
              <w:wordWrap/>
              <w:overflowPunct/>
              <w:topLinePunct w:val="0"/>
              <w:autoSpaceDE w:val="0"/>
              <w:autoSpaceDN w:val="0"/>
              <w:bidi w:val="0"/>
              <w:adjustRightInd w:val="0"/>
              <w:spacing w:line="42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万元</w:t>
            </w:r>
          </w:p>
        </w:tc>
      </w:tr>
      <w:tr w14:paraId="3CC99E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14:paraId="4D65DA42">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流动资金</w:t>
            </w:r>
          </w:p>
        </w:tc>
        <w:tc>
          <w:tcPr>
            <w:tcW w:w="2450" w:type="dxa"/>
            <w:gridSpan w:val="2"/>
            <w:tcBorders>
              <w:top w:val="single" w:color="auto" w:sz="6" w:space="0"/>
              <w:left w:val="single" w:color="auto" w:sz="6" w:space="0"/>
              <w:bottom w:val="single" w:color="auto" w:sz="6" w:space="0"/>
              <w:right w:val="single" w:color="auto" w:sz="6" w:space="0"/>
            </w:tcBorders>
            <w:vAlign w:val="center"/>
          </w:tcPr>
          <w:p w14:paraId="23C75398">
            <w:pPr>
              <w:keepNext w:val="0"/>
              <w:keepLines w:val="0"/>
              <w:pageBreakBefore w:val="0"/>
              <w:kinsoku/>
              <w:wordWrap/>
              <w:overflowPunct/>
              <w:topLinePunct w:val="0"/>
              <w:autoSpaceDE w:val="0"/>
              <w:autoSpaceDN w:val="0"/>
              <w:bidi w:val="0"/>
              <w:adjustRightInd w:val="0"/>
              <w:spacing w:line="420" w:lineRule="exact"/>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50" w:type="dxa"/>
            <w:vMerge w:val="continue"/>
            <w:tcBorders>
              <w:left w:val="single" w:color="auto" w:sz="6" w:space="0"/>
              <w:bottom w:val="single" w:color="auto" w:sz="6" w:space="0"/>
              <w:right w:val="single" w:color="auto" w:sz="6" w:space="0"/>
            </w:tcBorders>
            <w:vAlign w:val="center"/>
          </w:tcPr>
          <w:p w14:paraId="382AB804">
            <w:pPr>
              <w:keepNext w:val="0"/>
              <w:keepLines w:val="0"/>
              <w:pageBreakBefore w:val="0"/>
              <w:widowControl/>
              <w:kinsoku/>
              <w:wordWrap/>
              <w:overflowPunct/>
              <w:topLinePunct w:val="0"/>
              <w:bidi w:val="0"/>
              <w:spacing w:line="420" w:lineRule="exact"/>
              <w:jc w:val="left"/>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63CBD290">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净值</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04896536">
            <w:pPr>
              <w:keepNext w:val="0"/>
              <w:keepLines w:val="0"/>
              <w:pageBreakBefore w:val="0"/>
              <w:kinsoku/>
              <w:wordWrap/>
              <w:overflowPunct/>
              <w:topLinePunct w:val="0"/>
              <w:autoSpaceDE w:val="0"/>
              <w:autoSpaceDN w:val="0"/>
              <w:bidi w:val="0"/>
              <w:adjustRightInd w:val="0"/>
              <w:spacing w:line="42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万元</w:t>
            </w:r>
          </w:p>
        </w:tc>
      </w:tr>
      <w:tr w14:paraId="16188A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vAlign w:val="center"/>
          </w:tcPr>
          <w:p w14:paraId="36DFB892">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p>
        </w:tc>
        <w:tc>
          <w:tcPr>
            <w:tcW w:w="2450" w:type="dxa"/>
            <w:gridSpan w:val="2"/>
            <w:tcBorders>
              <w:top w:val="single" w:color="auto" w:sz="6" w:space="0"/>
              <w:left w:val="single" w:color="auto" w:sz="6" w:space="0"/>
              <w:bottom w:val="single" w:color="auto" w:sz="6" w:space="0"/>
              <w:right w:val="single" w:color="auto" w:sz="6" w:space="0"/>
            </w:tcBorders>
            <w:vAlign w:val="center"/>
          </w:tcPr>
          <w:p w14:paraId="1CFF456B">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250" w:type="dxa"/>
            <w:vMerge w:val="restart"/>
            <w:tcBorders>
              <w:top w:val="single" w:color="auto" w:sz="6" w:space="0"/>
              <w:left w:val="single" w:color="auto" w:sz="6" w:space="0"/>
              <w:right w:val="single" w:color="auto" w:sz="6" w:space="0"/>
            </w:tcBorders>
            <w:vAlign w:val="center"/>
          </w:tcPr>
          <w:p w14:paraId="1106C8AB">
            <w:pPr>
              <w:keepNext w:val="0"/>
              <w:keepLines w:val="0"/>
              <w:pageBreakBefore w:val="0"/>
              <w:widowControl/>
              <w:kinsoku/>
              <w:wordWrap/>
              <w:overflowPunct/>
              <w:topLinePunct w:val="0"/>
              <w:bidi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职工总数XX人</w:t>
            </w:r>
          </w:p>
        </w:tc>
        <w:tc>
          <w:tcPr>
            <w:tcW w:w="1484" w:type="dxa"/>
            <w:tcBorders>
              <w:top w:val="single" w:color="auto" w:sz="6" w:space="0"/>
              <w:left w:val="single" w:color="auto" w:sz="6" w:space="0"/>
              <w:bottom w:val="single" w:color="auto" w:sz="6" w:space="0"/>
              <w:right w:val="single" w:color="auto" w:sz="6" w:space="0"/>
            </w:tcBorders>
            <w:vAlign w:val="center"/>
          </w:tcPr>
          <w:p w14:paraId="6ABADCFC">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生产工人</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6AC67F01">
            <w:pPr>
              <w:keepNext w:val="0"/>
              <w:keepLines w:val="0"/>
              <w:pageBreakBefore w:val="0"/>
              <w:kinsoku/>
              <w:wordWrap/>
              <w:overflowPunct/>
              <w:topLinePunct w:val="0"/>
              <w:autoSpaceDE w:val="0"/>
              <w:autoSpaceDN w:val="0"/>
              <w:bidi w:val="0"/>
              <w:adjustRightInd w:val="0"/>
              <w:spacing w:line="42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人</w:t>
            </w:r>
          </w:p>
        </w:tc>
      </w:tr>
      <w:tr w14:paraId="1F27DE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vAlign w:val="center"/>
          </w:tcPr>
          <w:p w14:paraId="71677961">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基本银行账号</w:t>
            </w:r>
          </w:p>
        </w:tc>
        <w:tc>
          <w:tcPr>
            <w:tcW w:w="2450" w:type="dxa"/>
            <w:gridSpan w:val="2"/>
            <w:tcBorders>
              <w:top w:val="single" w:color="auto" w:sz="6" w:space="0"/>
              <w:left w:val="single" w:color="auto" w:sz="6" w:space="0"/>
              <w:bottom w:val="single" w:color="auto" w:sz="6" w:space="0"/>
              <w:right w:val="single" w:color="auto" w:sz="6" w:space="0"/>
            </w:tcBorders>
            <w:vAlign w:val="center"/>
          </w:tcPr>
          <w:p w14:paraId="5E966E2A">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p>
        </w:tc>
        <w:tc>
          <w:tcPr>
            <w:tcW w:w="1250" w:type="dxa"/>
            <w:vMerge w:val="continue"/>
            <w:tcBorders>
              <w:left w:val="single" w:color="auto" w:sz="6" w:space="0"/>
              <w:bottom w:val="single" w:color="auto" w:sz="6" w:space="0"/>
              <w:right w:val="single" w:color="auto" w:sz="6" w:space="0"/>
            </w:tcBorders>
            <w:vAlign w:val="center"/>
          </w:tcPr>
          <w:p w14:paraId="23DD2072">
            <w:pPr>
              <w:keepNext w:val="0"/>
              <w:keepLines w:val="0"/>
              <w:pageBreakBefore w:val="0"/>
              <w:widowControl/>
              <w:kinsoku/>
              <w:wordWrap/>
              <w:overflowPunct/>
              <w:topLinePunct w:val="0"/>
              <w:bidi w:val="0"/>
              <w:spacing w:line="420" w:lineRule="exact"/>
              <w:jc w:val="left"/>
              <w:rPr>
                <w:rFonts w:hint="eastAsia" w:ascii="宋体" w:hAnsi="宋体" w:eastAsia="宋体" w:cs="宋体"/>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7EF4B1C8">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技术人员</w:t>
            </w:r>
          </w:p>
        </w:tc>
        <w:tc>
          <w:tcPr>
            <w:tcW w:w="2186" w:type="dxa"/>
            <w:gridSpan w:val="2"/>
            <w:tcBorders>
              <w:top w:val="single" w:color="auto" w:sz="6" w:space="0"/>
              <w:left w:val="single" w:color="auto" w:sz="6" w:space="0"/>
              <w:bottom w:val="single" w:color="auto" w:sz="6" w:space="0"/>
              <w:right w:val="single" w:color="auto" w:sz="12" w:space="0"/>
            </w:tcBorders>
            <w:vAlign w:val="center"/>
          </w:tcPr>
          <w:p w14:paraId="1D21F28F">
            <w:pPr>
              <w:keepNext w:val="0"/>
              <w:keepLines w:val="0"/>
              <w:pageBreakBefore w:val="0"/>
              <w:kinsoku/>
              <w:wordWrap/>
              <w:overflowPunct/>
              <w:topLinePunct w:val="0"/>
              <w:autoSpaceDE w:val="0"/>
              <w:autoSpaceDN w:val="0"/>
              <w:bidi w:val="0"/>
              <w:adjustRightInd w:val="0"/>
              <w:spacing w:line="420" w:lineRule="exact"/>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人</w:t>
            </w:r>
          </w:p>
        </w:tc>
      </w:tr>
      <w:tr w14:paraId="21C59D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00" w:hRule="atLeast"/>
        </w:trPr>
        <w:tc>
          <w:tcPr>
            <w:tcW w:w="1697" w:type="dxa"/>
            <w:tcBorders>
              <w:top w:val="single" w:color="auto" w:sz="6" w:space="0"/>
              <w:left w:val="single" w:color="auto" w:sz="12" w:space="0"/>
              <w:bottom w:val="single" w:color="auto" w:sz="6" w:space="0"/>
              <w:right w:val="single" w:color="auto" w:sz="4" w:space="0"/>
            </w:tcBorders>
            <w:vAlign w:val="center"/>
          </w:tcPr>
          <w:p w14:paraId="52692FB4">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经营范围</w:t>
            </w:r>
          </w:p>
        </w:tc>
        <w:tc>
          <w:tcPr>
            <w:tcW w:w="7370" w:type="dxa"/>
            <w:gridSpan w:val="6"/>
            <w:tcBorders>
              <w:top w:val="single" w:color="auto" w:sz="4" w:space="0"/>
              <w:left w:val="single" w:color="auto" w:sz="4" w:space="0"/>
              <w:bottom w:val="single" w:color="auto" w:sz="4" w:space="0"/>
              <w:right w:val="single" w:color="auto" w:sz="12" w:space="0"/>
            </w:tcBorders>
            <w:vAlign w:val="center"/>
          </w:tcPr>
          <w:p w14:paraId="2DB017DC">
            <w:pPr>
              <w:keepNext w:val="0"/>
              <w:keepLines w:val="0"/>
              <w:pageBreakBefore w:val="0"/>
              <w:kinsoku/>
              <w:wordWrap/>
              <w:overflowPunct/>
              <w:topLinePunct w:val="0"/>
              <w:autoSpaceDE w:val="0"/>
              <w:autoSpaceDN w:val="0"/>
              <w:bidi w:val="0"/>
              <w:adjustRightInd w:val="0"/>
              <w:spacing w:line="420" w:lineRule="exact"/>
              <w:rPr>
                <w:rFonts w:hint="eastAsia" w:ascii="宋体" w:hAnsi="宋体" w:eastAsia="宋体" w:cs="宋体"/>
                <w:b/>
                <w:bCs/>
                <w:color w:val="auto"/>
                <w:kern w:val="0"/>
                <w:sz w:val="21"/>
                <w:szCs w:val="21"/>
                <w:highlight w:val="none"/>
              </w:rPr>
            </w:pPr>
          </w:p>
        </w:tc>
      </w:tr>
      <w:tr w14:paraId="326CDE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00" w:hRule="atLeast"/>
        </w:trPr>
        <w:tc>
          <w:tcPr>
            <w:tcW w:w="1697" w:type="dxa"/>
            <w:tcBorders>
              <w:top w:val="single" w:color="auto" w:sz="6" w:space="0"/>
              <w:left w:val="single" w:color="auto" w:sz="12" w:space="0"/>
              <w:bottom w:val="single" w:color="auto" w:sz="12" w:space="0"/>
              <w:right w:val="single" w:color="auto" w:sz="6" w:space="0"/>
            </w:tcBorders>
            <w:vAlign w:val="center"/>
          </w:tcPr>
          <w:p w14:paraId="6674112D">
            <w:pPr>
              <w:keepNext w:val="0"/>
              <w:keepLines w:val="0"/>
              <w:pageBreakBefore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c>
          <w:tcPr>
            <w:tcW w:w="7370" w:type="dxa"/>
            <w:gridSpan w:val="6"/>
            <w:tcBorders>
              <w:top w:val="single" w:color="auto" w:sz="6" w:space="0"/>
              <w:left w:val="single" w:color="auto" w:sz="6" w:space="0"/>
              <w:bottom w:val="single" w:color="auto" w:sz="12" w:space="0"/>
              <w:right w:val="single" w:color="auto" w:sz="12" w:space="0"/>
            </w:tcBorders>
            <w:vAlign w:val="top"/>
          </w:tcPr>
          <w:p w14:paraId="731F2E17">
            <w:pPr>
              <w:keepNext w:val="0"/>
              <w:keepLines w:val="0"/>
              <w:pageBreakBefore w:val="0"/>
              <w:kinsoku/>
              <w:wordWrap/>
              <w:overflowPunct/>
              <w:topLinePunct w:val="0"/>
              <w:autoSpaceDE w:val="0"/>
              <w:autoSpaceDN w:val="0"/>
              <w:bidi w:val="0"/>
              <w:adjustRightInd w:val="0"/>
              <w:spacing w:line="420" w:lineRule="exact"/>
              <w:jc w:val="left"/>
              <w:rPr>
                <w:rFonts w:hint="eastAsia" w:ascii="宋体" w:hAnsi="宋体" w:eastAsia="宋体" w:cs="宋体"/>
                <w:color w:val="auto"/>
                <w:kern w:val="0"/>
                <w:sz w:val="21"/>
                <w:szCs w:val="21"/>
                <w:highlight w:val="none"/>
              </w:rPr>
            </w:pPr>
          </w:p>
        </w:tc>
      </w:tr>
    </w:tbl>
    <w:p w14:paraId="41413C41">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供应商名称：（盖章）</w:t>
      </w:r>
    </w:p>
    <w:p w14:paraId="7C29678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color w:val="auto"/>
          <w:sz w:val="21"/>
          <w:szCs w:val="21"/>
          <w:highlight w:val="none"/>
        </w:rPr>
        <w:t>法定代表人或其授权代表（签名或盖章）</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日期:</w:t>
      </w:r>
    </w:p>
    <w:p w14:paraId="06C641EE">
      <w:pPr>
        <w:pStyle w:val="11"/>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lang w:val="en-US" w:eastAsia="zh-CN"/>
        </w:rPr>
      </w:pPr>
    </w:p>
    <w:p w14:paraId="64983442">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lang w:val="en-US" w:eastAsia="zh-CN"/>
        </w:rPr>
      </w:pPr>
    </w:p>
    <w:p w14:paraId="3DB693AE">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lang w:val="en-US" w:eastAsia="zh-CN"/>
        </w:rPr>
      </w:pPr>
    </w:p>
    <w:p w14:paraId="7A4A6ED2">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lang w:val="en-US" w:eastAsia="zh-CN"/>
        </w:rPr>
      </w:pPr>
    </w:p>
    <w:p w14:paraId="401F9B53">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476CE30">
      <w:pPr>
        <w:keepNext w:val="0"/>
        <w:keepLines w:val="0"/>
        <w:pageBreakBefore w:val="0"/>
        <w:kinsoku/>
        <w:wordWrap/>
        <w:overflowPunct/>
        <w:topLinePunct w:val="0"/>
        <w:bidi w:val="0"/>
        <w:spacing w:line="420" w:lineRule="exact"/>
        <w:rPr>
          <w:rFonts w:hint="eastAsia" w:ascii="宋体" w:hAnsi="宋体" w:eastAsia="宋体" w:cs="宋体"/>
          <w:color w:val="auto"/>
          <w:lang w:val="en-US" w:eastAsia="zh-CN"/>
        </w:rPr>
      </w:pPr>
    </w:p>
    <w:p w14:paraId="0A06EC2E">
      <w:pPr>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2、基本资格条件：符合《中华人民共和国政府采购法》第二十二条的规定：</w:t>
      </w:r>
    </w:p>
    <w:p w14:paraId="52459933">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（1）具有独立承担民事责任能力的法人、其他组织或自然人，并出具合法有效的营业执照或事业单位法人证书等国家规定的相关证明，自然人参与的提供其身份证明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kern w:val="2"/>
          <w:sz w:val="21"/>
          <w:szCs w:val="21"/>
          <w:highlight w:val="none"/>
        </w:rPr>
        <w:t>；</w:t>
      </w:r>
    </w:p>
    <w:p w14:paraId="181CF897">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CF433C4">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49E20995">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3A85F6A3">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2148C702">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1ABAFDE">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212D19A3">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236C1C8C">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080E0E99">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7622F6EE">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45FB5B1B">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53A68A1D">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D80667F">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5DEBAF52">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465D955F">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D407B42">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E96AE39">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2A982957">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18E5E52F">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5DB11359">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3EEC36C">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35D6B6E2">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32EC53BD">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15DBDE00">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0D517162">
      <w:pPr>
        <w:rPr>
          <w:rFonts w:hint="eastAsia" w:ascii="宋体" w:hAnsi="宋体" w:eastAsia="宋体" w:cs="宋体"/>
          <w:color w:val="auto"/>
          <w:kern w:val="2"/>
          <w:highlight w:val="none"/>
        </w:rPr>
      </w:pPr>
    </w:p>
    <w:p w14:paraId="48F99D91">
      <w:pPr>
        <w:rPr>
          <w:rFonts w:hint="eastAsia" w:ascii="宋体" w:hAnsi="宋体" w:eastAsia="宋体" w:cs="宋体"/>
          <w:color w:val="auto"/>
          <w:kern w:val="2"/>
          <w:highlight w:val="none"/>
        </w:rPr>
      </w:pPr>
    </w:p>
    <w:p w14:paraId="1AA13F72">
      <w:pPr>
        <w:rPr>
          <w:rFonts w:hint="eastAsia" w:ascii="宋体" w:hAnsi="宋体" w:eastAsia="宋体" w:cs="宋体"/>
          <w:color w:val="auto"/>
          <w:kern w:val="2"/>
          <w:highlight w:val="none"/>
        </w:rPr>
      </w:pPr>
    </w:p>
    <w:p w14:paraId="250AF878">
      <w:pPr>
        <w:rPr>
          <w:rFonts w:hint="eastAsia" w:ascii="宋体" w:hAnsi="宋体" w:eastAsia="宋体" w:cs="宋体"/>
          <w:color w:val="auto"/>
          <w:kern w:val="2"/>
          <w:highlight w:val="none"/>
        </w:rPr>
      </w:pPr>
    </w:p>
    <w:p w14:paraId="062142FA">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41334CDD">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kern w:val="2"/>
          <w:highlight w:val="none"/>
        </w:rPr>
      </w:pPr>
    </w:p>
    <w:p w14:paraId="6D18FBC1">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须提供具有财务审计资质单位出具的2023年-2024年任意一年年度财务报告（包括资产负债表、利润表、现金流量表及会计报表附注，成立时间至开标时间不足一年的可提供成立后任意时段的资产负债表）或开标前六个月内其基本账户银行出具的资信证明（附开户许可证或基本存款账户信息）或政府采购信用担保机构出具的投标担保函；</w:t>
      </w:r>
    </w:p>
    <w:p w14:paraId="3DF68E72">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p>
    <w:p w14:paraId="241A426F">
      <w:pPr>
        <w:pStyle w:val="16"/>
        <w:keepNext w:val="0"/>
        <w:keepLines w:val="0"/>
        <w:pageBreakBefore w:val="0"/>
        <w:widowControl w:val="0"/>
        <w:numPr>
          <w:ilvl w:val="0"/>
          <w:numId w:val="0"/>
        </w:numPr>
        <w:kinsoku/>
        <w:wordWrap/>
        <w:overflowPunct/>
        <w:topLinePunct w:val="0"/>
        <w:bidi w:val="0"/>
        <w:spacing w:line="420" w:lineRule="exact"/>
        <w:jc w:val="left"/>
        <w:rPr>
          <w:rFonts w:hint="eastAsia" w:ascii="宋体" w:hAnsi="宋体" w:eastAsia="宋体" w:cs="宋体"/>
          <w:color w:val="auto"/>
          <w:highlight w:val="none"/>
          <w:lang w:val="en-US" w:eastAsia="zh-CN"/>
        </w:rPr>
      </w:pPr>
    </w:p>
    <w:p w14:paraId="7D05A73B">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FC99CA2">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EB9ECC0">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6A012A3">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E4FC92F">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55DE425">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C149730">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59E5080">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286466E">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8A73303">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382AEA4">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15E7393">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0690DAD">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F09F3EB">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659C05C">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73FD774">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C0226E3">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EE90F13">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0588457">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1133042">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2E57BA3">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5E8C492">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4778E70">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382BE40">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E82ED64">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75103E5">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C8F47AC">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884FC08">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（3）供应商须提供2024年7月至今任意一个月已缴纳完税凭证或税务机关开具的完税证明，依法免税或无须缴纳税收的供应商应提供相关文件证明； </w:t>
      </w:r>
    </w:p>
    <w:p w14:paraId="08234C3C">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p>
    <w:p w14:paraId="33172732">
      <w:pPr>
        <w:pStyle w:val="16"/>
        <w:keepNext w:val="0"/>
        <w:keepLines w:val="0"/>
        <w:pageBreakBefore w:val="0"/>
        <w:widowControl w:val="0"/>
        <w:numPr>
          <w:ilvl w:val="0"/>
          <w:numId w:val="0"/>
        </w:numPr>
        <w:kinsoku/>
        <w:wordWrap/>
        <w:overflowPunct/>
        <w:topLinePunct w:val="0"/>
        <w:bidi w:val="0"/>
        <w:spacing w:line="420" w:lineRule="exact"/>
        <w:jc w:val="left"/>
        <w:rPr>
          <w:rFonts w:hint="eastAsia" w:ascii="宋体" w:hAnsi="宋体" w:eastAsia="宋体" w:cs="宋体"/>
          <w:color w:val="auto"/>
          <w:highlight w:val="none"/>
          <w:lang w:val="en-US" w:eastAsia="zh-CN"/>
        </w:rPr>
      </w:pPr>
    </w:p>
    <w:p w14:paraId="2B622925">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2CC5638">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7979266">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2C019C2">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CEAC8A1">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77E0A7F">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71741B5">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0B32FF6">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4114E98">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14FABBA">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A26957F">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89414FD">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68BD96A">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9434414">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B9D5FEF">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644D7AF">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67B5236">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7D5E421">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1DE90C1">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FEEC1EB">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D7AD609">
      <w:pPr>
        <w:rPr>
          <w:rFonts w:hint="eastAsia" w:ascii="宋体" w:hAnsi="宋体" w:eastAsia="宋体" w:cs="宋体"/>
          <w:color w:val="auto"/>
          <w:highlight w:val="none"/>
          <w:lang w:val="en-US" w:eastAsia="zh-CN"/>
        </w:rPr>
      </w:pPr>
    </w:p>
    <w:p w14:paraId="2DFBE201">
      <w:pPr>
        <w:rPr>
          <w:rFonts w:hint="eastAsia" w:ascii="宋体" w:hAnsi="宋体" w:eastAsia="宋体" w:cs="宋体"/>
          <w:color w:val="auto"/>
          <w:highlight w:val="none"/>
          <w:lang w:val="en-US" w:eastAsia="zh-CN"/>
        </w:rPr>
      </w:pPr>
    </w:p>
    <w:p w14:paraId="27B0D13A">
      <w:pPr>
        <w:rPr>
          <w:rFonts w:hint="eastAsia" w:ascii="宋体" w:hAnsi="宋体" w:eastAsia="宋体" w:cs="宋体"/>
          <w:color w:val="auto"/>
          <w:highlight w:val="none"/>
          <w:lang w:val="en-US" w:eastAsia="zh-CN"/>
        </w:rPr>
      </w:pPr>
    </w:p>
    <w:p w14:paraId="213EFAFD">
      <w:pPr>
        <w:rPr>
          <w:rFonts w:hint="eastAsia" w:ascii="宋体" w:hAnsi="宋体" w:eastAsia="宋体" w:cs="宋体"/>
          <w:color w:val="auto"/>
          <w:highlight w:val="none"/>
          <w:lang w:val="en-US" w:eastAsia="zh-CN"/>
        </w:rPr>
      </w:pPr>
    </w:p>
    <w:p w14:paraId="40AA2F09">
      <w:pPr>
        <w:rPr>
          <w:rFonts w:hint="eastAsia" w:ascii="宋体" w:hAnsi="宋体" w:eastAsia="宋体" w:cs="宋体"/>
          <w:color w:val="auto"/>
          <w:highlight w:val="none"/>
          <w:lang w:val="en-US" w:eastAsia="zh-CN"/>
        </w:rPr>
      </w:pPr>
    </w:p>
    <w:p w14:paraId="09E89819">
      <w:pPr>
        <w:rPr>
          <w:rFonts w:hint="eastAsia" w:ascii="宋体" w:hAnsi="宋体" w:eastAsia="宋体" w:cs="宋体"/>
          <w:color w:val="auto"/>
          <w:highlight w:val="none"/>
          <w:lang w:val="en-US" w:eastAsia="zh-CN"/>
        </w:rPr>
      </w:pPr>
    </w:p>
    <w:p w14:paraId="060E92C9">
      <w:pPr>
        <w:rPr>
          <w:rFonts w:hint="eastAsia" w:ascii="宋体" w:hAnsi="宋体" w:eastAsia="宋体" w:cs="宋体"/>
          <w:color w:val="auto"/>
          <w:highlight w:val="none"/>
          <w:lang w:val="en-US" w:eastAsia="zh-CN"/>
        </w:rPr>
      </w:pPr>
    </w:p>
    <w:p w14:paraId="3CAED12F">
      <w:pPr>
        <w:rPr>
          <w:rFonts w:hint="eastAsia" w:ascii="宋体" w:hAnsi="宋体" w:eastAsia="宋体" w:cs="宋体"/>
          <w:color w:val="auto"/>
          <w:highlight w:val="none"/>
          <w:lang w:val="en-US" w:eastAsia="zh-CN"/>
        </w:rPr>
      </w:pPr>
    </w:p>
    <w:p w14:paraId="0520D121">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0F897B6">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C2723B8">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（4）供应商须提供2024年7月至今任意一个月已缴纳的社会保障资金缴存单据或社保机构开具的社会保险参保缴费情况证明，依法不需要缴纳社会保障资金的供应商应提供相关证明；</w:t>
      </w:r>
    </w:p>
    <w:p w14:paraId="37463A45">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p>
    <w:p w14:paraId="51344682">
      <w:pPr>
        <w:pStyle w:val="16"/>
        <w:keepNext w:val="0"/>
        <w:keepLines w:val="0"/>
        <w:pageBreakBefore w:val="0"/>
        <w:widowControl w:val="0"/>
        <w:numPr>
          <w:ilvl w:val="0"/>
          <w:numId w:val="0"/>
        </w:numPr>
        <w:kinsoku/>
        <w:wordWrap/>
        <w:overflowPunct/>
        <w:topLinePunct w:val="0"/>
        <w:bidi w:val="0"/>
        <w:spacing w:line="420" w:lineRule="exact"/>
        <w:jc w:val="left"/>
        <w:rPr>
          <w:rFonts w:hint="eastAsia" w:ascii="宋体" w:hAnsi="宋体" w:eastAsia="宋体" w:cs="宋体"/>
          <w:color w:val="auto"/>
          <w:highlight w:val="none"/>
          <w:lang w:val="en-US" w:eastAsia="zh-CN"/>
        </w:rPr>
      </w:pPr>
    </w:p>
    <w:p w14:paraId="2AD12265">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C29DEA9">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38EB494">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E051369">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5DCD6F8">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A17A463">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7B0BA65">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1EFA670">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572E5DC">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CD71148">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B1CD01A">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4EFDE78">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1EA4AD8">
      <w:pPr>
        <w:rPr>
          <w:rFonts w:hint="eastAsia" w:ascii="宋体" w:hAnsi="宋体" w:eastAsia="宋体" w:cs="宋体"/>
          <w:color w:val="auto"/>
          <w:highlight w:val="none"/>
          <w:lang w:val="en-US" w:eastAsia="zh-CN"/>
        </w:rPr>
      </w:pPr>
    </w:p>
    <w:p w14:paraId="1AC30C8E">
      <w:pPr>
        <w:rPr>
          <w:rFonts w:hint="eastAsia" w:ascii="宋体" w:hAnsi="宋体" w:eastAsia="宋体" w:cs="宋体"/>
          <w:color w:val="auto"/>
          <w:highlight w:val="none"/>
          <w:lang w:val="en-US" w:eastAsia="zh-CN"/>
        </w:rPr>
      </w:pPr>
    </w:p>
    <w:p w14:paraId="34B5E4BF">
      <w:pPr>
        <w:rPr>
          <w:rFonts w:hint="eastAsia" w:ascii="宋体" w:hAnsi="宋体" w:eastAsia="宋体" w:cs="宋体"/>
          <w:color w:val="auto"/>
          <w:highlight w:val="none"/>
          <w:lang w:val="en-US" w:eastAsia="zh-CN"/>
        </w:rPr>
      </w:pPr>
    </w:p>
    <w:p w14:paraId="467B2DD8">
      <w:pPr>
        <w:rPr>
          <w:rFonts w:hint="eastAsia" w:ascii="宋体" w:hAnsi="宋体" w:eastAsia="宋体" w:cs="宋体"/>
          <w:color w:val="auto"/>
          <w:highlight w:val="none"/>
          <w:lang w:val="en-US" w:eastAsia="zh-CN"/>
        </w:rPr>
      </w:pPr>
    </w:p>
    <w:p w14:paraId="7889D73C">
      <w:pPr>
        <w:rPr>
          <w:rFonts w:hint="eastAsia" w:ascii="宋体" w:hAnsi="宋体" w:eastAsia="宋体" w:cs="宋体"/>
          <w:color w:val="auto"/>
          <w:highlight w:val="none"/>
          <w:lang w:val="en-US" w:eastAsia="zh-CN"/>
        </w:rPr>
      </w:pPr>
    </w:p>
    <w:p w14:paraId="5CBED948">
      <w:pPr>
        <w:rPr>
          <w:rFonts w:hint="eastAsia" w:ascii="宋体" w:hAnsi="宋体" w:eastAsia="宋体" w:cs="宋体"/>
          <w:color w:val="auto"/>
          <w:highlight w:val="none"/>
          <w:lang w:val="en-US" w:eastAsia="zh-CN"/>
        </w:rPr>
      </w:pPr>
    </w:p>
    <w:p w14:paraId="0BBF07A5">
      <w:pPr>
        <w:rPr>
          <w:rFonts w:hint="eastAsia" w:ascii="宋体" w:hAnsi="宋体" w:eastAsia="宋体" w:cs="宋体"/>
          <w:color w:val="auto"/>
          <w:highlight w:val="none"/>
          <w:lang w:val="en-US" w:eastAsia="zh-CN"/>
        </w:rPr>
      </w:pPr>
    </w:p>
    <w:p w14:paraId="6CDE02FF">
      <w:pPr>
        <w:rPr>
          <w:rFonts w:hint="eastAsia" w:ascii="宋体" w:hAnsi="宋体" w:eastAsia="宋体" w:cs="宋体"/>
          <w:color w:val="auto"/>
          <w:highlight w:val="none"/>
          <w:lang w:val="en-US" w:eastAsia="zh-CN"/>
        </w:rPr>
      </w:pPr>
    </w:p>
    <w:p w14:paraId="328AD473">
      <w:pPr>
        <w:rPr>
          <w:rFonts w:hint="eastAsia" w:ascii="宋体" w:hAnsi="宋体" w:eastAsia="宋体" w:cs="宋体"/>
          <w:color w:val="auto"/>
          <w:highlight w:val="none"/>
          <w:lang w:val="en-US" w:eastAsia="zh-CN"/>
        </w:rPr>
      </w:pPr>
    </w:p>
    <w:p w14:paraId="5366A624">
      <w:pPr>
        <w:rPr>
          <w:rFonts w:hint="eastAsia" w:ascii="宋体" w:hAnsi="宋体" w:eastAsia="宋体" w:cs="宋体"/>
          <w:color w:val="auto"/>
          <w:highlight w:val="none"/>
          <w:lang w:val="en-US" w:eastAsia="zh-CN"/>
        </w:rPr>
      </w:pPr>
    </w:p>
    <w:p w14:paraId="7190C6EB">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2C6B50F">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584F324">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C08AD35">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8DF95C2">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573D65B">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ECDDFCB">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1972D39">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D935FD9">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4FAB016">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（5）具备履行合同所必需的设备和专业技术能力的证明材料(由供应商根据项目需求提供说明材料或者承诺)；</w:t>
      </w:r>
    </w:p>
    <w:p w14:paraId="266618C7">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p>
    <w:p w14:paraId="2E5277C3">
      <w:pPr>
        <w:pStyle w:val="16"/>
        <w:keepNext w:val="0"/>
        <w:keepLines w:val="0"/>
        <w:pageBreakBefore w:val="0"/>
        <w:widowControl w:val="0"/>
        <w:numPr>
          <w:ilvl w:val="0"/>
          <w:numId w:val="0"/>
        </w:numPr>
        <w:kinsoku/>
        <w:wordWrap/>
        <w:overflowPunct/>
        <w:topLinePunct w:val="0"/>
        <w:bidi w:val="0"/>
        <w:spacing w:line="420" w:lineRule="exact"/>
        <w:jc w:val="left"/>
        <w:rPr>
          <w:rFonts w:hint="eastAsia" w:ascii="宋体" w:hAnsi="宋体" w:eastAsia="宋体" w:cs="宋体"/>
          <w:color w:val="auto"/>
          <w:highlight w:val="none"/>
          <w:lang w:val="en-US" w:eastAsia="zh-CN"/>
        </w:rPr>
      </w:pPr>
    </w:p>
    <w:p w14:paraId="5F03477B">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B7B58B9">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1CC5ED7A">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8A7002A">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4675A42">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C977AFA">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CC2005E">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E76F021">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C137022">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CC1D4C0">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0811851">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2D3C7FCC">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3075811">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46E5F26B">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ECF418A">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04E1C9D">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8D1B7BF">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082C04B4">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7F01CD81">
      <w:pPr>
        <w:rPr>
          <w:rFonts w:hint="eastAsia" w:ascii="宋体" w:hAnsi="宋体" w:eastAsia="宋体" w:cs="宋体"/>
          <w:color w:val="auto"/>
          <w:highlight w:val="none"/>
          <w:lang w:val="en-US" w:eastAsia="zh-CN"/>
        </w:rPr>
      </w:pPr>
    </w:p>
    <w:p w14:paraId="5C295DB0">
      <w:pPr>
        <w:rPr>
          <w:rFonts w:hint="eastAsia" w:ascii="宋体" w:hAnsi="宋体" w:eastAsia="宋体" w:cs="宋体"/>
          <w:color w:val="auto"/>
          <w:highlight w:val="none"/>
          <w:lang w:val="en-US" w:eastAsia="zh-CN"/>
        </w:rPr>
      </w:pPr>
    </w:p>
    <w:p w14:paraId="569E7090">
      <w:pPr>
        <w:rPr>
          <w:rFonts w:hint="eastAsia" w:ascii="宋体" w:hAnsi="宋体" w:eastAsia="宋体" w:cs="宋体"/>
          <w:color w:val="auto"/>
          <w:highlight w:val="none"/>
          <w:lang w:val="en-US" w:eastAsia="zh-CN"/>
        </w:rPr>
      </w:pPr>
    </w:p>
    <w:p w14:paraId="62220D32">
      <w:pPr>
        <w:rPr>
          <w:rFonts w:hint="eastAsia" w:ascii="宋体" w:hAnsi="宋体" w:eastAsia="宋体" w:cs="宋体"/>
          <w:color w:val="auto"/>
          <w:highlight w:val="none"/>
          <w:lang w:val="en-US" w:eastAsia="zh-CN"/>
        </w:rPr>
      </w:pPr>
    </w:p>
    <w:p w14:paraId="75F204B3">
      <w:pPr>
        <w:rPr>
          <w:rFonts w:hint="eastAsia" w:ascii="宋体" w:hAnsi="宋体" w:eastAsia="宋体" w:cs="宋体"/>
          <w:color w:val="auto"/>
          <w:highlight w:val="none"/>
          <w:lang w:val="en-US" w:eastAsia="zh-CN"/>
        </w:rPr>
      </w:pPr>
    </w:p>
    <w:p w14:paraId="18DC8986">
      <w:pPr>
        <w:rPr>
          <w:rFonts w:hint="eastAsia" w:ascii="宋体" w:hAnsi="宋体" w:eastAsia="宋体" w:cs="宋体"/>
          <w:color w:val="auto"/>
          <w:highlight w:val="none"/>
          <w:lang w:val="en-US" w:eastAsia="zh-CN"/>
        </w:rPr>
      </w:pPr>
    </w:p>
    <w:p w14:paraId="12A49338">
      <w:pPr>
        <w:rPr>
          <w:rFonts w:hint="eastAsia" w:ascii="宋体" w:hAnsi="宋体" w:eastAsia="宋体" w:cs="宋体"/>
          <w:color w:val="auto"/>
          <w:highlight w:val="none"/>
          <w:lang w:val="en-US" w:eastAsia="zh-CN"/>
        </w:rPr>
      </w:pPr>
    </w:p>
    <w:p w14:paraId="378EA7AD">
      <w:pPr>
        <w:rPr>
          <w:rFonts w:hint="eastAsia" w:ascii="宋体" w:hAnsi="宋体" w:eastAsia="宋体" w:cs="宋体"/>
          <w:color w:val="auto"/>
          <w:highlight w:val="none"/>
          <w:lang w:val="en-US" w:eastAsia="zh-CN"/>
        </w:rPr>
      </w:pPr>
    </w:p>
    <w:p w14:paraId="6790896B">
      <w:pPr>
        <w:rPr>
          <w:rFonts w:hint="eastAsia" w:ascii="宋体" w:hAnsi="宋体" w:eastAsia="宋体" w:cs="宋体"/>
          <w:color w:val="auto"/>
          <w:highlight w:val="none"/>
          <w:lang w:val="en-US" w:eastAsia="zh-CN"/>
        </w:rPr>
      </w:pPr>
    </w:p>
    <w:p w14:paraId="0C8ABC44">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63AF2711">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0C7729C">
      <w:pPr>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39E8C0EB">
      <w:pPr>
        <w:pStyle w:val="16"/>
        <w:keepNext w:val="0"/>
        <w:keepLines w:val="0"/>
        <w:pageBreakBefore w:val="0"/>
        <w:kinsoku/>
        <w:wordWrap/>
        <w:overflowPunct/>
        <w:topLinePunct w:val="0"/>
        <w:bidi w:val="0"/>
        <w:spacing w:line="420" w:lineRule="exact"/>
        <w:rPr>
          <w:rFonts w:hint="eastAsia" w:ascii="宋体" w:hAnsi="宋体" w:eastAsia="宋体" w:cs="宋体"/>
          <w:color w:val="auto"/>
          <w:highlight w:val="none"/>
          <w:lang w:val="en-US" w:eastAsia="zh-CN"/>
        </w:rPr>
      </w:pPr>
    </w:p>
    <w:p w14:paraId="53FB81DC">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（6）提供参加政府采购活动前三年内在经营活动中没有重大违法记录的书面声明；</w:t>
      </w:r>
    </w:p>
    <w:p w14:paraId="6604300C">
      <w:pPr>
        <w:pStyle w:val="32"/>
        <w:keepNext w:val="0"/>
        <w:keepLines w:val="0"/>
        <w:pageBreakBefore w:val="0"/>
        <w:numPr>
          <w:ilvl w:val="0"/>
          <w:numId w:val="0"/>
        </w:numPr>
        <w:kinsoku/>
        <w:wordWrap/>
        <w:overflowPunct/>
        <w:topLinePunct w:val="0"/>
        <w:bidi w:val="0"/>
        <w:spacing w:before="0" w:beforeAutospacing="0" w:after="0" w:afterAutospacing="0" w:line="420" w:lineRule="exact"/>
        <w:rPr>
          <w:rFonts w:hint="eastAsia" w:ascii="宋体" w:hAnsi="宋体" w:eastAsia="宋体" w:cs="宋体"/>
          <w:color w:val="auto"/>
          <w:sz w:val="21"/>
          <w:szCs w:val="21"/>
          <w:highlight w:val="none"/>
          <w:lang w:val="en-US" w:eastAsia="zh-CN"/>
        </w:rPr>
      </w:pPr>
    </w:p>
    <w:p w14:paraId="6DB136BB">
      <w:pPr>
        <w:pStyle w:val="16"/>
        <w:keepLines w:val="0"/>
        <w:pageBreakBefore w:val="0"/>
        <w:widowControl w:val="0"/>
        <w:numPr>
          <w:ilvl w:val="0"/>
          <w:numId w:val="0"/>
        </w:numPr>
        <w:kinsoku/>
        <w:overflowPunct/>
        <w:topLinePunct w:val="0"/>
        <w:bidi w:val="0"/>
        <w:spacing w:line="360" w:lineRule="auto"/>
        <w:jc w:val="left"/>
        <w:rPr>
          <w:rFonts w:hint="eastAsia" w:ascii="宋体" w:hAnsi="宋体" w:eastAsia="宋体" w:cs="宋体"/>
          <w:color w:val="auto"/>
          <w:highlight w:val="none"/>
          <w:lang w:val="en-US" w:eastAsia="zh-CN"/>
        </w:rPr>
      </w:pPr>
    </w:p>
    <w:p w14:paraId="35D5F0F4">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385778A0">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4F61A07">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E0F7FD9">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79163388">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7EB0FB4">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DDF51C1">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9535485">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0A25CAEB">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54B42A1">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3B149A06">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3CC2CEDE">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5CA3791">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6EC036F">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150140A">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6D53E87">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A1A140F">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37CC92A9">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218234A">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D8B8F26">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9CA12CE">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062D87AF">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01218780">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373F237">
      <w:pPr>
        <w:keepNext w:val="0"/>
        <w:keepLines w:val="0"/>
        <w:pageBreakBefore w:val="0"/>
        <w:widowControl w:val="0"/>
        <w:numPr>
          <w:ilvl w:val="0"/>
          <w:numId w:val="0"/>
        </w:numPr>
        <w:tabs>
          <w:tab w:val="left" w:pos="1710"/>
        </w:tabs>
        <w:kinsoku/>
        <w:wordWrap/>
        <w:overflowPunct/>
        <w:topLinePunct w:val="0"/>
        <w:autoSpaceDE w:val="0"/>
        <w:autoSpaceDN w:val="0"/>
        <w:bidi w:val="0"/>
        <w:adjustRightInd w:val="0"/>
        <w:snapToGrid/>
        <w:spacing w:line="420" w:lineRule="exact"/>
        <w:ind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3、落实政府采购政策需满足的资格要求：</w:t>
      </w:r>
      <w:r>
        <w:rPr>
          <w:rFonts w:hint="eastAsia" w:ascii="宋体" w:hAnsi="宋体" w:eastAsia="宋体" w:cs="宋体"/>
          <w:color w:val="auto"/>
          <w:sz w:val="24"/>
          <w:szCs w:val="24"/>
          <w:highlight w:val="none"/>
          <w:lang w:val="en-US" w:eastAsia="zh-CN"/>
        </w:rPr>
        <w:t>本项目专门面向</w:t>
      </w:r>
      <w:r>
        <w:rPr>
          <w:rFonts w:hint="eastAsia" w:ascii="宋体" w:hAnsi="宋体" w:cs="宋体"/>
          <w:color w:val="auto"/>
          <w:sz w:val="24"/>
          <w:szCs w:val="24"/>
          <w:highlight w:val="none"/>
          <w:lang w:val="en-US" w:eastAsia="zh-CN"/>
        </w:rPr>
        <w:t>中小</w:t>
      </w:r>
      <w:r>
        <w:rPr>
          <w:rFonts w:hint="eastAsia" w:ascii="宋体" w:hAnsi="宋体" w:eastAsia="宋体" w:cs="宋体"/>
          <w:color w:val="auto"/>
          <w:sz w:val="24"/>
          <w:szCs w:val="24"/>
          <w:highlight w:val="none"/>
          <w:lang w:val="en-US" w:eastAsia="zh-CN"/>
        </w:rPr>
        <w:t>企业采购。</w:t>
      </w:r>
    </w:p>
    <w:p w14:paraId="3270F3BC">
      <w:pPr>
        <w:pStyle w:val="137"/>
        <w:keepLines w:val="0"/>
        <w:pageBreakBefore w:val="0"/>
        <w:widowControl w:val="0"/>
        <w:kinsoku/>
        <w:wordWrap/>
        <w:overflowPunct/>
        <w:topLinePunct w:val="0"/>
        <w:bidi w:val="0"/>
        <w:spacing w:before="0" w:after="0" w:line="420" w:lineRule="exact"/>
        <w:jc w:val="center"/>
        <w:textAlignment w:val="auto"/>
        <w:rPr>
          <w:rFonts w:hint="eastAsia" w:ascii="宋体" w:hAnsi="宋体" w:eastAsia="宋体" w:cs="宋体"/>
          <w:b/>
          <w:bCs/>
          <w:color w:val="auto"/>
          <w:sz w:val="21"/>
          <w:szCs w:val="21"/>
          <w:highlight w:val="none"/>
          <w:lang w:val="en-US" w:eastAsia="zh-CN"/>
        </w:rPr>
      </w:pPr>
    </w:p>
    <w:p w14:paraId="2DD472F4">
      <w:pPr>
        <w:pStyle w:val="137"/>
        <w:keepLines w:val="0"/>
        <w:pageBreakBefore w:val="0"/>
        <w:widowControl w:val="0"/>
        <w:kinsoku/>
        <w:wordWrap/>
        <w:overflowPunct/>
        <w:topLinePunct w:val="0"/>
        <w:bidi w:val="0"/>
        <w:spacing w:before="0" w:after="0" w:line="42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（一）中小企业声明函</w:t>
      </w:r>
    </w:p>
    <w:p w14:paraId="60CB70C6">
      <w:pPr>
        <w:keepNext w:val="0"/>
        <w:keepLines w:val="0"/>
        <w:pageBreakBefore w:val="0"/>
        <w:widowControl w:val="0"/>
        <w:kinsoku/>
        <w:wordWrap/>
        <w:overflowPunct/>
        <w:topLinePunct w:val="0"/>
        <w:autoSpaceDE/>
        <w:autoSpaceDN/>
        <w:bidi w:val="0"/>
        <w:adjustRightInd w:val="0"/>
        <w:snapToGrid w:val="0"/>
        <w:spacing w:line="420" w:lineRule="exact"/>
        <w:ind w:firstLine="424" w:firstLineChars="202"/>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本公司（联合体）郑重声明，根据《政府采购促进中小企业发展管理办法》（财库﹝2020﹞46号）的规定，本公司（联合体）参加</w:t>
      </w:r>
      <w:r>
        <w:rPr>
          <w:rFonts w:hint="eastAsia" w:ascii="宋体" w:hAnsi="宋体" w:eastAsia="宋体" w:cs="宋体"/>
          <w:i w:val="0"/>
          <w:iCs w:val="0"/>
          <w:color w:val="auto"/>
          <w:sz w:val="21"/>
          <w:szCs w:val="21"/>
          <w:highlight w:val="none"/>
          <w:u w:val="single"/>
        </w:rPr>
        <w:t>（单位名称）</w:t>
      </w:r>
      <w:r>
        <w:rPr>
          <w:rFonts w:hint="eastAsia" w:ascii="宋体" w:hAnsi="宋体" w:eastAsia="宋体" w:cs="宋体"/>
          <w:i w:val="0"/>
          <w:iCs w:val="0"/>
          <w:color w:val="auto"/>
          <w:sz w:val="21"/>
          <w:szCs w:val="21"/>
          <w:highlight w:val="none"/>
        </w:rPr>
        <w:t>的</w:t>
      </w:r>
      <w:r>
        <w:rPr>
          <w:rFonts w:hint="eastAsia" w:ascii="宋体" w:hAnsi="宋体" w:eastAsia="宋体" w:cs="宋体"/>
          <w:i w:val="0"/>
          <w:iCs w:val="0"/>
          <w:color w:val="auto"/>
          <w:sz w:val="21"/>
          <w:szCs w:val="21"/>
          <w:highlight w:val="none"/>
          <w:u w:val="single"/>
        </w:rPr>
        <w:t>（项目名称）</w:t>
      </w:r>
      <w:r>
        <w:rPr>
          <w:rFonts w:hint="eastAsia" w:ascii="宋体" w:hAnsi="宋体" w:eastAsia="宋体" w:cs="宋体"/>
          <w:i w:val="0"/>
          <w:iCs w:val="0"/>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617A10F">
      <w:pPr>
        <w:keepNext w:val="0"/>
        <w:keepLines w:val="0"/>
        <w:pageBreakBefore w:val="0"/>
        <w:widowControl w:val="0"/>
        <w:kinsoku/>
        <w:wordWrap/>
        <w:overflowPunct/>
        <w:topLinePunct w:val="0"/>
        <w:autoSpaceDE/>
        <w:autoSpaceDN/>
        <w:bidi w:val="0"/>
        <w:adjustRightInd w:val="0"/>
        <w:snapToGrid w:val="0"/>
        <w:spacing w:line="420" w:lineRule="exact"/>
        <w:ind w:firstLine="424" w:firstLineChars="202"/>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u w:val="single"/>
        </w:rPr>
        <w:t>（标的名称）</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w:t>
      </w:r>
      <w:r>
        <w:rPr>
          <w:rFonts w:hint="eastAsia" w:ascii="宋体" w:hAnsi="宋体" w:eastAsia="宋体" w:cs="宋体"/>
          <w:i w:val="0"/>
          <w:iCs w:val="0"/>
          <w:color w:val="auto"/>
          <w:sz w:val="21"/>
          <w:szCs w:val="21"/>
          <w:highlight w:val="none"/>
          <w:u w:val="single"/>
          <w:lang w:val="en-US" w:eastAsia="zh-CN"/>
        </w:rPr>
        <w:t>采购文件</w:t>
      </w:r>
      <w:r>
        <w:rPr>
          <w:rFonts w:hint="eastAsia" w:ascii="宋体" w:hAnsi="宋体" w:eastAsia="宋体" w:cs="宋体"/>
          <w:i w:val="0"/>
          <w:iCs w:val="0"/>
          <w:color w:val="auto"/>
          <w:sz w:val="21"/>
          <w:szCs w:val="21"/>
          <w:highlight w:val="none"/>
          <w:u w:val="single"/>
        </w:rPr>
        <w:t>中明确的所属行业）</w:t>
      </w:r>
      <w:r>
        <w:rPr>
          <w:rFonts w:hint="eastAsia" w:ascii="宋体" w:hAnsi="宋体" w:eastAsia="宋体" w:cs="宋体"/>
          <w:i w:val="0"/>
          <w:iCs w:val="0"/>
          <w:color w:val="auto"/>
          <w:sz w:val="21"/>
          <w:szCs w:val="21"/>
          <w:highlight w:val="none"/>
        </w:rPr>
        <w:t>；承建（承接）企业为</w:t>
      </w:r>
      <w:r>
        <w:rPr>
          <w:rFonts w:hint="eastAsia" w:ascii="宋体" w:hAnsi="宋体" w:eastAsia="宋体" w:cs="宋体"/>
          <w:i w:val="0"/>
          <w:iCs w:val="0"/>
          <w:color w:val="auto"/>
          <w:sz w:val="21"/>
          <w:szCs w:val="21"/>
          <w:highlight w:val="none"/>
          <w:u w:val="single"/>
        </w:rPr>
        <w:t>（企业名称）</w:t>
      </w:r>
      <w:r>
        <w:rPr>
          <w:rFonts w:hint="eastAsia" w:ascii="宋体" w:hAnsi="宋体" w:eastAsia="宋体" w:cs="宋体"/>
          <w:i w:val="0"/>
          <w:iCs w:val="0"/>
          <w:color w:val="auto"/>
          <w:sz w:val="21"/>
          <w:szCs w:val="21"/>
          <w:highlight w:val="none"/>
        </w:rPr>
        <w:t>，从业人员</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人，营业收入为</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万元，资产总额为</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万元</w:t>
      </w:r>
      <w:r>
        <w:rPr>
          <w:rFonts w:hint="eastAsia" w:ascii="宋体" w:hAnsi="宋体" w:eastAsia="宋体" w:cs="宋体"/>
          <w:i w:val="0"/>
          <w:iCs w:val="0"/>
          <w:color w:val="auto"/>
          <w:sz w:val="21"/>
          <w:szCs w:val="21"/>
          <w:highlight w:val="none"/>
          <w:vertAlign w:val="superscript"/>
        </w:rPr>
        <w:t>1</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（中型企业、小型企业、微型企业）</w:t>
      </w:r>
      <w:r>
        <w:rPr>
          <w:rFonts w:hint="eastAsia" w:ascii="宋体" w:hAnsi="宋体" w:eastAsia="宋体" w:cs="宋体"/>
          <w:i w:val="0"/>
          <w:iCs w:val="0"/>
          <w:color w:val="auto"/>
          <w:sz w:val="21"/>
          <w:szCs w:val="21"/>
          <w:highlight w:val="none"/>
        </w:rPr>
        <w:t>；</w:t>
      </w:r>
    </w:p>
    <w:p w14:paraId="30A9534E">
      <w:pPr>
        <w:keepNext w:val="0"/>
        <w:keepLines w:val="0"/>
        <w:pageBreakBefore w:val="0"/>
        <w:widowControl w:val="0"/>
        <w:kinsoku/>
        <w:wordWrap/>
        <w:overflowPunct/>
        <w:topLinePunct w:val="0"/>
        <w:autoSpaceDE/>
        <w:autoSpaceDN/>
        <w:bidi w:val="0"/>
        <w:adjustRightInd w:val="0"/>
        <w:snapToGrid w:val="0"/>
        <w:spacing w:line="420" w:lineRule="exact"/>
        <w:ind w:firstLine="424" w:firstLineChars="202"/>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r>
        <w:rPr>
          <w:rFonts w:hint="eastAsia" w:ascii="宋体" w:hAnsi="宋体" w:eastAsia="宋体" w:cs="宋体"/>
          <w:i w:val="0"/>
          <w:iCs w:val="0"/>
          <w:color w:val="auto"/>
          <w:sz w:val="21"/>
          <w:szCs w:val="21"/>
          <w:highlight w:val="none"/>
          <w:u w:val="single"/>
        </w:rPr>
        <w:t>（标的名称）</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w:t>
      </w:r>
      <w:r>
        <w:rPr>
          <w:rFonts w:hint="eastAsia" w:ascii="宋体" w:hAnsi="宋体" w:eastAsia="宋体" w:cs="宋体"/>
          <w:i w:val="0"/>
          <w:iCs w:val="0"/>
          <w:color w:val="auto"/>
          <w:sz w:val="21"/>
          <w:szCs w:val="21"/>
          <w:highlight w:val="none"/>
          <w:u w:val="single"/>
          <w:lang w:val="en-US" w:eastAsia="zh-CN"/>
        </w:rPr>
        <w:t>采购文件</w:t>
      </w:r>
      <w:r>
        <w:rPr>
          <w:rFonts w:hint="eastAsia" w:ascii="宋体" w:hAnsi="宋体" w:eastAsia="宋体" w:cs="宋体"/>
          <w:i w:val="0"/>
          <w:iCs w:val="0"/>
          <w:color w:val="auto"/>
          <w:sz w:val="21"/>
          <w:szCs w:val="21"/>
          <w:highlight w:val="none"/>
          <w:u w:val="single"/>
        </w:rPr>
        <w:t>中明确的所属行业）</w:t>
      </w:r>
      <w:r>
        <w:rPr>
          <w:rFonts w:hint="eastAsia" w:ascii="宋体" w:hAnsi="宋体" w:eastAsia="宋体" w:cs="宋体"/>
          <w:i w:val="0"/>
          <w:iCs w:val="0"/>
          <w:color w:val="auto"/>
          <w:sz w:val="21"/>
          <w:szCs w:val="21"/>
          <w:highlight w:val="none"/>
        </w:rPr>
        <w:t>；承建（承接）企业为</w:t>
      </w:r>
      <w:r>
        <w:rPr>
          <w:rFonts w:hint="eastAsia" w:ascii="宋体" w:hAnsi="宋体" w:eastAsia="宋体" w:cs="宋体"/>
          <w:i w:val="0"/>
          <w:iCs w:val="0"/>
          <w:color w:val="auto"/>
          <w:sz w:val="21"/>
          <w:szCs w:val="21"/>
          <w:highlight w:val="none"/>
          <w:u w:val="single"/>
        </w:rPr>
        <w:t>（企业名称）</w:t>
      </w:r>
      <w:r>
        <w:rPr>
          <w:rFonts w:hint="eastAsia" w:ascii="宋体" w:hAnsi="宋体" w:eastAsia="宋体" w:cs="宋体"/>
          <w:i w:val="0"/>
          <w:iCs w:val="0"/>
          <w:color w:val="auto"/>
          <w:sz w:val="21"/>
          <w:szCs w:val="21"/>
          <w:highlight w:val="none"/>
        </w:rPr>
        <w:t>，从业人员</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人，营业收入为</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万元，资产总额为</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万元</w:t>
      </w:r>
      <w:r>
        <w:rPr>
          <w:rFonts w:hint="eastAsia" w:ascii="宋体" w:hAnsi="宋体" w:eastAsia="宋体" w:cs="宋体"/>
          <w:i w:val="0"/>
          <w:iCs w:val="0"/>
          <w:color w:val="auto"/>
          <w:sz w:val="21"/>
          <w:szCs w:val="21"/>
          <w:highlight w:val="none"/>
          <w:vertAlign w:val="superscript"/>
        </w:rPr>
        <w:t>1</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（中型企业、小型企业、微型企业）</w:t>
      </w:r>
      <w:r>
        <w:rPr>
          <w:rFonts w:hint="eastAsia" w:ascii="宋体" w:hAnsi="宋体" w:eastAsia="宋体" w:cs="宋体"/>
          <w:i w:val="0"/>
          <w:iCs w:val="0"/>
          <w:color w:val="auto"/>
          <w:sz w:val="21"/>
          <w:szCs w:val="21"/>
          <w:highlight w:val="none"/>
        </w:rPr>
        <w:t>；</w:t>
      </w:r>
    </w:p>
    <w:p w14:paraId="0A15271C">
      <w:pPr>
        <w:keepNext w:val="0"/>
        <w:keepLines w:val="0"/>
        <w:pageBreakBefore w:val="0"/>
        <w:widowControl w:val="0"/>
        <w:kinsoku/>
        <w:wordWrap/>
        <w:overflowPunct/>
        <w:topLinePunct w:val="0"/>
        <w:autoSpaceDE/>
        <w:autoSpaceDN/>
        <w:bidi w:val="0"/>
        <w:adjustRightInd w:val="0"/>
        <w:snapToGrid w:val="0"/>
        <w:spacing w:line="420" w:lineRule="exact"/>
        <w:ind w:firstLine="424" w:firstLineChars="202"/>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p>
    <w:p w14:paraId="02315736">
      <w:pPr>
        <w:keepNext w:val="0"/>
        <w:keepLines w:val="0"/>
        <w:pageBreakBefore w:val="0"/>
        <w:widowControl w:val="0"/>
        <w:kinsoku/>
        <w:wordWrap/>
        <w:overflowPunct/>
        <w:topLinePunct w:val="0"/>
        <w:autoSpaceDE/>
        <w:autoSpaceDN/>
        <w:bidi w:val="0"/>
        <w:adjustRightInd w:val="0"/>
        <w:snapToGrid w:val="0"/>
        <w:spacing w:line="420" w:lineRule="exact"/>
        <w:ind w:firstLine="424" w:firstLineChars="202"/>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以上企业，不属于大企业的分支机构，不存在控股股东为大企业的情形，也不存在与大企业的负责人为同一人的情形。</w:t>
      </w:r>
    </w:p>
    <w:p w14:paraId="3649FCEB">
      <w:pPr>
        <w:keepNext w:val="0"/>
        <w:keepLines w:val="0"/>
        <w:pageBreakBefore w:val="0"/>
        <w:widowControl w:val="0"/>
        <w:kinsoku/>
        <w:wordWrap/>
        <w:overflowPunct/>
        <w:topLinePunct w:val="0"/>
        <w:autoSpaceDE/>
        <w:autoSpaceDN/>
        <w:bidi w:val="0"/>
        <w:adjustRightInd w:val="0"/>
        <w:snapToGrid w:val="0"/>
        <w:spacing w:line="420" w:lineRule="exact"/>
        <w:ind w:firstLine="424" w:firstLineChars="202"/>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本企业对上述声明内容的真实性负责。如有虚假，将依法承担相应责任。</w:t>
      </w:r>
    </w:p>
    <w:p w14:paraId="23042AC2">
      <w:pPr>
        <w:pStyle w:val="16"/>
        <w:keepNext w:val="0"/>
        <w:keepLines w:val="0"/>
        <w:pageBreakBefore w:val="0"/>
        <w:widowControl w:val="0"/>
        <w:kinsoku/>
        <w:wordWrap/>
        <w:overflowPunct/>
        <w:topLinePunct w:val="0"/>
        <w:autoSpaceDE/>
        <w:autoSpaceDN/>
        <w:bidi w:val="0"/>
        <w:spacing w:line="420" w:lineRule="exact"/>
        <w:jc w:val="both"/>
        <w:textAlignment w:val="auto"/>
        <w:rPr>
          <w:rFonts w:hint="eastAsia" w:ascii="宋体" w:hAnsi="宋体" w:eastAsia="宋体" w:cs="宋体"/>
          <w:i w:val="0"/>
          <w:iCs w:val="0"/>
          <w:color w:val="auto"/>
          <w:sz w:val="21"/>
          <w:szCs w:val="21"/>
          <w:highlight w:val="none"/>
        </w:rPr>
      </w:pPr>
    </w:p>
    <w:p w14:paraId="5BE12255">
      <w:pPr>
        <w:keepNext w:val="0"/>
        <w:keepLines w:val="0"/>
        <w:pageBreakBefore w:val="0"/>
        <w:widowControl w:val="0"/>
        <w:kinsoku/>
        <w:wordWrap/>
        <w:overflowPunct/>
        <w:topLinePunct w:val="0"/>
        <w:autoSpaceDE/>
        <w:autoSpaceDN/>
        <w:bidi w:val="0"/>
        <w:adjustRightInd w:val="0"/>
        <w:snapToGrid w:val="0"/>
        <w:spacing w:line="420" w:lineRule="exact"/>
        <w:ind w:firstLine="4830" w:firstLineChars="230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企业名称（盖章）：</w:t>
      </w:r>
    </w:p>
    <w:p w14:paraId="0D869E02">
      <w:pPr>
        <w:keepNext w:val="0"/>
        <w:keepLines w:val="0"/>
        <w:pageBreakBefore w:val="0"/>
        <w:widowControl w:val="0"/>
        <w:kinsoku/>
        <w:wordWrap/>
        <w:overflowPunct/>
        <w:topLinePunct w:val="0"/>
        <w:autoSpaceDE/>
        <w:autoSpaceDN/>
        <w:bidi w:val="0"/>
        <w:adjustRightInd w:val="0"/>
        <w:snapToGrid w:val="0"/>
        <w:spacing w:line="420" w:lineRule="exact"/>
        <w:ind w:firstLine="4830" w:firstLineChars="230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日</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期：</w:t>
      </w:r>
    </w:p>
    <w:p w14:paraId="3799F8F8">
      <w:pPr>
        <w:pStyle w:val="20"/>
        <w:keepLines w:val="0"/>
        <w:pageBreakBefore w:val="0"/>
        <w:widowControl w:val="0"/>
        <w:kinsoku/>
        <w:wordWrap/>
        <w:overflowPunct/>
        <w:topLinePunct w:val="0"/>
        <w:bidi w:val="0"/>
        <w:spacing w:line="420" w:lineRule="exact"/>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备注：</w:t>
      </w:r>
      <w:r>
        <w:rPr>
          <w:rFonts w:hint="eastAsia" w:ascii="宋体" w:hAnsi="宋体" w:eastAsia="宋体" w:cs="宋体"/>
          <w:b/>
          <w:bCs/>
          <w:color w:val="auto"/>
          <w:sz w:val="21"/>
          <w:szCs w:val="21"/>
          <w:highlight w:val="none"/>
          <w:lang w:val="en-US" w:eastAsia="zh-CN"/>
        </w:rPr>
        <w:t xml:space="preserve"> </w:t>
      </w:r>
    </w:p>
    <w:p w14:paraId="39B0AF20">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填写前请认真阅读《工业和信息化部　国家统计局　国家发展和改革委员会　财政部关于印发中小企业划型标准规定的通知》(工信部联企业〔2011〕300号)和《财政部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工业和信息化部关于印发〈政府</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促进中小企业发展</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办法〉的通知》(财库〔20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号)相关规定。</w:t>
      </w:r>
    </w:p>
    <w:p w14:paraId="73BF012C">
      <w:pPr>
        <w:pStyle w:val="20"/>
        <w:keepLines w:val="0"/>
        <w:pageBreakBefore w:val="0"/>
        <w:widowControl w:val="0"/>
        <w:kinsoku/>
        <w:wordWrap/>
        <w:overflowPunct/>
        <w:topLinePunct w:val="0"/>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22653DE8">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08B35B87">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7ACCF4E6">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66C5F7EE">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0FFADCE4">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4B5ACD89">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039E71E1">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093D7B62">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0DE92AC6">
      <w:pPr>
        <w:keepLines w:val="0"/>
        <w:pageBreakBefore w:val="0"/>
        <w:widowControl w:val="0"/>
        <w:kinsoku/>
        <w:wordWrap/>
        <w:overflowPunct/>
        <w:topLinePunct w:val="0"/>
        <w:bidi w:val="0"/>
        <w:spacing w:line="420" w:lineRule="exact"/>
        <w:ind w:firstLine="482"/>
        <w:rPr>
          <w:rFonts w:hint="eastAsia" w:ascii="宋体" w:hAnsi="宋体" w:eastAsia="宋体" w:cs="宋体"/>
          <w:b/>
          <w:color w:val="auto"/>
          <w:sz w:val="21"/>
          <w:szCs w:val="16"/>
        </w:rPr>
      </w:pPr>
      <w:r>
        <w:rPr>
          <w:rFonts w:hint="eastAsia" w:ascii="宋体" w:hAnsi="宋体" w:eastAsia="宋体" w:cs="宋体"/>
          <w:b/>
          <w:color w:val="auto"/>
          <w:sz w:val="21"/>
          <w:szCs w:val="16"/>
        </w:rPr>
        <w:t>附：《中小企业划型标准规定》各行业划型标准</w:t>
      </w:r>
    </w:p>
    <w:p w14:paraId="5FADA36B">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14:paraId="45589240">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16002BA">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A8FF656">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ECE46E4">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79CABF4">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3B9B3AC">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6CE2669">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62D8FC3">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C55091">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5E5458">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42525D">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0508F22">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25D287">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C3C08EF">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45885E">
      <w:pPr>
        <w:pStyle w:val="20"/>
        <w:keepLines w:val="0"/>
        <w:pageBreakBefore w:val="0"/>
        <w:widowControl w:val="0"/>
        <w:kinsoku/>
        <w:wordWrap/>
        <w:overflowPunct/>
        <w:topLinePunct w:val="0"/>
        <w:bidi w:val="0"/>
        <w:spacing w:line="42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14:paraId="46B662E5">
      <w:pPr>
        <w:pStyle w:val="47"/>
        <w:keepLines w:val="0"/>
        <w:pageBreakBefore w:val="0"/>
        <w:widowControl w:val="0"/>
        <w:kinsoku/>
        <w:wordWrap/>
        <w:overflowPunct/>
        <w:topLinePunct w:val="0"/>
        <w:bidi w:val="0"/>
        <w:spacing w:line="420" w:lineRule="exact"/>
        <w:rPr>
          <w:rFonts w:hint="eastAsia" w:ascii="宋体" w:hAnsi="宋体" w:eastAsia="宋体" w:cs="宋体"/>
          <w:color w:val="auto"/>
          <w:highlight w:val="none"/>
          <w:lang w:val="en-US" w:eastAsia="zh-CN"/>
        </w:rPr>
      </w:pPr>
    </w:p>
    <w:p w14:paraId="45D943F8">
      <w:pPr>
        <w:pStyle w:val="47"/>
        <w:rPr>
          <w:rFonts w:hint="eastAsia" w:ascii="宋体" w:hAnsi="宋体" w:eastAsia="宋体" w:cs="宋体"/>
          <w:color w:val="auto"/>
          <w:highlight w:val="none"/>
          <w:lang w:val="en-US" w:eastAsia="zh-CN"/>
        </w:rPr>
      </w:pPr>
    </w:p>
    <w:p w14:paraId="33D646FE">
      <w:pPr>
        <w:pStyle w:val="47"/>
        <w:rPr>
          <w:rFonts w:hint="eastAsia" w:ascii="宋体" w:hAnsi="宋体" w:eastAsia="宋体" w:cs="宋体"/>
          <w:color w:val="auto"/>
          <w:highlight w:val="none"/>
          <w:lang w:val="en-US" w:eastAsia="zh-CN"/>
        </w:rPr>
      </w:pPr>
    </w:p>
    <w:p w14:paraId="3ADA8C77">
      <w:pPr>
        <w:pStyle w:val="47"/>
        <w:rPr>
          <w:rFonts w:hint="eastAsia" w:ascii="宋体" w:hAnsi="宋体" w:eastAsia="宋体" w:cs="宋体"/>
          <w:color w:val="auto"/>
          <w:highlight w:val="none"/>
          <w:lang w:val="en-US" w:eastAsia="zh-CN"/>
        </w:rPr>
      </w:pPr>
    </w:p>
    <w:p w14:paraId="2349D030">
      <w:pPr>
        <w:pStyle w:val="47"/>
        <w:rPr>
          <w:rFonts w:hint="eastAsia" w:ascii="宋体" w:hAnsi="宋体" w:eastAsia="宋体" w:cs="宋体"/>
          <w:color w:val="auto"/>
          <w:highlight w:val="none"/>
          <w:lang w:val="en-US" w:eastAsia="zh-CN"/>
        </w:rPr>
      </w:pPr>
    </w:p>
    <w:p w14:paraId="64C584A7">
      <w:pPr>
        <w:pStyle w:val="47"/>
        <w:rPr>
          <w:rFonts w:hint="eastAsia" w:ascii="宋体" w:hAnsi="宋体" w:eastAsia="宋体" w:cs="宋体"/>
          <w:color w:val="auto"/>
          <w:highlight w:val="none"/>
          <w:lang w:val="en-US" w:eastAsia="zh-CN"/>
        </w:rPr>
      </w:pPr>
    </w:p>
    <w:p w14:paraId="44888EA2">
      <w:pPr>
        <w:pStyle w:val="47"/>
        <w:rPr>
          <w:rFonts w:hint="eastAsia" w:ascii="宋体" w:hAnsi="宋体" w:eastAsia="宋体" w:cs="宋体"/>
          <w:color w:val="auto"/>
          <w:highlight w:val="none"/>
          <w:lang w:val="en-US" w:eastAsia="zh-CN"/>
        </w:rPr>
      </w:pPr>
    </w:p>
    <w:p w14:paraId="02374F61">
      <w:pPr>
        <w:pStyle w:val="47"/>
        <w:rPr>
          <w:rFonts w:hint="eastAsia" w:ascii="宋体" w:hAnsi="宋体" w:eastAsia="宋体" w:cs="宋体"/>
          <w:color w:val="auto"/>
          <w:highlight w:val="none"/>
          <w:lang w:val="en-US" w:eastAsia="zh-CN"/>
        </w:rPr>
      </w:pPr>
    </w:p>
    <w:p w14:paraId="59E663AF">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zh-CN" w:eastAsia="zh-CN"/>
        </w:rPr>
        <w:t>监狱企业证明文件（若有）</w:t>
      </w:r>
    </w:p>
    <w:p w14:paraId="35D1865B">
      <w:pPr>
        <w:keepLines w:val="0"/>
        <w:kinsoku/>
        <w:bidi w:val="0"/>
        <w:spacing w:line="4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6E3FE15">
      <w:pPr>
        <w:keepLines w:val="0"/>
        <w:kinsoku/>
        <w:bidi w:val="0"/>
        <w:spacing w:line="4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监狱企业参加政府采购活动时，应当提供由省级以上监狱管理局、戒毒管理局（含新疆生产建设兵团）出具的属于监狱企业的证明文件。</w:t>
      </w:r>
    </w:p>
    <w:p w14:paraId="6C936D3D">
      <w:pPr>
        <w:pStyle w:val="16"/>
        <w:keepLines w:val="0"/>
        <w:kinsoku/>
        <w:bidi w:val="0"/>
        <w:spacing w:line="420" w:lineRule="exact"/>
        <w:rPr>
          <w:rFonts w:hint="eastAsia" w:ascii="宋体" w:hAnsi="宋体" w:eastAsia="宋体" w:cs="宋体"/>
          <w:color w:val="auto"/>
          <w:sz w:val="21"/>
          <w:szCs w:val="21"/>
          <w:highlight w:val="none"/>
        </w:rPr>
      </w:pPr>
    </w:p>
    <w:p w14:paraId="719ACCB8">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1"/>
          <w:szCs w:val="21"/>
          <w:highlight w:val="none"/>
          <w:lang w:val="en-US" w:eastAsia="zh-CN"/>
        </w:rPr>
      </w:pPr>
    </w:p>
    <w:p w14:paraId="5BB3E68B">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zh-CN" w:eastAsia="zh-CN"/>
        </w:rPr>
        <w:t>残疾人福利性单位证明文件（若有）</w:t>
      </w:r>
    </w:p>
    <w:p w14:paraId="3F7B6D0C">
      <w:pPr>
        <w:pStyle w:val="16"/>
        <w:keepLines w:val="0"/>
        <w:shd w:val="clear"/>
        <w:kinsoku/>
        <w:bidi w:val="0"/>
        <w:spacing w:line="420" w:lineRule="exact"/>
        <w:rPr>
          <w:rFonts w:hint="eastAsia" w:ascii="宋体" w:hAnsi="宋体" w:eastAsia="宋体" w:cs="宋体"/>
          <w:color w:val="auto"/>
          <w:sz w:val="21"/>
          <w:szCs w:val="21"/>
          <w:highlight w:val="none"/>
          <w:lang w:val="zh-CN"/>
        </w:rPr>
      </w:pPr>
    </w:p>
    <w:p w14:paraId="7EDEFF41">
      <w:pPr>
        <w:keepLines w:val="0"/>
        <w:widowControl/>
        <w:shd w:val="clear" w:color="auto"/>
        <w:kinsoku/>
        <w:bidi w:val="0"/>
        <w:spacing w:line="420" w:lineRule="exact"/>
        <w:jc w:val="left"/>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致</w:t>
      </w:r>
      <w:r>
        <w:rPr>
          <w:rFonts w:hint="eastAsia" w:ascii="宋体" w:hAnsi="宋体" w:cs="宋体"/>
          <w:b/>
          <w:color w:val="auto"/>
          <w:sz w:val="21"/>
          <w:szCs w:val="21"/>
          <w:highlight w:val="none"/>
          <w:lang w:eastAsia="zh-CN"/>
        </w:rPr>
        <w:t>泾阳县政府采购中心</w:t>
      </w:r>
      <w:r>
        <w:rPr>
          <w:rFonts w:hint="eastAsia" w:ascii="宋体" w:hAnsi="宋体" w:eastAsia="宋体" w:cs="宋体"/>
          <w:b/>
          <w:color w:val="auto"/>
          <w:sz w:val="21"/>
          <w:szCs w:val="21"/>
          <w:highlight w:val="none"/>
        </w:rPr>
        <w:t>：</w:t>
      </w:r>
    </w:p>
    <w:p w14:paraId="0D99342C">
      <w:pPr>
        <w:keepLines w:val="0"/>
        <w:kinsoku/>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6EEF9F">
      <w:pPr>
        <w:keepLines w:val="0"/>
        <w:kinsoku/>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0AFCA062">
      <w:pPr>
        <w:keepLines w:val="0"/>
        <w:kinsoku/>
        <w:bidi w:val="0"/>
        <w:spacing w:line="420" w:lineRule="exact"/>
        <w:ind w:firstLine="420" w:firstLineChars="200"/>
        <w:rPr>
          <w:rFonts w:hint="eastAsia" w:ascii="宋体" w:hAnsi="宋体" w:eastAsia="宋体" w:cs="宋体"/>
          <w:color w:val="auto"/>
          <w:sz w:val="21"/>
          <w:szCs w:val="21"/>
          <w:highlight w:val="none"/>
        </w:rPr>
      </w:pPr>
    </w:p>
    <w:p w14:paraId="0A6F950B">
      <w:pPr>
        <w:keepLines w:val="0"/>
        <w:kinsoku/>
        <w:bidi w:val="0"/>
        <w:spacing w:line="420" w:lineRule="exact"/>
        <w:ind w:firstLine="420" w:firstLineChars="200"/>
        <w:rPr>
          <w:rFonts w:hint="eastAsia" w:ascii="宋体" w:hAnsi="宋体" w:eastAsia="宋体" w:cs="宋体"/>
          <w:color w:val="auto"/>
          <w:sz w:val="21"/>
          <w:szCs w:val="21"/>
          <w:highlight w:val="none"/>
        </w:rPr>
      </w:pPr>
    </w:p>
    <w:p w14:paraId="6A1B3906">
      <w:pPr>
        <w:keepLines w:val="0"/>
        <w:tabs>
          <w:tab w:val="left" w:pos="4860"/>
        </w:tabs>
        <w:kinsoku/>
        <w:bidi w:val="0"/>
        <w:spacing w:line="420" w:lineRule="exact"/>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单位名称（盖章）：</w:t>
      </w:r>
    </w:p>
    <w:p w14:paraId="5EA09E54">
      <w:pPr>
        <w:keepLines w:val="0"/>
        <w:tabs>
          <w:tab w:val="left" w:pos="4860"/>
        </w:tabs>
        <w:kinsoku/>
        <w:bidi w:val="0"/>
        <w:spacing w:line="420" w:lineRule="exact"/>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w:t>
      </w:r>
    </w:p>
    <w:p w14:paraId="495FCC25">
      <w:pPr>
        <w:keepLines w:val="0"/>
        <w:tabs>
          <w:tab w:val="left" w:pos="4860"/>
        </w:tabs>
        <w:kinsoku/>
        <w:bidi w:val="0"/>
        <w:spacing w:line="420" w:lineRule="exact"/>
        <w:ind w:right="1560" w:firstLine="420" w:firstLineChars="200"/>
        <w:jc w:val="center"/>
        <w:rPr>
          <w:rFonts w:hint="eastAsia" w:ascii="宋体" w:hAnsi="宋体" w:eastAsia="宋体" w:cs="宋体"/>
          <w:color w:val="auto"/>
          <w:sz w:val="21"/>
          <w:szCs w:val="21"/>
          <w:highlight w:val="none"/>
        </w:rPr>
      </w:pPr>
    </w:p>
    <w:p w14:paraId="0E1EEC9F">
      <w:pPr>
        <w:keepLines w:val="0"/>
        <w:kinsoku/>
        <w:bidi w:val="0"/>
        <w:spacing w:line="4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注：残疾人福利性单位的应填写。</w:t>
      </w:r>
    </w:p>
    <w:p w14:paraId="1F4FFD8E">
      <w:pPr>
        <w:pStyle w:val="47"/>
        <w:rPr>
          <w:rFonts w:hint="eastAsia" w:ascii="宋体" w:hAnsi="宋体" w:eastAsia="宋体" w:cs="宋体"/>
          <w:color w:val="auto"/>
          <w:sz w:val="21"/>
          <w:szCs w:val="21"/>
          <w:highlight w:val="none"/>
          <w:lang w:val="en-US" w:eastAsia="zh-CN"/>
        </w:rPr>
      </w:pPr>
    </w:p>
    <w:p w14:paraId="62F3E217">
      <w:pPr>
        <w:pStyle w:val="47"/>
        <w:rPr>
          <w:rFonts w:hint="eastAsia" w:ascii="宋体" w:hAnsi="宋体" w:eastAsia="宋体" w:cs="宋体"/>
          <w:color w:val="auto"/>
          <w:highlight w:val="none"/>
          <w:lang w:val="en-US" w:eastAsia="zh-CN"/>
        </w:rPr>
      </w:pPr>
    </w:p>
    <w:p w14:paraId="47CD928E">
      <w:pPr>
        <w:pStyle w:val="47"/>
        <w:rPr>
          <w:rFonts w:hint="eastAsia" w:ascii="宋体" w:hAnsi="宋体" w:eastAsia="宋体" w:cs="宋体"/>
          <w:color w:val="auto"/>
          <w:highlight w:val="none"/>
          <w:lang w:val="en-US" w:eastAsia="zh-CN"/>
        </w:rPr>
      </w:pPr>
    </w:p>
    <w:p w14:paraId="66A62052">
      <w:pPr>
        <w:pStyle w:val="47"/>
        <w:rPr>
          <w:rFonts w:hint="eastAsia" w:ascii="宋体" w:hAnsi="宋体" w:eastAsia="宋体" w:cs="宋体"/>
          <w:color w:val="auto"/>
          <w:highlight w:val="none"/>
          <w:lang w:val="en-US" w:eastAsia="zh-CN"/>
        </w:rPr>
      </w:pPr>
    </w:p>
    <w:p w14:paraId="75270DBC">
      <w:pPr>
        <w:pStyle w:val="47"/>
        <w:rPr>
          <w:rFonts w:hint="eastAsia" w:ascii="宋体" w:hAnsi="宋体" w:eastAsia="宋体" w:cs="宋体"/>
          <w:color w:val="auto"/>
          <w:highlight w:val="none"/>
          <w:lang w:val="en-US" w:eastAsia="zh-CN"/>
        </w:rPr>
      </w:pPr>
    </w:p>
    <w:p w14:paraId="2EEABB24">
      <w:pPr>
        <w:pStyle w:val="47"/>
        <w:rPr>
          <w:rFonts w:hint="eastAsia" w:ascii="宋体" w:hAnsi="宋体" w:eastAsia="宋体" w:cs="宋体"/>
          <w:color w:val="auto"/>
          <w:highlight w:val="none"/>
          <w:lang w:val="en-US" w:eastAsia="zh-CN"/>
        </w:rPr>
      </w:pPr>
    </w:p>
    <w:p w14:paraId="2F4E9AD5">
      <w:pPr>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4、特定资格条件：</w:t>
      </w:r>
    </w:p>
    <w:p w14:paraId="1059F5A3">
      <w:pPr>
        <w:keepNext w:val="0"/>
        <w:keepLines w:val="0"/>
        <w:pageBreakBefore w:val="0"/>
        <w:widowControl w:val="0"/>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应授权合法的人员参加磋商全过程，其中法定代表人直接参加磋商的，须出具法定代表人身份证明及法人身份证原件及复印件；法定代表人授权代表参加磋商的，须出具法定代表人授权书及授权代表身份证原件及复印件；</w:t>
      </w:r>
    </w:p>
    <w:p w14:paraId="2648F93C">
      <w:pPr>
        <w:keepNext w:val="0"/>
        <w:keepLines w:val="0"/>
        <w:pageBreakBefore w:val="0"/>
        <w:widowControl w:val="0"/>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sz w:val="21"/>
          <w:szCs w:val="21"/>
          <w:highlight w:val="none"/>
          <w:lang w:val="en-US" w:eastAsia="zh-CN"/>
        </w:rPr>
      </w:pPr>
    </w:p>
    <w:p w14:paraId="25BBB666">
      <w:pPr>
        <w:pStyle w:val="137"/>
        <w:keepLines w:val="0"/>
        <w:pageBreakBefore w:val="0"/>
        <w:widowControl w:val="0"/>
        <w:kinsoku/>
        <w:wordWrap/>
        <w:overflowPunct/>
        <w:topLinePunct w:val="0"/>
        <w:bidi w:val="0"/>
        <w:spacing w:before="0" w:after="0" w:line="42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（一）法定代表人证明书</w:t>
      </w:r>
    </w:p>
    <w:p w14:paraId="059556FD">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i w:val="0"/>
          <w:iCs w:val="0"/>
          <w:color w:val="auto"/>
          <w:kern w:val="0"/>
          <w:sz w:val="21"/>
          <w:szCs w:val="21"/>
          <w:highlight w:val="none"/>
          <w:u w:val="single"/>
          <w:lang w:val="en-US" w:eastAsia="zh-CN"/>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名称：</w:t>
      </w:r>
      <w:r>
        <w:rPr>
          <w:rFonts w:hint="eastAsia" w:ascii="宋体" w:hAnsi="宋体" w:eastAsia="宋体" w:cs="宋体"/>
          <w:i w:val="0"/>
          <w:iCs w:val="0"/>
          <w:color w:val="auto"/>
          <w:kern w:val="0"/>
          <w:sz w:val="21"/>
          <w:szCs w:val="21"/>
          <w:highlight w:val="none"/>
          <w:u w:val="single"/>
          <w:lang w:val="en-US" w:eastAsia="zh-CN"/>
        </w:rPr>
        <w:t xml:space="preserve">                                </w:t>
      </w:r>
    </w:p>
    <w:p w14:paraId="4FEC6140">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统一社会信用代码：</w:t>
      </w:r>
      <w:r>
        <w:rPr>
          <w:rFonts w:hint="eastAsia" w:ascii="宋体" w:hAnsi="宋体" w:eastAsia="宋体" w:cs="宋体"/>
          <w:i w:val="0"/>
          <w:iCs w:val="0"/>
          <w:color w:val="auto"/>
          <w:kern w:val="0"/>
          <w:sz w:val="21"/>
          <w:szCs w:val="21"/>
          <w:highlight w:val="none"/>
          <w:u w:val="single"/>
          <w:lang w:val="en-US" w:eastAsia="zh-CN"/>
        </w:rPr>
        <w:t xml:space="preserve">                                </w:t>
      </w:r>
    </w:p>
    <w:p w14:paraId="6CDFC855">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rPr>
        <w:t>注册地址：</w:t>
      </w:r>
      <w:r>
        <w:rPr>
          <w:rFonts w:hint="eastAsia" w:ascii="宋体" w:hAnsi="宋体" w:eastAsia="宋体" w:cs="宋体"/>
          <w:i w:val="0"/>
          <w:iCs w:val="0"/>
          <w:color w:val="auto"/>
          <w:kern w:val="0"/>
          <w:sz w:val="21"/>
          <w:szCs w:val="21"/>
          <w:highlight w:val="none"/>
          <w:u w:val="single"/>
          <w:lang w:val="en-US" w:eastAsia="zh-CN"/>
        </w:rPr>
        <w:t xml:space="preserve">                                </w:t>
      </w:r>
    </w:p>
    <w:p w14:paraId="697D9169">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成立时间：</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日；经营期限：</w:t>
      </w:r>
      <w:r>
        <w:rPr>
          <w:rFonts w:hint="eastAsia" w:ascii="宋体" w:hAnsi="宋体" w:eastAsia="宋体" w:cs="宋体"/>
          <w:i w:val="0"/>
          <w:iCs w:val="0"/>
          <w:color w:val="auto"/>
          <w:kern w:val="0"/>
          <w:sz w:val="21"/>
          <w:szCs w:val="21"/>
          <w:highlight w:val="none"/>
          <w:u w:val="single"/>
          <w:lang w:val="en-US" w:eastAsia="zh-CN"/>
        </w:rPr>
        <w:t xml:space="preserve">                          </w:t>
      </w:r>
    </w:p>
    <w:p w14:paraId="76D17738">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rPr>
        <w:t>经营范围：主营：</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；兼营：</w:t>
      </w:r>
      <w:r>
        <w:rPr>
          <w:rFonts w:hint="eastAsia" w:ascii="宋体" w:hAnsi="宋体" w:eastAsia="宋体" w:cs="宋体"/>
          <w:i w:val="0"/>
          <w:iCs w:val="0"/>
          <w:color w:val="auto"/>
          <w:kern w:val="0"/>
          <w:sz w:val="21"/>
          <w:szCs w:val="21"/>
          <w:highlight w:val="none"/>
          <w:u w:val="single"/>
          <w:lang w:val="en-US" w:eastAsia="zh-CN"/>
        </w:rPr>
        <w:t xml:space="preserve">                           </w:t>
      </w:r>
    </w:p>
    <w:p w14:paraId="48AB22F7">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i w:val="0"/>
          <w:iCs w:val="0"/>
          <w:color w:val="auto"/>
          <w:kern w:val="0"/>
          <w:sz w:val="21"/>
          <w:szCs w:val="21"/>
          <w:highlight w:val="none"/>
          <w:u w:val="none"/>
          <w:lang w:val="en-US" w:eastAsia="zh-CN"/>
        </w:rPr>
        <w:t xml:space="preserve">  </w:t>
      </w:r>
      <w:r>
        <w:rPr>
          <w:rFonts w:hint="eastAsia" w:ascii="宋体" w:hAnsi="宋体" w:eastAsia="宋体" w:cs="宋体"/>
          <w:color w:val="auto"/>
          <w:kern w:val="0"/>
          <w:sz w:val="21"/>
          <w:szCs w:val="21"/>
          <w:highlight w:val="none"/>
        </w:rPr>
        <w:t>性别：</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年龄：</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sz w:val="21"/>
          <w:szCs w:val="21"/>
          <w:highlight w:val="none"/>
          <w:u w:val="single"/>
        </w:rPr>
        <w:t>供应商</w:t>
      </w:r>
      <w:r>
        <w:rPr>
          <w:rFonts w:hint="eastAsia" w:ascii="宋体" w:hAnsi="宋体" w:eastAsia="宋体" w:cs="宋体"/>
          <w:color w:val="auto"/>
          <w:kern w:val="0"/>
          <w:sz w:val="21"/>
          <w:szCs w:val="21"/>
          <w:highlight w:val="none"/>
          <w:u w:val="single"/>
        </w:rPr>
        <w:t>名称）</w:t>
      </w:r>
      <w:r>
        <w:rPr>
          <w:rFonts w:hint="eastAsia" w:ascii="宋体" w:hAnsi="宋体" w:eastAsia="宋体" w:cs="宋体"/>
          <w:color w:val="auto"/>
          <w:kern w:val="0"/>
          <w:sz w:val="21"/>
          <w:szCs w:val="21"/>
          <w:highlight w:val="none"/>
        </w:rPr>
        <w:t>的法定代表人。</w:t>
      </w:r>
    </w:p>
    <w:p w14:paraId="777CE6DD">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24A22546">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sz w:val="21"/>
          <w:szCs w:val="21"/>
          <w:highlight w:val="none"/>
        </w:rPr>
      </w:pPr>
    </w:p>
    <w:p w14:paraId="71EE8F1B">
      <w:pPr>
        <w:keepNext w:val="0"/>
        <w:keepLines w:val="0"/>
        <w:pageBreakBefore w:val="0"/>
        <w:widowControl w:val="0"/>
        <w:kinsoku/>
        <w:wordWrap/>
        <w:overflowPunct/>
        <w:topLinePunct w:val="0"/>
        <w:autoSpaceDE w:val="0"/>
        <w:autoSpaceDN w:val="0"/>
        <w:bidi w:val="0"/>
        <w:adjustRightInd w:val="0"/>
        <w:snapToGrid w:val="0"/>
        <w:spacing w:line="420" w:lineRule="exact"/>
        <w:jc w:val="left"/>
        <w:textAlignment w:val="auto"/>
        <w:rPr>
          <w:rFonts w:hint="eastAsia" w:ascii="宋体" w:hAnsi="宋体" w:eastAsia="宋体" w:cs="宋体"/>
          <w:color w:val="auto"/>
          <w:sz w:val="21"/>
          <w:szCs w:val="21"/>
          <w:highlight w:val="none"/>
        </w:rPr>
      </w:pPr>
    </w:p>
    <w:p w14:paraId="0E0A16A4">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附：法定代表人身份证复印件</w:t>
      </w:r>
    </w:p>
    <w:tbl>
      <w:tblPr>
        <w:tblStyle w:val="37"/>
        <w:tblW w:w="7996" w:type="dxa"/>
        <w:tblInd w:w="540" w:type="dxa"/>
        <w:tblLayout w:type="fixed"/>
        <w:tblCellMar>
          <w:top w:w="0" w:type="dxa"/>
          <w:left w:w="108" w:type="dxa"/>
          <w:bottom w:w="0" w:type="dxa"/>
          <w:right w:w="108" w:type="dxa"/>
        </w:tblCellMar>
      </w:tblPr>
      <w:tblGrid>
        <w:gridCol w:w="4081"/>
        <w:gridCol w:w="3915"/>
      </w:tblGrid>
      <w:tr w14:paraId="7D8FF45A">
        <w:tblPrEx>
          <w:tblCellMar>
            <w:top w:w="0" w:type="dxa"/>
            <w:left w:w="108" w:type="dxa"/>
            <w:bottom w:w="0" w:type="dxa"/>
            <w:right w:w="108" w:type="dxa"/>
          </w:tblCellMar>
        </w:tblPrEx>
        <w:trPr>
          <w:trHeight w:val="2494" w:hRule="atLeast"/>
        </w:trPr>
        <w:tc>
          <w:tcPr>
            <w:tcW w:w="4081" w:type="dxa"/>
            <w:tcBorders>
              <w:top w:val="single" w:color="auto" w:sz="6" w:space="0"/>
              <w:left w:val="single" w:color="auto" w:sz="6" w:space="0"/>
              <w:bottom w:val="single" w:color="auto" w:sz="6" w:space="0"/>
              <w:right w:val="single" w:color="auto" w:sz="6" w:space="0"/>
            </w:tcBorders>
            <w:vAlign w:val="center"/>
          </w:tcPr>
          <w:p w14:paraId="62C73044">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法定代表人身份证复印件</w:t>
            </w:r>
          </w:p>
          <w:p w14:paraId="3613B54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国徽</w:t>
            </w:r>
            <w:r>
              <w:rPr>
                <w:rFonts w:hint="eastAsia" w:ascii="宋体" w:hAnsi="宋体" w:eastAsia="宋体" w:cs="宋体"/>
                <w:color w:val="auto"/>
                <w:sz w:val="21"/>
                <w:szCs w:val="21"/>
                <w:highlight w:val="none"/>
              </w:rPr>
              <w:t>面）</w:t>
            </w:r>
          </w:p>
        </w:tc>
        <w:tc>
          <w:tcPr>
            <w:tcW w:w="3915" w:type="dxa"/>
            <w:tcBorders>
              <w:top w:val="single" w:color="auto" w:sz="6" w:space="0"/>
              <w:left w:val="single" w:color="auto" w:sz="6" w:space="0"/>
              <w:bottom w:val="single" w:color="auto" w:sz="6" w:space="0"/>
              <w:right w:val="single" w:color="auto" w:sz="6" w:space="0"/>
            </w:tcBorders>
            <w:vAlign w:val="center"/>
          </w:tcPr>
          <w:p w14:paraId="6C14BB68">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法定代表人身份证复印件</w:t>
            </w:r>
          </w:p>
          <w:p w14:paraId="51A77CD5">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人像</w:t>
            </w:r>
            <w:r>
              <w:rPr>
                <w:rFonts w:hint="eastAsia" w:ascii="宋体" w:hAnsi="宋体" w:eastAsia="宋体" w:cs="宋体"/>
                <w:color w:val="auto"/>
                <w:sz w:val="21"/>
                <w:szCs w:val="21"/>
                <w:highlight w:val="none"/>
              </w:rPr>
              <w:t>面）</w:t>
            </w:r>
          </w:p>
        </w:tc>
      </w:tr>
    </w:tbl>
    <w:p w14:paraId="515AEB61">
      <w:pPr>
        <w:keepNext w:val="0"/>
        <w:keepLines w:val="0"/>
        <w:pageBreakBefore w:val="0"/>
        <w:widowControl w:val="0"/>
        <w:kinsoku/>
        <w:wordWrap/>
        <w:overflowPunct/>
        <w:topLinePunct w:val="0"/>
        <w:bidi w:val="0"/>
        <w:spacing w:line="420" w:lineRule="exact"/>
        <w:ind w:right="-197" w:rightChars="-94"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说明：仅限法定代表人参加磋商时提供。</w:t>
      </w:r>
    </w:p>
    <w:p w14:paraId="5B783861">
      <w:pPr>
        <w:pStyle w:val="16"/>
        <w:keepNext w:val="0"/>
        <w:keepLines w:val="0"/>
        <w:pageBreakBefore w:val="0"/>
        <w:widowControl w:val="0"/>
        <w:kinsoku/>
        <w:wordWrap/>
        <w:overflowPunct/>
        <w:topLinePunct w:val="0"/>
        <w:bidi w:val="0"/>
        <w:spacing w:line="420" w:lineRule="exact"/>
        <w:textAlignment w:val="auto"/>
        <w:rPr>
          <w:rFonts w:hint="eastAsia" w:ascii="宋体" w:hAnsi="宋体" w:eastAsia="宋体" w:cs="宋体"/>
          <w:color w:val="auto"/>
          <w:sz w:val="21"/>
          <w:szCs w:val="21"/>
          <w:highlight w:val="none"/>
        </w:rPr>
      </w:pPr>
    </w:p>
    <w:p w14:paraId="5EF47B55">
      <w:pPr>
        <w:keepNext w:val="0"/>
        <w:keepLines w:val="0"/>
        <w:pageBreakBefore w:val="0"/>
        <w:widowControl w:val="0"/>
        <w:kinsoku/>
        <w:wordWrap/>
        <w:overflowPunct/>
        <w:topLinePunct w:val="0"/>
        <w:bidi w:val="0"/>
        <w:spacing w:line="420" w:lineRule="exact"/>
        <w:textAlignment w:val="auto"/>
        <w:rPr>
          <w:rFonts w:hint="eastAsia" w:ascii="宋体" w:hAnsi="宋体" w:eastAsia="宋体" w:cs="宋体"/>
          <w:color w:val="auto"/>
          <w:sz w:val="21"/>
          <w:szCs w:val="21"/>
          <w:highlight w:val="none"/>
        </w:rPr>
      </w:pPr>
    </w:p>
    <w:p w14:paraId="0BAEF835">
      <w:pPr>
        <w:keepNext w:val="0"/>
        <w:keepLines w:val="0"/>
        <w:pageBreakBefore w:val="0"/>
        <w:widowControl w:val="0"/>
        <w:kinsoku/>
        <w:wordWrap/>
        <w:overflowPunct/>
        <w:topLinePunct w:val="0"/>
        <w:bidi w:val="0"/>
        <w:spacing w:line="420" w:lineRule="exact"/>
        <w:ind w:firstLine="3990" w:firstLineChars="19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供应商（公章）：</w:t>
      </w:r>
    </w:p>
    <w:p w14:paraId="49E32229">
      <w:pPr>
        <w:keepNext w:val="0"/>
        <w:keepLines w:val="0"/>
        <w:pageBreakBefore w:val="0"/>
        <w:widowControl w:val="0"/>
        <w:kinsoku/>
        <w:wordWrap/>
        <w:overflowPunct/>
        <w:topLinePunct w:val="0"/>
        <w:bidi w:val="0"/>
        <w:adjustRightInd w:val="0"/>
        <w:snapToGrid w:val="0"/>
        <w:spacing w:line="420" w:lineRule="exact"/>
        <w:ind w:firstLine="3990" w:firstLineChars="190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w:t>
      </w:r>
    </w:p>
    <w:p w14:paraId="4E85B9D0">
      <w:pPr>
        <w:keepNext w:val="0"/>
        <w:keepLines w:val="0"/>
        <w:pageBreakBefore w:val="0"/>
        <w:widowControl w:val="0"/>
        <w:numPr>
          <w:ilvl w:val="0"/>
          <w:numId w:val="0"/>
        </w:numPr>
        <w:kinsoku/>
        <w:wordWrap/>
        <w:overflowPunct/>
        <w:topLinePunct w:val="0"/>
        <w:bidi w:val="0"/>
        <w:spacing w:line="360" w:lineRule="auto"/>
        <w:ind w:left="420" w:leftChars="0"/>
        <w:jc w:val="both"/>
        <w:textAlignment w:val="auto"/>
        <w:outlineLvl w:val="9"/>
        <w:rPr>
          <w:rFonts w:hint="eastAsia" w:ascii="宋体" w:hAnsi="宋体" w:eastAsia="宋体" w:cs="宋体"/>
          <w:color w:val="auto"/>
          <w:sz w:val="21"/>
          <w:szCs w:val="21"/>
          <w:highlight w:val="none"/>
        </w:rPr>
      </w:pPr>
    </w:p>
    <w:p w14:paraId="4A7A72C2">
      <w:pPr>
        <w:pStyle w:val="16"/>
        <w:keepLines w:val="0"/>
        <w:pageBreakBefore w:val="0"/>
        <w:kinsoku/>
        <w:bidi w:val="0"/>
        <w:spacing w:line="360" w:lineRule="auto"/>
        <w:rPr>
          <w:rFonts w:hint="eastAsia" w:ascii="宋体" w:hAnsi="宋体" w:eastAsia="宋体" w:cs="宋体"/>
          <w:color w:val="auto"/>
          <w:sz w:val="21"/>
          <w:szCs w:val="21"/>
          <w:highlight w:val="none"/>
        </w:rPr>
      </w:pPr>
    </w:p>
    <w:p w14:paraId="22AAA53F">
      <w:pPr>
        <w:keepLines w:val="0"/>
        <w:pageBreakBefore w:val="0"/>
        <w:kinsoku/>
        <w:bidi w:val="0"/>
        <w:spacing w:line="360" w:lineRule="auto"/>
        <w:rPr>
          <w:rFonts w:hint="eastAsia" w:ascii="宋体" w:hAnsi="宋体" w:eastAsia="宋体" w:cs="宋体"/>
          <w:color w:val="auto"/>
          <w:sz w:val="21"/>
          <w:szCs w:val="21"/>
          <w:highlight w:val="none"/>
        </w:rPr>
      </w:pPr>
    </w:p>
    <w:p w14:paraId="7B0D412D">
      <w:pPr>
        <w:pStyle w:val="16"/>
        <w:rPr>
          <w:rFonts w:hint="eastAsia" w:ascii="宋体" w:hAnsi="宋体" w:eastAsia="宋体" w:cs="宋体"/>
          <w:color w:val="auto"/>
        </w:rPr>
      </w:pPr>
    </w:p>
    <w:p w14:paraId="7ADB6AC9">
      <w:pPr>
        <w:pStyle w:val="16"/>
        <w:keepLines w:val="0"/>
        <w:pageBreakBefore w:val="0"/>
        <w:kinsoku/>
        <w:bidi w:val="0"/>
        <w:spacing w:line="360" w:lineRule="auto"/>
        <w:rPr>
          <w:rFonts w:hint="eastAsia" w:ascii="宋体" w:hAnsi="宋体" w:eastAsia="宋体" w:cs="宋体"/>
          <w:color w:val="auto"/>
          <w:sz w:val="21"/>
          <w:szCs w:val="21"/>
          <w:highlight w:val="none"/>
        </w:rPr>
      </w:pPr>
    </w:p>
    <w:p w14:paraId="4C21744D">
      <w:pPr>
        <w:pStyle w:val="137"/>
        <w:keepLines w:val="0"/>
        <w:pageBreakBefore w:val="0"/>
        <w:kinsoku/>
        <w:wordWrap/>
        <w:overflowPunct/>
        <w:topLinePunct w:val="0"/>
        <w:autoSpaceDE/>
        <w:autoSpaceDN/>
        <w:bidi w:val="0"/>
        <w:adjustRightInd/>
        <w:spacing w:before="0" w:after="0" w:line="42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（二）法定代表人授权委托书</w:t>
      </w:r>
    </w:p>
    <w:p w14:paraId="242225AC">
      <w:pPr>
        <w:pStyle w:val="20"/>
        <w:keepLines w:val="0"/>
        <w:pageBreakBefore w:val="0"/>
        <w:kinsoku/>
        <w:overflowPunct/>
        <w:topLinePunct w:val="0"/>
        <w:autoSpaceDE/>
        <w:autoSpaceDN/>
        <w:bidi w:val="0"/>
        <w:adjustRightInd/>
        <w:spacing w:line="420" w:lineRule="exact"/>
        <w:jc w:val="left"/>
        <w:textAlignment w:val="auto"/>
        <w:outlineLvl w:val="9"/>
        <w:rPr>
          <w:rFonts w:hint="eastAsia" w:ascii="宋体" w:hAnsi="宋体" w:eastAsia="宋体" w:cs="宋体"/>
          <w:b/>
          <w:bCs/>
          <w:color w:val="auto"/>
          <w:sz w:val="21"/>
          <w:szCs w:val="21"/>
          <w:highlight w:val="none"/>
        </w:rPr>
      </w:pPr>
      <w:r>
        <w:rPr>
          <w:rFonts w:hint="eastAsia" w:hAnsi="宋体" w:cs="宋体"/>
          <w:color w:val="auto"/>
          <w:sz w:val="21"/>
          <w:szCs w:val="21"/>
          <w:highlight w:val="none"/>
          <w:lang w:eastAsia="zh-CN"/>
        </w:rPr>
        <w:t>泾阳县政府采购中心</w:t>
      </w:r>
      <w:r>
        <w:rPr>
          <w:rFonts w:hint="eastAsia" w:ascii="宋体" w:hAnsi="宋体" w:eastAsia="宋体" w:cs="宋体"/>
          <w:color w:val="auto"/>
          <w:sz w:val="21"/>
          <w:szCs w:val="21"/>
          <w:highlight w:val="none"/>
        </w:rPr>
        <w:t>：</w:t>
      </w:r>
    </w:p>
    <w:p w14:paraId="48402A0B">
      <w:pPr>
        <w:keepLines w:val="0"/>
        <w:pageBreakBefore w:val="0"/>
        <w:widowControl/>
        <w:kinsoku/>
        <w:wordWrap w:val="0"/>
        <w:overflowPunct/>
        <w:topLinePunct w:val="0"/>
        <w:autoSpaceDE/>
        <w:autoSpaceDN/>
        <w:bidi w:val="0"/>
        <w:adjustRightInd/>
        <w:spacing w:line="42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的法定代表人，现委托</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为我方代理人。代理人根据授权，以我方名义签署、澄清、说明、补正、递交、撤回、修改</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lang w:val="en-US" w:eastAsia="zh-CN"/>
        </w:rPr>
        <w:t>竞争性磋商响应</w:t>
      </w:r>
      <w:r>
        <w:rPr>
          <w:rFonts w:hint="eastAsia" w:ascii="宋体" w:hAnsi="宋体" w:eastAsia="宋体" w:cs="宋体"/>
          <w:color w:val="auto"/>
          <w:sz w:val="21"/>
          <w:szCs w:val="21"/>
          <w:highlight w:val="none"/>
        </w:rPr>
        <w:t>文件、签订合同和处理有关事宜，其法律后果由我方承担。</w:t>
      </w:r>
    </w:p>
    <w:p w14:paraId="5ACDF14A">
      <w:pPr>
        <w:keepLines w:val="0"/>
        <w:pageBreakBefore w:val="0"/>
        <w:kinsoku/>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u w:val="single"/>
        </w:rPr>
        <w:t>自投标截止之日起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日历天</w:t>
      </w:r>
    </w:p>
    <w:p w14:paraId="41EAD873">
      <w:pPr>
        <w:keepLines w:val="0"/>
        <w:pageBreakBefore w:val="0"/>
        <w:kinsoku/>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043DB7DD">
      <w:pPr>
        <w:keepLines w:val="0"/>
        <w:pageBreakBefore w:val="0"/>
        <w:kinsoku/>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auto"/>
          <w:sz w:val="21"/>
          <w:szCs w:val="21"/>
          <w:highlight w:val="none"/>
        </w:rPr>
      </w:pPr>
      <w:bookmarkStart w:id="580" w:name="_Toc201637979"/>
      <w:bookmarkStart w:id="581" w:name="_Toc214090947"/>
    </w:p>
    <w:p w14:paraId="3ADEF22F">
      <w:pPr>
        <w:keepLines w:val="0"/>
        <w:pageBreakBefore w:val="0"/>
        <w:kinsoku/>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被授权人签字：</w:t>
      </w:r>
      <w:bookmarkEnd w:id="580"/>
      <w:bookmarkEnd w:id="581"/>
    </w:p>
    <w:p w14:paraId="7F445955">
      <w:pPr>
        <w:keepLines w:val="0"/>
        <w:pageBreakBefore w:val="0"/>
        <w:kinsoku/>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auto"/>
          <w:sz w:val="21"/>
          <w:szCs w:val="21"/>
          <w:highlight w:val="none"/>
        </w:rPr>
      </w:pPr>
      <w:bookmarkStart w:id="582" w:name="_Toc214090948"/>
      <w:bookmarkStart w:id="583" w:name="_Toc201637980"/>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bookmarkEnd w:id="582"/>
      <w:bookmarkEnd w:id="583"/>
    </w:p>
    <w:p w14:paraId="2BC41695">
      <w:pPr>
        <w:keepLines w:val="0"/>
        <w:pageBreakBefore w:val="0"/>
        <w:kinsoku/>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color w:val="auto"/>
          <w:sz w:val="21"/>
          <w:szCs w:val="21"/>
          <w:highlight w:val="none"/>
        </w:rPr>
      </w:pPr>
      <w:bookmarkStart w:id="584" w:name="_Toc214090949"/>
      <w:bookmarkStart w:id="585" w:name="_Toc201637981"/>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w:t>
      </w:r>
      <w:bookmarkEnd w:id="584"/>
      <w:bookmarkEnd w:id="585"/>
    </w:p>
    <w:p w14:paraId="5E1FA9E8">
      <w:pPr>
        <w:keepLines w:val="0"/>
        <w:pageBreakBefore w:val="0"/>
        <w:kinsoku/>
        <w:overflowPunct/>
        <w:topLinePunct w:val="0"/>
        <w:autoSpaceDE/>
        <w:autoSpaceDN/>
        <w:bidi w:val="0"/>
        <w:adjustRightInd/>
        <w:spacing w:line="420" w:lineRule="exact"/>
        <w:textAlignment w:val="auto"/>
        <w:outlineLvl w:val="9"/>
        <w:rPr>
          <w:rFonts w:hint="eastAsia" w:ascii="宋体" w:hAnsi="宋体" w:eastAsia="宋体" w:cs="宋体"/>
          <w:color w:val="auto"/>
          <w:sz w:val="21"/>
          <w:szCs w:val="21"/>
          <w:highlight w:val="none"/>
        </w:rPr>
      </w:pPr>
      <w:bookmarkStart w:id="586" w:name="_Toc214090950"/>
      <w:bookmarkStart w:id="587" w:name="_Toc201637982"/>
    </w:p>
    <w:p w14:paraId="5ECD349A">
      <w:pPr>
        <w:keepLines w:val="0"/>
        <w:pageBreakBefore w:val="0"/>
        <w:kinsoku/>
        <w:overflowPunct/>
        <w:topLinePunct w:val="0"/>
        <w:autoSpaceDE/>
        <w:autoSpaceDN/>
        <w:bidi w:val="0"/>
        <w:adjustRightInd/>
        <w:spacing w:line="42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附：法定代表人、被授权人身份证复印件。（二代身份证正、反两面都需复印）</w:t>
      </w:r>
      <w:bookmarkEnd w:id="586"/>
      <w:bookmarkEnd w:id="587"/>
    </w:p>
    <w:p w14:paraId="7BE40A49">
      <w:pPr>
        <w:pStyle w:val="20"/>
        <w:keepLines w:val="0"/>
        <w:pageBreakBefore w:val="0"/>
        <w:kinsoku/>
        <w:overflowPunct/>
        <w:topLinePunct w:val="0"/>
        <w:autoSpaceDE/>
        <w:autoSpaceDN/>
        <w:bidi w:val="0"/>
        <w:adjustRightInd/>
        <w:spacing w:line="42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2D48502E">
      <w:pPr>
        <w:pStyle w:val="20"/>
        <w:keepLines w:val="0"/>
        <w:pageBreakBefore w:val="0"/>
        <w:kinsoku/>
        <w:overflowPunct/>
        <w:topLinePunct w:val="0"/>
        <w:autoSpaceDE/>
        <w:autoSpaceDN/>
        <w:bidi w:val="0"/>
        <w:adjustRightInd/>
        <w:spacing w:line="420" w:lineRule="exact"/>
        <w:ind w:firstLine="420" w:firstLineChars="200"/>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1．本授权书有效期自</w:t>
      </w:r>
      <w:r>
        <w:rPr>
          <w:rFonts w:hint="eastAsia" w:ascii="宋体" w:hAnsi="宋体" w:eastAsia="宋体" w:cs="宋体"/>
          <w:b w:val="0"/>
          <w:bCs w:val="0"/>
          <w:color w:val="auto"/>
          <w:sz w:val="21"/>
          <w:szCs w:val="21"/>
          <w:highlight w:val="none"/>
          <w:lang w:val="en-US" w:eastAsia="zh-CN"/>
        </w:rPr>
        <w:t>开标</w:t>
      </w:r>
      <w:r>
        <w:rPr>
          <w:rFonts w:hint="eastAsia" w:ascii="宋体" w:hAnsi="宋体" w:eastAsia="宋体" w:cs="宋体"/>
          <w:b w:val="0"/>
          <w:bCs w:val="0"/>
          <w:color w:val="auto"/>
          <w:sz w:val="21"/>
          <w:szCs w:val="21"/>
          <w:highlight w:val="none"/>
        </w:rPr>
        <w:t>大会之日计算不得少于</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0日历</w:t>
      </w:r>
      <w:r>
        <w:rPr>
          <w:rFonts w:hint="eastAsia" w:ascii="宋体" w:hAnsi="宋体" w:eastAsia="宋体" w:cs="宋体"/>
          <w:b w:val="0"/>
          <w:bCs w:val="0"/>
          <w:color w:val="auto"/>
          <w:sz w:val="21"/>
          <w:szCs w:val="21"/>
          <w:highlight w:val="none"/>
          <w:lang w:eastAsia="zh-CN"/>
        </w:rPr>
        <w:t>天</w:t>
      </w:r>
      <w:r>
        <w:rPr>
          <w:rFonts w:hint="eastAsia" w:ascii="宋体" w:hAnsi="宋体" w:eastAsia="宋体" w:cs="宋体"/>
          <w:b w:val="0"/>
          <w:bCs w:val="0"/>
          <w:color w:val="auto"/>
          <w:sz w:val="21"/>
          <w:szCs w:val="21"/>
          <w:highlight w:val="none"/>
        </w:rPr>
        <w:t>。</w:t>
      </w:r>
    </w:p>
    <w:p w14:paraId="12A2D67F">
      <w:pPr>
        <w:pStyle w:val="24"/>
        <w:keepLines w:val="0"/>
        <w:pageBreakBefore w:val="0"/>
        <w:kinsoku/>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2．授权书内容填写要明确，文字要工整清楚，涂改无效。</w:t>
      </w:r>
    </w:p>
    <w:tbl>
      <w:tblPr>
        <w:tblStyle w:val="3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4579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vAlign w:val="center"/>
          </w:tcPr>
          <w:p w14:paraId="33BB872E">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588" w:name="_Toc201637983"/>
            <w:bookmarkStart w:id="589" w:name="_Toc214090951"/>
            <w:r>
              <w:rPr>
                <w:rFonts w:hint="eastAsia" w:ascii="宋体" w:hAnsi="宋体" w:eastAsia="宋体" w:cs="宋体"/>
                <w:color w:val="auto"/>
                <w:sz w:val="21"/>
                <w:szCs w:val="21"/>
                <w:highlight w:val="none"/>
              </w:rPr>
              <w:t>法定代表人身份证复印件</w:t>
            </w:r>
            <w:bookmarkEnd w:id="588"/>
            <w:bookmarkEnd w:id="589"/>
          </w:p>
          <w:p w14:paraId="5AD1FF5F">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590" w:name="_Toc214090952"/>
            <w:bookmarkStart w:id="591" w:name="_Toc201637984"/>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国徽</w:t>
            </w:r>
            <w:r>
              <w:rPr>
                <w:rFonts w:hint="eastAsia" w:ascii="宋体" w:hAnsi="宋体" w:eastAsia="宋体" w:cs="宋体"/>
                <w:color w:val="auto"/>
                <w:sz w:val="21"/>
                <w:szCs w:val="21"/>
                <w:highlight w:val="none"/>
              </w:rPr>
              <w:t>面）</w:t>
            </w:r>
            <w:bookmarkEnd w:id="590"/>
            <w:bookmarkEnd w:id="591"/>
          </w:p>
        </w:tc>
        <w:tc>
          <w:tcPr>
            <w:tcW w:w="4396" w:type="dxa"/>
            <w:vAlign w:val="center"/>
          </w:tcPr>
          <w:p w14:paraId="69A2A5AE">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592" w:name="_Toc214090953"/>
            <w:bookmarkStart w:id="593" w:name="_Toc201637985"/>
            <w:r>
              <w:rPr>
                <w:rFonts w:hint="eastAsia" w:ascii="宋体" w:hAnsi="宋体" w:eastAsia="宋体" w:cs="宋体"/>
                <w:color w:val="auto"/>
                <w:sz w:val="21"/>
                <w:szCs w:val="21"/>
                <w:highlight w:val="none"/>
              </w:rPr>
              <w:t>被授权人身份证复印件</w:t>
            </w:r>
            <w:bookmarkEnd w:id="592"/>
            <w:bookmarkEnd w:id="593"/>
          </w:p>
          <w:p w14:paraId="7991A1FA">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594" w:name="_Toc214090954"/>
            <w:bookmarkStart w:id="595" w:name="_Toc201637986"/>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国徽</w:t>
            </w:r>
            <w:r>
              <w:rPr>
                <w:rFonts w:hint="eastAsia" w:ascii="宋体" w:hAnsi="宋体" w:eastAsia="宋体" w:cs="宋体"/>
                <w:color w:val="auto"/>
                <w:sz w:val="21"/>
                <w:szCs w:val="21"/>
                <w:highlight w:val="none"/>
              </w:rPr>
              <w:t>面）</w:t>
            </w:r>
            <w:bookmarkEnd w:id="594"/>
            <w:bookmarkEnd w:id="595"/>
          </w:p>
        </w:tc>
      </w:tr>
      <w:tr w14:paraId="4D72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vAlign w:val="center"/>
          </w:tcPr>
          <w:p w14:paraId="4D8EC2EA">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596" w:name="_Toc201637987"/>
            <w:bookmarkStart w:id="597" w:name="_Toc214090955"/>
            <w:r>
              <w:rPr>
                <w:rFonts w:hint="eastAsia" w:ascii="宋体" w:hAnsi="宋体" w:eastAsia="宋体" w:cs="宋体"/>
                <w:color w:val="auto"/>
                <w:sz w:val="21"/>
                <w:szCs w:val="21"/>
                <w:highlight w:val="none"/>
              </w:rPr>
              <w:t>法定代表人身份证复印件</w:t>
            </w:r>
            <w:bookmarkEnd w:id="596"/>
            <w:bookmarkEnd w:id="597"/>
          </w:p>
          <w:p w14:paraId="14BEB97E">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598" w:name="_Toc214090956"/>
            <w:bookmarkStart w:id="599" w:name="_Toc201637988"/>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人像</w:t>
            </w:r>
            <w:r>
              <w:rPr>
                <w:rFonts w:hint="eastAsia" w:ascii="宋体" w:hAnsi="宋体" w:eastAsia="宋体" w:cs="宋体"/>
                <w:color w:val="auto"/>
                <w:sz w:val="21"/>
                <w:szCs w:val="21"/>
                <w:highlight w:val="none"/>
              </w:rPr>
              <w:t>面）</w:t>
            </w:r>
            <w:bookmarkEnd w:id="598"/>
            <w:bookmarkEnd w:id="599"/>
          </w:p>
        </w:tc>
        <w:tc>
          <w:tcPr>
            <w:tcW w:w="4396" w:type="dxa"/>
            <w:vAlign w:val="center"/>
          </w:tcPr>
          <w:p w14:paraId="1457855C">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600" w:name="_Toc214090957"/>
            <w:bookmarkStart w:id="601" w:name="_Toc201637989"/>
            <w:r>
              <w:rPr>
                <w:rFonts w:hint="eastAsia" w:ascii="宋体" w:hAnsi="宋体" w:eastAsia="宋体" w:cs="宋体"/>
                <w:color w:val="auto"/>
                <w:sz w:val="21"/>
                <w:szCs w:val="21"/>
                <w:highlight w:val="none"/>
              </w:rPr>
              <w:t>被授权人身份证复印件</w:t>
            </w:r>
            <w:bookmarkEnd w:id="600"/>
            <w:bookmarkEnd w:id="601"/>
          </w:p>
          <w:p w14:paraId="08E02332">
            <w:pPr>
              <w:keepLines w:val="0"/>
              <w:pageBreakBefore w:val="0"/>
              <w:kinsoku/>
              <w:overflowPunct/>
              <w:topLinePunct w:val="0"/>
              <w:autoSpaceDE/>
              <w:autoSpaceDN/>
              <w:bidi w:val="0"/>
              <w:adjustRightInd/>
              <w:spacing w:line="420" w:lineRule="exact"/>
              <w:jc w:val="center"/>
              <w:textAlignment w:val="auto"/>
              <w:outlineLvl w:val="9"/>
              <w:rPr>
                <w:rFonts w:hint="eastAsia" w:ascii="宋体" w:hAnsi="宋体" w:eastAsia="宋体" w:cs="宋体"/>
                <w:color w:val="auto"/>
                <w:sz w:val="21"/>
                <w:szCs w:val="21"/>
                <w:highlight w:val="none"/>
              </w:rPr>
            </w:pPr>
            <w:bookmarkStart w:id="602" w:name="_Toc201637990"/>
            <w:bookmarkStart w:id="603" w:name="_Toc214090958"/>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人像</w:t>
            </w:r>
            <w:r>
              <w:rPr>
                <w:rFonts w:hint="eastAsia" w:ascii="宋体" w:hAnsi="宋体" w:eastAsia="宋体" w:cs="宋体"/>
                <w:color w:val="auto"/>
                <w:sz w:val="21"/>
                <w:szCs w:val="21"/>
                <w:highlight w:val="none"/>
              </w:rPr>
              <w:t>面）</w:t>
            </w:r>
            <w:bookmarkEnd w:id="602"/>
            <w:bookmarkEnd w:id="603"/>
          </w:p>
        </w:tc>
      </w:tr>
    </w:tbl>
    <w:p w14:paraId="541566E9">
      <w:pPr>
        <w:keepLines w:val="0"/>
        <w:pageBreakBefore w:val="0"/>
        <w:kinsoku/>
        <w:overflowPunct/>
        <w:topLinePunct w:val="0"/>
        <w:autoSpaceDE/>
        <w:autoSpaceDN/>
        <w:bidi w:val="0"/>
        <w:adjustRightInd/>
        <w:spacing w:line="420" w:lineRule="exact"/>
        <w:textAlignment w:val="auto"/>
        <w:outlineLvl w:val="9"/>
        <w:rPr>
          <w:rFonts w:hint="eastAsia" w:ascii="宋体" w:hAnsi="宋体" w:eastAsia="宋体" w:cs="宋体"/>
          <w:color w:val="auto"/>
          <w:sz w:val="21"/>
          <w:szCs w:val="21"/>
          <w:highlight w:val="none"/>
          <w:lang w:eastAsia="zh-CN"/>
        </w:rPr>
      </w:pPr>
    </w:p>
    <w:p w14:paraId="63138D88">
      <w:pPr>
        <w:keepLines w:val="0"/>
        <w:pageBreakBefore w:val="0"/>
        <w:kinsoku/>
        <w:overflowPunct/>
        <w:topLinePunct w:val="0"/>
        <w:autoSpaceDE/>
        <w:autoSpaceDN/>
        <w:bidi w:val="0"/>
        <w:adjustRightInd/>
        <w:spacing w:line="420" w:lineRule="exact"/>
        <w:ind w:firstLine="4410" w:firstLineChars="2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：（盖单位章）</w:t>
      </w:r>
    </w:p>
    <w:p w14:paraId="50BF35E8">
      <w:pPr>
        <w:keepLines w:val="0"/>
        <w:pageBreakBefore w:val="0"/>
        <w:kinsoku/>
        <w:overflowPunct/>
        <w:topLinePunct w:val="0"/>
        <w:autoSpaceDE/>
        <w:autoSpaceDN/>
        <w:bidi w:val="0"/>
        <w:adjustRightInd/>
        <w:spacing w:line="420" w:lineRule="exact"/>
        <w:ind w:firstLine="4830" w:firstLineChars="23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5A3D7EA0">
      <w:pPr>
        <w:pStyle w:val="16"/>
        <w:keepLines w:val="0"/>
        <w:pageBreakBefore w:val="0"/>
        <w:kinsoku/>
        <w:overflowPunct/>
        <w:topLinePunct w:val="0"/>
        <w:autoSpaceDE/>
        <w:autoSpaceDN/>
        <w:bidi w:val="0"/>
        <w:adjustRightInd/>
        <w:spacing w:line="420" w:lineRule="exact"/>
        <w:textAlignment w:val="auto"/>
        <w:rPr>
          <w:rFonts w:hint="eastAsia" w:ascii="宋体" w:hAnsi="宋体" w:eastAsia="宋体" w:cs="宋体"/>
          <w:b/>
          <w:bCs/>
          <w:color w:val="auto"/>
          <w:sz w:val="21"/>
          <w:szCs w:val="21"/>
          <w:highlight w:val="none"/>
          <w:lang w:val="en-US" w:eastAsia="zh-CN"/>
        </w:rPr>
      </w:pPr>
    </w:p>
    <w:p w14:paraId="254DEF39">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p>
    <w:p w14:paraId="63C8174A">
      <w:pPr>
        <w:pStyle w:val="16"/>
        <w:rPr>
          <w:rFonts w:hint="eastAsia" w:ascii="宋体" w:hAnsi="宋体" w:eastAsia="宋体" w:cs="宋体"/>
          <w:color w:val="auto"/>
          <w:lang w:val="en-US" w:eastAsia="zh-CN"/>
        </w:rPr>
      </w:pPr>
    </w:p>
    <w:p w14:paraId="6A398C77">
      <w:pPr>
        <w:rPr>
          <w:rFonts w:hint="eastAsia" w:ascii="宋体" w:hAnsi="宋体" w:eastAsia="宋体" w:cs="宋体"/>
          <w:b/>
          <w:bCs/>
          <w:color w:val="auto"/>
          <w:sz w:val="24"/>
          <w:szCs w:val="24"/>
          <w:highlight w:val="none"/>
          <w:lang w:val="en-US" w:eastAsia="zh-CN"/>
        </w:rPr>
      </w:pPr>
    </w:p>
    <w:p w14:paraId="30D371FD">
      <w:pPr>
        <w:pStyle w:val="16"/>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（2）供应商须具备建筑工程施工总承包叁级（含叁级）以上资质，同时具备建设行政主管部门颁发有效的安全生产许可证；</w:t>
      </w:r>
    </w:p>
    <w:p w14:paraId="2806C6F8">
      <w:pPr>
        <w:pStyle w:val="16"/>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lang w:val="en-US" w:eastAsia="zh-CN"/>
        </w:rPr>
      </w:pPr>
    </w:p>
    <w:p w14:paraId="623B2DE2">
      <w:pPr>
        <w:pStyle w:val="1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p>
    <w:p w14:paraId="63932FD8">
      <w:pPr>
        <w:rPr>
          <w:rFonts w:hint="eastAsia" w:ascii="宋体" w:hAnsi="宋体" w:eastAsia="宋体" w:cs="宋体"/>
          <w:color w:val="auto"/>
          <w:highlight w:val="none"/>
        </w:rPr>
      </w:pPr>
    </w:p>
    <w:p w14:paraId="607CEE1E">
      <w:pPr>
        <w:pStyle w:val="35"/>
        <w:rPr>
          <w:rFonts w:hint="eastAsia" w:ascii="宋体" w:hAnsi="宋体" w:eastAsia="宋体" w:cs="宋体"/>
          <w:color w:val="auto"/>
          <w:highlight w:val="none"/>
        </w:rPr>
      </w:pPr>
    </w:p>
    <w:p w14:paraId="2691A5C1">
      <w:pPr>
        <w:pStyle w:val="36"/>
        <w:rPr>
          <w:rFonts w:hint="eastAsia" w:ascii="宋体" w:hAnsi="宋体" w:eastAsia="宋体" w:cs="宋体"/>
          <w:color w:val="auto"/>
          <w:highlight w:val="none"/>
        </w:rPr>
      </w:pPr>
    </w:p>
    <w:p w14:paraId="4D206B26">
      <w:pPr>
        <w:pStyle w:val="16"/>
        <w:rPr>
          <w:rFonts w:hint="eastAsia" w:ascii="宋体" w:hAnsi="宋体" w:eastAsia="宋体" w:cs="宋体"/>
          <w:color w:val="auto"/>
          <w:highlight w:val="none"/>
        </w:rPr>
      </w:pPr>
    </w:p>
    <w:p w14:paraId="150F35F4">
      <w:pPr>
        <w:rPr>
          <w:rFonts w:hint="eastAsia" w:ascii="宋体" w:hAnsi="宋体" w:eastAsia="宋体" w:cs="宋体"/>
          <w:color w:val="auto"/>
          <w:highlight w:val="none"/>
        </w:rPr>
      </w:pPr>
    </w:p>
    <w:p w14:paraId="736BFCB1">
      <w:pPr>
        <w:pStyle w:val="35"/>
        <w:rPr>
          <w:rFonts w:hint="eastAsia" w:ascii="宋体" w:hAnsi="宋体" w:eastAsia="宋体" w:cs="宋体"/>
          <w:color w:val="auto"/>
          <w:highlight w:val="none"/>
        </w:rPr>
      </w:pPr>
    </w:p>
    <w:p w14:paraId="5FE5DEC3">
      <w:pPr>
        <w:pStyle w:val="36"/>
        <w:rPr>
          <w:rFonts w:hint="eastAsia" w:ascii="宋体" w:hAnsi="宋体" w:eastAsia="宋体" w:cs="宋体"/>
          <w:color w:val="auto"/>
          <w:highlight w:val="none"/>
        </w:rPr>
      </w:pPr>
    </w:p>
    <w:p w14:paraId="598A4064">
      <w:pPr>
        <w:pStyle w:val="16"/>
        <w:rPr>
          <w:rFonts w:hint="eastAsia" w:ascii="宋体" w:hAnsi="宋体" w:eastAsia="宋体" w:cs="宋体"/>
          <w:color w:val="auto"/>
          <w:highlight w:val="none"/>
        </w:rPr>
      </w:pPr>
    </w:p>
    <w:p w14:paraId="4ADD3499">
      <w:pPr>
        <w:rPr>
          <w:rFonts w:hint="eastAsia" w:ascii="宋体" w:hAnsi="宋体" w:eastAsia="宋体" w:cs="宋体"/>
          <w:color w:val="auto"/>
          <w:highlight w:val="none"/>
        </w:rPr>
      </w:pPr>
    </w:p>
    <w:p w14:paraId="58568747">
      <w:pPr>
        <w:pStyle w:val="35"/>
        <w:rPr>
          <w:rFonts w:hint="eastAsia" w:ascii="宋体" w:hAnsi="宋体" w:eastAsia="宋体" w:cs="宋体"/>
          <w:color w:val="auto"/>
          <w:highlight w:val="none"/>
        </w:rPr>
      </w:pPr>
    </w:p>
    <w:p w14:paraId="1B77EB48">
      <w:pPr>
        <w:pStyle w:val="36"/>
        <w:rPr>
          <w:rFonts w:hint="eastAsia" w:ascii="宋体" w:hAnsi="宋体" w:eastAsia="宋体" w:cs="宋体"/>
          <w:color w:val="auto"/>
          <w:highlight w:val="none"/>
        </w:rPr>
      </w:pPr>
    </w:p>
    <w:p w14:paraId="77D90679">
      <w:pPr>
        <w:pStyle w:val="16"/>
        <w:rPr>
          <w:rFonts w:hint="eastAsia" w:ascii="宋体" w:hAnsi="宋体" w:eastAsia="宋体" w:cs="宋体"/>
          <w:color w:val="auto"/>
          <w:highlight w:val="none"/>
        </w:rPr>
      </w:pPr>
    </w:p>
    <w:p w14:paraId="4487793D">
      <w:pPr>
        <w:rPr>
          <w:rFonts w:hint="eastAsia" w:ascii="宋体" w:hAnsi="宋体" w:eastAsia="宋体" w:cs="宋体"/>
          <w:color w:val="auto"/>
          <w:highlight w:val="none"/>
        </w:rPr>
      </w:pPr>
    </w:p>
    <w:p w14:paraId="1795A6E4">
      <w:pPr>
        <w:pStyle w:val="35"/>
        <w:rPr>
          <w:rFonts w:hint="eastAsia" w:ascii="宋体" w:hAnsi="宋体" w:eastAsia="宋体" w:cs="宋体"/>
          <w:color w:val="auto"/>
          <w:highlight w:val="none"/>
        </w:rPr>
      </w:pPr>
    </w:p>
    <w:p w14:paraId="56A12CE8">
      <w:pPr>
        <w:pStyle w:val="36"/>
        <w:rPr>
          <w:rFonts w:hint="eastAsia" w:ascii="宋体" w:hAnsi="宋体" w:eastAsia="宋体" w:cs="宋体"/>
          <w:color w:val="auto"/>
          <w:highlight w:val="none"/>
        </w:rPr>
      </w:pPr>
    </w:p>
    <w:p w14:paraId="6EC596FB">
      <w:pPr>
        <w:pStyle w:val="16"/>
        <w:rPr>
          <w:rFonts w:hint="eastAsia" w:ascii="宋体" w:hAnsi="宋体" w:eastAsia="宋体" w:cs="宋体"/>
          <w:color w:val="auto"/>
          <w:highlight w:val="none"/>
        </w:rPr>
      </w:pPr>
    </w:p>
    <w:p w14:paraId="340B62A9">
      <w:pPr>
        <w:rPr>
          <w:rFonts w:hint="eastAsia" w:ascii="宋体" w:hAnsi="宋体" w:eastAsia="宋体" w:cs="宋体"/>
          <w:color w:val="auto"/>
          <w:highlight w:val="none"/>
        </w:rPr>
      </w:pPr>
    </w:p>
    <w:p w14:paraId="51B2AC2A">
      <w:pPr>
        <w:pStyle w:val="35"/>
        <w:rPr>
          <w:rFonts w:hint="eastAsia" w:ascii="宋体" w:hAnsi="宋体" w:eastAsia="宋体" w:cs="宋体"/>
          <w:color w:val="auto"/>
          <w:highlight w:val="none"/>
        </w:rPr>
      </w:pPr>
    </w:p>
    <w:p w14:paraId="04CA481C">
      <w:pPr>
        <w:pStyle w:val="36"/>
        <w:rPr>
          <w:rFonts w:hint="eastAsia" w:ascii="宋体" w:hAnsi="宋体" w:eastAsia="宋体" w:cs="宋体"/>
          <w:color w:val="auto"/>
          <w:highlight w:val="none"/>
        </w:rPr>
      </w:pPr>
    </w:p>
    <w:p w14:paraId="2A3163C2">
      <w:pPr>
        <w:pStyle w:val="16"/>
        <w:rPr>
          <w:rFonts w:hint="eastAsia" w:ascii="宋体" w:hAnsi="宋体" w:eastAsia="宋体" w:cs="宋体"/>
          <w:color w:val="auto"/>
          <w:highlight w:val="none"/>
        </w:rPr>
      </w:pPr>
    </w:p>
    <w:p w14:paraId="642CA948">
      <w:pPr>
        <w:rPr>
          <w:rFonts w:hint="eastAsia" w:ascii="宋体" w:hAnsi="宋体" w:eastAsia="宋体" w:cs="宋体"/>
          <w:color w:val="auto"/>
          <w:highlight w:val="none"/>
        </w:rPr>
      </w:pPr>
    </w:p>
    <w:p w14:paraId="723D3576">
      <w:pPr>
        <w:pStyle w:val="35"/>
        <w:rPr>
          <w:rFonts w:hint="eastAsia" w:ascii="宋体" w:hAnsi="宋体" w:eastAsia="宋体" w:cs="宋体"/>
          <w:color w:val="auto"/>
          <w:highlight w:val="none"/>
        </w:rPr>
      </w:pPr>
    </w:p>
    <w:p w14:paraId="2C628C75">
      <w:pPr>
        <w:pStyle w:val="16"/>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（3）拟投入的项目经理须具备建筑工程专业贰级（含贰级）以上注册建造师执业资格和有效的安全生产考核B证，且未担任其他在建工程项目的项目经理（需提供企业书面承诺等证明材料）；</w:t>
      </w:r>
    </w:p>
    <w:p w14:paraId="0FF3C0A8">
      <w:pPr>
        <w:pStyle w:val="35"/>
        <w:keepNext w:val="0"/>
        <w:keepLines w:val="0"/>
        <w:pageBreakBefore w:val="0"/>
        <w:widowControl w:val="0"/>
        <w:numPr>
          <w:ilvl w:val="0"/>
          <w:numId w:val="0"/>
        </w:numPr>
        <w:kinsoku/>
        <w:wordWrap/>
        <w:overflowPunct/>
        <w:topLinePunct w:val="0"/>
        <w:autoSpaceDE/>
        <w:autoSpaceDN/>
        <w:bidi w:val="0"/>
        <w:snapToGrid/>
        <w:spacing w:line="420" w:lineRule="exact"/>
        <w:rPr>
          <w:rFonts w:hint="eastAsia" w:ascii="宋体" w:hAnsi="宋体" w:eastAsia="宋体" w:cs="宋体"/>
          <w:color w:val="auto"/>
          <w:highlight w:val="none"/>
          <w:lang w:val="en-US" w:eastAsia="zh-CN"/>
        </w:rPr>
      </w:pPr>
    </w:p>
    <w:p w14:paraId="51EAE836">
      <w:pPr>
        <w:pStyle w:val="36"/>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highlight w:val="none"/>
          <w:lang w:val="en-US" w:eastAsia="zh-CN"/>
        </w:rPr>
      </w:pPr>
    </w:p>
    <w:p w14:paraId="56B62036">
      <w:pPr>
        <w:keepNext w:val="0"/>
        <w:keepLines w:val="0"/>
        <w:pageBreakBefore w:val="0"/>
        <w:widowControl w:val="0"/>
        <w:kinsoku/>
        <w:wordWrap/>
        <w:overflowPunct/>
        <w:topLinePunct w:val="0"/>
        <w:autoSpaceDE/>
        <w:autoSpaceDN/>
        <w:bidi w:val="0"/>
        <w:snapToGrid/>
        <w:spacing w:line="420" w:lineRule="exact"/>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附件：</w:t>
      </w:r>
    </w:p>
    <w:p w14:paraId="3F699698">
      <w:pPr>
        <w:keepNext w:val="0"/>
        <w:keepLines w:val="0"/>
        <w:pageBreakBefore w:val="0"/>
        <w:widowControl w:val="0"/>
        <w:kinsoku/>
        <w:wordWrap/>
        <w:overflowPunct/>
        <w:topLinePunct w:val="0"/>
        <w:autoSpaceDE/>
        <w:autoSpaceDN/>
        <w:bidi w:val="0"/>
        <w:snapToGrid/>
        <w:spacing w:line="4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项目经理无在建</w:t>
      </w:r>
      <w:r>
        <w:rPr>
          <w:rFonts w:hint="eastAsia" w:ascii="宋体" w:hAnsi="宋体" w:eastAsia="宋体" w:cs="宋体"/>
          <w:b/>
          <w:color w:val="auto"/>
          <w:sz w:val="21"/>
          <w:szCs w:val="21"/>
          <w:highlight w:val="none"/>
        </w:rPr>
        <w:t>承诺书</w:t>
      </w:r>
    </w:p>
    <w:p w14:paraId="106A8569">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采购人</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w:t>
      </w:r>
    </w:p>
    <w:p w14:paraId="4D12DD06">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（以下简称“本工程”）的项目经理</w:t>
      </w:r>
      <w:r>
        <w:rPr>
          <w:rFonts w:hint="eastAsia" w:ascii="宋体" w:hAnsi="宋体" w:eastAsia="宋体" w:cs="宋体"/>
          <w:color w:val="auto"/>
          <w:sz w:val="21"/>
          <w:szCs w:val="21"/>
          <w:highlight w:val="none"/>
          <w:u w:val="single"/>
        </w:rPr>
        <w:t>（项目经理姓名）</w:t>
      </w:r>
      <w:r>
        <w:rPr>
          <w:rFonts w:hint="eastAsia" w:ascii="宋体" w:hAnsi="宋体" w:eastAsia="宋体" w:cs="宋体"/>
          <w:color w:val="auto"/>
          <w:sz w:val="21"/>
          <w:szCs w:val="21"/>
          <w:highlight w:val="none"/>
        </w:rPr>
        <w:t>现阶段没有担任任何在施建设工程项目的项目经理。</w:t>
      </w:r>
    </w:p>
    <w:p w14:paraId="39E58036">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14:paraId="15F18406">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特此承诺</w:t>
      </w:r>
      <w:r>
        <w:rPr>
          <w:rFonts w:hint="eastAsia" w:ascii="宋体" w:hAnsi="宋体" w:eastAsia="宋体" w:cs="宋体"/>
          <w:color w:val="auto"/>
          <w:sz w:val="21"/>
          <w:szCs w:val="21"/>
          <w:highlight w:val="none"/>
          <w:lang w:eastAsia="zh-CN"/>
        </w:rPr>
        <w:t>。</w:t>
      </w:r>
    </w:p>
    <w:p w14:paraId="2A200468">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color w:val="auto"/>
          <w:sz w:val="21"/>
          <w:szCs w:val="21"/>
          <w:highlight w:val="none"/>
        </w:rPr>
      </w:pPr>
    </w:p>
    <w:p w14:paraId="5E933B72">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color w:val="auto"/>
          <w:sz w:val="21"/>
          <w:szCs w:val="21"/>
          <w:highlight w:val="none"/>
        </w:rPr>
      </w:pPr>
    </w:p>
    <w:p w14:paraId="7C75E820">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color w:val="auto"/>
          <w:sz w:val="21"/>
          <w:szCs w:val="21"/>
          <w:highlight w:val="none"/>
        </w:rPr>
      </w:pPr>
    </w:p>
    <w:p w14:paraId="3858718F">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z w:val="21"/>
          <w:szCs w:val="21"/>
          <w:highlight w:val="none"/>
        </w:rPr>
      </w:pPr>
    </w:p>
    <w:p w14:paraId="3AC5BFC8">
      <w:pPr>
        <w:keepNext w:val="0"/>
        <w:keepLines w:val="0"/>
        <w:pageBreakBefore w:val="0"/>
        <w:widowControl w:val="0"/>
        <w:kinsoku/>
        <w:wordWrap/>
        <w:overflowPunct/>
        <w:topLinePunct w:val="0"/>
        <w:autoSpaceDE/>
        <w:autoSpaceDN/>
        <w:bidi w:val="0"/>
        <w:snapToGrid/>
        <w:spacing w:line="420" w:lineRule="exact"/>
        <w:ind w:firstLine="3360" w:firstLineChars="16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（盖章）：</w:t>
      </w:r>
    </w:p>
    <w:p w14:paraId="41A3E251">
      <w:pPr>
        <w:keepNext w:val="0"/>
        <w:keepLines w:val="0"/>
        <w:pageBreakBefore w:val="0"/>
        <w:widowControl w:val="0"/>
        <w:kinsoku/>
        <w:wordWrap/>
        <w:overflowPunct/>
        <w:topLinePunct w:val="0"/>
        <w:autoSpaceDE/>
        <w:autoSpaceDN/>
        <w:bidi w:val="0"/>
        <w:snapToGrid/>
        <w:spacing w:line="420" w:lineRule="exact"/>
        <w:ind w:firstLine="3360" w:firstLineChars="1600"/>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bCs/>
          <w:color w:val="auto"/>
          <w:sz w:val="21"/>
          <w:szCs w:val="21"/>
          <w:highlight w:val="none"/>
        </w:rPr>
        <w:t>（签字或盖章）：</w:t>
      </w:r>
    </w:p>
    <w:p w14:paraId="63CDA7E3">
      <w:pPr>
        <w:keepNext w:val="0"/>
        <w:keepLines w:val="0"/>
        <w:pageBreakBefore w:val="0"/>
        <w:widowControl w:val="0"/>
        <w:kinsoku/>
        <w:wordWrap/>
        <w:overflowPunct/>
        <w:topLinePunct w:val="0"/>
        <w:autoSpaceDE/>
        <w:autoSpaceDN/>
        <w:bidi w:val="0"/>
        <w:snapToGrid/>
        <w:spacing w:line="420" w:lineRule="exact"/>
        <w:ind w:firstLine="3360" w:firstLineChars="16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日</w:t>
      </w:r>
    </w:p>
    <w:p w14:paraId="70D72FF0">
      <w:pPr>
        <w:pStyle w:val="16"/>
        <w:rPr>
          <w:rFonts w:hint="eastAsia" w:ascii="宋体" w:hAnsi="宋体" w:eastAsia="宋体" w:cs="宋体"/>
          <w:color w:val="auto"/>
          <w:highlight w:val="none"/>
          <w:lang w:val="en-US" w:eastAsia="zh-CN"/>
        </w:rPr>
      </w:pPr>
    </w:p>
    <w:p w14:paraId="3057A485">
      <w:pPr>
        <w:rPr>
          <w:rFonts w:hint="eastAsia" w:ascii="宋体" w:hAnsi="宋体" w:eastAsia="宋体" w:cs="宋体"/>
          <w:color w:val="auto"/>
          <w:highlight w:val="none"/>
          <w:lang w:val="en-US" w:eastAsia="zh-CN"/>
        </w:rPr>
      </w:pPr>
    </w:p>
    <w:p w14:paraId="0919B541">
      <w:pPr>
        <w:pStyle w:val="35"/>
        <w:rPr>
          <w:rFonts w:hint="eastAsia" w:ascii="宋体" w:hAnsi="宋体" w:eastAsia="宋体" w:cs="宋体"/>
          <w:color w:val="auto"/>
          <w:highlight w:val="none"/>
          <w:lang w:val="en-US" w:eastAsia="zh-CN"/>
        </w:rPr>
      </w:pPr>
    </w:p>
    <w:p w14:paraId="04152826">
      <w:pPr>
        <w:pStyle w:val="36"/>
        <w:rPr>
          <w:rFonts w:hint="eastAsia" w:ascii="宋体" w:hAnsi="宋体" w:eastAsia="宋体" w:cs="宋体"/>
          <w:color w:val="auto"/>
          <w:highlight w:val="none"/>
          <w:lang w:val="en-US" w:eastAsia="zh-CN"/>
        </w:rPr>
      </w:pPr>
    </w:p>
    <w:p w14:paraId="06C14626">
      <w:pPr>
        <w:pStyle w:val="16"/>
        <w:rPr>
          <w:rFonts w:hint="eastAsia" w:ascii="宋体" w:hAnsi="宋体" w:eastAsia="宋体" w:cs="宋体"/>
          <w:color w:val="auto"/>
          <w:highlight w:val="none"/>
          <w:lang w:val="en-US" w:eastAsia="zh-CN"/>
        </w:rPr>
      </w:pPr>
    </w:p>
    <w:p w14:paraId="6489BD28">
      <w:pPr>
        <w:rPr>
          <w:rFonts w:hint="eastAsia" w:ascii="宋体" w:hAnsi="宋体" w:eastAsia="宋体" w:cs="宋体"/>
          <w:color w:val="auto"/>
          <w:highlight w:val="none"/>
          <w:lang w:val="en-US" w:eastAsia="zh-CN"/>
        </w:rPr>
      </w:pPr>
    </w:p>
    <w:p w14:paraId="427A2263">
      <w:pPr>
        <w:rPr>
          <w:rFonts w:hint="eastAsia" w:ascii="宋体" w:hAnsi="宋体" w:eastAsia="宋体" w:cs="宋体"/>
          <w:color w:val="auto"/>
          <w:highlight w:val="none"/>
          <w:lang w:val="en-US" w:eastAsia="zh-CN"/>
        </w:rPr>
      </w:pPr>
    </w:p>
    <w:p w14:paraId="2444DF55">
      <w:pPr>
        <w:pStyle w:val="35"/>
        <w:rPr>
          <w:rFonts w:hint="eastAsia" w:ascii="宋体" w:hAnsi="宋体" w:eastAsia="宋体" w:cs="宋体"/>
          <w:color w:val="auto"/>
          <w:highlight w:val="none"/>
          <w:lang w:val="en-US" w:eastAsia="zh-CN"/>
        </w:rPr>
      </w:pPr>
    </w:p>
    <w:p w14:paraId="0D832DB0">
      <w:pPr>
        <w:pStyle w:val="36"/>
        <w:rPr>
          <w:rFonts w:hint="eastAsia" w:ascii="宋体" w:hAnsi="宋体" w:eastAsia="宋体" w:cs="宋体"/>
          <w:color w:val="auto"/>
          <w:highlight w:val="none"/>
          <w:lang w:val="en-US" w:eastAsia="zh-CN"/>
        </w:rPr>
      </w:pPr>
    </w:p>
    <w:p w14:paraId="5580AA64">
      <w:pPr>
        <w:pStyle w:val="16"/>
        <w:rPr>
          <w:rFonts w:hint="eastAsia" w:ascii="宋体" w:hAnsi="宋体" w:eastAsia="宋体" w:cs="宋体"/>
          <w:color w:val="auto"/>
          <w:lang w:val="en-US" w:eastAsia="zh-CN"/>
        </w:rPr>
      </w:pPr>
    </w:p>
    <w:p w14:paraId="56DCDD70">
      <w:pPr>
        <w:pStyle w:val="36"/>
        <w:rPr>
          <w:rFonts w:hint="eastAsia" w:ascii="宋体" w:hAnsi="宋体" w:eastAsia="宋体" w:cs="宋体"/>
          <w:color w:val="auto"/>
          <w:lang w:val="en-US" w:eastAsia="zh-CN"/>
        </w:rPr>
      </w:pPr>
    </w:p>
    <w:p w14:paraId="40A9548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highlight w:val="none"/>
          <w:lang w:val="en-US" w:eastAsia="zh-CN"/>
        </w:rPr>
      </w:pPr>
    </w:p>
    <w:p w14:paraId="4310F075">
      <w:pPr>
        <w:pStyle w:val="16"/>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p>
    <w:p w14:paraId="5787E7D3">
      <w:pPr>
        <w:pStyle w:val="16"/>
        <w:numPr>
          <w:ilvl w:val="0"/>
          <w:numId w:val="0"/>
        </w:numPr>
        <w:rPr>
          <w:rFonts w:hint="eastAsia" w:ascii="宋体" w:hAnsi="宋体" w:eastAsia="宋体" w:cs="宋体"/>
          <w:color w:val="auto"/>
          <w:highlight w:val="none"/>
          <w:lang w:val="en-US" w:eastAsia="zh-CN"/>
        </w:rPr>
      </w:pPr>
    </w:p>
    <w:p w14:paraId="31EE2CDE">
      <w:pPr>
        <w:pStyle w:val="16"/>
        <w:keepLines w:val="0"/>
        <w:pageBreakBefore w:val="0"/>
        <w:widowControl w:val="0"/>
        <w:numPr>
          <w:ilvl w:val="0"/>
          <w:numId w:val="0"/>
        </w:numPr>
        <w:kinsoku/>
        <w:overflowPunct/>
        <w:topLinePunct w:val="0"/>
        <w:bidi w:val="0"/>
        <w:spacing w:line="360" w:lineRule="auto"/>
        <w:jc w:val="left"/>
        <w:rPr>
          <w:rFonts w:hint="eastAsia" w:ascii="宋体" w:hAnsi="宋体" w:eastAsia="宋体" w:cs="宋体"/>
          <w:color w:val="auto"/>
          <w:highlight w:val="none"/>
          <w:lang w:val="en-US" w:eastAsia="zh-CN"/>
        </w:rPr>
      </w:pPr>
    </w:p>
    <w:p w14:paraId="2429E05A">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7260A29F">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A6AEE07">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50386226">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1DA8883">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E32AF62">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0A5A7866">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72BB8C5">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53603828">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0C3718F8">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9F2DA4D">
      <w:pPr>
        <w:keepLines w:val="0"/>
        <w:pageBreakBefore w:val="0"/>
        <w:kinsoku/>
        <w:bidi w:val="0"/>
        <w:spacing w:line="360" w:lineRule="auto"/>
        <w:rPr>
          <w:rFonts w:hint="eastAsia" w:ascii="宋体" w:hAnsi="宋体" w:eastAsia="宋体" w:cs="宋体"/>
          <w:color w:val="auto"/>
          <w:highlight w:val="none"/>
          <w:lang w:val="en-US" w:eastAsia="zh-CN"/>
        </w:rPr>
      </w:pPr>
    </w:p>
    <w:p w14:paraId="238489EE">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30F8538F">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37B1E91">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297CEEA">
      <w:pPr>
        <w:pStyle w:val="16"/>
        <w:keepLines w:val="0"/>
        <w:pageBreakBefore w:val="0"/>
        <w:kinsoku/>
        <w:bidi w:val="0"/>
        <w:spacing w:line="360" w:lineRule="auto"/>
        <w:rPr>
          <w:rFonts w:hint="eastAsia" w:ascii="宋体" w:hAnsi="宋体" w:eastAsia="宋体" w:cs="宋体"/>
          <w:color w:val="auto"/>
          <w:highlight w:val="none"/>
          <w:lang w:val="en-US" w:eastAsia="zh-CN"/>
        </w:rPr>
      </w:pPr>
    </w:p>
    <w:p w14:paraId="57C60E47">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7CE84830">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5344A2D3">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7BBF435F">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7466B8AA">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74124AC6">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8025131">
      <w:pPr>
        <w:keepNext w:val="0"/>
        <w:keepLines w:val="0"/>
        <w:pageBreakBefore w:val="0"/>
        <w:widowControl w:val="0"/>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）与招标人存在利害关系可能影响招标公正性的单位，不得参加投标、单位负责人为同一人或存在控股、管理关系的不同单位，不得参加同一标段投标，否则，相关投标均无效；</w:t>
      </w:r>
    </w:p>
    <w:p w14:paraId="5BE843FD">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b/>
          <w:bCs/>
          <w:color w:val="auto"/>
          <w:sz w:val="21"/>
          <w:szCs w:val="21"/>
          <w:highlight w:val="none"/>
          <w:lang w:val="zh-CN"/>
        </w:rPr>
      </w:pPr>
    </w:p>
    <w:p w14:paraId="468474D0">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供应商企业关系关联承诺书</w:t>
      </w:r>
    </w:p>
    <w:p w14:paraId="5306F304">
      <w:pPr>
        <w:keepNext w:val="0"/>
        <w:keepLines w:val="0"/>
        <w:pageBreakBefore w:val="0"/>
        <w:widowControl w:val="0"/>
        <w:numPr>
          <w:ilvl w:val="0"/>
          <w:numId w:val="15"/>
        </w:numPr>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供应商在本项目投标中，不存在与其它供应商负责人为同一人，有控股、管理等关联关系承诺：</w:t>
      </w:r>
    </w:p>
    <w:p w14:paraId="05F583BA">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.1管理关系说明：</w:t>
      </w:r>
    </w:p>
    <w:p w14:paraId="16525692">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我单位管理的具有独立法人的下属单位有</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7703F637">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我单位的上级管理单位有。</w:t>
      </w:r>
    </w:p>
    <w:p w14:paraId="55E0647C">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.2股权关系说明</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p>
    <w:p w14:paraId="05AFA74B">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我单位控股的单位有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30489A2">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我单位被单位控股</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10DAF62">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.3单位负责人</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p>
    <w:p w14:paraId="5C085ABB">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（是或否，没有填否）为采购项目提供整体设计、规范编制或者项目管理、监理、检测等服务的供应商。</w:t>
      </w:r>
    </w:p>
    <w:p w14:paraId="4F2A1AD2">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、其他与本项目有关的利害关系说明：</w:t>
      </w:r>
    </w:p>
    <w:p w14:paraId="0326644B">
      <w:pPr>
        <w:keepNext w:val="0"/>
        <w:keepLines w:val="0"/>
        <w:pageBreakBefore w:val="0"/>
        <w:widowControl w:val="0"/>
        <w:kinsoku/>
        <w:wordWrap/>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p>
    <w:p w14:paraId="5AF8AEE8">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我单位承诺以上说明真实有效，无虚假内容或隐瞒。</w:t>
      </w:r>
    </w:p>
    <w:p w14:paraId="07A52265">
      <w:pPr>
        <w:keepNext w:val="0"/>
        <w:keepLines w:val="0"/>
        <w:pageBreakBefore w:val="0"/>
        <w:widowControl w:val="0"/>
        <w:kinsoku/>
        <w:wordWrap/>
        <w:overflowPunct/>
        <w:topLinePunct w:val="0"/>
        <w:bidi w:val="0"/>
        <w:snapToGrid/>
        <w:spacing w:line="420" w:lineRule="exact"/>
        <w:ind w:firstLine="210" w:firstLineChars="100"/>
        <w:textAlignment w:val="auto"/>
        <w:rPr>
          <w:rFonts w:hint="eastAsia" w:ascii="宋体" w:hAnsi="宋体" w:eastAsia="宋体" w:cs="宋体"/>
          <w:color w:val="auto"/>
          <w:sz w:val="21"/>
          <w:szCs w:val="21"/>
          <w:highlight w:val="none"/>
        </w:rPr>
      </w:pPr>
    </w:p>
    <w:p w14:paraId="42A0AB7E">
      <w:pPr>
        <w:keepNext w:val="0"/>
        <w:keepLines w:val="0"/>
        <w:pageBreakBefore w:val="0"/>
        <w:widowControl w:val="0"/>
        <w:kinsoku/>
        <w:wordWrap/>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p>
    <w:p w14:paraId="594B793E">
      <w:pPr>
        <w:keepNext w:val="0"/>
        <w:keepLines w:val="0"/>
        <w:pageBreakBefore w:val="0"/>
        <w:widowControl w:val="0"/>
        <w:kinsoku/>
        <w:wordWrap/>
        <w:overflowPunct/>
        <w:topLinePunct w:val="0"/>
        <w:bidi w:val="0"/>
        <w:snapToGrid/>
        <w:spacing w:line="420" w:lineRule="exact"/>
        <w:ind w:firstLine="2100" w:firstLineChars="1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（盖单位公章）</w:t>
      </w:r>
    </w:p>
    <w:p w14:paraId="786FE51B">
      <w:pPr>
        <w:keepNext w:val="0"/>
        <w:keepLines w:val="0"/>
        <w:pageBreakBefore w:val="0"/>
        <w:widowControl w:val="0"/>
        <w:kinsoku/>
        <w:wordWrap/>
        <w:overflowPunct/>
        <w:topLinePunct w:val="0"/>
        <w:bidi w:val="0"/>
        <w:snapToGrid/>
        <w:spacing w:line="420" w:lineRule="exact"/>
        <w:ind w:firstLine="2100" w:firstLineChars="1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（签字或盖章）</w:t>
      </w:r>
    </w:p>
    <w:p w14:paraId="2C2AC994">
      <w:pPr>
        <w:keepNext w:val="0"/>
        <w:keepLines w:val="0"/>
        <w:pageBreakBefore w:val="0"/>
        <w:widowControl w:val="0"/>
        <w:kinsoku/>
        <w:wordWrap/>
        <w:overflowPunct/>
        <w:topLinePunct w:val="0"/>
        <w:bidi w:val="0"/>
        <w:snapToGrid/>
        <w:spacing w:line="420" w:lineRule="exact"/>
        <w:ind w:firstLine="2100" w:firstLineChars="10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75C306B1">
      <w:pPr>
        <w:keepNext w:val="0"/>
        <w:keepLines w:val="0"/>
        <w:pageBreakBefore w:val="0"/>
        <w:widowControl w:val="0"/>
        <w:tabs>
          <w:tab w:val="left" w:pos="171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p>
    <w:p w14:paraId="040E2C87">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551A4B4E">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30453FA">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A5AD635">
      <w:pPr>
        <w:pStyle w:val="16"/>
        <w:rPr>
          <w:rFonts w:hint="eastAsia" w:ascii="宋体" w:hAnsi="宋体" w:eastAsia="宋体" w:cs="宋体"/>
          <w:color w:val="auto"/>
          <w:highlight w:val="none"/>
          <w:lang w:val="en-US" w:eastAsia="zh-CN"/>
        </w:rPr>
      </w:pPr>
    </w:p>
    <w:p w14:paraId="3A2AEFA8">
      <w:pPr>
        <w:rPr>
          <w:rFonts w:hint="eastAsia" w:ascii="宋体" w:hAnsi="宋体" w:eastAsia="宋体" w:cs="宋体"/>
          <w:color w:val="auto"/>
          <w:highlight w:val="none"/>
          <w:lang w:val="en-US" w:eastAsia="zh-CN"/>
        </w:rPr>
      </w:pPr>
    </w:p>
    <w:p w14:paraId="6C2C2166">
      <w:pPr>
        <w:rPr>
          <w:rFonts w:hint="eastAsia" w:ascii="宋体" w:hAnsi="宋体" w:eastAsia="宋体" w:cs="宋体"/>
          <w:color w:val="auto"/>
          <w:highlight w:val="none"/>
          <w:lang w:val="en-US" w:eastAsia="zh-CN"/>
        </w:rPr>
      </w:pPr>
    </w:p>
    <w:p w14:paraId="171D7FD3">
      <w:pPr>
        <w:rPr>
          <w:rFonts w:hint="eastAsia" w:ascii="宋体" w:hAnsi="宋体" w:eastAsia="宋体" w:cs="宋体"/>
          <w:color w:val="auto"/>
          <w:highlight w:val="none"/>
          <w:lang w:val="en-US" w:eastAsia="zh-CN"/>
        </w:rPr>
      </w:pPr>
    </w:p>
    <w:p w14:paraId="69D2A542">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E35E67C">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2A09254D">
      <w:pPr>
        <w:keepNext w:val="0"/>
        <w:keepLines w:val="0"/>
        <w:pageBreakBefore w:val="0"/>
        <w:widowControl w:val="0"/>
        <w:numPr>
          <w:ilvl w:val="0"/>
          <w:numId w:val="0"/>
        </w:numPr>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）本项目不接受联合体磋商。</w:t>
      </w:r>
    </w:p>
    <w:p w14:paraId="6BE68C1F">
      <w:pPr>
        <w:keepNext w:val="0"/>
        <w:keepLines w:val="0"/>
        <w:pageBreakBefore w:val="0"/>
        <w:widowControl w:val="0"/>
        <w:numPr>
          <w:ilvl w:val="0"/>
          <w:numId w:val="0"/>
        </w:numPr>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sz w:val="21"/>
          <w:szCs w:val="21"/>
          <w:highlight w:val="none"/>
          <w:lang w:val="en-US" w:eastAsia="zh-CN"/>
        </w:rPr>
      </w:pPr>
    </w:p>
    <w:p w14:paraId="2DC7B605">
      <w:pPr>
        <w:pStyle w:val="11"/>
        <w:keepNext w:val="0"/>
        <w:keepLines w:val="0"/>
        <w:pageBreakBefore w:val="0"/>
        <w:kinsoku/>
        <w:wordWrap/>
        <w:overflowPunct/>
        <w:topLinePunct w:val="0"/>
        <w:autoSpaceDE/>
        <w:autoSpaceDN/>
        <w:bidi w:val="0"/>
        <w:adjustRightInd/>
        <w:snapToGrid/>
        <w:spacing w:line="42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非联合体投标声明</w:t>
      </w:r>
    </w:p>
    <w:p w14:paraId="7C6C9122">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(采购人)</w:t>
      </w:r>
      <w:r>
        <w:rPr>
          <w:rFonts w:hint="eastAsia" w:ascii="宋体" w:hAnsi="宋体" w:eastAsia="宋体" w:cs="宋体"/>
          <w:b/>
          <w:color w:val="auto"/>
          <w:sz w:val="21"/>
          <w:szCs w:val="21"/>
          <w:highlight w:val="none"/>
        </w:rPr>
        <w:t>：</w:t>
      </w:r>
    </w:p>
    <w:p w14:paraId="26DCF362">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工作，作出郑重声明：</w:t>
      </w:r>
    </w:p>
    <w:p w14:paraId="1B3F5F3C">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、本公司保证</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报名材料及其后提供的一切材料都是真实的。</w:t>
      </w:r>
    </w:p>
    <w:p w14:paraId="59B2AD31">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、本公司保证在本项目</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中不与其他单位围标、串标，不出让</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资格，不向采购人或</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成员行贿。</w:t>
      </w:r>
    </w:p>
    <w:p w14:paraId="2414B135">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、本公司没有处于被责令停业的状态；没有处于被建设行政主管部门取消投标资格的处罚期内；没有处于财产被接管、冻结、破产的状态；本公司没有在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报名截止时间前三年内被人民法院判决犯有行贿罪的记录。</w:t>
      </w:r>
    </w:p>
    <w:p w14:paraId="336885C9">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、本公司保证本项目并非联合体</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，本项目由本公司独立承担。本公司违反上述保证，或本声明陈述与事实不符，经查实，本公司愿意接受公开通报，承担由此带来的法律后果。</w:t>
      </w:r>
    </w:p>
    <w:p w14:paraId="2279B873">
      <w:pPr>
        <w:pStyle w:val="14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4099FB5C">
      <w:pPr>
        <w:pStyle w:val="141"/>
        <w:keepNext w:val="0"/>
        <w:keepLines w:val="0"/>
        <w:pageBreakBefore w:val="0"/>
        <w:kinsoku/>
        <w:wordWrap/>
        <w:overflowPunct/>
        <w:topLinePunct w:val="0"/>
        <w:autoSpaceDE/>
        <w:autoSpaceDN/>
        <w:bidi w:val="0"/>
        <w:adjustRightInd/>
        <w:snapToGrid/>
        <w:spacing w:before="0" w:beforeAutospacing="0" w:after="0" w:afterAutospacing="0" w:line="420" w:lineRule="exact"/>
        <w:ind w:right="1449" w:firstLine="1890" w:firstLineChars="900"/>
        <w:textAlignment w:val="auto"/>
        <w:rPr>
          <w:rFonts w:hint="eastAsia" w:ascii="宋体" w:hAnsi="宋体" w:eastAsia="宋体" w:cs="宋体"/>
          <w:color w:val="auto"/>
          <w:sz w:val="21"/>
          <w:szCs w:val="21"/>
          <w:highlight w:val="none"/>
        </w:rPr>
      </w:pPr>
    </w:p>
    <w:p w14:paraId="3F3D3DF8">
      <w:pPr>
        <w:pStyle w:val="141"/>
        <w:keepNext w:val="0"/>
        <w:keepLines w:val="0"/>
        <w:pageBreakBefore w:val="0"/>
        <w:kinsoku/>
        <w:wordWrap/>
        <w:overflowPunct/>
        <w:topLinePunct w:val="0"/>
        <w:autoSpaceDE/>
        <w:autoSpaceDN/>
        <w:bidi w:val="0"/>
        <w:adjustRightInd/>
        <w:snapToGrid/>
        <w:spacing w:before="0" w:beforeAutospacing="0" w:after="0" w:afterAutospacing="0" w:line="420" w:lineRule="exact"/>
        <w:ind w:right="1449" w:firstLine="1890" w:firstLineChars="900"/>
        <w:textAlignment w:val="auto"/>
        <w:rPr>
          <w:rFonts w:hint="eastAsia" w:ascii="宋体" w:hAnsi="宋体" w:eastAsia="宋体" w:cs="宋体"/>
          <w:color w:val="auto"/>
          <w:sz w:val="21"/>
          <w:szCs w:val="21"/>
          <w:highlight w:val="none"/>
        </w:rPr>
      </w:pPr>
    </w:p>
    <w:p w14:paraId="34969EC7">
      <w:pPr>
        <w:pStyle w:val="141"/>
        <w:keepNext w:val="0"/>
        <w:keepLines w:val="0"/>
        <w:pageBreakBefore w:val="0"/>
        <w:kinsoku/>
        <w:wordWrap/>
        <w:overflowPunct/>
        <w:topLinePunct w:val="0"/>
        <w:autoSpaceDE/>
        <w:autoSpaceDN/>
        <w:bidi w:val="0"/>
        <w:adjustRightInd/>
        <w:snapToGrid/>
        <w:spacing w:before="0" w:beforeAutospacing="0" w:after="0" w:afterAutospacing="0" w:line="420" w:lineRule="exact"/>
        <w:ind w:right="1449"/>
        <w:textAlignment w:val="auto"/>
        <w:rPr>
          <w:rFonts w:hint="eastAsia" w:ascii="宋体" w:hAnsi="宋体" w:eastAsia="宋体" w:cs="宋体"/>
          <w:b/>
          <w:bCs/>
          <w:color w:val="auto"/>
          <w:sz w:val="21"/>
          <w:szCs w:val="21"/>
          <w:highlight w:val="none"/>
        </w:rPr>
      </w:pPr>
    </w:p>
    <w:p w14:paraId="3FC91C66">
      <w:pPr>
        <w:pStyle w:val="141"/>
        <w:keepNext w:val="0"/>
        <w:keepLines w:val="0"/>
        <w:pageBreakBefore w:val="0"/>
        <w:kinsoku/>
        <w:wordWrap/>
        <w:overflowPunct/>
        <w:topLinePunct w:val="0"/>
        <w:autoSpaceDE/>
        <w:autoSpaceDN/>
        <w:bidi w:val="0"/>
        <w:adjustRightInd/>
        <w:snapToGrid/>
        <w:spacing w:before="0" w:beforeAutospacing="0" w:after="0" w:afterAutospacing="0" w:line="420" w:lineRule="exact"/>
        <w:ind w:right="87" w:firstLine="3780" w:firstLineChars="18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声明企业：</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(企业公章)</w:t>
      </w:r>
    </w:p>
    <w:p w14:paraId="4AEC6E39">
      <w:pPr>
        <w:pStyle w:val="141"/>
        <w:keepNext w:val="0"/>
        <w:keepLines w:val="0"/>
        <w:pageBreakBefore w:val="0"/>
        <w:tabs>
          <w:tab w:val="left" w:pos="7770"/>
        </w:tabs>
        <w:kinsoku/>
        <w:wordWrap/>
        <w:overflowPunct/>
        <w:topLinePunct w:val="0"/>
        <w:autoSpaceDE/>
        <w:autoSpaceDN/>
        <w:bidi w:val="0"/>
        <w:adjustRightInd/>
        <w:snapToGrid/>
        <w:spacing w:before="0" w:beforeAutospacing="0" w:after="0" w:afterAutospacing="0" w:line="420" w:lineRule="exact"/>
        <w:ind w:right="-113" w:firstLine="3780" w:firstLineChars="18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（签字或盖章）</w:t>
      </w:r>
    </w:p>
    <w:p w14:paraId="43A07699">
      <w:pPr>
        <w:pStyle w:val="16"/>
        <w:keepNext w:val="0"/>
        <w:keepLines w:val="0"/>
        <w:pageBreakBefore w:val="0"/>
        <w:kinsoku/>
        <w:wordWrap/>
        <w:overflowPunct/>
        <w:topLinePunct w:val="0"/>
        <w:autoSpaceDE/>
        <w:autoSpaceDN/>
        <w:bidi w:val="0"/>
        <w:adjustRightInd/>
        <w:snapToGrid/>
        <w:spacing w:line="420" w:lineRule="exact"/>
        <w:ind w:firstLine="3780" w:firstLineChars="18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日期：</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日</w:t>
      </w:r>
    </w:p>
    <w:p w14:paraId="7B733473">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4FC9B81">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9B6B637">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14714CD">
      <w:pPr>
        <w:rPr>
          <w:rFonts w:hint="eastAsia" w:ascii="宋体" w:hAnsi="宋体" w:eastAsia="宋体" w:cs="宋体"/>
          <w:color w:val="auto"/>
          <w:highlight w:val="none"/>
          <w:lang w:val="en-US" w:eastAsia="zh-CN"/>
        </w:rPr>
      </w:pPr>
    </w:p>
    <w:p w14:paraId="6E80255D">
      <w:pPr>
        <w:rPr>
          <w:rFonts w:hint="eastAsia" w:ascii="宋体" w:hAnsi="宋体" w:eastAsia="宋体" w:cs="宋体"/>
          <w:color w:val="auto"/>
          <w:highlight w:val="none"/>
          <w:lang w:val="en-US" w:eastAsia="zh-CN"/>
        </w:rPr>
      </w:pPr>
    </w:p>
    <w:p w14:paraId="154D50F8">
      <w:pPr>
        <w:rPr>
          <w:rFonts w:hint="eastAsia" w:ascii="宋体" w:hAnsi="宋体" w:eastAsia="宋体" w:cs="宋体"/>
          <w:color w:val="auto"/>
          <w:highlight w:val="none"/>
          <w:lang w:val="en-US" w:eastAsia="zh-CN"/>
        </w:rPr>
      </w:pPr>
    </w:p>
    <w:p w14:paraId="22CA1216">
      <w:pPr>
        <w:rPr>
          <w:rFonts w:hint="eastAsia" w:ascii="宋体" w:hAnsi="宋体" w:eastAsia="宋体" w:cs="宋体"/>
          <w:color w:val="auto"/>
          <w:highlight w:val="none"/>
          <w:lang w:val="en-US" w:eastAsia="zh-CN"/>
        </w:rPr>
      </w:pPr>
    </w:p>
    <w:p w14:paraId="36D1AA27">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1EEE785A">
      <w:pPr>
        <w:pStyle w:val="16"/>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4BD3E508">
      <w:pPr>
        <w:keepLines w:val="0"/>
        <w:pageBreakBefore w:val="0"/>
        <w:kinsoku/>
        <w:overflowPunct/>
        <w:topLinePunct w:val="0"/>
        <w:bidi w:val="0"/>
        <w:spacing w:line="360" w:lineRule="auto"/>
        <w:rPr>
          <w:rFonts w:hint="eastAsia" w:ascii="宋体" w:hAnsi="宋体" w:eastAsia="宋体" w:cs="宋体"/>
          <w:color w:val="auto"/>
          <w:highlight w:val="none"/>
          <w:lang w:val="en-US" w:eastAsia="zh-CN"/>
        </w:rPr>
      </w:pPr>
    </w:p>
    <w:p w14:paraId="6336CF07">
      <w:pPr>
        <w:pStyle w:val="2"/>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8"/>
          <w:szCs w:val="28"/>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604" w:name="_Toc23546"/>
    </w:p>
    <w:p w14:paraId="336D89A1">
      <w:pPr>
        <w:pStyle w:val="2"/>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8"/>
          <w:szCs w:val="28"/>
          <w:highlight w:val="none"/>
          <w:lang w:val="en-US" w:eastAsia="zh-CN"/>
        </w:rPr>
      </w:pPr>
      <w:bookmarkStart w:id="605" w:name="_Toc12805"/>
      <w:r>
        <w:rPr>
          <w:rFonts w:hint="eastAsia" w:ascii="宋体" w:hAnsi="宋体" w:eastAsia="宋体" w:cs="宋体"/>
          <w:b/>
          <w:bCs/>
          <w:color w:val="auto"/>
          <w:sz w:val="28"/>
          <w:szCs w:val="28"/>
          <w:highlight w:val="none"/>
          <w:lang w:val="en-US" w:eastAsia="zh-CN"/>
        </w:rPr>
        <w:t>第九部分 其他资料</w:t>
      </w:r>
      <w:bookmarkEnd w:id="604"/>
      <w:bookmarkEnd w:id="605"/>
    </w:p>
    <w:p w14:paraId="301014EF">
      <w:pPr>
        <w:pStyle w:val="16"/>
        <w:keepLines w:val="0"/>
        <w:pageBreakBefore w:val="0"/>
        <w:widowControl w:val="0"/>
        <w:numPr>
          <w:ilvl w:val="0"/>
          <w:numId w:val="16"/>
        </w:numPr>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zh-CN" w:eastAsia="zh-CN"/>
        </w:rPr>
        <w:t>开户许可证或基本存款账户信息</w:t>
      </w:r>
      <w:r>
        <w:rPr>
          <w:rFonts w:hint="eastAsia" w:ascii="宋体" w:hAnsi="宋体" w:cs="宋体"/>
          <w:bCs/>
          <w:color w:val="auto"/>
          <w:sz w:val="21"/>
          <w:szCs w:val="21"/>
          <w:highlight w:val="none"/>
        </w:rPr>
        <w:t>。</w:t>
      </w:r>
    </w:p>
    <w:p w14:paraId="10BC0B5D">
      <w:pPr>
        <w:pStyle w:val="16"/>
        <w:keepNext w:val="0"/>
        <w:keepLines w:val="0"/>
        <w:pageBreakBefore w:val="0"/>
        <w:widowControl w:val="0"/>
        <w:numPr>
          <w:ilvl w:val="0"/>
          <w:numId w:val="16"/>
        </w:numPr>
        <w:kinsoku/>
        <w:wordWrap/>
        <w:overflowPunct/>
        <w:topLinePunct w:val="0"/>
        <w:autoSpaceDE/>
        <w:autoSpaceDN/>
        <w:bidi w:val="0"/>
        <w:adjustRightInd/>
        <w:snapToGrid/>
        <w:spacing w:line="42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依据</w:t>
      </w:r>
      <w:r>
        <w:rPr>
          <w:rFonts w:hint="eastAsia" w:ascii="宋体" w:hAnsi="宋体" w:cs="宋体"/>
          <w:color w:val="auto"/>
          <w:sz w:val="21"/>
          <w:szCs w:val="21"/>
          <w:highlight w:val="none"/>
          <w:lang w:eastAsia="zh-CN"/>
        </w:rPr>
        <w:t>竞争性磋商文件</w:t>
      </w:r>
      <w:r>
        <w:rPr>
          <w:rFonts w:hint="eastAsia" w:ascii="宋体" w:hAnsi="宋体" w:cs="宋体"/>
          <w:color w:val="auto"/>
          <w:sz w:val="21"/>
          <w:szCs w:val="21"/>
          <w:highlight w:val="none"/>
        </w:rPr>
        <w:t>要求，供应商认为有必要说明的其他内容。</w:t>
      </w:r>
    </w:p>
    <w:p w14:paraId="0B07D9FE">
      <w:pPr>
        <w:keepNext w:val="0"/>
        <w:keepLines w:val="0"/>
        <w:pageBreakBefore w:val="0"/>
        <w:widowControl w:val="0"/>
        <w:numPr>
          <w:ilvl w:val="0"/>
          <w:numId w:val="16"/>
        </w:numPr>
        <w:kinsoku/>
        <w:wordWrap/>
        <w:overflowPunct/>
        <w:topLinePunct w:val="0"/>
        <w:autoSpaceDE w:val="0"/>
        <w:autoSpaceDN w:val="0"/>
        <w:bidi w:val="0"/>
        <w:adjustRightInd w:val="0"/>
        <w:snapToGrid/>
        <w:spacing w:line="420" w:lineRule="exact"/>
        <w:ind w:left="0" w:leftChars="0" w:firstLine="0" w:firstLineChars="0"/>
        <w:jc w:val="both"/>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其他可以证明供应商实力的文件</w:t>
      </w:r>
      <w:r>
        <w:rPr>
          <w:rFonts w:hint="eastAsia" w:ascii="宋体" w:hAnsi="宋体" w:cs="宋体"/>
          <w:color w:val="auto"/>
          <w:sz w:val="21"/>
          <w:szCs w:val="21"/>
          <w:highlight w:val="none"/>
          <w:lang w:eastAsia="zh-CN"/>
        </w:rPr>
        <w:t>。</w:t>
      </w:r>
    </w:p>
    <w:p w14:paraId="7D035F28">
      <w:pPr>
        <w:pStyle w:val="16"/>
        <w:rPr>
          <w:rFonts w:hint="eastAsia" w:ascii="宋体" w:hAnsi="宋体" w:eastAsia="宋体" w:cs="宋体"/>
          <w:color w:val="auto"/>
          <w:highlight w:val="none"/>
        </w:rPr>
      </w:pPr>
    </w:p>
    <w:p w14:paraId="7BC23F05">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en-US" w:eastAsia="zh-CN"/>
        </w:rPr>
      </w:pPr>
    </w:p>
    <w:p w14:paraId="4897CCAD">
      <w:pPr>
        <w:pStyle w:val="137"/>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en-US" w:eastAsia="zh-CN"/>
        </w:rPr>
      </w:pPr>
    </w:p>
    <w:p w14:paraId="4A4C4CB1">
      <w:pPr>
        <w:pStyle w:val="16"/>
        <w:rPr>
          <w:rFonts w:hint="eastAsia" w:ascii="宋体" w:hAnsi="宋体" w:eastAsia="宋体" w:cs="宋体"/>
          <w:color w:val="auto"/>
          <w:highlight w:val="none"/>
          <w:lang w:val="en-US" w:eastAsia="zh-CN"/>
        </w:rPr>
      </w:pPr>
    </w:p>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auto"/>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202C0"/>
  <w:p w14:paraId="4ACFA16E">
    <w:pPr>
      <w:pStyle w:val="24"/>
      <w:tabs>
        <w:tab w:val="right" w:pos="9135"/>
        <w:tab w:val="clear" w:pos="8306"/>
      </w:tabs>
      <w:ind w:right="-6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4A14C">
    <w:pPr>
      <w:pStyle w:val="2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EF355">
                          <w:pPr>
                            <w:pStyle w:val="24"/>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0EEF355">
                    <w:pPr>
                      <w:pStyle w:val="24"/>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EE65">
    <w:pPr>
      <w:pStyle w:val="24"/>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E4D6F">
                          <w:pPr>
                            <w:pStyle w:val="24"/>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94E4D6F">
                    <w:pPr>
                      <w:pStyle w:val="24"/>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CED77">
    <w:pPr>
      <w:pStyle w:val="24"/>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CCC9C">
                          <w:pPr>
                            <w:pStyle w:val="2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59CCC9C">
                    <w:pPr>
                      <w:pStyle w:val="2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6B0B4">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8F744">
    <w:pPr>
      <w:pStyle w:val="24"/>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1C3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B1333">
    <w:pPr>
      <w:pStyle w:val="24"/>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F27FA">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D15A7">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ED15A7">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4528B">
    <w:pPr>
      <w:pStyle w:val="24"/>
      <w:rPr>
        <w:rFonts w:hint="eastAsia"/>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8E72C">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E8E72C">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31D6B">
    <w:pPr>
      <w:pStyle w:val="24"/>
      <w:tabs>
        <w:tab w:val="left" w:pos="6480"/>
        <w:tab w:val="clear" w:pos="8306"/>
      </w:tabs>
      <w:jc w:val="both"/>
      <w:rPr>
        <w:rFonts w:hint="default"/>
        <w:lang w:val="en-U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F3BE4">
                          <w:pPr>
                            <w:pStyle w:val="2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B4F3BE4">
                    <w:pPr>
                      <w:pStyle w:val="24"/>
                    </w:pPr>
                    <w:r>
                      <w:fldChar w:fldCharType="begin"/>
                    </w:r>
                    <w:r>
                      <w:instrText xml:space="preserve"> PAGE  \* MERGEFORMAT </w:instrText>
                    </w:r>
                    <w:r>
                      <w:fldChar w:fldCharType="separate"/>
                    </w:r>
                    <w:r>
                      <w:t>9</w:t>
                    </w:r>
                    <w:r>
                      <w:fldChar w:fldCharType="end"/>
                    </w:r>
                  </w:p>
                </w:txbxContent>
              </v:textbox>
            </v:shape>
          </w:pict>
        </mc:Fallback>
      </mc:AlternateContent>
    </w:r>
    <w:r>
      <w:rPr>
        <w:sz w:val="18"/>
        <w:szCs w:val="18"/>
      </w:rP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4233C6">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QC4YnUAAAACAEAAA8AAAAAAAAAAQAgAAAAIgAAAGRycy9k&#10;b3ducmV2LnhtbFBLAQIUABQAAAAIAIdO4kBAlEQlzQEAAKkDAAAOAAAAAAAAAAEAIAAAACMBAABk&#10;cnMvZTJvRG9jLnhtbFBLBQYAAAAABgAGAFkBAABiBQAAAAA=&#10;">
              <v:fill on="f" focussize="0,0"/>
              <v:stroke on="f"/>
              <v:imagedata o:title=""/>
              <o:lock v:ext="edit" aspectratio="f"/>
              <v:textbox inset="0mm,0mm,0mm,0mm" style="mso-fit-shape-to-text:t;">
                <w:txbxContent>
                  <w:p w14:paraId="484233C6">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AD9AC3">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QC4YnUAAAACAEAAA8AAAAAAAAAAQAgAAAAIgAAAGRycy9k&#10;b3ducmV2LnhtbFBLAQIUABQAAAAIAIdO4kAoetenzQEAAKkDAAAOAAAAAAAAAAEAIAAAACMBAABk&#10;cnMvZTJvRG9jLnhtbFBLBQYAAAAABgAGAFkBAABiBQAAAAA=&#10;">
              <v:fill on="f" focussize="0,0"/>
              <v:stroke on="f"/>
              <v:imagedata o:title=""/>
              <o:lock v:ext="edit" aspectratio="f"/>
              <v:textbox inset="0mm,0mm,0mm,0mm" style="mso-fit-shape-to-text:t;">
                <w:txbxContent>
                  <w:p w14:paraId="34AD9AC3">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0288" behindDoc="0" locked="0" layoutInCell="1" allowOverlap="1">
              <wp:simplePos x="0" y="0"/>
              <wp:positionH relativeFrom="margin">
                <wp:posOffset>2948305</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E26AC0">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32.15pt;margin-top:0pt;height:144pt;width:144pt;mso-position-horizontal-relative:margin;mso-wrap-style:none;z-index:251660288;mso-width-relative:page;mso-height-relative:page;" filled="f" stroked="f" coordsize="21600,21600" o:gfxdata="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jwXT7UAAAACAEAAA8AAAAAAAAAAQAgAAAAIgAAAGRycy9k&#10;b3ducmV2LnhtbFBLAQIUABQAAAAIAIdO4kDP3XZvzQEAAKkDAAAOAAAAAAAAAAEAIAAAACMBAABk&#10;cnMvZTJvRG9jLnhtbFBLBQYAAAAABgAGAFkBAABiBQAAAAA=&#10;">
              <v:fill on="f" focussize="0,0"/>
              <v:stroke on="f"/>
              <v:imagedata o:title=""/>
              <o:lock v:ext="edit" aspectratio="f"/>
              <v:textbox inset="0mm,0mm,0mm,0mm" style="mso-fit-shape-to-text:t;">
                <w:txbxContent>
                  <w:p w14:paraId="66E26AC0">
                    <w:pPr>
                      <w:snapToGrid w:val="0"/>
                      <w:rPr>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3DE64">
    <w:pPr>
      <w:pStyle w:val="2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C19EF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69C19EF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914C7">
    <w:pPr>
      <w:pStyle w:val="25"/>
      <w:jc w:val="right"/>
      <w:rPr>
        <w:rFonts w:hint="default" w:ascii="宋体" w:hAnsi="宋体" w:eastAsia="宋体" w:cs="宋体"/>
        <w:lang w:val="en-US" w:eastAsia="zh-CN"/>
      </w:rPr>
    </w:pPr>
    <w:r>
      <w:rPr>
        <w:rFonts w:hint="eastAsia" w:ascii="宋体" w:hAnsi="宋体" w:eastAsia="宋体" w:cs="宋体"/>
      </w:rPr>
      <w:t>项目编号：</w:t>
    </w:r>
    <w:r>
      <w:rPr>
        <w:rFonts w:hint="eastAsia" w:ascii="宋体" w:hAnsi="宋体" w:cs="宋体"/>
        <w:lang w:eastAsia="zh-CN"/>
      </w:rPr>
      <w:t>ZFCG-泾阳县-2025-00009</w:t>
    </w:r>
    <w:r>
      <w:rPr>
        <w:rFonts w:hint="eastAsia" w:ascii="宋体" w:hAnsi="宋体" w:cs="宋体"/>
        <w:lang w:val="en-US" w:eastAsia="zh-CN"/>
      </w:rPr>
      <w:t xml:space="preserve">                                            泾干中学功能部室改造工程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E3CA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3FB82">
    <w:pPr>
      <w:pStyle w:val="25"/>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2F04">
    <w:pPr>
      <w:pStyle w:val="25"/>
      <w:jc w:val="both"/>
      <w:rPr>
        <w:rFonts w:hint="eastAsia" w:ascii="宋体" w:hAnsi="宋体" w:eastAsia="宋体" w:cs="宋体"/>
        <w:b/>
        <w:bCs/>
        <w:iCs/>
        <w:lang w:val="en-US" w:eastAsia="zh-CN"/>
      </w:rPr>
    </w:pPr>
    <w:r>
      <w:rPr>
        <w:rFonts w:hint="eastAsia" w:ascii="宋体" w:hAnsi="宋体" w:eastAsia="宋体" w:cs="宋体"/>
      </w:rPr>
      <w:t>项目编号：</w:t>
    </w:r>
    <w:r>
      <w:rPr>
        <w:rFonts w:hint="eastAsia" w:ascii="宋体" w:hAnsi="宋体" w:cs="宋体"/>
        <w:lang w:eastAsia="zh-CN"/>
      </w:rPr>
      <w:t>ZFCG-泾阳县-2025-00009</w:t>
    </w:r>
    <w:r>
      <w:rPr>
        <w:rFonts w:hint="eastAsia" w:ascii="宋体" w:hAnsi="宋体" w:cs="宋体"/>
        <w:lang w:val="en-US" w:eastAsia="zh-CN"/>
      </w:rPr>
      <w:t xml:space="preserve">                                            泾干中学功能部室改造工程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468DB">
    <w:pPr>
      <w:pStyle w:val="25"/>
      <w:jc w:val="right"/>
      <w:rPr>
        <w:rFonts w:hint="default"/>
        <w:lang w:val="en-US"/>
      </w:rPr>
    </w:pPr>
    <w:r>
      <w:rPr>
        <w:rFonts w:hint="eastAsia" w:ascii="宋体" w:hAnsi="宋体" w:eastAsia="宋体" w:cs="宋体"/>
      </w:rPr>
      <w:t>项目编号：</w:t>
    </w:r>
    <w:r>
      <w:rPr>
        <w:rFonts w:hint="eastAsia" w:ascii="宋体" w:hAnsi="宋体" w:cs="宋体"/>
        <w:lang w:eastAsia="zh-CN"/>
      </w:rPr>
      <w:t>ZFCG-泾阳县-2025-00009</w:t>
    </w:r>
    <w:r>
      <w:rPr>
        <w:rFonts w:hint="eastAsia" w:ascii="宋体" w:hAnsi="宋体" w:cs="宋体"/>
        <w:lang w:val="en-US" w:eastAsia="zh-CN"/>
      </w:rPr>
      <w:t xml:space="preserve">                                            泾干中学功能部室改造工程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F85C">
    <w:pPr>
      <w:pStyle w:val="25"/>
      <w:ind w:firstLine="180" w:firstLineChars="100"/>
      <w:jc w:val="both"/>
    </w:pPr>
    <w:r>
      <w:rPr>
        <w:rFonts w:hint="eastAsia" w:ascii="宋体" w:hAnsi="宋体" w:eastAsia="宋体" w:cs="宋体"/>
        <w:color w:val="auto"/>
      </w:rPr>
      <w:t>项目编号：</w:t>
    </w:r>
    <w:r>
      <w:rPr>
        <w:rFonts w:hint="eastAsia" w:ascii="宋体" w:hAnsi="宋体" w:cs="宋体"/>
        <w:color w:val="auto"/>
        <w:lang w:val="en-US" w:eastAsia="zh-CN"/>
      </w:rPr>
      <w:t>SSJY-CG（G）-2025021</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cs="宋体"/>
        <w:lang w:eastAsia="zh-CN"/>
      </w:rPr>
      <w:t>兴隆镇中心幼儿园维修改造项目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D245">
    <w:pPr>
      <w:pStyle w:val="25"/>
      <w:ind w:firstLine="180" w:firstLineChars="100"/>
      <w:jc w:val="both"/>
    </w:pPr>
    <w:r>
      <w:rPr>
        <w:rFonts w:hint="eastAsia" w:ascii="宋体" w:hAnsi="宋体" w:eastAsia="宋体" w:cs="宋体"/>
        <w:color w:val="auto"/>
      </w:rPr>
      <w:t>项目编号：</w:t>
    </w:r>
    <w:r>
      <w:rPr>
        <w:rFonts w:hint="eastAsia" w:ascii="宋体" w:hAnsi="宋体" w:cs="宋体"/>
        <w:color w:val="auto"/>
        <w:lang w:val="en-US" w:eastAsia="zh-CN"/>
      </w:rPr>
      <w:t>SSJY-CG（G）-2025021</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cs="宋体"/>
        <w:lang w:eastAsia="zh-CN"/>
      </w:rPr>
      <w:t>兴隆镇中心幼儿园维修改造项目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91D33">
    <w:pPr>
      <w:pStyle w:val="25"/>
      <w:jc w:val="both"/>
      <w:rPr>
        <w:rFonts w:hint="default"/>
        <w:lang w:val="en-US"/>
      </w:rPr>
    </w:pPr>
    <w:r>
      <w:rPr>
        <w:rFonts w:hint="eastAsia" w:ascii="宋体" w:hAnsi="宋体" w:eastAsia="宋体" w:cs="宋体"/>
      </w:rPr>
      <w:t>项目编号：</w:t>
    </w:r>
    <w:r>
      <w:rPr>
        <w:rFonts w:hint="eastAsia" w:ascii="宋体" w:hAnsi="宋体" w:cs="宋体"/>
        <w:lang w:eastAsia="zh-CN"/>
      </w:rPr>
      <w:t>ZFCG-泾阳县-2025-00009</w:t>
    </w:r>
    <w:r>
      <w:rPr>
        <w:rFonts w:hint="eastAsia" w:ascii="宋体" w:hAnsi="宋体" w:cs="宋体"/>
        <w:lang w:val="en-US" w:eastAsia="zh-CN"/>
      </w:rPr>
      <w:t xml:space="preserve">                                            泾干中学功能部室改造工程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012A3"/>
    <w:multiLevelType w:val="singleLevel"/>
    <w:tmpl w:val="870012A3"/>
    <w:lvl w:ilvl="0" w:tentative="0">
      <w:start w:val="1"/>
      <w:numFmt w:val="decimal"/>
      <w:suff w:val="nothing"/>
      <w:lvlText w:val="(%1)"/>
      <w:lvlJc w:val="left"/>
      <w:pPr>
        <w:ind w:left="425" w:hanging="425"/>
      </w:pPr>
      <w:rPr>
        <w:rFonts w:hint="default"/>
      </w:rPr>
    </w:lvl>
  </w:abstractNum>
  <w:abstractNum w:abstractNumId="1">
    <w:nsid w:val="A050B1C8"/>
    <w:multiLevelType w:val="singleLevel"/>
    <w:tmpl w:val="A050B1C8"/>
    <w:lvl w:ilvl="0" w:tentative="0">
      <w:start w:val="2"/>
      <w:numFmt w:val="chineseCounting"/>
      <w:suff w:val="nothing"/>
      <w:lvlText w:val="（%1）"/>
      <w:lvlJc w:val="left"/>
      <w:rPr>
        <w:rFonts w:hint="eastAsia"/>
      </w:rPr>
    </w:lvl>
  </w:abstractNum>
  <w:abstractNum w:abstractNumId="2">
    <w:nsid w:val="C33BEDC3"/>
    <w:multiLevelType w:val="singleLevel"/>
    <w:tmpl w:val="C33BEDC3"/>
    <w:lvl w:ilvl="0" w:tentative="0">
      <w:start w:val="1"/>
      <w:numFmt w:val="decimal"/>
      <w:suff w:val="nothing"/>
      <w:lvlText w:val="（%1）"/>
      <w:lvlJc w:val="left"/>
    </w:lvl>
  </w:abstractNum>
  <w:abstractNum w:abstractNumId="3">
    <w:nsid w:val="D94435E6"/>
    <w:multiLevelType w:val="singleLevel"/>
    <w:tmpl w:val="D94435E6"/>
    <w:lvl w:ilvl="0" w:tentative="0">
      <w:start w:val="1"/>
      <w:numFmt w:val="decimal"/>
      <w:suff w:val="nothing"/>
      <w:lvlText w:val="%1、"/>
      <w:lvlJc w:val="left"/>
    </w:lvl>
  </w:abstractNum>
  <w:abstractNum w:abstractNumId="4">
    <w:nsid w:val="DD891C28"/>
    <w:multiLevelType w:val="singleLevel"/>
    <w:tmpl w:val="DD891C28"/>
    <w:lvl w:ilvl="0" w:tentative="0">
      <w:start w:val="3"/>
      <w:numFmt w:val="chineseCounting"/>
      <w:suff w:val="space"/>
      <w:lvlText w:val="第%1部分"/>
      <w:lvlJc w:val="left"/>
      <w:rPr>
        <w:rFonts w:hint="eastAsia"/>
      </w:rPr>
    </w:lvl>
  </w:abstractNum>
  <w:abstractNum w:abstractNumId="5">
    <w:nsid w:val="E5352CC3"/>
    <w:multiLevelType w:val="singleLevel"/>
    <w:tmpl w:val="E5352CC3"/>
    <w:lvl w:ilvl="0" w:tentative="0">
      <w:start w:val="1"/>
      <w:numFmt w:val="decimal"/>
      <w:suff w:val="nothing"/>
      <w:lvlText w:val="%1."/>
      <w:lvlJc w:val="left"/>
      <w:pPr>
        <w:ind w:left="425" w:hanging="425"/>
      </w:pPr>
      <w:rPr>
        <w:rFonts w:hint="default"/>
      </w:rPr>
    </w:lvl>
  </w:abstractNum>
  <w:abstractNum w:abstractNumId="6">
    <w:nsid w:val="F3B64BE0"/>
    <w:multiLevelType w:val="singleLevel"/>
    <w:tmpl w:val="F3B64BE0"/>
    <w:lvl w:ilvl="0" w:tentative="0">
      <w:start w:val="1"/>
      <w:numFmt w:val="decimal"/>
      <w:suff w:val="nothing"/>
      <w:lvlText w:val="(%1)"/>
      <w:lvlJc w:val="left"/>
      <w:pPr>
        <w:ind w:left="425" w:hanging="425"/>
      </w:pPr>
      <w:rPr>
        <w:rFonts w:hint="default"/>
      </w:rPr>
    </w:lvl>
  </w:abstractNum>
  <w:abstractNum w:abstractNumId="7">
    <w:nsid w:val="02FA7B94"/>
    <w:multiLevelType w:val="singleLevel"/>
    <w:tmpl w:val="02FA7B94"/>
    <w:lvl w:ilvl="0" w:tentative="0">
      <w:start w:val="1"/>
      <w:numFmt w:val="decimal"/>
      <w:suff w:val="nothing"/>
      <w:lvlText w:val="%1."/>
      <w:lvlJc w:val="left"/>
      <w:pPr>
        <w:ind w:left="425" w:hanging="425"/>
      </w:pPr>
      <w:rPr>
        <w:rFonts w:hint="default"/>
      </w:rPr>
    </w:lvl>
  </w:abstractNum>
  <w:abstractNum w:abstractNumId="8">
    <w:nsid w:val="170C5BEA"/>
    <w:multiLevelType w:val="singleLevel"/>
    <w:tmpl w:val="170C5BEA"/>
    <w:lvl w:ilvl="0" w:tentative="0">
      <w:start w:val="1"/>
      <w:numFmt w:val="decimal"/>
      <w:lvlText w:val="%1."/>
      <w:lvlJc w:val="left"/>
      <w:pPr>
        <w:tabs>
          <w:tab w:val="left" w:pos="312"/>
        </w:tabs>
      </w:pPr>
    </w:lvl>
  </w:abstractNum>
  <w:abstractNum w:abstractNumId="9">
    <w:nsid w:val="2409491D"/>
    <w:multiLevelType w:val="singleLevel"/>
    <w:tmpl w:val="2409491D"/>
    <w:lvl w:ilvl="0" w:tentative="0">
      <w:start w:val="1"/>
      <w:numFmt w:val="decimal"/>
      <w:suff w:val="nothing"/>
      <w:lvlText w:val="(%1)"/>
      <w:lvlJc w:val="left"/>
      <w:pPr>
        <w:ind w:left="425" w:hanging="425"/>
      </w:pPr>
      <w:rPr>
        <w:rFonts w:hint="default"/>
      </w:rPr>
    </w:lvl>
  </w:abstractNum>
  <w:abstractNum w:abstractNumId="10">
    <w:nsid w:val="31AA65A1"/>
    <w:multiLevelType w:val="singleLevel"/>
    <w:tmpl w:val="31AA65A1"/>
    <w:lvl w:ilvl="0" w:tentative="0">
      <w:start w:val="1"/>
      <w:numFmt w:val="decimal"/>
      <w:suff w:val="nothing"/>
      <w:lvlText w:val="%1、"/>
      <w:lvlJc w:val="left"/>
    </w:lvl>
  </w:abstractNum>
  <w:abstractNum w:abstractNumId="11">
    <w:nsid w:val="3A66B8A8"/>
    <w:multiLevelType w:val="singleLevel"/>
    <w:tmpl w:val="3A66B8A8"/>
    <w:lvl w:ilvl="0" w:tentative="0">
      <w:start w:val="1"/>
      <w:numFmt w:val="decimal"/>
      <w:suff w:val="nothing"/>
      <w:lvlText w:val="(%1)"/>
      <w:lvlJc w:val="left"/>
      <w:pPr>
        <w:ind w:left="425" w:hanging="425"/>
      </w:pPr>
      <w:rPr>
        <w:rFonts w:hint="default"/>
      </w:rPr>
    </w:lvl>
  </w:abstractNum>
  <w:abstractNum w:abstractNumId="12">
    <w:nsid w:val="4602DF96"/>
    <w:multiLevelType w:val="singleLevel"/>
    <w:tmpl w:val="4602DF96"/>
    <w:lvl w:ilvl="0" w:tentative="0">
      <w:start w:val="1"/>
      <w:numFmt w:val="decimal"/>
      <w:suff w:val="nothing"/>
      <w:lvlText w:val="%1."/>
      <w:lvlJc w:val="left"/>
    </w:lvl>
  </w:abstractNum>
  <w:abstractNum w:abstractNumId="13">
    <w:nsid w:val="478F9D87"/>
    <w:multiLevelType w:val="singleLevel"/>
    <w:tmpl w:val="478F9D87"/>
    <w:lvl w:ilvl="0" w:tentative="0">
      <w:start w:val="1"/>
      <w:numFmt w:val="decimal"/>
      <w:suff w:val="nothing"/>
      <w:lvlText w:val="(%1)"/>
      <w:lvlJc w:val="left"/>
      <w:pPr>
        <w:ind w:left="425" w:hanging="425"/>
      </w:pPr>
      <w:rPr>
        <w:rFonts w:hint="default"/>
      </w:rPr>
    </w:lvl>
  </w:abstractNum>
  <w:abstractNum w:abstractNumId="14">
    <w:nsid w:val="79CF7CC7"/>
    <w:multiLevelType w:val="singleLevel"/>
    <w:tmpl w:val="79CF7CC7"/>
    <w:lvl w:ilvl="0" w:tentative="0">
      <w:start w:val="1"/>
      <w:numFmt w:val="decimal"/>
      <w:suff w:val="nothing"/>
      <w:lvlText w:val="(%1)"/>
      <w:lvlJc w:val="left"/>
      <w:pPr>
        <w:ind w:left="425" w:hanging="425"/>
      </w:pPr>
      <w:rPr>
        <w:rFonts w:hint="default"/>
      </w:rPr>
    </w:lvl>
  </w:abstractNum>
  <w:abstractNum w:abstractNumId="15">
    <w:nsid w:val="7D1EC287"/>
    <w:multiLevelType w:val="singleLevel"/>
    <w:tmpl w:val="7D1EC287"/>
    <w:lvl w:ilvl="0" w:tentative="0">
      <w:start w:val="5"/>
      <w:numFmt w:val="chineseCounting"/>
      <w:suff w:val="nothing"/>
      <w:lvlText w:val="%1、"/>
      <w:lvlJc w:val="left"/>
      <w:rPr>
        <w:rFonts w:hint="eastAsia"/>
      </w:rPr>
    </w:lvl>
  </w:abstractNum>
  <w:num w:numId="1">
    <w:abstractNumId w:val="5"/>
  </w:num>
  <w:num w:numId="2">
    <w:abstractNumId w:val="14"/>
  </w:num>
  <w:num w:numId="3">
    <w:abstractNumId w:val="9"/>
  </w:num>
  <w:num w:numId="4">
    <w:abstractNumId w:val="8"/>
  </w:num>
  <w:num w:numId="5">
    <w:abstractNumId w:val="2"/>
  </w:num>
  <w:num w:numId="6">
    <w:abstractNumId w:val="12"/>
  </w:num>
  <w:num w:numId="7">
    <w:abstractNumId w:val="15"/>
  </w:num>
  <w:num w:numId="8">
    <w:abstractNumId w:val="4"/>
  </w:num>
  <w:num w:numId="9">
    <w:abstractNumId w:val="7"/>
  </w:num>
  <w:num w:numId="10">
    <w:abstractNumId w:val="6"/>
  </w:num>
  <w:num w:numId="11">
    <w:abstractNumId w:val="13"/>
  </w:num>
  <w:num w:numId="12">
    <w:abstractNumId w:val="1"/>
  </w:num>
  <w:num w:numId="13">
    <w:abstractNumId w:val="11"/>
  </w:num>
  <w:num w:numId="14">
    <w:abstractNumId w:val="0"/>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jZlNGMxNDdmMzUwYTk4ZTU2MjJjNTA2OTI2ZWEifQ=="/>
  </w:docVars>
  <w:rsids>
    <w:rsidRoot w:val="00AF7032"/>
    <w:rsid w:val="00002082"/>
    <w:rsid w:val="00002415"/>
    <w:rsid w:val="00005936"/>
    <w:rsid w:val="00005C9D"/>
    <w:rsid w:val="000072CF"/>
    <w:rsid w:val="00010847"/>
    <w:rsid w:val="00011C1D"/>
    <w:rsid w:val="00012265"/>
    <w:rsid w:val="000126E0"/>
    <w:rsid w:val="00015A2B"/>
    <w:rsid w:val="000169B2"/>
    <w:rsid w:val="00017B40"/>
    <w:rsid w:val="0002051E"/>
    <w:rsid w:val="000224F5"/>
    <w:rsid w:val="000246B1"/>
    <w:rsid w:val="00025AB7"/>
    <w:rsid w:val="00030A37"/>
    <w:rsid w:val="0003191A"/>
    <w:rsid w:val="00032033"/>
    <w:rsid w:val="000333D3"/>
    <w:rsid w:val="00035A02"/>
    <w:rsid w:val="00040727"/>
    <w:rsid w:val="00040B71"/>
    <w:rsid w:val="00041A78"/>
    <w:rsid w:val="0004320A"/>
    <w:rsid w:val="00043FD9"/>
    <w:rsid w:val="00044112"/>
    <w:rsid w:val="00045317"/>
    <w:rsid w:val="000459D4"/>
    <w:rsid w:val="00045BD4"/>
    <w:rsid w:val="000468ED"/>
    <w:rsid w:val="0004767C"/>
    <w:rsid w:val="000530F3"/>
    <w:rsid w:val="00053B9E"/>
    <w:rsid w:val="00055378"/>
    <w:rsid w:val="00055A76"/>
    <w:rsid w:val="00064E85"/>
    <w:rsid w:val="000671E1"/>
    <w:rsid w:val="00070C79"/>
    <w:rsid w:val="00071475"/>
    <w:rsid w:val="0007459A"/>
    <w:rsid w:val="00074C03"/>
    <w:rsid w:val="00075479"/>
    <w:rsid w:val="00077E8A"/>
    <w:rsid w:val="00082634"/>
    <w:rsid w:val="00083291"/>
    <w:rsid w:val="00083C78"/>
    <w:rsid w:val="00084442"/>
    <w:rsid w:val="0009325C"/>
    <w:rsid w:val="0009348E"/>
    <w:rsid w:val="00093572"/>
    <w:rsid w:val="00093A93"/>
    <w:rsid w:val="00095FC9"/>
    <w:rsid w:val="000A138F"/>
    <w:rsid w:val="000A1BAC"/>
    <w:rsid w:val="000A2B04"/>
    <w:rsid w:val="000A41EA"/>
    <w:rsid w:val="000A48D7"/>
    <w:rsid w:val="000A677E"/>
    <w:rsid w:val="000B0DDD"/>
    <w:rsid w:val="000B5D53"/>
    <w:rsid w:val="000B6887"/>
    <w:rsid w:val="000B724B"/>
    <w:rsid w:val="000C06B0"/>
    <w:rsid w:val="000C07E3"/>
    <w:rsid w:val="000C0D27"/>
    <w:rsid w:val="000C4415"/>
    <w:rsid w:val="000C5E84"/>
    <w:rsid w:val="000D3948"/>
    <w:rsid w:val="000D5DDA"/>
    <w:rsid w:val="000D6550"/>
    <w:rsid w:val="000D6BD8"/>
    <w:rsid w:val="000E2FFA"/>
    <w:rsid w:val="000E361A"/>
    <w:rsid w:val="000E3DC9"/>
    <w:rsid w:val="000E59FD"/>
    <w:rsid w:val="000E6228"/>
    <w:rsid w:val="000E6D2D"/>
    <w:rsid w:val="000E76E4"/>
    <w:rsid w:val="000F0D15"/>
    <w:rsid w:val="000F1D56"/>
    <w:rsid w:val="000F441B"/>
    <w:rsid w:val="000F6C6D"/>
    <w:rsid w:val="000F6EDE"/>
    <w:rsid w:val="000F72A8"/>
    <w:rsid w:val="001004B7"/>
    <w:rsid w:val="00102146"/>
    <w:rsid w:val="001035A1"/>
    <w:rsid w:val="00103B71"/>
    <w:rsid w:val="00103E26"/>
    <w:rsid w:val="00105186"/>
    <w:rsid w:val="00105A1D"/>
    <w:rsid w:val="00105ABF"/>
    <w:rsid w:val="001067C6"/>
    <w:rsid w:val="00106C53"/>
    <w:rsid w:val="001072D5"/>
    <w:rsid w:val="001105A6"/>
    <w:rsid w:val="00110A4F"/>
    <w:rsid w:val="0011202A"/>
    <w:rsid w:val="00113D2E"/>
    <w:rsid w:val="0011475D"/>
    <w:rsid w:val="00115266"/>
    <w:rsid w:val="001163E5"/>
    <w:rsid w:val="001213EB"/>
    <w:rsid w:val="0012297F"/>
    <w:rsid w:val="0012548F"/>
    <w:rsid w:val="001254A6"/>
    <w:rsid w:val="00126169"/>
    <w:rsid w:val="0012658C"/>
    <w:rsid w:val="001268BB"/>
    <w:rsid w:val="00134C63"/>
    <w:rsid w:val="00135A73"/>
    <w:rsid w:val="00136679"/>
    <w:rsid w:val="0013708B"/>
    <w:rsid w:val="001378FA"/>
    <w:rsid w:val="001405BE"/>
    <w:rsid w:val="0014192C"/>
    <w:rsid w:val="00141A55"/>
    <w:rsid w:val="00141C57"/>
    <w:rsid w:val="00141FF0"/>
    <w:rsid w:val="00143963"/>
    <w:rsid w:val="00144D56"/>
    <w:rsid w:val="001477D9"/>
    <w:rsid w:val="00150743"/>
    <w:rsid w:val="00152EAA"/>
    <w:rsid w:val="00153340"/>
    <w:rsid w:val="00154781"/>
    <w:rsid w:val="00154885"/>
    <w:rsid w:val="00154E32"/>
    <w:rsid w:val="00155883"/>
    <w:rsid w:val="00155A12"/>
    <w:rsid w:val="001560DB"/>
    <w:rsid w:val="00157555"/>
    <w:rsid w:val="001615C5"/>
    <w:rsid w:val="00163CB7"/>
    <w:rsid w:val="00163DAC"/>
    <w:rsid w:val="00165D7C"/>
    <w:rsid w:val="00166581"/>
    <w:rsid w:val="00166874"/>
    <w:rsid w:val="00170DEA"/>
    <w:rsid w:val="00170E44"/>
    <w:rsid w:val="00171185"/>
    <w:rsid w:val="001714A6"/>
    <w:rsid w:val="001721BB"/>
    <w:rsid w:val="001726A8"/>
    <w:rsid w:val="00173436"/>
    <w:rsid w:val="00173664"/>
    <w:rsid w:val="001744BE"/>
    <w:rsid w:val="0017467F"/>
    <w:rsid w:val="00177672"/>
    <w:rsid w:val="00181543"/>
    <w:rsid w:val="00183D46"/>
    <w:rsid w:val="0018405A"/>
    <w:rsid w:val="00186867"/>
    <w:rsid w:val="00186BB2"/>
    <w:rsid w:val="001900C9"/>
    <w:rsid w:val="001920AB"/>
    <w:rsid w:val="0019280B"/>
    <w:rsid w:val="00195BC5"/>
    <w:rsid w:val="001A4555"/>
    <w:rsid w:val="001A5EB8"/>
    <w:rsid w:val="001A7A12"/>
    <w:rsid w:val="001B04F5"/>
    <w:rsid w:val="001B15C5"/>
    <w:rsid w:val="001B35E2"/>
    <w:rsid w:val="001B377D"/>
    <w:rsid w:val="001B4584"/>
    <w:rsid w:val="001B45ED"/>
    <w:rsid w:val="001B4E18"/>
    <w:rsid w:val="001B56E5"/>
    <w:rsid w:val="001B7387"/>
    <w:rsid w:val="001C1E52"/>
    <w:rsid w:val="001C2365"/>
    <w:rsid w:val="001C2A9C"/>
    <w:rsid w:val="001C43E7"/>
    <w:rsid w:val="001C4D04"/>
    <w:rsid w:val="001C6156"/>
    <w:rsid w:val="001C66A2"/>
    <w:rsid w:val="001D204D"/>
    <w:rsid w:val="001D5F0D"/>
    <w:rsid w:val="001D64A0"/>
    <w:rsid w:val="001D6D11"/>
    <w:rsid w:val="001D72AB"/>
    <w:rsid w:val="001E0640"/>
    <w:rsid w:val="001E0784"/>
    <w:rsid w:val="001E1D5E"/>
    <w:rsid w:val="001E3E03"/>
    <w:rsid w:val="001E3EF8"/>
    <w:rsid w:val="001E456B"/>
    <w:rsid w:val="001E4B10"/>
    <w:rsid w:val="001F07D0"/>
    <w:rsid w:val="001F082A"/>
    <w:rsid w:val="001F0913"/>
    <w:rsid w:val="001F0CA9"/>
    <w:rsid w:val="001F1C0E"/>
    <w:rsid w:val="001F3D73"/>
    <w:rsid w:val="001F5855"/>
    <w:rsid w:val="001F6CB3"/>
    <w:rsid w:val="00201148"/>
    <w:rsid w:val="00202413"/>
    <w:rsid w:val="00203E84"/>
    <w:rsid w:val="002040BE"/>
    <w:rsid w:val="00205BFA"/>
    <w:rsid w:val="0020729D"/>
    <w:rsid w:val="002110B4"/>
    <w:rsid w:val="002114D1"/>
    <w:rsid w:val="00211D96"/>
    <w:rsid w:val="00217065"/>
    <w:rsid w:val="0021747B"/>
    <w:rsid w:val="00221F84"/>
    <w:rsid w:val="00223601"/>
    <w:rsid w:val="002252DC"/>
    <w:rsid w:val="00227C56"/>
    <w:rsid w:val="0023030C"/>
    <w:rsid w:val="0023048D"/>
    <w:rsid w:val="00230B14"/>
    <w:rsid w:val="0023396B"/>
    <w:rsid w:val="00234950"/>
    <w:rsid w:val="0023569D"/>
    <w:rsid w:val="00236DE4"/>
    <w:rsid w:val="002427BB"/>
    <w:rsid w:val="002430B3"/>
    <w:rsid w:val="0024320F"/>
    <w:rsid w:val="002437D2"/>
    <w:rsid w:val="002451B8"/>
    <w:rsid w:val="002467D6"/>
    <w:rsid w:val="00250413"/>
    <w:rsid w:val="0025138E"/>
    <w:rsid w:val="00253A2F"/>
    <w:rsid w:val="0025491A"/>
    <w:rsid w:val="002552A8"/>
    <w:rsid w:val="00255643"/>
    <w:rsid w:val="00256CA1"/>
    <w:rsid w:val="00256EE9"/>
    <w:rsid w:val="00256FF8"/>
    <w:rsid w:val="00260761"/>
    <w:rsid w:val="002608C1"/>
    <w:rsid w:val="00260F58"/>
    <w:rsid w:val="002626FB"/>
    <w:rsid w:val="002630E7"/>
    <w:rsid w:val="002637BE"/>
    <w:rsid w:val="00264377"/>
    <w:rsid w:val="0026651C"/>
    <w:rsid w:val="00266EDB"/>
    <w:rsid w:val="002670EF"/>
    <w:rsid w:val="00267768"/>
    <w:rsid w:val="00267DE8"/>
    <w:rsid w:val="00270243"/>
    <w:rsid w:val="00270763"/>
    <w:rsid w:val="002722E8"/>
    <w:rsid w:val="002742B6"/>
    <w:rsid w:val="0027517B"/>
    <w:rsid w:val="00275DB6"/>
    <w:rsid w:val="00277227"/>
    <w:rsid w:val="002775B4"/>
    <w:rsid w:val="0027781D"/>
    <w:rsid w:val="002779FF"/>
    <w:rsid w:val="00281921"/>
    <w:rsid w:val="00283837"/>
    <w:rsid w:val="0028537E"/>
    <w:rsid w:val="0028547F"/>
    <w:rsid w:val="0028691C"/>
    <w:rsid w:val="00291EE5"/>
    <w:rsid w:val="00294B5D"/>
    <w:rsid w:val="00295C0B"/>
    <w:rsid w:val="002A135F"/>
    <w:rsid w:val="002A1A17"/>
    <w:rsid w:val="002A1F94"/>
    <w:rsid w:val="002A26F0"/>
    <w:rsid w:val="002A48E1"/>
    <w:rsid w:val="002A5A8E"/>
    <w:rsid w:val="002A7770"/>
    <w:rsid w:val="002B0704"/>
    <w:rsid w:val="002B1C26"/>
    <w:rsid w:val="002B215D"/>
    <w:rsid w:val="002B433F"/>
    <w:rsid w:val="002B5708"/>
    <w:rsid w:val="002C2B5B"/>
    <w:rsid w:val="002C3CF1"/>
    <w:rsid w:val="002C412E"/>
    <w:rsid w:val="002C587F"/>
    <w:rsid w:val="002C72E2"/>
    <w:rsid w:val="002D101E"/>
    <w:rsid w:val="002D1744"/>
    <w:rsid w:val="002D25D7"/>
    <w:rsid w:val="002D2DC4"/>
    <w:rsid w:val="002D3376"/>
    <w:rsid w:val="002D3C31"/>
    <w:rsid w:val="002D6432"/>
    <w:rsid w:val="002D64D9"/>
    <w:rsid w:val="002E0586"/>
    <w:rsid w:val="002E1258"/>
    <w:rsid w:val="002E30BB"/>
    <w:rsid w:val="002E33CC"/>
    <w:rsid w:val="002E388A"/>
    <w:rsid w:val="002E4F44"/>
    <w:rsid w:val="002E4FC1"/>
    <w:rsid w:val="002E6F47"/>
    <w:rsid w:val="002F27B9"/>
    <w:rsid w:val="002F48FF"/>
    <w:rsid w:val="00302C50"/>
    <w:rsid w:val="003039C4"/>
    <w:rsid w:val="00303B84"/>
    <w:rsid w:val="00303DA7"/>
    <w:rsid w:val="003044B5"/>
    <w:rsid w:val="00304CFB"/>
    <w:rsid w:val="003074CF"/>
    <w:rsid w:val="00307529"/>
    <w:rsid w:val="00311931"/>
    <w:rsid w:val="00311A32"/>
    <w:rsid w:val="00315645"/>
    <w:rsid w:val="00317F13"/>
    <w:rsid w:val="00321D3B"/>
    <w:rsid w:val="00323212"/>
    <w:rsid w:val="003236EA"/>
    <w:rsid w:val="00323D53"/>
    <w:rsid w:val="003243B7"/>
    <w:rsid w:val="00324A81"/>
    <w:rsid w:val="00324C9F"/>
    <w:rsid w:val="00331F40"/>
    <w:rsid w:val="0033248E"/>
    <w:rsid w:val="003324EB"/>
    <w:rsid w:val="00332F45"/>
    <w:rsid w:val="00333F98"/>
    <w:rsid w:val="003340C6"/>
    <w:rsid w:val="00335141"/>
    <w:rsid w:val="00335C1C"/>
    <w:rsid w:val="003405B4"/>
    <w:rsid w:val="003412F6"/>
    <w:rsid w:val="00344DF7"/>
    <w:rsid w:val="00344E5F"/>
    <w:rsid w:val="003503B2"/>
    <w:rsid w:val="003505FC"/>
    <w:rsid w:val="00350814"/>
    <w:rsid w:val="003534C3"/>
    <w:rsid w:val="0035393A"/>
    <w:rsid w:val="00353CD1"/>
    <w:rsid w:val="00356A62"/>
    <w:rsid w:val="00356BF7"/>
    <w:rsid w:val="00360E0C"/>
    <w:rsid w:val="003624DB"/>
    <w:rsid w:val="00362A4B"/>
    <w:rsid w:val="003640D3"/>
    <w:rsid w:val="00364411"/>
    <w:rsid w:val="0036462B"/>
    <w:rsid w:val="0036717A"/>
    <w:rsid w:val="00367937"/>
    <w:rsid w:val="003712EB"/>
    <w:rsid w:val="003729CC"/>
    <w:rsid w:val="00372B57"/>
    <w:rsid w:val="003735D4"/>
    <w:rsid w:val="003735E0"/>
    <w:rsid w:val="00373DF9"/>
    <w:rsid w:val="0037424E"/>
    <w:rsid w:val="00374B72"/>
    <w:rsid w:val="00375CEA"/>
    <w:rsid w:val="00376CB8"/>
    <w:rsid w:val="0037701C"/>
    <w:rsid w:val="00377356"/>
    <w:rsid w:val="00381736"/>
    <w:rsid w:val="00382796"/>
    <w:rsid w:val="00383EAF"/>
    <w:rsid w:val="003840BD"/>
    <w:rsid w:val="003841CA"/>
    <w:rsid w:val="00384514"/>
    <w:rsid w:val="00384996"/>
    <w:rsid w:val="00384CC9"/>
    <w:rsid w:val="00387BB9"/>
    <w:rsid w:val="00387C8B"/>
    <w:rsid w:val="00391469"/>
    <w:rsid w:val="00392427"/>
    <w:rsid w:val="003928BC"/>
    <w:rsid w:val="0039370A"/>
    <w:rsid w:val="0039407E"/>
    <w:rsid w:val="00394BEF"/>
    <w:rsid w:val="00395B68"/>
    <w:rsid w:val="00396437"/>
    <w:rsid w:val="00396D7C"/>
    <w:rsid w:val="003A035C"/>
    <w:rsid w:val="003A1594"/>
    <w:rsid w:val="003A229B"/>
    <w:rsid w:val="003A4942"/>
    <w:rsid w:val="003A632F"/>
    <w:rsid w:val="003A69BE"/>
    <w:rsid w:val="003B08CF"/>
    <w:rsid w:val="003B212A"/>
    <w:rsid w:val="003B3871"/>
    <w:rsid w:val="003B5EFD"/>
    <w:rsid w:val="003B714C"/>
    <w:rsid w:val="003C083B"/>
    <w:rsid w:val="003C314A"/>
    <w:rsid w:val="003C3DF8"/>
    <w:rsid w:val="003C3E18"/>
    <w:rsid w:val="003C4F16"/>
    <w:rsid w:val="003D0954"/>
    <w:rsid w:val="003D1FD9"/>
    <w:rsid w:val="003D292A"/>
    <w:rsid w:val="003D2A24"/>
    <w:rsid w:val="003D2A81"/>
    <w:rsid w:val="003D4A34"/>
    <w:rsid w:val="003D56AA"/>
    <w:rsid w:val="003D58DC"/>
    <w:rsid w:val="003D6281"/>
    <w:rsid w:val="003E0030"/>
    <w:rsid w:val="003E0200"/>
    <w:rsid w:val="003E0220"/>
    <w:rsid w:val="003E0847"/>
    <w:rsid w:val="003E0C0F"/>
    <w:rsid w:val="003E3186"/>
    <w:rsid w:val="003E3E5F"/>
    <w:rsid w:val="003E46D1"/>
    <w:rsid w:val="003E7798"/>
    <w:rsid w:val="003F04DD"/>
    <w:rsid w:val="003F09FC"/>
    <w:rsid w:val="003F1B20"/>
    <w:rsid w:val="003F1BC3"/>
    <w:rsid w:val="003F23C8"/>
    <w:rsid w:val="003F465F"/>
    <w:rsid w:val="004035AC"/>
    <w:rsid w:val="00406E67"/>
    <w:rsid w:val="0040756D"/>
    <w:rsid w:val="00411CE5"/>
    <w:rsid w:val="00411D84"/>
    <w:rsid w:val="00412521"/>
    <w:rsid w:val="004132BF"/>
    <w:rsid w:val="004150B7"/>
    <w:rsid w:val="0041590C"/>
    <w:rsid w:val="004163DE"/>
    <w:rsid w:val="00425E73"/>
    <w:rsid w:val="004279DE"/>
    <w:rsid w:val="00427A8D"/>
    <w:rsid w:val="00431A22"/>
    <w:rsid w:val="00431AD1"/>
    <w:rsid w:val="00431F92"/>
    <w:rsid w:val="004332F3"/>
    <w:rsid w:val="00433768"/>
    <w:rsid w:val="00435065"/>
    <w:rsid w:val="00435286"/>
    <w:rsid w:val="00440D0D"/>
    <w:rsid w:val="004423D0"/>
    <w:rsid w:val="004462F7"/>
    <w:rsid w:val="00446E51"/>
    <w:rsid w:val="00447312"/>
    <w:rsid w:val="00447968"/>
    <w:rsid w:val="00447AFB"/>
    <w:rsid w:val="00452FC4"/>
    <w:rsid w:val="0045350F"/>
    <w:rsid w:val="00453D40"/>
    <w:rsid w:val="00455A99"/>
    <w:rsid w:val="00455CB3"/>
    <w:rsid w:val="00460D00"/>
    <w:rsid w:val="0046194D"/>
    <w:rsid w:val="00466857"/>
    <w:rsid w:val="00467125"/>
    <w:rsid w:val="00470730"/>
    <w:rsid w:val="00470843"/>
    <w:rsid w:val="00470E12"/>
    <w:rsid w:val="00471114"/>
    <w:rsid w:val="00471382"/>
    <w:rsid w:val="00472C0F"/>
    <w:rsid w:val="00474426"/>
    <w:rsid w:val="0047444C"/>
    <w:rsid w:val="0047449F"/>
    <w:rsid w:val="004745E2"/>
    <w:rsid w:val="004745ED"/>
    <w:rsid w:val="00475700"/>
    <w:rsid w:val="00475C50"/>
    <w:rsid w:val="00475E03"/>
    <w:rsid w:val="004764D6"/>
    <w:rsid w:val="00476E47"/>
    <w:rsid w:val="004770F5"/>
    <w:rsid w:val="0047760D"/>
    <w:rsid w:val="00477B49"/>
    <w:rsid w:val="00480295"/>
    <w:rsid w:val="00480610"/>
    <w:rsid w:val="00481416"/>
    <w:rsid w:val="0048144C"/>
    <w:rsid w:val="00491E9B"/>
    <w:rsid w:val="0049243F"/>
    <w:rsid w:val="0049284F"/>
    <w:rsid w:val="00492B9F"/>
    <w:rsid w:val="00493ADE"/>
    <w:rsid w:val="00493C05"/>
    <w:rsid w:val="00496347"/>
    <w:rsid w:val="00497C87"/>
    <w:rsid w:val="00497D09"/>
    <w:rsid w:val="004A043A"/>
    <w:rsid w:val="004A16AB"/>
    <w:rsid w:val="004A2D41"/>
    <w:rsid w:val="004A5412"/>
    <w:rsid w:val="004A57E0"/>
    <w:rsid w:val="004A629D"/>
    <w:rsid w:val="004B1732"/>
    <w:rsid w:val="004B396B"/>
    <w:rsid w:val="004B41C5"/>
    <w:rsid w:val="004B5ED3"/>
    <w:rsid w:val="004B65CF"/>
    <w:rsid w:val="004C008D"/>
    <w:rsid w:val="004C1D03"/>
    <w:rsid w:val="004C22F8"/>
    <w:rsid w:val="004C2759"/>
    <w:rsid w:val="004C43D2"/>
    <w:rsid w:val="004C5858"/>
    <w:rsid w:val="004C5F30"/>
    <w:rsid w:val="004D0E8B"/>
    <w:rsid w:val="004D1106"/>
    <w:rsid w:val="004D13ED"/>
    <w:rsid w:val="004D1E5A"/>
    <w:rsid w:val="004D2599"/>
    <w:rsid w:val="004D378F"/>
    <w:rsid w:val="004D5B0A"/>
    <w:rsid w:val="004E054A"/>
    <w:rsid w:val="004E0659"/>
    <w:rsid w:val="004E0804"/>
    <w:rsid w:val="004E158D"/>
    <w:rsid w:val="004E22C7"/>
    <w:rsid w:val="004E2CF6"/>
    <w:rsid w:val="004E2DE2"/>
    <w:rsid w:val="004E322A"/>
    <w:rsid w:val="004E33B4"/>
    <w:rsid w:val="004E67BF"/>
    <w:rsid w:val="004E67FA"/>
    <w:rsid w:val="004E68C9"/>
    <w:rsid w:val="004E784C"/>
    <w:rsid w:val="004E7BB3"/>
    <w:rsid w:val="004E7F44"/>
    <w:rsid w:val="004F0BC3"/>
    <w:rsid w:val="004F2C06"/>
    <w:rsid w:val="004F673F"/>
    <w:rsid w:val="00500F13"/>
    <w:rsid w:val="0050147E"/>
    <w:rsid w:val="00503A47"/>
    <w:rsid w:val="00504129"/>
    <w:rsid w:val="00507B60"/>
    <w:rsid w:val="005117BF"/>
    <w:rsid w:val="00513B00"/>
    <w:rsid w:val="00514427"/>
    <w:rsid w:val="005165D8"/>
    <w:rsid w:val="00517522"/>
    <w:rsid w:val="00517C5F"/>
    <w:rsid w:val="0052010E"/>
    <w:rsid w:val="0052123A"/>
    <w:rsid w:val="00522288"/>
    <w:rsid w:val="005224CD"/>
    <w:rsid w:val="005225E5"/>
    <w:rsid w:val="00523464"/>
    <w:rsid w:val="005239FC"/>
    <w:rsid w:val="00523FDB"/>
    <w:rsid w:val="005241AD"/>
    <w:rsid w:val="005244F4"/>
    <w:rsid w:val="0052781F"/>
    <w:rsid w:val="00530004"/>
    <w:rsid w:val="00530DC9"/>
    <w:rsid w:val="005328BF"/>
    <w:rsid w:val="005328E0"/>
    <w:rsid w:val="00533515"/>
    <w:rsid w:val="005348E1"/>
    <w:rsid w:val="00536980"/>
    <w:rsid w:val="005377A9"/>
    <w:rsid w:val="005405E3"/>
    <w:rsid w:val="0054070D"/>
    <w:rsid w:val="00540B99"/>
    <w:rsid w:val="00540B9D"/>
    <w:rsid w:val="005417D5"/>
    <w:rsid w:val="00542795"/>
    <w:rsid w:val="005431BF"/>
    <w:rsid w:val="005444BC"/>
    <w:rsid w:val="0054491F"/>
    <w:rsid w:val="00544DF5"/>
    <w:rsid w:val="0054734D"/>
    <w:rsid w:val="00550B80"/>
    <w:rsid w:val="005523CE"/>
    <w:rsid w:val="00553A9C"/>
    <w:rsid w:val="00555944"/>
    <w:rsid w:val="0055658D"/>
    <w:rsid w:val="00556655"/>
    <w:rsid w:val="00557550"/>
    <w:rsid w:val="005605F5"/>
    <w:rsid w:val="00561950"/>
    <w:rsid w:val="0056225D"/>
    <w:rsid w:val="005641C1"/>
    <w:rsid w:val="00565682"/>
    <w:rsid w:val="005669F0"/>
    <w:rsid w:val="00567E42"/>
    <w:rsid w:val="005706D9"/>
    <w:rsid w:val="0057125D"/>
    <w:rsid w:val="005732F7"/>
    <w:rsid w:val="0057354B"/>
    <w:rsid w:val="005739C3"/>
    <w:rsid w:val="00573E6A"/>
    <w:rsid w:val="005748E0"/>
    <w:rsid w:val="00576B34"/>
    <w:rsid w:val="005774A7"/>
    <w:rsid w:val="00581E85"/>
    <w:rsid w:val="00582116"/>
    <w:rsid w:val="00582CB2"/>
    <w:rsid w:val="005846FE"/>
    <w:rsid w:val="00584831"/>
    <w:rsid w:val="00584D47"/>
    <w:rsid w:val="00584D94"/>
    <w:rsid w:val="005855BF"/>
    <w:rsid w:val="005859F8"/>
    <w:rsid w:val="0058716E"/>
    <w:rsid w:val="005877E2"/>
    <w:rsid w:val="00587DB6"/>
    <w:rsid w:val="005903F5"/>
    <w:rsid w:val="00592347"/>
    <w:rsid w:val="0059380C"/>
    <w:rsid w:val="00595B75"/>
    <w:rsid w:val="00597F9A"/>
    <w:rsid w:val="005A1429"/>
    <w:rsid w:val="005A35DF"/>
    <w:rsid w:val="005A609B"/>
    <w:rsid w:val="005A6E6F"/>
    <w:rsid w:val="005B106C"/>
    <w:rsid w:val="005B26A3"/>
    <w:rsid w:val="005B275F"/>
    <w:rsid w:val="005B5F24"/>
    <w:rsid w:val="005B6A74"/>
    <w:rsid w:val="005C263D"/>
    <w:rsid w:val="005C305F"/>
    <w:rsid w:val="005C5F6A"/>
    <w:rsid w:val="005D112A"/>
    <w:rsid w:val="005D2084"/>
    <w:rsid w:val="005D2B81"/>
    <w:rsid w:val="005D2BA1"/>
    <w:rsid w:val="005D57AF"/>
    <w:rsid w:val="005D6535"/>
    <w:rsid w:val="005D6B43"/>
    <w:rsid w:val="005D6DC7"/>
    <w:rsid w:val="005E0246"/>
    <w:rsid w:val="005E32CB"/>
    <w:rsid w:val="005E3905"/>
    <w:rsid w:val="005E6610"/>
    <w:rsid w:val="005E73D2"/>
    <w:rsid w:val="005E7E54"/>
    <w:rsid w:val="005F1632"/>
    <w:rsid w:val="005F1B2A"/>
    <w:rsid w:val="005F333E"/>
    <w:rsid w:val="005F390A"/>
    <w:rsid w:val="005F63CA"/>
    <w:rsid w:val="005F6919"/>
    <w:rsid w:val="0060112D"/>
    <w:rsid w:val="00602891"/>
    <w:rsid w:val="00604F16"/>
    <w:rsid w:val="00606411"/>
    <w:rsid w:val="006113C1"/>
    <w:rsid w:val="006137F4"/>
    <w:rsid w:val="006138C1"/>
    <w:rsid w:val="006146C5"/>
    <w:rsid w:val="0061660D"/>
    <w:rsid w:val="0061773F"/>
    <w:rsid w:val="00620CE9"/>
    <w:rsid w:val="00623E70"/>
    <w:rsid w:val="00624945"/>
    <w:rsid w:val="006249F4"/>
    <w:rsid w:val="0062680D"/>
    <w:rsid w:val="00641552"/>
    <w:rsid w:val="006450EC"/>
    <w:rsid w:val="006472A6"/>
    <w:rsid w:val="00647880"/>
    <w:rsid w:val="006510D4"/>
    <w:rsid w:val="0065639F"/>
    <w:rsid w:val="00657CB1"/>
    <w:rsid w:val="0066023B"/>
    <w:rsid w:val="00660CE3"/>
    <w:rsid w:val="006614CA"/>
    <w:rsid w:val="00664032"/>
    <w:rsid w:val="006642FF"/>
    <w:rsid w:val="00671739"/>
    <w:rsid w:val="00673652"/>
    <w:rsid w:val="00675317"/>
    <w:rsid w:val="0067594E"/>
    <w:rsid w:val="00675E03"/>
    <w:rsid w:val="00676806"/>
    <w:rsid w:val="006774E4"/>
    <w:rsid w:val="00682727"/>
    <w:rsid w:val="00687191"/>
    <w:rsid w:val="00687E84"/>
    <w:rsid w:val="00690081"/>
    <w:rsid w:val="006900BF"/>
    <w:rsid w:val="0069117F"/>
    <w:rsid w:val="00691DA1"/>
    <w:rsid w:val="006929C0"/>
    <w:rsid w:val="006948DF"/>
    <w:rsid w:val="00694EEC"/>
    <w:rsid w:val="00696404"/>
    <w:rsid w:val="00697883"/>
    <w:rsid w:val="00697C01"/>
    <w:rsid w:val="006A1DD5"/>
    <w:rsid w:val="006A1EF4"/>
    <w:rsid w:val="006A223F"/>
    <w:rsid w:val="006A4020"/>
    <w:rsid w:val="006A6E58"/>
    <w:rsid w:val="006B0022"/>
    <w:rsid w:val="006B0E5A"/>
    <w:rsid w:val="006B38B4"/>
    <w:rsid w:val="006B4EF7"/>
    <w:rsid w:val="006C1A67"/>
    <w:rsid w:val="006C4BED"/>
    <w:rsid w:val="006C593B"/>
    <w:rsid w:val="006D0C57"/>
    <w:rsid w:val="006D3AAB"/>
    <w:rsid w:val="006D51A6"/>
    <w:rsid w:val="006E1140"/>
    <w:rsid w:val="006E1365"/>
    <w:rsid w:val="006E18D8"/>
    <w:rsid w:val="006E2BBF"/>
    <w:rsid w:val="006E3150"/>
    <w:rsid w:val="006E5FB3"/>
    <w:rsid w:val="006E5FDA"/>
    <w:rsid w:val="006E6359"/>
    <w:rsid w:val="006E6C23"/>
    <w:rsid w:val="006E7917"/>
    <w:rsid w:val="006F04E9"/>
    <w:rsid w:val="006F2175"/>
    <w:rsid w:val="006F2F95"/>
    <w:rsid w:val="006F3E16"/>
    <w:rsid w:val="006F630B"/>
    <w:rsid w:val="006F7C6E"/>
    <w:rsid w:val="0070050B"/>
    <w:rsid w:val="007012E6"/>
    <w:rsid w:val="00705BCF"/>
    <w:rsid w:val="00706E1D"/>
    <w:rsid w:val="00710635"/>
    <w:rsid w:val="00711DE4"/>
    <w:rsid w:val="007123C4"/>
    <w:rsid w:val="007159E8"/>
    <w:rsid w:val="00716EC6"/>
    <w:rsid w:val="00717540"/>
    <w:rsid w:val="007202C1"/>
    <w:rsid w:val="00720AE7"/>
    <w:rsid w:val="00721DB4"/>
    <w:rsid w:val="007221FC"/>
    <w:rsid w:val="00722332"/>
    <w:rsid w:val="00723E45"/>
    <w:rsid w:val="00725BBA"/>
    <w:rsid w:val="00726AAC"/>
    <w:rsid w:val="0073125C"/>
    <w:rsid w:val="0073360F"/>
    <w:rsid w:val="00736051"/>
    <w:rsid w:val="0074085C"/>
    <w:rsid w:val="00741C13"/>
    <w:rsid w:val="0074366B"/>
    <w:rsid w:val="007437D2"/>
    <w:rsid w:val="0074500F"/>
    <w:rsid w:val="00745217"/>
    <w:rsid w:val="00746F98"/>
    <w:rsid w:val="00747739"/>
    <w:rsid w:val="00750707"/>
    <w:rsid w:val="00753BEE"/>
    <w:rsid w:val="0075586A"/>
    <w:rsid w:val="007561F1"/>
    <w:rsid w:val="00756FE2"/>
    <w:rsid w:val="00757012"/>
    <w:rsid w:val="007573A2"/>
    <w:rsid w:val="00757C7E"/>
    <w:rsid w:val="00757DAD"/>
    <w:rsid w:val="00764926"/>
    <w:rsid w:val="00764C65"/>
    <w:rsid w:val="00767B25"/>
    <w:rsid w:val="00771A04"/>
    <w:rsid w:val="0077369F"/>
    <w:rsid w:val="00773968"/>
    <w:rsid w:val="00774928"/>
    <w:rsid w:val="00774BA8"/>
    <w:rsid w:val="007750D1"/>
    <w:rsid w:val="00776176"/>
    <w:rsid w:val="00780533"/>
    <w:rsid w:val="00780C8B"/>
    <w:rsid w:val="00782A51"/>
    <w:rsid w:val="00782EBE"/>
    <w:rsid w:val="007859C5"/>
    <w:rsid w:val="007873D7"/>
    <w:rsid w:val="00790DD2"/>
    <w:rsid w:val="00791DB3"/>
    <w:rsid w:val="007927AA"/>
    <w:rsid w:val="00792DE2"/>
    <w:rsid w:val="00792E07"/>
    <w:rsid w:val="0079485E"/>
    <w:rsid w:val="00795C9D"/>
    <w:rsid w:val="00796A53"/>
    <w:rsid w:val="007A1D8D"/>
    <w:rsid w:val="007A522A"/>
    <w:rsid w:val="007A5ACD"/>
    <w:rsid w:val="007A61C6"/>
    <w:rsid w:val="007B048E"/>
    <w:rsid w:val="007B07E5"/>
    <w:rsid w:val="007B1F53"/>
    <w:rsid w:val="007B20DF"/>
    <w:rsid w:val="007B2D90"/>
    <w:rsid w:val="007B4A3D"/>
    <w:rsid w:val="007B6ADB"/>
    <w:rsid w:val="007B70CF"/>
    <w:rsid w:val="007B7EDD"/>
    <w:rsid w:val="007C0180"/>
    <w:rsid w:val="007C03C4"/>
    <w:rsid w:val="007C0F6E"/>
    <w:rsid w:val="007C131B"/>
    <w:rsid w:val="007C157C"/>
    <w:rsid w:val="007C32F2"/>
    <w:rsid w:val="007C39C0"/>
    <w:rsid w:val="007C4039"/>
    <w:rsid w:val="007C41F8"/>
    <w:rsid w:val="007C434D"/>
    <w:rsid w:val="007C4928"/>
    <w:rsid w:val="007C4BA8"/>
    <w:rsid w:val="007C5D3E"/>
    <w:rsid w:val="007C6C79"/>
    <w:rsid w:val="007C70B8"/>
    <w:rsid w:val="007C7710"/>
    <w:rsid w:val="007D07B6"/>
    <w:rsid w:val="007D0C40"/>
    <w:rsid w:val="007D1A4E"/>
    <w:rsid w:val="007D1B00"/>
    <w:rsid w:val="007D283D"/>
    <w:rsid w:val="007D2D85"/>
    <w:rsid w:val="007D30B8"/>
    <w:rsid w:val="007D34D2"/>
    <w:rsid w:val="007D48D3"/>
    <w:rsid w:val="007D6327"/>
    <w:rsid w:val="007E4281"/>
    <w:rsid w:val="007E4E49"/>
    <w:rsid w:val="007E4F85"/>
    <w:rsid w:val="007E5229"/>
    <w:rsid w:val="007E5CDC"/>
    <w:rsid w:val="007E5D75"/>
    <w:rsid w:val="007E5DBD"/>
    <w:rsid w:val="007E65EF"/>
    <w:rsid w:val="007E6C6C"/>
    <w:rsid w:val="007F0537"/>
    <w:rsid w:val="007F0CDE"/>
    <w:rsid w:val="007F1365"/>
    <w:rsid w:val="007F1A40"/>
    <w:rsid w:val="007F37AA"/>
    <w:rsid w:val="007F3B4B"/>
    <w:rsid w:val="007F450A"/>
    <w:rsid w:val="007F67D0"/>
    <w:rsid w:val="007F72D3"/>
    <w:rsid w:val="007F7FBC"/>
    <w:rsid w:val="00801186"/>
    <w:rsid w:val="0080144C"/>
    <w:rsid w:val="00801C3D"/>
    <w:rsid w:val="00802CFB"/>
    <w:rsid w:val="0080520F"/>
    <w:rsid w:val="0080610D"/>
    <w:rsid w:val="00807CF6"/>
    <w:rsid w:val="008108CB"/>
    <w:rsid w:val="00816590"/>
    <w:rsid w:val="00816F5E"/>
    <w:rsid w:val="0081752C"/>
    <w:rsid w:val="00820DCE"/>
    <w:rsid w:val="00820F5C"/>
    <w:rsid w:val="00826F9E"/>
    <w:rsid w:val="008270B0"/>
    <w:rsid w:val="008318EE"/>
    <w:rsid w:val="00832159"/>
    <w:rsid w:val="00834CE0"/>
    <w:rsid w:val="00834D0B"/>
    <w:rsid w:val="00834FB2"/>
    <w:rsid w:val="00837701"/>
    <w:rsid w:val="00837F27"/>
    <w:rsid w:val="00840463"/>
    <w:rsid w:val="00841FA6"/>
    <w:rsid w:val="00842365"/>
    <w:rsid w:val="00842512"/>
    <w:rsid w:val="0084283D"/>
    <w:rsid w:val="008434B8"/>
    <w:rsid w:val="008448C4"/>
    <w:rsid w:val="00846F2B"/>
    <w:rsid w:val="0084739C"/>
    <w:rsid w:val="00850EDB"/>
    <w:rsid w:val="00852C8A"/>
    <w:rsid w:val="008549E0"/>
    <w:rsid w:val="00854EFA"/>
    <w:rsid w:val="00856DFF"/>
    <w:rsid w:val="00860088"/>
    <w:rsid w:val="00860E16"/>
    <w:rsid w:val="008627FE"/>
    <w:rsid w:val="00862812"/>
    <w:rsid w:val="00865243"/>
    <w:rsid w:val="008666B9"/>
    <w:rsid w:val="00872B22"/>
    <w:rsid w:val="00874A7D"/>
    <w:rsid w:val="00874ABB"/>
    <w:rsid w:val="00874E6F"/>
    <w:rsid w:val="00875E29"/>
    <w:rsid w:val="0088521A"/>
    <w:rsid w:val="008858C1"/>
    <w:rsid w:val="00885ECF"/>
    <w:rsid w:val="00886014"/>
    <w:rsid w:val="00887E2E"/>
    <w:rsid w:val="00890184"/>
    <w:rsid w:val="00890404"/>
    <w:rsid w:val="00890869"/>
    <w:rsid w:val="00890C43"/>
    <w:rsid w:val="00890CE3"/>
    <w:rsid w:val="00890F6C"/>
    <w:rsid w:val="00893040"/>
    <w:rsid w:val="00893C47"/>
    <w:rsid w:val="00894E1F"/>
    <w:rsid w:val="00895C64"/>
    <w:rsid w:val="00895F6F"/>
    <w:rsid w:val="0089634B"/>
    <w:rsid w:val="00897279"/>
    <w:rsid w:val="008A08AA"/>
    <w:rsid w:val="008A0BCB"/>
    <w:rsid w:val="008A146C"/>
    <w:rsid w:val="008A28C5"/>
    <w:rsid w:val="008A3219"/>
    <w:rsid w:val="008A33F5"/>
    <w:rsid w:val="008A4028"/>
    <w:rsid w:val="008A6439"/>
    <w:rsid w:val="008A6C41"/>
    <w:rsid w:val="008B06AF"/>
    <w:rsid w:val="008B1904"/>
    <w:rsid w:val="008B422F"/>
    <w:rsid w:val="008B4A84"/>
    <w:rsid w:val="008B4BC8"/>
    <w:rsid w:val="008B5028"/>
    <w:rsid w:val="008B54BE"/>
    <w:rsid w:val="008B5FFC"/>
    <w:rsid w:val="008B717A"/>
    <w:rsid w:val="008C2381"/>
    <w:rsid w:val="008C276D"/>
    <w:rsid w:val="008C30AB"/>
    <w:rsid w:val="008C360E"/>
    <w:rsid w:val="008C3CA0"/>
    <w:rsid w:val="008C3EBC"/>
    <w:rsid w:val="008C476E"/>
    <w:rsid w:val="008C6083"/>
    <w:rsid w:val="008C766B"/>
    <w:rsid w:val="008C7E8D"/>
    <w:rsid w:val="008D0504"/>
    <w:rsid w:val="008D1984"/>
    <w:rsid w:val="008D2202"/>
    <w:rsid w:val="008D57E7"/>
    <w:rsid w:val="008D5974"/>
    <w:rsid w:val="008D5FDB"/>
    <w:rsid w:val="008D7BE6"/>
    <w:rsid w:val="008E15BC"/>
    <w:rsid w:val="008E27EE"/>
    <w:rsid w:val="008E4095"/>
    <w:rsid w:val="008E41AC"/>
    <w:rsid w:val="008E597F"/>
    <w:rsid w:val="008E624B"/>
    <w:rsid w:val="008F14DB"/>
    <w:rsid w:val="008F4994"/>
    <w:rsid w:val="008F4E99"/>
    <w:rsid w:val="008F5C53"/>
    <w:rsid w:val="008F6212"/>
    <w:rsid w:val="009059F7"/>
    <w:rsid w:val="009074EB"/>
    <w:rsid w:val="00911AD1"/>
    <w:rsid w:val="00911D51"/>
    <w:rsid w:val="00912A4B"/>
    <w:rsid w:val="0091302C"/>
    <w:rsid w:val="0091455F"/>
    <w:rsid w:val="00914CB0"/>
    <w:rsid w:val="009172D4"/>
    <w:rsid w:val="009210FF"/>
    <w:rsid w:val="0092174A"/>
    <w:rsid w:val="00921BD9"/>
    <w:rsid w:val="00922029"/>
    <w:rsid w:val="009250A4"/>
    <w:rsid w:val="00926463"/>
    <w:rsid w:val="00926BBB"/>
    <w:rsid w:val="00927D2B"/>
    <w:rsid w:val="0093022D"/>
    <w:rsid w:val="009304ED"/>
    <w:rsid w:val="00931F47"/>
    <w:rsid w:val="00932315"/>
    <w:rsid w:val="00933813"/>
    <w:rsid w:val="009362CB"/>
    <w:rsid w:val="009368DE"/>
    <w:rsid w:val="00936D0A"/>
    <w:rsid w:val="009371FE"/>
    <w:rsid w:val="009379C9"/>
    <w:rsid w:val="009404AE"/>
    <w:rsid w:val="00943B36"/>
    <w:rsid w:val="0094443E"/>
    <w:rsid w:val="00945221"/>
    <w:rsid w:val="00952591"/>
    <w:rsid w:val="00952812"/>
    <w:rsid w:val="00953B40"/>
    <w:rsid w:val="00953E2B"/>
    <w:rsid w:val="00960E82"/>
    <w:rsid w:val="009610D8"/>
    <w:rsid w:val="009624B8"/>
    <w:rsid w:val="00963F7E"/>
    <w:rsid w:val="00967F77"/>
    <w:rsid w:val="00970211"/>
    <w:rsid w:val="009707AB"/>
    <w:rsid w:val="009714B0"/>
    <w:rsid w:val="00971814"/>
    <w:rsid w:val="00973F37"/>
    <w:rsid w:val="0097453C"/>
    <w:rsid w:val="00975076"/>
    <w:rsid w:val="00976E25"/>
    <w:rsid w:val="00977BC8"/>
    <w:rsid w:val="00977C90"/>
    <w:rsid w:val="0098118A"/>
    <w:rsid w:val="00982062"/>
    <w:rsid w:val="0098237C"/>
    <w:rsid w:val="00982CBD"/>
    <w:rsid w:val="00982DE2"/>
    <w:rsid w:val="00982F9F"/>
    <w:rsid w:val="00983EFD"/>
    <w:rsid w:val="00983FFD"/>
    <w:rsid w:val="00985AEC"/>
    <w:rsid w:val="00991E86"/>
    <w:rsid w:val="00992A06"/>
    <w:rsid w:val="009959F7"/>
    <w:rsid w:val="0099620C"/>
    <w:rsid w:val="0099732B"/>
    <w:rsid w:val="009A1C6A"/>
    <w:rsid w:val="009A3A17"/>
    <w:rsid w:val="009A3BC7"/>
    <w:rsid w:val="009A408E"/>
    <w:rsid w:val="009A5EAF"/>
    <w:rsid w:val="009A65C8"/>
    <w:rsid w:val="009B0538"/>
    <w:rsid w:val="009B2281"/>
    <w:rsid w:val="009B22A2"/>
    <w:rsid w:val="009B23EF"/>
    <w:rsid w:val="009B24C8"/>
    <w:rsid w:val="009B5127"/>
    <w:rsid w:val="009B744E"/>
    <w:rsid w:val="009C19A1"/>
    <w:rsid w:val="009C1D04"/>
    <w:rsid w:val="009C49EA"/>
    <w:rsid w:val="009C4B9C"/>
    <w:rsid w:val="009D0709"/>
    <w:rsid w:val="009D0B04"/>
    <w:rsid w:val="009D15AB"/>
    <w:rsid w:val="009D2048"/>
    <w:rsid w:val="009D20BA"/>
    <w:rsid w:val="009D21FE"/>
    <w:rsid w:val="009D246D"/>
    <w:rsid w:val="009D332E"/>
    <w:rsid w:val="009D3BFF"/>
    <w:rsid w:val="009D3DD0"/>
    <w:rsid w:val="009D4F41"/>
    <w:rsid w:val="009D51A3"/>
    <w:rsid w:val="009D5B57"/>
    <w:rsid w:val="009D7EF5"/>
    <w:rsid w:val="009E1398"/>
    <w:rsid w:val="009E1A15"/>
    <w:rsid w:val="009E1D53"/>
    <w:rsid w:val="009E2187"/>
    <w:rsid w:val="009E2785"/>
    <w:rsid w:val="009E31C0"/>
    <w:rsid w:val="009E32D2"/>
    <w:rsid w:val="009E370D"/>
    <w:rsid w:val="009E3EEB"/>
    <w:rsid w:val="009E4230"/>
    <w:rsid w:val="009E5738"/>
    <w:rsid w:val="009E6AD2"/>
    <w:rsid w:val="009F0C3C"/>
    <w:rsid w:val="009F1E03"/>
    <w:rsid w:val="009F1EA3"/>
    <w:rsid w:val="009F1F3B"/>
    <w:rsid w:val="009F25E0"/>
    <w:rsid w:val="009F43D2"/>
    <w:rsid w:val="009F4922"/>
    <w:rsid w:val="009F7BCA"/>
    <w:rsid w:val="00A00232"/>
    <w:rsid w:val="00A012D2"/>
    <w:rsid w:val="00A03198"/>
    <w:rsid w:val="00A0607A"/>
    <w:rsid w:val="00A06722"/>
    <w:rsid w:val="00A072B2"/>
    <w:rsid w:val="00A078C5"/>
    <w:rsid w:val="00A07AF2"/>
    <w:rsid w:val="00A116B7"/>
    <w:rsid w:val="00A12682"/>
    <w:rsid w:val="00A12A72"/>
    <w:rsid w:val="00A156C8"/>
    <w:rsid w:val="00A15CCF"/>
    <w:rsid w:val="00A16253"/>
    <w:rsid w:val="00A16D40"/>
    <w:rsid w:val="00A17CF0"/>
    <w:rsid w:val="00A20741"/>
    <w:rsid w:val="00A2171A"/>
    <w:rsid w:val="00A225FB"/>
    <w:rsid w:val="00A2331C"/>
    <w:rsid w:val="00A23C3A"/>
    <w:rsid w:val="00A248CF"/>
    <w:rsid w:val="00A265A9"/>
    <w:rsid w:val="00A30D15"/>
    <w:rsid w:val="00A32BCF"/>
    <w:rsid w:val="00A33C25"/>
    <w:rsid w:val="00A35712"/>
    <w:rsid w:val="00A35AC0"/>
    <w:rsid w:val="00A35B61"/>
    <w:rsid w:val="00A375B5"/>
    <w:rsid w:val="00A40527"/>
    <w:rsid w:val="00A40CB9"/>
    <w:rsid w:val="00A4121C"/>
    <w:rsid w:val="00A41811"/>
    <w:rsid w:val="00A43A11"/>
    <w:rsid w:val="00A43A6E"/>
    <w:rsid w:val="00A43FCD"/>
    <w:rsid w:val="00A44132"/>
    <w:rsid w:val="00A45424"/>
    <w:rsid w:val="00A47344"/>
    <w:rsid w:val="00A50204"/>
    <w:rsid w:val="00A51BD5"/>
    <w:rsid w:val="00A5477A"/>
    <w:rsid w:val="00A557A8"/>
    <w:rsid w:val="00A56F6D"/>
    <w:rsid w:val="00A57438"/>
    <w:rsid w:val="00A60009"/>
    <w:rsid w:val="00A65D8F"/>
    <w:rsid w:val="00A66932"/>
    <w:rsid w:val="00A66B10"/>
    <w:rsid w:val="00A6740E"/>
    <w:rsid w:val="00A67BE3"/>
    <w:rsid w:val="00A703A4"/>
    <w:rsid w:val="00A7053C"/>
    <w:rsid w:val="00A70979"/>
    <w:rsid w:val="00A724DA"/>
    <w:rsid w:val="00A72F87"/>
    <w:rsid w:val="00A751E7"/>
    <w:rsid w:val="00A75414"/>
    <w:rsid w:val="00A76FC0"/>
    <w:rsid w:val="00A77F36"/>
    <w:rsid w:val="00A77FA5"/>
    <w:rsid w:val="00A8013F"/>
    <w:rsid w:val="00A80DEB"/>
    <w:rsid w:val="00A80E3B"/>
    <w:rsid w:val="00A827A7"/>
    <w:rsid w:val="00A827DB"/>
    <w:rsid w:val="00A84560"/>
    <w:rsid w:val="00A84EB2"/>
    <w:rsid w:val="00A85E87"/>
    <w:rsid w:val="00A87522"/>
    <w:rsid w:val="00A934E5"/>
    <w:rsid w:val="00A9457D"/>
    <w:rsid w:val="00A955C0"/>
    <w:rsid w:val="00A95970"/>
    <w:rsid w:val="00A96974"/>
    <w:rsid w:val="00A96CA3"/>
    <w:rsid w:val="00AA1EBE"/>
    <w:rsid w:val="00AA229D"/>
    <w:rsid w:val="00AA3686"/>
    <w:rsid w:val="00AA3C84"/>
    <w:rsid w:val="00AA4825"/>
    <w:rsid w:val="00AA4D7F"/>
    <w:rsid w:val="00AB0D98"/>
    <w:rsid w:val="00AB377F"/>
    <w:rsid w:val="00AC01F3"/>
    <w:rsid w:val="00AC07B8"/>
    <w:rsid w:val="00AC252C"/>
    <w:rsid w:val="00AC2C4F"/>
    <w:rsid w:val="00AC4BAC"/>
    <w:rsid w:val="00AC5DE9"/>
    <w:rsid w:val="00AC64B2"/>
    <w:rsid w:val="00AC6537"/>
    <w:rsid w:val="00AD06D8"/>
    <w:rsid w:val="00AD1D25"/>
    <w:rsid w:val="00AD2EDC"/>
    <w:rsid w:val="00AD324B"/>
    <w:rsid w:val="00AD3DFC"/>
    <w:rsid w:val="00AD47DF"/>
    <w:rsid w:val="00AD5899"/>
    <w:rsid w:val="00AD676F"/>
    <w:rsid w:val="00AD70A3"/>
    <w:rsid w:val="00AE02A6"/>
    <w:rsid w:val="00AE1321"/>
    <w:rsid w:val="00AE295A"/>
    <w:rsid w:val="00AE6552"/>
    <w:rsid w:val="00AE762A"/>
    <w:rsid w:val="00AF02FA"/>
    <w:rsid w:val="00AF0D3D"/>
    <w:rsid w:val="00AF3851"/>
    <w:rsid w:val="00AF496D"/>
    <w:rsid w:val="00AF56B1"/>
    <w:rsid w:val="00AF679F"/>
    <w:rsid w:val="00AF7032"/>
    <w:rsid w:val="00B01780"/>
    <w:rsid w:val="00B05681"/>
    <w:rsid w:val="00B0742B"/>
    <w:rsid w:val="00B078EA"/>
    <w:rsid w:val="00B12E28"/>
    <w:rsid w:val="00B1320E"/>
    <w:rsid w:val="00B1421B"/>
    <w:rsid w:val="00B154E8"/>
    <w:rsid w:val="00B20DDA"/>
    <w:rsid w:val="00B22714"/>
    <w:rsid w:val="00B23597"/>
    <w:rsid w:val="00B239AD"/>
    <w:rsid w:val="00B306B7"/>
    <w:rsid w:val="00B32240"/>
    <w:rsid w:val="00B33E17"/>
    <w:rsid w:val="00B34768"/>
    <w:rsid w:val="00B34B2D"/>
    <w:rsid w:val="00B350D7"/>
    <w:rsid w:val="00B35455"/>
    <w:rsid w:val="00B36CAD"/>
    <w:rsid w:val="00B377B0"/>
    <w:rsid w:val="00B406BC"/>
    <w:rsid w:val="00B40795"/>
    <w:rsid w:val="00B40DD6"/>
    <w:rsid w:val="00B42B80"/>
    <w:rsid w:val="00B42DF5"/>
    <w:rsid w:val="00B44DA1"/>
    <w:rsid w:val="00B44E6F"/>
    <w:rsid w:val="00B460AD"/>
    <w:rsid w:val="00B50FE3"/>
    <w:rsid w:val="00B5247D"/>
    <w:rsid w:val="00B5289A"/>
    <w:rsid w:val="00B53406"/>
    <w:rsid w:val="00B541BB"/>
    <w:rsid w:val="00B563B4"/>
    <w:rsid w:val="00B606CA"/>
    <w:rsid w:val="00B618E9"/>
    <w:rsid w:val="00B621E4"/>
    <w:rsid w:val="00B62ABC"/>
    <w:rsid w:val="00B63DA1"/>
    <w:rsid w:val="00B63DBC"/>
    <w:rsid w:val="00B66F81"/>
    <w:rsid w:val="00B67DB6"/>
    <w:rsid w:val="00B70DA4"/>
    <w:rsid w:val="00B71E65"/>
    <w:rsid w:val="00B73827"/>
    <w:rsid w:val="00B74957"/>
    <w:rsid w:val="00B75226"/>
    <w:rsid w:val="00B75735"/>
    <w:rsid w:val="00B757FD"/>
    <w:rsid w:val="00B76928"/>
    <w:rsid w:val="00B779B0"/>
    <w:rsid w:val="00B802EA"/>
    <w:rsid w:val="00B802F9"/>
    <w:rsid w:val="00B808E3"/>
    <w:rsid w:val="00B822BE"/>
    <w:rsid w:val="00B82550"/>
    <w:rsid w:val="00B84555"/>
    <w:rsid w:val="00B85531"/>
    <w:rsid w:val="00B86F8C"/>
    <w:rsid w:val="00B87027"/>
    <w:rsid w:val="00B9003C"/>
    <w:rsid w:val="00B90892"/>
    <w:rsid w:val="00B91A26"/>
    <w:rsid w:val="00B949D4"/>
    <w:rsid w:val="00B94EF2"/>
    <w:rsid w:val="00B95A5F"/>
    <w:rsid w:val="00B97280"/>
    <w:rsid w:val="00B974AC"/>
    <w:rsid w:val="00B97CC7"/>
    <w:rsid w:val="00BA0973"/>
    <w:rsid w:val="00BA103F"/>
    <w:rsid w:val="00BA1DE4"/>
    <w:rsid w:val="00BA590B"/>
    <w:rsid w:val="00BA64FD"/>
    <w:rsid w:val="00BA74C4"/>
    <w:rsid w:val="00BB0618"/>
    <w:rsid w:val="00BB106D"/>
    <w:rsid w:val="00BB1F1A"/>
    <w:rsid w:val="00BB24C8"/>
    <w:rsid w:val="00BB2524"/>
    <w:rsid w:val="00BB297E"/>
    <w:rsid w:val="00BB2C28"/>
    <w:rsid w:val="00BB65A3"/>
    <w:rsid w:val="00BB6D33"/>
    <w:rsid w:val="00BB6EFB"/>
    <w:rsid w:val="00BB7147"/>
    <w:rsid w:val="00BB771F"/>
    <w:rsid w:val="00BC005D"/>
    <w:rsid w:val="00BC0C8D"/>
    <w:rsid w:val="00BC0D04"/>
    <w:rsid w:val="00BC2098"/>
    <w:rsid w:val="00BC4C7A"/>
    <w:rsid w:val="00BC602E"/>
    <w:rsid w:val="00BC683A"/>
    <w:rsid w:val="00BC701B"/>
    <w:rsid w:val="00BC7BBE"/>
    <w:rsid w:val="00BC7E33"/>
    <w:rsid w:val="00BC7F44"/>
    <w:rsid w:val="00BD141C"/>
    <w:rsid w:val="00BD6FF9"/>
    <w:rsid w:val="00BE0B6B"/>
    <w:rsid w:val="00BE522E"/>
    <w:rsid w:val="00BE6464"/>
    <w:rsid w:val="00BE6A10"/>
    <w:rsid w:val="00BE78E5"/>
    <w:rsid w:val="00BE7CB5"/>
    <w:rsid w:val="00BF1229"/>
    <w:rsid w:val="00BF1876"/>
    <w:rsid w:val="00BF2CED"/>
    <w:rsid w:val="00BF3692"/>
    <w:rsid w:val="00BF3E6D"/>
    <w:rsid w:val="00BF4803"/>
    <w:rsid w:val="00BF63A9"/>
    <w:rsid w:val="00C017A3"/>
    <w:rsid w:val="00C01801"/>
    <w:rsid w:val="00C01899"/>
    <w:rsid w:val="00C019FF"/>
    <w:rsid w:val="00C035CD"/>
    <w:rsid w:val="00C05013"/>
    <w:rsid w:val="00C06668"/>
    <w:rsid w:val="00C07FE9"/>
    <w:rsid w:val="00C10730"/>
    <w:rsid w:val="00C12168"/>
    <w:rsid w:val="00C1411B"/>
    <w:rsid w:val="00C16AFE"/>
    <w:rsid w:val="00C16E66"/>
    <w:rsid w:val="00C205BF"/>
    <w:rsid w:val="00C22D1B"/>
    <w:rsid w:val="00C248B3"/>
    <w:rsid w:val="00C248D7"/>
    <w:rsid w:val="00C26ACB"/>
    <w:rsid w:val="00C27726"/>
    <w:rsid w:val="00C27F4F"/>
    <w:rsid w:val="00C30526"/>
    <w:rsid w:val="00C30EE9"/>
    <w:rsid w:val="00C3173E"/>
    <w:rsid w:val="00C31F17"/>
    <w:rsid w:val="00C32F59"/>
    <w:rsid w:val="00C36129"/>
    <w:rsid w:val="00C373CF"/>
    <w:rsid w:val="00C37769"/>
    <w:rsid w:val="00C37DE5"/>
    <w:rsid w:val="00C41016"/>
    <w:rsid w:val="00C4180F"/>
    <w:rsid w:val="00C425DD"/>
    <w:rsid w:val="00C42FC4"/>
    <w:rsid w:val="00C4498D"/>
    <w:rsid w:val="00C44C31"/>
    <w:rsid w:val="00C46A0F"/>
    <w:rsid w:val="00C5383E"/>
    <w:rsid w:val="00C540F9"/>
    <w:rsid w:val="00C54A62"/>
    <w:rsid w:val="00C54D1A"/>
    <w:rsid w:val="00C607A6"/>
    <w:rsid w:val="00C60B40"/>
    <w:rsid w:val="00C612D3"/>
    <w:rsid w:val="00C630EC"/>
    <w:rsid w:val="00C657B2"/>
    <w:rsid w:val="00C65D48"/>
    <w:rsid w:val="00C7073C"/>
    <w:rsid w:val="00C71AE3"/>
    <w:rsid w:val="00C71D2B"/>
    <w:rsid w:val="00C726BD"/>
    <w:rsid w:val="00C730B0"/>
    <w:rsid w:val="00C73800"/>
    <w:rsid w:val="00C75746"/>
    <w:rsid w:val="00C76309"/>
    <w:rsid w:val="00C7641E"/>
    <w:rsid w:val="00C769D1"/>
    <w:rsid w:val="00C77472"/>
    <w:rsid w:val="00C77865"/>
    <w:rsid w:val="00C77AE2"/>
    <w:rsid w:val="00C81584"/>
    <w:rsid w:val="00C84990"/>
    <w:rsid w:val="00C84D46"/>
    <w:rsid w:val="00C84F54"/>
    <w:rsid w:val="00C8556F"/>
    <w:rsid w:val="00C85961"/>
    <w:rsid w:val="00C85B57"/>
    <w:rsid w:val="00C86703"/>
    <w:rsid w:val="00C87E7E"/>
    <w:rsid w:val="00C90767"/>
    <w:rsid w:val="00C914A5"/>
    <w:rsid w:val="00C9364E"/>
    <w:rsid w:val="00C94E6D"/>
    <w:rsid w:val="00CA1790"/>
    <w:rsid w:val="00CA23A8"/>
    <w:rsid w:val="00CA2647"/>
    <w:rsid w:val="00CA2BBE"/>
    <w:rsid w:val="00CA3175"/>
    <w:rsid w:val="00CA3816"/>
    <w:rsid w:val="00CA3B5C"/>
    <w:rsid w:val="00CA4F35"/>
    <w:rsid w:val="00CB1318"/>
    <w:rsid w:val="00CB27FA"/>
    <w:rsid w:val="00CB2977"/>
    <w:rsid w:val="00CB29B8"/>
    <w:rsid w:val="00CB2E14"/>
    <w:rsid w:val="00CB3AFE"/>
    <w:rsid w:val="00CB6A4A"/>
    <w:rsid w:val="00CB6DE3"/>
    <w:rsid w:val="00CC076C"/>
    <w:rsid w:val="00CC09E0"/>
    <w:rsid w:val="00CC2C54"/>
    <w:rsid w:val="00CC3B25"/>
    <w:rsid w:val="00CC553B"/>
    <w:rsid w:val="00CC5FED"/>
    <w:rsid w:val="00CC6AFA"/>
    <w:rsid w:val="00CC7E2C"/>
    <w:rsid w:val="00CD00C2"/>
    <w:rsid w:val="00CD0E05"/>
    <w:rsid w:val="00CD1438"/>
    <w:rsid w:val="00CD2E73"/>
    <w:rsid w:val="00CD7610"/>
    <w:rsid w:val="00CE00ED"/>
    <w:rsid w:val="00CE0DE9"/>
    <w:rsid w:val="00CE0EEB"/>
    <w:rsid w:val="00CE15AD"/>
    <w:rsid w:val="00CE36FC"/>
    <w:rsid w:val="00CE4915"/>
    <w:rsid w:val="00CE781C"/>
    <w:rsid w:val="00CF1F08"/>
    <w:rsid w:val="00CF2316"/>
    <w:rsid w:val="00CF23B1"/>
    <w:rsid w:val="00CF2DAC"/>
    <w:rsid w:val="00CF5B23"/>
    <w:rsid w:val="00CF67BB"/>
    <w:rsid w:val="00D0050C"/>
    <w:rsid w:val="00D02B27"/>
    <w:rsid w:val="00D034FA"/>
    <w:rsid w:val="00D03A05"/>
    <w:rsid w:val="00D044FA"/>
    <w:rsid w:val="00D048DA"/>
    <w:rsid w:val="00D053A6"/>
    <w:rsid w:val="00D11682"/>
    <w:rsid w:val="00D17B1E"/>
    <w:rsid w:val="00D17D1A"/>
    <w:rsid w:val="00D205B2"/>
    <w:rsid w:val="00D22267"/>
    <w:rsid w:val="00D238A3"/>
    <w:rsid w:val="00D23D63"/>
    <w:rsid w:val="00D2493A"/>
    <w:rsid w:val="00D24E4C"/>
    <w:rsid w:val="00D24FB8"/>
    <w:rsid w:val="00D25AC3"/>
    <w:rsid w:val="00D26E9F"/>
    <w:rsid w:val="00D27EFD"/>
    <w:rsid w:val="00D33861"/>
    <w:rsid w:val="00D3459A"/>
    <w:rsid w:val="00D34686"/>
    <w:rsid w:val="00D34BF5"/>
    <w:rsid w:val="00D34F38"/>
    <w:rsid w:val="00D352A8"/>
    <w:rsid w:val="00D35ED0"/>
    <w:rsid w:val="00D37533"/>
    <w:rsid w:val="00D378A0"/>
    <w:rsid w:val="00D37E68"/>
    <w:rsid w:val="00D4048E"/>
    <w:rsid w:val="00D41828"/>
    <w:rsid w:val="00D42DA8"/>
    <w:rsid w:val="00D43B3E"/>
    <w:rsid w:val="00D44593"/>
    <w:rsid w:val="00D449EE"/>
    <w:rsid w:val="00D45E13"/>
    <w:rsid w:val="00D47595"/>
    <w:rsid w:val="00D50AB4"/>
    <w:rsid w:val="00D50D9B"/>
    <w:rsid w:val="00D5105B"/>
    <w:rsid w:val="00D52530"/>
    <w:rsid w:val="00D52E17"/>
    <w:rsid w:val="00D53EAA"/>
    <w:rsid w:val="00D54B9D"/>
    <w:rsid w:val="00D57295"/>
    <w:rsid w:val="00D572DB"/>
    <w:rsid w:val="00D57688"/>
    <w:rsid w:val="00D579B8"/>
    <w:rsid w:val="00D57B14"/>
    <w:rsid w:val="00D60E12"/>
    <w:rsid w:val="00D61229"/>
    <w:rsid w:val="00D627B3"/>
    <w:rsid w:val="00D661BB"/>
    <w:rsid w:val="00D71740"/>
    <w:rsid w:val="00D717E6"/>
    <w:rsid w:val="00D728D7"/>
    <w:rsid w:val="00D72FB5"/>
    <w:rsid w:val="00D7300E"/>
    <w:rsid w:val="00D74142"/>
    <w:rsid w:val="00D77173"/>
    <w:rsid w:val="00D779CB"/>
    <w:rsid w:val="00D80EBE"/>
    <w:rsid w:val="00D815AE"/>
    <w:rsid w:val="00D8171C"/>
    <w:rsid w:val="00D8199F"/>
    <w:rsid w:val="00D846A6"/>
    <w:rsid w:val="00D87E0E"/>
    <w:rsid w:val="00D945BF"/>
    <w:rsid w:val="00D94B3B"/>
    <w:rsid w:val="00D962EF"/>
    <w:rsid w:val="00D973D5"/>
    <w:rsid w:val="00D97B92"/>
    <w:rsid w:val="00DB2515"/>
    <w:rsid w:val="00DB3CF8"/>
    <w:rsid w:val="00DC103D"/>
    <w:rsid w:val="00DC26E9"/>
    <w:rsid w:val="00DC66D5"/>
    <w:rsid w:val="00DC70A8"/>
    <w:rsid w:val="00DC7B63"/>
    <w:rsid w:val="00DC7E65"/>
    <w:rsid w:val="00DD0229"/>
    <w:rsid w:val="00DD0397"/>
    <w:rsid w:val="00DD1627"/>
    <w:rsid w:val="00DD2961"/>
    <w:rsid w:val="00DD2DE1"/>
    <w:rsid w:val="00DD40A5"/>
    <w:rsid w:val="00DD5349"/>
    <w:rsid w:val="00DD72AE"/>
    <w:rsid w:val="00DD74A5"/>
    <w:rsid w:val="00DE03DF"/>
    <w:rsid w:val="00DE2140"/>
    <w:rsid w:val="00DE2E60"/>
    <w:rsid w:val="00DE40DD"/>
    <w:rsid w:val="00DE4B2A"/>
    <w:rsid w:val="00DE7304"/>
    <w:rsid w:val="00DF0061"/>
    <w:rsid w:val="00DF0299"/>
    <w:rsid w:val="00DF0D4D"/>
    <w:rsid w:val="00DF3A7A"/>
    <w:rsid w:val="00DF6DA3"/>
    <w:rsid w:val="00E031F5"/>
    <w:rsid w:val="00E051AD"/>
    <w:rsid w:val="00E06662"/>
    <w:rsid w:val="00E07DF8"/>
    <w:rsid w:val="00E13C24"/>
    <w:rsid w:val="00E15441"/>
    <w:rsid w:val="00E15DAD"/>
    <w:rsid w:val="00E16813"/>
    <w:rsid w:val="00E1732C"/>
    <w:rsid w:val="00E17A1E"/>
    <w:rsid w:val="00E20AB3"/>
    <w:rsid w:val="00E21BAC"/>
    <w:rsid w:val="00E24C85"/>
    <w:rsid w:val="00E25831"/>
    <w:rsid w:val="00E2612B"/>
    <w:rsid w:val="00E26BF9"/>
    <w:rsid w:val="00E26E9E"/>
    <w:rsid w:val="00E306F1"/>
    <w:rsid w:val="00E3096E"/>
    <w:rsid w:val="00E319E0"/>
    <w:rsid w:val="00E32798"/>
    <w:rsid w:val="00E343EB"/>
    <w:rsid w:val="00E345F1"/>
    <w:rsid w:val="00E349CF"/>
    <w:rsid w:val="00E3594F"/>
    <w:rsid w:val="00E35F51"/>
    <w:rsid w:val="00E4027A"/>
    <w:rsid w:val="00E41702"/>
    <w:rsid w:val="00E42BBB"/>
    <w:rsid w:val="00E47627"/>
    <w:rsid w:val="00E530F9"/>
    <w:rsid w:val="00E5373F"/>
    <w:rsid w:val="00E537A0"/>
    <w:rsid w:val="00E538BB"/>
    <w:rsid w:val="00E54C76"/>
    <w:rsid w:val="00E5599F"/>
    <w:rsid w:val="00E55FF6"/>
    <w:rsid w:val="00E56AF8"/>
    <w:rsid w:val="00E57233"/>
    <w:rsid w:val="00E6286F"/>
    <w:rsid w:val="00E63DB8"/>
    <w:rsid w:val="00E64255"/>
    <w:rsid w:val="00E64D97"/>
    <w:rsid w:val="00E6530D"/>
    <w:rsid w:val="00E653B8"/>
    <w:rsid w:val="00E66182"/>
    <w:rsid w:val="00E66A0A"/>
    <w:rsid w:val="00E675A5"/>
    <w:rsid w:val="00E70562"/>
    <w:rsid w:val="00E73372"/>
    <w:rsid w:val="00E73C77"/>
    <w:rsid w:val="00E76D2A"/>
    <w:rsid w:val="00E77162"/>
    <w:rsid w:val="00E77CEE"/>
    <w:rsid w:val="00E80574"/>
    <w:rsid w:val="00E83CC8"/>
    <w:rsid w:val="00E859E0"/>
    <w:rsid w:val="00E85BD0"/>
    <w:rsid w:val="00E861CE"/>
    <w:rsid w:val="00E862EB"/>
    <w:rsid w:val="00E86330"/>
    <w:rsid w:val="00E868CA"/>
    <w:rsid w:val="00E86C27"/>
    <w:rsid w:val="00E87435"/>
    <w:rsid w:val="00E92439"/>
    <w:rsid w:val="00E94E80"/>
    <w:rsid w:val="00E9501E"/>
    <w:rsid w:val="00E95CE9"/>
    <w:rsid w:val="00EA080F"/>
    <w:rsid w:val="00EA1265"/>
    <w:rsid w:val="00EA2BF0"/>
    <w:rsid w:val="00EA2E40"/>
    <w:rsid w:val="00EA3FFA"/>
    <w:rsid w:val="00EA4386"/>
    <w:rsid w:val="00EA71EE"/>
    <w:rsid w:val="00EB05FA"/>
    <w:rsid w:val="00EB0A7B"/>
    <w:rsid w:val="00EB114E"/>
    <w:rsid w:val="00EB2B20"/>
    <w:rsid w:val="00EB3B8D"/>
    <w:rsid w:val="00EB4DEB"/>
    <w:rsid w:val="00EB6501"/>
    <w:rsid w:val="00EC041A"/>
    <w:rsid w:val="00EC213C"/>
    <w:rsid w:val="00EC3469"/>
    <w:rsid w:val="00EC4036"/>
    <w:rsid w:val="00EC7DBC"/>
    <w:rsid w:val="00ED1EEA"/>
    <w:rsid w:val="00ED5139"/>
    <w:rsid w:val="00EE01D8"/>
    <w:rsid w:val="00EE183D"/>
    <w:rsid w:val="00EE1B40"/>
    <w:rsid w:val="00EE291A"/>
    <w:rsid w:val="00EE2C20"/>
    <w:rsid w:val="00EE413D"/>
    <w:rsid w:val="00EE4FA7"/>
    <w:rsid w:val="00EE5850"/>
    <w:rsid w:val="00EF0561"/>
    <w:rsid w:val="00EF0A80"/>
    <w:rsid w:val="00EF191F"/>
    <w:rsid w:val="00EF2033"/>
    <w:rsid w:val="00EF252B"/>
    <w:rsid w:val="00EF4657"/>
    <w:rsid w:val="00EF5353"/>
    <w:rsid w:val="00EF658B"/>
    <w:rsid w:val="00EF783C"/>
    <w:rsid w:val="00F00F44"/>
    <w:rsid w:val="00F013FA"/>
    <w:rsid w:val="00F020A3"/>
    <w:rsid w:val="00F02BB4"/>
    <w:rsid w:val="00F031A4"/>
    <w:rsid w:val="00F03CEC"/>
    <w:rsid w:val="00F041A2"/>
    <w:rsid w:val="00F107C1"/>
    <w:rsid w:val="00F11B2B"/>
    <w:rsid w:val="00F126B8"/>
    <w:rsid w:val="00F13359"/>
    <w:rsid w:val="00F13E45"/>
    <w:rsid w:val="00F16DA3"/>
    <w:rsid w:val="00F20099"/>
    <w:rsid w:val="00F2183F"/>
    <w:rsid w:val="00F241EF"/>
    <w:rsid w:val="00F262D7"/>
    <w:rsid w:val="00F27D44"/>
    <w:rsid w:val="00F30369"/>
    <w:rsid w:val="00F3039B"/>
    <w:rsid w:val="00F305BA"/>
    <w:rsid w:val="00F36703"/>
    <w:rsid w:val="00F36BA2"/>
    <w:rsid w:val="00F36F38"/>
    <w:rsid w:val="00F3700D"/>
    <w:rsid w:val="00F37770"/>
    <w:rsid w:val="00F42384"/>
    <w:rsid w:val="00F429BB"/>
    <w:rsid w:val="00F42A76"/>
    <w:rsid w:val="00F4643C"/>
    <w:rsid w:val="00F47197"/>
    <w:rsid w:val="00F517A9"/>
    <w:rsid w:val="00F53705"/>
    <w:rsid w:val="00F540FA"/>
    <w:rsid w:val="00F5643C"/>
    <w:rsid w:val="00F60C24"/>
    <w:rsid w:val="00F6274A"/>
    <w:rsid w:val="00F62CF2"/>
    <w:rsid w:val="00F6494A"/>
    <w:rsid w:val="00F65D0E"/>
    <w:rsid w:val="00F7144A"/>
    <w:rsid w:val="00F74AC6"/>
    <w:rsid w:val="00F7691E"/>
    <w:rsid w:val="00F76D18"/>
    <w:rsid w:val="00F83776"/>
    <w:rsid w:val="00F86FCC"/>
    <w:rsid w:val="00F90433"/>
    <w:rsid w:val="00F91ACD"/>
    <w:rsid w:val="00F91D27"/>
    <w:rsid w:val="00F91EBB"/>
    <w:rsid w:val="00F931EF"/>
    <w:rsid w:val="00F94B75"/>
    <w:rsid w:val="00F951EE"/>
    <w:rsid w:val="00F95EAF"/>
    <w:rsid w:val="00F970E4"/>
    <w:rsid w:val="00FA30E7"/>
    <w:rsid w:val="00FA36E9"/>
    <w:rsid w:val="00FA4277"/>
    <w:rsid w:val="00FA557A"/>
    <w:rsid w:val="00FA5DC5"/>
    <w:rsid w:val="00FA5DDA"/>
    <w:rsid w:val="00FA6A19"/>
    <w:rsid w:val="00FA731C"/>
    <w:rsid w:val="00FB1B8D"/>
    <w:rsid w:val="00FB6C63"/>
    <w:rsid w:val="00FC05C6"/>
    <w:rsid w:val="00FC24DE"/>
    <w:rsid w:val="00FC42FA"/>
    <w:rsid w:val="00FC494B"/>
    <w:rsid w:val="00FC5C92"/>
    <w:rsid w:val="00FC5EEB"/>
    <w:rsid w:val="00FC605E"/>
    <w:rsid w:val="00FC7733"/>
    <w:rsid w:val="00FD152D"/>
    <w:rsid w:val="00FD323C"/>
    <w:rsid w:val="00FD3512"/>
    <w:rsid w:val="00FD4F13"/>
    <w:rsid w:val="00FD6EFA"/>
    <w:rsid w:val="00FE06AD"/>
    <w:rsid w:val="00FE25BC"/>
    <w:rsid w:val="00FE2F18"/>
    <w:rsid w:val="00FE3874"/>
    <w:rsid w:val="00FE3B2E"/>
    <w:rsid w:val="00FE5336"/>
    <w:rsid w:val="00FE61EB"/>
    <w:rsid w:val="00FE6C9C"/>
    <w:rsid w:val="00FE6DD6"/>
    <w:rsid w:val="00FE768A"/>
    <w:rsid w:val="00FF0C5A"/>
    <w:rsid w:val="00FF0DB0"/>
    <w:rsid w:val="00FF13FC"/>
    <w:rsid w:val="00FF1ACA"/>
    <w:rsid w:val="00FF41DE"/>
    <w:rsid w:val="00FF52B2"/>
    <w:rsid w:val="00FF7304"/>
    <w:rsid w:val="01115B19"/>
    <w:rsid w:val="012A3CE6"/>
    <w:rsid w:val="01301DA6"/>
    <w:rsid w:val="0159716B"/>
    <w:rsid w:val="01745EE6"/>
    <w:rsid w:val="018F65A1"/>
    <w:rsid w:val="01BD2958"/>
    <w:rsid w:val="01FE4437"/>
    <w:rsid w:val="02056D00"/>
    <w:rsid w:val="020C7AD2"/>
    <w:rsid w:val="023F0385"/>
    <w:rsid w:val="025374F9"/>
    <w:rsid w:val="02A91B01"/>
    <w:rsid w:val="02BB3C8E"/>
    <w:rsid w:val="02CA1E1B"/>
    <w:rsid w:val="02F06B77"/>
    <w:rsid w:val="02F646C8"/>
    <w:rsid w:val="03595F7F"/>
    <w:rsid w:val="036872F9"/>
    <w:rsid w:val="0372466B"/>
    <w:rsid w:val="037C3F2E"/>
    <w:rsid w:val="03B42563"/>
    <w:rsid w:val="03B50208"/>
    <w:rsid w:val="04060B04"/>
    <w:rsid w:val="0417467E"/>
    <w:rsid w:val="041B6087"/>
    <w:rsid w:val="041F4312"/>
    <w:rsid w:val="042D79C2"/>
    <w:rsid w:val="04315423"/>
    <w:rsid w:val="0444340A"/>
    <w:rsid w:val="04446D1F"/>
    <w:rsid w:val="04784101"/>
    <w:rsid w:val="047C599F"/>
    <w:rsid w:val="04B8274F"/>
    <w:rsid w:val="04C77B1F"/>
    <w:rsid w:val="04E60945"/>
    <w:rsid w:val="051270D7"/>
    <w:rsid w:val="051C58E4"/>
    <w:rsid w:val="054E02B0"/>
    <w:rsid w:val="05894266"/>
    <w:rsid w:val="059C797B"/>
    <w:rsid w:val="05C5666D"/>
    <w:rsid w:val="06027D10"/>
    <w:rsid w:val="0620067D"/>
    <w:rsid w:val="062446D5"/>
    <w:rsid w:val="062B75F0"/>
    <w:rsid w:val="06400C4E"/>
    <w:rsid w:val="06456265"/>
    <w:rsid w:val="064B3BE4"/>
    <w:rsid w:val="068C4E4E"/>
    <w:rsid w:val="06A56428"/>
    <w:rsid w:val="06B258F2"/>
    <w:rsid w:val="06C32025"/>
    <w:rsid w:val="06E14F8A"/>
    <w:rsid w:val="06F10BAA"/>
    <w:rsid w:val="070F1F19"/>
    <w:rsid w:val="0716129B"/>
    <w:rsid w:val="072A1BA2"/>
    <w:rsid w:val="079006E8"/>
    <w:rsid w:val="079344AE"/>
    <w:rsid w:val="07A4303C"/>
    <w:rsid w:val="07A76995"/>
    <w:rsid w:val="07C83718"/>
    <w:rsid w:val="07CA08DA"/>
    <w:rsid w:val="08126AF8"/>
    <w:rsid w:val="0850403A"/>
    <w:rsid w:val="086106FE"/>
    <w:rsid w:val="086B023F"/>
    <w:rsid w:val="08D613F6"/>
    <w:rsid w:val="090148AB"/>
    <w:rsid w:val="09143080"/>
    <w:rsid w:val="09154BCC"/>
    <w:rsid w:val="09473CE2"/>
    <w:rsid w:val="09992208"/>
    <w:rsid w:val="09A426F2"/>
    <w:rsid w:val="09C23FE3"/>
    <w:rsid w:val="0A173A74"/>
    <w:rsid w:val="0A2347A9"/>
    <w:rsid w:val="0A242FFF"/>
    <w:rsid w:val="0A8C7FBE"/>
    <w:rsid w:val="0A8D7E97"/>
    <w:rsid w:val="0ABC0A3B"/>
    <w:rsid w:val="0AC47253"/>
    <w:rsid w:val="0ACF19BE"/>
    <w:rsid w:val="0ADC1D1C"/>
    <w:rsid w:val="0ADC62F5"/>
    <w:rsid w:val="0ADF57C6"/>
    <w:rsid w:val="0AE75B3C"/>
    <w:rsid w:val="0AF14F38"/>
    <w:rsid w:val="0B1B457B"/>
    <w:rsid w:val="0B1F28BD"/>
    <w:rsid w:val="0B576A77"/>
    <w:rsid w:val="0B6D6DD0"/>
    <w:rsid w:val="0B7A7000"/>
    <w:rsid w:val="0B811AED"/>
    <w:rsid w:val="0B8C1D04"/>
    <w:rsid w:val="0B980BE5"/>
    <w:rsid w:val="0B9C06D5"/>
    <w:rsid w:val="0BB43C70"/>
    <w:rsid w:val="0C0D35F1"/>
    <w:rsid w:val="0C2821A0"/>
    <w:rsid w:val="0C670CE3"/>
    <w:rsid w:val="0C727688"/>
    <w:rsid w:val="0CC50C29"/>
    <w:rsid w:val="0CC70ABC"/>
    <w:rsid w:val="0D19707A"/>
    <w:rsid w:val="0D32133F"/>
    <w:rsid w:val="0D38267F"/>
    <w:rsid w:val="0D7A75BB"/>
    <w:rsid w:val="0D847672"/>
    <w:rsid w:val="0D927F49"/>
    <w:rsid w:val="0D965E14"/>
    <w:rsid w:val="0D971FFF"/>
    <w:rsid w:val="0D985588"/>
    <w:rsid w:val="0DAC4DE7"/>
    <w:rsid w:val="0DB50520"/>
    <w:rsid w:val="0DD93C67"/>
    <w:rsid w:val="0E000E95"/>
    <w:rsid w:val="0E1C7748"/>
    <w:rsid w:val="0E2A1FC8"/>
    <w:rsid w:val="0E3436F9"/>
    <w:rsid w:val="0E434312"/>
    <w:rsid w:val="0E691717"/>
    <w:rsid w:val="0E9B5CB3"/>
    <w:rsid w:val="0EB16B69"/>
    <w:rsid w:val="0EB463A0"/>
    <w:rsid w:val="0ED24AE4"/>
    <w:rsid w:val="0EF76513"/>
    <w:rsid w:val="0EF86207"/>
    <w:rsid w:val="0F127DBC"/>
    <w:rsid w:val="0F542EBC"/>
    <w:rsid w:val="0F601A19"/>
    <w:rsid w:val="0F7B4964"/>
    <w:rsid w:val="0FB3499A"/>
    <w:rsid w:val="100E3CDE"/>
    <w:rsid w:val="10274AB2"/>
    <w:rsid w:val="102862AB"/>
    <w:rsid w:val="10582A82"/>
    <w:rsid w:val="10967DE9"/>
    <w:rsid w:val="10983AC1"/>
    <w:rsid w:val="109E036B"/>
    <w:rsid w:val="10D0497D"/>
    <w:rsid w:val="110A2C24"/>
    <w:rsid w:val="110F1949"/>
    <w:rsid w:val="11285AF8"/>
    <w:rsid w:val="1144422A"/>
    <w:rsid w:val="119951F2"/>
    <w:rsid w:val="11BE175A"/>
    <w:rsid w:val="11CD7202"/>
    <w:rsid w:val="11F75EAE"/>
    <w:rsid w:val="11FF21E6"/>
    <w:rsid w:val="124D09DB"/>
    <w:rsid w:val="125F0169"/>
    <w:rsid w:val="126307C1"/>
    <w:rsid w:val="137C4C58"/>
    <w:rsid w:val="139F6AD3"/>
    <w:rsid w:val="1402609A"/>
    <w:rsid w:val="140B63F8"/>
    <w:rsid w:val="14101BF8"/>
    <w:rsid w:val="141D6D83"/>
    <w:rsid w:val="14607765"/>
    <w:rsid w:val="14644194"/>
    <w:rsid w:val="14683AE2"/>
    <w:rsid w:val="146975C2"/>
    <w:rsid w:val="148556DC"/>
    <w:rsid w:val="149027CD"/>
    <w:rsid w:val="149D2712"/>
    <w:rsid w:val="14A24168"/>
    <w:rsid w:val="14AD06E3"/>
    <w:rsid w:val="15025589"/>
    <w:rsid w:val="151025BD"/>
    <w:rsid w:val="15950A2F"/>
    <w:rsid w:val="15D062EC"/>
    <w:rsid w:val="15D128B5"/>
    <w:rsid w:val="15D13671"/>
    <w:rsid w:val="15E45152"/>
    <w:rsid w:val="15FA6E59"/>
    <w:rsid w:val="15FE492A"/>
    <w:rsid w:val="1609105D"/>
    <w:rsid w:val="16184405"/>
    <w:rsid w:val="165516F9"/>
    <w:rsid w:val="1657518C"/>
    <w:rsid w:val="167A6B10"/>
    <w:rsid w:val="16830AAE"/>
    <w:rsid w:val="168B1A72"/>
    <w:rsid w:val="16951F73"/>
    <w:rsid w:val="16B1043D"/>
    <w:rsid w:val="16E01DBD"/>
    <w:rsid w:val="170E6F2D"/>
    <w:rsid w:val="17271EE3"/>
    <w:rsid w:val="1754248F"/>
    <w:rsid w:val="175B1D7F"/>
    <w:rsid w:val="175F5CA8"/>
    <w:rsid w:val="17615E29"/>
    <w:rsid w:val="17637A3D"/>
    <w:rsid w:val="17967435"/>
    <w:rsid w:val="181E4E3A"/>
    <w:rsid w:val="182D352F"/>
    <w:rsid w:val="186216FF"/>
    <w:rsid w:val="1897143A"/>
    <w:rsid w:val="18AD593E"/>
    <w:rsid w:val="18BA2ED6"/>
    <w:rsid w:val="18C119AD"/>
    <w:rsid w:val="18DD45AA"/>
    <w:rsid w:val="1918508B"/>
    <w:rsid w:val="19265A82"/>
    <w:rsid w:val="193D1F46"/>
    <w:rsid w:val="193F29EB"/>
    <w:rsid w:val="19572472"/>
    <w:rsid w:val="19874E4D"/>
    <w:rsid w:val="198C1D89"/>
    <w:rsid w:val="19924EC5"/>
    <w:rsid w:val="19952FC2"/>
    <w:rsid w:val="19E44197"/>
    <w:rsid w:val="19EF3DBB"/>
    <w:rsid w:val="1A307DEB"/>
    <w:rsid w:val="1A497C7A"/>
    <w:rsid w:val="1A4B662C"/>
    <w:rsid w:val="1A5D3128"/>
    <w:rsid w:val="1A7A062D"/>
    <w:rsid w:val="1AC90C79"/>
    <w:rsid w:val="1B0D2108"/>
    <w:rsid w:val="1B1438B4"/>
    <w:rsid w:val="1B293C37"/>
    <w:rsid w:val="1B3A3A66"/>
    <w:rsid w:val="1B4963EA"/>
    <w:rsid w:val="1B7C0B0B"/>
    <w:rsid w:val="1B7E697A"/>
    <w:rsid w:val="1BAE3795"/>
    <w:rsid w:val="1BB2064E"/>
    <w:rsid w:val="1BB538CF"/>
    <w:rsid w:val="1BBE6445"/>
    <w:rsid w:val="1BDB0DA5"/>
    <w:rsid w:val="1BDC51B0"/>
    <w:rsid w:val="1BE42F8B"/>
    <w:rsid w:val="1C7A3233"/>
    <w:rsid w:val="1C80396E"/>
    <w:rsid w:val="1CA12D03"/>
    <w:rsid w:val="1CB3291E"/>
    <w:rsid w:val="1CBB11C7"/>
    <w:rsid w:val="1CBB2883"/>
    <w:rsid w:val="1CBC76A6"/>
    <w:rsid w:val="1CC75931"/>
    <w:rsid w:val="1CD81789"/>
    <w:rsid w:val="1CE52099"/>
    <w:rsid w:val="1D561E6A"/>
    <w:rsid w:val="1D571301"/>
    <w:rsid w:val="1D6A6A75"/>
    <w:rsid w:val="1D9A06B0"/>
    <w:rsid w:val="1DAC6673"/>
    <w:rsid w:val="1DBB7F40"/>
    <w:rsid w:val="1DD04BEC"/>
    <w:rsid w:val="1DE24C91"/>
    <w:rsid w:val="1DE60C9A"/>
    <w:rsid w:val="1DF41CED"/>
    <w:rsid w:val="1E07129E"/>
    <w:rsid w:val="1E60231B"/>
    <w:rsid w:val="1E9D2342"/>
    <w:rsid w:val="1EA73187"/>
    <w:rsid w:val="1EA747EE"/>
    <w:rsid w:val="1EBB4EBE"/>
    <w:rsid w:val="1EDC0F97"/>
    <w:rsid w:val="1F016385"/>
    <w:rsid w:val="1F26778D"/>
    <w:rsid w:val="1F431523"/>
    <w:rsid w:val="1F7363E0"/>
    <w:rsid w:val="1F9B0BF8"/>
    <w:rsid w:val="1FD90A6B"/>
    <w:rsid w:val="1FEF5FC2"/>
    <w:rsid w:val="20181E20"/>
    <w:rsid w:val="20934A1D"/>
    <w:rsid w:val="209854B7"/>
    <w:rsid w:val="20C0056A"/>
    <w:rsid w:val="20EE5A89"/>
    <w:rsid w:val="20FA1CCE"/>
    <w:rsid w:val="2116462E"/>
    <w:rsid w:val="21176D6E"/>
    <w:rsid w:val="212A6BCC"/>
    <w:rsid w:val="212E1977"/>
    <w:rsid w:val="2132002E"/>
    <w:rsid w:val="21450638"/>
    <w:rsid w:val="215238B8"/>
    <w:rsid w:val="217F39B2"/>
    <w:rsid w:val="218C384B"/>
    <w:rsid w:val="218D0B38"/>
    <w:rsid w:val="219C2D85"/>
    <w:rsid w:val="21E308D4"/>
    <w:rsid w:val="22682ED4"/>
    <w:rsid w:val="226F3182"/>
    <w:rsid w:val="228A5274"/>
    <w:rsid w:val="22A6140E"/>
    <w:rsid w:val="22AB7335"/>
    <w:rsid w:val="22D57688"/>
    <w:rsid w:val="23122FE5"/>
    <w:rsid w:val="231B4D6E"/>
    <w:rsid w:val="232C3785"/>
    <w:rsid w:val="23300BC5"/>
    <w:rsid w:val="233453A6"/>
    <w:rsid w:val="23390502"/>
    <w:rsid w:val="234A5292"/>
    <w:rsid w:val="235D2A71"/>
    <w:rsid w:val="242410B0"/>
    <w:rsid w:val="242B2707"/>
    <w:rsid w:val="24605FFA"/>
    <w:rsid w:val="24D742F1"/>
    <w:rsid w:val="253D487F"/>
    <w:rsid w:val="255F1C12"/>
    <w:rsid w:val="25651070"/>
    <w:rsid w:val="25660439"/>
    <w:rsid w:val="259A6176"/>
    <w:rsid w:val="25F06233"/>
    <w:rsid w:val="25F50CB6"/>
    <w:rsid w:val="25F636D3"/>
    <w:rsid w:val="26275713"/>
    <w:rsid w:val="262F270F"/>
    <w:rsid w:val="2644477A"/>
    <w:rsid w:val="267957FB"/>
    <w:rsid w:val="26885AC8"/>
    <w:rsid w:val="26B93B86"/>
    <w:rsid w:val="26BF40CA"/>
    <w:rsid w:val="26CB06DA"/>
    <w:rsid w:val="26EF052C"/>
    <w:rsid w:val="26F23880"/>
    <w:rsid w:val="27303A23"/>
    <w:rsid w:val="275D2C3D"/>
    <w:rsid w:val="27802AB4"/>
    <w:rsid w:val="279D5435"/>
    <w:rsid w:val="27B06CEE"/>
    <w:rsid w:val="27B46399"/>
    <w:rsid w:val="27BF720F"/>
    <w:rsid w:val="27C052F3"/>
    <w:rsid w:val="27C71297"/>
    <w:rsid w:val="27E965F8"/>
    <w:rsid w:val="2801645C"/>
    <w:rsid w:val="280E0EF6"/>
    <w:rsid w:val="282B6940"/>
    <w:rsid w:val="283148C1"/>
    <w:rsid w:val="283652F4"/>
    <w:rsid w:val="283F2588"/>
    <w:rsid w:val="284202E2"/>
    <w:rsid w:val="28422B41"/>
    <w:rsid w:val="285D5757"/>
    <w:rsid w:val="287F7A45"/>
    <w:rsid w:val="288E7FFE"/>
    <w:rsid w:val="289128C5"/>
    <w:rsid w:val="28991ACC"/>
    <w:rsid w:val="29075876"/>
    <w:rsid w:val="290A1794"/>
    <w:rsid w:val="291E2574"/>
    <w:rsid w:val="2962650F"/>
    <w:rsid w:val="2965244F"/>
    <w:rsid w:val="296C51FC"/>
    <w:rsid w:val="297211E0"/>
    <w:rsid w:val="29A73A5D"/>
    <w:rsid w:val="29BD29EF"/>
    <w:rsid w:val="29D532D8"/>
    <w:rsid w:val="29E225F8"/>
    <w:rsid w:val="29F3493D"/>
    <w:rsid w:val="2A097F2C"/>
    <w:rsid w:val="2A16511E"/>
    <w:rsid w:val="2A2D2BA8"/>
    <w:rsid w:val="2A6130F9"/>
    <w:rsid w:val="2A680504"/>
    <w:rsid w:val="2A8A5477"/>
    <w:rsid w:val="2A9A1E2C"/>
    <w:rsid w:val="2AA03F74"/>
    <w:rsid w:val="2AD43590"/>
    <w:rsid w:val="2AF72431"/>
    <w:rsid w:val="2B7060CA"/>
    <w:rsid w:val="2B7134CD"/>
    <w:rsid w:val="2B7729A9"/>
    <w:rsid w:val="2BE873CA"/>
    <w:rsid w:val="2BED77E9"/>
    <w:rsid w:val="2C067079"/>
    <w:rsid w:val="2C1002FA"/>
    <w:rsid w:val="2C3B6706"/>
    <w:rsid w:val="2C5D5807"/>
    <w:rsid w:val="2C954FA0"/>
    <w:rsid w:val="2C9A7691"/>
    <w:rsid w:val="2CE1413A"/>
    <w:rsid w:val="2D3F3425"/>
    <w:rsid w:val="2D614E83"/>
    <w:rsid w:val="2D6906A3"/>
    <w:rsid w:val="2D8F7B63"/>
    <w:rsid w:val="2DB770D2"/>
    <w:rsid w:val="2DB9106D"/>
    <w:rsid w:val="2DBD58A5"/>
    <w:rsid w:val="2DC14DED"/>
    <w:rsid w:val="2DCC67A0"/>
    <w:rsid w:val="2DD158AE"/>
    <w:rsid w:val="2DE14C0D"/>
    <w:rsid w:val="2DE55AB4"/>
    <w:rsid w:val="2DF45796"/>
    <w:rsid w:val="2DF9443E"/>
    <w:rsid w:val="2DFD5AD3"/>
    <w:rsid w:val="2DFD6B18"/>
    <w:rsid w:val="2E05430D"/>
    <w:rsid w:val="2E1859E5"/>
    <w:rsid w:val="2E2F2F41"/>
    <w:rsid w:val="2E430131"/>
    <w:rsid w:val="2E5210EC"/>
    <w:rsid w:val="2E5B07AB"/>
    <w:rsid w:val="2E6743B8"/>
    <w:rsid w:val="2E6A2DC2"/>
    <w:rsid w:val="2EAF5833"/>
    <w:rsid w:val="2EC554B2"/>
    <w:rsid w:val="2EE76D59"/>
    <w:rsid w:val="2F222924"/>
    <w:rsid w:val="2F3204AF"/>
    <w:rsid w:val="2F8337D6"/>
    <w:rsid w:val="2F9A050E"/>
    <w:rsid w:val="30117F8B"/>
    <w:rsid w:val="30880C87"/>
    <w:rsid w:val="30B07DB8"/>
    <w:rsid w:val="30B8300C"/>
    <w:rsid w:val="31224030"/>
    <w:rsid w:val="312569BD"/>
    <w:rsid w:val="314E2C66"/>
    <w:rsid w:val="31870AE7"/>
    <w:rsid w:val="31AE3A53"/>
    <w:rsid w:val="31CA6DFB"/>
    <w:rsid w:val="31EA1963"/>
    <w:rsid w:val="31FA4B6D"/>
    <w:rsid w:val="32111360"/>
    <w:rsid w:val="324A7F75"/>
    <w:rsid w:val="325A64E5"/>
    <w:rsid w:val="325B2476"/>
    <w:rsid w:val="32AD7D50"/>
    <w:rsid w:val="33820CDD"/>
    <w:rsid w:val="338A00A4"/>
    <w:rsid w:val="33913825"/>
    <w:rsid w:val="33EE0D47"/>
    <w:rsid w:val="342575EA"/>
    <w:rsid w:val="34480488"/>
    <w:rsid w:val="34792B99"/>
    <w:rsid w:val="349D2C44"/>
    <w:rsid w:val="34D16D92"/>
    <w:rsid w:val="34F05B04"/>
    <w:rsid w:val="35215623"/>
    <w:rsid w:val="35523C1E"/>
    <w:rsid w:val="35817E56"/>
    <w:rsid w:val="358276DA"/>
    <w:rsid w:val="35EE3AC7"/>
    <w:rsid w:val="35F94460"/>
    <w:rsid w:val="36196EE3"/>
    <w:rsid w:val="36540977"/>
    <w:rsid w:val="36555758"/>
    <w:rsid w:val="36F67C9D"/>
    <w:rsid w:val="371367E9"/>
    <w:rsid w:val="37416B21"/>
    <w:rsid w:val="374B7C97"/>
    <w:rsid w:val="37A30634"/>
    <w:rsid w:val="37B509BF"/>
    <w:rsid w:val="37CC7A14"/>
    <w:rsid w:val="37E91312"/>
    <w:rsid w:val="37F7529C"/>
    <w:rsid w:val="38303E85"/>
    <w:rsid w:val="3832078A"/>
    <w:rsid w:val="384F4255"/>
    <w:rsid w:val="384F7AFB"/>
    <w:rsid w:val="38B37F59"/>
    <w:rsid w:val="38EF3C8A"/>
    <w:rsid w:val="39113C01"/>
    <w:rsid w:val="392E439F"/>
    <w:rsid w:val="393E343F"/>
    <w:rsid w:val="395003D4"/>
    <w:rsid w:val="397A1D7B"/>
    <w:rsid w:val="397A5F75"/>
    <w:rsid w:val="398850DE"/>
    <w:rsid w:val="39A71E6F"/>
    <w:rsid w:val="39C26429"/>
    <w:rsid w:val="3A306295"/>
    <w:rsid w:val="3A314013"/>
    <w:rsid w:val="3A341A25"/>
    <w:rsid w:val="3A782AD9"/>
    <w:rsid w:val="3A891A84"/>
    <w:rsid w:val="3A9B2E8A"/>
    <w:rsid w:val="3AA36ADA"/>
    <w:rsid w:val="3ABC49A5"/>
    <w:rsid w:val="3B1D301A"/>
    <w:rsid w:val="3B3D5220"/>
    <w:rsid w:val="3B585B17"/>
    <w:rsid w:val="3B5B6F6B"/>
    <w:rsid w:val="3B697D24"/>
    <w:rsid w:val="3B6F60D1"/>
    <w:rsid w:val="3B8C756F"/>
    <w:rsid w:val="3BC27362"/>
    <w:rsid w:val="3BCE3934"/>
    <w:rsid w:val="3BDE7D61"/>
    <w:rsid w:val="3BE70B65"/>
    <w:rsid w:val="3C0226A1"/>
    <w:rsid w:val="3C222680"/>
    <w:rsid w:val="3C265C15"/>
    <w:rsid w:val="3C553C96"/>
    <w:rsid w:val="3C5B73D7"/>
    <w:rsid w:val="3C830040"/>
    <w:rsid w:val="3C8C6FF4"/>
    <w:rsid w:val="3CA8662A"/>
    <w:rsid w:val="3CB07B7D"/>
    <w:rsid w:val="3CD07E3A"/>
    <w:rsid w:val="3CEB36C7"/>
    <w:rsid w:val="3D1F3A14"/>
    <w:rsid w:val="3D285B99"/>
    <w:rsid w:val="3D2900C8"/>
    <w:rsid w:val="3D9214CE"/>
    <w:rsid w:val="3D9F17DB"/>
    <w:rsid w:val="3DBF1E7D"/>
    <w:rsid w:val="3DDF3E65"/>
    <w:rsid w:val="3E2A7486"/>
    <w:rsid w:val="3E333167"/>
    <w:rsid w:val="3E3F4D6C"/>
    <w:rsid w:val="3E84142B"/>
    <w:rsid w:val="3EB23801"/>
    <w:rsid w:val="3ECD0001"/>
    <w:rsid w:val="3F04093B"/>
    <w:rsid w:val="3F5F5F83"/>
    <w:rsid w:val="3F5F7178"/>
    <w:rsid w:val="3F742888"/>
    <w:rsid w:val="3FC63BD0"/>
    <w:rsid w:val="3FCF563B"/>
    <w:rsid w:val="40273242"/>
    <w:rsid w:val="405C7E57"/>
    <w:rsid w:val="40646D0C"/>
    <w:rsid w:val="40C61775"/>
    <w:rsid w:val="40D21EC7"/>
    <w:rsid w:val="40EA3834"/>
    <w:rsid w:val="40EF0781"/>
    <w:rsid w:val="40EF294F"/>
    <w:rsid w:val="40F16909"/>
    <w:rsid w:val="412A5860"/>
    <w:rsid w:val="41456B3D"/>
    <w:rsid w:val="41C37CE9"/>
    <w:rsid w:val="41CD3CC6"/>
    <w:rsid w:val="41DD19CA"/>
    <w:rsid w:val="41F12259"/>
    <w:rsid w:val="42277F9A"/>
    <w:rsid w:val="422F1D77"/>
    <w:rsid w:val="42C228C8"/>
    <w:rsid w:val="42EF410D"/>
    <w:rsid w:val="42F36E1E"/>
    <w:rsid w:val="42F97BDF"/>
    <w:rsid w:val="43121F6B"/>
    <w:rsid w:val="431A58BB"/>
    <w:rsid w:val="432B529D"/>
    <w:rsid w:val="435117C9"/>
    <w:rsid w:val="43515E92"/>
    <w:rsid w:val="43541811"/>
    <w:rsid w:val="435823F0"/>
    <w:rsid w:val="435A7E53"/>
    <w:rsid w:val="43860D47"/>
    <w:rsid w:val="438B013A"/>
    <w:rsid w:val="439C69C6"/>
    <w:rsid w:val="43B6162D"/>
    <w:rsid w:val="43C13A38"/>
    <w:rsid w:val="43E22F2B"/>
    <w:rsid w:val="43EE1010"/>
    <w:rsid w:val="44B122FC"/>
    <w:rsid w:val="44C20CBC"/>
    <w:rsid w:val="452D466E"/>
    <w:rsid w:val="45410B19"/>
    <w:rsid w:val="45604422"/>
    <w:rsid w:val="456879AF"/>
    <w:rsid w:val="458B0897"/>
    <w:rsid w:val="45BB117C"/>
    <w:rsid w:val="45C72596"/>
    <w:rsid w:val="46003033"/>
    <w:rsid w:val="46144A92"/>
    <w:rsid w:val="46312AD7"/>
    <w:rsid w:val="46362591"/>
    <w:rsid w:val="463A697F"/>
    <w:rsid w:val="466B6511"/>
    <w:rsid w:val="46B05FBF"/>
    <w:rsid w:val="46B5661F"/>
    <w:rsid w:val="46D4544D"/>
    <w:rsid w:val="46E576CE"/>
    <w:rsid w:val="46FE6F07"/>
    <w:rsid w:val="4709363F"/>
    <w:rsid w:val="472869B2"/>
    <w:rsid w:val="47315250"/>
    <w:rsid w:val="473B40CD"/>
    <w:rsid w:val="476D0782"/>
    <w:rsid w:val="478248DA"/>
    <w:rsid w:val="479357BC"/>
    <w:rsid w:val="479B74B7"/>
    <w:rsid w:val="47B52DEE"/>
    <w:rsid w:val="47D16C90"/>
    <w:rsid w:val="48311BC9"/>
    <w:rsid w:val="487E1AE9"/>
    <w:rsid w:val="48CC1E20"/>
    <w:rsid w:val="48DB065E"/>
    <w:rsid w:val="491B4CA7"/>
    <w:rsid w:val="492331F4"/>
    <w:rsid w:val="4946276D"/>
    <w:rsid w:val="494A10C6"/>
    <w:rsid w:val="495225C9"/>
    <w:rsid w:val="495C49C2"/>
    <w:rsid w:val="496E5FA9"/>
    <w:rsid w:val="499F2D26"/>
    <w:rsid w:val="49CE39BF"/>
    <w:rsid w:val="4A0F4ED8"/>
    <w:rsid w:val="4A17094B"/>
    <w:rsid w:val="4A264CF1"/>
    <w:rsid w:val="4A4F79F9"/>
    <w:rsid w:val="4A6A1B72"/>
    <w:rsid w:val="4A952924"/>
    <w:rsid w:val="4AB7670F"/>
    <w:rsid w:val="4AF40C8C"/>
    <w:rsid w:val="4AF53C7E"/>
    <w:rsid w:val="4AFD1B90"/>
    <w:rsid w:val="4B035D90"/>
    <w:rsid w:val="4B6A389F"/>
    <w:rsid w:val="4B764485"/>
    <w:rsid w:val="4B8D5369"/>
    <w:rsid w:val="4B9E7462"/>
    <w:rsid w:val="4BA33FD7"/>
    <w:rsid w:val="4BAB5F07"/>
    <w:rsid w:val="4BB77A45"/>
    <w:rsid w:val="4BB90760"/>
    <w:rsid w:val="4BC26053"/>
    <w:rsid w:val="4BC61731"/>
    <w:rsid w:val="4BCD2CFE"/>
    <w:rsid w:val="4BE66AA6"/>
    <w:rsid w:val="4C7D049A"/>
    <w:rsid w:val="4CC4190A"/>
    <w:rsid w:val="4D2350B2"/>
    <w:rsid w:val="4D53613E"/>
    <w:rsid w:val="4D572235"/>
    <w:rsid w:val="4D6B3488"/>
    <w:rsid w:val="4D777D7B"/>
    <w:rsid w:val="4DA80BBC"/>
    <w:rsid w:val="4DFC0E9E"/>
    <w:rsid w:val="4E1502F6"/>
    <w:rsid w:val="4E52662D"/>
    <w:rsid w:val="4E6D3230"/>
    <w:rsid w:val="4EBB6290"/>
    <w:rsid w:val="4EDA0A91"/>
    <w:rsid w:val="4EE75E52"/>
    <w:rsid w:val="4EF43D32"/>
    <w:rsid w:val="4EF60870"/>
    <w:rsid w:val="4F0D2BAF"/>
    <w:rsid w:val="4F3810D9"/>
    <w:rsid w:val="4FCB53B3"/>
    <w:rsid w:val="4FE0501F"/>
    <w:rsid w:val="4FE43BE8"/>
    <w:rsid w:val="4FE614EB"/>
    <w:rsid w:val="4FEA4C4A"/>
    <w:rsid w:val="502533DF"/>
    <w:rsid w:val="504040DC"/>
    <w:rsid w:val="50413025"/>
    <w:rsid w:val="50DE0415"/>
    <w:rsid w:val="50E95C79"/>
    <w:rsid w:val="511E63DD"/>
    <w:rsid w:val="51205319"/>
    <w:rsid w:val="512064B6"/>
    <w:rsid w:val="51683911"/>
    <w:rsid w:val="51B272DD"/>
    <w:rsid w:val="51D11B69"/>
    <w:rsid w:val="51DC0DF8"/>
    <w:rsid w:val="51DD691E"/>
    <w:rsid w:val="51E24AD7"/>
    <w:rsid w:val="51F672FF"/>
    <w:rsid w:val="52062768"/>
    <w:rsid w:val="52616DA0"/>
    <w:rsid w:val="526E379C"/>
    <w:rsid w:val="5290573F"/>
    <w:rsid w:val="52A42F98"/>
    <w:rsid w:val="52C33D66"/>
    <w:rsid w:val="52CD7259"/>
    <w:rsid w:val="52DF7CE2"/>
    <w:rsid w:val="52F70215"/>
    <w:rsid w:val="53056701"/>
    <w:rsid w:val="53080F8F"/>
    <w:rsid w:val="530E421F"/>
    <w:rsid w:val="533678CD"/>
    <w:rsid w:val="53474DB8"/>
    <w:rsid w:val="53552E05"/>
    <w:rsid w:val="535C24BB"/>
    <w:rsid w:val="53AE72B4"/>
    <w:rsid w:val="53DC05B3"/>
    <w:rsid w:val="53DF3426"/>
    <w:rsid w:val="53E94F5A"/>
    <w:rsid w:val="53F7221C"/>
    <w:rsid w:val="545F361A"/>
    <w:rsid w:val="54B37426"/>
    <w:rsid w:val="54DA1D21"/>
    <w:rsid w:val="54F520D3"/>
    <w:rsid w:val="54FC5522"/>
    <w:rsid w:val="55422933"/>
    <w:rsid w:val="55684751"/>
    <w:rsid w:val="557A5408"/>
    <w:rsid w:val="558D7048"/>
    <w:rsid w:val="55971D11"/>
    <w:rsid w:val="5599259A"/>
    <w:rsid w:val="559C3737"/>
    <w:rsid w:val="55A24610"/>
    <w:rsid w:val="55A57753"/>
    <w:rsid w:val="55B20B19"/>
    <w:rsid w:val="55B45E30"/>
    <w:rsid w:val="55C53DB0"/>
    <w:rsid w:val="55D63DB0"/>
    <w:rsid w:val="55DD22CB"/>
    <w:rsid w:val="55F06C20"/>
    <w:rsid w:val="55F160F6"/>
    <w:rsid w:val="55F36D31"/>
    <w:rsid w:val="56293D8F"/>
    <w:rsid w:val="564B6B67"/>
    <w:rsid w:val="565D002E"/>
    <w:rsid w:val="56920F9A"/>
    <w:rsid w:val="56A04764"/>
    <w:rsid w:val="56CE6A63"/>
    <w:rsid w:val="56EB388B"/>
    <w:rsid w:val="56F100F7"/>
    <w:rsid w:val="5776776F"/>
    <w:rsid w:val="57E10EC2"/>
    <w:rsid w:val="57EB7BED"/>
    <w:rsid w:val="584D1923"/>
    <w:rsid w:val="584E40D2"/>
    <w:rsid w:val="585F7AFF"/>
    <w:rsid w:val="589D0FD8"/>
    <w:rsid w:val="58BB3E39"/>
    <w:rsid w:val="58C91677"/>
    <w:rsid w:val="59150D70"/>
    <w:rsid w:val="591F781C"/>
    <w:rsid w:val="59690389"/>
    <w:rsid w:val="59777658"/>
    <w:rsid w:val="59865E37"/>
    <w:rsid w:val="598B6C60"/>
    <w:rsid w:val="59AF0BA0"/>
    <w:rsid w:val="59C12681"/>
    <w:rsid w:val="59E57C07"/>
    <w:rsid w:val="5A09275F"/>
    <w:rsid w:val="5A1C1BF3"/>
    <w:rsid w:val="5A2860FD"/>
    <w:rsid w:val="5A3942DE"/>
    <w:rsid w:val="5A3D7F5A"/>
    <w:rsid w:val="5A4D198C"/>
    <w:rsid w:val="5ACC1FD7"/>
    <w:rsid w:val="5AE10810"/>
    <w:rsid w:val="5AF820D3"/>
    <w:rsid w:val="5B5068D8"/>
    <w:rsid w:val="5B8B1199"/>
    <w:rsid w:val="5B97255D"/>
    <w:rsid w:val="5B987B49"/>
    <w:rsid w:val="5BAB6095"/>
    <w:rsid w:val="5BE5221C"/>
    <w:rsid w:val="5BE978C8"/>
    <w:rsid w:val="5BF258FE"/>
    <w:rsid w:val="5C0B7550"/>
    <w:rsid w:val="5C3C4DEB"/>
    <w:rsid w:val="5C4B6B11"/>
    <w:rsid w:val="5C6651FA"/>
    <w:rsid w:val="5C86273B"/>
    <w:rsid w:val="5CB545BF"/>
    <w:rsid w:val="5CC901CB"/>
    <w:rsid w:val="5CC95986"/>
    <w:rsid w:val="5CE35642"/>
    <w:rsid w:val="5CEA6D6B"/>
    <w:rsid w:val="5D03647F"/>
    <w:rsid w:val="5D0A0E22"/>
    <w:rsid w:val="5D2D5EA1"/>
    <w:rsid w:val="5D55019E"/>
    <w:rsid w:val="5D801A86"/>
    <w:rsid w:val="5D964551"/>
    <w:rsid w:val="5DB70023"/>
    <w:rsid w:val="5DCA5FA9"/>
    <w:rsid w:val="5DCF023F"/>
    <w:rsid w:val="5DD706C5"/>
    <w:rsid w:val="5DED16E4"/>
    <w:rsid w:val="5E272426"/>
    <w:rsid w:val="5E53044A"/>
    <w:rsid w:val="5E8F018D"/>
    <w:rsid w:val="5E901A16"/>
    <w:rsid w:val="5E930A90"/>
    <w:rsid w:val="5ECD7B7A"/>
    <w:rsid w:val="5EFD1844"/>
    <w:rsid w:val="5F074FDA"/>
    <w:rsid w:val="5F104ED2"/>
    <w:rsid w:val="5F524E02"/>
    <w:rsid w:val="5F5B083F"/>
    <w:rsid w:val="5F5E66CD"/>
    <w:rsid w:val="5F6915A6"/>
    <w:rsid w:val="5F9B7625"/>
    <w:rsid w:val="5FAE2ADD"/>
    <w:rsid w:val="5FC5782B"/>
    <w:rsid w:val="5FD92758"/>
    <w:rsid w:val="604E2A82"/>
    <w:rsid w:val="60822E4F"/>
    <w:rsid w:val="60A469E0"/>
    <w:rsid w:val="60EB22A9"/>
    <w:rsid w:val="60ED6FEA"/>
    <w:rsid w:val="60F17CF0"/>
    <w:rsid w:val="61447F5B"/>
    <w:rsid w:val="614A02EA"/>
    <w:rsid w:val="614C0D0B"/>
    <w:rsid w:val="6161661E"/>
    <w:rsid w:val="617D69D7"/>
    <w:rsid w:val="61BA574D"/>
    <w:rsid w:val="61BF7DEE"/>
    <w:rsid w:val="61DD03B3"/>
    <w:rsid w:val="61F70D99"/>
    <w:rsid w:val="62250155"/>
    <w:rsid w:val="62335D39"/>
    <w:rsid w:val="62400DDA"/>
    <w:rsid w:val="624F1172"/>
    <w:rsid w:val="626324F4"/>
    <w:rsid w:val="626B200B"/>
    <w:rsid w:val="627A1800"/>
    <w:rsid w:val="62E945F7"/>
    <w:rsid w:val="62FA0F0F"/>
    <w:rsid w:val="62FB4C6F"/>
    <w:rsid w:val="633345F0"/>
    <w:rsid w:val="63427C35"/>
    <w:rsid w:val="63527926"/>
    <w:rsid w:val="63553D6E"/>
    <w:rsid w:val="63A45F91"/>
    <w:rsid w:val="63BD394B"/>
    <w:rsid w:val="63F2620B"/>
    <w:rsid w:val="64162608"/>
    <w:rsid w:val="641D13CD"/>
    <w:rsid w:val="64533922"/>
    <w:rsid w:val="6460175B"/>
    <w:rsid w:val="64745988"/>
    <w:rsid w:val="64A439AF"/>
    <w:rsid w:val="64CC2606"/>
    <w:rsid w:val="65346290"/>
    <w:rsid w:val="65477BB5"/>
    <w:rsid w:val="65557CA1"/>
    <w:rsid w:val="65883FCC"/>
    <w:rsid w:val="65A2082D"/>
    <w:rsid w:val="65B40423"/>
    <w:rsid w:val="65D87056"/>
    <w:rsid w:val="6646288C"/>
    <w:rsid w:val="664C0AE5"/>
    <w:rsid w:val="665905FC"/>
    <w:rsid w:val="665C2F12"/>
    <w:rsid w:val="666B22F3"/>
    <w:rsid w:val="66A04090"/>
    <w:rsid w:val="66C22666"/>
    <w:rsid w:val="67184229"/>
    <w:rsid w:val="675D3FEF"/>
    <w:rsid w:val="679F300F"/>
    <w:rsid w:val="67A91325"/>
    <w:rsid w:val="680B350F"/>
    <w:rsid w:val="682C57A5"/>
    <w:rsid w:val="6832167E"/>
    <w:rsid w:val="6836496C"/>
    <w:rsid w:val="68700039"/>
    <w:rsid w:val="68A01D1C"/>
    <w:rsid w:val="68A234DF"/>
    <w:rsid w:val="68D31327"/>
    <w:rsid w:val="68E75F4D"/>
    <w:rsid w:val="68F80760"/>
    <w:rsid w:val="6901408C"/>
    <w:rsid w:val="692E2949"/>
    <w:rsid w:val="69333F28"/>
    <w:rsid w:val="69470309"/>
    <w:rsid w:val="695D5090"/>
    <w:rsid w:val="696B1607"/>
    <w:rsid w:val="69751EAA"/>
    <w:rsid w:val="69831F77"/>
    <w:rsid w:val="698372D6"/>
    <w:rsid w:val="69EF1F65"/>
    <w:rsid w:val="6A0D63C4"/>
    <w:rsid w:val="6A1A6E5F"/>
    <w:rsid w:val="6A47013E"/>
    <w:rsid w:val="6A7F636D"/>
    <w:rsid w:val="6A806889"/>
    <w:rsid w:val="6AA42500"/>
    <w:rsid w:val="6AF4265A"/>
    <w:rsid w:val="6B054AC4"/>
    <w:rsid w:val="6B093A52"/>
    <w:rsid w:val="6B0D2DCF"/>
    <w:rsid w:val="6B27393E"/>
    <w:rsid w:val="6B525169"/>
    <w:rsid w:val="6BA047ED"/>
    <w:rsid w:val="6BA222EA"/>
    <w:rsid w:val="6BA33DCC"/>
    <w:rsid w:val="6BC96E53"/>
    <w:rsid w:val="6BE40B7D"/>
    <w:rsid w:val="6BFA25F4"/>
    <w:rsid w:val="6C280B21"/>
    <w:rsid w:val="6C4312E7"/>
    <w:rsid w:val="6C4A485C"/>
    <w:rsid w:val="6C507D50"/>
    <w:rsid w:val="6C53360D"/>
    <w:rsid w:val="6C6C46CF"/>
    <w:rsid w:val="6C8A71E2"/>
    <w:rsid w:val="6CA53DFF"/>
    <w:rsid w:val="6CAE2F39"/>
    <w:rsid w:val="6CB71DEE"/>
    <w:rsid w:val="6CEC62A5"/>
    <w:rsid w:val="6CEC7D37"/>
    <w:rsid w:val="6D74572C"/>
    <w:rsid w:val="6DAC440C"/>
    <w:rsid w:val="6DB04AFE"/>
    <w:rsid w:val="6DBF6490"/>
    <w:rsid w:val="6DC26C9C"/>
    <w:rsid w:val="6DED2E55"/>
    <w:rsid w:val="6E052163"/>
    <w:rsid w:val="6E1C005D"/>
    <w:rsid w:val="6E36197E"/>
    <w:rsid w:val="6E37281E"/>
    <w:rsid w:val="6E3C74D5"/>
    <w:rsid w:val="6E41376D"/>
    <w:rsid w:val="6E713DC9"/>
    <w:rsid w:val="6E774A93"/>
    <w:rsid w:val="6EA0573A"/>
    <w:rsid w:val="6EE36ECA"/>
    <w:rsid w:val="6F0C62B5"/>
    <w:rsid w:val="6F2C357A"/>
    <w:rsid w:val="6F8B7727"/>
    <w:rsid w:val="6FA01D37"/>
    <w:rsid w:val="6FA35752"/>
    <w:rsid w:val="6FBA5211"/>
    <w:rsid w:val="6FC14D32"/>
    <w:rsid w:val="70115A26"/>
    <w:rsid w:val="7092336C"/>
    <w:rsid w:val="70A259DE"/>
    <w:rsid w:val="70D80585"/>
    <w:rsid w:val="70DE37C7"/>
    <w:rsid w:val="70F53606"/>
    <w:rsid w:val="71000C9C"/>
    <w:rsid w:val="71240691"/>
    <w:rsid w:val="71407AB8"/>
    <w:rsid w:val="716342F2"/>
    <w:rsid w:val="721F1602"/>
    <w:rsid w:val="722A3062"/>
    <w:rsid w:val="724B7771"/>
    <w:rsid w:val="725F7EAF"/>
    <w:rsid w:val="72A32CBE"/>
    <w:rsid w:val="72A53361"/>
    <w:rsid w:val="72C7472E"/>
    <w:rsid w:val="72CA41B8"/>
    <w:rsid w:val="72DF7A98"/>
    <w:rsid w:val="72FA2EDF"/>
    <w:rsid w:val="73441F01"/>
    <w:rsid w:val="737A7695"/>
    <w:rsid w:val="739C3610"/>
    <w:rsid w:val="73BD7038"/>
    <w:rsid w:val="73E90234"/>
    <w:rsid w:val="73ED106B"/>
    <w:rsid w:val="740A5BE8"/>
    <w:rsid w:val="74854658"/>
    <w:rsid w:val="7496678D"/>
    <w:rsid w:val="74B05252"/>
    <w:rsid w:val="74F05498"/>
    <w:rsid w:val="74F14535"/>
    <w:rsid w:val="753943C8"/>
    <w:rsid w:val="758F1B5A"/>
    <w:rsid w:val="75940517"/>
    <w:rsid w:val="75A86BB4"/>
    <w:rsid w:val="75EB74DE"/>
    <w:rsid w:val="75F22C6F"/>
    <w:rsid w:val="75FE7091"/>
    <w:rsid w:val="763832FC"/>
    <w:rsid w:val="76E97048"/>
    <w:rsid w:val="76ED0E9C"/>
    <w:rsid w:val="774C3C09"/>
    <w:rsid w:val="774D3A7A"/>
    <w:rsid w:val="776D30FD"/>
    <w:rsid w:val="77A8625B"/>
    <w:rsid w:val="78085BF3"/>
    <w:rsid w:val="782567A5"/>
    <w:rsid w:val="782C0851"/>
    <w:rsid w:val="783A4F8D"/>
    <w:rsid w:val="786605DE"/>
    <w:rsid w:val="789306A9"/>
    <w:rsid w:val="78BE7535"/>
    <w:rsid w:val="790B69FE"/>
    <w:rsid w:val="79297266"/>
    <w:rsid w:val="794E5888"/>
    <w:rsid w:val="79686D59"/>
    <w:rsid w:val="79A202F8"/>
    <w:rsid w:val="7A034973"/>
    <w:rsid w:val="7A1216AE"/>
    <w:rsid w:val="7A3A09C8"/>
    <w:rsid w:val="7A6B663C"/>
    <w:rsid w:val="7A6C49DC"/>
    <w:rsid w:val="7A7D6734"/>
    <w:rsid w:val="7ACB42B8"/>
    <w:rsid w:val="7AEC0EED"/>
    <w:rsid w:val="7B260409"/>
    <w:rsid w:val="7B312A5B"/>
    <w:rsid w:val="7B4D15D5"/>
    <w:rsid w:val="7B50118C"/>
    <w:rsid w:val="7B942659"/>
    <w:rsid w:val="7BAD4739"/>
    <w:rsid w:val="7BE51067"/>
    <w:rsid w:val="7BF8117A"/>
    <w:rsid w:val="7C244A7D"/>
    <w:rsid w:val="7C2F6CBD"/>
    <w:rsid w:val="7C5036AD"/>
    <w:rsid w:val="7C54662F"/>
    <w:rsid w:val="7C603676"/>
    <w:rsid w:val="7C6F7FEF"/>
    <w:rsid w:val="7CE47776"/>
    <w:rsid w:val="7D14029E"/>
    <w:rsid w:val="7D1B3DE1"/>
    <w:rsid w:val="7D374B5B"/>
    <w:rsid w:val="7D6734F0"/>
    <w:rsid w:val="7D7358BD"/>
    <w:rsid w:val="7DAB45AC"/>
    <w:rsid w:val="7DB22191"/>
    <w:rsid w:val="7DC952BC"/>
    <w:rsid w:val="7DDB1943"/>
    <w:rsid w:val="7E517A89"/>
    <w:rsid w:val="7E56793E"/>
    <w:rsid w:val="7EA87DBF"/>
    <w:rsid w:val="7EB6755E"/>
    <w:rsid w:val="7EC9322B"/>
    <w:rsid w:val="7EE07BB7"/>
    <w:rsid w:val="7EFA2E85"/>
    <w:rsid w:val="7EFC5AA6"/>
    <w:rsid w:val="7F085EB2"/>
    <w:rsid w:val="7F4C2384"/>
    <w:rsid w:val="7F5E476F"/>
    <w:rsid w:val="7F97608A"/>
    <w:rsid w:val="7F9C75E8"/>
    <w:rsid w:val="7FAA39F7"/>
    <w:rsid w:val="7FB47FB2"/>
    <w:rsid w:val="7FCC69B4"/>
    <w:rsid w:val="7FD60CD8"/>
    <w:rsid w:val="7FF65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qFormat="1" w:uiPriority="3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0"/>
    <w:autoRedefine/>
    <w:qFormat/>
    <w:uiPriority w:val="0"/>
    <w:pPr>
      <w:keepNext/>
      <w:jc w:val="center"/>
      <w:outlineLvl w:val="0"/>
    </w:pPr>
    <w:rPr>
      <w:rFonts w:ascii="黑体" w:eastAsia="黑体"/>
      <w:sz w:val="28"/>
    </w:rPr>
  </w:style>
  <w:style w:type="paragraph" w:styleId="3">
    <w:name w:val="heading 2"/>
    <w:basedOn w:val="1"/>
    <w:next w:val="1"/>
    <w:link w:val="51"/>
    <w:autoRedefine/>
    <w:qFormat/>
    <w:uiPriority w:val="0"/>
    <w:pPr>
      <w:keepNext/>
      <w:spacing w:line="720" w:lineRule="exact"/>
      <w:outlineLvl w:val="1"/>
    </w:pPr>
    <w:rPr>
      <w:rFonts w:ascii="黑体" w:hAnsi="Copperplate Gothic Bold" w:eastAsia="楷体_GB2312"/>
      <w:sz w:val="28"/>
    </w:rPr>
  </w:style>
  <w:style w:type="paragraph" w:styleId="4">
    <w:name w:val="heading 3"/>
    <w:basedOn w:val="1"/>
    <w:next w:val="1"/>
    <w:link w:val="52"/>
    <w:autoRedefine/>
    <w:qFormat/>
    <w:uiPriority w:val="0"/>
    <w:pPr>
      <w:keepNext/>
      <w:spacing w:line="320" w:lineRule="exact"/>
      <w:outlineLvl w:val="2"/>
    </w:pPr>
    <w:rPr>
      <w:rFonts w:ascii="楷体_GB2312" w:eastAsia="楷体_GB2312"/>
      <w:sz w:val="32"/>
    </w:rPr>
  </w:style>
  <w:style w:type="paragraph" w:styleId="5">
    <w:name w:val="heading 4"/>
    <w:basedOn w:val="1"/>
    <w:next w:val="1"/>
    <w:link w:val="53"/>
    <w:autoRedefine/>
    <w:qFormat/>
    <w:uiPriority w:val="99"/>
    <w:pPr>
      <w:keepNext/>
      <w:spacing w:line="600" w:lineRule="exact"/>
      <w:jc w:val="center"/>
      <w:outlineLvl w:val="3"/>
    </w:pPr>
    <w:rPr>
      <w:rFonts w:ascii="楷体_GB2312" w:eastAsia="楷体_GB2312"/>
      <w:sz w:val="32"/>
    </w:rPr>
  </w:style>
  <w:style w:type="paragraph" w:styleId="6">
    <w:name w:val="heading 5"/>
    <w:basedOn w:val="1"/>
    <w:next w:val="1"/>
    <w:link w:val="54"/>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55"/>
    <w:autoRedefine/>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8">
    <w:name w:val="heading 7"/>
    <w:basedOn w:val="1"/>
    <w:next w:val="1"/>
    <w:link w:val="56"/>
    <w:autoRedefine/>
    <w:qFormat/>
    <w:uiPriority w:val="99"/>
    <w:pPr>
      <w:keepNext/>
      <w:keepLines/>
      <w:widowControl/>
      <w:spacing w:before="240" w:after="64" w:line="320" w:lineRule="auto"/>
      <w:jc w:val="left"/>
      <w:outlineLvl w:val="6"/>
    </w:pPr>
    <w:rPr>
      <w:b/>
      <w:bCs/>
      <w:kern w:val="0"/>
      <w:sz w:val="24"/>
      <w:szCs w:val="24"/>
    </w:rPr>
  </w:style>
  <w:style w:type="paragraph" w:styleId="9">
    <w:name w:val="heading 8"/>
    <w:basedOn w:val="1"/>
    <w:next w:val="1"/>
    <w:link w:val="57"/>
    <w:autoRedefine/>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0">
    <w:name w:val="heading 9"/>
    <w:basedOn w:val="1"/>
    <w:next w:val="1"/>
    <w:link w:val="58"/>
    <w:autoRedefine/>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9">
    <w:name w:val="Default Paragraph Font"/>
    <w:autoRedefine/>
    <w:unhideWhenUsed/>
    <w:qFormat/>
    <w:uiPriority w:val="1"/>
  </w:style>
  <w:style w:type="table" w:default="1" w:styleId="37">
    <w:name w:val="Normal Table"/>
    <w:autoRedefine/>
    <w:unhideWhenUsed/>
    <w:qFormat/>
    <w:uiPriority w:val="99"/>
    <w:tblPr>
      <w:tblCellMar>
        <w:top w:w="0" w:type="dxa"/>
        <w:left w:w="108" w:type="dxa"/>
        <w:bottom w:w="0" w:type="dxa"/>
        <w:right w:w="108" w:type="dxa"/>
      </w:tblCellMar>
    </w:tblPr>
  </w:style>
  <w:style w:type="paragraph" w:styleId="11">
    <w:name w:val="Normal Indent"/>
    <w:basedOn w:val="1"/>
    <w:next w:val="1"/>
    <w:link w:val="94"/>
    <w:autoRedefine/>
    <w:qFormat/>
    <w:uiPriority w:val="0"/>
    <w:pPr>
      <w:ind w:firstLine="420"/>
    </w:pPr>
  </w:style>
  <w:style w:type="paragraph" w:styleId="12">
    <w:name w:val="Document Map"/>
    <w:basedOn w:val="1"/>
    <w:link w:val="59"/>
    <w:autoRedefine/>
    <w:qFormat/>
    <w:uiPriority w:val="99"/>
    <w:pPr>
      <w:shd w:val="clear" w:color="auto" w:fill="000080"/>
    </w:pPr>
  </w:style>
  <w:style w:type="paragraph" w:styleId="13">
    <w:name w:val="toa heading"/>
    <w:basedOn w:val="1"/>
    <w:next w:val="1"/>
    <w:autoRedefine/>
    <w:qFormat/>
    <w:locked/>
    <w:uiPriority w:val="0"/>
    <w:pPr>
      <w:spacing w:before="120"/>
    </w:pPr>
    <w:rPr>
      <w:rFonts w:ascii="Arial" w:hAnsi="Arial"/>
      <w:sz w:val="24"/>
      <w:szCs w:val="20"/>
    </w:rPr>
  </w:style>
  <w:style w:type="paragraph" w:styleId="14">
    <w:name w:val="annotation text"/>
    <w:basedOn w:val="1"/>
    <w:link w:val="60"/>
    <w:autoRedefine/>
    <w:qFormat/>
    <w:uiPriority w:val="99"/>
    <w:pPr>
      <w:jc w:val="left"/>
    </w:pPr>
  </w:style>
  <w:style w:type="paragraph" w:styleId="15">
    <w:name w:val="Body Text 3"/>
    <w:basedOn w:val="1"/>
    <w:link w:val="61"/>
    <w:autoRedefine/>
    <w:qFormat/>
    <w:uiPriority w:val="99"/>
    <w:pPr>
      <w:jc w:val="center"/>
    </w:pPr>
    <w:rPr>
      <w:b/>
      <w:spacing w:val="-20"/>
      <w:w w:val="110"/>
      <w:sz w:val="52"/>
    </w:rPr>
  </w:style>
  <w:style w:type="paragraph" w:styleId="16">
    <w:name w:val="Body Text"/>
    <w:basedOn w:val="1"/>
    <w:next w:val="1"/>
    <w:link w:val="62"/>
    <w:autoRedefine/>
    <w:qFormat/>
    <w:uiPriority w:val="99"/>
    <w:pPr>
      <w:jc w:val="left"/>
    </w:pPr>
    <w:rPr>
      <w:rFonts w:ascii="Copperplate Gothic Bold" w:hAnsi="Copperplate Gothic Bold"/>
      <w:sz w:val="28"/>
    </w:rPr>
  </w:style>
  <w:style w:type="paragraph" w:styleId="17">
    <w:name w:val="Body Text Indent"/>
    <w:basedOn w:val="1"/>
    <w:next w:val="1"/>
    <w:link w:val="63"/>
    <w:autoRedefine/>
    <w:qFormat/>
    <w:uiPriority w:val="99"/>
    <w:pPr>
      <w:spacing w:line="640" w:lineRule="exact"/>
      <w:ind w:firstLine="585"/>
    </w:pPr>
    <w:rPr>
      <w:rFonts w:ascii="楷体_GB2312" w:eastAsia="楷体_GB2312"/>
      <w:sz w:val="32"/>
    </w:rPr>
  </w:style>
  <w:style w:type="paragraph" w:styleId="18">
    <w:name w:val="Block Text"/>
    <w:basedOn w:val="1"/>
    <w:autoRedefine/>
    <w:qFormat/>
    <w:uiPriority w:val="99"/>
    <w:pPr>
      <w:adjustRightInd w:val="0"/>
      <w:ind w:left="420" w:right="33"/>
      <w:jc w:val="left"/>
      <w:textAlignment w:val="baseline"/>
    </w:pPr>
    <w:rPr>
      <w:kern w:val="0"/>
      <w:sz w:val="24"/>
    </w:rPr>
  </w:style>
  <w:style w:type="paragraph" w:styleId="19">
    <w:name w:val="toc 3"/>
    <w:basedOn w:val="1"/>
    <w:next w:val="1"/>
    <w:autoRedefine/>
    <w:qFormat/>
    <w:uiPriority w:val="99"/>
    <w:pPr>
      <w:ind w:left="840" w:leftChars="400"/>
    </w:pPr>
    <w:rPr>
      <w:szCs w:val="24"/>
    </w:rPr>
  </w:style>
  <w:style w:type="paragraph" w:styleId="20">
    <w:name w:val="Plain Text"/>
    <w:basedOn w:val="1"/>
    <w:link w:val="64"/>
    <w:autoRedefine/>
    <w:qFormat/>
    <w:uiPriority w:val="99"/>
    <w:rPr>
      <w:rFonts w:ascii="宋体" w:hAnsi="Courier New"/>
    </w:rPr>
  </w:style>
  <w:style w:type="paragraph" w:styleId="21">
    <w:name w:val="Date"/>
    <w:basedOn w:val="1"/>
    <w:next w:val="1"/>
    <w:link w:val="65"/>
    <w:autoRedefine/>
    <w:qFormat/>
    <w:uiPriority w:val="99"/>
    <w:rPr>
      <w:rFonts w:ascii="Copperplate Gothic Bold" w:hAnsi="Copperplate Gothic Bold"/>
      <w:sz w:val="32"/>
    </w:rPr>
  </w:style>
  <w:style w:type="paragraph" w:styleId="22">
    <w:name w:val="Body Text Indent 2"/>
    <w:basedOn w:val="1"/>
    <w:link w:val="66"/>
    <w:autoRedefine/>
    <w:qFormat/>
    <w:uiPriority w:val="99"/>
    <w:pPr>
      <w:spacing w:line="640" w:lineRule="exact"/>
      <w:ind w:firstLine="645"/>
    </w:pPr>
    <w:rPr>
      <w:rFonts w:ascii="楷体_GB2312" w:eastAsia="楷体_GB2312"/>
      <w:sz w:val="32"/>
    </w:rPr>
  </w:style>
  <w:style w:type="paragraph" w:styleId="23">
    <w:name w:val="Balloon Text"/>
    <w:basedOn w:val="1"/>
    <w:link w:val="67"/>
    <w:autoRedefine/>
    <w:qFormat/>
    <w:uiPriority w:val="99"/>
    <w:rPr>
      <w:sz w:val="18"/>
      <w:szCs w:val="18"/>
    </w:rPr>
  </w:style>
  <w:style w:type="paragraph" w:styleId="24">
    <w:name w:val="footer"/>
    <w:basedOn w:val="1"/>
    <w:next w:val="16"/>
    <w:link w:val="68"/>
    <w:autoRedefine/>
    <w:qFormat/>
    <w:uiPriority w:val="99"/>
    <w:pPr>
      <w:tabs>
        <w:tab w:val="center" w:pos="4153"/>
        <w:tab w:val="right" w:pos="8306"/>
      </w:tabs>
      <w:snapToGrid w:val="0"/>
      <w:jc w:val="left"/>
    </w:pPr>
    <w:rPr>
      <w:sz w:val="18"/>
      <w:szCs w:val="18"/>
    </w:rPr>
  </w:style>
  <w:style w:type="paragraph" w:styleId="25">
    <w:name w:val="header"/>
    <w:basedOn w:val="1"/>
    <w:link w:val="69"/>
    <w:autoRedefine/>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060"/>
      </w:tabs>
      <w:spacing w:line="720" w:lineRule="auto"/>
    </w:pPr>
    <w:rPr>
      <w:szCs w:val="24"/>
    </w:rPr>
  </w:style>
  <w:style w:type="paragraph" w:styleId="27">
    <w:name w:val="toc 4"/>
    <w:basedOn w:val="1"/>
    <w:next w:val="1"/>
    <w:autoRedefine/>
    <w:unhideWhenUsed/>
    <w:qFormat/>
    <w:locked/>
    <w:uiPriority w:val="39"/>
    <w:pPr>
      <w:ind w:left="1260" w:leftChars="600"/>
    </w:pPr>
  </w:style>
  <w:style w:type="paragraph" w:styleId="28">
    <w:name w:val="Body Text Indent 3"/>
    <w:basedOn w:val="1"/>
    <w:link w:val="70"/>
    <w:autoRedefine/>
    <w:qFormat/>
    <w:uiPriority w:val="99"/>
    <w:pPr>
      <w:ind w:firstLine="645"/>
    </w:pPr>
    <w:rPr>
      <w:rFonts w:ascii="宋体" w:hAnsi="Copperplate Gothic Bold"/>
      <w:sz w:val="28"/>
    </w:rPr>
  </w:style>
  <w:style w:type="paragraph" w:styleId="29">
    <w:name w:val="toc 2"/>
    <w:basedOn w:val="1"/>
    <w:next w:val="1"/>
    <w:autoRedefine/>
    <w:qFormat/>
    <w:uiPriority w:val="99"/>
    <w:pPr>
      <w:ind w:left="420" w:leftChars="200"/>
    </w:pPr>
    <w:rPr>
      <w:szCs w:val="24"/>
    </w:rPr>
  </w:style>
  <w:style w:type="paragraph" w:styleId="30">
    <w:name w:val="Body Text 2"/>
    <w:basedOn w:val="1"/>
    <w:link w:val="71"/>
    <w:autoRedefine/>
    <w:qFormat/>
    <w:uiPriority w:val="99"/>
    <w:rPr>
      <w:rFonts w:ascii="楷体_GB2312" w:hAnsi="Copperplate Gothic Bold" w:eastAsia="楷体_GB2312"/>
      <w:sz w:val="28"/>
    </w:rPr>
  </w:style>
  <w:style w:type="paragraph" w:styleId="31">
    <w:name w:val="HTML Preformatted"/>
    <w:basedOn w:val="1"/>
    <w:autoRedefine/>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2">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autoRedefine/>
    <w:qFormat/>
    <w:locked/>
    <w:uiPriority w:val="0"/>
  </w:style>
  <w:style w:type="paragraph" w:styleId="34">
    <w:name w:val="Title"/>
    <w:basedOn w:val="1"/>
    <w:link w:val="72"/>
    <w:autoRedefine/>
    <w:qFormat/>
    <w:uiPriority w:val="99"/>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35">
    <w:name w:val="Body Text First Indent"/>
    <w:basedOn w:val="16"/>
    <w:next w:val="36"/>
    <w:autoRedefine/>
    <w:qFormat/>
    <w:locked/>
    <w:uiPriority w:val="0"/>
    <w:pPr>
      <w:adjustRightInd w:val="0"/>
      <w:spacing w:after="0"/>
      <w:ind w:firstLine="420"/>
      <w:jc w:val="left"/>
      <w:textAlignment w:val="baseline"/>
    </w:pPr>
    <w:rPr>
      <w:kern w:val="0"/>
    </w:rPr>
  </w:style>
  <w:style w:type="paragraph" w:styleId="36">
    <w:name w:val="Body Text First Indent 2"/>
    <w:basedOn w:val="17"/>
    <w:next w:val="16"/>
    <w:autoRedefine/>
    <w:qFormat/>
    <w:locked/>
    <w:uiPriority w:val="99"/>
  </w:style>
  <w:style w:type="table" w:styleId="38">
    <w:name w:val="Table Grid"/>
    <w:basedOn w:val="3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99"/>
    <w:rPr>
      <w:rFonts w:cs="Times New Roman"/>
      <w:b/>
    </w:rPr>
  </w:style>
  <w:style w:type="character" w:styleId="41">
    <w:name w:val="page number"/>
    <w:basedOn w:val="39"/>
    <w:autoRedefine/>
    <w:qFormat/>
    <w:uiPriority w:val="99"/>
    <w:rPr>
      <w:rFonts w:cs="Times New Roman"/>
    </w:rPr>
  </w:style>
  <w:style w:type="character" w:styleId="42">
    <w:name w:val="FollowedHyperlink"/>
    <w:basedOn w:val="39"/>
    <w:autoRedefine/>
    <w:qFormat/>
    <w:uiPriority w:val="99"/>
    <w:rPr>
      <w:rFonts w:cs="Times New Roman"/>
      <w:color w:val="800080"/>
      <w:u w:val="single"/>
    </w:rPr>
  </w:style>
  <w:style w:type="character" w:styleId="43">
    <w:name w:val="Emphasis"/>
    <w:basedOn w:val="39"/>
    <w:autoRedefine/>
    <w:qFormat/>
    <w:uiPriority w:val="99"/>
    <w:rPr>
      <w:rFonts w:cs="Times New Roman"/>
      <w:i/>
      <w:iCs/>
    </w:rPr>
  </w:style>
  <w:style w:type="character" w:styleId="44">
    <w:name w:val="Hyperlink"/>
    <w:basedOn w:val="39"/>
    <w:autoRedefine/>
    <w:qFormat/>
    <w:uiPriority w:val="99"/>
    <w:rPr>
      <w:rFonts w:cs="Times New Roman"/>
      <w:color w:val="0000FF"/>
      <w:u w:val="single"/>
    </w:rPr>
  </w:style>
  <w:style w:type="character" w:styleId="45">
    <w:name w:val="annotation reference"/>
    <w:basedOn w:val="39"/>
    <w:autoRedefine/>
    <w:qFormat/>
    <w:uiPriority w:val="99"/>
    <w:rPr>
      <w:rFonts w:cs="Times New Roman"/>
      <w:sz w:val="21"/>
    </w:rPr>
  </w:style>
  <w:style w:type="paragraph" w:customStyle="1" w:styleId="46">
    <w:name w:val="TOC 标题1"/>
    <w:basedOn w:val="2"/>
    <w:next w:val="1"/>
    <w:autoRedefine/>
    <w:qFormat/>
    <w:uiPriority w:val="99"/>
    <w:pPr>
      <w:tabs>
        <w:tab w:val="left" w:pos="432"/>
      </w:tabs>
      <w:spacing w:before="480" w:after="0" w:line="276" w:lineRule="auto"/>
      <w:outlineLvl w:val="9"/>
    </w:pPr>
    <w:rPr>
      <w:rFonts w:ascii="仿宋" w:hAnsi="仿宋" w:eastAsia="仿宋"/>
      <w:color w:val="000000"/>
      <w:kern w:val="0"/>
      <w:szCs w:val="32"/>
    </w:rPr>
  </w:style>
  <w:style w:type="paragraph" w:customStyle="1" w:styleId="47">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列出段落1"/>
    <w:basedOn w:val="1"/>
    <w:autoRedefine/>
    <w:qFormat/>
    <w:uiPriority w:val="99"/>
    <w:pPr>
      <w:ind w:firstLine="420" w:firstLineChars="200"/>
    </w:pPr>
  </w:style>
  <w:style w:type="character" w:customStyle="1" w:styleId="50">
    <w:name w:val="标题 1 Char"/>
    <w:basedOn w:val="39"/>
    <w:link w:val="2"/>
    <w:autoRedefine/>
    <w:qFormat/>
    <w:locked/>
    <w:uiPriority w:val="0"/>
    <w:rPr>
      <w:rFonts w:ascii="黑体" w:hAnsi="Times New Roman" w:eastAsia="黑体" w:cs="Times New Roman"/>
      <w:sz w:val="20"/>
      <w:szCs w:val="20"/>
    </w:rPr>
  </w:style>
  <w:style w:type="character" w:customStyle="1" w:styleId="51">
    <w:name w:val="标题 2 Char"/>
    <w:basedOn w:val="39"/>
    <w:link w:val="3"/>
    <w:autoRedefine/>
    <w:qFormat/>
    <w:locked/>
    <w:uiPriority w:val="0"/>
    <w:rPr>
      <w:rFonts w:ascii="黑体" w:hAnsi="Copperplate Gothic Bold" w:eastAsia="楷体_GB2312" w:cs="Times New Roman"/>
      <w:sz w:val="20"/>
      <w:szCs w:val="20"/>
    </w:rPr>
  </w:style>
  <w:style w:type="character" w:customStyle="1" w:styleId="52">
    <w:name w:val="标题 3 Char"/>
    <w:basedOn w:val="39"/>
    <w:link w:val="4"/>
    <w:autoRedefine/>
    <w:qFormat/>
    <w:locked/>
    <w:uiPriority w:val="0"/>
    <w:rPr>
      <w:rFonts w:ascii="楷体_GB2312" w:hAnsi="Times New Roman" w:eastAsia="楷体_GB2312" w:cs="Times New Roman"/>
      <w:sz w:val="20"/>
      <w:szCs w:val="20"/>
    </w:rPr>
  </w:style>
  <w:style w:type="character" w:customStyle="1" w:styleId="53">
    <w:name w:val="标题 4 Char"/>
    <w:basedOn w:val="39"/>
    <w:link w:val="5"/>
    <w:autoRedefine/>
    <w:qFormat/>
    <w:locked/>
    <w:uiPriority w:val="99"/>
    <w:rPr>
      <w:rFonts w:ascii="楷体_GB2312" w:hAnsi="Times New Roman" w:eastAsia="楷体_GB2312" w:cs="Times New Roman"/>
      <w:sz w:val="20"/>
      <w:szCs w:val="20"/>
    </w:rPr>
  </w:style>
  <w:style w:type="character" w:customStyle="1" w:styleId="54">
    <w:name w:val="标题 5 Char"/>
    <w:basedOn w:val="39"/>
    <w:link w:val="6"/>
    <w:autoRedefine/>
    <w:qFormat/>
    <w:locked/>
    <w:uiPriority w:val="99"/>
    <w:rPr>
      <w:rFonts w:cs="Times New Roman"/>
      <w:b/>
      <w:bCs/>
      <w:kern w:val="2"/>
      <w:sz w:val="28"/>
      <w:szCs w:val="28"/>
    </w:rPr>
  </w:style>
  <w:style w:type="character" w:customStyle="1" w:styleId="55">
    <w:name w:val="标题 6 Char"/>
    <w:basedOn w:val="39"/>
    <w:link w:val="7"/>
    <w:autoRedefine/>
    <w:qFormat/>
    <w:locked/>
    <w:uiPriority w:val="99"/>
    <w:rPr>
      <w:rFonts w:ascii="Arial" w:hAnsi="Arial" w:eastAsia="黑体" w:cs="Times New Roman"/>
      <w:b/>
      <w:bCs/>
      <w:sz w:val="24"/>
      <w:szCs w:val="24"/>
    </w:rPr>
  </w:style>
  <w:style w:type="character" w:customStyle="1" w:styleId="56">
    <w:name w:val="标题 7 Char"/>
    <w:basedOn w:val="39"/>
    <w:link w:val="8"/>
    <w:autoRedefine/>
    <w:qFormat/>
    <w:locked/>
    <w:uiPriority w:val="99"/>
    <w:rPr>
      <w:rFonts w:cs="Times New Roman"/>
      <w:b/>
      <w:bCs/>
      <w:sz w:val="24"/>
      <w:szCs w:val="24"/>
    </w:rPr>
  </w:style>
  <w:style w:type="character" w:customStyle="1" w:styleId="57">
    <w:name w:val="标题 8 Char"/>
    <w:basedOn w:val="39"/>
    <w:link w:val="9"/>
    <w:autoRedefine/>
    <w:qFormat/>
    <w:locked/>
    <w:uiPriority w:val="99"/>
    <w:rPr>
      <w:rFonts w:ascii="Arial" w:hAnsi="Arial" w:eastAsia="黑体" w:cs="Times New Roman"/>
      <w:sz w:val="24"/>
      <w:szCs w:val="24"/>
    </w:rPr>
  </w:style>
  <w:style w:type="character" w:customStyle="1" w:styleId="58">
    <w:name w:val="标题 9 Char"/>
    <w:basedOn w:val="39"/>
    <w:link w:val="10"/>
    <w:autoRedefine/>
    <w:qFormat/>
    <w:locked/>
    <w:uiPriority w:val="99"/>
    <w:rPr>
      <w:rFonts w:ascii="Arial" w:hAnsi="Arial" w:eastAsia="黑体" w:cs="Times New Roman"/>
      <w:sz w:val="21"/>
      <w:szCs w:val="21"/>
    </w:rPr>
  </w:style>
  <w:style w:type="character" w:customStyle="1" w:styleId="59">
    <w:name w:val="文档结构图 Char"/>
    <w:basedOn w:val="39"/>
    <w:link w:val="12"/>
    <w:autoRedefine/>
    <w:semiHidden/>
    <w:qFormat/>
    <w:locked/>
    <w:uiPriority w:val="99"/>
    <w:rPr>
      <w:rFonts w:ascii="Times New Roman" w:hAnsi="Times New Roman" w:eastAsia="宋体" w:cs="Times New Roman"/>
      <w:sz w:val="20"/>
      <w:szCs w:val="20"/>
      <w:shd w:val="clear" w:color="auto" w:fill="000080"/>
    </w:rPr>
  </w:style>
  <w:style w:type="character" w:customStyle="1" w:styleId="60">
    <w:name w:val="批注文字 Char"/>
    <w:basedOn w:val="39"/>
    <w:link w:val="14"/>
    <w:autoRedefine/>
    <w:semiHidden/>
    <w:qFormat/>
    <w:locked/>
    <w:uiPriority w:val="99"/>
    <w:rPr>
      <w:rFonts w:ascii="Times New Roman" w:hAnsi="Times New Roman" w:eastAsia="宋体" w:cs="Times New Roman"/>
      <w:sz w:val="20"/>
      <w:szCs w:val="20"/>
    </w:rPr>
  </w:style>
  <w:style w:type="character" w:customStyle="1" w:styleId="61">
    <w:name w:val="正文文本 3 Char"/>
    <w:basedOn w:val="39"/>
    <w:link w:val="15"/>
    <w:autoRedefine/>
    <w:qFormat/>
    <w:locked/>
    <w:uiPriority w:val="99"/>
    <w:rPr>
      <w:rFonts w:ascii="Times New Roman" w:hAnsi="Times New Roman" w:eastAsia="宋体" w:cs="Times New Roman"/>
      <w:b/>
      <w:spacing w:val="-20"/>
      <w:w w:val="110"/>
      <w:sz w:val="20"/>
      <w:szCs w:val="20"/>
    </w:rPr>
  </w:style>
  <w:style w:type="character" w:customStyle="1" w:styleId="62">
    <w:name w:val="正文文本 Char"/>
    <w:basedOn w:val="39"/>
    <w:link w:val="16"/>
    <w:autoRedefine/>
    <w:qFormat/>
    <w:locked/>
    <w:uiPriority w:val="99"/>
    <w:rPr>
      <w:rFonts w:ascii="Copperplate Gothic Bold" w:hAnsi="Copperplate Gothic Bold" w:eastAsia="宋体" w:cs="Times New Roman"/>
      <w:sz w:val="20"/>
      <w:szCs w:val="20"/>
    </w:rPr>
  </w:style>
  <w:style w:type="character" w:customStyle="1" w:styleId="63">
    <w:name w:val="正文文本缩进 Char"/>
    <w:basedOn w:val="39"/>
    <w:link w:val="17"/>
    <w:autoRedefine/>
    <w:qFormat/>
    <w:locked/>
    <w:uiPriority w:val="99"/>
    <w:rPr>
      <w:rFonts w:ascii="楷体_GB2312" w:hAnsi="Times New Roman" w:eastAsia="楷体_GB2312" w:cs="Times New Roman"/>
      <w:sz w:val="20"/>
      <w:szCs w:val="20"/>
    </w:rPr>
  </w:style>
  <w:style w:type="character" w:customStyle="1" w:styleId="64">
    <w:name w:val="纯文本 Char"/>
    <w:basedOn w:val="39"/>
    <w:link w:val="20"/>
    <w:autoRedefine/>
    <w:qFormat/>
    <w:locked/>
    <w:uiPriority w:val="99"/>
    <w:rPr>
      <w:rFonts w:ascii="宋体" w:hAnsi="Courier New" w:eastAsia="宋体" w:cs="Times New Roman"/>
      <w:sz w:val="20"/>
      <w:szCs w:val="20"/>
    </w:rPr>
  </w:style>
  <w:style w:type="character" w:customStyle="1" w:styleId="65">
    <w:name w:val="日期 Char"/>
    <w:basedOn w:val="39"/>
    <w:link w:val="21"/>
    <w:autoRedefine/>
    <w:qFormat/>
    <w:locked/>
    <w:uiPriority w:val="99"/>
    <w:rPr>
      <w:rFonts w:ascii="Copperplate Gothic Bold" w:hAnsi="Copperplate Gothic Bold" w:eastAsia="宋体" w:cs="Times New Roman"/>
      <w:sz w:val="20"/>
      <w:szCs w:val="20"/>
    </w:rPr>
  </w:style>
  <w:style w:type="character" w:customStyle="1" w:styleId="66">
    <w:name w:val="正文文本缩进 2 Char"/>
    <w:basedOn w:val="39"/>
    <w:link w:val="22"/>
    <w:autoRedefine/>
    <w:qFormat/>
    <w:locked/>
    <w:uiPriority w:val="99"/>
    <w:rPr>
      <w:rFonts w:ascii="楷体_GB2312" w:hAnsi="Times New Roman" w:eastAsia="楷体_GB2312" w:cs="Times New Roman"/>
      <w:sz w:val="20"/>
      <w:szCs w:val="20"/>
    </w:rPr>
  </w:style>
  <w:style w:type="character" w:customStyle="1" w:styleId="67">
    <w:name w:val="批注框文本 Char"/>
    <w:basedOn w:val="39"/>
    <w:link w:val="23"/>
    <w:autoRedefine/>
    <w:semiHidden/>
    <w:qFormat/>
    <w:locked/>
    <w:uiPriority w:val="99"/>
    <w:rPr>
      <w:rFonts w:ascii="Times New Roman" w:hAnsi="Times New Roman" w:eastAsia="宋体" w:cs="Times New Roman"/>
      <w:sz w:val="18"/>
      <w:szCs w:val="18"/>
    </w:rPr>
  </w:style>
  <w:style w:type="character" w:customStyle="1" w:styleId="68">
    <w:name w:val="页脚 Char"/>
    <w:basedOn w:val="39"/>
    <w:link w:val="24"/>
    <w:autoRedefine/>
    <w:qFormat/>
    <w:locked/>
    <w:uiPriority w:val="99"/>
    <w:rPr>
      <w:rFonts w:cs="Times New Roman"/>
      <w:sz w:val="18"/>
      <w:szCs w:val="18"/>
    </w:rPr>
  </w:style>
  <w:style w:type="character" w:customStyle="1" w:styleId="69">
    <w:name w:val="页眉 Char"/>
    <w:basedOn w:val="39"/>
    <w:link w:val="25"/>
    <w:autoRedefine/>
    <w:qFormat/>
    <w:locked/>
    <w:uiPriority w:val="99"/>
    <w:rPr>
      <w:rFonts w:cs="Times New Roman"/>
      <w:sz w:val="18"/>
      <w:szCs w:val="18"/>
    </w:rPr>
  </w:style>
  <w:style w:type="character" w:customStyle="1" w:styleId="70">
    <w:name w:val="正文文本缩进 3 Char"/>
    <w:basedOn w:val="39"/>
    <w:link w:val="28"/>
    <w:autoRedefine/>
    <w:qFormat/>
    <w:locked/>
    <w:uiPriority w:val="99"/>
    <w:rPr>
      <w:rFonts w:ascii="宋体" w:hAnsi="Copperplate Gothic Bold" w:eastAsia="宋体" w:cs="Times New Roman"/>
      <w:sz w:val="20"/>
      <w:szCs w:val="20"/>
    </w:rPr>
  </w:style>
  <w:style w:type="character" w:customStyle="1" w:styleId="71">
    <w:name w:val="正文文本 2 Char"/>
    <w:basedOn w:val="39"/>
    <w:link w:val="30"/>
    <w:autoRedefine/>
    <w:qFormat/>
    <w:locked/>
    <w:uiPriority w:val="99"/>
    <w:rPr>
      <w:rFonts w:ascii="楷体_GB2312" w:hAnsi="Copperplate Gothic Bold" w:eastAsia="楷体_GB2312" w:cs="Times New Roman"/>
      <w:sz w:val="20"/>
      <w:szCs w:val="20"/>
    </w:rPr>
  </w:style>
  <w:style w:type="character" w:customStyle="1" w:styleId="72">
    <w:name w:val="标题 Char"/>
    <w:basedOn w:val="39"/>
    <w:link w:val="34"/>
    <w:autoRedefine/>
    <w:qFormat/>
    <w:locked/>
    <w:uiPriority w:val="99"/>
    <w:rPr>
      <w:rFonts w:ascii="Arial" w:hAnsi="Arial" w:eastAsia="楷体_GB2312" w:cs="Arial"/>
      <w:b/>
      <w:sz w:val="32"/>
      <w:szCs w:val="32"/>
    </w:rPr>
  </w:style>
  <w:style w:type="paragraph" w:customStyle="1" w:styleId="73">
    <w:name w:val="缺省文本"/>
    <w:basedOn w:val="1"/>
    <w:autoRedefine/>
    <w:qFormat/>
    <w:uiPriority w:val="99"/>
    <w:pPr>
      <w:autoSpaceDE w:val="0"/>
      <w:autoSpaceDN w:val="0"/>
      <w:adjustRightInd w:val="0"/>
      <w:jc w:val="left"/>
    </w:pPr>
    <w:rPr>
      <w:kern w:val="0"/>
      <w:sz w:val="24"/>
    </w:rPr>
  </w:style>
  <w:style w:type="paragraph" w:customStyle="1" w:styleId="74">
    <w:name w:val="??¨???¨????ì?¨¨??¨?o??????ì?¨¨?"/>
    <w:basedOn w:val="1"/>
    <w:autoRedefine/>
    <w:qFormat/>
    <w:uiPriority w:val="99"/>
    <w:pPr>
      <w:autoSpaceDE w:val="0"/>
      <w:autoSpaceDN w:val="0"/>
      <w:adjustRightInd w:val="0"/>
      <w:jc w:val="left"/>
    </w:pPr>
    <w:rPr>
      <w:kern w:val="0"/>
      <w:sz w:val="24"/>
    </w:rPr>
  </w:style>
  <w:style w:type="paragraph" w:customStyle="1" w:styleId="75">
    <w:name w:val="?§?§?¨¤?§o????¨¤?"/>
    <w:basedOn w:val="1"/>
    <w:autoRedefine/>
    <w:qFormat/>
    <w:uiPriority w:val="99"/>
    <w:pPr>
      <w:autoSpaceDE w:val="0"/>
      <w:autoSpaceDN w:val="0"/>
      <w:adjustRightInd w:val="0"/>
      <w:jc w:val="left"/>
    </w:pPr>
    <w:rPr>
      <w:kern w:val="0"/>
      <w:sz w:val="24"/>
    </w:rPr>
  </w:style>
  <w:style w:type="paragraph" w:customStyle="1" w:styleId="76">
    <w:name w:val="正文段"/>
    <w:basedOn w:val="1"/>
    <w:autoRedefine/>
    <w:qFormat/>
    <w:uiPriority w:val="99"/>
    <w:pPr>
      <w:adjustRightInd w:val="0"/>
      <w:snapToGrid w:val="0"/>
      <w:spacing w:line="360" w:lineRule="auto"/>
    </w:pPr>
    <w:rPr>
      <w:rFonts w:eastAsia="仿宋_GB2312"/>
      <w:spacing w:val="-8"/>
      <w:sz w:val="24"/>
    </w:rPr>
  </w:style>
  <w:style w:type="paragraph" w:customStyle="1" w:styleId="77">
    <w:name w:val="Char"/>
    <w:basedOn w:val="12"/>
    <w:next w:val="1"/>
    <w:autoRedefine/>
    <w:qFormat/>
    <w:uiPriority w:val="99"/>
    <w:rPr>
      <w:rFonts w:ascii="Tahoma" w:hAnsi="Tahoma"/>
      <w:sz w:val="24"/>
    </w:rPr>
  </w:style>
  <w:style w:type="paragraph" w:customStyle="1" w:styleId="78">
    <w:name w:val="Char Char Char"/>
    <w:basedOn w:val="1"/>
    <w:autoRedefine/>
    <w:qFormat/>
    <w:uiPriority w:val="99"/>
  </w:style>
  <w:style w:type="paragraph" w:customStyle="1" w:styleId="79">
    <w:name w:val="Char Char Char Char"/>
    <w:basedOn w:val="1"/>
    <w:autoRedefine/>
    <w:qFormat/>
    <w:uiPriority w:val="99"/>
    <w:pPr>
      <w:widowControl/>
      <w:spacing w:after="160" w:line="240" w:lineRule="exact"/>
      <w:jc w:val="center"/>
    </w:pPr>
    <w:rPr>
      <w:rFonts w:ascii="宋体" w:hAnsi="宋体"/>
      <w:b/>
      <w:kern w:val="0"/>
      <w:sz w:val="28"/>
      <w:szCs w:val="28"/>
      <w:lang w:eastAsia="en-US"/>
    </w:rPr>
  </w:style>
  <w:style w:type="paragraph" w:customStyle="1" w:styleId="80">
    <w:name w:val="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81">
    <w:name w:val="文档正文"/>
    <w:basedOn w:val="1"/>
    <w:autoRedefine/>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82">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3">
    <w:name w:val="图"/>
    <w:basedOn w:val="1"/>
    <w:next w:val="81"/>
    <w:autoRedefine/>
    <w:qFormat/>
    <w:uiPriority w:val="99"/>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84">
    <w:name w:val="Char1"/>
    <w:basedOn w:val="1"/>
    <w:autoRedefine/>
    <w:qFormat/>
    <w:uiPriority w:val="0"/>
    <w:pPr>
      <w:tabs>
        <w:tab w:val="left" w:pos="360"/>
      </w:tabs>
    </w:pPr>
    <w:rPr>
      <w:sz w:val="24"/>
      <w:szCs w:val="24"/>
    </w:rPr>
  </w:style>
  <w:style w:type="paragraph" w:customStyle="1" w:styleId="85">
    <w:name w:val="Char1 Char Char Char"/>
    <w:basedOn w:val="1"/>
    <w:autoRedefine/>
    <w:qFormat/>
    <w:uiPriority w:val="99"/>
    <w:rPr>
      <w:rFonts w:ascii="Tahoma" w:hAnsi="Tahoma"/>
      <w:szCs w:val="24"/>
    </w:rPr>
  </w:style>
  <w:style w:type="paragraph" w:customStyle="1" w:styleId="86">
    <w:name w:val="1册标题2"/>
    <w:basedOn w:val="1"/>
    <w:next w:val="1"/>
    <w:autoRedefine/>
    <w:qFormat/>
    <w:uiPriority w:val="99"/>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87">
    <w:name w:val="Char Char Char Char1"/>
    <w:basedOn w:val="1"/>
    <w:autoRedefine/>
    <w:qFormat/>
    <w:uiPriority w:val="99"/>
    <w:pPr>
      <w:tabs>
        <w:tab w:val="left" w:pos="360"/>
      </w:tabs>
    </w:pPr>
    <w:rPr>
      <w:sz w:val="24"/>
      <w:szCs w:val="24"/>
    </w:rPr>
  </w:style>
  <w:style w:type="paragraph" w:customStyle="1" w:styleId="88">
    <w:name w:val="pa-11"/>
    <w:basedOn w:val="1"/>
    <w:autoRedefine/>
    <w:qFormat/>
    <w:uiPriority w:val="99"/>
    <w:pPr>
      <w:widowControl/>
      <w:spacing w:line="400" w:lineRule="atLeast"/>
      <w:jc w:val="center"/>
    </w:pPr>
    <w:rPr>
      <w:rFonts w:ascii="宋体" w:hAnsi="宋体" w:cs="宋体"/>
      <w:kern w:val="0"/>
      <w:sz w:val="24"/>
      <w:szCs w:val="24"/>
    </w:rPr>
  </w:style>
  <w:style w:type="paragraph" w:customStyle="1" w:styleId="89">
    <w:name w:val="正文基本样式"/>
    <w:basedOn w:val="1"/>
    <w:autoRedefine/>
    <w:qFormat/>
    <w:uiPriority w:val="99"/>
    <w:pPr>
      <w:spacing w:line="336" w:lineRule="auto"/>
      <w:ind w:firstLine="580"/>
    </w:pPr>
    <w:rPr>
      <w:rFonts w:eastAsia="仿宋_GB2312" w:cs="宋体"/>
      <w:sz w:val="28"/>
    </w:rPr>
  </w:style>
  <w:style w:type="character" w:customStyle="1" w:styleId="90">
    <w:name w:val="base"/>
    <w:basedOn w:val="39"/>
    <w:autoRedefine/>
    <w:qFormat/>
    <w:uiPriority w:val="99"/>
    <w:rPr>
      <w:rFonts w:cs="Times New Roman"/>
    </w:rPr>
  </w:style>
  <w:style w:type="character" w:customStyle="1" w:styleId="91">
    <w:name w:val="unnamed11"/>
    <w:basedOn w:val="39"/>
    <w:autoRedefine/>
    <w:qFormat/>
    <w:uiPriority w:val="99"/>
    <w:rPr>
      <w:rFonts w:cs="Times New Roman"/>
    </w:rPr>
  </w:style>
  <w:style w:type="character" w:customStyle="1" w:styleId="92">
    <w:name w:val="style4"/>
    <w:basedOn w:val="39"/>
    <w:autoRedefine/>
    <w:qFormat/>
    <w:uiPriority w:val="99"/>
    <w:rPr>
      <w:rFonts w:ascii="Arial" w:hAnsi="Arial" w:cs="Arial"/>
      <w:sz w:val="20"/>
      <w:szCs w:val="20"/>
    </w:rPr>
  </w:style>
  <w:style w:type="character" w:customStyle="1" w:styleId="93">
    <w:name w:val="Char Char3"/>
    <w:basedOn w:val="39"/>
    <w:autoRedefine/>
    <w:qFormat/>
    <w:uiPriority w:val="99"/>
    <w:rPr>
      <w:rFonts w:eastAsia="宋体" w:cs="Times New Roman"/>
      <w:kern w:val="2"/>
      <w:sz w:val="18"/>
      <w:lang w:val="en-US" w:eastAsia="zh-CN" w:bidi="ar-SA"/>
    </w:rPr>
  </w:style>
  <w:style w:type="character" w:customStyle="1" w:styleId="94">
    <w:name w:val="正文缩进 Char"/>
    <w:basedOn w:val="39"/>
    <w:link w:val="11"/>
    <w:autoRedefine/>
    <w:qFormat/>
    <w:locked/>
    <w:uiPriority w:val="0"/>
    <w:rPr>
      <w:rFonts w:ascii="Times New Roman" w:hAnsi="Times New Roman" w:eastAsia="宋体" w:cs="Times New Roman"/>
      <w:sz w:val="20"/>
      <w:szCs w:val="20"/>
    </w:rPr>
  </w:style>
  <w:style w:type="character" w:customStyle="1" w:styleId="95">
    <w:name w:val="hui3"/>
    <w:basedOn w:val="39"/>
    <w:autoRedefine/>
    <w:qFormat/>
    <w:uiPriority w:val="99"/>
    <w:rPr>
      <w:rFonts w:cs="Times New Roman"/>
      <w:color w:val="333333"/>
    </w:rPr>
  </w:style>
  <w:style w:type="paragraph" w:customStyle="1" w:styleId="96">
    <w:name w:val="List Paragraph1"/>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97">
    <w:name w:val="Blockquote Char Char"/>
    <w:link w:val="98"/>
    <w:autoRedefine/>
    <w:qFormat/>
    <w:locked/>
    <w:uiPriority w:val="99"/>
    <w:rPr>
      <w:sz w:val="24"/>
    </w:rPr>
  </w:style>
  <w:style w:type="paragraph" w:customStyle="1" w:styleId="98">
    <w:name w:val="Blockquote"/>
    <w:basedOn w:val="1"/>
    <w:link w:val="97"/>
    <w:autoRedefine/>
    <w:qFormat/>
    <w:uiPriority w:val="99"/>
    <w:pPr>
      <w:autoSpaceDE w:val="0"/>
      <w:autoSpaceDN w:val="0"/>
      <w:adjustRightInd w:val="0"/>
      <w:spacing w:before="100" w:after="100"/>
      <w:ind w:left="360" w:right="360"/>
      <w:jc w:val="left"/>
    </w:pPr>
    <w:rPr>
      <w:kern w:val="0"/>
      <w:sz w:val="24"/>
    </w:rPr>
  </w:style>
  <w:style w:type="character" w:customStyle="1" w:styleId="99">
    <w:name w:val="rili11"/>
    <w:autoRedefine/>
    <w:qFormat/>
    <w:uiPriority w:val="99"/>
    <w:rPr>
      <w:sz w:val="21"/>
    </w:rPr>
  </w:style>
  <w:style w:type="character" w:customStyle="1" w:styleId="100">
    <w:name w:val="Char Char Char Char Char Char Char Char Char"/>
    <w:autoRedefine/>
    <w:qFormat/>
    <w:uiPriority w:val="99"/>
    <w:rPr>
      <w:sz w:val="18"/>
    </w:rPr>
  </w:style>
  <w:style w:type="paragraph" w:customStyle="1" w:styleId="101">
    <w:name w:val="Char2"/>
    <w:basedOn w:val="1"/>
    <w:autoRedefine/>
    <w:qFormat/>
    <w:uiPriority w:val="99"/>
    <w:pPr>
      <w:widowControl/>
      <w:spacing w:after="160" w:line="240" w:lineRule="exact"/>
      <w:jc w:val="left"/>
    </w:pPr>
    <w:rPr>
      <w:szCs w:val="24"/>
    </w:rPr>
  </w:style>
  <w:style w:type="paragraph" w:customStyle="1" w:styleId="102">
    <w:name w:val="表格文字"/>
    <w:basedOn w:val="1"/>
    <w:autoRedefine/>
    <w:qFormat/>
    <w:uiPriority w:val="99"/>
    <w:pPr>
      <w:adjustRightInd w:val="0"/>
      <w:spacing w:line="420" w:lineRule="atLeast"/>
      <w:jc w:val="left"/>
      <w:textAlignment w:val="baseline"/>
    </w:pPr>
    <w:rPr>
      <w:kern w:val="0"/>
    </w:rPr>
  </w:style>
  <w:style w:type="paragraph" w:customStyle="1" w:styleId="10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4">
    <w:name w:val="Char Char1"/>
    <w:basedOn w:val="1"/>
    <w:autoRedefine/>
    <w:qFormat/>
    <w:uiPriority w:val="99"/>
    <w:pPr>
      <w:adjustRightInd w:val="0"/>
      <w:spacing w:line="440" w:lineRule="exact"/>
    </w:pPr>
    <w:rPr>
      <w:rFonts w:ascii="宋体"/>
      <w:kern w:val="0"/>
      <w:sz w:val="28"/>
      <w:szCs w:val="27"/>
    </w:rPr>
  </w:style>
  <w:style w:type="paragraph" w:customStyle="1" w:styleId="105">
    <w:name w:val="Char Char1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6">
    <w:name w:val="Char Char1 Char Char Char Char Char Char Char Char Char Char Char Char Char1"/>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7">
    <w:name w:val="Char Char Char1"/>
    <w:basedOn w:val="1"/>
    <w:autoRedefine/>
    <w:qFormat/>
    <w:uiPriority w:val="99"/>
    <w:pPr>
      <w:widowControl/>
      <w:spacing w:after="160" w:line="240" w:lineRule="exact"/>
      <w:jc w:val="left"/>
    </w:pPr>
    <w:rPr>
      <w:szCs w:val="24"/>
    </w:rPr>
  </w:style>
  <w:style w:type="paragraph" w:customStyle="1" w:styleId="108">
    <w:name w:val="Char Char Char Char Char Char Char"/>
    <w:basedOn w:val="1"/>
    <w:autoRedefine/>
    <w:qFormat/>
    <w:uiPriority w:val="99"/>
    <w:rPr>
      <w:rFonts w:ascii="Tahoma" w:hAnsi="Tahoma"/>
      <w:sz w:val="24"/>
    </w:rPr>
  </w:style>
  <w:style w:type="paragraph" w:customStyle="1" w:styleId="109">
    <w:name w:val="Char Char Char Char Char Char Char1"/>
    <w:basedOn w:val="1"/>
    <w:autoRedefine/>
    <w:qFormat/>
    <w:uiPriority w:val="99"/>
    <w:rPr>
      <w:rFonts w:ascii="Tahoma" w:hAnsi="Tahoma"/>
      <w:sz w:val="24"/>
      <w:szCs w:val="24"/>
    </w:rPr>
  </w:style>
  <w:style w:type="paragraph" w:customStyle="1" w:styleId="110">
    <w:name w:val="目录"/>
    <w:basedOn w:val="1"/>
    <w:autoRedefine/>
    <w:qFormat/>
    <w:uiPriority w:val="99"/>
    <w:pPr>
      <w:widowControl/>
      <w:jc w:val="center"/>
    </w:pPr>
    <w:rPr>
      <w:rFonts w:ascii="宋体"/>
      <w:b/>
      <w:kern w:val="0"/>
      <w:sz w:val="36"/>
    </w:rPr>
  </w:style>
  <w:style w:type="paragraph" w:customStyle="1" w:styleId="111">
    <w:name w:val="Revision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2">
    <w:name w:val="Char Char Char Char2"/>
    <w:basedOn w:val="1"/>
    <w:autoRedefine/>
    <w:qFormat/>
    <w:uiPriority w:val="99"/>
    <w:pPr>
      <w:widowControl/>
      <w:spacing w:after="160" w:line="240" w:lineRule="exact"/>
      <w:jc w:val="left"/>
    </w:pPr>
    <w:rPr>
      <w:szCs w:val="24"/>
    </w:rPr>
  </w:style>
  <w:style w:type="paragraph" w:customStyle="1" w:styleId="11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4">
    <w:name w:val="列出段落 Char"/>
    <w:link w:val="115"/>
    <w:autoRedefine/>
    <w:qFormat/>
    <w:uiPriority w:val="0"/>
    <w:rPr>
      <w:szCs w:val="24"/>
    </w:rPr>
  </w:style>
  <w:style w:type="paragraph" w:customStyle="1" w:styleId="115">
    <w:name w:val="List Paragraph"/>
    <w:basedOn w:val="1"/>
    <w:link w:val="114"/>
    <w:autoRedefine/>
    <w:qFormat/>
    <w:uiPriority w:val="0"/>
    <w:pPr>
      <w:ind w:firstLine="420" w:firstLineChars="200"/>
    </w:pPr>
    <w:rPr>
      <w:szCs w:val="24"/>
    </w:rPr>
  </w:style>
  <w:style w:type="paragraph" w:customStyle="1" w:styleId="116">
    <w:name w:val="表格"/>
    <w:basedOn w:val="1"/>
    <w:autoRedefine/>
    <w:qFormat/>
    <w:uiPriority w:val="0"/>
    <w:pPr>
      <w:spacing w:line="400" w:lineRule="exact"/>
    </w:pPr>
    <w:rPr>
      <w:sz w:val="24"/>
      <w:szCs w:val="24"/>
    </w:rPr>
  </w:style>
  <w:style w:type="character" w:customStyle="1" w:styleId="117">
    <w:name w:val="font51"/>
    <w:basedOn w:val="39"/>
    <w:autoRedefine/>
    <w:qFormat/>
    <w:uiPriority w:val="0"/>
    <w:rPr>
      <w:rFonts w:hint="eastAsia" w:ascii="宋体" w:hAnsi="宋体" w:eastAsia="宋体" w:cs="宋体"/>
      <w:color w:val="000000"/>
      <w:sz w:val="24"/>
      <w:szCs w:val="24"/>
    </w:rPr>
  </w:style>
  <w:style w:type="paragraph" w:customStyle="1" w:styleId="11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19">
    <w:name w:val="font11"/>
    <w:basedOn w:val="39"/>
    <w:autoRedefine/>
    <w:qFormat/>
    <w:uiPriority w:val="0"/>
    <w:rPr>
      <w:rFonts w:hint="eastAsia" w:ascii="宋体" w:hAnsi="宋体" w:eastAsia="宋体" w:cs="宋体"/>
      <w:b/>
      <w:color w:val="FF0000"/>
      <w:sz w:val="20"/>
      <w:szCs w:val="20"/>
      <w:u w:val="none"/>
    </w:rPr>
  </w:style>
  <w:style w:type="character" w:customStyle="1" w:styleId="120">
    <w:name w:val="font21"/>
    <w:basedOn w:val="39"/>
    <w:autoRedefine/>
    <w:qFormat/>
    <w:uiPriority w:val="0"/>
    <w:rPr>
      <w:rFonts w:hint="eastAsia" w:ascii="宋体" w:hAnsi="宋体" w:eastAsia="宋体" w:cs="宋体"/>
      <w:color w:val="000000"/>
      <w:sz w:val="20"/>
      <w:szCs w:val="20"/>
      <w:u w:val="none"/>
    </w:rPr>
  </w:style>
  <w:style w:type="character" w:customStyle="1" w:styleId="121">
    <w:name w:val="font01"/>
    <w:basedOn w:val="39"/>
    <w:autoRedefine/>
    <w:qFormat/>
    <w:uiPriority w:val="0"/>
    <w:rPr>
      <w:rFonts w:hint="eastAsia" w:ascii="宋体" w:hAnsi="宋体" w:eastAsia="宋体" w:cs="宋体"/>
      <w:b/>
      <w:color w:val="000000"/>
      <w:sz w:val="20"/>
      <w:szCs w:val="20"/>
      <w:u w:val="none"/>
    </w:rPr>
  </w:style>
  <w:style w:type="paragraph" w:customStyle="1" w:styleId="122">
    <w:name w:val="样式 首行缩进:  2 字符"/>
    <w:basedOn w:val="1"/>
    <w:autoRedefine/>
    <w:qFormat/>
    <w:uiPriority w:val="0"/>
    <w:pPr>
      <w:spacing w:line="400" w:lineRule="exact"/>
      <w:ind w:firstLine="200" w:firstLineChars="200"/>
    </w:pPr>
    <w:rPr>
      <w:rFonts w:cs="宋体"/>
      <w:sz w:val="24"/>
    </w:rPr>
  </w:style>
  <w:style w:type="character" w:customStyle="1" w:styleId="123">
    <w:name w:val="font41"/>
    <w:basedOn w:val="39"/>
    <w:autoRedefine/>
    <w:qFormat/>
    <w:uiPriority w:val="0"/>
    <w:rPr>
      <w:rFonts w:hint="default" w:ascii="等线" w:hAnsi="等线" w:eastAsia="等线" w:cs="等线"/>
      <w:color w:val="000000"/>
      <w:sz w:val="22"/>
      <w:szCs w:val="22"/>
      <w:u w:val="none"/>
    </w:rPr>
  </w:style>
  <w:style w:type="paragraph" w:customStyle="1" w:styleId="124">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5">
    <w:name w:val="p15"/>
    <w:basedOn w:val="1"/>
    <w:autoRedefine/>
    <w:qFormat/>
    <w:uiPriority w:val="0"/>
    <w:pPr>
      <w:widowControl/>
      <w:spacing w:line="360" w:lineRule="auto"/>
      <w:jc w:val="left"/>
    </w:pPr>
    <w:rPr>
      <w:kern w:val="0"/>
      <w:sz w:val="24"/>
    </w:rPr>
  </w:style>
  <w:style w:type="character" w:customStyle="1" w:styleId="126">
    <w:name w:val="NormalCharacter"/>
    <w:link w:val="127"/>
    <w:autoRedefine/>
    <w:semiHidden/>
    <w:qFormat/>
    <w:locked/>
    <w:uiPriority w:val="99"/>
    <w:rPr>
      <w:kern w:val="0"/>
      <w:sz w:val="24"/>
      <w:szCs w:val="20"/>
    </w:rPr>
  </w:style>
  <w:style w:type="paragraph" w:customStyle="1" w:styleId="127">
    <w:name w:val="UserStyle_85"/>
    <w:basedOn w:val="1"/>
    <w:link w:val="126"/>
    <w:autoRedefine/>
    <w:qFormat/>
    <w:uiPriority w:val="99"/>
    <w:pPr>
      <w:spacing w:after="160" w:line="240" w:lineRule="exact"/>
    </w:pPr>
    <w:rPr>
      <w:kern w:val="0"/>
      <w:sz w:val="24"/>
      <w:szCs w:val="20"/>
    </w:rPr>
  </w:style>
  <w:style w:type="paragraph" w:customStyle="1" w:styleId="128">
    <w:name w:val="Normal_36_0"/>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129">
    <w:name w:val="Normal_37_0"/>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130">
    <w:name w:val="标书正文"/>
    <w:basedOn w:val="1"/>
    <w:autoRedefine/>
    <w:qFormat/>
    <w:uiPriority w:val="0"/>
    <w:pPr>
      <w:tabs>
        <w:tab w:val="left" w:pos="600"/>
      </w:tabs>
      <w:snapToGrid w:val="0"/>
      <w:spacing w:line="480" w:lineRule="atLeast"/>
      <w:jc w:val="center"/>
    </w:pPr>
    <w:rPr>
      <w:rFonts w:eastAsia="黑体"/>
      <w:b/>
      <w:sz w:val="30"/>
      <w:szCs w:val="20"/>
    </w:rPr>
  </w:style>
  <w:style w:type="paragraph" w:customStyle="1" w:styleId="131">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character" w:customStyle="1" w:styleId="132">
    <w:name w:val="phone"/>
    <w:basedOn w:val="39"/>
    <w:autoRedefine/>
    <w:qFormat/>
    <w:uiPriority w:val="0"/>
    <w:rPr>
      <w:color w:val="FF8833"/>
      <w:sz w:val="18"/>
      <w:szCs w:val="18"/>
    </w:rPr>
  </w:style>
  <w:style w:type="character" w:customStyle="1" w:styleId="133">
    <w:name w:val="proollist"/>
    <w:basedOn w:val="39"/>
    <w:autoRedefine/>
    <w:qFormat/>
    <w:uiPriority w:val="0"/>
  </w:style>
  <w:style w:type="character" w:customStyle="1" w:styleId="134">
    <w:name w:val="number"/>
    <w:basedOn w:val="39"/>
    <w:autoRedefine/>
    <w:qFormat/>
    <w:uiPriority w:val="0"/>
    <w:rPr>
      <w:color w:val="FF8833"/>
      <w:sz w:val="18"/>
      <w:szCs w:val="18"/>
    </w:rPr>
  </w:style>
  <w:style w:type="character" w:customStyle="1" w:styleId="135">
    <w:name w:val="stclosebtn"/>
    <w:basedOn w:val="39"/>
    <w:autoRedefine/>
    <w:qFormat/>
    <w:uiPriority w:val="0"/>
  </w:style>
  <w:style w:type="character" w:customStyle="1" w:styleId="136">
    <w:name w:val="beforeinfotext"/>
    <w:basedOn w:val="39"/>
    <w:autoRedefine/>
    <w:qFormat/>
    <w:uiPriority w:val="0"/>
    <w:rPr>
      <w:color w:val="666666"/>
    </w:rPr>
  </w:style>
  <w:style w:type="paragraph" w:customStyle="1" w:styleId="137">
    <w:name w:val="样式 标题 3 + (中文) 黑体 小四 非加粗 段前: 7.8 磅 段后: 0 磅 行距: 固定值 20 磅"/>
    <w:basedOn w:val="4"/>
    <w:autoRedefine/>
    <w:qFormat/>
    <w:uiPriority w:val="0"/>
    <w:pPr>
      <w:spacing w:before="0" w:after="0" w:line="400" w:lineRule="exact"/>
    </w:pPr>
    <w:rPr>
      <w:rFonts w:eastAsia="黑体" w:cs="宋体"/>
      <w:sz w:val="24"/>
      <w:szCs w:val="20"/>
    </w:rPr>
  </w:style>
  <w:style w:type="paragraph" w:customStyle="1" w:styleId="138">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无间隔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0">
    <w:name w:val="a"/>
    <w:basedOn w:val="1"/>
    <w:autoRedefine/>
    <w:qFormat/>
    <w:uiPriority w:val="0"/>
    <w:pPr>
      <w:widowControl/>
      <w:spacing w:before="100" w:beforeAutospacing="1" w:after="100" w:afterAutospacing="1"/>
      <w:jc w:val="left"/>
    </w:pPr>
    <w:rPr>
      <w:rFonts w:ascii="宋体" w:cs="宋体"/>
      <w:kern w:val="0"/>
    </w:rPr>
  </w:style>
  <w:style w:type="paragraph" w:customStyle="1" w:styleId="141">
    <w:name w:val="a0"/>
    <w:basedOn w:val="1"/>
    <w:autoRedefine/>
    <w:qFormat/>
    <w:uiPriority w:val="0"/>
    <w:pPr>
      <w:widowControl/>
      <w:spacing w:before="100" w:beforeAutospacing="1" w:after="100" w:afterAutospacing="1"/>
      <w:jc w:val="left"/>
    </w:pPr>
    <w:rPr>
      <w:rFonts w:asci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8C56-56B8-4650-81B4-34FD7A2E23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89</Pages>
  <Words>41410</Words>
  <Characters>43930</Characters>
  <Lines>257</Lines>
  <Paragraphs>72</Paragraphs>
  <TotalTime>1635</TotalTime>
  <ScaleCrop>false</ScaleCrop>
  <LinksUpToDate>false</LinksUpToDate>
  <CharactersWithSpaces>45749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2017-10-30T07:32:00Z</dcterms:created>
  <dc:creator>Administrator</dc:creator>
  <cp:lastModifiedBy>Administrator</cp:lastModifiedBy>
  <cp:lastPrinted>2025-08-07T07:56:24Z</cp:lastPrinted>
  <dcterms:modified xsi:type="dcterms:W3CDTF">2025-08-07T08:02:16Z</dcterms:modified>
  <dc:title>_                                    招标编号：ZD0814-013Z</dc:title>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FAA8FE8CAC5A42698BB791681F2C62E9</vt:lpwstr>
  </property>
  <property fmtid="{D5CDD505-2E9C-101B-9397-08002B2CF9AE}" pid="4" name="KSOTemplateDocerSaveRecord">
    <vt:lpwstr>eyJoZGlkIjoiN2YwNDUyN2NiYzUyYzU4NWM4YzZlNWQwMzJhMzEzYmYifQ==</vt:lpwstr>
  </property>
</Properties>
</file>