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3F31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采购需求</w:t>
      </w:r>
    </w:p>
    <w:p w14:paraId="6D1DA85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eastAsia="zh-CN"/>
        </w:rPr>
        <w:t>名称：</w:t>
      </w:r>
      <w:r>
        <w:rPr>
          <w:rFonts w:hint="eastAsia" w:ascii="仿宋" w:hAnsi="仿宋" w:eastAsia="仿宋" w:cs="仿宋"/>
          <w:b w:val="0"/>
          <w:bCs/>
          <w:color w:val="auto"/>
          <w:sz w:val="24"/>
          <w:szCs w:val="24"/>
          <w:highlight w:val="none"/>
          <w:lang w:eastAsia="zh-CN"/>
        </w:rPr>
        <w:t>滦镇街道喂子坪村鸡窝子组地质灾害和山洪避险移民搬迁安置项目初步设计、方案</w:t>
      </w:r>
    </w:p>
    <w:p w14:paraId="22D0E91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二、项目基本情况：</w:t>
      </w:r>
    </w:p>
    <w:p w14:paraId="4AA6ECF5">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建设内容及工程规模：</w:t>
      </w:r>
      <w:r>
        <w:rPr>
          <w:rFonts w:hint="eastAsia" w:ascii="仿宋" w:hAnsi="仿宋" w:eastAsia="仿宋" w:cs="仿宋"/>
          <w:color w:val="auto"/>
          <w:sz w:val="24"/>
          <w:szCs w:val="24"/>
          <w:highlight w:val="none"/>
          <w:lang w:eastAsia="zh-CN"/>
        </w:rPr>
        <w:t>本项目避险移民搬迁安置工程采用建设新型农村社区，以关中民居院落方式进行安置,实行一户一院，占地面积约 23333.33m(合约 35 亩),新建安置房共计70院,总建筑面积约11200.00㎡。</w:t>
      </w:r>
    </w:p>
    <w:p w14:paraId="66FF805A">
      <w:pPr>
        <w:pStyle w:val="5"/>
        <w:keepNext w:val="0"/>
        <w:keepLines w:val="0"/>
        <w:pageBreakBefore w:val="0"/>
        <w:numPr>
          <w:ilvl w:val="0"/>
          <w:numId w:val="0"/>
        </w:numPr>
        <w:kinsoku/>
        <w:wordWrap/>
        <w:overflowPunct/>
        <w:topLinePunct w:val="0"/>
        <w:autoSpaceDE/>
        <w:autoSpaceDN/>
        <w:bidi w:val="0"/>
        <w:adjustRightInd/>
        <w:snapToGrid/>
        <w:spacing w:before="45" w:line="560" w:lineRule="exact"/>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三、技术、服务要求：</w:t>
      </w:r>
    </w:p>
    <w:p w14:paraId="011970EA">
      <w:pPr>
        <w:keepNext w:val="0"/>
        <w:keepLines w:val="0"/>
        <w:pageBreakBefore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1、服务内容：</w:t>
      </w:r>
    </w:p>
    <w:p w14:paraId="3C6DA56D">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本次服务主要内容包括：本项目避险移民搬迁安置工程采用建设新型农村社区，以关中民居院落方式进行安置,实行一户一院，占地面积约 23333.33m(合约 35 亩),新建安置房共计70院,总建筑面积约11200.00㎡。具体设计包含前期初步设计、方案及成果文件交付后的后期服务（施工阶段配合服务）等；所有成果文件必须符合国家相关规范、标准及采购人要求。</w:t>
      </w:r>
    </w:p>
    <w:p w14:paraId="37ECCF13">
      <w:pPr>
        <w:keepNext w:val="0"/>
        <w:keepLines w:val="0"/>
        <w:pageBreakBefore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2、设计要求：</w:t>
      </w:r>
    </w:p>
    <w:p w14:paraId="709B035F">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完成本项目初步设计、方案编制工作，按采购人的需求进行设计。</w:t>
      </w:r>
    </w:p>
    <w:p w14:paraId="165BABA4">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对采购人的审核修改意见进行修改、完善，保证其设计意图的最终实现。</w:t>
      </w:r>
    </w:p>
    <w:p w14:paraId="4DF8F9FA">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 根据项目建设进度要求及时提供各阶段报审图纸，协助采购人进行报审工作，根据审查结果进行修改调整，直至有关部门审查通过，并最终向采购人提交正式初步设计、方案成果文件。</w:t>
      </w:r>
    </w:p>
    <w:p w14:paraId="4F321039">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 负责初步设计、方案编制工作技术交底，解答采购人在进行相关政府部门审批过程中遇到的问题，项目负责人及项目团队成员在项目报审过程中的相关问题做出回应，保证设计满足施工要求。</w:t>
      </w:r>
    </w:p>
    <w:p w14:paraId="65525AF2">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 根据采购人要求，及时参加与初步设计、方案编制工作有关的专题会，现场解决技术问题。</w:t>
      </w:r>
    </w:p>
    <w:p w14:paraId="2F3C3F24">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 提交的设计文件应符合现行规程、规范等要求，并应通过相关部门的审查。</w:t>
      </w:r>
    </w:p>
    <w:p w14:paraId="7FE293F6">
      <w:pPr>
        <w:keepNext w:val="0"/>
        <w:keepLines w:val="0"/>
        <w:pageBreakBefore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3、技术标准和技术规范：</w:t>
      </w:r>
    </w:p>
    <w:p w14:paraId="3408B0B9">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3.1《中华人民共和国建筑法》（2017年）</w:t>
      </w:r>
    </w:p>
    <w:p w14:paraId="5E9FAF11">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3.2《建筑工程设计文件编制深度规定》2016年版</w:t>
      </w:r>
    </w:p>
    <w:p w14:paraId="3E56DBEF">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3.3《民用建筑通用规范》（GB55031-2022）</w:t>
      </w:r>
    </w:p>
    <w:p w14:paraId="27111308">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3.4《建筑防火通用规范》（GB55037-2022）</w:t>
      </w:r>
    </w:p>
    <w:p w14:paraId="64B61730">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3.5《住宅设计规范》（GB 50096-2011）</w:t>
      </w:r>
    </w:p>
    <w:p w14:paraId="295F532C">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3.6《住宅建筑规范》（GB 50368-2005）</w:t>
      </w:r>
    </w:p>
    <w:p w14:paraId="0D1F8F3E">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 国家、省市及地方其他技术要求及标准</w:t>
      </w:r>
    </w:p>
    <w:p w14:paraId="4AB5D881">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 供应商在设计工作中使用或参考上述标准、规范以外的技术标准、规范时，应征得采购人或采购人的指定代表人的同意。</w:t>
      </w:r>
    </w:p>
    <w:p w14:paraId="3BE57BE9">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 在设计过程中，如果国家或有关部门颁布了新的技术标准或规范，则供应商应采</w:t>
      </w:r>
      <w:r>
        <w:rPr>
          <w:rFonts w:hint="eastAsia" w:ascii="仿宋" w:hAnsi="仿宋" w:eastAsia="仿宋" w:cs="仿宋"/>
          <w:b/>
          <w:bCs/>
          <w:color w:val="auto"/>
          <w:sz w:val="24"/>
          <w:szCs w:val="24"/>
          <w:highlight w:val="none"/>
          <w:lang w:val="en-US" w:eastAsia="zh-CN"/>
        </w:rPr>
        <w:t>用新的标准或规范进行设计。</w:t>
      </w:r>
    </w:p>
    <w:p w14:paraId="37225EF4">
      <w:pPr>
        <w:keepNext w:val="0"/>
        <w:keepLines w:val="0"/>
        <w:pageBreakBefore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4、保密要求：</w:t>
      </w:r>
    </w:p>
    <w:p w14:paraId="1913E0B9">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采购人根据合同约定结清设计费用后，本项目的一切成果所有权归采购人所有，供应商</w:t>
      </w:r>
      <w:r>
        <w:rPr>
          <w:rFonts w:hint="eastAsia" w:ascii="仿宋" w:hAnsi="仿宋" w:eastAsia="仿宋" w:cs="仿宋"/>
          <w:b/>
          <w:bCs/>
          <w:color w:val="auto"/>
          <w:sz w:val="24"/>
          <w:szCs w:val="24"/>
          <w:highlight w:val="none"/>
          <w:lang w:val="en-US" w:eastAsia="zh-CN"/>
        </w:rPr>
        <w:t>应对成果进行保密不外泄。</w:t>
      </w:r>
    </w:p>
    <w:p w14:paraId="1A33FB4B">
      <w:pPr>
        <w:keepNext w:val="0"/>
        <w:keepLines w:val="0"/>
        <w:pageBreakBefore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5、成果文件要求：</w:t>
      </w:r>
    </w:p>
    <w:p w14:paraId="045455BF">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5.1成果文件内容必须符合国家、省市区相关政策文件等要求，并按法定程序完成报批。</w:t>
      </w:r>
    </w:p>
    <w:p w14:paraId="65491EB3">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5.2成果文件内容包括：文本、图纸及相关说明和相应的电子文件。</w:t>
      </w:r>
    </w:p>
    <w:p w14:paraId="0AC98F59">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kern w:val="2"/>
          <w:sz w:val="24"/>
          <w:szCs w:val="24"/>
          <w:highlight w:val="none"/>
          <w:lang w:val="en-US" w:eastAsia="zh-CN" w:bidi="ar-SA"/>
        </w:rPr>
        <w:t>成果文件内容必须清晰完整，设计说明书应明确、完整地阐述规划意图和内容，设计</w:t>
      </w:r>
      <w:r>
        <w:rPr>
          <w:rFonts w:hint="eastAsia" w:ascii="仿宋" w:hAnsi="仿宋" w:eastAsia="仿宋" w:cs="仿宋"/>
          <w:color w:val="auto"/>
          <w:sz w:val="24"/>
          <w:szCs w:val="24"/>
          <w:highlight w:val="none"/>
          <w:lang w:val="en-US" w:eastAsia="zh-CN"/>
        </w:rPr>
        <w:t>图纸内容必须全面。</w:t>
      </w:r>
    </w:p>
    <w:p w14:paraId="7FEA6DD1">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5.4成果文本：表达设计的意图、目标和对设计的有关内容提出的规定性要求，文字表达应当规范、准确、肯定、含义清楚。</w:t>
      </w:r>
    </w:p>
    <w:p w14:paraId="19B38F9C">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成果图纸：用图像表达现状和规划内容。要求清晰准确，图例统一，图纸表达内容应与规划文本一致。规划图纸应绘制在近期测绘的现状地形图上，规划图上应显示出现状和地形。图纸上应标注图名、比例尺、图例、绘制时间、设计单位名称。</w:t>
      </w:r>
    </w:p>
    <w:p w14:paraId="05FC18F6">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5.6成果文件份数：最终正式成果文件纸质版捌份，电子版（光盘）叁份。</w:t>
      </w:r>
    </w:p>
    <w:p w14:paraId="2D704CA6">
      <w:pPr>
        <w:keepNext w:val="0"/>
        <w:keepLines w:val="0"/>
        <w:pageBreakBefore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6、其他要求：</w:t>
      </w:r>
    </w:p>
    <w:p w14:paraId="07970679">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本项目合同为固定总价合同，合同总价即成交价，不受市场价变化或实际工作量变化的影响。乙方需无条件配合甲方完成本项目后续评审报审或需调整设计等相关事宜，确保项目的完整性及有效性。</w:t>
      </w:r>
    </w:p>
    <w:p w14:paraId="0A86ADFC">
      <w:pPr>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四、商务要求：</w:t>
      </w:r>
    </w:p>
    <w:p w14:paraId="1DD67552">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1、项目名称：滦镇街道喂子坪村鸡窝子组地质灾害和山洪避险移民搬迁安置项目初步设计、方案</w:t>
      </w:r>
    </w:p>
    <w:p w14:paraId="35B0C424">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2、采购预算及限价</w:t>
      </w:r>
    </w:p>
    <w:p w14:paraId="14C20F71">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预算金额：500000.00元 </w:t>
      </w:r>
    </w:p>
    <w:p w14:paraId="56A36853">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最高限价：500000.00元</w:t>
      </w:r>
    </w:p>
    <w:p w14:paraId="05C2B3C8">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3、报价要求：各供应商的磋商报价不得高于本项目最高限价，否则按废标处理。</w:t>
      </w:r>
    </w:p>
    <w:p w14:paraId="69C2743F">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4、项目地点：</w:t>
      </w:r>
      <w:r>
        <w:rPr>
          <w:rFonts w:hint="eastAsia" w:ascii="仿宋" w:hAnsi="仿宋" w:eastAsia="仿宋" w:cs="仿宋"/>
          <w:color w:val="auto"/>
          <w:sz w:val="24"/>
          <w:szCs w:val="24"/>
          <w:highlight w:val="none"/>
        </w:rPr>
        <w:t>西安市长安区滦镇街道新一村以北</w:t>
      </w:r>
    </w:p>
    <w:p w14:paraId="33B61B01">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5、服务期限：</w:t>
      </w:r>
      <w:r>
        <w:rPr>
          <w:rFonts w:hint="eastAsia" w:ascii="仿宋" w:hAnsi="仿宋" w:eastAsia="仿宋" w:cs="仿宋"/>
          <w:i w:val="0"/>
          <w:iCs w:val="0"/>
          <w:caps w:val="0"/>
          <w:color w:val="333333"/>
          <w:spacing w:val="0"/>
          <w:sz w:val="24"/>
          <w:szCs w:val="24"/>
          <w:shd w:val="clear" w:color="auto" w:fill="FFFFFF"/>
          <w:vertAlign w:val="baseline"/>
        </w:rPr>
        <w:t>自合同签订之日起30个日历</w:t>
      </w:r>
      <w:r>
        <w:rPr>
          <w:rFonts w:hint="eastAsia" w:ascii="仿宋" w:hAnsi="仿宋" w:eastAsia="仿宋" w:cs="仿宋"/>
          <w:i w:val="0"/>
          <w:iCs w:val="0"/>
          <w:caps w:val="0"/>
          <w:color w:val="333333"/>
          <w:spacing w:val="0"/>
          <w:sz w:val="24"/>
          <w:szCs w:val="24"/>
          <w:shd w:val="clear" w:color="auto" w:fill="FFFFFF"/>
          <w:vertAlign w:val="baseline"/>
          <w:lang w:eastAsia="zh-CN"/>
        </w:rPr>
        <w:t>天内完成</w:t>
      </w:r>
      <w:r>
        <w:rPr>
          <w:rFonts w:hint="eastAsia" w:ascii="仿宋" w:hAnsi="仿宋" w:eastAsia="仿宋" w:cs="仿宋"/>
          <w:color w:val="auto"/>
          <w:sz w:val="24"/>
          <w:szCs w:val="24"/>
          <w:highlight w:val="none"/>
          <w:lang w:val="en-US" w:eastAsia="zh-CN"/>
        </w:rPr>
        <w:t>。</w:t>
      </w:r>
    </w:p>
    <w:p w14:paraId="7DF8173E">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6、服务质量要求：合格，符合国家、省市及地方行业相关设计规范要求。</w:t>
      </w:r>
    </w:p>
    <w:p w14:paraId="770D4BD9">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合同价款的支付：</w:t>
      </w:r>
    </w:p>
    <w:p w14:paraId="0A7F5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付款方式：银行转账；本项目</w:t>
      </w:r>
      <w:r>
        <w:rPr>
          <w:rFonts w:hint="eastAsia" w:ascii="仿宋" w:hAnsi="仿宋" w:eastAsia="仿宋" w:cs="仿宋"/>
          <w:color w:val="auto"/>
          <w:kern w:val="0"/>
          <w:sz w:val="24"/>
          <w:szCs w:val="24"/>
          <w:highlight w:val="none"/>
          <w:lang w:val="en-US" w:eastAsia="zh-CN" w:bidi="ar-SA"/>
        </w:rPr>
        <w:t>方案设计及初步设计编制工作全部完成，经采购人审查的成果报告文件提交后，支付合同总金额的50%,成果文件经相关政府部门审批通过取得批复文件后一次性支付剩余50%合同价款；同时乙方做好项目实施全过程的技术指导。</w:t>
      </w:r>
    </w:p>
    <w:p w14:paraId="057FED3D">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付款依据：磋商文件、磋商响应文件、</w:t>
      </w: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HYPERLINK "http://set2.mail.qq.com/cgi-bin/mail_spam?action=check_link&amp;spam=0&amp;url=http%3A%2F%2Fwww%2Ebaidu%2Ecom%2Fs%3Fwd%3D%25E9%2587%2587%25E8%25B4%25AD%25E5%2590%2588%25E5%2590%258C%26hl_tag%3Dtextlink%26tn%3DSE_hldp01350_v6v6zkg6" </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采购合同</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、等额发票及采购人出具的验收报告。</w:t>
      </w:r>
    </w:p>
    <w:p w14:paraId="27253DF7">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8、违约责任：</w:t>
      </w:r>
    </w:p>
    <w:p w14:paraId="3307C2E3">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 按《民法典》等相关法律法规中的相关条款执行。</w:t>
      </w:r>
    </w:p>
    <w:p w14:paraId="329FD7E2">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 未按项目要求达到国家相关规范、行业标准及采购人要求，由成交供应商负责整改，并承担相关费用，由此引起一切经济损失及政治影响由成交供应商承担。</w:t>
      </w:r>
    </w:p>
    <w:p w14:paraId="7628C9B8">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9、验收：</w:t>
      </w:r>
    </w:p>
    <w:p w14:paraId="0DD4A65D">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 验收要求：符合国家相关规范、行业标准及采购人要求。</w:t>
      </w:r>
    </w:p>
    <w:p w14:paraId="60AFDCA9">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 验收依据经济合同、国家相关的标准和规范。</w:t>
      </w:r>
    </w:p>
    <w:p w14:paraId="5E78E059">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10、争议：在签订正式合同时具体约定。</w:t>
      </w:r>
    </w:p>
    <w:p w14:paraId="0C433F63">
      <w:pPr>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11、其它要求：</w:t>
      </w:r>
    </w:p>
    <w:p w14:paraId="5538E4FB">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 成交供应商在服务实施过程中的安全责任由供应商负全责，采购人不</w:t>
      </w:r>
      <w:bookmarkStart w:id="0" w:name="_GoBack"/>
      <w:bookmarkEnd w:id="0"/>
      <w:r>
        <w:rPr>
          <w:rFonts w:hint="eastAsia" w:ascii="仿宋" w:hAnsi="仿宋" w:eastAsia="仿宋" w:cs="仿宋"/>
          <w:color w:val="auto"/>
          <w:sz w:val="24"/>
          <w:szCs w:val="24"/>
          <w:highlight w:val="none"/>
          <w:lang w:val="en-US" w:eastAsia="zh-CN"/>
        </w:rPr>
        <w:t>承担任何安全责任。</w:t>
      </w:r>
    </w:p>
    <w:p w14:paraId="60BAA09A">
      <w:pPr>
        <w:keepNext w:val="0"/>
        <w:keepLines w:val="0"/>
        <w:pageBreakBefore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 其它未尽事宜由采购人与成交供应商在采购合同中约定。</w:t>
      </w:r>
    </w:p>
    <w:p w14:paraId="340C8BD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D3B28"/>
    <w:rsid w:val="417D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rFonts w:ascii="Times New Roman" w:hAnsi="Times New Roman" w:eastAsia="仿宋"/>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1907</Words>
  <Characters>2073</Characters>
  <Lines>0</Lines>
  <Paragraphs>0</Paragraphs>
  <TotalTime>0</TotalTime>
  <ScaleCrop>false</ScaleCrop>
  <LinksUpToDate>false</LinksUpToDate>
  <CharactersWithSpaces>2097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2025-08-13T10:15:00Z</dcterms:created>
  <dc:creator>赵磊</dc:creator>
  <cp:lastModifiedBy>赵磊</cp:lastModifiedBy>
  <dcterms:modified xsi:type="dcterms:W3CDTF">2025-08-13T10:16:46Z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eyJoZGlkIjoiZDExMWIxM2I2Yzg0NTc3ODA4ZWZjYTIyYTQzZGIwYzgiLCJ1c2VySWQiOiI0ODE1MzEwNjcifQ==</vt:lpwstr>
  </property>
  <property fmtid="{D5CDD505-2E9C-101B-9397-08002B2CF9AE}" pid="4" name="ICV">
    <vt:lpwstr>22E46CFE27A846B8AC2D0BD12F1E4EAB_12</vt:lpwstr>
  </property>
</Properties>
</file>