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152FB">
      <w:pPr>
        <w:jc w:val="center"/>
        <w:outlineLvl w:val="1"/>
        <w:rPr>
          <w:rFonts w:hint="eastAsia" w:ascii="Calibri" w:hAnsi="Calibri" w:eastAsia="宋体" w:cs="Times New Roman"/>
          <w:u w:val="none"/>
          <w:lang w:val="en-US" w:eastAsia="zh-Hans"/>
        </w:rPr>
      </w:pPr>
      <w:r>
        <w:rPr>
          <w:rFonts w:hint="eastAsia" w:ascii="仿宋_GB2312" w:hAnsi="仿宋_GB2312" w:eastAsia="仿宋_GB2312" w:cs="仿宋_GB2312"/>
          <w:b/>
          <w:sz w:val="36"/>
          <w:u w:val="none"/>
          <w:lang w:val="en-US" w:eastAsia="zh-Hans"/>
        </w:rPr>
        <w:t>第三章 谈判项目技术、服务、商务及其他要求</w:t>
      </w:r>
    </w:p>
    <w:p w14:paraId="6A67B7A7">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04B779A6">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3.1采购项目概况</w:t>
      </w:r>
      <w:bookmarkStart w:id="0" w:name="_GoBack"/>
      <w:bookmarkEnd w:id="0"/>
    </w:p>
    <w:p w14:paraId="28248DB7">
      <w:pPr>
        <w:ind w:firstLine="480"/>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中华优秀传统文化传承基地是集智能化、数字化、场景化于一体的专业教学与实践空间，通过工作坊实践，激发青年对动态风筝的兴趣，培养潜在的非遗传承人。为满足课程开课需求，现计划建设“中华优秀传统文化传承基地”，包括触控一体机、投影机、多媒体软件、装修、学生实训桌椅等，内容详采购内容。</w:t>
      </w:r>
    </w:p>
    <w:p w14:paraId="4C40F0EE">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3.2采购内容</w:t>
      </w:r>
    </w:p>
    <w:p w14:paraId="6C531EC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BC9929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采购包预算金额（元）: 705,845.00</w:t>
      </w:r>
    </w:p>
    <w:p w14:paraId="1C5B2F9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采购包最高限价（元）: 705,845.00</w:t>
      </w:r>
    </w:p>
    <w:p w14:paraId="242BDA3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供应商报价不允许超过标的金额</w:t>
      </w:r>
    </w:p>
    <w:p w14:paraId="0C67E0B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（招单价的）供应商报价不允许超过标的单价</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6"/>
        <w:gridCol w:w="786"/>
        <w:gridCol w:w="815"/>
        <w:gridCol w:w="1416"/>
        <w:gridCol w:w="786"/>
        <w:gridCol w:w="786"/>
        <w:gridCol w:w="786"/>
        <w:gridCol w:w="787"/>
        <w:gridCol w:w="787"/>
        <w:gridCol w:w="787"/>
      </w:tblGrid>
      <w:tr w14:paraId="7264B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45C76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序号</w:t>
            </w:r>
          </w:p>
        </w:tc>
        <w:tc>
          <w:tcPr>
            <w:tcW w:w="831" w:type="dxa"/>
          </w:tcPr>
          <w:p w14:paraId="2EEDAB3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w:t>
            </w:r>
          </w:p>
        </w:tc>
        <w:tc>
          <w:tcPr>
            <w:tcW w:w="831" w:type="dxa"/>
          </w:tcPr>
          <w:p w14:paraId="698CD1D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数量</w:t>
            </w:r>
          </w:p>
        </w:tc>
        <w:tc>
          <w:tcPr>
            <w:tcW w:w="831" w:type="dxa"/>
          </w:tcPr>
          <w:p w14:paraId="43F3140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标的金额 （元）</w:t>
            </w:r>
          </w:p>
        </w:tc>
        <w:tc>
          <w:tcPr>
            <w:tcW w:w="831" w:type="dxa"/>
          </w:tcPr>
          <w:p w14:paraId="339550C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计量单位</w:t>
            </w:r>
          </w:p>
        </w:tc>
        <w:tc>
          <w:tcPr>
            <w:tcW w:w="831" w:type="dxa"/>
          </w:tcPr>
          <w:p w14:paraId="0952FBC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所属行业</w:t>
            </w:r>
          </w:p>
        </w:tc>
        <w:tc>
          <w:tcPr>
            <w:tcW w:w="831" w:type="dxa"/>
          </w:tcPr>
          <w:p w14:paraId="753E411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是否核心产品</w:t>
            </w:r>
          </w:p>
        </w:tc>
        <w:tc>
          <w:tcPr>
            <w:tcW w:w="831" w:type="dxa"/>
          </w:tcPr>
          <w:p w14:paraId="3803766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是否允许进口产品</w:t>
            </w:r>
          </w:p>
        </w:tc>
        <w:tc>
          <w:tcPr>
            <w:tcW w:w="831" w:type="dxa"/>
          </w:tcPr>
          <w:p w14:paraId="7EF33B3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是否属于节能产品</w:t>
            </w:r>
          </w:p>
        </w:tc>
        <w:tc>
          <w:tcPr>
            <w:tcW w:w="831" w:type="dxa"/>
          </w:tcPr>
          <w:p w14:paraId="5B177487">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是否属于环境标志产品</w:t>
            </w:r>
          </w:p>
        </w:tc>
      </w:tr>
      <w:tr w14:paraId="068D4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3638BC">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831" w:type="dxa"/>
          </w:tcPr>
          <w:p w14:paraId="5DC5FF6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第二课堂综合改革项目-优秀传统文化基地建设项目</w:t>
            </w:r>
          </w:p>
        </w:tc>
        <w:tc>
          <w:tcPr>
            <w:tcW w:w="831" w:type="dxa"/>
          </w:tcPr>
          <w:p w14:paraId="3F1CE2D2">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1.00</w:t>
            </w:r>
          </w:p>
        </w:tc>
        <w:tc>
          <w:tcPr>
            <w:tcW w:w="831" w:type="dxa"/>
          </w:tcPr>
          <w:p w14:paraId="08F0FD5A">
            <w:pPr>
              <w:jc w:val="right"/>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705,845.00</w:t>
            </w:r>
          </w:p>
        </w:tc>
        <w:tc>
          <w:tcPr>
            <w:tcW w:w="831" w:type="dxa"/>
          </w:tcPr>
          <w:p w14:paraId="7338D814">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项</w:t>
            </w:r>
          </w:p>
        </w:tc>
        <w:tc>
          <w:tcPr>
            <w:tcW w:w="831" w:type="dxa"/>
          </w:tcPr>
          <w:p w14:paraId="72EFFE1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工业</w:t>
            </w:r>
          </w:p>
        </w:tc>
        <w:tc>
          <w:tcPr>
            <w:tcW w:w="831" w:type="dxa"/>
          </w:tcPr>
          <w:p w14:paraId="234D054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是</w:t>
            </w:r>
          </w:p>
        </w:tc>
        <w:tc>
          <w:tcPr>
            <w:tcW w:w="831" w:type="dxa"/>
          </w:tcPr>
          <w:p w14:paraId="3D91276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2DFBAED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c>
          <w:tcPr>
            <w:tcW w:w="831" w:type="dxa"/>
          </w:tcPr>
          <w:p w14:paraId="1E5F9D1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否</w:t>
            </w:r>
          </w:p>
        </w:tc>
      </w:tr>
    </w:tbl>
    <w:p w14:paraId="4C29DFE7">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3.3技术要求</w:t>
      </w:r>
    </w:p>
    <w:p w14:paraId="34D3D01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49302C0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标的名称：第二课堂综合改革项目-优秀传统文化基地建设项目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0"/>
        <w:gridCol w:w="1133"/>
        <w:gridCol w:w="6619"/>
      </w:tblGrid>
      <w:tr w14:paraId="1F1DC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215C150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序号</w:t>
            </w:r>
          </w:p>
        </w:tc>
        <w:tc>
          <w:tcPr>
            <w:tcW w:w="1133" w:type="dxa"/>
          </w:tcPr>
          <w:p w14:paraId="6F87488F">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参数性质</w:t>
            </w:r>
          </w:p>
        </w:tc>
        <w:tc>
          <w:tcPr>
            <w:tcW w:w="6619" w:type="dxa"/>
          </w:tcPr>
          <w:p w14:paraId="4DDFBCE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 xml:space="preserve"> 技术参数与性能指标</w:t>
            </w:r>
          </w:p>
        </w:tc>
      </w:tr>
      <w:tr w14:paraId="0716D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0" w:type="dxa"/>
          </w:tcPr>
          <w:p w14:paraId="1D1D4C9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w:t>
            </w:r>
          </w:p>
        </w:tc>
        <w:tc>
          <w:tcPr>
            <w:tcW w:w="1133" w:type="dxa"/>
          </w:tcPr>
          <w:p w14:paraId="6699853B">
            <w:pPr>
              <w:rPr>
                <w:rFonts w:ascii="Calibri" w:hAnsi="Calibri" w:eastAsia="宋体" w:cs="Times New Roman"/>
                <w:sz w:val="21"/>
                <w:u w:val="none"/>
              </w:rPr>
            </w:pPr>
          </w:p>
        </w:tc>
        <w:tc>
          <w:tcPr>
            <w:tcW w:w="6619" w:type="dxa"/>
          </w:tcPr>
          <w:p w14:paraId="582EC42A">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一、项目概况</w:t>
            </w:r>
          </w:p>
          <w:p w14:paraId="29538CB0">
            <w:pPr>
              <w:spacing w:before="105" w:after="120"/>
              <w:ind w:firstLine="48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中华优秀传统文化传承基地是集智能化、数字化、场景化于一体的专业教学与实践空间，通过工作坊实践，激发青年对动态风筝的兴趣，培养潜在的非遗传承人。为满足课程开课需求，现计划建设“中华优秀传统文化传承基地”，包括触控一体机、投影机、多媒体软件、装修、学生实训桌椅等，内容详采购内容。</w:t>
            </w:r>
          </w:p>
          <w:p w14:paraId="65CF9A07">
            <w:pPr>
              <w:spacing w:before="105" w:after="105"/>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 xml:space="preserve">   二、采购内容（包括采购品目 、规格和数量）</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37"/>
              <w:gridCol w:w="1083"/>
              <w:gridCol w:w="1167"/>
              <w:gridCol w:w="1517"/>
              <w:gridCol w:w="1383"/>
            </w:tblGrid>
            <w:tr w14:paraId="2479BB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4908C1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color w:val="000000"/>
                      <w:sz w:val="21"/>
                      <w:u w:val="none"/>
                      <w:lang w:val="en-US" w:eastAsia="zh-Hans"/>
                    </w:rPr>
                    <w:t>主要设备</w:t>
                  </w:r>
                </w:p>
              </w:tc>
              <w:tc>
                <w:tcPr>
                  <w:tcW w:w="10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8C964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color w:val="000000"/>
                      <w:sz w:val="21"/>
                      <w:u w:val="none"/>
                      <w:lang w:val="en-US" w:eastAsia="zh-Hans"/>
                    </w:rPr>
                    <w:t>数量（间）</w:t>
                  </w:r>
                </w:p>
              </w:tc>
              <w:tc>
                <w:tcPr>
                  <w:tcW w:w="11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AA5E82">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color w:val="000000"/>
                      <w:sz w:val="21"/>
                      <w:u w:val="none"/>
                      <w:lang w:val="en-US" w:eastAsia="zh-Hans"/>
                    </w:rPr>
                    <w:t>面积（㎡）</w:t>
                  </w:r>
                </w:p>
              </w:tc>
              <w:tc>
                <w:tcPr>
                  <w:tcW w:w="15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BAE08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color w:val="000000"/>
                      <w:sz w:val="21"/>
                      <w:u w:val="none"/>
                      <w:lang w:val="en-US" w:eastAsia="zh-Hans"/>
                    </w:rPr>
                    <w:t>预算（万元/间）</w:t>
                  </w:r>
                </w:p>
              </w:tc>
              <w:tc>
                <w:tcPr>
                  <w:tcW w:w="13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DF2385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color w:val="000000"/>
                      <w:sz w:val="21"/>
                      <w:u w:val="none"/>
                      <w:lang w:val="en-US" w:eastAsia="zh-Hans"/>
                    </w:rPr>
                    <w:t>合计（万元）</w:t>
                  </w:r>
                </w:p>
              </w:tc>
            </w:tr>
            <w:tr w14:paraId="0D7F84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3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82BFA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中华优秀传统文化传承基地</w:t>
                  </w:r>
                </w:p>
              </w:tc>
              <w:tc>
                <w:tcPr>
                  <w:tcW w:w="10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DA1F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11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7721B">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126</w:t>
                  </w:r>
                </w:p>
              </w:tc>
              <w:tc>
                <w:tcPr>
                  <w:tcW w:w="15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2450B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70.5845</w:t>
                  </w:r>
                </w:p>
              </w:tc>
              <w:tc>
                <w:tcPr>
                  <w:tcW w:w="138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4D1CC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70.5845</w:t>
                  </w:r>
                </w:p>
              </w:tc>
            </w:tr>
          </w:tbl>
          <w:p w14:paraId="1A93474E">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三、技术要求（包括对产品的认证、检验报告等）</w:t>
            </w:r>
          </w:p>
          <w:p w14:paraId="0E38F62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中华优秀传统文化传承基地配置参数</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0"/>
              <w:gridCol w:w="632"/>
              <w:gridCol w:w="4052"/>
              <w:gridCol w:w="616"/>
              <w:gridCol w:w="584"/>
            </w:tblGrid>
            <w:tr w14:paraId="6A09B1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EA6D9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序号</w:t>
                  </w:r>
                </w:p>
              </w:tc>
              <w:tc>
                <w:tcPr>
                  <w:tcW w:w="6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24479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名称</w:t>
                  </w:r>
                </w:p>
              </w:tc>
              <w:tc>
                <w:tcPr>
                  <w:tcW w:w="405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6F3173">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参数要求</w:t>
                  </w:r>
                </w:p>
              </w:tc>
              <w:tc>
                <w:tcPr>
                  <w:tcW w:w="61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E0E4C9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数量</w:t>
                  </w:r>
                </w:p>
              </w:tc>
              <w:tc>
                <w:tcPr>
                  <w:tcW w:w="58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485A04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单位</w:t>
                  </w:r>
                </w:p>
              </w:tc>
            </w:tr>
            <w:tr w14:paraId="37F4AE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CCE25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A1C6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65寸触控一体机</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B6B924">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一、硬件要求：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1.屏体要求：65英寸，液晶 LED，A 规屏，显示比例(16：9)；</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2.亮度：≥300cd/m2、对比度：≥5000:1、屏体物理分辨率≥3840*2160；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3.防眩光功能：采用 4mm 厚 AG 钢化玻璃，防眩光，减少玻璃反射光的影响，反射率小于 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4.触摸技术：红外感应技术，20 点触控，支持20 笔或以上同时书写。</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5.前置接口：≥USB3.0*3；≥Type C*1；≥Touch USB*1；≥HDMI in*1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6.前置≥3 个 USB 3.0。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7.后置接口：≥MIC In*1、≥YPBPR*1、≥COAXIAL Out*1、≥Earphone Out*1、≥PC Audio In*1、≥VGA*1、≥RS232*1、≥AV In*1、≥AV Out*1、≥LAN In*1、≥HDMI in*1、USB*2、≥Touch USB*1、≥TF Card*1；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8.前置按键≥7 个包括：录屏、图像比例、音量-、音量+、设置、护眼、电源；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9.整机开关、电脑开关和节能待机键三合一，操作便捷；设备支持通过前置按键一键启动录屏功能，可将屏幕中显示的课件、音频等内容与老师人声同步录制，方便制作教学视频；支持 OPS 一键还原。</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10.内部缓存容量（RAM）：≥2GB ；内部存储容量（ROM）：≥16GB。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11.内置双路 WIFI，支持 AP 热点，Wifi : 2.4GHz / AP : 2.4GHz/5GHz。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12.一键调整分辨率: 可通过及触摸按键对内置电脑画面实现一键切换屏幕分辨率，调整画面显示比例；整机支持一键黑屏节能 70%。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13.信源通道自动识别：设备能自动识别并切换到最新接入的信号源通道，且断开后能回到上一通道。自动跳转前支持选择确认，待确认后再跳转。</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14.童锁开关：产品应支持童锁开关功能，当开启童锁功能后，界面将被锁住，避免学生随意操作出现的系统故障问题。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15.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16.整机具备智能手势识别功能，在任意信号源通道下均可识别五指上、下、左、右方向手势滑动，调取熄屏、批注、桌面、半屏模式功能。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17.内置≥1300 万像素 4K 高清摄像头以及≥8 个阵列麦克风</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二、OPS 配置要求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1.插拔式OPS微型PC设计，国产操作系统2.7G主频、8GB内存或以上配置、256G固态硬盘或以上配置；开放式可插接INTEL规范接口（OPS接口），双面合计80针。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2.支持WIFI无线网络，带双天线，带RJ45接口100M/1000Mbs。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3.具备电源（POWER）开关按键和RESET（重置）孔。</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4.接口：LINE OUT≥1，MIC IN≥1，HDMI≥1，RJ45≥1，WIFI≥2，USB≥4。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支持电源：AC input:100-240V/50-60HZ ；DC output:19V/5A。</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B8942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A80FE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36F06F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50328F">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C68DF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55寸触控一体机</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311F3B">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一、硬件要求：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1.屏体要求：55英寸，液晶 LED，A 规屏，显示比例(16：9)；</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2.亮度：≥300cd/m2、对比度：≥5000:1、屏体物理分辨率≥3840*2160；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3.防眩光功能：采用 4mm 厚 AG 钢化玻璃，防眩光，减少玻璃反射光的影响，反射率小于 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4.触摸技术：红外感应技术，20 点触控，支持20 笔或以上同时书写。</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5.前置接口：≥USB3.0*3；≥Type C*1；≥Touch USB*1；≥HDMI in*1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6.前置≥3 个 USB 3.0接口。</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7.后置接口：≥MIC In*1、≥YPBPR*1、≥COAXIAL Out*1、≥Earphone Out*1、≥PC Audio In*1、≥VGA*1、≥RS232*1、≥AV In*1、≥AV Out*1、≥LAN In*1、≥HDMI in*1、USB*2、≥Touch USB*1、≥TF Card*1；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8.前置按键≥7 个包括：录屏、图像比例、音量-、音量+、设置、护眼、电源；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9.整机开关、电脑开关和节能待机键三合一，操作便捷；设备支持通过前置按键一键启动录屏功能，可将屏幕中显示的课件、音频等内容与老师人声同步录制，方便制作教学视频；支持 OPS 一键还原。</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10.内部缓存容量（RAM）：≥2GB ；内部存储容量（ROM）：≥16GB。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11.内置双路 WIFI，支持 AP 热点，Wifi : 2.4GHz / AP : 2.4GHz/5GHz。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12.一键调整分辨率: 可通过及触摸按键对内置电脑画面实现一键切换屏幕分辨率，调整画面显示比例；整机支持一键黑屏节能 70%。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13.信源通道自动识别：设备能自动识别并切换到最新接入的信号源通道，且断开后能回到上一通道。自动跳转前支持选择确认，待确认后再跳转。</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14.童锁开关：产品应支持童锁开关功能，当开启童锁功能后，界面将被锁住，避免学生随意操作出现的系统故障问题。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15.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16.整机具备智能手势识别功能，在任意信号源通道下均可识别五指上、下、左、右方向手势滑动，调取熄屏、批注、桌面、半屏模式功能。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17.内置≥1300 万像素 4K 高清摄像头以及≥8 个阵列麦克风</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二、OPS 配置要求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1.插拔式OPS微型PC设计，国产操作系统2.7G主频、8GB内存或以上配置、256G固态硬盘或以上配置；开放式可插接INTEL规范接口（OPS接口），双面合计80针。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2.支持WIFI无线网络，带双天线，带RJ45接口100M/1000Mbs。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3.具备电源（POWER）开关按键和RESET（重置）孔。</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4.接口：LINE OUT≥1，MIC IN≥1，HDMI≥1，RJ45≥1，WIFI≥2，USB≥4。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支持电源：AC input:100-240V/50-60HZ ；DC output:19V/5A。"</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DD04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90B07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57DADC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5750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3</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CD13E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86寸触控一体机</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BD174">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一、硬件要求：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1.屏体要求：86英寸，液晶 LED，A 规屏，显示比例(16：9)；</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2.亮度：≥300cd/m2、对比度：≥5000:1、屏体物理分辨率≥3840*2160；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3.防眩光功能：采用 4mm 厚 AG 钢化玻璃，防眩光，减少玻璃反射光的影响，反射率小于 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4.触摸技术：红外感应技术，20 点触控，支持20 笔或以上同时书写。</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5.前置接口：≥USB3.0*3；≥Type C*1；≥Touch USB*1；≥HDMI in*1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6.前置≥3 个 USB 3.0 接口。</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7.后置接口：≥MIC In*1、≥YPBPR*1、≥COAXIAL Out*1、≥Earphone Out*1、≥PC Audio In*1、≥VGA*1、≥RS232*1、≥AV In*1、≥AV Out*1、≥LAN In*1、≥HDMI in*1、USB*2、≥Touch USB*1、≥TF Card*1；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8.前置按键≥7 个包括：录屏、图像比例、音量-、音量+、设置、护眼、电源；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9.整机开关、电脑开关和节能待机键三合一，操作便捷；设备支持通过前置按键一键启动录屏功能，可将屏幕中显示的课件、音频等内容与老师人声同步录制，方便制作教学视频；支持 OPS 一键还原。</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10.内部缓存容量（RAM）：≥2GB ；内部存储容量（ROM）：≥16GB。</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11.内置双路 WIFI，支持 AP 热点，Wifi : 2.4GHz / AP : 2.4GHz/5GHz。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12.一键调整分辨率: 可通过及触摸按键对内置电脑画面实现一键切换屏幕分辨率，调整画面显示比例；整机支持一键黑屏节能 70%。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13.信源通道自动识别：设备能自动识别并切换到最新接入的信号源通道，且断开后能回到上一通道。自动跳转前支持选择确认，待确认后再跳转。</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14.童锁开关：产品应支持童锁开关功能，当开启童锁功能后，界面将被锁住，避免学生随意操作出现的系统故障问题。</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15.悬浮菜单：在任意信号源通道下均可调用悬浮菜单，悬浮菜单具有一键启用应用软件、随时批注擦除，切换信号源等功能，悬浮菜单中的信号源支持自定义修改且可一键直达常用信号源可通过两指调用到屏幕任意位置。悬浮菜单中的应用可根据使用需求进行应用或功能的替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16.整机具备智能手势识别功能，在任意信号源通道下均可识别五指上、下、左、右方向手势滑动，调取熄屏、批注、桌面、半屏模式功能。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17.内置≥1300 万像素 4K 高清摄像头以及≥8 个阵列麦克风</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二、OPS 配置要求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1.插拔式OPS微型PC设计，国产操作系统2.7G主频、8GB内存或以上配置、256G固态硬盘或以上配置；开放式可插接INTEL规范接口（OPS接口），双面合计80针。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2.支持WIFI无线网络，带双天线，带RJ45接口100M/1000Mbs。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3.具备电源（POWER）开关按键和RESET（重置）孔。</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4.接口：LINE OUT≥1，MIC IN≥1，HDMI≥1，RJ45≥1，WIFI≥2，USB≥4。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支持电源：AC input:100-240V/50-60HZ ；DC output:19V/5A。"</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86C23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F7641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0DB339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839C6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4</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D5AB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投影机</w:t>
                  </w:r>
                  <w:r>
                    <w:rPr>
                      <w:rFonts w:hint="eastAsia" w:ascii="仿宋_GB2312" w:hAnsi="仿宋_GB2312" w:eastAsia="仿宋_GB2312" w:cs="仿宋_GB2312"/>
                      <w:b/>
                      <w:color w:val="000000"/>
                      <w:sz w:val="21"/>
                      <w:u w:val="none"/>
                      <w:lang w:val="en-US" w:eastAsia="zh-Hans"/>
                    </w:rPr>
                    <w:t>（核心产品）</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66ACB4">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专业高清激光工程投影机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sz w:val="21"/>
                      <w:u w:val="none"/>
                      <w:lang w:val="en-US" w:eastAsia="zh-Hans"/>
                    </w:rPr>
                    <w:t xml:space="preserve"> ★</w:t>
                  </w:r>
                  <w:r>
                    <w:rPr>
                      <w:rFonts w:hint="eastAsia" w:ascii="仿宋_GB2312" w:hAnsi="仿宋_GB2312" w:eastAsia="仿宋_GB2312" w:cs="仿宋_GB2312"/>
                      <w:color w:val="000000"/>
                      <w:sz w:val="21"/>
                      <w:u w:val="none"/>
                      <w:lang w:val="en-US" w:eastAsia="zh-Hans"/>
                    </w:rPr>
                    <w:t>1.投影技术：采用DLP技术、芯片：≥0.67"DMD。</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2.光源类型：MCL 激光⼆极管模组。光源使⽤寿命：标准模式：20000 ⼩时，节能模式：30000 ⼩时。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3.亮度≥6600lm （中⼼亮度），≥6500（ISO21118 标准） 。</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4.分辨率：≥1920×1200 兼容 4096x2160 ，3840x2160 ，1920×1080 ，1280×800 ，1024×768（WL)。</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5.对⽐度：≥300,0000:1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6.显⽰⽐例：16:10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7.选配镜头：0.55:1、0.7-1.2:1、1.2-1.5:1、</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8.镜头⽀持电动位移/聚焦/变焦功能，⽀持 5 种位置记忆及镜头锁定功能 ，镜头位移范围：  V: +/-120% ,H: +/-40% 。镜头移位精度：每步 0.5 像素。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9.整机功率：标准模式：≥405W+/-15%,节能模式 195W+/-15%。待机功率：   0.5W。</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10.整机重量：≥13kg。</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11.光源备份技术，其⼀激光器停⽌⼯作显⽰画⾯也可正常显⽰。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12.扬声器输出功率 10Wx2。</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13.产品内置多点⼏何校正功能。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14.产品认证：3C认证证书、节能环保证书，CMA、ilac MRA、CNAS印章的第三方权威检测机构出具的检测报告或者认证证书。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15.能效等级：投影机符合GB32028-2015《投影机能效限定值及能效等级》一级能效等级标准，CEL备案信息结果可在中国能效标识网站查询结果。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16.供货要求：提供厂家供货证明函和售后服务承诺函。</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3003F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5E978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65FC05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7E6CF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5</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77CB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显示器</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8DA442">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1、能效等级：三级能效</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2、分辨率：3840*2160</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3、特性：节能认证三面微边框FreeSync</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4、屏幕刷新率：160HZ</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5、曲率：平面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6、面板：IPS (Fast)</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7、屏幕比例：16:9</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8、接口：HDMIDP音频/耳机输出</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9、响应时间：1ms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10、对比度：1000:1</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5363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B2E4F">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0019D1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6468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6</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B4DAB">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风筝瀑布流软件</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8DCD5D">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本系统要求全部支持国产化部署。</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1、照片瀑布流展示交互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支持照片上传，包含名称、类型、简介、视频等信息。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2、瀑布流展示与触控交互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照片墙采用瀑布流布局，支持触控交互。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点击照片后显示详细信息（名称、类型、简介、视频等）。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照片可放大、缩小，并支持触控动画效果。</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3、自动恢复瀑布流功能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无人交互时，自动恢复至瀑布流展示页面。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支持通过触摸事件、滚动事件等检测用户活动。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4、照片和风筝数据管理功能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支持照片的增、删、改、查管理。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支持批量上传风筝照片和信息。</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支持按类型或标签对风筝照片进行分类和搜索。</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63032">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2306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套</w:t>
                  </w:r>
                </w:p>
              </w:tc>
            </w:tr>
            <w:tr w14:paraId="795802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6ACF1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7</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739F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全息风筝飞翔软件</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4DEB54">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本系统要求全部支持国产化部署。</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 前端系统</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查询界面：支持多维度分类：传统结构（平面、弓形、盒形）、地域文化（中国、日本、印度等）、现代功能（特技、装饰）。</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多级筛选：按材质、尺寸、地域等条件进行过滤。</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用户友好交互：简洁UI，支持触摸和键盘操作，模糊搜索带自动补全。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全息展示界面：</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动态风筝沉浸式展示：查询界面中的风筝可交互，触发风筝的放飞功能。</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 后台管理系统及API接口开发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风筝管理：支持上传、编辑、删除风筝信息（名称、分类、地域、描述、图片、视频）。</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用户管理：管理员认证功能，基于JWT的角色访问控制。</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仪表板：展示风筝统计信息（总数、分类分布）。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文件上传验证：支持图片格式：JPG/PNG，视频格式：MP4。</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文件大小限制设置。</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8FF252">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AE8A2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套</w:t>
                  </w:r>
                </w:p>
              </w:tc>
            </w:tr>
            <w:tr w14:paraId="1CA37B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09374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8</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A2FA7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策划与课程内容开发</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386F8">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与非遗传承人共同研讨课程体系内容，撰写课程大纲、课程内容策划、分镜脚本、课程PPT制作</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251CF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06585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18EA57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5878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9</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52BE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课程拍摄制作</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B61C1">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非遗传承人采访及技艺演示拍摄；含工具、材料、作品，拍摄4k高清双机位拍摄，虚拟数字人导师、演播室三维场景、二维动画演示、三维动画演示。多机位拍摄素材剪辑合成、调色、特效制作、字幕制作。</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CB78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44DF8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24A643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22591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10</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F6D352">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宣传推广</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0C316">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宣传海报设计制作≥5张、宣传视频制作≥2分钟</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060C3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378C3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70A2C1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7EF3A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11</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0C8A5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六边形桌子</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24E7DC">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尺寸：直径1600mm</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1、桌面采用25mm优质三聚氰胺板 ，PVC黑白相间封边 ，四角倒角R25</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2、挡板采用16mm优质三聚氰胺板 ，PVC本色封边，具防火、耐磨、防污、牢固耐用。</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3、钢架结构后脚采用 30*60*1.2mm 优质高频焊接平椭管 ，前脚25*50*1.2mm 优质高频焊接平椭管成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65°夹角焊接而成 ，后脚长度为545mm，前脚长度为521mm。拼接缝配有 PP优质工程塑料装饰盖美观</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大气。</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4、台面连接板采用 2.0mm厚优质冷轧钢板 ，经激光切割成手枪型再经数控折弯加工而成 ，边角倒角</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R10。挡板连接板采用 2.0mm厚优质冷轧钢板 ，嵌入大立柱内再经机器人自动焊接 。</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5、前后后脚套采用 PP优质工程塑料一体注塑成型 ，表面为哑光面 ，突显大气上档次 。</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6、折叠结构采用铝合金铸铝接头 ，尺寸为71*80*68经表面静电喷涂 ，旋钮盖采用PP优质工程塑料一</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体注塑成型 ，尺寸为：φ65*25</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7、两个折叠铝接头中间连接横管采用 φ50*1.2优质高频焊接圆管 ，铝接头与圆管之间采用 9.8级</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M14*14内六角机米顶丝固定 。</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8、桌面两侧底部配有塑料拼接器 ，桌子底部配有四个 D65-M8*25灰白相间丝杆脚轮带刹车</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9、桌面底部配有圆管书网 ，书网有4条φ14*0.6优质冷轧高频焊接圆管和 PP塑料侧片组合而成 。</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E3430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4</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28E832">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组</w:t>
                  </w:r>
                </w:p>
              </w:tc>
            </w:tr>
            <w:tr w14:paraId="27F5A1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6B3EB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12</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090E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滑轮转椅</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7523E6">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1.靠背采用PP加玻纤工程塑料背框扪高强度弹性透气加</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密网布，精抛工艺铝合金连接件/可逍遥，牢固可靠不</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易断</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2.座包采用高密度切割纯棉优质加密弹性绒布、采用成</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型多层环保木板</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3.尼龙扶手支架、PP扶手面可前后滑动扶手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4.椅架采用国标足厚1.5mm厚毛坯定制金属异型管材，横梁采用加粗19管足厚1.8mm圆管稳固性强。整架精细打磨抛光，除锈处理静电喷粉工艺，可折收纳</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5..采用PP扶手，持久使用不易变形，不易损；椅子扶手部件。</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4071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40</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07686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把</w:t>
                  </w:r>
                </w:p>
              </w:tc>
            </w:tr>
            <w:tr w14:paraId="668C49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6550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13</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EBC05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DIY区域手工操作台</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4EAE21">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环保实木颗粒，碳素一体钢架</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1B303">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7959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张</w:t>
                  </w:r>
                </w:p>
              </w:tc>
            </w:tr>
            <w:tr w14:paraId="6864F2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CDFB7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14</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23274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工具置物柜（定制）</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4203F">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 xml:space="preserve">1.柜体采用16MM厚E1环保MFC板材，全A标准PVC封边；  </w:t>
                  </w:r>
                </w:p>
                <w:p w14:paraId="2203F635">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2.柜体层板采用16MM厚E1环保MFC板材，全A标准PVC封边；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3.柜门采用磁碰式开门方式，门铰为阻尼门铰，带缓冲功能；</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11FE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0A4FDB">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张</w:t>
                  </w:r>
                </w:p>
              </w:tc>
            </w:tr>
            <w:tr w14:paraId="0148A7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CF7FF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15</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9BB3EB">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手工作品展示柜</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7FA3B8">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1.柜体采用16MM厚E1环保MFC板材，全A标准PVC封边;</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2.柜体层板采用16MM厚E1环保MFC板材，全A标准PVC封边;</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F72E3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4580C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张</w:t>
                  </w:r>
                </w:p>
              </w:tc>
            </w:tr>
            <w:tr w14:paraId="781E7C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3647A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16</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C1CCC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风筝材料及制作工具</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B08BB">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竹片原材料、电钻、纸张、画笔、胶水、风筝线、刻刀、染料等、文创产品</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07165B">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36CC9B">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5F9051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B811FB">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17</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C51A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泥塑及陶艺制作材料</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B15816">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电动陶艺转台4台、超轻粘土、造型工具、陶泥、颜料、光油、复合材料、剪刀、指南书、收纳盒、调色盘等</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EF705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CF1E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5F02E3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5EF21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18</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51D2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监控摄像机</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9B679">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分辨率与帧率: 1920 × 1080 @ 25 fps</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传感器与低照: 1/2.7" CMOS，彩色最低照度 0.0005 Lux</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夜视能力: 支持 柔光灯 (白光) 补光，距离最远可达 30米，实现全彩夜视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镜头选项: 提供 2.8mm / 4mm / 6mm / 8mm 多种固定焦距可选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图像技术: 支持 120 dB 宽动态 (WDR)，强光抑制，3D数字降噪</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智能侦测: 支持 越界侦测、区域入侵侦测 (含人形检测)</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音频功能: 内置麦克风，可拾取现场声音</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视频压缩: 支持 H.265 高效压缩标准</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防护等级: IP66 防尘防水，适用于室外环境</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供电方式: 支持 DC 12V 及 PoE (802.3af) 网络供电</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8A79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4</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0D27D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005A75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B74C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19</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8F2E1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文化墙设计制作</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F91430">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12mmPVC 水晶板高清，内容根据甲方要求进行定制</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DB03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41C0F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4B7CEA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61125">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20</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96C3C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空调</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AA95E3">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变频冷暖空调，匹数：不低于3匹；制冷量(W)：约7200(900~8600)制热量(W)：约9200(900~11040)+2500循环风量(m3/h)：约1210制冷功率：约2350W制热功率：约2800W室内机尺寸：约1750*510*310mm室外机尺寸：约940*670*340mm0.1Hz*精控变频</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E5580">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A66EDF">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台</w:t>
                  </w:r>
                </w:p>
              </w:tc>
            </w:tr>
            <w:tr w14:paraId="3FC638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A8F0B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21</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22AB8">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窗帘（定制）</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B7EB93">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材质：遮光布；可随意调节。普通打褶。风格：日式。原料成分：混纺。</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D673D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0C190B">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710891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58BC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22</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250A4">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广告墙设计制作</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12C738">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亚克力激光雕刻，烤漆成型，高清uv，双层10mm结皮板批腻子烤漆，镀锌板磁吸装裱，高清UV</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157A4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A39FAE">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2DF373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CB777">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23</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67AB1">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投影区域</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7A075">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投影区域设计及投影漆喷涂，面积尺寸约12平方</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A9B52D">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56BBC">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r w14:paraId="2AB263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14BD9">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24</w:t>
                  </w:r>
                </w:p>
              </w:tc>
              <w:tc>
                <w:tcPr>
                  <w:tcW w:w="6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C644B6">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环境建设，系统集成</w:t>
                  </w:r>
                </w:p>
              </w:tc>
              <w:tc>
                <w:tcPr>
                  <w:tcW w:w="405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CCAF8">
                  <w:pPr>
                    <w:spacing w:before="105" w:after="105"/>
                    <w:jc w:val="left"/>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整体项目和环境系统集成、实施、综合布线；整体实训室环境建设、文化氛围建设等。</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环境建设至少需要完成实训室基础环境设计与建设、顶面设计与建设、背景墙设计与建设、独立空间隔断设计与建设；</w:t>
                  </w:r>
                  <w:r>
                    <w:rPr>
                      <w:rFonts w:hint="eastAsia" w:ascii="Calibri" w:hAnsi="Calibri" w:eastAsia="宋体" w:cs="Times New Roman"/>
                      <w:u w:val="none"/>
                      <w:lang w:val="en-US" w:eastAsia="zh-Hans"/>
                    </w:rPr>
                    <w:br w:type="textWrapping"/>
                  </w:r>
                  <w:r>
                    <w:rPr>
                      <w:rFonts w:hint="eastAsia" w:ascii="仿宋_GB2312" w:hAnsi="仿宋_GB2312" w:eastAsia="仿宋_GB2312" w:cs="仿宋_GB2312"/>
                      <w:color w:val="000000"/>
                      <w:sz w:val="21"/>
                      <w:u w:val="none"/>
                      <w:lang w:val="en-US" w:eastAsia="zh-Hans"/>
                    </w:rPr>
                    <w:t>文化氛围建设至少需要完成文化墙设计与建设、实训室文字图片展板设计与建设等内容。</w:t>
                  </w:r>
                </w:p>
              </w:tc>
              <w:tc>
                <w:tcPr>
                  <w:tcW w:w="6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03DABF">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1</w:t>
                  </w:r>
                </w:p>
              </w:tc>
              <w:tc>
                <w:tcPr>
                  <w:tcW w:w="58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A95CA">
                  <w:pPr>
                    <w:spacing w:before="105" w:after="105"/>
                    <w:jc w:val="center"/>
                    <w:rPr>
                      <w:rFonts w:hint="eastAsia" w:ascii="Calibri" w:hAnsi="Calibri" w:eastAsia="宋体" w:cs="Times New Roman"/>
                      <w:u w:val="none"/>
                      <w:lang w:val="en-US" w:eastAsia="zh-Hans"/>
                    </w:rPr>
                  </w:pPr>
                  <w:r>
                    <w:rPr>
                      <w:rFonts w:hint="eastAsia" w:ascii="仿宋_GB2312" w:hAnsi="仿宋_GB2312" w:eastAsia="仿宋_GB2312" w:cs="仿宋_GB2312"/>
                      <w:color w:val="000000"/>
                      <w:sz w:val="21"/>
                      <w:u w:val="none"/>
                      <w:lang w:val="en-US" w:eastAsia="zh-Hans"/>
                    </w:rPr>
                    <w:t>项</w:t>
                  </w:r>
                </w:p>
              </w:tc>
            </w:tr>
          </w:tbl>
          <w:p w14:paraId="6D882335">
            <w:pPr>
              <w:spacing w:before="105" w:after="105"/>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四、服务要求</w:t>
            </w:r>
          </w:p>
          <w:p w14:paraId="483610EE">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1.供应商须向买方提交所供货物的技术文件（中文技术文件），例如：货物说明、图纸、操作手册、使用说明、维护手册和／或服务指南等。</w:t>
            </w:r>
          </w:p>
          <w:p w14:paraId="6E0C3605">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2.供应商应向买方提供下列所有服务，包括本项目“技术要求”中规定的附加服务（如果有的话）：</w:t>
            </w:r>
          </w:p>
          <w:p w14:paraId="57F93113">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2.1实施或监督所供货物的现场组装和/或试运行；</w:t>
            </w:r>
          </w:p>
          <w:p w14:paraId="0DE23232">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2.2提供货物组装和/或维修所需的工具；</w:t>
            </w:r>
          </w:p>
          <w:p w14:paraId="12B8319A">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2.3为所供货物的每一适当的单台货物提供详细的操作和维护手册；</w:t>
            </w:r>
          </w:p>
          <w:p w14:paraId="098F28A3">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 xml:space="preserve">2.4在双方商定的一定期限内对所供货物实施运行或监督或维护或修理，但前提条件是该服务并不能免除供应商在合同保证期内所承担的义务；  </w:t>
            </w:r>
          </w:p>
          <w:p w14:paraId="0F526B60">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2.5在供应商或制造厂和/或在项目现场就所供货物的组装、试运行、运行、维护和/或修理、软硬件升级对买方人员进行培训。</w:t>
            </w:r>
          </w:p>
          <w:p w14:paraId="4050CFD0">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3.供应商应提供本项目“技术要求”中规定的所有服务。为履行要求的伴随服务的报价或双方商定的费用应包括在合同价中。</w:t>
            </w:r>
          </w:p>
          <w:p w14:paraId="2A6378FE">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4.如果供应商或制造厂提供的伴随服务的费用未含在货物的合同价中，双方应事先就其达成协议，但其费用单价不应超过供应商向其他人提供类似服务所收取的现行单价。</w:t>
            </w:r>
          </w:p>
          <w:p w14:paraId="304D728C">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五、商务要求</w:t>
            </w:r>
          </w:p>
          <w:p w14:paraId="3AE6117E">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1.交货期：自合同签订之日90天；</w:t>
            </w:r>
          </w:p>
          <w:p w14:paraId="5D7AC8DC">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2.供应商须提供售后服务承诺；</w:t>
            </w:r>
          </w:p>
          <w:p w14:paraId="7B4F8F71">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b/>
                <w:sz w:val="21"/>
                <w:u w:val="none"/>
                <w:lang w:val="en-US" w:eastAsia="zh-Hans"/>
              </w:rPr>
              <w:t>六、其他</w:t>
            </w:r>
          </w:p>
          <w:p w14:paraId="7D5984E9">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（一）对供应商业绩的要求。</w:t>
            </w:r>
          </w:p>
          <w:p w14:paraId="023390A4">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供应商须提供2021年1月1日至今同类项目业绩，以合同签订时间为准，同时提供以下证明材料：①供货合同、②增值税发票。注：①、②必须同时提供，否则业绩不予认可。</w:t>
            </w:r>
          </w:p>
          <w:p w14:paraId="4267FF31">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（二）质量验收标准或规范</w:t>
            </w:r>
          </w:p>
          <w:p w14:paraId="5AA7ADDE">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1.项目验收分初验和终验:</w:t>
            </w:r>
          </w:p>
          <w:p w14:paraId="0499B419">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初验：货物到达交货地点后，由使用单位根据合同对货物的名称、品牌、规格、型号、产地、数量进行检查。</w:t>
            </w:r>
          </w:p>
          <w:p w14:paraId="75511D40">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终验：所有货物安装完毕，正常使用10个日历日后，由招标人、使用单位进行终验（最终验收），合格后签发《终验合格单》。</w:t>
            </w:r>
          </w:p>
          <w:p w14:paraId="4025B12A">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验收不合格的成交人，必须在接到通知后7个日历日内确保货物通过验收。如接到通知后7个日历日内验收仍不合格，招标人可提出索赔或取消其供货合同。招标代理机构将把成交资格授予评审排序下一名的成交人。</w:t>
            </w:r>
          </w:p>
          <w:p w14:paraId="06384E1C">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3.验收依据</w:t>
            </w:r>
          </w:p>
          <w:p w14:paraId="1787D518">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3.1合同文本及合同补充文件（条款）。</w:t>
            </w:r>
          </w:p>
          <w:p w14:paraId="2815C3E5">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3.2磋商文件。</w:t>
            </w:r>
          </w:p>
          <w:p w14:paraId="064332C1">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3.3成交人的磋商响应文件。</w:t>
            </w:r>
          </w:p>
          <w:p w14:paraId="662292DD">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3.4合同货物清单。</w:t>
            </w:r>
          </w:p>
          <w:p w14:paraId="586D1734">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3.5生产厂家的企业资质、货物的执行标准。</w:t>
            </w:r>
          </w:p>
          <w:p w14:paraId="066FF5FC">
            <w:pPr>
              <w:spacing w:before="105" w:after="105"/>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 xml:space="preserve">   （三）产品质保期</w:t>
            </w:r>
          </w:p>
          <w:p w14:paraId="2E73E07D">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质保期为终验合格后软件不少于12个月，其余设备不少于12个月（参数中有具体要求的，按参数要求提供质保）。供应商承诺的质保时间超过质保期要求的，按其承诺时间质保。</w:t>
            </w:r>
          </w:p>
          <w:p w14:paraId="3990B28C">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（四）违约责任</w:t>
            </w:r>
          </w:p>
          <w:p w14:paraId="25235BBE">
            <w:pPr>
              <w:spacing w:before="105" w:after="105"/>
              <w:ind w:firstLine="560"/>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1.按《中华人民共和国民法典》中的相关条款执行；</w:t>
            </w:r>
          </w:p>
          <w:p w14:paraId="3A2C2891">
            <w:pPr>
              <w:spacing w:before="105" w:after="105"/>
              <w:jc w:val="both"/>
              <w:rPr>
                <w:rFonts w:hint="eastAsia" w:ascii="Calibri" w:hAnsi="Calibri" w:eastAsia="宋体" w:cs="Times New Roman"/>
                <w:u w:val="none"/>
                <w:lang w:val="en-US" w:eastAsia="zh-Hans"/>
              </w:rPr>
            </w:pPr>
            <w:r>
              <w:rPr>
                <w:rFonts w:hint="eastAsia" w:ascii="仿宋_GB2312" w:hAnsi="仿宋_GB2312" w:eastAsia="仿宋_GB2312" w:cs="仿宋_GB2312"/>
                <w:sz w:val="21"/>
                <w:u w:val="none"/>
                <w:lang w:val="en-US" w:eastAsia="zh-Hans"/>
              </w:rPr>
              <w:t>2.未按合同要求提供货物或货物质量不能满足技术要求，招标人有权终止合同，并对供方违约行为进行追究，同时按《中华人民共和国招标投标法》的有关规定进行处罚。</w:t>
            </w:r>
          </w:p>
          <w:p w14:paraId="00F149E3">
            <w:pPr>
              <w:jc w:val="both"/>
              <w:rPr>
                <w:rFonts w:hint="eastAsia" w:ascii="Calibri" w:hAnsi="Calibri" w:eastAsia="宋体" w:cs="Times New Roman"/>
                <w:u w:val="none"/>
                <w:lang w:val="en-US" w:eastAsia="zh-Hans"/>
              </w:rPr>
            </w:pPr>
          </w:p>
        </w:tc>
      </w:tr>
    </w:tbl>
    <w:p w14:paraId="6CA431D0">
      <w:pPr>
        <w:outlineLvl w:val="2"/>
        <w:rPr>
          <w:rFonts w:hint="eastAsia" w:ascii="Calibri" w:hAnsi="Calibri" w:eastAsia="宋体" w:cs="Times New Roman"/>
          <w:u w:val="none"/>
          <w:lang w:val="en-US" w:eastAsia="zh-Hans"/>
        </w:rPr>
      </w:pPr>
      <w:r>
        <w:rPr>
          <w:rFonts w:hint="eastAsia" w:ascii="仿宋_GB2312" w:hAnsi="仿宋_GB2312" w:eastAsia="仿宋_GB2312" w:cs="仿宋_GB2312"/>
          <w:b/>
          <w:sz w:val="28"/>
          <w:u w:val="none"/>
          <w:lang w:val="en-US" w:eastAsia="zh-Hans"/>
        </w:rPr>
        <w:t>3.4商务要求</w:t>
      </w:r>
    </w:p>
    <w:p w14:paraId="77731B80">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3.4.1交货时间</w:t>
      </w:r>
    </w:p>
    <w:p w14:paraId="477CED2D">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5A2EA83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自合同签订之日90天</w:t>
      </w:r>
    </w:p>
    <w:p w14:paraId="4C80BB97">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3.4.2交货地点和方式</w:t>
      </w:r>
    </w:p>
    <w:p w14:paraId="16325EC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84D61B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采购人指定地点</w:t>
      </w:r>
    </w:p>
    <w:p w14:paraId="1C3021AB">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3.4.3支付方式</w:t>
      </w:r>
    </w:p>
    <w:p w14:paraId="4C2D3F4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1B7FCA7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分期付款</w:t>
      </w:r>
    </w:p>
    <w:p w14:paraId="6C1E4105">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3.4.4支付约定</w:t>
      </w:r>
    </w:p>
    <w:p w14:paraId="7B1A7920">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合同生效且系统设备到货后 ，达到付款条件起 30 日内，支付合同总金额的 60.00%。</w:t>
      </w:r>
    </w:p>
    <w:p w14:paraId="3D39286A">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 付款条件说明： 完成全部货物安装并经终验收合格后 ，达到付款条件起 30 日内，支付合同总金额的 40.00%。</w:t>
      </w:r>
    </w:p>
    <w:p w14:paraId="5EF35F5B">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3.4.5验收标准和方法</w:t>
      </w:r>
    </w:p>
    <w:p w14:paraId="4EF36CF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2158B1E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1.项目验收分初验和终验: 初验：货物到达交货地点后，由使用单位根据合同对货物的名称、品牌、规格、型号、产地、数量进行检查。 终验：所有货物安装完毕，正常使用10个日历日后，由招标人、使用单位进行终验（最终验收），合格后签发《终验合格单》。 2.验收不合格的成交人，必须在接到通知后7个日历日内确保货物通过验收。如接到通知后7个日历日内验收仍不合格，招标人可提出索赔或取消其供货合同。招标代理机构将把成交资格授予评审排序下一名的成交人。 3.验收依据 3.1合同文本及合同补充文件（条款）。 3.2采购文件。 3.3成交人的响应文件。 3.4合同货物清单。 3.5生产厂家的企业资质、货物的执行标准。</w:t>
      </w:r>
    </w:p>
    <w:p w14:paraId="7D40A910">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3.4.6包装方式及运输</w:t>
      </w:r>
    </w:p>
    <w:p w14:paraId="41F1D205">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D60B402">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1110D441">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3.4.7质量保修范围和保修期</w:t>
      </w:r>
    </w:p>
    <w:p w14:paraId="6DBE39F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3E53F0E6">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质保期为终验合格后软件不少于12个月，其余设备不少于12个月（参数中有具体要求的，按参数要求提供质保）。供应商承诺的质保时间超过质保期要求的，按其承诺时间质保。</w:t>
      </w:r>
    </w:p>
    <w:p w14:paraId="79B40339">
      <w:pPr>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3.4.8违约责任及解决争议的方法</w:t>
      </w:r>
    </w:p>
    <w:p w14:paraId="26F1F5A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0DFBAFDE">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1.按《中华人民共和国民法典》中的相关条款执行； 2.未按合同要求提供货物或货物质量不能满足技术要求，招标人有权终止合同，并对供方违约行为进行追究，同时按《中华人民共和国政府采购法》及相关法律法规的有关规定进行处罚。</w:t>
      </w:r>
    </w:p>
    <w:p w14:paraId="78E35EEB">
      <w:pPr>
        <w:jc w:val="left"/>
        <w:outlineLvl w:val="3"/>
        <w:rPr>
          <w:rFonts w:hint="eastAsia" w:ascii="Calibri" w:hAnsi="Calibri" w:eastAsia="宋体" w:cs="Times New Roman"/>
          <w:u w:val="none"/>
          <w:lang w:val="en-US" w:eastAsia="zh-Hans"/>
        </w:rPr>
      </w:pPr>
      <w:r>
        <w:rPr>
          <w:rFonts w:hint="eastAsia" w:ascii="仿宋_GB2312" w:hAnsi="仿宋_GB2312" w:eastAsia="仿宋_GB2312" w:cs="仿宋_GB2312"/>
          <w:b/>
          <w:sz w:val="24"/>
          <w:u w:val="none"/>
          <w:lang w:val="en-US" w:eastAsia="zh-Hans"/>
        </w:rPr>
        <w:t>3.5其他要求</w:t>
      </w:r>
    </w:p>
    <w:p w14:paraId="68AD8009">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采购包1：</w:t>
      </w:r>
    </w:p>
    <w:p w14:paraId="672DDEB8">
      <w:pPr>
        <w:rPr>
          <w:rFonts w:hint="eastAsia" w:ascii="Calibri" w:hAnsi="Calibri" w:eastAsia="宋体" w:cs="Times New Roman"/>
          <w:u w:val="none"/>
          <w:lang w:val="en-US" w:eastAsia="zh-Hans"/>
        </w:rPr>
      </w:pPr>
      <w:r>
        <w:rPr>
          <w:rFonts w:hint="eastAsia" w:ascii="仿宋_GB2312" w:hAnsi="仿宋_GB2312" w:eastAsia="仿宋_GB2312" w:cs="仿宋_GB2312"/>
          <w:u w:val="none"/>
          <w:lang w:val="en-US" w:eastAsia="zh-Hans"/>
        </w:rPr>
        <w:t>/</w:t>
      </w:r>
    </w:p>
    <w:p w14:paraId="2D8195D4">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863521"/>
    <w:rsid w:val="3E600B1E"/>
    <w:rsid w:val="723A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仿宋_GB2312" w:asciiTheme="minorHAnsi" w:hAnsiTheme="minorHAnsi"/>
      <w:kern w:val="2"/>
      <w:sz w:val="24"/>
      <w:szCs w:val="24"/>
      <w:u w:val="single"/>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8125</Words>
  <Characters>9827</Characters>
  <Lines>0</Lines>
  <Paragraphs>0</Paragraphs>
  <TotalTime>2</TotalTime>
  <ScaleCrop>false</ScaleCrop>
  <LinksUpToDate>false</LinksUpToDate>
  <CharactersWithSpaces>10132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2024-07-18T00:20:00Z</dcterms:created>
  <dc:creator>01</dc:creator>
  <cp:lastModifiedBy>01</cp:lastModifiedBy>
  <dcterms:modified xsi:type="dcterms:W3CDTF">2025-08-14T09:24:31Z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97C7595D1216467DBD95B184707A8D8D_12</vt:lpwstr>
  </property>
  <property fmtid="{D5CDD505-2E9C-101B-9397-08002B2CF9AE}" pid="4" name="KSOTemplateDocerSaveRecord">
    <vt:lpwstr>eyJoZGlkIjoiZGNhYzQwZjI0NmNlNjc3YTVkYjU0ZjU1NWY1MjQ5ODciLCJ1c2VySWQiOiI1Mjc3NDk4MzMifQ==</vt:lpwstr>
  </property>
</Properties>
</file>