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E63F">
      <w:pPr>
        <w:pStyle w:val="47"/>
        <w:widowControl/>
        <w:spacing w:before="0" w:after="0"/>
        <w:ind w:firstLine="0"/>
        <w:jc w:val="both"/>
        <w:rPr>
          <w:rFonts w:ascii="仿宋" w:hAnsi="仿宋" w:eastAsia="仿宋" w:cs="仿宋"/>
          <w:b/>
          <w:sz w:val="32"/>
          <w:szCs w:val="32"/>
          <w:highlight w:val="none"/>
        </w:rPr>
      </w:pPr>
      <w:bookmarkStart w:id="0" w:name="_Toc337620797"/>
      <w:bookmarkStart w:id="1" w:name="_Toc341992707"/>
      <w:bookmarkStart w:id="2" w:name="_Toc342252860"/>
      <w:bookmarkStart w:id="3" w:name="_Toc342241484"/>
      <w:bookmarkStart w:id="4" w:name="_Toc341993786"/>
      <w:bookmarkStart w:id="5" w:name="_Toc341991041"/>
      <w:bookmarkStart w:id="6" w:name="_Toc341993112"/>
      <w:bookmarkStart w:id="7" w:name="_Toc341988481"/>
      <w:bookmarkStart w:id="8" w:name="_Toc341992627"/>
      <w:bookmarkStart w:id="9" w:name="_Toc337622980"/>
      <w:r>
        <w:rPr>
          <w:rFonts w:hint="eastAsia" w:ascii="仿宋" w:hAnsi="仿宋" w:eastAsia="仿宋" w:cs="仿宋"/>
          <w:b/>
          <w:sz w:val="32"/>
          <w:szCs w:val="32"/>
          <w:highlight w:val="none"/>
        </w:rPr>
        <w:t>政府采购项目</w:t>
      </w:r>
    </w:p>
    <w:p w14:paraId="4017E9BB">
      <w:pPr>
        <w:pStyle w:val="47"/>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w:t>
      </w:r>
      <w:r>
        <w:rPr>
          <w:rFonts w:hint="eastAsia" w:ascii="仿宋" w:hAnsi="仿宋" w:eastAsia="仿宋" w:cs="仿宋"/>
          <w:b/>
          <w:sz w:val="32"/>
          <w:szCs w:val="32"/>
          <w:highlight w:val="none"/>
          <w:lang w:val="en-US" w:eastAsia="zh-CN"/>
        </w:rPr>
        <w:t>5-076</w:t>
      </w:r>
    </w:p>
    <w:p w14:paraId="075D22B7">
      <w:pPr>
        <w:pStyle w:val="47"/>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6"/>
          <w:szCs w:val="36"/>
          <w:highlight w:val="none"/>
          <w:lang w:val="en-US"/>
        </w:rPr>
      </w:pPr>
      <w:r>
        <w:rPr>
          <w:rFonts w:hint="eastAsia" w:ascii="仿宋" w:hAnsi="仿宋" w:eastAsia="仿宋" w:cs="仿宋"/>
          <w:b/>
          <w:sz w:val="32"/>
          <w:szCs w:val="32"/>
          <w:highlight w:val="none"/>
          <w:lang w:eastAsia="zh-CN"/>
        </w:rPr>
        <w:t>ZCSP-韩城市-2025-00046</w:t>
      </w:r>
    </w:p>
    <w:p w14:paraId="1C2FFE05">
      <w:pPr>
        <w:pStyle w:val="47"/>
        <w:widowControl/>
        <w:ind w:firstLine="0"/>
        <w:jc w:val="center"/>
        <w:rPr>
          <w:rFonts w:ascii="仿宋" w:hAnsi="仿宋" w:eastAsia="仿宋" w:cs="仿宋"/>
          <w:b/>
          <w:sz w:val="24"/>
          <w:highlight w:val="none"/>
        </w:rPr>
      </w:pPr>
    </w:p>
    <w:p w14:paraId="7FCF15E7">
      <w:pPr>
        <w:pStyle w:val="47"/>
        <w:widowControl/>
        <w:ind w:firstLine="0"/>
        <w:jc w:val="center"/>
        <w:rPr>
          <w:rFonts w:ascii="仿宋" w:hAnsi="仿宋" w:eastAsia="仿宋" w:cs="仿宋"/>
          <w:b/>
          <w:sz w:val="24"/>
          <w:highlight w:val="none"/>
        </w:rPr>
      </w:pPr>
    </w:p>
    <w:p w14:paraId="01D054B3">
      <w:pPr>
        <w:pStyle w:val="47"/>
        <w:widowControl/>
        <w:ind w:firstLine="0"/>
        <w:jc w:val="center"/>
        <w:rPr>
          <w:rFonts w:ascii="仿宋" w:hAnsi="仿宋" w:eastAsia="仿宋" w:cs="仿宋"/>
          <w:b/>
          <w:sz w:val="24"/>
          <w:highlight w:val="none"/>
        </w:rPr>
      </w:pPr>
    </w:p>
    <w:p w14:paraId="0E173ED3">
      <w:pPr>
        <w:pStyle w:val="47"/>
        <w:widowControl/>
        <w:spacing w:before="0" w:after="0"/>
        <w:ind w:firstLine="0"/>
        <w:jc w:val="center"/>
        <w:rPr>
          <w:rFonts w:hint="default" w:ascii="仿宋" w:hAnsi="仿宋" w:eastAsia="仿宋" w:cs="仿宋"/>
          <w:b/>
          <w:bCs/>
          <w:kern w:val="0"/>
          <w:sz w:val="52"/>
          <w:szCs w:val="52"/>
          <w:highlight w:val="none"/>
          <w:lang w:val="en-US" w:eastAsia="zh-CN"/>
        </w:rPr>
      </w:pPr>
      <w:r>
        <w:rPr>
          <w:rFonts w:hint="default" w:ascii="仿宋" w:hAnsi="仿宋" w:eastAsia="仿宋" w:cs="仿宋"/>
          <w:b/>
          <w:bCs/>
          <w:kern w:val="0"/>
          <w:sz w:val="52"/>
          <w:szCs w:val="52"/>
          <w:highlight w:val="none"/>
          <w:lang w:val="en-US" w:eastAsia="zh-CN"/>
        </w:rPr>
        <w:t>韩城市政务</w:t>
      </w:r>
      <w:r>
        <w:rPr>
          <w:rFonts w:hint="eastAsia" w:ascii="仿宋" w:hAnsi="仿宋" w:eastAsia="仿宋" w:cs="仿宋"/>
          <w:b/>
          <w:bCs/>
          <w:kern w:val="0"/>
          <w:sz w:val="52"/>
          <w:szCs w:val="52"/>
          <w:highlight w:val="none"/>
          <w:lang w:val="en-US" w:eastAsia="zh-CN"/>
        </w:rPr>
        <w:t>大</w:t>
      </w:r>
      <w:r>
        <w:rPr>
          <w:rFonts w:hint="default" w:ascii="仿宋" w:hAnsi="仿宋" w:eastAsia="仿宋" w:cs="仿宋"/>
          <w:b/>
          <w:bCs/>
          <w:kern w:val="0"/>
          <w:sz w:val="52"/>
          <w:szCs w:val="52"/>
          <w:highlight w:val="none"/>
          <w:lang w:val="en-US" w:eastAsia="zh-CN"/>
        </w:rPr>
        <w:t>数据服务中心韩城市政务云</w:t>
      </w:r>
    </w:p>
    <w:p w14:paraId="51395E20">
      <w:pPr>
        <w:pStyle w:val="47"/>
        <w:widowControl/>
        <w:spacing w:before="0" w:after="0"/>
        <w:ind w:firstLine="0"/>
        <w:jc w:val="center"/>
        <w:rPr>
          <w:rFonts w:ascii="仿宋" w:hAnsi="仿宋" w:eastAsia="仿宋" w:cs="仿宋"/>
          <w:b/>
          <w:sz w:val="28"/>
          <w:szCs w:val="28"/>
          <w:highlight w:val="none"/>
        </w:rPr>
      </w:pPr>
      <w:r>
        <w:rPr>
          <w:rFonts w:hint="default" w:ascii="仿宋" w:hAnsi="仿宋" w:eastAsia="仿宋" w:cs="仿宋"/>
          <w:b/>
          <w:bCs/>
          <w:kern w:val="0"/>
          <w:sz w:val="56"/>
          <w:szCs w:val="56"/>
          <w:highlight w:val="none"/>
          <w:lang w:val="en-US" w:eastAsia="zh-CN"/>
        </w:rPr>
        <w:t>资源管理服务采购项目</w:t>
      </w:r>
    </w:p>
    <w:p w14:paraId="51BE058D">
      <w:pPr>
        <w:pStyle w:val="47"/>
        <w:widowControl/>
        <w:spacing w:before="0" w:after="0"/>
        <w:ind w:firstLine="0"/>
        <w:jc w:val="both"/>
        <w:rPr>
          <w:rFonts w:ascii="仿宋" w:hAnsi="仿宋" w:eastAsia="仿宋" w:cs="仿宋"/>
          <w:b/>
          <w:sz w:val="24"/>
          <w:highlight w:val="none"/>
        </w:rPr>
      </w:pPr>
    </w:p>
    <w:p w14:paraId="562D3BA4">
      <w:pPr>
        <w:pStyle w:val="47"/>
        <w:widowControl/>
        <w:spacing w:before="0" w:after="0"/>
        <w:ind w:firstLine="0"/>
        <w:jc w:val="both"/>
        <w:rPr>
          <w:rFonts w:ascii="仿宋" w:hAnsi="仿宋" w:eastAsia="仿宋" w:cs="仿宋"/>
          <w:b/>
          <w:sz w:val="24"/>
          <w:highlight w:val="none"/>
        </w:rPr>
      </w:pPr>
    </w:p>
    <w:p w14:paraId="10D6B529">
      <w:pPr>
        <w:pStyle w:val="47"/>
        <w:widowControl/>
        <w:spacing w:before="0" w:after="0"/>
        <w:ind w:firstLine="0"/>
        <w:jc w:val="both"/>
        <w:rPr>
          <w:rFonts w:ascii="仿宋" w:hAnsi="仿宋" w:eastAsia="仿宋" w:cs="仿宋"/>
          <w:b/>
          <w:sz w:val="24"/>
          <w:highlight w:val="none"/>
        </w:rPr>
      </w:pPr>
    </w:p>
    <w:p w14:paraId="2EB3DD9C">
      <w:pPr>
        <w:pStyle w:val="47"/>
        <w:widowControl/>
        <w:spacing w:before="0" w:after="0"/>
        <w:ind w:firstLine="0"/>
        <w:jc w:val="both"/>
        <w:rPr>
          <w:rFonts w:ascii="仿宋" w:hAnsi="仿宋" w:eastAsia="仿宋" w:cs="仿宋"/>
          <w:b/>
          <w:sz w:val="24"/>
          <w:highlight w:val="none"/>
        </w:rPr>
      </w:pPr>
    </w:p>
    <w:p w14:paraId="0C158D3F">
      <w:pPr>
        <w:pStyle w:val="47"/>
        <w:widowControl/>
        <w:ind w:firstLine="0"/>
        <w:jc w:val="center"/>
        <w:rPr>
          <w:rFonts w:ascii="仿宋" w:hAnsi="仿宋" w:eastAsia="仿宋" w:cs="仿宋"/>
          <w:b/>
          <w:sz w:val="72"/>
          <w:szCs w:val="72"/>
          <w:highlight w:val="none"/>
        </w:rPr>
      </w:pPr>
      <w:r>
        <w:rPr>
          <w:rFonts w:hint="eastAsia" w:ascii="仿宋" w:hAnsi="仿宋" w:eastAsia="仿宋" w:cs="仿宋"/>
          <w:b/>
          <w:sz w:val="72"/>
          <w:szCs w:val="72"/>
          <w:highlight w:val="none"/>
        </w:rPr>
        <w:t>招 标 文 件</w:t>
      </w:r>
    </w:p>
    <w:p w14:paraId="06BCD426">
      <w:pPr>
        <w:pStyle w:val="47"/>
        <w:widowControl/>
        <w:spacing w:before="0" w:after="0"/>
        <w:ind w:firstLine="0"/>
        <w:jc w:val="center"/>
        <w:rPr>
          <w:rFonts w:ascii="仿宋" w:hAnsi="仿宋" w:eastAsia="仿宋" w:cs="仿宋"/>
          <w:szCs w:val="28"/>
          <w:highlight w:val="none"/>
        </w:rPr>
      </w:pPr>
    </w:p>
    <w:p w14:paraId="3A8180C8">
      <w:pPr>
        <w:pStyle w:val="47"/>
        <w:widowControl/>
        <w:spacing w:before="0" w:after="0"/>
        <w:ind w:firstLine="0"/>
        <w:jc w:val="both"/>
        <w:rPr>
          <w:rFonts w:ascii="仿宋" w:hAnsi="仿宋" w:eastAsia="仿宋" w:cs="仿宋"/>
          <w:szCs w:val="28"/>
          <w:highlight w:val="none"/>
        </w:rPr>
      </w:pPr>
    </w:p>
    <w:p w14:paraId="4C14B678">
      <w:pPr>
        <w:pStyle w:val="47"/>
        <w:widowControl/>
        <w:spacing w:before="0" w:after="0"/>
        <w:ind w:firstLine="0"/>
        <w:jc w:val="both"/>
        <w:rPr>
          <w:rFonts w:ascii="仿宋" w:hAnsi="仿宋" w:eastAsia="仿宋" w:cs="仿宋"/>
          <w:szCs w:val="28"/>
          <w:highlight w:val="none"/>
        </w:rPr>
      </w:pPr>
    </w:p>
    <w:p w14:paraId="6479EC85">
      <w:pPr>
        <w:pStyle w:val="47"/>
        <w:widowControl/>
        <w:spacing w:before="0" w:after="0"/>
        <w:ind w:firstLine="0"/>
        <w:jc w:val="both"/>
        <w:rPr>
          <w:rFonts w:ascii="仿宋" w:hAnsi="仿宋" w:eastAsia="仿宋" w:cs="仿宋"/>
          <w:szCs w:val="28"/>
          <w:highlight w:val="none"/>
        </w:rPr>
      </w:pPr>
    </w:p>
    <w:p w14:paraId="3265C7F9">
      <w:pPr>
        <w:pStyle w:val="47"/>
        <w:widowControl/>
        <w:spacing w:before="0" w:after="0"/>
        <w:ind w:firstLine="0"/>
        <w:jc w:val="both"/>
        <w:rPr>
          <w:rFonts w:ascii="仿宋" w:hAnsi="仿宋" w:eastAsia="仿宋" w:cs="仿宋"/>
          <w:szCs w:val="28"/>
          <w:highlight w:val="none"/>
        </w:rPr>
      </w:pPr>
    </w:p>
    <w:p w14:paraId="2519DFE1">
      <w:pPr>
        <w:spacing w:line="360" w:lineRule="auto"/>
        <w:rPr>
          <w:rFonts w:ascii="仿宋" w:hAnsi="仿宋" w:eastAsia="仿宋" w:cs="仿宋"/>
          <w:b/>
          <w:bCs/>
          <w:sz w:val="36"/>
          <w:szCs w:val="36"/>
          <w:highlight w:val="none"/>
        </w:rPr>
      </w:pPr>
      <w:bookmarkStart w:id="10" w:name="_Toc523127445"/>
      <w:bookmarkStart w:id="11" w:name="_Toc421604318"/>
      <w:bookmarkStart w:id="12" w:name="_Toc403987193"/>
      <w:bookmarkStart w:id="13" w:name="_Toc20823272"/>
      <w:bookmarkStart w:id="14" w:name="_Toc120614210"/>
      <w:bookmarkStart w:id="15" w:name="_Toc479757206"/>
      <w:bookmarkStart w:id="16" w:name="_Toc513029200"/>
      <w:bookmarkStart w:id="17" w:name="_Toc16938516"/>
      <w:bookmarkStart w:id="18" w:name="_Toc403986986"/>
    </w:p>
    <w:p w14:paraId="45864774">
      <w:pPr>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西安欣华联建工程咨询有限公司</w:t>
      </w:r>
    </w:p>
    <w:p w14:paraId="2F727F13">
      <w:pPr>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eastAsia="zh-CN"/>
        </w:rPr>
        <w:t>七</w:t>
      </w:r>
      <w:r>
        <w:rPr>
          <w:rFonts w:hint="eastAsia" w:ascii="仿宋" w:hAnsi="仿宋" w:eastAsia="仿宋" w:cs="仿宋"/>
          <w:b/>
          <w:bCs/>
          <w:sz w:val="36"/>
          <w:szCs w:val="36"/>
          <w:highlight w:val="none"/>
        </w:rPr>
        <w:t>月</w:t>
      </w:r>
    </w:p>
    <w:p w14:paraId="130E4BA2">
      <w:pPr>
        <w:adjustRightInd w:val="0"/>
        <w:spacing w:line="560" w:lineRule="exact"/>
        <w:jc w:val="center"/>
        <w:rPr>
          <w:rFonts w:hint="eastAsia" w:ascii="仿宋" w:hAnsi="仿宋" w:eastAsia="仿宋" w:cs="仿宋"/>
          <w:b/>
          <w:kern w:val="0"/>
          <w:sz w:val="48"/>
          <w:szCs w:val="48"/>
          <w:highlight w:val="none"/>
        </w:rPr>
        <w:sectPr>
          <w:headerReference r:id="rId3" w:type="default"/>
          <w:footerReference r:id="rId4" w:type="default"/>
          <w:pgSz w:w="11906" w:h="16838"/>
          <w:pgMar w:top="1440" w:right="1083" w:bottom="1440" w:left="1083" w:header="851" w:footer="964" w:gutter="0"/>
          <w:pgNumType w:fmt="decimal" w:start="1"/>
          <w:cols w:space="720" w:num="1"/>
          <w:docGrid w:type="lines" w:linePitch="312" w:charSpace="0"/>
        </w:sectPr>
      </w:pPr>
      <w:bookmarkStart w:id="19" w:name="_Toc12930"/>
      <w:bookmarkStart w:id="20" w:name="_Toc91"/>
      <w:bookmarkStart w:id="21" w:name="_Toc5650"/>
      <w:bookmarkStart w:id="22" w:name="_Toc1877"/>
      <w:bookmarkStart w:id="23" w:name="_Toc6491"/>
      <w:bookmarkStart w:id="24" w:name="_Toc24553"/>
      <w:bookmarkStart w:id="25" w:name="_Toc2557"/>
      <w:bookmarkStart w:id="26" w:name="_Toc21662"/>
    </w:p>
    <w:p w14:paraId="3305D536">
      <w:pPr>
        <w:adjustRightInd w:val="0"/>
        <w:spacing w:line="560" w:lineRule="exact"/>
        <w:jc w:val="center"/>
        <w:rPr>
          <w:rFonts w:ascii="仿宋" w:hAnsi="仿宋" w:eastAsia="仿宋" w:cs="仿宋"/>
          <w:b/>
          <w:color w:val="auto"/>
          <w:kern w:val="0"/>
          <w:sz w:val="48"/>
          <w:szCs w:val="48"/>
          <w:highlight w:val="none"/>
        </w:rPr>
      </w:pPr>
      <w:r>
        <w:rPr>
          <w:rFonts w:hint="eastAsia" w:ascii="仿宋" w:hAnsi="仿宋" w:eastAsia="仿宋" w:cs="仿宋"/>
          <w:b/>
          <w:color w:val="auto"/>
          <w:kern w:val="0"/>
          <w:sz w:val="48"/>
          <w:szCs w:val="48"/>
          <w:highlight w:val="none"/>
        </w:rPr>
        <w:t>目  录</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bookmarkEnd w:id="0"/>
    <w:bookmarkEnd w:id="1"/>
    <w:bookmarkEnd w:id="2"/>
    <w:bookmarkEnd w:id="3"/>
    <w:bookmarkEnd w:id="4"/>
    <w:bookmarkEnd w:id="5"/>
    <w:bookmarkEnd w:id="6"/>
    <w:bookmarkEnd w:id="7"/>
    <w:bookmarkEnd w:id="8"/>
    <w:bookmarkEnd w:id="9"/>
    <w:p w14:paraId="02E13392">
      <w:pPr>
        <w:pStyle w:val="20"/>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bookmarkStart w:id="27" w:name="_Toc14658"/>
      <w:bookmarkStart w:id="28" w:name="_Toc1336_WPSOffice_Level1"/>
      <w:bookmarkStart w:id="29" w:name="_Toc27530"/>
      <w:r>
        <w:rPr>
          <w:rFonts w:hint="eastAsia" w:ascii="仿宋" w:hAnsi="仿宋" w:eastAsia="仿宋" w:cs="仿宋"/>
          <w:bCs/>
          <w:kern w:val="0"/>
          <w:szCs w:val="28"/>
          <w:highlight w:val="none"/>
        </w:rPr>
        <w:fldChar w:fldCharType="begin"/>
      </w:r>
      <w:r>
        <w:rPr>
          <w:rFonts w:hint="eastAsia" w:ascii="仿宋" w:hAnsi="仿宋" w:eastAsia="仿宋" w:cs="仿宋"/>
          <w:bCs/>
          <w:kern w:val="0"/>
          <w:szCs w:val="28"/>
          <w:highlight w:val="none"/>
        </w:rPr>
        <w:instrText xml:space="preserve">TOC \o "1-4" \h \u </w:instrText>
      </w:r>
      <w:r>
        <w:rPr>
          <w:rFonts w:hint="eastAsia" w:ascii="仿宋" w:hAnsi="仿宋" w:eastAsia="仿宋" w:cs="仿宋"/>
          <w:bCs/>
          <w:kern w:val="0"/>
          <w:szCs w:val="28"/>
          <w:highlight w:val="none"/>
        </w:rPr>
        <w:fldChar w:fldCharType="separate"/>
      </w: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_Toc32438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56"/>
          <w:highlight w:val="none"/>
        </w:rPr>
        <w:t>第一章  招标公告</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_Toc32438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1</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06BD27C1">
      <w:pPr>
        <w:pStyle w:val="20"/>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_Toc28778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56"/>
          <w:highlight w:val="none"/>
        </w:rPr>
        <w:t>第二章  供应商须知前附表</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_Toc28778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5</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7A4FAAFE">
      <w:pPr>
        <w:pStyle w:val="20"/>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_Toc13581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56"/>
          <w:highlight w:val="none"/>
        </w:rPr>
        <w:t>第三章  供应商须知</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_Toc13581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10</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26A32EEE">
      <w:pPr>
        <w:pStyle w:val="20"/>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_Toc19143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kern w:val="0"/>
          <w:sz w:val="28"/>
          <w:szCs w:val="56"/>
          <w:highlight w:val="none"/>
          <w:lang w:val="en-US" w:eastAsia="zh-CN" w:bidi="ar-SA"/>
        </w:rPr>
        <w:t>第四章</w:t>
      </w:r>
      <w:r>
        <w:rPr>
          <w:rFonts w:hint="eastAsia" w:ascii="仿宋" w:hAnsi="仿宋" w:eastAsia="仿宋" w:cs="仿宋"/>
          <w:b/>
          <w:bCs/>
          <w:color w:val="auto"/>
          <w:kern w:val="0"/>
          <w:sz w:val="28"/>
          <w:szCs w:val="56"/>
          <w:highlight w:val="none"/>
          <w:lang w:val="en-US" w:eastAsia="zh-CN"/>
        </w:rPr>
        <w:t xml:space="preserve"> </w:t>
      </w:r>
      <w:r>
        <w:rPr>
          <w:rFonts w:hint="eastAsia" w:ascii="仿宋" w:hAnsi="仿宋" w:eastAsia="仿宋" w:cs="仿宋"/>
          <w:b/>
          <w:bCs/>
          <w:color w:val="auto"/>
          <w:kern w:val="0"/>
          <w:sz w:val="28"/>
          <w:szCs w:val="56"/>
          <w:highlight w:val="none"/>
        </w:rPr>
        <w:t xml:space="preserve"> 采购内容</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_Toc19143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31</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2A071A28">
      <w:pPr>
        <w:pStyle w:val="20"/>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_Toc1096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56"/>
          <w:highlight w:val="none"/>
        </w:rPr>
        <w:t>第五章  合同范本</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_Toc1096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36</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642936DE">
      <w:pPr>
        <w:pStyle w:val="20"/>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_Toc17511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kern w:val="0"/>
          <w:sz w:val="28"/>
          <w:szCs w:val="56"/>
          <w:highlight w:val="none"/>
        </w:rPr>
        <w:t>第六章  投标文件格式</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_Toc17511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42</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7C96BC4A">
      <w:pPr>
        <w:pStyle w:val="23"/>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_Toc26645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kern w:val="0"/>
          <w:sz w:val="28"/>
          <w:szCs w:val="44"/>
          <w:highlight w:val="none"/>
          <w:lang w:val="en-US" w:eastAsia="zh-CN" w:bidi="ar-SA"/>
        </w:rPr>
        <w:t>A 资格标</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_Toc26645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42</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126DDE11">
      <w:pPr>
        <w:pStyle w:val="15"/>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_Toc4891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8"/>
          <w:highlight w:val="none"/>
        </w:rPr>
        <w:t>第</w:t>
      </w:r>
      <w:r>
        <w:rPr>
          <w:rFonts w:hint="eastAsia" w:ascii="仿宋" w:hAnsi="仿宋" w:eastAsia="仿宋" w:cs="仿宋"/>
          <w:b/>
          <w:bCs/>
          <w:color w:val="auto"/>
          <w:sz w:val="28"/>
          <w:szCs w:val="48"/>
          <w:highlight w:val="none"/>
          <w:lang w:eastAsia="zh-CN"/>
        </w:rPr>
        <w:t>一</w:t>
      </w:r>
      <w:r>
        <w:rPr>
          <w:rFonts w:hint="eastAsia" w:ascii="仿宋" w:hAnsi="仿宋" w:eastAsia="仿宋" w:cs="仿宋"/>
          <w:b/>
          <w:bCs/>
          <w:color w:val="auto"/>
          <w:sz w:val="28"/>
          <w:szCs w:val="48"/>
          <w:highlight w:val="none"/>
        </w:rPr>
        <w:t>部分  供应商资格声明文件</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_Toc4891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44</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719AB10C">
      <w:pPr>
        <w:pStyle w:val="15"/>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_Toc18761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8"/>
          <w:highlight w:val="none"/>
        </w:rPr>
        <w:t>第</w:t>
      </w:r>
      <w:r>
        <w:rPr>
          <w:rFonts w:hint="eastAsia" w:ascii="仿宋" w:hAnsi="仿宋" w:eastAsia="仿宋" w:cs="仿宋"/>
          <w:b/>
          <w:bCs/>
          <w:color w:val="auto"/>
          <w:sz w:val="28"/>
          <w:szCs w:val="48"/>
          <w:highlight w:val="none"/>
          <w:lang w:eastAsia="zh-CN"/>
        </w:rPr>
        <w:t>二</w:t>
      </w:r>
      <w:r>
        <w:rPr>
          <w:rFonts w:hint="eastAsia" w:ascii="仿宋" w:hAnsi="仿宋" w:eastAsia="仿宋" w:cs="仿宋"/>
          <w:b/>
          <w:bCs/>
          <w:color w:val="auto"/>
          <w:sz w:val="28"/>
          <w:szCs w:val="48"/>
          <w:highlight w:val="none"/>
        </w:rPr>
        <w:t>部分  供应商资格证明文件</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_Toc18761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46</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53154F5A">
      <w:pPr>
        <w:pStyle w:val="23"/>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_Toc11650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kern w:val="0"/>
          <w:sz w:val="28"/>
          <w:szCs w:val="44"/>
          <w:highlight w:val="none"/>
          <w:lang w:val="en-US" w:eastAsia="zh-CN" w:bidi="ar-SA"/>
        </w:rPr>
        <w:t>B 商务及技术标</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_Toc11650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56</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3E7363D7">
      <w:pPr>
        <w:pStyle w:val="15"/>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_Toc30623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8"/>
          <w:highlight w:val="none"/>
        </w:rPr>
        <w:t>第一部分  投标响应函</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_Toc30623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58</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625164CD">
      <w:pPr>
        <w:pStyle w:val="15"/>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_Toc22956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8"/>
          <w:highlight w:val="none"/>
        </w:rPr>
        <w:t>第二部分  报价一览表</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_Toc22956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59</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693513B9">
      <w:pPr>
        <w:pStyle w:val="15"/>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_Toc5317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8"/>
          <w:highlight w:val="none"/>
        </w:rPr>
        <w:t>第</w:t>
      </w:r>
      <w:r>
        <w:rPr>
          <w:rFonts w:hint="eastAsia" w:ascii="仿宋" w:hAnsi="仿宋" w:eastAsia="仿宋" w:cs="仿宋"/>
          <w:b/>
          <w:bCs/>
          <w:color w:val="auto"/>
          <w:sz w:val="28"/>
          <w:szCs w:val="48"/>
          <w:highlight w:val="none"/>
          <w:lang w:eastAsia="zh-CN"/>
        </w:rPr>
        <w:t>三</w:t>
      </w:r>
      <w:r>
        <w:rPr>
          <w:rFonts w:hint="eastAsia" w:ascii="仿宋" w:hAnsi="仿宋" w:eastAsia="仿宋" w:cs="仿宋"/>
          <w:b/>
          <w:bCs/>
          <w:color w:val="auto"/>
          <w:sz w:val="28"/>
          <w:szCs w:val="48"/>
          <w:highlight w:val="none"/>
        </w:rPr>
        <w:t>部分  业绩证明文件</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_Toc5317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63</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58A66358">
      <w:pPr>
        <w:pStyle w:val="15"/>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_Toc6255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8"/>
          <w:highlight w:val="none"/>
        </w:rPr>
        <w:t>第</w:t>
      </w:r>
      <w:r>
        <w:rPr>
          <w:rFonts w:hint="eastAsia" w:ascii="仿宋" w:hAnsi="仿宋" w:eastAsia="仿宋" w:cs="仿宋"/>
          <w:b/>
          <w:bCs/>
          <w:color w:val="auto"/>
          <w:sz w:val="28"/>
          <w:szCs w:val="48"/>
          <w:highlight w:val="none"/>
          <w:lang w:eastAsia="zh-CN"/>
        </w:rPr>
        <w:t>四</w:t>
      </w:r>
      <w:r>
        <w:rPr>
          <w:rFonts w:hint="eastAsia" w:ascii="仿宋" w:hAnsi="仿宋" w:eastAsia="仿宋" w:cs="仿宋"/>
          <w:b/>
          <w:bCs/>
          <w:color w:val="auto"/>
          <w:sz w:val="28"/>
          <w:szCs w:val="48"/>
          <w:highlight w:val="none"/>
        </w:rPr>
        <w:t>部分  投标方案说明</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_Toc6255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64</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09723003">
      <w:pPr>
        <w:pStyle w:val="15"/>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_Toc9346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8"/>
          <w:highlight w:val="none"/>
        </w:rPr>
        <w:t>第</w:t>
      </w:r>
      <w:r>
        <w:rPr>
          <w:rFonts w:hint="eastAsia" w:ascii="仿宋" w:hAnsi="仿宋" w:eastAsia="仿宋" w:cs="仿宋"/>
          <w:b/>
          <w:bCs/>
          <w:color w:val="auto"/>
          <w:sz w:val="28"/>
          <w:szCs w:val="48"/>
          <w:highlight w:val="none"/>
          <w:lang w:eastAsia="zh-CN"/>
        </w:rPr>
        <w:t>五</w:t>
      </w:r>
      <w:r>
        <w:rPr>
          <w:rFonts w:hint="eastAsia" w:ascii="仿宋" w:hAnsi="仿宋" w:eastAsia="仿宋" w:cs="仿宋"/>
          <w:b/>
          <w:bCs/>
          <w:color w:val="auto"/>
          <w:sz w:val="28"/>
          <w:szCs w:val="48"/>
          <w:highlight w:val="none"/>
        </w:rPr>
        <w:t>部分  供应商承诺书</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_Toc9346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65</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5BB0AF9E">
      <w:pPr>
        <w:pStyle w:val="15"/>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_Toc22851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4"/>
          <w:highlight w:val="none"/>
        </w:rPr>
        <w:t>第</w:t>
      </w:r>
      <w:r>
        <w:rPr>
          <w:rFonts w:hint="eastAsia" w:ascii="仿宋" w:hAnsi="仿宋" w:eastAsia="仿宋" w:cs="仿宋"/>
          <w:b/>
          <w:bCs/>
          <w:color w:val="auto"/>
          <w:sz w:val="28"/>
          <w:szCs w:val="44"/>
          <w:highlight w:val="none"/>
          <w:lang w:eastAsia="zh-CN"/>
        </w:rPr>
        <w:t>六</w:t>
      </w:r>
      <w:r>
        <w:rPr>
          <w:rFonts w:hint="eastAsia" w:ascii="仿宋" w:hAnsi="仿宋" w:eastAsia="仿宋" w:cs="仿宋"/>
          <w:b/>
          <w:bCs/>
          <w:color w:val="auto"/>
          <w:sz w:val="28"/>
          <w:szCs w:val="44"/>
          <w:highlight w:val="none"/>
        </w:rPr>
        <w:t>部分  政府采购供应商拒绝政府采购领域商业贿赂承诺书</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_Toc22851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66</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2A9E284B">
      <w:pPr>
        <w:pStyle w:val="15"/>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_Toc5506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8"/>
          <w:highlight w:val="none"/>
        </w:rPr>
        <w:t>第</w:t>
      </w:r>
      <w:r>
        <w:rPr>
          <w:rFonts w:hint="eastAsia" w:ascii="仿宋" w:hAnsi="仿宋" w:eastAsia="仿宋" w:cs="仿宋"/>
          <w:b/>
          <w:bCs/>
          <w:color w:val="auto"/>
          <w:sz w:val="28"/>
          <w:szCs w:val="48"/>
          <w:highlight w:val="none"/>
          <w:lang w:eastAsia="zh-CN"/>
        </w:rPr>
        <w:t>七</w:t>
      </w:r>
      <w:r>
        <w:rPr>
          <w:rFonts w:hint="eastAsia" w:ascii="仿宋" w:hAnsi="仿宋" w:eastAsia="仿宋" w:cs="仿宋"/>
          <w:b/>
          <w:bCs/>
          <w:color w:val="auto"/>
          <w:sz w:val="28"/>
          <w:szCs w:val="48"/>
          <w:highlight w:val="none"/>
        </w:rPr>
        <w:t>部分  附件</w:t>
      </w:r>
      <w:r>
        <w:rPr>
          <w:rFonts w:hint="eastAsia" w:ascii="仿宋" w:hAnsi="仿宋" w:eastAsia="仿宋" w:cs="仿宋"/>
          <w:b/>
          <w:bCs/>
          <w:color w:val="auto"/>
          <w:sz w:val="28"/>
          <w:szCs w:val="48"/>
          <w:highlight w:val="none"/>
          <w:lang w:eastAsia="zh-CN"/>
        </w:rPr>
        <w:t>（如有）</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_Toc5506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67</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7C53A79E">
      <w:pPr>
        <w:pStyle w:val="21"/>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_Toc24820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kern w:val="0"/>
          <w:sz w:val="28"/>
          <w:szCs w:val="44"/>
          <w:highlight w:val="none"/>
        </w:rPr>
        <w:t>一、中小企业声明函</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_Toc24820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67</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75210C34">
      <w:pPr>
        <w:pStyle w:val="21"/>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_Toc3838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4"/>
          <w:highlight w:val="none"/>
        </w:rPr>
        <w:t>二、监狱企业相关资格证明材料</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_Toc3838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68</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25FA1A30">
      <w:pPr>
        <w:pStyle w:val="21"/>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_Toc24813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36"/>
          <w:highlight w:val="none"/>
        </w:rPr>
        <w:t>三、残疾人福利性单位声明函</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_Toc24813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69</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2B83B7A9">
      <w:pPr>
        <w:pStyle w:val="23"/>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rFonts w:hint="eastAsia" w:ascii="仿宋" w:hAnsi="仿宋" w:eastAsia="仿宋" w:cs="仿宋"/>
          <w:b/>
          <w:bCs/>
          <w:color w:val="auto"/>
          <w:sz w:val="28"/>
          <w:szCs w:val="24"/>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_Toc28526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sz w:val="28"/>
          <w:szCs w:val="40"/>
          <w:highlight w:val="none"/>
          <w:lang w:val="en-US" w:eastAsia="zh-CN"/>
        </w:rPr>
        <w:t>C 电子文档</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_Toc28526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70</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38375EDD">
      <w:pPr>
        <w:pStyle w:val="20"/>
        <w:keepNext w:val="0"/>
        <w:keepLines w:val="0"/>
        <w:pageBreakBefore w:val="0"/>
        <w:widowControl w:val="0"/>
        <w:tabs>
          <w:tab w:val="right" w:leader="dot" w:pos="9740"/>
        </w:tabs>
        <w:kinsoku/>
        <w:wordWrap/>
        <w:overflowPunct/>
        <w:topLinePunct w:val="0"/>
        <w:autoSpaceDE/>
        <w:autoSpaceDN/>
        <w:bidi w:val="0"/>
        <w:adjustRightInd/>
        <w:snapToGrid/>
        <w:spacing w:line="580" w:lineRule="exact"/>
        <w:textAlignment w:val="auto"/>
        <w:rPr>
          <w:highlight w:val="none"/>
        </w:rPr>
      </w:pPr>
      <w:r>
        <w:rPr>
          <w:rFonts w:hint="eastAsia" w:ascii="仿宋" w:hAnsi="仿宋" w:eastAsia="仿宋" w:cs="仿宋"/>
          <w:b/>
          <w:bCs/>
          <w:color w:val="auto"/>
          <w:kern w:val="0"/>
          <w:sz w:val="28"/>
          <w:szCs w:val="40"/>
          <w:highlight w:val="none"/>
        </w:rPr>
        <w:fldChar w:fldCharType="begin"/>
      </w:r>
      <w:r>
        <w:rPr>
          <w:rFonts w:hint="eastAsia" w:ascii="仿宋" w:hAnsi="仿宋" w:eastAsia="仿宋" w:cs="仿宋"/>
          <w:b/>
          <w:bCs/>
          <w:color w:val="auto"/>
          <w:kern w:val="0"/>
          <w:sz w:val="28"/>
          <w:szCs w:val="40"/>
          <w:highlight w:val="none"/>
        </w:rPr>
        <w:instrText xml:space="preserve"> HYPERLINK \l _Toc11697 </w:instrText>
      </w:r>
      <w:r>
        <w:rPr>
          <w:rFonts w:hint="eastAsia" w:ascii="仿宋" w:hAnsi="仿宋" w:eastAsia="仿宋" w:cs="仿宋"/>
          <w:b/>
          <w:bCs/>
          <w:color w:val="auto"/>
          <w:kern w:val="0"/>
          <w:sz w:val="28"/>
          <w:szCs w:val="40"/>
          <w:highlight w:val="none"/>
        </w:rPr>
        <w:fldChar w:fldCharType="separate"/>
      </w:r>
      <w:r>
        <w:rPr>
          <w:rFonts w:hint="eastAsia" w:ascii="仿宋" w:hAnsi="仿宋" w:eastAsia="仿宋" w:cs="仿宋"/>
          <w:b/>
          <w:bCs/>
          <w:color w:val="auto"/>
          <w:kern w:val="2"/>
          <w:sz w:val="28"/>
          <w:szCs w:val="48"/>
          <w:highlight w:val="none"/>
        </w:rPr>
        <w:t>第七章  投标确认函</w:t>
      </w:r>
      <w:r>
        <w:rPr>
          <w:rFonts w:hint="eastAsia" w:ascii="仿宋" w:hAnsi="仿宋" w:eastAsia="仿宋" w:cs="仿宋"/>
          <w:b/>
          <w:bCs/>
          <w:color w:val="auto"/>
          <w:sz w:val="28"/>
          <w:szCs w:val="24"/>
          <w:highlight w:val="none"/>
        </w:rPr>
        <w:tab/>
      </w:r>
      <w:r>
        <w:rPr>
          <w:rFonts w:hint="eastAsia" w:ascii="仿宋" w:hAnsi="仿宋" w:eastAsia="仿宋" w:cs="仿宋"/>
          <w:b/>
          <w:bCs/>
          <w:color w:val="auto"/>
          <w:sz w:val="28"/>
          <w:szCs w:val="24"/>
          <w:highlight w:val="none"/>
        </w:rPr>
        <w:fldChar w:fldCharType="begin"/>
      </w:r>
      <w:r>
        <w:rPr>
          <w:rFonts w:hint="eastAsia" w:ascii="仿宋" w:hAnsi="仿宋" w:eastAsia="仿宋" w:cs="仿宋"/>
          <w:b/>
          <w:bCs/>
          <w:color w:val="auto"/>
          <w:sz w:val="28"/>
          <w:szCs w:val="24"/>
          <w:highlight w:val="none"/>
        </w:rPr>
        <w:instrText xml:space="preserve"> PAGEREF _Toc11697 \h </w:instrText>
      </w:r>
      <w:r>
        <w:rPr>
          <w:rFonts w:hint="eastAsia" w:ascii="仿宋" w:hAnsi="仿宋" w:eastAsia="仿宋" w:cs="仿宋"/>
          <w:b/>
          <w:bCs/>
          <w:color w:val="auto"/>
          <w:sz w:val="28"/>
          <w:szCs w:val="24"/>
          <w:highlight w:val="none"/>
        </w:rPr>
        <w:fldChar w:fldCharType="separate"/>
      </w:r>
      <w:r>
        <w:rPr>
          <w:rFonts w:hint="eastAsia" w:ascii="仿宋" w:hAnsi="仿宋" w:eastAsia="仿宋" w:cs="仿宋"/>
          <w:b/>
          <w:bCs/>
          <w:color w:val="auto"/>
          <w:sz w:val="28"/>
          <w:szCs w:val="24"/>
          <w:highlight w:val="none"/>
        </w:rPr>
        <w:t>71</w:t>
      </w:r>
      <w:r>
        <w:rPr>
          <w:rFonts w:hint="eastAsia" w:ascii="仿宋" w:hAnsi="仿宋" w:eastAsia="仿宋" w:cs="仿宋"/>
          <w:b/>
          <w:bCs/>
          <w:color w:val="auto"/>
          <w:sz w:val="28"/>
          <w:szCs w:val="24"/>
          <w:highlight w:val="none"/>
        </w:rPr>
        <w:fldChar w:fldCharType="end"/>
      </w:r>
      <w:r>
        <w:rPr>
          <w:rFonts w:hint="eastAsia" w:ascii="仿宋" w:hAnsi="仿宋" w:eastAsia="仿宋" w:cs="仿宋"/>
          <w:b/>
          <w:bCs/>
          <w:color w:val="auto"/>
          <w:kern w:val="0"/>
          <w:sz w:val="28"/>
          <w:szCs w:val="40"/>
          <w:highlight w:val="none"/>
        </w:rPr>
        <w:fldChar w:fldCharType="end"/>
      </w:r>
    </w:p>
    <w:p w14:paraId="4C70E05B">
      <w:pPr>
        <w:keepNext w:val="0"/>
        <w:keepLines w:val="0"/>
        <w:pageBreakBefore w:val="0"/>
        <w:widowControl w:val="0"/>
        <w:kinsoku/>
        <w:wordWrap/>
        <w:overflowPunct/>
        <w:topLinePunct w:val="0"/>
        <w:autoSpaceDE/>
        <w:autoSpaceDN/>
        <w:bidi w:val="0"/>
        <w:adjustRightInd w:val="0"/>
        <w:snapToGrid/>
        <w:spacing w:line="560" w:lineRule="exact"/>
        <w:jc w:val="both"/>
        <w:textAlignment w:val="auto"/>
        <w:outlineLvl w:val="9"/>
        <w:rPr>
          <w:rFonts w:hint="eastAsia" w:ascii="仿宋" w:hAnsi="仿宋" w:eastAsia="仿宋" w:cs="仿宋"/>
          <w:b/>
          <w:sz w:val="44"/>
          <w:szCs w:val="44"/>
          <w:highlight w:val="none"/>
        </w:rPr>
        <w:sectPr>
          <w:footerReference r:id="rId5" w:type="default"/>
          <w:pgSz w:w="11906" w:h="16838"/>
          <w:pgMar w:top="1440" w:right="1083" w:bottom="1440" w:left="1083" w:header="851" w:footer="964" w:gutter="0"/>
          <w:pgNumType w:fmt="decimal" w:start="1"/>
          <w:cols w:space="720" w:num="1"/>
          <w:docGrid w:type="lines" w:linePitch="312" w:charSpace="0"/>
        </w:sectPr>
      </w:pPr>
      <w:r>
        <w:rPr>
          <w:rFonts w:hint="eastAsia" w:ascii="仿宋" w:hAnsi="仿宋" w:eastAsia="仿宋" w:cs="仿宋"/>
          <w:bCs/>
          <w:kern w:val="0"/>
          <w:szCs w:val="28"/>
          <w:highlight w:val="none"/>
        </w:rPr>
        <w:fldChar w:fldCharType="end"/>
      </w:r>
    </w:p>
    <w:p w14:paraId="2631EB2A">
      <w:pPr>
        <w:adjustRightInd w:val="0"/>
        <w:spacing w:line="560" w:lineRule="exact"/>
        <w:jc w:val="center"/>
        <w:outlineLvl w:val="0"/>
        <w:rPr>
          <w:rFonts w:ascii="仿宋" w:hAnsi="仿宋" w:eastAsia="仿宋" w:cs="仿宋"/>
          <w:b/>
          <w:sz w:val="44"/>
          <w:szCs w:val="44"/>
          <w:highlight w:val="none"/>
        </w:rPr>
      </w:pPr>
      <w:bookmarkStart w:id="30" w:name="_Toc32438"/>
      <w:bookmarkStart w:id="31" w:name="_Toc10416"/>
      <w:r>
        <w:rPr>
          <w:rFonts w:hint="eastAsia" w:ascii="仿宋" w:hAnsi="仿宋" w:eastAsia="仿宋" w:cs="仿宋"/>
          <w:b/>
          <w:sz w:val="44"/>
          <w:szCs w:val="44"/>
          <w:highlight w:val="none"/>
        </w:rPr>
        <w:t>第一章  招标公告</w:t>
      </w:r>
      <w:bookmarkEnd w:id="30"/>
    </w:p>
    <w:p w14:paraId="64C3F50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
          <w:bCs/>
          <w:kern w:val="0"/>
          <w:sz w:val="32"/>
          <w:szCs w:val="32"/>
          <w:highlight w:val="none"/>
        </w:rPr>
      </w:pPr>
      <w:bookmarkStart w:id="32" w:name="_Toc29842"/>
      <w:bookmarkStart w:id="33" w:name="_Toc19097_WPSOffice_Level1"/>
      <w:bookmarkStart w:id="34" w:name="_Toc11181"/>
      <w:bookmarkStart w:id="35" w:name="_Toc9486"/>
      <w:r>
        <w:rPr>
          <w:rFonts w:hint="eastAsia" w:ascii="仿宋" w:hAnsi="仿宋" w:eastAsia="仿宋" w:cs="仿宋"/>
          <w:b/>
          <w:bCs/>
          <w:kern w:val="0"/>
          <w:sz w:val="32"/>
          <w:szCs w:val="32"/>
          <w:highlight w:val="none"/>
        </w:rPr>
        <w:t>韩城市政务</w:t>
      </w:r>
      <w:r>
        <w:rPr>
          <w:rFonts w:hint="eastAsia" w:ascii="仿宋" w:hAnsi="仿宋" w:eastAsia="仿宋" w:cs="仿宋"/>
          <w:b/>
          <w:bCs/>
          <w:kern w:val="0"/>
          <w:sz w:val="32"/>
          <w:szCs w:val="32"/>
          <w:highlight w:val="none"/>
          <w:lang w:val="en-US" w:eastAsia="zh-CN"/>
        </w:rPr>
        <w:t>大</w:t>
      </w:r>
      <w:r>
        <w:rPr>
          <w:rFonts w:hint="eastAsia" w:ascii="仿宋" w:hAnsi="仿宋" w:eastAsia="仿宋" w:cs="仿宋"/>
          <w:b/>
          <w:bCs/>
          <w:kern w:val="0"/>
          <w:sz w:val="32"/>
          <w:szCs w:val="32"/>
          <w:highlight w:val="none"/>
        </w:rPr>
        <w:t>数据服务中心韩城市政务云资源管理服务采购项目</w:t>
      </w:r>
    </w:p>
    <w:p w14:paraId="346FE71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招标公告</w:t>
      </w:r>
    </w:p>
    <w:p w14:paraId="1F088227">
      <w:pPr>
        <w:pStyle w:val="26"/>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 w:hAnsi="仿宋" w:eastAsia="仿宋" w:cs="仿宋"/>
          <w:b/>
          <w:bCs/>
          <w:sz w:val="28"/>
          <w:szCs w:val="28"/>
          <w:highlight w:val="none"/>
          <w:shd w:val="clear" w:color="auto" w:fill="FFFFFF"/>
          <w:lang w:val="en-US" w:eastAsia="zh-CN"/>
        </w:rPr>
      </w:pPr>
      <w:r>
        <w:rPr>
          <w:rFonts w:hint="eastAsia" w:ascii="仿宋" w:hAnsi="仿宋" w:eastAsia="仿宋" w:cs="仿宋"/>
          <w:b/>
          <w:bCs/>
          <w:color w:val="auto"/>
          <w:sz w:val="28"/>
          <w:szCs w:val="28"/>
          <w:highlight w:val="none"/>
        </w:rPr>
        <w:t>项目概况</w:t>
      </w:r>
    </w:p>
    <w:p w14:paraId="6CF804D7">
      <w:pPr>
        <w:pStyle w:val="26"/>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韩城市政务云资源管理服务采购项目的潜在</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应在西安市高新区科技二路71号竹园天寰国际14层1404室获取</w:t>
      </w:r>
      <w:r>
        <w:rPr>
          <w:rFonts w:hint="eastAsia" w:ascii="仿宋" w:hAnsi="仿宋" w:eastAsia="仿宋" w:cs="仿宋"/>
          <w:b/>
          <w:bCs/>
          <w:color w:val="auto"/>
          <w:sz w:val="28"/>
          <w:szCs w:val="28"/>
          <w:highlight w:val="none"/>
          <w:lang w:eastAsia="zh-CN"/>
        </w:rPr>
        <w:t>招标</w:t>
      </w:r>
      <w:r>
        <w:rPr>
          <w:rFonts w:hint="eastAsia" w:ascii="仿宋" w:hAnsi="仿宋" w:eastAsia="仿宋" w:cs="仿宋"/>
          <w:b/>
          <w:bCs/>
          <w:color w:val="auto"/>
          <w:sz w:val="28"/>
          <w:szCs w:val="28"/>
          <w:highlight w:val="none"/>
        </w:rPr>
        <w:t>文件，并于</w:t>
      </w:r>
      <w:r>
        <w:rPr>
          <w:rFonts w:hint="eastAsia" w:ascii="仿宋" w:hAnsi="仿宋" w:eastAsia="仿宋" w:cs="仿宋"/>
          <w:b/>
          <w:bCs/>
          <w:color w:val="auto"/>
          <w:sz w:val="28"/>
          <w:szCs w:val="28"/>
          <w:highlight w:val="none"/>
          <w:lang w:eastAsia="zh-CN"/>
        </w:rPr>
        <w:t>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年</w:t>
      </w:r>
      <w:r>
        <w:rPr>
          <w:rFonts w:hint="eastAsia" w:ascii="仿宋" w:hAnsi="仿宋" w:eastAsia="仿宋" w:cs="仿宋"/>
          <w:b/>
          <w:bCs/>
          <w:color w:val="auto"/>
          <w:sz w:val="28"/>
          <w:szCs w:val="28"/>
          <w:highlight w:val="none"/>
          <w:lang w:val="en-US" w:eastAsia="zh-CN"/>
        </w:rPr>
        <w:t>08月07日14</w:t>
      </w:r>
      <w:r>
        <w:rPr>
          <w:rFonts w:hint="eastAsia" w:ascii="仿宋" w:hAnsi="仿宋" w:eastAsia="仿宋" w:cs="仿宋"/>
          <w:b/>
          <w:bCs/>
          <w:color w:val="auto"/>
          <w:sz w:val="28"/>
          <w:szCs w:val="28"/>
          <w:highlight w:val="none"/>
          <w:lang w:eastAsia="zh-CN"/>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rPr>
        <w:t>分（北京时间）前</w:t>
      </w:r>
      <w:r>
        <w:rPr>
          <w:rFonts w:hint="eastAsia" w:ascii="仿宋" w:hAnsi="仿宋" w:eastAsia="仿宋" w:cs="仿宋"/>
          <w:b/>
          <w:bCs/>
          <w:color w:val="auto"/>
          <w:sz w:val="28"/>
          <w:szCs w:val="28"/>
          <w:highlight w:val="none"/>
          <w:lang w:eastAsia="zh-CN"/>
        </w:rPr>
        <w:t>递</w:t>
      </w:r>
      <w:r>
        <w:rPr>
          <w:rFonts w:hint="eastAsia" w:ascii="仿宋" w:hAnsi="仿宋" w:eastAsia="仿宋" w:cs="仿宋"/>
          <w:b/>
          <w:bCs/>
          <w:color w:val="auto"/>
          <w:sz w:val="28"/>
          <w:szCs w:val="28"/>
          <w:highlight w:val="none"/>
        </w:rPr>
        <w:t>交</w:t>
      </w:r>
      <w:r>
        <w:rPr>
          <w:rFonts w:hint="eastAsia" w:ascii="仿宋" w:hAnsi="仿宋" w:eastAsia="仿宋" w:cs="仿宋"/>
          <w:b/>
          <w:bCs/>
          <w:color w:val="auto"/>
          <w:sz w:val="28"/>
          <w:szCs w:val="28"/>
          <w:highlight w:val="none"/>
          <w:lang w:eastAsia="zh-CN"/>
        </w:rPr>
        <w:t>投标</w:t>
      </w:r>
      <w:r>
        <w:rPr>
          <w:rFonts w:hint="eastAsia" w:ascii="仿宋" w:hAnsi="仿宋" w:eastAsia="仿宋" w:cs="仿宋"/>
          <w:b/>
          <w:bCs/>
          <w:color w:val="auto"/>
          <w:sz w:val="28"/>
          <w:szCs w:val="28"/>
          <w:highlight w:val="none"/>
        </w:rPr>
        <w:t>文件。</w:t>
      </w:r>
    </w:p>
    <w:p w14:paraId="7B97C0FC">
      <w:pPr>
        <w:pStyle w:val="26"/>
        <w:keepNext w:val="0"/>
        <w:keepLines w:val="0"/>
        <w:pageBreakBefore w:val="0"/>
        <w:widowControl w:val="0"/>
        <w:numPr>
          <w:ilvl w:val="0"/>
          <w:numId w:val="6"/>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项目基本情况</w:t>
      </w:r>
    </w:p>
    <w:p w14:paraId="7F6F3ABC">
      <w:pPr>
        <w:pStyle w:val="2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ZCSP-韩城市-2025-00046、XHLJZC-WN202</w:t>
      </w:r>
      <w:r>
        <w:rPr>
          <w:rFonts w:hint="eastAsia" w:ascii="仿宋" w:hAnsi="仿宋" w:eastAsia="仿宋" w:cs="仿宋"/>
          <w:color w:val="auto"/>
          <w:sz w:val="28"/>
          <w:szCs w:val="28"/>
          <w:highlight w:val="none"/>
          <w:lang w:val="en-US" w:eastAsia="zh-CN"/>
        </w:rPr>
        <w:t>5-076</w:t>
      </w:r>
    </w:p>
    <w:p w14:paraId="18494CDA">
      <w:pPr>
        <w:pStyle w:val="2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项目名称：韩城市政务云资源管理服务采购项目</w:t>
      </w:r>
    </w:p>
    <w:p w14:paraId="1CA73FE4">
      <w:pPr>
        <w:pStyle w:val="2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采购方式：</w:t>
      </w:r>
      <w:r>
        <w:rPr>
          <w:rFonts w:hint="eastAsia" w:ascii="仿宋" w:hAnsi="仿宋" w:eastAsia="仿宋" w:cs="仿宋"/>
          <w:color w:val="auto"/>
          <w:sz w:val="28"/>
          <w:szCs w:val="28"/>
          <w:highlight w:val="none"/>
          <w:lang w:eastAsia="zh-CN"/>
        </w:rPr>
        <w:t>公开招标</w:t>
      </w:r>
    </w:p>
    <w:p w14:paraId="2C959EBA">
      <w:pPr>
        <w:pStyle w:val="2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4955100.00</w:t>
      </w:r>
      <w:r>
        <w:rPr>
          <w:rFonts w:hint="eastAsia" w:ascii="仿宋" w:hAnsi="仿宋" w:eastAsia="仿宋" w:cs="仿宋"/>
          <w:color w:val="auto"/>
          <w:sz w:val="28"/>
          <w:szCs w:val="28"/>
          <w:highlight w:val="none"/>
        </w:rPr>
        <w:t>元</w:t>
      </w:r>
    </w:p>
    <w:p w14:paraId="57AB4618">
      <w:pPr>
        <w:pStyle w:val="2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14:paraId="497370AA">
      <w:pPr>
        <w:pStyle w:val="2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合同包1(韩城市政务</w:t>
      </w:r>
      <w:r>
        <w:rPr>
          <w:rFonts w:hint="eastAsia" w:ascii="仿宋" w:hAnsi="仿宋" w:eastAsia="仿宋" w:cs="仿宋"/>
          <w:color w:val="auto"/>
          <w:sz w:val="28"/>
          <w:szCs w:val="28"/>
          <w:highlight w:val="none"/>
          <w:lang w:val="en-US" w:eastAsia="zh-CN"/>
        </w:rPr>
        <w:t>大</w:t>
      </w:r>
      <w:r>
        <w:rPr>
          <w:rFonts w:hint="eastAsia" w:ascii="仿宋" w:hAnsi="仿宋" w:eastAsia="仿宋" w:cs="仿宋"/>
          <w:color w:val="auto"/>
          <w:sz w:val="28"/>
          <w:szCs w:val="28"/>
          <w:highlight w:val="none"/>
        </w:rPr>
        <w:t>数据服务中心韩城市政务云资源管理服务采购项目):</w:t>
      </w:r>
    </w:p>
    <w:p w14:paraId="1A6F71C0">
      <w:pPr>
        <w:pStyle w:val="2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合同包预算金额：</w:t>
      </w:r>
      <w:r>
        <w:rPr>
          <w:rFonts w:hint="eastAsia" w:ascii="仿宋" w:hAnsi="仿宋" w:eastAsia="仿宋" w:cs="仿宋"/>
          <w:color w:val="auto"/>
          <w:sz w:val="28"/>
          <w:szCs w:val="28"/>
          <w:highlight w:val="none"/>
          <w:lang w:val="en-US" w:eastAsia="zh-CN"/>
        </w:rPr>
        <w:t>4955100.00</w:t>
      </w:r>
      <w:r>
        <w:rPr>
          <w:rFonts w:hint="eastAsia" w:ascii="仿宋" w:hAnsi="仿宋" w:eastAsia="仿宋" w:cs="仿宋"/>
          <w:color w:val="auto"/>
          <w:sz w:val="28"/>
          <w:szCs w:val="28"/>
          <w:highlight w:val="none"/>
        </w:rPr>
        <w:t>元</w:t>
      </w:r>
    </w:p>
    <w:p w14:paraId="7E23B045">
      <w:pPr>
        <w:pStyle w:val="2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合同包最高限价：</w:t>
      </w:r>
      <w:r>
        <w:rPr>
          <w:rFonts w:hint="eastAsia" w:ascii="仿宋" w:hAnsi="仿宋" w:eastAsia="仿宋" w:cs="仿宋"/>
          <w:color w:val="auto"/>
          <w:sz w:val="28"/>
          <w:szCs w:val="28"/>
          <w:highlight w:val="none"/>
          <w:lang w:val="en-US" w:eastAsia="zh-CN"/>
        </w:rPr>
        <w:t>4955100.00</w:t>
      </w:r>
      <w:r>
        <w:rPr>
          <w:rFonts w:hint="eastAsia" w:ascii="仿宋" w:hAnsi="仿宋" w:eastAsia="仿宋" w:cs="仿宋"/>
          <w:color w:val="auto"/>
          <w:sz w:val="28"/>
          <w:szCs w:val="28"/>
          <w:highlight w:val="none"/>
        </w:rPr>
        <w:t>元</w:t>
      </w:r>
    </w:p>
    <w:tbl>
      <w:tblPr>
        <w:tblStyle w:val="31"/>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43"/>
        <w:gridCol w:w="1628"/>
        <w:gridCol w:w="2099"/>
        <w:gridCol w:w="1472"/>
        <w:gridCol w:w="1828"/>
        <w:gridCol w:w="1712"/>
      </w:tblGrid>
      <w:tr w14:paraId="39E7E1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3" w:hRule="atLeast"/>
        </w:trPr>
        <w:tc>
          <w:tcPr>
            <w:tcW w:w="62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69E3E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品目号</w:t>
            </w:r>
          </w:p>
        </w:tc>
        <w:tc>
          <w:tcPr>
            <w:tcW w:w="8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321E0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品目名称</w:t>
            </w:r>
          </w:p>
        </w:tc>
        <w:tc>
          <w:tcPr>
            <w:tcW w:w="10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997A9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采购标的</w:t>
            </w:r>
          </w:p>
        </w:tc>
        <w:tc>
          <w:tcPr>
            <w:tcW w:w="73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5CF5E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数量</w:t>
            </w:r>
          </w:p>
          <w:p w14:paraId="06DACA9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（单位）</w:t>
            </w:r>
          </w:p>
        </w:tc>
        <w:tc>
          <w:tcPr>
            <w:tcW w:w="9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991C3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技术规格、参数及要求</w:t>
            </w:r>
          </w:p>
        </w:tc>
        <w:tc>
          <w:tcPr>
            <w:tcW w:w="85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EAA2B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品目预算</w:t>
            </w:r>
          </w:p>
          <w:p w14:paraId="534812B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(元)</w:t>
            </w:r>
          </w:p>
        </w:tc>
      </w:tr>
      <w:tr w14:paraId="1499F4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75" w:hRule="atLeast"/>
        </w:trPr>
        <w:tc>
          <w:tcPr>
            <w:tcW w:w="62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66EC3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1-1</w:t>
            </w:r>
          </w:p>
        </w:tc>
        <w:tc>
          <w:tcPr>
            <w:tcW w:w="8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F0EC1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default" w:ascii="仿宋" w:hAnsi="仿宋" w:eastAsia="仿宋" w:cs="仿宋"/>
                <w:kern w:val="2"/>
                <w:sz w:val="24"/>
                <w:szCs w:val="24"/>
                <w:highlight w:val="none"/>
                <w:lang w:val="en-US" w:eastAsia="zh-CN" w:bidi="ar"/>
              </w:rPr>
            </w:pPr>
            <w:r>
              <w:rPr>
                <w:rFonts w:hint="default" w:ascii="仿宋" w:hAnsi="仿宋" w:eastAsia="仿宋" w:cs="仿宋"/>
                <w:kern w:val="2"/>
                <w:sz w:val="24"/>
                <w:szCs w:val="24"/>
                <w:highlight w:val="none"/>
                <w:lang w:val="en-US" w:eastAsia="zh-CN" w:bidi="ar"/>
              </w:rPr>
              <w:t>其他信息技术服务</w:t>
            </w:r>
          </w:p>
        </w:tc>
        <w:tc>
          <w:tcPr>
            <w:tcW w:w="10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9C0C2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云资源管理服务</w:t>
            </w:r>
          </w:p>
        </w:tc>
        <w:tc>
          <w:tcPr>
            <w:tcW w:w="73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4FD64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1(项)</w:t>
            </w:r>
          </w:p>
        </w:tc>
        <w:tc>
          <w:tcPr>
            <w:tcW w:w="9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10A54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详见采购文件</w:t>
            </w:r>
          </w:p>
        </w:tc>
        <w:tc>
          <w:tcPr>
            <w:tcW w:w="85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76C6F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jc w:val="center"/>
              <w:textAlignment w:val="auto"/>
              <w:rPr>
                <w:rFonts w:hint="default"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4955100.00</w:t>
            </w:r>
          </w:p>
        </w:tc>
      </w:tr>
    </w:tbl>
    <w:p w14:paraId="232FE5A7">
      <w:pPr>
        <w:pStyle w:val="2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本合同包不接受联合体投标</w:t>
      </w:r>
    </w:p>
    <w:p w14:paraId="30258184">
      <w:pPr>
        <w:pStyle w:val="2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30"/>
        <w:jc w:val="left"/>
        <w:textAlignment w:val="auto"/>
        <w:rPr>
          <w:rFonts w:hint="default" w:ascii="仿宋" w:hAnsi="仿宋" w:eastAsia="仿宋" w:cs="仿宋"/>
          <w:color w:val="auto"/>
          <w:sz w:val="28"/>
          <w:szCs w:val="28"/>
          <w:highlight w:val="none"/>
          <w:lang w:val="en-US"/>
        </w:rPr>
      </w:pPr>
      <w:r>
        <w:rPr>
          <w:rFonts w:hint="eastAsia" w:ascii="仿宋" w:hAnsi="仿宋" w:eastAsia="仿宋" w:cs="仿宋"/>
          <w:kern w:val="2"/>
          <w:sz w:val="28"/>
          <w:szCs w:val="28"/>
          <w:highlight w:val="none"/>
          <w:lang w:val="en-US" w:eastAsia="zh-CN" w:bidi="ar"/>
        </w:rPr>
        <w:t>合同履行期限：合同签订后一年</w:t>
      </w:r>
    </w:p>
    <w:p w14:paraId="6EE36E82">
      <w:pPr>
        <w:pStyle w:val="26"/>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 w:hAnsi="仿宋" w:eastAsia="仿宋" w:cs="仿宋"/>
          <w:b/>
          <w:bCs/>
          <w:sz w:val="28"/>
          <w:szCs w:val="28"/>
          <w:highlight w:val="none"/>
          <w:shd w:val="clear" w:color="auto" w:fill="FFFFFF"/>
        </w:rPr>
      </w:pPr>
      <w:r>
        <w:rPr>
          <w:rFonts w:hint="eastAsia" w:ascii="仿宋" w:hAnsi="仿宋" w:eastAsia="仿宋" w:cs="仿宋"/>
          <w:b/>
          <w:bCs/>
          <w:sz w:val="28"/>
          <w:szCs w:val="28"/>
          <w:highlight w:val="none"/>
          <w:shd w:val="clear" w:color="auto" w:fill="FFFFFF"/>
        </w:rPr>
        <w:t>二、投标人的资格要求</w:t>
      </w:r>
    </w:p>
    <w:p w14:paraId="001CEF6E">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1、满足《中华人民共和国政府采购法》第二十二条规定</w:t>
      </w:r>
      <w:r>
        <w:rPr>
          <w:rFonts w:hint="eastAsia" w:ascii="仿宋" w:hAnsi="仿宋" w:eastAsia="仿宋" w:cs="仿宋"/>
          <w:sz w:val="28"/>
          <w:szCs w:val="28"/>
          <w:highlight w:val="none"/>
          <w:shd w:val="clear" w:color="auto" w:fill="FFFFFF"/>
          <w:lang w:eastAsia="zh-CN"/>
        </w:rPr>
        <w:t>；</w:t>
      </w:r>
    </w:p>
    <w:p w14:paraId="51D4EE69">
      <w:pPr>
        <w:pStyle w:val="2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2、落实政府采购政策需满足的资格要求：</w:t>
      </w:r>
    </w:p>
    <w:p w14:paraId="115FFF41">
      <w:pPr>
        <w:pStyle w:val="2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合同包1</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lang w:eastAsia="zh-CN"/>
        </w:rPr>
        <w:t>韩城市政务</w:t>
      </w:r>
      <w:r>
        <w:rPr>
          <w:rFonts w:hint="eastAsia" w:ascii="仿宋" w:hAnsi="仿宋" w:eastAsia="仿宋" w:cs="仿宋"/>
          <w:color w:val="auto"/>
          <w:sz w:val="28"/>
          <w:szCs w:val="28"/>
          <w:highlight w:val="none"/>
          <w:shd w:val="clear" w:color="auto" w:fill="FFFFFF"/>
          <w:lang w:val="en-US" w:eastAsia="zh-CN"/>
        </w:rPr>
        <w:t>大</w:t>
      </w:r>
      <w:r>
        <w:rPr>
          <w:rFonts w:hint="eastAsia" w:ascii="仿宋" w:hAnsi="仿宋" w:eastAsia="仿宋" w:cs="仿宋"/>
          <w:color w:val="auto"/>
          <w:sz w:val="28"/>
          <w:szCs w:val="28"/>
          <w:highlight w:val="none"/>
          <w:shd w:val="clear" w:color="auto" w:fill="FFFFFF"/>
          <w:lang w:eastAsia="zh-CN"/>
        </w:rPr>
        <w:t>数据服务中心韩城市政务云资源管理服务采购项目</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落实政府采购政策需满足的资格要求如下</w:t>
      </w:r>
      <w:r>
        <w:rPr>
          <w:rFonts w:hint="eastAsia" w:ascii="仿宋" w:hAnsi="仿宋" w:eastAsia="仿宋" w:cs="仿宋"/>
          <w:sz w:val="28"/>
          <w:szCs w:val="28"/>
          <w:highlight w:val="none"/>
          <w:shd w:val="clear" w:color="auto" w:fill="FFFFFF"/>
          <w:lang w:eastAsia="zh-CN"/>
        </w:rPr>
        <w:t>：</w:t>
      </w:r>
    </w:p>
    <w:p w14:paraId="0EC804AD">
      <w:pPr>
        <w:pStyle w:val="2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本项目属于非专门面向中小企业采购。</w:t>
      </w:r>
    </w:p>
    <w:p w14:paraId="55CDDA23">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shd w:val="clear" w:color="auto" w:fill="FFFFFF"/>
        </w:rPr>
        <w:t>3、</w:t>
      </w:r>
      <w:r>
        <w:rPr>
          <w:rFonts w:hint="eastAsia" w:ascii="仿宋" w:hAnsi="仿宋" w:eastAsia="仿宋" w:cs="仿宋"/>
          <w:color w:val="auto"/>
          <w:sz w:val="28"/>
          <w:szCs w:val="28"/>
          <w:highlight w:val="none"/>
        </w:rPr>
        <w:t>本项目的特定资格要求：</w:t>
      </w:r>
    </w:p>
    <w:p w14:paraId="36675FD7">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shd w:val="clear" w:color="auto" w:fill="FFFFFF"/>
          <w:lang w:eastAsia="zh-CN"/>
        </w:rPr>
      </w:pPr>
      <w:r>
        <w:rPr>
          <w:rFonts w:hint="eastAsia" w:ascii="仿宋" w:hAnsi="仿宋" w:eastAsia="仿宋" w:cs="仿宋"/>
          <w:color w:val="auto"/>
          <w:sz w:val="28"/>
          <w:szCs w:val="28"/>
          <w:highlight w:val="none"/>
          <w:shd w:val="clear" w:color="auto" w:fill="FFFFFF"/>
        </w:rPr>
        <w:t>合同包1</w:t>
      </w:r>
      <w:r>
        <w:rPr>
          <w:rFonts w:hint="eastAsia" w:ascii="仿宋" w:hAnsi="仿宋" w:eastAsia="仿宋" w:cs="仿宋"/>
          <w:color w:val="auto"/>
          <w:sz w:val="28"/>
          <w:szCs w:val="28"/>
          <w:highlight w:val="none"/>
          <w:shd w:val="clear" w:color="auto" w:fill="FFFFFF"/>
          <w:lang w:eastAsia="zh-CN"/>
        </w:rPr>
        <w:t>（韩城市政务</w:t>
      </w:r>
      <w:r>
        <w:rPr>
          <w:rFonts w:hint="eastAsia" w:ascii="仿宋" w:hAnsi="仿宋" w:eastAsia="仿宋" w:cs="仿宋"/>
          <w:color w:val="auto"/>
          <w:sz w:val="28"/>
          <w:szCs w:val="28"/>
          <w:highlight w:val="none"/>
          <w:shd w:val="clear" w:color="auto" w:fill="FFFFFF"/>
          <w:lang w:val="en-US" w:eastAsia="zh-CN"/>
        </w:rPr>
        <w:t>大</w:t>
      </w:r>
      <w:r>
        <w:rPr>
          <w:rFonts w:hint="eastAsia" w:ascii="仿宋" w:hAnsi="仿宋" w:eastAsia="仿宋" w:cs="仿宋"/>
          <w:color w:val="auto"/>
          <w:sz w:val="28"/>
          <w:szCs w:val="28"/>
          <w:highlight w:val="none"/>
          <w:shd w:val="clear" w:color="auto" w:fill="FFFFFF"/>
          <w:lang w:eastAsia="zh-CN"/>
        </w:rPr>
        <w:t>数据服务中心韩城市政务云资源管理服务采购项目）</w:t>
      </w:r>
      <w:r>
        <w:rPr>
          <w:rFonts w:hint="eastAsia" w:ascii="仿宋" w:hAnsi="仿宋" w:eastAsia="仿宋" w:cs="仿宋"/>
          <w:color w:val="auto"/>
          <w:sz w:val="28"/>
          <w:szCs w:val="28"/>
          <w:highlight w:val="none"/>
          <w:shd w:val="clear" w:color="auto" w:fill="FFFFFF"/>
        </w:rPr>
        <w:t>特定资格要求如下</w:t>
      </w:r>
      <w:r>
        <w:rPr>
          <w:rFonts w:hint="eastAsia" w:ascii="仿宋" w:hAnsi="仿宋" w:eastAsia="仿宋" w:cs="仿宋"/>
          <w:color w:val="auto"/>
          <w:sz w:val="28"/>
          <w:szCs w:val="28"/>
          <w:highlight w:val="none"/>
          <w:shd w:val="clear" w:color="auto" w:fill="FFFFFF"/>
          <w:lang w:eastAsia="zh-CN"/>
        </w:rPr>
        <w:t>：</w:t>
      </w:r>
    </w:p>
    <w:p w14:paraId="19259640">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w:t>
      </w:r>
      <w:r>
        <w:rPr>
          <w:rFonts w:hint="eastAsia" w:ascii="仿宋" w:hAnsi="仿宋" w:eastAsia="仿宋" w:cs="仿宋"/>
          <w:sz w:val="28"/>
          <w:szCs w:val="28"/>
          <w:highlight w:val="none"/>
          <w:shd w:val="clear" w:color="auto" w:fill="FFFFFF"/>
          <w:lang w:eastAsia="zh-CN"/>
        </w:rPr>
        <w:t>供应商应具有独立承担民事责任的能力且具备向采购人提供相关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 w:val="28"/>
          <w:szCs w:val="28"/>
          <w:highlight w:val="none"/>
          <w:lang w:val="en-US" w:eastAsia="zh-CN"/>
        </w:rPr>
        <w:t>；</w:t>
      </w:r>
    </w:p>
    <w:p w14:paraId="0A507079">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（2）法定代表人授权委托书（附法定代表人身份证复印件）及被授权委托人身份证（法定代表人参加</w:t>
      </w:r>
      <w:r>
        <w:rPr>
          <w:rFonts w:hint="eastAsia" w:ascii="仿宋" w:hAnsi="仿宋" w:eastAsia="仿宋" w:cs="仿宋"/>
          <w:color w:val="auto"/>
          <w:kern w:val="0"/>
          <w:sz w:val="28"/>
          <w:szCs w:val="28"/>
          <w:highlight w:val="none"/>
          <w:lang w:eastAsia="zh-CN"/>
        </w:rPr>
        <w:t>投标</w:t>
      </w:r>
      <w:r>
        <w:rPr>
          <w:rFonts w:hint="eastAsia" w:ascii="仿宋" w:hAnsi="仿宋" w:eastAsia="仿宋" w:cs="仿宋"/>
          <w:color w:val="auto"/>
          <w:kern w:val="0"/>
          <w:sz w:val="28"/>
          <w:szCs w:val="28"/>
          <w:highlight w:val="none"/>
        </w:rPr>
        <w:t>只须提供法定代表人身份证）；</w:t>
      </w:r>
    </w:p>
    <w:p w14:paraId="26863795">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（3）提供202</w:t>
      </w:r>
      <w:r>
        <w:rPr>
          <w:rFonts w:hint="eastAsia" w:ascii="仿宋" w:hAnsi="仿宋" w:eastAsia="仿宋" w:cs="仿宋"/>
          <w:sz w:val="28"/>
          <w:szCs w:val="28"/>
          <w:highlight w:val="none"/>
          <w:shd w:val="clear" w:color="auto" w:fill="FFFFFF"/>
          <w:lang w:val="en-US" w:eastAsia="zh-CN"/>
        </w:rPr>
        <w:t>3或2024</w:t>
      </w:r>
      <w:r>
        <w:rPr>
          <w:rFonts w:hint="eastAsia" w:ascii="仿宋" w:hAnsi="仿宋" w:eastAsia="仿宋" w:cs="仿宋"/>
          <w:sz w:val="28"/>
          <w:szCs w:val="28"/>
          <w:highlight w:val="none"/>
          <w:shd w:val="clear" w:color="auto" w:fill="FFFFFF"/>
        </w:rPr>
        <w:t>年度经审计的财务报告或开标前六个月内其基本账户银行出具的资信证明或财政部门认可的政府采购专业担保机构出具的担保函；</w:t>
      </w:r>
    </w:p>
    <w:p w14:paraId="22B34C2E">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（4）提供</w:t>
      </w:r>
      <w:r>
        <w:rPr>
          <w:rFonts w:hint="eastAsia" w:ascii="仿宋" w:hAnsi="仿宋" w:eastAsia="仿宋" w:cs="仿宋"/>
          <w:sz w:val="28"/>
          <w:szCs w:val="28"/>
          <w:highlight w:val="none"/>
          <w:shd w:val="clear" w:color="auto" w:fill="FFFFFF"/>
          <w:lang w:eastAsia="zh-CN"/>
        </w:rPr>
        <w:t>202</w:t>
      </w:r>
      <w:r>
        <w:rPr>
          <w:rFonts w:hint="eastAsia" w:ascii="仿宋" w:hAnsi="仿宋" w:eastAsia="仿宋" w:cs="仿宋"/>
          <w:sz w:val="28"/>
          <w:szCs w:val="28"/>
          <w:highlight w:val="none"/>
          <w:shd w:val="clear" w:color="auto" w:fill="FFFFFF"/>
          <w:lang w:val="en-US" w:eastAsia="zh-CN"/>
        </w:rPr>
        <w:t>4</w:t>
      </w:r>
      <w:r>
        <w:rPr>
          <w:rFonts w:hint="eastAsia" w:ascii="仿宋" w:hAnsi="仿宋" w:eastAsia="仿宋" w:cs="仿宋"/>
          <w:sz w:val="28"/>
          <w:szCs w:val="28"/>
          <w:highlight w:val="none"/>
          <w:shd w:val="clear" w:color="auto" w:fill="FFFFFF"/>
          <w:lang w:eastAsia="zh-CN"/>
        </w:rPr>
        <w:t>年</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lang w:eastAsia="zh-CN"/>
        </w:rPr>
        <w:t>月</w:t>
      </w:r>
      <w:r>
        <w:rPr>
          <w:rFonts w:hint="eastAsia" w:ascii="仿宋" w:hAnsi="仿宋" w:eastAsia="仿宋" w:cs="仿宋"/>
          <w:sz w:val="28"/>
          <w:szCs w:val="28"/>
          <w:highlight w:val="none"/>
          <w:shd w:val="clear" w:color="auto" w:fill="FFFFFF"/>
        </w:rPr>
        <w:t>以来任意3个月</w:t>
      </w:r>
      <w:r>
        <w:rPr>
          <w:rFonts w:hint="eastAsia" w:ascii="仿宋" w:hAnsi="仿宋" w:eastAsia="仿宋" w:cs="仿宋"/>
          <w:sz w:val="28"/>
          <w:szCs w:val="28"/>
          <w:highlight w:val="none"/>
          <w:shd w:val="clear" w:color="auto" w:fill="FFFFFF"/>
          <w:lang w:eastAsia="zh-CN"/>
        </w:rPr>
        <w:t>依法缴纳税收和社会保险的相关证明材料；</w:t>
      </w:r>
      <w:r>
        <w:rPr>
          <w:rFonts w:hint="eastAsia" w:ascii="仿宋" w:hAnsi="仿宋" w:eastAsia="仿宋" w:cs="仿宋"/>
          <w:sz w:val="28"/>
          <w:szCs w:val="28"/>
          <w:highlight w:val="none"/>
          <w:shd w:val="clear" w:color="auto" w:fill="FFFFFF"/>
        </w:rPr>
        <w:t>注：依法免税或不需要缴纳社会保险的供应商提供相关部门出具的证明文件</w:t>
      </w:r>
      <w:r>
        <w:rPr>
          <w:rFonts w:hint="eastAsia" w:ascii="仿宋" w:hAnsi="仿宋" w:eastAsia="仿宋" w:cs="仿宋"/>
          <w:sz w:val="28"/>
          <w:szCs w:val="28"/>
          <w:highlight w:val="none"/>
          <w:shd w:val="clear" w:color="auto" w:fill="FFFFFF"/>
          <w:lang w:eastAsia="zh-CN"/>
        </w:rPr>
        <w:t>；</w:t>
      </w:r>
    </w:p>
    <w:p w14:paraId="7D53EAC6">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（5）提供具有履行合同所必需的设备和专业技术能力的承诺；</w:t>
      </w:r>
    </w:p>
    <w:p w14:paraId="79B965B8">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（6）提供参加政府采购活动前3年内在经营活动中没有重大违法记录的书面声明；</w:t>
      </w:r>
    </w:p>
    <w:p w14:paraId="13A3BB5B">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b/>
          <w:bCs/>
          <w:color w:val="auto"/>
          <w:kern w:val="0"/>
          <w:sz w:val="28"/>
          <w:szCs w:val="28"/>
          <w:highlight w:val="none"/>
          <w:lang w:eastAsia="zh-CN"/>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7</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p w14:paraId="420D86FB">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eastAsia="zh-CN"/>
        </w:rPr>
        <w:t>三、</w:t>
      </w:r>
      <w:r>
        <w:rPr>
          <w:rFonts w:hint="eastAsia" w:ascii="仿宋" w:hAnsi="仿宋" w:eastAsia="仿宋" w:cs="仿宋"/>
          <w:b/>
          <w:bCs/>
          <w:color w:val="auto"/>
          <w:kern w:val="0"/>
          <w:sz w:val="28"/>
          <w:szCs w:val="28"/>
          <w:highlight w:val="none"/>
        </w:rPr>
        <w:t>获取</w:t>
      </w:r>
      <w:r>
        <w:rPr>
          <w:rFonts w:hint="eastAsia" w:ascii="仿宋" w:hAnsi="仿宋" w:eastAsia="仿宋" w:cs="仿宋"/>
          <w:b/>
          <w:bCs/>
          <w:color w:val="auto"/>
          <w:kern w:val="0"/>
          <w:sz w:val="28"/>
          <w:szCs w:val="28"/>
          <w:highlight w:val="none"/>
          <w:lang w:eastAsia="zh-CN"/>
        </w:rPr>
        <w:t>招标</w:t>
      </w:r>
      <w:r>
        <w:rPr>
          <w:rFonts w:hint="eastAsia" w:ascii="仿宋" w:hAnsi="仿宋" w:eastAsia="仿宋" w:cs="仿宋"/>
          <w:b/>
          <w:bCs/>
          <w:color w:val="auto"/>
          <w:kern w:val="0"/>
          <w:sz w:val="28"/>
          <w:szCs w:val="28"/>
          <w:highlight w:val="none"/>
        </w:rPr>
        <w:t>文件</w:t>
      </w:r>
    </w:p>
    <w:p w14:paraId="121E3674">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lang w:eastAsia="zh-CN"/>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日，每天上午09:00:00至11:30:00，下午14:00:00至17:00:00（北京时间）</w:t>
      </w:r>
    </w:p>
    <w:p w14:paraId="3E7D9D2F">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途径</w:t>
      </w:r>
      <w:r>
        <w:rPr>
          <w:rFonts w:hint="eastAsia" w:ascii="仿宋" w:hAnsi="仿宋" w:eastAsia="仿宋" w:cs="仿宋"/>
          <w:color w:val="auto"/>
          <w:sz w:val="28"/>
          <w:szCs w:val="28"/>
          <w:highlight w:val="none"/>
        </w:rPr>
        <w:t>：西安市高新区科技二路71号竹园天寰国际14层1404室</w:t>
      </w:r>
    </w:p>
    <w:p w14:paraId="49C1DD2B">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方式：现场获取</w:t>
      </w:r>
    </w:p>
    <w:p w14:paraId="168D23F0">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Style w:val="34"/>
          <w:rFonts w:ascii="仿宋" w:hAnsi="仿宋" w:eastAsia="仿宋" w:cs="仿宋"/>
          <w:bCs/>
          <w:sz w:val="28"/>
          <w:szCs w:val="28"/>
          <w:highlight w:val="none"/>
          <w:shd w:val="clear" w:color="auto" w:fill="FFFFFF"/>
        </w:rPr>
      </w:pPr>
      <w:r>
        <w:rPr>
          <w:rFonts w:hint="eastAsia" w:ascii="仿宋" w:hAnsi="仿宋" w:eastAsia="仿宋" w:cs="仿宋"/>
          <w:color w:val="auto"/>
          <w:sz w:val="28"/>
          <w:szCs w:val="28"/>
          <w:highlight w:val="none"/>
        </w:rPr>
        <w:t>售价：</w:t>
      </w:r>
      <w:r>
        <w:rPr>
          <w:rFonts w:hint="eastAsia" w:ascii="仿宋" w:hAnsi="仿宋" w:eastAsia="仿宋" w:cs="仿宋"/>
          <w:color w:val="auto"/>
          <w:sz w:val="28"/>
          <w:szCs w:val="28"/>
          <w:highlight w:val="none"/>
          <w:lang w:val="en-US" w:eastAsia="zh-CN"/>
        </w:rPr>
        <w:t>免费获取</w:t>
      </w:r>
    </w:p>
    <w:p w14:paraId="454D80E6">
      <w:pPr>
        <w:pStyle w:val="26"/>
        <w:keepNext w:val="0"/>
        <w:keepLines w:val="0"/>
        <w:pageBreakBefore w:val="0"/>
        <w:widowControl w:val="0"/>
        <w:kinsoku/>
        <w:wordWrap/>
        <w:overflowPunct/>
        <w:topLinePunct w:val="0"/>
        <w:autoSpaceDE/>
        <w:autoSpaceDN/>
        <w:bidi w:val="0"/>
        <w:adjustRightInd/>
        <w:snapToGrid/>
        <w:spacing w:after="0" w:line="480" w:lineRule="exact"/>
        <w:textAlignment w:val="auto"/>
        <w:rPr>
          <w:rStyle w:val="34"/>
          <w:rFonts w:hint="eastAsia" w:ascii="仿宋" w:hAnsi="仿宋" w:eastAsia="仿宋" w:cs="仿宋"/>
          <w:sz w:val="28"/>
          <w:szCs w:val="28"/>
          <w:highlight w:val="none"/>
          <w:shd w:val="clear" w:color="auto" w:fill="FFFFFF"/>
        </w:rPr>
      </w:pPr>
      <w:r>
        <w:rPr>
          <w:rStyle w:val="34"/>
          <w:rFonts w:hint="eastAsia" w:ascii="仿宋" w:hAnsi="仿宋" w:eastAsia="仿宋" w:cs="仿宋"/>
          <w:sz w:val="28"/>
          <w:szCs w:val="28"/>
          <w:highlight w:val="none"/>
          <w:shd w:val="clear" w:color="auto" w:fill="FFFFFF"/>
        </w:rPr>
        <w:t>四、提交投标文件截止时间、开标时间和地点</w:t>
      </w:r>
    </w:p>
    <w:p w14:paraId="6E9FD553">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时间：</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08月07日14</w:t>
      </w:r>
      <w:r>
        <w:rPr>
          <w:rFonts w:hint="eastAsia" w:ascii="仿宋" w:hAnsi="仿宋" w:eastAsia="仿宋" w:cs="仿宋"/>
          <w:kern w:val="0"/>
          <w:sz w:val="28"/>
          <w:szCs w:val="28"/>
          <w:highlight w:val="none"/>
        </w:rPr>
        <w:t>时</w:t>
      </w:r>
      <w:r>
        <w:rPr>
          <w:rFonts w:hint="eastAsia" w:ascii="仿宋" w:hAnsi="仿宋" w:eastAsia="仿宋" w:cs="仿宋"/>
          <w:kern w:val="0"/>
          <w:sz w:val="28"/>
          <w:szCs w:val="28"/>
          <w:highlight w:val="none"/>
          <w:lang w:val="en-US" w:eastAsia="zh-CN"/>
        </w:rPr>
        <w:t>00</w:t>
      </w:r>
      <w:r>
        <w:rPr>
          <w:rFonts w:hint="eastAsia" w:ascii="仿宋" w:hAnsi="仿宋" w:eastAsia="仿宋" w:cs="仿宋"/>
          <w:kern w:val="0"/>
          <w:sz w:val="28"/>
          <w:szCs w:val="28"/>
          <w:highlight w:val="none"/>
        </w:rPr>
        <w:t>分00秒（北京时间）</w:t>
      </w:r>
    </w:p>
    <w:p w14:paraId="209A9DD1">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提交投标文件</w:t>
      </w:r>
      <w:r>
        <w:rPr>
          <w:rFonts w:hint="eastAsia" w:ascii="仿宋" w:hAnsi="仿宋" w:eastAsia="仿宋" w:cs="仿宋"/>
          <w:kern w:val="0"/>
          <w:sz w:val="28"/>
          <w:szCs w:val="28"/>
          <w:highlight w:val="none"/>
          <w:lang w:eastAsia="zh-CN"/>
        </w:rPr>
        <w:t>地点：</w:t>
      </w:r>
      <w:r>
        <w:rPr>
          <w:rFonts w:hint="eastAsia" w:ascii="仿宋" w:hAnsi="仿宋" w:eastAsia="仿宋" w:cs="仿宋"/>
          <w:color w:val="auto"/>
          <w:kern w:val="0"/>
          <w:sz w:val="28"/>
          <w:szCs w:val="28"/>
          <w:highlight w:val="none"/>
          <w:lang w:val="zh-TW" w:eastAsia="zh-CN"/>
        </w:rPr>
        <w:t>西安市高新区科技二路71号竹园天寰国际14层1404会议室</w:t>
      </w:r>
    </w:p>
    <w:p w14:paraId="67668F2F">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kern w:val="0"/>
          <w:sz w:val="28"/>
          <w:szCs w:val="28"/>
          <w:highlight w:val="none"/>
          <w:lang w:eastAsia="zh-CN"/>
        </w:rPr>
        <w:t>开标</w:t>
      </w:r>
      <w:r>
        <w:rPr>
          <w:rFonts w:hint="eastAsia" w:ascii="仿宋" w:hAnsi="仿宋" w:eastAsia="仿宋" w:cs="仿宋"/>
          <w:kern w:val="0"/>
          <w:sz w:val="28"/>
          <w:szCs w:val="28"/>
          <w:highlight w:val="none"/>
        </w:rPr>
        <w:t>地点：</w:t>
      </w:r>
      <w:r>
        <w:rPr>
          <w:rFonts w:hint="eastAsia" w:ascii="仿宋" w:hAnsi="仿宋" w:eastAsia="仿宋" w:cs="仿宋"/>
          <w:color w:val="auto"/>
          <w:kern w:val="0"/>
          <w:sz w:val="28"/>
          <w:szCs w:val="28"/>
          <w:highlight w:val="none"/>
          <w:lang w:val="zh-TW" w:eastAsia="zh-CN"/>
        </w:rPr>
        <w:t>西安市高新区科技二路71号竹园天寰国际14层1404会议室</w:t>
      </w:r>
    </w:p>
    <w:p w14:paraId="78A3D625">
      <w:pPr>
        <w:pStyle w:val="26"/>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、公告期限</w:t>
      </w:r>
    </w:p>
    <w:p w14:paraId="69D9A48D">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自本公告发布之日起</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个工作日。</w:t>
      </w:r>
    </w:p>
    <w:p w14:paraId="6ADAC6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其他补充事宜</w:t>
      </w:r>
    </w:p>
    <w:p w14:paraId="1608C96C">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eastAsia="zh-CN" w:bidi="ar"/>
        </w:rPr>
      </w:pPr>
      <w:r>
        <w:rPr>
          <w:rFonts w:hint="eastAsia" w:ascii="仿宋" w:hAnsi="仿宋" w:eastAsia="仿宋" w:cs="仿宋"/>
          <w:b w:val="0"/>
          <w:bCs w:val="0"/>
          <w:kern w:val="0"/>
          <w:sz w:val="28"/>
          <w:szCs w:val="28"/>
          <w:highlight w:val="none"/>
          <w:lang w:val="en-US" w:eastAsia="zh-CN" w:bidi="ar"/>
        </w:rPr>
        <w:t>1.</w:t>
      </w:r>
      <w:r>
        <w:rPr>
          <w:rFonts w:hint="eastAsia" w:ascii="仿宋" w:hAnsi="仿宋" w:eastAsia="仿宋" w:cs="仿宋"/>
          <w:kern w:val="0"/>
          <w:sz w:val="28"/>
          <w:szCs w:val="28"/>
          <w:highlight w:val="none"/>
          <w:lang w:eastAsia="zh-CN" w:bidi="ar"/>
        </w:rPr>
        <w:t>需</w:t>
      </w:r>
      <w:r>
        <w:rPr>
          <w:rFonts w:hint="eastAsia" w:ascii="仿宋" w:hAnsi="仿宋" w:eastAsia="仿宋" w:cs="仿宋"/>
          <w:kern w:val="0"/>
          <w:sz w:val="28"/>
          <w:szCs w:val="28"/>
          <w:highlight w:val="none"/>
          <w:lang w:bidi="ar"/>
        </w:rPr>
        <w:t>落实</w:t>
      </w:r>
      <w:r>
        <w:rPr>
          <w:rFonts w:hint="eastAsia" w:ascii="仿宋" w:hAnsi="仿宋" w:eastAsia="仿宋" w:cs="仿宋"/>
          <w:kern w:val="0"/>
          <w:sz w:val="28"/>
          <w:szCs w:val="28"/>
          <w:highlight w:val="none"/>
          <w:lang w:eastAsia="zh-CN" w:bidi="ar"/>
        </w:rPr>
        <w:t>的</w:t>
      </w:r>
      <w:r>
        <w:rPr>
          <w:rFonts w:hint="eastAsia" w:ascii="仿宋" w:hAnsi="仿宋" w:eastAsia="仿宋" w:cs="仿宋"/>
          <w:kern w:val="0"/>
          <w:sz w:val="28"/>
          <w:szCs w:val="28"/>
          <w:highlight w:val="none"/>
          <w:lang w:bidi="ar"/>
        </w:rPr>
        <w:t>政府采购政策的资格要求如下</w:t>
      </w:r>
      <w:r>
        <w:rPr>
          <w:rFonts w:hint="eastAsia" w:ascii="仿宋" w:hAnsi="仿宋" w:eastAsia="仿宋" w:cs="仿宋"/>
          <w:kern w:val="0"/>
          <w:sz w:val="28"/>
          <w:szCs w:val="28"/>
          <w:highlight w:val="none"/>
          <w:lang w:eastAsia="zh-CN" w:bidi="ar"/>
        </w:rPr>
        <w:t>：</w:t>
      </w:r>
    </w:p>
    <w:p w14:paraId="2C1D38DB">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（1）《财政部 发展改革委 生态环境部</w:t>
      </w: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市场监管总局关于调整优化节能产品、环境标志产品政府采购执行机制的通知》（财库〔2019〕9号）；</w:t>
      </w:r>
    </w:p>
    <w:p w14:paraId="51F737F7">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（2）《政府采购促进中小企业发展管理办法》（财库〔2020〕46号）；</w:t>
      </w:r>
    </w:p>
    <w:p w14:paraId="3E43BA1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（3）《财政部司法部关于政府采购支持监狱企业发展有关问题的通知》（财库〔2014〕68号）；</w:t>
      </w:r>
    </w:p>
    <w:p w14:paraId="4D572E8A">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highlight w:val="none"/>
          <w:lang w:eastAsia="zh-CN" w:bidi="ar"/>
        </w:rPr>
        <w:t>（4）《三部门联合发布关于促进残疾人就业政府采购政策的通知》（财库〔2017〕141号）；</w:t>
      </w:r>
    </w:p>
    <w:p w14:paraId="66936270">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highlight w:val="none"/>
          <w:lang w:eastAsia="zh-CN" w:bidi="ar"/>
        </w:rPr>
        <w:t>（</w:t>
      </w:r>
      <w:r>
        <w:rPr>
          <w:rFonts w:hint="eastAsia" w:ascii="仿宋" w:hAnsi="仿宋" w:eastAsia="仿宋" w:cs="仿宋"/>
          <w:kern w:val="0"/>
          <w:sz w:val="28"/>
          <w:szCs w:val="28"/>
          <w:highlight w:val="none"/>
          <w:lang w:val="en-US" w:eastAsia="zh-CN" w:bidi="ar"/>
        </w:rPr>
        <w:t>5</w:t>
      </w:r>
      <w:r>
        <w:rPr>
          <w:rFonts w:hint="eastAsia" w:ascii="仿宋" w:hAnsi="仿宋" w:eastAsia="仿宋" w:cs="仿宋"/>
          <w:kern w:val="0"/>
          <w:sz w:val="28"/>
          <w:szCs w:val="28"/>
          <w:highlight w:val="none"/>
          <w:lang w:eastAsia="zh-CN" w:bidi="ar"/>
        </w:rPr>
        <w:t>）陕西省财政厅关于印发《陕西省中小企业政府采购信用融资办法》（陕财办采〔2018〕23号）；</w:t>
      </w:r>
    </w:p>
    <w:p w14:paraId="551C88E5">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（6）《关于运用政府采购政策支持乡村产业振兴的通知》（财库〔2021〕19号）；</w:t>
      </w:r>
    </w:p>
    <w:p w14:paraId="3AAEE6DE">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（7）《财政部住房和城乡建设部关于政府采购支持绿色建材促进建筑品质提升试点工作的通知》（财库〔2020〕31号）；</w:t>
      </w:r>
    </w:p>
    <w:p w14:paraId="6838C6A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（8）《陕西省财政厅关于进一步加强政府绿色采购有关问题的通知》（陕财办采〔2021〕29号）；</w:t>
      </w:r>
    </w:p>
    <w:p w14:paraId="0184B31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（9）《财政部关于在政府采购活动中落实平等对待内外资企业有关政策的通知》（财库〔2021〕35号）；</w:t>
      </w:r>
    </w:p>
    <w:p w14:paraId="0F62B900">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b w:val="0"/>
          <w:bCs w:val="0"/>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（10）</w:t>
      </w:r>
      <w:r>
        <w:rPr>
          <w:rFonts w:hint="eastAsia" w:ascii="仿宋" w:hAnsi="仿宋" w:eastAsia="仿宋" w:cs="仿宋"/>
          <w:kern w:val="0"/>
          <w:sz w:val="28"/>
          <w:szCs w:val="28"/>
          <w:highlight w:val="none"/>
          <w:lang w:eastAsia="zh-CN" w:bidi="ar"/>
        </w:rPr>
        <w:t>其他需要落实的政府采购政策。</w:t>
      </w:r>
    </w:p>
    <w:p w14:paraId="3A92E1D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2.项目概况：韩城市政务云资源管理服务。</w:t>
      </w:r>
    </w:p>
    <w:p w14:paraId="1384FF2E">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firstLine="560" w:firstLineChars="200"/>
        <w:textAlignment w:val="auto"/>
        <w:rPr>
          <w:rFonts w:hint="eastAsia" w:ascii="仿宋" w:hAnsi="仿宋" w:eastAsia="仿宋" w:cs="仿宋"/>
          <w:b w:val="0"/>
          <w:bCs w:val="0"/>
          <w:kern w:val="0"/>
          <w:sz w:val="28"/>
          <w:szCs w:val="28"/>
          <w:highlight w:val="none"/>
          <w:lang w:val="en-US" w:eastAsia="zh-CN" w:bidi="ar"/>
        </w:rPr>
      </w:pPr>
      <w:r>
        <w:rPr>
          <w:rFonts w:hint="eastAsia" w:ascii="仿宋" w:hAnsi="仿宋" w:eastAsia="仿宋" w:cs="仿宋"/>
          <w:b w:val="0"/>
          <w:bCs w:val="0"/>
          <w:kern w:val="0"/>
          <w:sz w:val="28"/>
          <w:szCs w:val="28"/>
          <w:highlight w:val="none"/>
          <w:lang w:val="en-US" w:eastAsia="zh-CN" w:bidi="ar"/>
        </w:rPr>
        <w:t>3.本项目属于非专门面向中小企业采购。</w:t>
      </w:r>
    </w:p>
    <w:p w14:paraId="6873A96C">
      <w:pPr>
        <w:pStyle w:val="2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fldChar w:fldCharType="begin"/>
      </w:r>
      <w:r>
        <w:rPr>
          <w:rFonts w:hint="eastAsia" w:ascii="仿宋" w:hAnsi="仿宋" w:eastAsia="仿宋" w:cs="仿宋"/>
          <w:kern w:val="0"/>
          <w:sz w:val="28"/>
          <w:szCs w:val="28"/>
          <w:highlight w:val="none"/>
        </w:rPr>
        <w:instrText xml:space="preserve"> HYPERLINK "mailto:3.本项目可以电子邮件形式发送采购文件，无需现场报名购买。请在规定的文件发售期以内将单位介绍信（加盖公章）、经办人身份证复印件（加盖公章并附经办人联系方式）扫描件发送至项目负责人邮箱（368380031@qq.com），并及时告知采购代理机构确认，待审核确认无误后通过邮箱向供应商发送报名登记表及采购文件费用缴纳账户信息。" </w:instrText>
      </w:r>
      <w:r>
        <w:rPr>
          <w:rFonts w:hint="eastAsia" w:ascii="仿宋" w:hAnsi="仿宋" w:eastAsia="仿宋" w:cs="仿宋"/>
          <w:kern w:val="0"/>
          <w:sz w:val="28"/>
          <w:szCs w:val="28"/>
          <w:highlight w:val="none"/>
        </w:rPr>
        <w:fldChar w:fldCharType="separate"/>
      </w:r>
      <w:r>
        <w:rPr>
          <w:rStyle w:val="38"/>
          <w:rFonts w:hint="eastAsia" w:ascii="仿宋" w:hAnsi="仿宋" w:eastAsia="仿宋" w:cs="仿宋"/>
          <w:kern w:val="0"/>
          <w:sz w:val="28"/>
          <w:szCs w:val="28"/>
          <w:highlight w:val="none"/>
          <w:lang w:val="en-US" w:eastAsia="zh-CN"/>
        </w:rPr>
        <w:t>4</w:t>
      </w:r>
      <w:r>
        <w:rPr>
          <w:rStyle w:val="38"/>
          <w:rFonts w:hint="default" w:ascii="仿宋" w:hAnsi="仿宋" w:eastAsia="仿宋" w:cs="仿宋"/>
          <w:kern w:val="0"/>
          <w:sz w:val="28"/>
          <w:szCs w:val="28"/>
          <w:highlight w:val="none"/>
        </w:rPr>
        <w:t>.本项目可以电子邮件形式发送采购文件，无需现场报名。请在规定的文件</w:t>
      </w:r>
      <w:r>
        <w:rPr>
          <w:rStyle w:val="38"/>
          <w:rFonts w:hint="eastAsia" w:ascii="仿宋" w:hAnsi="仿宋" w:eastAsia="仿宋" w:cs="仿宋"/>
          <w:kern w:val="0"/>
          <w:sz w:val="28"/>
          <w:szCs w:val="28"/>
          <w:highlight w:val="none"/>
          <w:lang w:eastAsia="zh-CN"/>
        </w:rPr>
        <w:t>获取时间</w:t>
      </w:r>
      <w:r>
        <w:rPr>
          <w:rStyle w:val="38"/>
          <w:rFonts w:hint="default" w:ascii="仿宋" w:hAnsi="仿宋" w:eastAsia="仿宋" w:cs="仿宋"/>
          <w:kern w:val="0"/>
          <w:sz w:val="28"/>
          <w:szCs w:val="28"/>
          <w:highlight w:val="none"/>
        </w:rPr>
        <w:t>内将单位介绍信（加盖公章）、经办人身份证复印件（加盖公章并附经办人联系方式）扫描件发送至项目负责人邮箱（368380031@qq.com），并及时告知采购代理机构确认，待审核确认无误后通过邮箱向供应商发送报名登记表。</w:t>
      </w:r>
      <w:r>
        <w:rPr>
          <w:rFonts w:hint="eastAsia" w:ascii="仿宋" w:hAnsi="仿宋" w:eastAsia="仿宋" w:cs="仿宋"/>
          <w:kern w:val="0"/>
          <w:sz w:val="28"/>
          <w:szCs w:val="28"/>
          <w:highlight w:val="none"/>
        </w:rPr>
        <w:fldChar w:fldCharType="end"/>
      </w:r>
    </w:p>
    <w:p w14:paraId="3D93EA5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.供应商填写完成后，将报名登记表发送至项目负责人邮箱（368380031</w:t>
      </w:r>
      <w:r>
        <w:rPr>
          <w:rFonts w:hint="eastAsia" w:ascii="仿宋" w:hAnsi="仿宋" w:eastAsia="仿宋" w:cs="仿宋"/>
          <w:kern w:val="0"/>
          <w:sz w:val="28"/>
          <w:szCs w:val="28"/>
          <w:highlight w:val="none"/>
        </w:rPr>
        <w:t>@qq.com），并及时告知采购代理机构确认。待审核确认无误后通过邮箱向供应商发</w:t>
      </w:r>
      <w:r>
        <w:rPr>
          <w:rFonts w:hint="eastAsia" w:ascii="仿宋" w:hAnsi="仿宋" w:eastAsia="仿宋" w:cs="仿宋"/>
          <w:kern w:val="0"/>
          <w:sz w:val="28"/>
          <w:szCs w:val="28"/>
          <w:highlight w:val="none"/>
          <w:lang w:eastAsia="zh-CN"/>
        </w:rPr>
        <w:t>送</w:t>
      </w:r>
      <w:r>
        <w:rPr>
          <w:rFonts w:hint="eastAsia" w:ascii="仿宋" w:hAnsi="仿宋" w:eastAsia="仿宋" w:cs="仿宋"/>
          <w:kern w:val="0"/>
          <w:sz w:val="28"/>
          <w:szCs w:val="28"/>
          <w:highlight w:val="none"/>
        </w:rPr>
        <w:t>采购文件，请及时查收。</w:t>
      </w:r>
    </w:p>
    <w:p w14:paraId="18663A3B">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.请供应商按照陕西省财政厅关于政府采购供应商注册登记有关事项的通知中的要求，通过陕西省</w:t>
      </w:r>
      <w:r>
        <w:rPr>
          <w:rFonts w:hint="eastAsia" w:ascii="仿宋" w:hAnsi="仿宋" w:eastAsia="仿宋" w:cs="仿宋"/>
          <w:kern w:val="0"/>
          <w:sz w:val="28"/>
          <w:szCs w:val="28"/>
          <w:highlight w:val="none"/>
        </w:rPr>
        <w:t>政府采购网（http://www.ccgp-shaanxi.gov.cn/）注册登记加入陕西省政府采购供应商库。</w:t>
      </w:r>
    </w:p>
    <w:p w14:paraId="4070AB33">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right="0" w:rightChars="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七、凡</w:t>
      </w:r>
      <w:r>
        <w:rPr>
          <w:rFonts w:hint="eastAsia" w:ascii="仿宋" w:hAnsi="仿宋" w:eastAsia="仿宋" w:cs="仿宋"/>
          <w:b/>
          <w:color w:val="auto"/>
          <w:sz w:val="28"/>
          <w:szCs w:val="28"/>
          <w:highlight w:val="none"/>
        </w:rPr>
        <w:t>对本次采购提出询问，请按以下方式联系。</w:t>
      </w:r>
    </w:p>
    <w:p w14:paraId="4D71D5D2">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采购人信息</w:t>
      </w:r>
    </w:p>
    <w:p w14:paraId="5046AE18">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名称：韩城市政务</w:t>
      </w:r>
      <w:r>
        <w:rPr>
          <w:rFonts w:hint="eastAsia" w:ascii="仿宋" w:hAnsi="仿宋" w:eastAsia="仿宋" w:cs="仿宋"/>
          <w:color w:val="auto"/>
          <w:sz w:val="28"/>
          <w:szCs w:val="28"/>
          <w:highlight w:val="none"/>
          <w:shd w:val="clear" w:color="auto" w:fill="FFFFFF"/>
          <w:lang w:val="en-US" w:eastAsia="zh-CN"/>
        </w:rPr>
        <w:t>大</w:t>
      </w:r>
      <w:r>
        <w:rPr>
          <w:rFonts w:hint="eastAsia" w:ascii="仿宋" w:hAnsi="仿宋" w:eastAsia="仿宋" w:cs="仿宋"/>
          <w:bCs/>
          <w:sz w:val="28"/>
          <w:szCs w:val="28"/>
          <w:highlight w:val="none"/>
        </w:rPr>
        <w:t>数据服务中心</w:t>
      </w:r>
    </w:p>
    <w:p w14:paraId="4EA845B0">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地址：韩城市新城区太史大街</w:t>
      </w:r>
    </w:p>
    <w:p w14:paraId="0D4F13E9">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联系方式：0913-5201019</w:t>
      </w:r>
    </w:p>
    <w:p w14:paraId="31818F01">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采购代理机构信息</w:t>
      </w:r>
    </w:p>
    <w:p w14:paraId="7451096E">
      <w:pPr>
        <w:pStyle w:val="26"/>
        <w:keepNext w:val="0"/>
        <w:keepLines w:val="0"/>
        <w:pageBreakBefore w:val="0"/>
        <w:widowControl w:val="0"/>
        <w:kinsoku/>
        <w:wordWrap/>
        <w:overflowPunct/>
        <w:topLinePunct w:val="0"/>
        <w:autoSpaceDE/>
        <w:autoSpaceDN/>
        <w:bidi w:val="0"/>
        <w:adjustRightInd/>
        <w:snapToGrid/>
        <w:spacing w:after="0" w:line="480" w:lineRule="exact"/>
        <w:ind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名称：西安欣华联建工程咨询有限公司</w:t>
      </w:r>
    </w:p>
    <w:p w14:paraId="3D764E58">
      <w:pPr>
        <w:pStyle w:val="26"/>
        <w:keepNext w:val="0"/>
        <w:keepLines w:val="0"/>
        <w:pageBreakBefore w:val="0"/>
        <w:widowControl w:val="0"/>
        <w:kinsoku/>
        <w:wordWrap/>
        <w:overflowPunct/>
        <w:topLinePunct w:val="0"/>
        <w:autoSpaceDE/>
        <w:autoSpaceDN/>
        <w:bidi w:val="0"/>
        <w:adjustRightInd/>
        <w:snapToGrid/>
        <w:spacing w:after="0" w:line="480" w:lineRule="exact"/>
        <w:ind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地址：</w:t>
      </w:r>
      <w:r>
        <w:rPr>
          <w:rFonts w:hint="eastAsia" w:ascii="仿宋" w:hAnsi="仿宋" w:eastAsia="仿宋" w:cs="仿宋"/>
          <w:color w:val="auto"/>
          <w:sz w:val="28"/>
          <w:szCs w:val="28"/>
          <w:highlight w:val="none"/>
          <w:shd w:val="clear" w:color="auto" w:fill="FFFFFF"/>
        </w:rPr>
        <w:t>陕西省</w:t>
      </w:r>
      <w:r>
        <w:rPr>
          <w:rFonts w:hint="eastAsia" w:ascii="仿宋" w:hAnsi="仿宋" w:eastAsia="仿宋" w:cs="仿宋"/>
          <w:color w:val="auto"/>
          <w:kern w:val="0"/>
          <w:sz w:val="28"/>
          <w:szCs w:val="28"/>
          <w:highlight w:val="none"/>
        </w:rPr>
        <w:t>西安市高新区科技二路71号竹园天寰国际14层1404室</w:t>
      </w:r>
    </w:p>
    <w:p w14:paraId="235AFB73">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联系方式</w:t>
      </w:r>
      <w:r>
        <w:rPr>
          <w:rFonts w:hint="eastAsia" w:ascii="仿宋" w:hAnsi="仿宋" w:eastAsia="仿宋" w:cs="仿宋"/>
          <w:bCs/>
          <w:color w:val="auto"/>
          <w:sz w:val="28"/>
          <w:szCs w:val="28"/>
          <w:highlight w:val="none"/>
        </w:rPr>
        <w:t>：029-89182232、029-89183511</w:t>
      </w:r>
    </w:p>
    <w:p w14:paraId="79DAE0A8">
      <w:pPr>
        <w:pStyle w:val="2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项目联系方式</w:t>
      </w:r>
    </w:p>
    <w:p w14:paraId="32EBA945">
      <w:pPr>
        <w:pStyle w:val="26"/>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项目联系人：采购代理机构</w:t>
      </w:r>
      <w:r>
        <w:rPr>
          <w:rFonts w:hint="eastAsia" w:ascii="仿宋" w:hAnsi="仿宋" w:eastAsia="仿宋" w:cs="仿宋"/>
          <w:bCs/>
          <w:color w:val="auto"/>
          <w:sz w:val="28"/>
          <w:szCs w:val="28"/>
          <w:highlight w:val="none"/>
          <w:lang w:eastAsia="zh-CN"/>
        </w:rPr>
        <w:t>贾静雯</w:t>
      </w:r>
    </w:p>
    <w:p w14:paraId="14A0E4B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电话：029-89182232、029-89183511</w:t>
      </w:r>
    </w:p>
    <w:p w14:paraId="0672B866">
      <w:pPr>
        <w:pStyle w:val="1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color w:val="auto"/>
          <w:highlight w:val="none"/>
        </w:rPr>
      </w:pPr>
    </w:p>
    <w:p w14:paraId="5E66CB40">
      <w:pPr>
        <w:keepNext w:val="0"/>
        <w:keepLines w:val="0"/>
        <w:pageBreakBefore w:val="0"/>
        <w:widowControl w:val="0"/>
        <w:kinsoku/>
        <w:wordWrap/>
        <w:overflowPunct/>
        <w:topLinePunct w:val="0"/>
        <w:autoSpaceDE/>
        <w:autoSpaceDN/>
        <w:bidi w:val="0"/>
        <w:adjustRightInd/>
        <w:snapToGrid/>
        <w:spacing w:line="480" w:lineRule="exact"/>
        <w:ind w:firstLine="4200" w:firstLineChars="1500"/>
        <w:jc w:val="righ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西安欣华联建工程咨询有限公司</w:t>
      </w:r>
    </w:p>
    <w:p w14:paraId="20B056EC">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highlight w:val="none"/>
        </w:rPr>
      </w:pPr>
      <w:r>
        <w:rPr>
          <w:rFonts w:hint="eastAsia" w:ascii="仿宋" w:hAnsi="仿宋" w:eastAsia="仿宋" w:cs="仿宋"/>
          <w:color w:val="auto"/>
          <w:kern w:val="0"/>
          <w:sz w:val="28"/>
          <w:szCs w:val="28"/>
          <w:highlight w:val="none"/>
          <w:lang w:eastAsia="zh-CN"/>
        </w:rPr>
        <w:t>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eastAsia="zh-CN"/>
        </w:rPr>
        <w:t>年</w:t>
      </w:r>
      <w:r>
        <w:rPr>
          <w:rFonts w:hint="eastAsia" w:ascii="仿宋" w:hAnsi="仿宋" w:eastAsia="仿宋" w:cs="仿宋"/>
          <w:color w:val="auto"/>
          <w:kern w:val="0"/>
          <w:sz w:val="28"/>
          <w:szCs w:val="28"/>
          <w:highlight w:val="none"/>
          <w:lang w:val="en-US" w:eastAsia="zh-CN"/>
        </w:rPr>
        <w:t>07</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17</w:t>
      </w:r>
      <w:r>
        <w:rPr>
          <w:rFonts w:hint="eastAsia" w:ascii="仿宋" w:hAnsi="仿宋" w:eastAsia="仿宋" w:cs="仿宋"/>
          <w:color w:val="auto"/>
          <w:kern w:val="0"/>
          <w:sz w:val="28"/>
          <w:szCs w:val="28"/>
          <w:highlight w:val="none"/>
        </w:rPr>
        <w:t>日</w:t>
      </w:r>
    </w:p>
    <w:bookmarkEnd w:id="32"/>
    <w:bookmarkEnd w:id="33"/>
    <w:bookmarkEnd w:id="34"/>
    <w:bookmarkEnd w:id="35"/>
    <w:p w14:paraId="016ACE08">
      <w:pPr>
        <w:spacing w:line="460" w:lineRule="exact"/>
        <w:jc w:val="center"/>
        <w:outlineLvl w:val="0"/>
        <w:rPr>
          <w:rFonts w:ascii="仿宋" w:hAnsi="仿宋" w:eastAsia="仿宋" w:cs="仿宋"/>
          <w:b/>
          <w:sz w:val="36"/>
          <w:szCs w:val="36"/>
          <w:highlight w:val="none"/>
        </w:rPr>
      </w:pPr>
      <w:r>
        <w:rPr>
          <w:rFonts w:hint="eastAsia"/>
          <w:highlight w:val="none"/>
        </w:rPr>
        <w:br w:type="page"/>
      </w:r>
      <w:bookmarkStart w:id="36" w:name="_Toc31684"/>
      <w:bookmarkStart w:id="37" w:name="_Toc28778"/>
      <w:r>
        <w:rPr>
          <w:rFonts w:hint="eastAsia" w:ascii="仿宋" w:hAnsi="仿宋" w:eastAsia="仿宋" w:cs="仿宋"/>
          <w:b/>
          <w:sz w:val="44"/>
          <w:szCs w:val="44"/>
          <w:highlight w:val="none"/>
        </w:rPr>
        <w:t>第二章  供应商须知前附表</w:t>
      </w:r>
      <w:bookmarkEnd w:id="36"/>
      <w:bookmarkEnd w:id="37"/>
    </w:p>
    <w:tbl>
      <w:tblPr>
        <w:tblStyle w:val="31"/>
        <w:tblpPr w:leftFromText="180" w:rightFromText="180" w:vertAnchor="text" w:horzAnchor="page" w:tblpX="1150" w:tblpY="293"/>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17"/>
        <w:gridCol w:w="6880"/>
      </w:tblGrid>
      <w:tr w14:paraId="6C63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14:paraId="669D1C28">
            <w:pPr>
              <w:keepNext/>
              <w:pageBreakBefore w:val="0"/>
              <w:topLinePunct/>
              <w:bidi w:val="0"/>
              <w:spacing w:line="510" w:lineRule="exact"/>
              <w:jc w:val="center"/>
              <w:textAlignment w:val="auto"/>
              <w:outlineLvl w:val="0"/>
              <w:rPr>
                <w:rFonts w:ascii="仿宋" w:hAnsi="仿宋" w:eastAsia="仿宋" w:cs="仿宋"/>
                <w:b/>
                <w:sz w:val="28"/>
                <w:szCs w:val="28"/>
                <w:highlight w:val="none"/>
              </w:rPr>
            </w:pPr>
            <w:bookmarkStart w:id="38" w:name="_Toc22992"/>
            <w:bookmarkStart w:id="39" w:name="_Toc10287"/>
            <w:bookmarkStart w:id="40" w:name="_Toc3791"/>
            <w:bookmarkStart w:id="41" w:name="_Toc23937"/>
            <w:bookmarkStart w:id="42" w:name="_Toc9085"/>
            <w:bookmarkStart w:id="43" w:name="_Toc27701"/>
            <w:bookmarkStart w:id="44" w:name="_Toc22036"/>
            <w:bookmarkStart w:id="45" w:name="_Toc18699"/>
            <w:bookmarkStart w:id="46" w:name="_Toc463"/>
            <w:bookmarkStart w:id="47" w:name="_Toc8500"/>
            <w:r>
              <w:rPr>
                <w:rFonts w:hint="eastAsia" w:ascii="仿宋" w:hAnsi="仿宋" w:eastAsia="仿宋" w:cs="仿宋"/>
                <w:b/>
                <w:sz w:val="28"/>
                <w:szCs w:val="28"/>
                <w:highlight w:val="none"/>
              </w:rPr>
              <w:t>序号</w:t>
            </w:r>
            <w:bookmarkEnd w:id="38"/>
            <w:bookmarkEnd w:id="39"/>
            <w:bookmarkEnd w:id="40"/>
            <w:bookmarkEnd w:id="41"/>
            <w:bookmarkEnd w:id="42"/>
            <w:bookmarkEnd w:id="43"/>
            <w:bookmarkEnd w:id="44"/>
            <w:bookmarkEnd w:id="45"/>
            <w:bookmarkEnd w:id="46"/>
            <w:bookmarkEnd w:id="47"/>
          </w:p>
        </w:tc>
        <w:tc>
          <w:tcPr>
            <w:tcW w:w="2217" w:type="dxa"/>
            <w:vAlign w:val="center"/>
          </w:tcPr>
          <w:p w14:paraId="77D85B05">
            <w:pPr>
              <w:keepNext/>
              <w:pageBreakBefore w:val="0"/>
              <w:topLinePunct/>
              <w:bidi w:val="0"/>
              <w:spacing w:line="510" w:lineRule="exact"/>
              <w:jc w:val="center"/>
              <w:textAlignment w:val="auto"/>
              <w:outlineLvl w:val="0"/>
              <w:rPr>
                <w:rFonts w:ascii="仿宋" w:hAnsi="仿宋" w:eastAsia="仿宋" w:cs="仿宋"/>
                <w:b/>
                <w:sz w:val="28"/>
                <w:szCs w:val="28"/>
                <w:highlight w:val="none"/>
              </w:rPr>
            </w:pPr>
            <w:bookmarkStart w:id="48" w:name="_Toc2766"/>
            <w:bookmarkStart w:id="49" w:name="_Toc17801"/>
            <w:bookmarkStart w:id="50" w:name="_Toc20840"/>
            <w:bookmarkStart w:id="51" w:name="_Toc20856"/>
            <w:bookmarkStart w:id="52" w:name="_Toc3249"/>
            <w:bookmarkStart w:id="53" w:name="_Toc25490"/>
            <w:bookmarkStart w:id="54" w:name="_Toc25078"/>
            <w:bookmarkStart w:id="55" w:name="_Toc29271"/>
            <w:bookmarkStart w:id="56" w:name="_Toc13294"/>
            <w:bookmarkStart w:id="57" w:name="_Toc3553"/>
            <w:r>
              <w:rPr>
                <w:rFonts w:hint="eastAsia" w:ascii="仿宋" w:hAnsi="仿宋" w:eastAsia="仿宋" w:cs="仿宋"/>
                <w:b/>
                <w:sz w:val="28"/>
                <w:szCs w:val="28"/>
                <w:highlight w:val="none"/>
              </w:rPr>
              <w:t>内 容</w:t>
            </w:r>
            <w:bookmarkEnd w:id="48"/>
            <w:bookmarkEnd w:id="49"/>
            <w:bookmarkEnd w:id="50"/>
            <w:bookmarkEnd w:id="51"/>
            <w:bookmarkEnd w:id="52"/>
            <w:bookmarkEnd w:id="53"/>
            <w:bookmarkEnd w:id="54"/>
            <w:bookmarkEnd w:id="55"/>
            <w:bookmarkEnd w:id="56"/>
            <w:bookmarkEnd w:id="57"/>
          </w:p>
        </w:tc>
        <w:tc>
          <w:tcPr>
            <w:tcW w:w="6880" w:type="dxa"/>
            <w:vAlign w:val="center"/>
          </w:tcPr>
          <w:p w14:paraId="7361C4DB">
            <w:pPr>
              <w:keepNext/>
              <w:pageBreakBefore w:val="0"/>
              <w:topLinePunct/>
              <w:bidi w:val="0"/>
              <w:spacing w:line="510" w:lineRule="exact"/>
              <w:jc w:val="center"/>
              <w:textAlignment w:val="auto"/>
              <w:outlineLvl w:val="0"/>
              <w:rPr>
                <w:rFonts w:ascii="仿宋" w:hAnsi="仿宋" w:eastAsia="仿宋" w:cs="仿宋"/>
                <w:b/>
                <w:sz w:val="28"/>
                <w:szCs w:val="28"/>
                <w:highlight w:val="none"/>
              </w:rPr>
            </w:pPr>
            <w:bookmarkStart w:id="58" w:name="_Toc8274"/>
            <w:bookmarkStart w:id="59" w:name="_Toc566"/>
            <w:bookmarkStart w:id="60" w:name="_Toc28651"/>
            <w:bookmarkStart w:id="61" w:name="_Toc11892"/>
            <w:bookmarkStart w:id="62" w:name="_Toc12868"/>
            <w:bookmarkStart w:id="63" w:name="_Toc16593"/>
            <w:bookmarkStart w:id="64" w:name="_Toc16550"/>
            <w:bookmarkStart w:id="65" w:name="_Toc18609"/>
            <w:bookmarkStart w:id="66" w:name="_Toc29661"/>
            <w:bookmarkStart w:id="67" w:name="_Toc7568"/>
            <w:r>
              <w:rPr>
                <w:rFonts w:hint="eastAsia" w:ascii="仿宋" w:hAnsi="仿宋" w:eastAsia="仿宋" w:cs="仿宋"/>
                <w:b/>
                <w:sz w:val="28"/>
                <w:szCs w:val="28"/>
                <w:highlight w:val="none"/>
              </w:rPr>
              <w:t>说明与要求</w:t>
            </w:r>
            <w:bookmarkEnd w:id="58"/>
            <w:bookmarkEnd w:id="59"/>
            <w:bookmarkEnd w:id="60"/>
            <w:bookmarkEnd w:id="61"/>
            <w:bookmarkEnd w:id="62"/>
            <w:bookmarkEnd w:id="63"/>
            <w:bookmarkEnd w:id="64"/>
            <w:bookmarkEnd w:id="65"/>
            <w:bookmarkEnd w:id="66"/>
            <w:bookmarkEnd w:id="67"/>
          </w:p>
        </w:tc>
      </w:tr>
      <w:tr w14:paraId="7DD6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14:paraId="2D289F45">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217" w:type="dxa"/>
            <w:vAlign w:val="center"/>
          </w:tcPr>
          <w:p w14:paraId="7CFB3D64">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880" w:type="dxa"/>
            <w:vAlign w:val="center"/>
          </w:tcPr>
          <w:p w14:paraId="59A7526B">
            <w:pPr>
              <w:pStyle w:val="48"/>
              <w:keepNext/>
              <w:pageBreakBefore w:val="0"/>
              <w:widowControl/>
              <w:topLinePunct/>
              <w:bidi w:val="0"/>
              <w:spacing w:before="0" w:line="510" w:lineRule="exact"/>
              <w:textAlignment w:val="auto"/>
              <w:rPr>
                <w:rFonts w:ascii="仿宋" w:hAnsi="仿宋" w:eastAsia="仿宋" w:cs="仿宋"/>
                <w:b w:val="0"/>
                <w:kern w:val="2"/>
                <w:sz w:val="28"/>
                <w:szCs w:val="28"/>
                <w:highlight w:val="none"/>
              </w:rPr>
            </w:pPr>
            <w:r>
              <w:rPr>
                <w:rFonts w:hint="eastAsia" w:ascii="仿宋" w:hAnsi="仿宋" w:eastAsia="仿宋" w:cs="仿宋"/>
                <w:b w:val="0"/>
                <w:kern w:val="2"/>
                <w:sz w:val="28"/>
                <w:szCs w:val="28"/>
                <w:highlight w:val="none"/>
              </w:rPr>
              <w:t>韩城市政务</w:t>
            </w:r>
            <w:r>
              <w:rPr>
                <w:rFonts w:hint="eastAsia" w:ascii="仿宋" w:hAnsi="仿宋" w:eastAsia="仿宋" w:cs="仿宋"/>
                <w:b w:val="0"/>
                <w:kern w:val="2"/>
                <w:sz w:val="28"/>
                <w:szCs w:val="28"/>
                <w:highlight w:val="none"/>
                <w:lang w:val="en-US" w:eastAsia="zh-CN"/>
              </w:rPr>
              <w:t>大</w:t>
            </w:r>
            <w:r>
              <w:rPr>
                <w:rFonts w:hint="eastAsia" w:ascii="仿宋" w:hAnsi="仿宋" w:eastAsia="仿宋" w:cs="仿宋"/>
                <w:b w:val="0"/>
                <w:kern w:val="2"/>
                <w:sz w:val="28"/>
                <w:szCs w:val="28"/>
                <w:highlight w:val="none"/>
              </w:rPr>
              <w:t>数据服务中心</w:t>
            </w:r>
          </w:p>
        </w:tc>
      </w:tr>
      <w:tr w14:paraId="1167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14:paraId="3DD8D003">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217" w:type="dxa"/>
            <w:vAlign w:val="center"/>
          </w:tcPr>
          <w:p w14:paraId="11E1C84C">
            <w:pPr>
              <w:keepNext/>
              <w:pageBreakBefore w:val="0"/>
              <w:topLinePunct/>
              <w:bidi w:val="0"/>
              <w:spacing w:line="510" w:lineRule="exact"/>
              <w:jc w:val="center"/>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采</w:t>
            </w:r>
            <w:r>
              <w:rPr>
                <w:rFonts w:hint="eastAsia" w:ascii="仿宋" w:hAnsi="仿宋" w:eastAsia="仿宋" w:cs="仿宋"/>
                <w:kern w:val="0"/>
                <w:sz w:val="28"/>
                <w:szCs w:val="28"/>
                <w:highlight w:val="none"/>
              </w:rPr>
              <w:t>购代理机构</w:t>
            </w:r>
          </w:p>
          <w:p w14:paraId="4C7C34CE">
            <w:pPr>
              <w:keepNext/>
              <w:pageBreakBefore w:val="0"/>
              <w:topLinePunct/>
              <w:bidi w:val="0"/>
              <w:spacing w:line="510" w:lineRule="exact"/>
              <w:jc w:val="center"/>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联 系 人</w:t>
            </w:r>
          </w:p>
          <w:p w14:paraId="08799EEA">
            <w:pPr>
              <w:keepNext/>
              <w:pageBreakBefore w:val="0"/>
              <w:topLinePunct/>
              <w:bidi w:val="0"/>
              <w:spacing w:line="510" w:lineRule="exact"/>
              <w:jc w:val="center"/>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p>
          <w:p w14:paraId="77791798">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邮   箱</w:t>
            </w:r>
          </w:p>
        </w:tc>
        <w:tc>
          <w:tcPr>
            <w:tcW w:w="6880" w:type="dxa"/>
            <w:vAlign w:val="center"/>
          </w:tcPr>
          <w:p w14:paraId="5871EADF">
            <w:pPr>
              <w:keepLines/>
              <w:pageBreakBefore w:val="0"/>
              <w:wordWrap w:val="0"/>
              <w:topLinePunct/>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西安欣华联建工程咨询有限公司</w:t>
            </w:r>
          </w:p>
          <w:p w14:paraId="333A470E">
            <w:pPr>
              <w:pStyle w:val="26"/>
              <w:pageBreakBefore w:val="0"/>
              <w:widowControl/>
              <w:bidi w:val="0"/>
              <w:snapToGrid w:val="0"/>
              <w:spacing w:line="510" w:lineRule="exac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贾静雯</w:t>
            </w:r>
          </w:p>
          <w:p w14:paraId="66716B8A">
            <w:pPr>
              <w:pStyle w:val="26"/>
              <w:pageBreakBefore w:val="0"/>
              <w:widowControl/>
              <w:bidi w:val="0"/>
              <w:snapToGrid w:val="0"/>
              <w:spacing w:line="510" w:lineRule="exact"/>
              <w:textAlignment w:val="auto"/>
              <w:rPr>
                <w:rFonts w:hint="default" w:ascii="仿宋" w:hAnsi="仿宋" w:eastAsia="仿宋" w:cs="仿宋"/>
                <w:sz w:val="28"/>
                <w:szCs w:val="28"/>
                <w:highlight w:val="none"/>
                <w:shd w:val="clear" w:color="auto" w:fill="FFFFFF"/>
                <w:lang w:val="en-US" w:eastAsia="zh-CN"/>
              </w:rPr>
            </w:pPr>
            <w:r>
              <w:rPr>
                <w:rFonts w:hint="eastAsia" w:ascii="仿宋" w:hAnsi="仿宋" w:eastAsia="仿宋" w:cs="仿宋"/>
                <w:bCs/>
                <w:color w:val="auto"/>
                <w:sz w:val="28"/>
                <w:szCs w:val="28"/>
                <w:highlight w:val="none"/>
              </w:rPr>
              <w:t>029-89182232</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029-89183511</w:t>
            </w:r>
          </w:p>
          <w:p w14:paraId="217158D8">
            <w:pPr>
              <w:keepNext/>
              <w:pageBreakBefore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xinhualianjian1@163.com</w:t>
            </w:r>
          </w:p>
        </w:tc>
      </w:tr>
      <w:tr w14:paraId="1459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14:paraId="46DF4B34">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217" w:type="dxa"/>
            <w:vAlign w:val="center"/>
          </w:tcPr>
          <w:p w14:paraId="5C71D78A">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6880" w:type="dxa"/>
            <w:vAlign w:val="center"/>
          </w:tcPr>
          <w:p w14:paraId="14B7E160">
            <w:pPr>
              <w:pStyle w:val="48"/>
              <w:keepNext/>
              <w:pageBreakBefore w:val="0"/>
              <w:widowControl/>
              <w:topLinePunct/>
              <w:bidi w:val="0"/>
              <w:spacing w:before="0" w:line="510" w:lineRule="exact"/>
              <w:jc w:val="both"/>
              <w:textAlignment w:val="auto"/>
              <w:rPr>
                <w:rFonts w:ascii="仿宋" w:hAnsi="仿宋" w:eastAsia="仿宋" w:cs="仿宋"/>
                <w:b w:val="0"/>
                <w:sz w:val="28"/>
                <w:szCs w:val="28"/>
                <w:highlight w:val="none"/>
              </w:rPr>
            </w:pPr>
            <w:r>
              <w:rPr>
                <w:rFonts w:hint="eastAsia" w:ascii="仿宋" w:hAnsi="仿宋" w:eastAsia="仿宋" w:cs="仿宋"/>
                <w:b w:val="0"/>
                <w:sz w:val="28"/>
                <w:szCs w:val="28"/>
                <w:highlight w:val="none"/>
              </w:rPr>
              <w:t>韩城市政务</w:t>
            </w:r>
            <w:r>
              <w:rPr>
                <w:rFonts w:hint="eastAsia" w:ascii="仿宋" w:hAnsi="仿宋" w:eastAsia="仿宋" w:cs="仿宋"/>
                <w:b w:val="0"/>
                <w:kern w:val="2"/>
                <w:sz w:val="28"/>
                <w:szCs w:val="28"/>
                <w:highlight w:val="none"/>
                <w:lang w:val="en-US" w:eastAsia="zh-CN"/>
              </w:rPr>
              <w:t>大</w:t>
            </w:r>
            <w:r>
              <w:rPr>
                <w:rFonts w:hint="eastAsia" w:ascii="仿宋" w:hAnsi="仿宋" w:eastAsia="仿宋" w:cs="仿宋"/>
                <w:b w:val="0"/>
                <w:sz w:val="28"/>
                <w:szCs w:val="28"/>
                <w:highlight w:val="none"/>
              </w:rPr>
              <w:t>数据服务中心韩城市政务云资源管理服务采购项目</w:t>
            </w:r>
          </w:p>
        </w:tc>
      </w:tr>
      <w:tr w14:paraId="78D6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 w:type="dxa"/>
            <w:vAlign w:val="center"/>
          </w:tcPr>
          <w:p w14:paraId="0BD39EC0">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217" w:type="dxa"/>
            <w:vAlign w:val="center"/>
          </w:tcPr>
          <w:p w14:paraId="1EF92722">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6880" w:type="dxa"/>
            <w:vAlign w:val="center"/>
          </w:tcPr>
          <w:p w14:paraId="0860ADE1">
            <w:pPr>
              <w:keepNext/>
              <w:pageBreakBefore w:val="0"/>
              <w:topLinePunct/>
              <w:bidi w:val="0"/>
              <w:spacing w:line="510" w:lineRule="exact"/>
              <w:textAlignment w:val="auto"/>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ZCSP-韩城市-2025-00046</w:t>
            </w:r>
            <w:r>
              <w:rPr>
                <w:rFonts w:hint="default" w:ascii="仿宋" w:hAnsi="仿宋" w:eastAsia="仿宋" w:cs="仿宋"/>
                <w:kern w:val="0"/>
                <w:sz w:val="28"/>
                <w:szCs w:val="28"/>
                <w:highlight w:val="none"/>
                <w:lang w:val="en-US" w:eastAsia="zh-CN"/>
              </w:rPr>
              <w:t>、XHLJZC-WN202</w:t>
            </w:r>
            <w:r>
              <w:rPr>
                <w:rFonts w:hint="eastAsia" w:ascii="仿宋" w:hAnsi="仿宋" w:eastAsia="仿宋" w:cs="仿宋"/>
                <w:kern w:val="0"/>
                <w:sz w:val="28"/>
                <w:szCs w:val="28"/>
                <w:highlight w:val="none"/>
                <w:lang w:val="en-US" w:eastAsia="zh-CN"/>
              </w:rPr>
              <w:t>5</w:t>
            </w:r>
            <w:r>
              <w:rPr>
                <w:rFonts w:hint="default"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lang w:val="en-US" w:eastAsia="zh-CN"/>
              </w:rPr>
              <w:t>076</w:t>
            </w:r>
          </w:p>
        </w:tc>
      </w:tr>
      <w:tr w14:paraId="7377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14:paraId="022B5774">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217" w:type="dxa"/>
            <w:vAlign w:val="center"/>
          </w:tcPr>
          <w:p w14:paraId="4228FF6F">
            <w:pPr>
              <w:keepNext/>
              <w:pageBreakBefore w:val="0"/>
              <w:topLinePunct/>
              <w:bidi w:val="0"/>
              <w:spacing w:line="510" w:lineRule="exact"/>
              <w:jc w:val="center"/>
              <w:textAlignment w:val="auto"/>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采购内容</w:t>
            </w:r>
          </w:p>
          <w:p w14:paraId="3E428C80">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zh-CN"/>
              </w:rPr>
              <w:t>和要求</w:t>
            </w:r>
          </w:p>
        </w:tc>
        <w:tc>
          <w:tcPr>
            <w:tcW w:w="6880" w:type="dxa"/>
            <w:vAlign w:val="center"/>
          </w:tcPr>
          <w:p w14:paraId="725516B4">
            <w:pPr>
              <w:keepNext/>
              <w:pageBreakBefore w:val="0"/>
              <w:topLinePunct/>
              <w:bidi w:val="0"/>
              <w:spacing w:line="510"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韩城市政务云资源管理服务</w:t>
            </w:r>
          </w:p>
          <w:p w14:paraId="0BF3BEFC">
            <w:pPr>
              <w:keepNext/>
              <w:pageBreakBefore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zh-CN"/>
              </w:rPr>
              <w:t>（具</w:t>
            </w:r>
            <w:r>
              <w:rPr>
                <w:rFonts w:hint="eastAsia" w:ascii="仿宋" w:hAnsi="仿宋" w:eastAsia="仿宋" w:cs="仿宋"/>
                <w:sz w:val="28"/>
                <w:szCs w:val="28"/>
                <w:highlight w:val="none"/>
              </w:rPr>
              <w:t>体内容详见第四章采购内容）</w:t>
            </w:r>
          </w:p>
        </w:tc>
      </w:tr>
      <w:tr w14:paraId="6B43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14:paraId="336E2B23">
            <w:pPr>
              <w:keepNext/>
              <w:pageBreakBefore w:val="0"/>
              <w:topLinePunct/>
              <w:bidi w:val="0"/>
              <w:spacing w:line="510" w:lineRule="exact"/>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p>
        </w:tc>
        <w:tc>
          <w:tcPr>
            <w:tcW w:w="2217" w:type="dxa"/>
            <w:vAlign w:val="center"/>
          </w:tcPr>
          <w:p w14:paraId="2476AFAE">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预算金额</w:t>
            </w:r>
          </w:p>
          <w:p w14:paraId="1B052551">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资金性质</w:t>
            </w:r>
          </w:p>
        </w:tc>
        <w:tc>
          <w:tcPr>
            <w:tcW w:w="6880" w:type="dxa"/>
            <w:vAlign w:val="center"/>
          </w:tcPr>
          <w:p w14:paraId="44B1D251">
            <w:pPr>
              <w:pageBreakBefore w:val="0"/>
              <w:widowControl/>
              <w:bidi w:val="0"/>
              <w:spacing w:line="510" w:lineRule="exact"/>
              <w:jc w:val="left"/>
              <w:textAlignment w:val="auto"/>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人民币肆佰玖拾伍万伍仟壹佰元整（¥4955100.00元）</w:t>
            </w:r>
          </w:p>
          <w:p w14:paraId="691D63F0">
            <w:pPr>
              <w:keepNext/>
              <w:pageBreakBefore w:val="0"/>
              <w:topLinePunct/>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财政资金</w:t>
            </w:r>
          </w:p>
        </w:tc>
      </w:tr>
      <w:tr w14:paraId="2254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14:paraId="4E661F2F">
            <w:pPr>
              <w:keepNext/>
              <w:pageBreakBefore w:val="0"/>
              <w:topLinePunct/>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2217" w:type="dxa"/>
            <w:vAlign w:val="center"/>
          </w:tcPr>
          <w:p w14:paraId="1AC5127C">
            <w:pPr>
              <w:keepNext/>
              <w:keepLines/>
              <w:pageBreakBefore w:val="0"/>
              <w:kinsoku w:val="0"/>
              <w:overflowPunct w:val="0"/>
              <w:topLinePunct/>
              <w:autoSpaceDE w:val="0"/>
              <w:autoSpaceDN w:val="0"/>
              <w:bidi w:val="0"/>
              <w:spacing w:line="510" w:lineRule="exact"/>
              <w:jc w:val="center"/>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招标文件发售时间、地点</w:t>
            </w:r>
          </w:p>
        </w:tc>
        <w:tc>
          <w:tcPr>
            <w:tcW w:w="6880" w:type="dxa"/>
            <w:vAlign w:val="center"/>
          </w:tcPr>
          <w:p w14:paraId="4158F820">
            <w:pPr>
              <w:keepNext/>
              <w:pageBreakBefore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时间：</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月</w:t>
            </w:r>
            <w:r>
              <w:rPr>
                <w:rFonts w:hint="eastAsia" w:ascii="仿宋" w:hAnsi="仿宋" w:eastAsia="仿宋" w:cs="仿宋"/>
                <w:kern w:val="0"/>
                <w:sz w:val="28"/>
                <w:szCs w:val="28"/>
                <w:highlight w:val="none"/>
                <w:lang w:val="en-US" w:eastAsia="zh-CN"/>
              </w:rPr>
              <w:t>18</w:t>
            </w:r>
            <w:r>
              <w:rPr>
                <w:rFonts w:hint="eastAsia" w:ascii="仿宋" w:hAnsi="仿宋" w:eastAsia="仿宋" w:cs="仿宋"/>
                <w:kern w:val="0"/>
                <w:sz w:val="28"/>
                <w:szCs w:val="28"/>
                <w:highlight w:val="none"/>
                <w:lang w:eastAsia="zh-CN"/>
              </w:rPr>
              <w:t>日至202</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月</w:t>
            </w:r>
            <w:r>
              <w:rPr>
                <w:rFonts w:hint="eastAsia" w:ascii="仿宋" w:hAnsi="仿宋" w:eastAsia="仿宋" w:cs="仿宋"/>
                <w:kern w:val="0"/>
                <w:sz w:val="28"/>
                <w:szCs w:val="28"/>
                <w:highlight w:val="none"/>
                <w:lang w:val="en-US" w:eastAsia="zh-CN"/>
              </w:rPr>
              <w:t>24</w:t>
            </w:r>
            <w:r>
              <w:rPr>
                <w:rFonts w:hint="eastAsia" w:ascii="仿宋" w:hAnsi="仿宋" w:eastAsia="仿宋" w:cs="仿宋"/>
                <w:kern w:val="0"/>
                <w:sz w:val="28"/>
                <w:szCs w:val="28"/>
                <w:highlight w:val="none"/>
              </w:rPr>
              <w:t>日</w:t>
            </w:r>
          </w:p>
          <w:p w14:paraId="535B7C48">
            <w:pPr>
              <w:keepNext/>
              <w:pageBreakBefore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上午：9:00-11:30，下午：14:00-17:00（双休日及法定节假日除外）</w:t>
            </w:r>
          </w:p>
          <w:p w14:paraId="70AA7087">
            <w:pPr>
              <w:pageBreakBefore w:val="0"/>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地点：</w:t>
            </w:r>
            <w:r>
              <w:rPr>
                <w:rFonts w:hint="eastAsia" w:ascii="仿宋" w:hAnsi="仿宋" w:eastAsia="仿宋" w:cs="仿宋"/>
                <w:kern w:val="0"/>
                <w:sz w:val="28"/>
                <w:szCs w:val="28"/>
                <w:highlight w:val="none"/>
              </w:rPr>
              <w:t>西安市高新区科技二路71号竹园天寰国际14层1404室</w:t>
            </w:r>
          </w:p>
        </w:tc>
      </w:tr>
      <w:tr w14:paraId="3E5D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14:paraId="7685DD0E">
            <w:pPr>
              <w:keepNext/>
              <w:keepLines/>
              <w:pageBreakBefore w:val="0"/>
              <w:kinsoku w:val="0"/>
              <w:overflowPunct w:val="0"/>
              <w:topLinePunct/>
              <w:autoSpaceDE w:val="0"/>
              <w:autoSpaceDN w:val="0"/>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2217" w:type="dxa"/>
            <w:vAlign w:val="center"/>
          </w:tcPr>
          <w:p w14:paraId="2CB6624A">
            <w:pPr>
              <w:pageBreakBefore w:val="0"/>
              <w:kinsoku/>
              <w:overflow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保证金</w:t>
            </w:r>
          </w:p>
        </w:tc>
        <w:tc>
          <w:tcPr>
            <w:tcW w:w="6880" w:type="dxa"/>
            <w:vAlign w:val="center"/>
          </w:tcPr>
          <w:p w14:paraId="5FDEBF83">
            <w:pPr>
              <w:pageBreakBefore w:val="0"/>
              <w:kinsoku/>
              <w:overflowPunct/>
              <w:bidi w:val="0"/>
              <w:spacing w:line="510" w:lineRule="exact"/>
              <w:textAlignment w:val="auto"/>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不收取</w:t>
            </w:r>
          </w:p>
          <w:p w14:paraId="7E8D94FD">
            <w:pPr>
              <w:pageBreakBefore w:val="0"/>
              <w:kinsoku/>
              <w:overflowPunct/>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b/>
                <w:bCs/>
                <w:color w:val="auto"/>
                <w:kern w:val="0"/>
                <w:sz w:val="28"/>
                <w:szCs w:val="28"/>
                <w:highlight w:val="none"/>
                <w:lang w:val="en-US" w:eastAsia="zh-CN"/>
              </w:rPr>
              <w:t>注：为了确保采购项目的顺利进行，参与投标的供应商须在开标前向代理机构递交“投标确认函”，未递交视为无效投标（格式见第七章）</w:t>
            </w:r>
          </w:p>
        </w:tc>
      </w:tr>
      <w:tr w14:paraId="75E9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 w:type="dxa"/>
            <w:vAlign w:val="center"/>
          </w:tcPr>
          <w:p w14:paraId="56344B07">
            <w:pPr>
              <w:keepNext/>
              <w:keepLines/>
              <w:pageBreakBefore w:val="0"/>
              <w:kinsoku w:val="0"/>
              <w:overflowPunct w:val="0"/>
              <w:topLinePunct/>
              <w:autoSpaceDE w:val="0"/>
              <w:autoSpaceDN w:val="0"/>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p>
        </w:tc>
        <w:tc>
          <w:tcPr>
            <w:tcW w:w="2217" w:type="dxa"/>
            <w:vAlign w:val="center"/>
          </w:tcPr>
          <w:p w14:paraId="5FFE8885">
            <w:pPr>
              <w:keepNext/>
              <w:keepLines/>
              <w:pageBreakBefore w:val="0"/>
              <w:kinsoku w:val="0"/>
              <w:overflowPunct w:val="0"/>
              <w:topLinePunct/>
              <w:autoSpaceDE w:val="0"/>
              <w:autoSpaceDN w:val="0"/>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投标文件递交截止时间及开标时间和地点</w:t>
            </w:r>
          </w:p>
        </w:tc>
        <w:tc>
          <w:tcPr>
            <w:tcW w:w="6880" w:type="dxa"/>
            <w:vAlign w:val="center"/>
          </w:tcPr>
          <w:p w14:paraId="7E41DCC9">
            <w:pPr>
              <w:pageBreakBefore w:val="0"/>
              <w:widowControl/>
              <w:bidi w:val="0"/>
              <w:spacing w:line="510" w:lineRule="exact"/>
              <w:jc w:val="lef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TW"/>
              </w:rPr>
              <w:t>文件递交时间：</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val="en-US" w:eastAsia="zh-CN"/>
              </w:rPr>
              <w:t>13</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:00</w:t>
            </w:r>
          </w:p>
          <w:p w14:paraId="7D0DBD5B">
            <w:pPr>
              <w:pageBreakBefore w:val="0"/>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val="zh-TW"/>
              </w:rPr>
              <w:t>文件递交截止时间：</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eastAsia="zh-CN"/>
              </w:rPr>
              <w:t>月</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日</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:00</w:t>
            </w:r>
          </w:p>
          <w:p w14:paraId="342C8A8D">
            <w:pPr>
              <w:pageBreakBefore w:val="0"/>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zh-TW"/>
              </w:rPr>
              <w:t>开标时间：</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eastAsia="zh-CN"/>
              </w:rPr>
              <w:t>月</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日</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:00</w:t>
            </w:r>
          </w:p>
          <w:p w14:paraId="12F0DF28">
            <w:pPr>
              <w:pStyle w:val="26"/>
              <w:pageBreakBefore w:val="0"/>
              <w:widowControl/>
              <w:bidi w:val="0"/>
              <w:spacing w:line="51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zh-TW"/>
              </w:rPr>
              <w:t>开标地点：</w:t>
            </w:r>
            <w:r>
              <w:rPr>
                <w:rFonts w:hint="eastAsia" w:ascii="仿宋" w:hAnsi="仿宋" w:eastAsia="仿宋" w:cs="仿宋"/>
                <w:kern w:val="0"/>
                <w:sz w:val="28"/>
                <w:szCs w:val="28"/>
                <w:highlight w:val="none"/>
                <w:lang w:eastAsia="zh-CN"/>
              </w:rPr>
              <w:t>西安市高新区科技二路71号竹园天寰国际14层1404会议室</w:t>
            </w:r>
          </w:p>
          <w:p w14:paraId="7E93B15D">
            <w:pPr>
              <w:keepNext/>
              <w:keepLines/>
              <w:pageBreakBefore w:val="0"/>
              <w:kinsoku w:val="0"/>
              <w:overflowPunct w:val="0"/>
              <w:topLinePunct/>
              <w:autoSpaceDE w:val="0"/>
              <w:autoSpaceDN w:val="0"/>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b/>
                <w:bCs/>
                <w:sz w:val="28"/>
                <w:szCs w:val="28"/>
                <w:highlight w:val="none"/>
                <w:lang w:val="zh-TW"/>
              </w:rPr>
              <w:t>注：</w:t>
            </w:r>
            <w:r>
              <w:rPr>
                <w:rFonts w:hint="eastAsia" w:ascii="仿宋" w:hAnsi="仿宋" w:eastAsia="仿宋" w:cs="仿宋"/>
                <w:b/>
                <w:bCs/>
                <w:sz w:val="28"/>
                <w:szCs w:val="28"/>
                <w:highlight w:val="none"/>
              </w:rPr>
              <w:t>邀请所有提交投标文件的供应商参加招标会议，</w:t>
            </w:r>
            <w:r>
              <w:rPr>
                <w:rFonts w:hint="eastAsia" w:ascii="仿宋" w:hAnsi="仿宋" w:eastAsia="仿宋" w:cs="仿宋"/>
                <w:b/>
                <w:bCs/>
                <w:sz w:val="28"/>
                <w:szCs w:val="28"/>
                <w:highlight w:val="none"/>
                <w:lang w:val="zh-TW"/>
              </w:rPr>
              <w:t>逾期送达的投标文件，采购代理机构拒收。</w:t>
            </w:r>
          </w:p>
        </w:tc>
      </w:tr>
      <w:tr w14:paraId="100E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14:paraId="4B97B929">
            <w:pPr>
              <w:keepNext/>
              <w:pageBreakBefore w:val="0"/>
              <w:topLinePunct/>
              <w:bidi w:val="0"/>
              <w:spacing w:line="51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p>
        </w:tc>
        <w:tc>
          <w:tcPr>
            <w:tcW w:w="2217" w:type="dxa"/>
            <w:vAlign w:val="center"/>
          </w:tcPr>
          <w:p w14:paraId="4F5A850D">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投标文件</w:t>
            </w:r>
          </w:p>
          <w:p w14:paraId="448DD2C1">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份数</w:t>
            </w:r>
          </w:p>
        </w:tc>
        <w:tc>
          <w:tcPr>
            <w:tcW w:w="6880" w:type="dxa"/>
            <w:vAlign w:val="center"/>
          </w:tcPr>
          <w:p w14:paraId="23C247FD">
            <w:pPr>
              <w:keepLines/>
              <w:pageBreakBefore w:val="0"/>
              <w:wordWrap w:val="0"/>
              <w:topLinePunct/>
              <w:bidi w:val="0"/>
              <w:spacing w:line="510" w:lineRule="exact"/>
              <w:textAlignment w:val="auto"/>
              <w:rPr>
                <w:rFonts w:ascii="仿宋" w:hAnsi="仿宋" w:eastAsia="仿宋" w:cs="仿宋"/>
                <w:sz w:val="28"/>
                <w:szCs w:val="28"/>
                <w:highlight w:val="none"/>
                <w:lang w:val="zh-TW"/>
              </w:rPr>
            </w:pPr>
            <w:r>
              <w:rPr>
                <w:rFonts w:hint="eastAsia" w:ascii="仿宋" w:hAnsi="仿宋" w:eastAsia="仿宋" w:cs="仿宋"/>
                <w:sz w:val="28"/>
                <w:szCs w:val="28"/>
                <w:highlight w:val="none"/>
                <w:lang w:val="zh-TW"/>
              </w:rPr>
              <w:t>资格标：“正本”1份，“副本”3份</w:t>
            </w:r>
          </w:p>
          <w:p w14:paraId="382642FC">
            <w:pPr>
              <w:keepLines/>
              <w:pageBreakBefore w:val="0"/>
              <w:wordWrap w:val="0"/>
              <w:topLinePunct/>
              <w:bidi w:val="0"/>
              <w:spacing w:line="510" w:lineRule="exact"/>
              <w:textAlignment w:val="auto"/>
              <w:rPr>
                <w:rFonts w:ascii="仿宋" w:hAnsi="仿宋" w:eastAsia="仿宋" w:cs="仿宋"/>
                <w:sz w:val="28"/>
                <w:szCs w:val="28"/>
                <w:highlight w:val="none"/>
                <w:lang w:val="zh-TW"/>
              </w:rPr>
            </w:pPr>
            <w:r>
              <w:rPr>
                <w:rFonts w:hint="eastAsia" w:ascii="仿宋" w:hAnsi="仿宋" w:eastAsia="仿宋" w:cs="仿宋"/>
                <w:sz w:val="28"/>
                <w:szCs w:val="28"/>
                <w:highlight w:val="none"/>
                <w:lang w:val="zh-TW"/>
              </w:rPr>
              <w:t>商务及技术标：“正本”1份，“副本”3份</w:t>
            </w:r>
          </w:p>
          <w:p w14:paraId="60CB044D">
            <w:pPr>
              <w:keepLines/>
              <w:pageBreakBefore w:val="0"/>
              <w:wordWrap w:val="0"/>
              <w:topLinePunct/>
              <w:bidi w:val="0"/>
              <w:spacing w:line="510" w:lineRule="exact"/>
              <w:textAlignment w:val="auto"/>
              <w:rPr>
                <w:rFonts w:ascii="仿宋" w:hAnsi="仿宋" w:eastAsia="仿宋" w:cs="仿宋"/>
                <w:sz w:val="28"/>
                <w:szCs w:val="28"/>
                <w:highlight w:val="none"/>
                <w:lang w:val="zh-TW"/>
              </w:rPr>
            </w:pPr>
            <w:r>
              <w:rPr>
                <w:rFonts w:hint="eastAsia" w:ascii="仿宋" w:hAnsi="仿宋" w:eastAsia="仿宋" w:cs="仿宋"/>
                <w:sz w:val="28"/>
                <w:szCs w:val="28"/>
                <w:highlight w:val="none"/>
                <w:lang w:val="zh-TW"/>
              </w:rPr>
              <w:t>电子文档：1份</w:t>
            </w:r>
          </w:p>
          <w:p w14:paraId="761728AF">
            <w:pPr>
              <w:keepLines/>
              <w:pageBreakBefore w:val="0"/>
              <w:wordWrap w:val="0"/>
              <w:topLinePunct/>
              <w:bidi w:val="0"/>
              <w:spacing w:line="510" w:lineRule="exact"/>
              <w:textAlignment w:val="auto"/>
              <w:rPr>
                <w:rFonts w:ascii="仿宋" w:hAnsi="仿宋" w:eastAsia="仿宋" w:cs="仿宋"/>
                <w:sz w:val="28"/>
                <w:szCs w:val="28"/>
                <w:highlight w:val="none"/>
                <w:lang w:val="zh-TW"/>
              </w:rPr>
            </w:pPr>
            <w:r>
              <w:rPr>
                <w:rFonts w:hint="eastAsia" w:ascii="仿宋" w:hAnsi="仿宋" w:eastAsia="仿宋" w:cs="仿宋"/>
                <w:sz w:val="28"/>
                <w:szCs w:val="28"/>
                <w:highlight w:val="none"/>
                <w:lang w:val="zh-TW"/>
              </w:rPr>
              <w:t>每份文件须清楚地标明“正本”、“副本”、“电子文档”，若正本与副本不符，以正本为准。</w:t>
            </w:r>
          </w:p>
          <w:p w14:paraId="5B72E13C">
            <w:pPr>
              <w:keepNext/>
              <w:pageBreakBefore w:val="0"/>
              <w:topLinePunct/>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b/>
                <w:bCs/>
                <w:sz w:val="28"/>
                <w:szCs w:val="28"/>
                <w:highlight w:val="none"/>
                <w:lang w:val="zh-TW"/>
              </w:rPr>
              <w:t>注：为了节约成本，鼓励各供应商双面打印本项目投标文件</w:t>
            </w:r>
          </w:p>
        </w:tc>
      </w:tr>
      <w:tr w14:paraId="7CC5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14:paraId="037F918B">
            <w:pPr>
              <w:keepNext/>
              <w:pageBreakBefore w:val="0"/>
              <w:topLinePunct/>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w:t>
            </w:r>
          </w:p>
        </w:tc>
        <w:tc>
          <w:tcPr>
            <w:tcW w:w="2217" w:type="dxa"/>
            <w:vAlign w:val="center"/>
          </w:tcPr>
          <w:p w14:paraId="0D619255">
            <w:pPr>
              <w:keepLines/>
              <w:pageBreakBefore w:val="0"/>
              <w:wordWrap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投标文件</w:t>
            </w:r>
          </w:p>
          <w:p w14:paraId="4173F78C">
            <w:pPr>
              <w:keepLines/>
              <w:pageBreakBefore w:val="0"/>
              <w:wordWrap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密封</w:t>
            </w:r>
          </w:p>
        </w:tc>
        <w:tc>
          <w:tcPr>
            <w:tcW w:w="6880" w:type="dxa"/>
            <w:vAlign w:val="center"/>
          </w:tcPr>
          <w:p w14:paraId="1CC45B72">
            <w:pPr>
              <w:keepLines/>
              <w:pageBreakBefore w:val="0"/>
              <w:wordWrap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“资格标”正本单独密封，“资格标”副本单独密封，“商务及技术标”正本单独密封，“商务及技术标”副本单独密封，“电子文档”单独密封。</w:t>
            </w:r>
          </w:p>
          <w:p w14:paraId="59AB8007">
            <w:pPr>
              <w:pStyle w:val="65"/>
              <w:pageBreakBefore w:val="0"/>
              <w:numPr>
                <w:ilvl w:val="0"/>
                <w:numId w:val="0"/>
              </w:numPr>
              <w:tabs>
                <w:tab w:val="clear" w:pos="851"/>
              </w:tabs>
              <w:bidi w:val="0"/>
              <w:spacing w:line="510" w:lineRule="exact"/>
              <w:textAlignment w:val="auto"/>
              <w:outlineLvl w:val="9"/>
              <w:rPr>
                <w:rFonts w:hint="default" w:cs="仿宋"/>
                <w:szCs w:val="28"/>
                <w:highlight w:val="none"/>
                <w:lang w:val="zh-TW"/>
              </w:rPr>
            </w:pPr>
            <w:bookmarkStart w:id="68" w:name="_Toc10588"/>
            <w:bookmarkStart w:id="69" w:name="_Toc23536"/>
            <w:bookmarkStart w:id="70" w:name="_Toc13235"/>
            <w:bookmarkStart w:id="71" w:name="_Toc861"/>
            <w:bookmarkStart w:id="72" w:name="_Toc12096"/>
            <w:r>
              <w:rPr>
                <w:rFonts w:cs="仿宋"/>
                <w:b w:val="0"/>
                <w:bCs/>
                <w:szCs w:val="28"/>
                <w:highlight w:val="none"/>
              </w:rPr>
              <w:t>在密封袋（箱）封口处加盖单位公章并由法定代表人或被授权委托人签字或盖章。</w:t>
            </w:r>
            <w:bookmarkEnd w:id="68"/>
            <w:bookmarkEnd w:id="69"/>
            <w:bookmarkEnd w:id="70"/>
            <w:bookmarkEnd w:id="71"/>
            <w:bookmarkEnd w:id="72"/>
          </w:p>
        </w:tc>
      </w:tr>
      <w:tr w14:paraId="6886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14:paraId="16F83B32">
            <w:pPr>
              <w:keepNext/>
              <w:pageBreakBefore w:val="0"/>
              <w:topLinePunct/>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p>
        </w:tc>
        <w:tc>
          <w:tcPr>
            <w:tcW w:w="2217" w:type="dxa"/>
            <w:vAlign w:val="center"/>
          </w:tcPr>
          <w:p w14:paraId="7B01D602">
            <w:pPr>
              <w:keepNext/>
              <w:pageBreakBefore w:val="0"/>
              <w:topLinePunct/>
              <w:bidi w:val="0"/>
              <w:spacing w:line="510" w:lineRule="exact"/>
              <w:jc w:val="center"/>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密封袋（箱）</w:t>
            </w:r>
          </w:p>
          <w:p w14:paraId="49573074">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上写明</w:t>
            </w:r>
          </w:p>
        </w:tc>
        <w:tc>
          <w:tcPr>
            <w:tcW w:w="6880" w:type="dxa"/>
            <w:vAlign w:val="center"/>
          </w:tcPr>
          <w:p w14:paraId="10A2044C">
            <w:pPr>
              <w:keepNext/>
              <w:pageBreakBefore w:val="0"/>
              <w:topLinePunct/>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项目编号：</w:t>
            </w:r>
          </w:p>
          <w:p w14:paraId="3C6B5AA0">
            <w:pPr>
              <w:keepNext/>
              <w:pageBreakBefore w:val="0"/>
              <w:topLinePunct/>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项目名称：</w:t>
            </w:r>
          </w:p>
          <w:p w14:paraId="732D3CDA">
            <w:pPr>
              <w:keepNext/>
              <w:pageBreakBefore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供应商全称（并加盖单位公章）：</w:t>
            </w:r>
          </w:p>
          <w:p w14:paraId="35D257A5">
            <w:pPr>
              <w:keepNext/>
              <w:pageBreakBefore w:val="0"/>
              <w:topLinePunct/>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在202</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lang w:eastAsia="zh-CN"/>
              </w:rPr>
              <w:t>月</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日</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:00前不得开启。</w:t>
            </w:r>
          </w:p>
        </w:tc>
      </w:tr>
      <w:tr w14:paraId="1A5C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14:paraId="0833C0D9">
            <w:pPr>
              <w:keepNext/>
              <w:pageBreakBefore w:val="0"/>
              <w:topLinePunct/>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w:t>
            </w:r>
          </w:p>
        </w:tc>
        <w:tc>
          <w:tcPr>
            <w:tcW w:w="2217" w:type="dxa"/>
            <w:vAlign w:val="center"/>
          </w:tcPr>
          <w:p w14:paraId="25B9FCDF">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6880" w:type="dxa"/>
            <w:vAlign w:val="center"/>
          </w:tcPr>
          <w:p w14:paraId="25ACEF54">
            <w:pPr>
              <w:keepNext/>
              <w:pageBreakBefore w:val="0"/>
              <w:topLinePunct/>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90日历日（从提交投标文件的截止之日起）</w:t>
            </w:r>
          </w:p>
        </w:tc>
      </w:tr>
      <w:tr w14:paraId="1BF8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7" w:type="dxa"/>
            <w:vAlign w:val="center"/>
          </w:tcPr>
          <w:p w14:paraId="20316124">
            <w:pPr>
              <w:keepNext/>
              <w:pageBreakBefore w:val="0"/>
              <w:topLinePunct/>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w:t>
            </w:r>
          </w:p>
        </w:tc>
        <w:tc>
          <w:tcPr>
            <w:tcW w:w="2217" w:type="dxa"/>
            <w:vAlign w:val="center"/>
          </w:tcPr>
          <w:p w14:paraId="0AFBCE0E">
            <w:pPr>
              <w:pageBreakBefore w:val="0"/>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服务期限</w:t>
            </w:r>
          </w:p>
        </w:tc>
        <w:tc>
          <w:tcPr>
            <w:tcW w:w="6880" w:type="dxa"/>
            <w:vAlign w:val="center"/>
          </w:tcPr>
          <w:p w14:paraId="50B1144C">
            <w:pPr>
              <w:pageBreakBefore w:val="0"/>
              <w:bidi w:val="0"/>
              <w:spacing w:line="510" w:lineRule="exac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合同签订后一年</w:t>
            </w:r>
          </w:p>
          <w:p w14:paraId="6BD74771">
            <w:pPr>
              <w:pageBreakBefore w:val="0"/>
              <w:bidi w:val="0"/>
              <w:spacing w:line="510" w:lineRule="exact"/>
              <w:textAlignment w:val="auto"/>
              <w:rPr>
                <w:rFonts w:hint="default" w:ascii="仿宋" w:hAnsi="仿宋" w:eastAsia="仿宋" w:cs="仿宋"/>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bidi="ar-SA"/>
              </w:rPr>
              <w:t>注：根据《政府购买服务管理办法》（中华人民共和国财政部令第102号），本次服务采用一次采购，两年沿用，合同一年一签，服务到期后续签合同。</w:t>
            </w:r>
          </w:p>
        </w:tc>
      </w:tr>
      <w:tr w14:paraId="2D35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57" w:type="dxa"/>
            <w:vAlign w:val="center"/>
          </w:tcPr>
          <w:p w14:paraId="47722E11">
            <w:pPr>
              <w:keepNext/>
              <w:pageBreakBefore w:val="0"/>
              <w:topLinePunct/>
              <w:bidi w:val="0"/>
              <w:spacing w:line="51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p>
        </w:tc>
        <w:tc>
          <w:tcPr>
            <w:tcW w:w="2217" w:type="dxa"/>
            <w:vAlign w:val="center"/>
          </w:tcPr>
          <w:p w14:paraId="0AA1F616">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评审方法</w:t>
            </w:r>
          </w:p>
        </w:tc>
        <w:tc>
          <w:tcPr>
            <w:tcW w:w="6880" w:type="dxa"/>
            <w:vAlign w:val="center"/>
          </w:tcPr>
          <w:p w14:paraId="29CB18D1">
            <w:pPr>
              <w:keepNext/>
              <w:pageBreakBefore w:val="0"/>
              <w:topLinePunct/>
              <w:bidi w:val="0"/>
              <w:spacing w:line="510" w:lineRule="exact"/>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综合评分法,详见评分标准及办法</w:t>
            </w:r>
          </w:p>
        </w:tc>
      </w:tr>
      <w:tr w14:paraId="7777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7" w:type="dxa"/>
            <w:vAlign w:val="center"/>
          </w:tcPr>
          <w:p w14:paraId="7D6FCA60">
            <w:pPr>
              <w:keepNext/>
              <w:pageBreakBefore w:val="0"/>
              <w:topLinePunct/>
              <w:bidi w:val="0"/>
              <w:spacing w:line="51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p>
        </w:tc>
        <w:tc>
          <w:tcPr>
            <w:tcW w:w="2217" w:type="dxa"/>
            <w:vAlign w:val="center"/>
          </w:tcPr>
          <w:p w14:paraId="24CC36F0">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资格要求</w:t>
            </w:r>
          </w:p>
        </w:tc>
        <w:tc>
          <w:tcPr>
            <w:tcW w:w="6880" w:type="dxa"/>
          </w:tcPr>
          <w:p w14:paraId="7EDAF0BA">
            <w:pPr>
              <w:pStyle w:val="26"/>
              <w:pageBreakBefore w:val="0"/>
              <w:bidi w:val="0"/>
              <w:adjustRightInd w:val="0"/>
              <w:snapToGrid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14:paraId="768A205F">
            <w:pPr>
              <w:keepLines/>
              <w:pageBreakBefore w:val="0"/>
              <w:wordWrap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2、本项目的特定资格要求：（1）</w:t>
            </w:r>
            <w:r>
              <w:rPr>
                <w:rFonts w:hint="eastAsia" w:ascii="仿宋" w:hAnsi="仿宋" w:eastAsia="仿宋" w:cs="仿宋"/>
                <w:sz w:val="28"/>
                <w:szCs w:val="28"/>
                <w:highlight w:val="none"/>
                <w:shd w:val="clear" w:color="auto" w:fill="FFFFFF"/>
                <w:lang w:eastAsia="zh-CN"/>
              </w:rPr>
              <w:t>供应商应具有独立承担民事责任的能力且具备向采购人提供相关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 w:val="28"/>
                <w:szCs w:val="28"/>
                <w:highlight w:val="none"/>
              </w:rPr>
              <w:t>；</w:t>
            </w:r>
          </w:p>
          <w:p w14:paraId="0470AEEE">
            <w:pPr>
              <w:keepLines/>
              <w:pageBreakBefore w:val="0"/>
              <w:wordWrap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（2）法定代表人授权委托书（附法定代表人身份证复印件）及被授权委托人身份证（法定代表人参加投标只须提供法定代表人身份证）；</w:t>
            </w:r>
          </w:p>
          <w:p w14:paraId="680C693A">
            <w:pPr>
              <w:keepLines/>
              <w:pageBreakBefore w:val="0"/>
              <w:wordWrap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（3）提供202</w:t>
            </w:r>
            <w:r>
              <w:rPr>
                <w:rFonts w:hint="eastAsia" w:ascii="仿宋" w:hAnsi="仿宋" w:eastAsia="仿宋" w:cs="仿宋"/>
                <w:sz w:val="28"/>
                <w:szCs w:val="28"/>
                <w:highlight w:val="none"/>
                <w:lang w:val="en-US" w:eastAsia="zh-CN"/>
              </w:rPr>
              <w:t>3或2024</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p>
          <w:p w14:paraId="1A0E0B28">
            <w:pPr>
              <w:keepLines/>
              <w:pageBreakBefore w:val="0"/>
              <w:wordWrap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（4）提供202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月以来任意3个月依法缴纳税收和社会保险的相关证明材料；注：依法免税或不需要缴纳社会保险的供应商提供相关部门出具的证明文件；</w:t>
            </w:r>
          </w:p>
          <w:p w14:paraId="545E1CA1">
            <w:pPr>
              <w:keepLines/>
              <w:pageBreakBefore w:val="0"/>
              <w:wordWrap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（5）提供具有履行合同所必需的设备和专业技术能力的承诺；</w:t>
            </w:r>
          </w:p>
          <w:p w14:paraId="3D3B2699">
            <w:pPr>
              <w:keepLines/>
              <w:pageBreakBefore w:val="0"/>
              <w:wordWrap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（6）提供参加政府采购活动前3年内在经营活动中没有重大违法记录的书面声明；</w:t>
            </w:r>
          </w:p>
          <w:p w14:paraId="772FBFAA">
            <w:pPr>
              <w:pStyle w:val="26"/>
              <w:keepNext/>
              <w:pageBreakBefore w:val="0"/>
              <w:widowControl/>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单位负责人为同一人或者存在直接控股、管理关系的不同供应商，不得参加同一合同项下的政府采购活动。</w:t>
            </w:r>
          </w:p>
        </w:tc>
      </w:tr>
      <w:tr w14:paraId="45A8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57" w:type="dxa"/>
            <w:vAlign w:val="center"/>
          </w:tcPr>
          <w:p w14:paraId="197ADAF0">
            <w:pPr>
              <w:keepNext/>
              <w:pageBreakBefore w:val="0"/>
              <w:topLinePunct/>
              <w:bidi w:val="0"/>
              <w:spacing w:line="51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p>
        </w:tc>
        <w:tc>
          <w:tcPr>
            <w:tcW w:w="2217" w:type="dxa"/>
            <w:shd w:val="clear" w:color="auto" w:fill="auto"/>
            <w:vAlign w:val="center"/>
          </w:tcPr>
          <w:p w14:paraId="0BAA4229">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80" w:type="dxa"/>
            <w:shd w:val="clear" w:color="auto" w:fill="auto"/>
            <w:vAlign w:val="center"/>
          </w:tcPr>
          <w:p w14:paraId="70778A71">
            <w:pPr>
              <w:keepNext/>
              <w:pageBreakBefore w:val="0"/>
              <w:widowControl/>
              <w:topLinePunct/>
              <w:bidi w:val="0"/>
              <w:spacing w:line="510" w:lineRule="exact"/>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合同签订后1月内，采购人支付合同总金额的30%；供应商服务满半年后，采购人15个工作日内支付合同总金额的40%；供应商年度服务期满，经采购人完成年度验收评价完毕后（合同期满一个月内出具），采购人1个月内支付剩余总金额的30%。</w:t>
            </w:r>
          </w:p>
        </w:tc>
      </w:tr>
      <w:tr w14:paraId="4EC0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857" w:type="dxa"/>
            <w:vAlign w:val="center"/>
          </w:tcPr>
          <w:p w14:paraId="026FC68F">
            <w:pPr>
              <w:pageBreakBefore w:val="0"/>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w:t>
            </w:r>
          </w:p>
        </w:tc>
        <w:tc>
          <w:tcPr>
            <w:tcW w:w="2217" w:type="dxa"/>
            <w:vAlign w:val="center"/>
          </w:tcPr>
          <w:p w14:paraId="1F230420">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代理服务费</w:t>
            </w:r>
          </w:p>
        </w:tc>
        <w:tc>
          <w:tcPr>
            <w:tcW w:w="6880" w:type="dxa"/>
            <w:vAlign w:val="center"/>
          </w:tcPr>
          <w:p w14:paraId="1390F9C7">
            <w:pPr>
              <w:keepNext/>
              <w:pageBreakBefore w:val="0"/>
              <w:topLinePunct/>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由中标供应商支付代理服务费，代理服务费参照</w:t>
            </w:r>
            <w:r>
              <w:rPr>
                <w:rFonts w:hint="eastAsia" w:ascii="仿宋" w:hAnsi="仿宋" w:eastAsia="仿宋" w:cs="仿宋"/>
                <w:sz w:val="28"/>
                <w:szCs w:val="28"/>
                <w:highlight w:val="none"/>
                <w:lang w:eastAsia="zh-CN"/>
              </w:rPr>
              <w:t>原</w:t>
            </w:r>
            <w:r>
              <w:rPr>
                <w:rFonts w:hint="eastAsia" w:ascii="仿宋" w:hAnsi="仿宋" w:eastAsia="仿宋" w:cs="仿宋"/>
                <w:bCs/>
                <w:sz w:val="28"/>
                <w:szCs w:val="28"/>
                <w:highlight w:val="none"/>
              </w:rPr>
              <w:t>《国家计委关于印发&lt;招标代理服务收费管理暂行办法&gt;的通知》（计价格〔2002〕1980号）</w:t>
            </w:r>
            <w:r>
              <w:rPr>
                <w:rFonts w:hint="eastAsia" w:ascii="仿宋" w:hAnsi="仿宋" w:eastAsia="仿宋" w:cs="仿宋"/>
                <w:sz w:val="28"/>
                <w:szCs w:val="28"/>
                <w:highlight w:val="none"/>
              </w:rPr>
              <w:t>、《国家发展改革委员会办公厅关于招标代理服务收费有关问题的通知》（发改办价格〔2003〕857号）</w:t>
            </w:r>
            <w:r>
              <w:rPr>
                <w:rFonts w:hint="eastAsia" w:ascii="仿宋" w:hAnsi="仿宋" w:eastAsia="仿宋" w:cs="仿宋"/>
                <w:bCs/>
                <w:sz w:val="28"/>
                <w:szCs w:val="28"/>
                <w:highlight w:val="none"/>
              </w:rPr>
              <w:t>的规定标准执行，按差额定率累进法收取费用，100万以下按1.5%收取，100万-500万按</w:t>
            </w:r>
            <w:r>
              <w:rPr>
                <w:rFonts w:hint="eastAsia" w:ascii="仿宋" w:hAnsi="仿宋" w:eastAsia="仿宋" w:cs="仿宋"/>
                <w:bCs/>
                <w:sz w:val="28"/>
                <w:szCs w:val="28"/>
                <w:highlight w:val="none"/>
                <w:lang w:val="en-US" w:eastAsia="zh-CN"/>
              </w:rPr>
              <w:t>0.8</w:t>
            </w:r>
            <w:r>
              <w:rPr>
                <w:rFonts w:hint="eastAsia" w:ascii="仿宋" w:hAnsi="仿宋" w:eastAsia="仿宋" w:cs="仿宋"/>
                <w:bCs/>
                <w:sz w:val="28"/>
                <w:szCs w:val="28"/>
                <w:highlight w:val="none"/>
              </w:rPr>
              <w:t>%收取。</w:t>
            </w:r>
          </w:p>
        </w:tc>
      </w:tr>
      <w:tr w14:paraId="05D7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57" w:type="dxa"/>
            <w:vAlign w:val="center"/>
          </w:tcPr>
          <w:p w14:paraId="51EE3FDA">
            <w:pPr>
              <w:keepLines/>
              <w:pageBreakBefore w:val="0"/>
              <w:wordWrap w:val="0"/>
              <w:topLinePunct/>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w:t>
            </w:r>
          </w:p>
        </w:tc>
        <w:tc>
          <w:tcPr>
            <w:tcW w:w="2217" w:type="dxa"/>
            <w:vAlign w:val="center"/>
          </w:tcPr>
          <w:p w14:paraId="3A92CDFD">
            <w:pPr>
              <w:pageBreakBefore w:val="0"/>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是否接受</w:t>
            </w:r>
          </w:p>
          <w:p w14:paraId="549E3AF9">
            <w:pPr>
              <w:pageBreakBefore w:val="0"/>
              <w:bidi w:val="0"/>
              <w:spacing w:line="510" w:lineRule="exact"/>
              <w:jc w:val="center"/>
              <w:textAlignment w:val="auto"/>
              <w:rPr>
                <w:rFonts w:ascii="仿宋" w:hAnsi="仿宋" w:eastAsia="仿宋" w:cs="仿宋"/>
                <w:bCs/>
                <w:sz w:val="28"/>
                <w:szCs w:val="28"/>
                <w:highlight w:val="none"/>
              </w:rPr>
            </w:pPr>
            <w:r>
              <w:rPr>
                <w:rFonts w:hint="eastAsia" w:ascii="仿宋" w:hAnsi="仿宋" w:eastAsia="仿宋" w:cs="仿宋"/>
                <w:sz w:val="28"/>
                <w:szCs w:val="28"/>
                <w:highlight w:val="none"/>
              </w:rPr>
              <w:t>联合体投标</w:t>
            </w:r>
          </w:p>
        </w:tc>
        <w:tc>
          <w:tcPr>
            <w:tcW w:w="6880" w:type="dxa"/>
            <w:vAlign w:val="center"/>
          </w:tcPr>
          <w:p w14:paraId="2821BC03">
            <w:pPr>
              <w:pageBreakBefore w:val="0"/>
              <w:bidi w:val="0"/>
              <w:spacing w:line="510" w:lineRule="exact"/>
              <w:textAlignment w:val="auto"/>
              <w:rPr>
                <w:rFonts w:ascii="仿宋" w:hAnsi="仿宋" w:eastAsia="仿宋" w:cs="仿宋"/>
                <w:szCs w:val="28"/>
                <w:highlight w:val="none"/>
              </w:rPr>
            </w:pPr>
            <w:r>
              <w:rPr>
                <w:rFonts w:hint="eastAsia" w:ascii="仿宋" w:hAnsi="仿宋" w:eastAsia="仿宋" w:cs="仿宋"/>
                <w:sz w:val="28"/>
                <w:szCs w:val="28"/>
                <w:highlight w:val="none"/>
              </w:rPr>
              <w:t>否</w:t>
            </w:r>
          </w:p>
        </w:tc>
      </w:tr>
      <w:tr w14:paraId="6EDF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57" w:type="dxa"/>
            <w:vAlign w:val="center"/>
          </w:tcPr>
          <w:p w14:paraId="3FBEAF76">
            <w:pPr>
              <w:keepLines/>
              <w:pageBreakBefore w:val="0"/>
              <w:wordWrap w:val="0"/>
              <w:topLinePunct/>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w:t>
            </w:r>
          </w:p>
        </w:tc>
        <w:tc>
          <w:tcPr>
            <w:tcW w:w="2217" w:type="dxa"/>
            <w:vAlign w:val="center"/>
          </w:tcPr>
          <w:p w14:paraId="60BF41D2">
            <w:pPr>
              <w:pageBreakBefore w:val="0"/>
              <w:bidi w:val="0"/>
              <w:spacing w:line="510" w:lineRule="exact"/>
              <w:jc w:val="center"/>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是否专门面向</w:t>
            </w:r>
          </w:p>
          <w:p w14:paraId="49F1C86B">
            <w:pPr>
              <w:pageBreakBefore w:val="0"/>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bCs/>
                <w:sz w:val="28"/>
                <w:szCs w:val="28"/>
                <w:highlight w:val="none"/>
              </w:rPr>
              <w:t>中小企业采购</w:t>
            </w:r>
          </w:p>
        </w:tc>
        <w:tc>
          <w:tcPr>
            <w:tcW w:w="6880" w:type="dxa"/>
            <w:vAlign w:val="center"/>
          </w:tcPr>
          <w:p w14:paraId="2B6F3931">
            <w:pPr>
              <w:pageBreakBefore w:val="0"/>
              <w:bidi w:val="0"/>
              <w:spacing w:line="510" w:lineRule="exact"/>
              <w:textAlignment w:val="auto"/>
              <w:rPr>
                <w:rFonts w:hint="eastAsia" w:ascii="仿宋" w:hAnsi="仿宋" w:eastAsia="仿宋" w:cs="仿宋"/>
                <w:szCs w:val="28"/>
                <w:highlight w:val="none"/>
                <w:lang w:eastAsia="zh-CN"/>
              </w:rPr>
            </w:pPr>
            <w:r>
              <w:rPr>
                <w:rFonts w:hint="eastAsia" w:ascii="仿宋" w:hAnsi="仿宋" w:eastAsia="仿宋" w:cs="仿宋"/>
                <w:sz w:val="28"/>
                <w:szCs w:val="28"/>
                <w:highlight w:val="none"/>
                <w:lang w:val="en-US" w:eastAsia="zh-CN"/>
              </w:rPr>
              <w:t>否</w:t>
            </w:r>
          </w:p>
        </w:tc>
      </w:tr>
      <w:tr w14:paraId="1477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14:paraId="653686C3">
            <w:pPr>
              <w:keepLines/>
              <w:pageBreakBefore w:val="0"/>
              <w:wordWrap w:val="0"/>
              <w:topLinePunct/>
              <w:bidi w:val="0"/>
              <w:spacing w:line="51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1</w:t>
            </w:r>
          </w:p>
        </w:tc>
        <w:tc>
          <w:tcPr>
            <w:tcW w:w="2217" w:type="dxa"/>
            <w:vAlign w:val="center"/>
          </w:tcPr>
          <w:p w14:paraId="3C806022">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leftChars="0" w:right="0" w:rightChars="0"/>
              <w:jc w:val="center"/>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是否提交</w:t>
            </w:r>
          </w:p>
          <w:p w14:paraId="5ED7CCB0">
            <w:pPr>
              <w:pageBreakBefore w:val="0"/>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b w:val="0"/>
                <w:bCs w:val="0"/>
                <w:color w:val="auto"/>
                <w:kern w:val="2"/>
                <w:sz w:val="28"/>
                <w:szCs w:val="28"/>
                <w:highlight w:val="none"/>
                <w:lang w:val="en-US" w:eastAsia="zh-CN" w:bidi="ar-SA"/>
              </w:rPr>
              <w:t>履约保证金</w:t>
            </w:r>
          </w:p>
        </w:tc>
        <w:tc>
          <w:tcPr>
            <w:tcW w:w="6880" w:type="dxa"/>
            <w:vAlign w:val="center"/>
          </w:tcPr>
          <w:p w14:paraId="1B33AB8C">
            <w:pPr>
              <w:pStyle w:val="25"/>
              <w:pageBreakBefore w:val="0"/>
              <w:bidi w:val="0"/>
              <w:spacing w:line="510" w:lineRule="exact"/>
              <w:textAlignment w:val="auto"/>
              <w:rPr>
                <w:rFonts w:hint="eastAsia" w:ascii="仿宋" w:hAnsi="仿宋" w:eastAsia="仿宋" w:cs="仿宋"/>
                <w:szCs w:val="28"/>
                <w:highlight w:val="none"/>
                <w:lang w:eastAsia="zh-CN"/>
              </w:rPr>
            </w:pPr>
            <w:r>
              <w:rPr>
                <w:rFonts w:hint="eastAsia" w:ascii="仿宋" w:hAnsi="仿宋" w:eastAsia="仿宋" w:cs="仿宋"/>
                <w:szCs w:val="28"/>
                <w:highlight w:val="none"/>
                <w:lang w:eastAsia="zh-CN"/>
              </w:rPr>
              <w:t>否</w:t>
            </w:r>
          </w:p>
        </w:tc>
      </w:tr>
      <w:tr w14:paraId="2644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Align w:val="center"/>
          </w:tcPr>
          <w:p w14:paraId="26AA51E9">
            <w:pPr>
              <w:keepLines/>
              <w:pageBreakBefore w:val="0"/>
              <w:wordWrap w:val="0"/>
              <w:topLinePunct/>
              <w:bidi w:val="0"/>
              <w:spacing w:line="51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w:t>
            </w:r>
          </w:p>
        </w:tc>
        <w:tc>
          <w:tcPr>
            <w:tcW w:w="2217" w:type="dxa"/>
            <w:vAlign w:val="center"/>
          </w:tcPr>
          <w:p w14:paraId="0A4BA2C6">
            <w:pPr>
              <w:pageBreakBefore w:val="0"/>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采购标的对应的中小企业划分标准所属行业</w:t>
            </w:r>
          </w:p>
        </w:tc>
        <w:tc>
          <w:tcPr>
            <w:tcW w:w="6880" w:type="dxa"/>
            <w:vAlign w:val="center"/>
          </w:tcPr>
          <w:p w14:paraId="0890EC3F">
            <w:pPr>
              <w:pStyle w:val="25"/>
              <w:pageBreakBefore w:val="0"/>
              <w:bidi w:val="0"/>
              <w:spacing w:line="510" w:lineRule="exact"/>
              <w:textAlignment w:val="auto"/>
              <w:rPr>
                <w:rFonts w:hint="eastAsia" w:ascii="仿宋" w:hAnsi="仿宋" w:eastAsia="仿宋" w:cs="仿宋"/>
                <w:b/>
                <w:bCs/>
                <w:szCs w:val="28"/>
                <w:highlight w:val="none"/>
                <w:shd w:val="clear" w:color="auto" w:fill="FFFFFF"/>
                <w:lang w:eastAsia="zh-CN"/>
              </w:rPr>
            </w:pPr>
            <w:r>
              <w:rPr>
                <w:rFonts w:hint="eastAsia" w:ascii="仿宋" w:hAnsi="仿宋" w:eastAsia="仿宋" w:cs="仿宋"/>
                <w:b/>
                <w:bCs/>
                <w:szCs w:val="28"/>
                <w:highlight w:val="none"/>
                <w:shd w:val="clear" w:color="auto" w:fill="FFFFFF"/>
                <w:lang w:eastAsia="zh-CN"/>
              </w:rPr>
              <w:t>软件和信息技术服务业</w:t>
            </w:r>
          </w:p>
          <w:p w14:paraId="1094FF23">
            <w:pPr>
              <w:pStyle w:val="25"/>
              <w:pageBreakBefore w:val="0"/>
              <w:bidi w:val="0"/>
              <w:spacing w:line="510" w:lineRule="exact"/>
              <w:textAlignment w:val="auto"/>
              <w:rPr>
                <w:rFonts w:ascii="仿宋" w:hAnsi="仿宋" w:eastAsia="仿宋" w:cs="仿宋"/>
                <w:b/>
                <w:bCs/>
                <w:szCs w:val="28"/>
                <w:highlight w:val="none"/>
              </w:rPr>
            </w:pPr>
            <w:r>
              <w:rPr>
                <w:rFonts w:hint="eastAsia" w:ascii="仿宋" w:hAnsi="仿宋" w:eastAsia="仿宋" w:cs="仿宋"/>
                <w:szCs w:val="28"/>
                <w:highlight w:val="none"/>
              </w:rPr>
              <w:t>参照《关于印发中小企业划型标准规定的通知》（工信部联企业〔2011〕300号）文件标准划分。</w:t>
            </w:r>
          </w:p>
        </w:tc>
      </w:tr>
      <w:tr w14:paraId="780A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57" w:type="dxa"/>
            <w:vAlign w:val="center"/>
          </w:tcPr>
          <w:p w14:paraId="79F87F48">
            <w:pPr>
              <w:keepNext/>
              <w:pageBreakBefore w:val="0"/>
              <w:topLinePunct/>
              <w:bidi w:val="0"/>
              <w:spacing w:line="51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3</w:t>
            </w:r>
          </w:p>
        </w:tc>
        <w:tc>
          <w:tcPr>
            <w:tcW w:w="2217" w:type="dxa"/>
            <w:vAlign w:val="center"/>
          </w:tcPr>
          <w:p w14:paraId="42B363DD">
            <w:pPr>
              <w:pageBreakBefore w:val="0"/>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信用担保和信用融资</w:t>
            </w:r>
          </w:p>
        </w:tc>
        <w:tc>
          <w:tcPr>
            <w:tcW w:w="6880" w:type="dxa"/>
            <w:vAlign w:val="center"/>
          </w:tcPr>
          <w:p w14:paraId="479E6A85">
            <w:pPr>
              <w:pStyle w:val="25"/>
              <w:pageBreakBefore w:val="0"/>
              <w:bidi w:val="0"/>
              <w:spacing w:line="510" w:lineRule="exact"/>
              <w:textAlignment w:val="auto"/>
              <w:rPr>
                <w:rFonts w:ascii="仿宋" w:hAnsi="仿宋" w:eastAsia="仿宋" w:cs="仿宋"/>
                <w:szCs w:val="28"/>
                <w:highlight w:val="none"/>
              </w:rPr>
            </w:pPr>
            <w:r>
              <w:rPr>
                <w:rFonts w:hint="eastAsia" w:ascii="仿宋" w:hAnsi="仿宋" w:eastAsia="仿宋" w:cs="仿宋"/>
                <w:szCs w:val="28"/>
                <w:highlight w:val="none"/>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14:paraId="64B31298">
            <w:pPr>
              <w:pStyle w:val="25"/>
              <w:pageBreakBefore w:val="0"/>
              <w:wordWrap w:val="0"/>
              <w:bidi w:val="0"/>
              <w:spacing w:line="510" w:lineRule="exact"/>
              <w:textAlignment w:val="auto"/>
              <w:rPr>
                <w:rFonts w:ascii="仿宋" w:hAnsi="仿宋" w:eastAsia="仿宋" w:cs="仿宋"/>
                <w:szCs w:val="28"/>
                <w:highlight w:val="none"/>
              </w:rPr>
            </w:pPr>
            <w:r>
              <w:rPr>
                <w:rFonts w:hint="eastAsia" w:ascii="仿宋" w:hAnsi="仿宋" w:eastAsia="仿宋" w:cs="仿宋"/>
                <w:szCs w:val="28"/>
                <w:highlight w:val="none"/>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tr w14:paraId="1ED7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57" w:type="dxa"/>
            <w:vAlign w:val="center"/>
          </w:tcPr>
          <w:p w14:paraId="4697D5F1">
            <w:pPr>
              <w:keepNext/>
              <w:pageBreakBefore w:val="0"/>
              <w:topLinePunct/>
              <w:bidi w:val="0"/>
              <w:spacing w:line="51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p>
        </w:tc>
        <w:tc>
          <w:tcPr>
            <w:tcW w:w="2217" w:type="dxa"/>
            <w:vAlign w:val="center"/>
          </w:tcPr>
          <w:p w14:paraId="0242A6FC">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信用信息查询</w:t>
            </w:r>
          </w:p>
        </w:tc>
        <w:tc>
          <w:tcPr>
            <w:tcW w:w="6880" w:type="dxa"/>
            <w:vAlign w:val="center"/>
          </w:tcPr>
          <w:p w14:paraId="27B2719D">
            <w:pPr>
              <w:keepNext/>
              <w:pageBreakBefore w:val="0"/>
              <w:topLinePunct/>
              <w:bidi w:val="0"/>
              <w:spacing w:line="51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信用中国”网站（www.creditchina.gov.cn）和“中国政府采购网”（www.ccgp.gov.cn）为供应商信用信息查询渠道，采购代理机构于投标截止日对供应商信用信息进行查询，若供应商列入失信被执行人、重大税收违法失信主体、政府采购严重违法失信行为记录名单，其投标无效；采购代理机构将网站截图作为证据留存。</w:t>
            </w:r>
          </w:p>
        </w:tc>
      </w:tr>
      <w:tr w14:paraId="76CC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7" w:type="dxa"/>
            <w:vAlign w:val="center"/>
          </w:tcPr>
          <w:p w14:paraId="2F077A85">
            <w:pPr>
              <w:keepNext/>
              <w:pageBreakBefore w:val="0"/>
              <w:topLinePunct/>
              <w:bidi w:val="0"/>
              <w:spacing w:line="51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5</w:t>
            </w:r>
          </w:p>
        </w:tc>
        <w:tc>
          <w:tcPr>
            <w:tcW w:w="2217" w:type="dxa"/>
            <w:vAlign w:val="center"/>
          </w:tcPr>
          <w:p w14:paraId="0D712824">
            <w:pPr>
              <w:keepNext/>
              <w:pageBreakBefore w:val="0"/>
              <w:topLinePunct/>
              <w:bidi w:val="0"/>
              <w:spacing w:line="51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其他未尽事宜</w:t>
            </w:r>
          </w:p>
        </w:tc>
        <w:tc>
          <w:tcPr>
            <w:tcW w:w="6880" w:type="dxa"/>
            <w:vAlign w:val="center"/>
          </w:tcPr>
          <w:p w14:paraId="0BBA941C">
            <w:pPr>
              <w:keepNext/>
              <w:pageBreakBefore w:val="0"/>
              <w:topLinePunct/>
              <w:bidi w:val="0"/>
              <w:spacing w:line="510" w:lineRule="exac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按照《中华人民共和国政府采购法》及相关法律法规执行。</w:t>
            </w:r>
          </w:p>
        </w:tc>
      </w:tr>
    </w:tbl>
    <w:p w14:paraId="25EFE3BF">
      <w:pPr>
        <w:rPr>
          <w:rFonts w:ascii="仿宋" w:hAnsi="仿宋" w:eastAsia="仿宋" w:cs="仿宋"/>
          <w:sz w:val="44"/>
          <w:szCs w:val="44"/>
          <w:highlight w:val="none"/>
        </w:rPr>
      </w:pPr>
      <w:r>
        <w:rPr>
          <w:rFonts w:hint="eastAsia" w:ascii="仿宋" w:hAnsi="仿宋" w:eastAsia="仿宋" w:cs="仿宋"/>
          <w:sz w:val="44"/>
          <w:szCs w:val="44"/>
          <w:highlight w:val="none"/>
        </w:rPr>
        <w:br w:type="page"/>
      </w:r>
    </w:p>
    <w:bookmarkEnd w:id="27"/>
    <w:bookmarkEnd w:id="28"/>
    <w:bookmarkEnd w:id="29"/>
    <w:bookmarkEnd w:id="31"/>
    <w:p w14:paraId="66DFB6EC">
      <w:pPr>
        <w:pStyle w:val="2"/>
        <w:ind w:firstLine="3092" w:firstLineChars="700"/>
        <w:jc w:val="both"/>
        <w:rPr>
          <w:rFonts w:hint="default" w:ascii="仿宋" w:hAnsi="仿宋" w:eastAsia="仿宋" w:cs="仿宋"/>
          <w:sz w:val="44"/>
          <w:szCs w:val="44"/>
          <w:highlight w:val="none"/>
        </w:rPr>
      </w:pPr>
      <w:bookmarkStart w:id="73" w:name="_Toc13581"/>
      <w:bookmarkStart w:id="74" w:name="_Toc421604325"/>
      <w:bookmarkStart w:id="75" w:name="_Toc20403"/>
      <w:bookmarkStart w:id="76" w:name="_Toc22167"/>
      <w:bookmarkStart w:id="77" w:name="_Toc24383"/>
      <w:bookmarkStart w:id="78" w:name="_Toc1654_WPSOffice_Level1"/>
      <w:bookmarkStart w:id="79" w:name="_Toc24084"/>
      <w:bookmarkStart w:id="80" w:name="_Toc421604326"/>
      <w:bookmarkStart w:id="81" w:name="_Toc16938519"/>
      <w:bookmarkStart w:id="82" w:name="_Toc513029203"/>
      <w:bookmarkStart w:id="83" w:name="_Toc20823275"/>
      <w:bookmarkStart w:id="84" w:name="_Toc403987205"/>
      <w:bookmarkStart w:id="85" w:name="_Toc120614214"/>
      <w:r>
        <w:rPr>
          <w:rFonts w:ascii="仿宋" w:hAnsi="仿宋" w:eastAsia="仿宋" w:cs="仿宋"/>
          <w:sz w:val="44"/>
          <w:szCs w:val="44"/>
          <w:highlight w:val="none"/>
        </w:rPr>
        <w:t>第三章  供应商须知</w:t>
      </w:r>
      <w:bookmarkEnd w:id="73"/>
      <w:bookmarkEnd w:id="74"/>
      <w:bookmarkEnd w:id="75"/>
      <w:bookmarkEnd w:id="76"/>
      <w:bookmarkEnd w:id="77"/>
      <w:bookmarkEnd w:id="78"/>
      <w:bookmarkEnd w:id="79"/>
    </w:p>
    <w:bookmarkEnd w:id="80"/>
    <w:bookmarkEnd w:id="81"/>
    <w:bookmarkEnd w:id="82"/>
    <w:bookmarkEnd w:id="83"/>
    <w:bookmarkEnd w:id="84"/>
    <w:bookmarkEnd w:id="85"/>
    <w:p w14:paraId="0767D883">
      <w:pPr>
        <w:keepNext w:val="0"/>
        <w:keepLines w:val="0"/>
        <w:pageBreakBefore w:val="0"/>
        <w:kinsoku/>
        <w:wordWrap/>
        <w:overflowPunct/>
        <w:topLinePunct w:val="0"/>
        <w:autoSpaceDE/>
        <w:autoSpaceDN/>
        <w:bidi w:val="0"/>
        <w:snapToGrid/>
        <w:spacing w:line="520" w:lineRule="exact"/>
        <w:textAlignment w:val="auto"/>
        <w:rPr>
          <w:rFonts w:ascii="仿宋" w:hAnsi="仿宋" w:eastAsia="仿宋" w:cs="仿宋"/>
          <w:b/>
          <w:bCs/>
          <w:sz w:val="28"/>
          <w:szCs w:val="28"/>
          <w:highlight w:val="none"/>
        </w:rPr>
      </w:pPr>
      <w:bookmarkStart w:id="86" w:name="_Hlt16619475"/>
      <w:bookmarkEnd w:id="86"/>
      <w:bookmarkStart w:id="87" w:name="_Toc12442"/>
      <w:bookmarkStart w:id="88" w:name="_Toc990"/>
      <w:bookmarkStart w:id="89" w:name="_Toc16938525"/>
      <w:bookmarkStart w:id="90" w:name="_Toc12607"/>
      <w:bookmarkStart w:id="91" w:name="_Toc20465"/>
      <w:bookmarkStart w:id="92" w:name="_Toc15653"/>
      <w:bookmarkStart w:id="93" w:name="_Toc22345"/>
      <w:bookmarkStart w:id="94" w:name="_Toc10080"/>
      <w:bookmarkStart w:id="95" w:name="_Toc22915"/>
      <w:bookmarkStart w:id="96" w:name="_Toc11744"/>
      <w:bookmarkStart w:id="97" w:name="_Toc421604327"/>
      <w:bookmarkStart w:id="98" w:name="_Toc15003"/>
      <w:bookmarkStart w:id="99" w:name="_Toc1532"/>
      <w:bookmarkStart w:id="100" w:name="_Toc120614215"/>
      <w:bookmarkStart w:id="101" w:name="_Toc17068"/>
      <w:bookmarkStart w:id="102" w:name="_Toc31403"/>
      <w:bookmarkStart w:id="103" w:name="_Toc513029209"/>
      <w:bookmarkStart w:id="104" w:name="_Toc23412"/>
      <w:bookmarkStart w:id="105" w:name="_Toc8649"/>
      <w:bookmarkStart w:id="106" w:name="_Toc403987206"/>
      <w:bookmarkStart w:id="107" w:name="_Toc4844"/>
      <w:bookmarkStart w:id="108" w:name="_Toc19750"/>
      <w:bookmarkStart w:id="109" w:name="_Toc18417"/>
      <w:bookmarkStart w:id="110" w:name="_Toc20823281"/>
      <w:bookmarkStart w:id="111" w:name="_Toc12480"/>
      <w:bookmarkStart w:id="112" w:name="_Toc26215"/>
      <w:bookmarkStart w:id="113" w:name="_Toc2079"/>
      <w:r>
        <w:rPr>
          <w:rFonts w:hint="eastAsia" w:ascii="仿宋" w:hAnsi="仿宋" w:eastAsia="仿宋" w:cs="仿宋"/>
          <w:b/>
          <w:bCs/>
          <w:sz w:val="28"/>
          <w:szCs w:val="28"/>
          <w:highlight w:val="none"/>
        </w:rPr>
        <w:t>一、名词解释</w:t>
      </w:r>
    </w:p>
    <w:p w14:paraId="2329FC48">
      <w:pPr>
        <w:pStyle w:val="49"/>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 w:hAnsi="仿宋" w:eastAsia="仿宋" w:cs="仿宋"/>
          <w:szCs w:val="28"/>
          <w:highlight w:val="none"/>
          <w:lang w:val="en-US" w:eastAsia="zh-CN"/>
        </w:rPr>
      </w:pPr>
      <w:r>
        <w:rPr>
          <w:rFonts w:ascii="仿宋" w:hAnsi="仿宋" w:cs="仿宋"/>
          <w:szCs w:val="28"/>
          <w:highlight w:val="none"/>
        </w:rPr>
        <w:t>1、采   购   人：</w:t>
      </w:r>
      <w:r>
        <w:rPr>
          <w:rFonts w:hint="eastAsia" w:ascii="仿宋" w:hAnsi="仿宋" w:cs="仿宋"/>
          <w:szCs w:val="28"/>
          <w:highlight w:val="none"/>
        </w:rPr>
        <w:t>韩城市政务</w:t>
      </w:r>
      <w:r>
        <w:rPr>
          <w:rFonts w:hint="eastAsia" w:ascii="仿宋" w:hAnsi="仿宋" w:eastAsia="仿宋" w:cs="仿宋"/>
          <w:b w:val="0"/>
          <w:kern w:val="2"/>
          <w:sz w:val="28"/>
          <w:szCs w:val="28"/>
          <w:highlight w:val="none"/>
          <w:lang w:val="en-US" w:eastAsia="zh-CN"/>
        </w:rPr>
        <w:t>大</w:t>
      </w:r>
      <w:r>
        <w:rPr>
          <w:rFonts w:hint="eastAsia" w:ascii="仿宋" w:hAnsi="仿宋" w:cs="仿宋"/>
          <w:szCs w:val="28"/>
          <w:highlight w:val="none"/>
        </w:rPr>
        <w:t>数据服务中心</w:t>
      </w:r>
    </w:p>
    <w:p w14:paraId="74935B7E">
      <w:pPr>
        <w:pStyle w:val="49"/>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default" w:ascii="仿宋" w:hAnsi="仿宋" w:cs="仿宋"/>
          <w:szCs w:val="28"/>
          <w:highlight w:val="none"/>
        </w:rPr>
      </w:pPr>
      <w:r>
        <w:rPr>
          <w:rFonts w:ascii="仿宋" w:hAnsi="仿宋" w:cs="仿宋"/>
          <w:szCs w:val="28"/>
          <w:highlight w:val="none"/>
        </w:rPr>
        <w:t>2、采购管理机构：</w:t>
      </w:r>
      <w:r>
        <w:rPr>
          <w:rFonts w:hint="eastAsia" w:ascii="仿宋" w:hAnsi="仿宋" w:cs="仿宋"/>
          <w:szCs w:val="28"/>
          <w:highlight w:val="none"/>
          <w:lang w:eastAsia="zh-CN"/>
        </w:rPr>
        <w:t>韩城</w:t>
      </w:r>
      <w:r>
        <w:rPr>
          <w:rFonts w:hint="eastAsia" w:ascii="仿宋" w:hAnsi="仿宋" w:cs="仿宋"/>
          <w:color w:val="auto"/>
          <w:szCs w:val="28"/>
          <w:highlight w:val="none"/>
          <w:lang w:val="en-US" w:eastAsia="zh-CN"/>
        </w:rPr>
        <w:t>市财政局</w:t>
      </w:r>
    </w:p>
    <w:p w14:paraId="06870E53">
      <w:pPr>
        <w:pStyle w:val="49"/>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default" w:ascii="仿宋" w:hAnsi="仿宋" w:cs="仿宋"/>
          <w:szCs w:val="28"/>
          <w:highlight w:val="none"/>
        </w:rPr>
      </w:pPr>
      <w:r>
        <w:rPr>
          <w:rFonts w:ascii="仿宋" w:hAnsi="仿宋" w:cs="仿宋"/>
          <w:szCs w:val="28"/>
          <w:highlight w:val="none"/>
        </w:rPr>
        <w:t>3、采购代理机构：西安欣华联建工程咨询有限公司</w:t>
      </w:r>
    </w:p>
    <w:p w14:paraId="5D73A99E">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4、供   应   商：参加本次公开招标的供应商</w:t>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070BCCF1">
      <w:pPr>
        <w:keepNext w:val="0"/>
        <w:keepLines w:val="0"/>
        <w:pageBreakBefore w:val="0"/>
        <w:kinsoku/>
        <w:wordWrap/>
        <w:overflowPunct/>
        <w:topLinePunct w:val="0"/>
        <w:autoSpaceDE/>
        <w:autoSpaceDN/>
        <w:bidi w:val="0"/>
        <w:snapToGrid/>
        <w:spacing w:line="520" w:lineRule="exact"/>
        <w:textAlignment w:val="auto"/>
        <w:rPr>
          <w:rFonts w:ascii="仿宋" w:hAnsi="仿宋" w:eastAsia="仿宋" w:cs="仿宋"/>
          <w:b/>
          <w:bCs/>
          <w:sz w:val="28"/>
          <w:szCs w:val="28"/>
          <w:highlight w:val="none"/>
        </w:rPr>
      </w:pPr>
      <w:bookmarkStart w:id="114" w:name="_Toc462564072"/>
      <w:bookmarkStart w:id="115" w:name="_Toc23338"/>
      <w:bookmarkStart w:id="116" w:name="_Toc30676"/>
      <w:bookmarkStart w:id="117" w:name="_Toc25508"/>
      <w:bookmarkStart w:id="118" w:name="_Toc5454"/>
      <w:bookmarkStart w:id="119" w:name="_Toc20823285"/>
      <w:bookmarkStart w:id="120" w:name="_Toc17271"/>
      <w:bookmarkStart w:id="121" w:name="_Toc26041"/>
      <w:bookmarkStart w:id="122" w:name="_Toc27354"/>
      <w:bookmarkStart w:id="123" w:name="_Toc9916"/>
      <w:bookmarkStart w:id="124" w:name="_Toc9523"/>
      <w:bookmarkStart w:id="125" w:name="_Toc17966"/>
      <w:bookmarkStart w:id="126" w:name="_Toc19219"/>
      <w:bookmarkStart w:id="127" w:name="_Toc3063"/>
      <w:bookmarkStart w:id="128" w:name="_Toc16938529"/>
      <w:bookmarkStart w:id="129" w:name="_Toc281"/>
      <w:bookmarkStart w:id="130" w:name="_Toc13587"/>
      <w:bookmarkStart w:id="131" w:name="_Toc16941"/>
      <w:bookmarkStart w:id="132" w:name="_Toc9319"/>
      <w:bookmarkStart w:id="133" w:name="_Toc2709"/>
      <w:bookmarkStart w:id="134" w:name="_Toc22631"/>
      <w:bookmarkStart w:id="135" w:name="_Toc10059"/>
      <w:bookmarkStart w:id="136" w:name="_Toc31727"/>
      <w:bookmarkStart w:id="137" w:name="_Toc421604328"/>
      <w:bookmarkStart w:id="138" w:name="_Toc403987207"/>
      <w:bookmarkStart w:id="139" w:name="_Toc120614216"/>
      <w:bookmarkStart w:id="140" w:name="_Toc513029213"/>
      <w:bookmarkStart w:id="141" w:name="_Toc11939"/>
      <w:r>
        <w:rPr>
          <w:rFonts w:hint="eastAsia" w:ascii="仿宋" w:hAnsi="仿宋" w:eastAsia="仿宋" w:cs="仿宋"/>
          <w:b/>
          <w:bCs/>
          <w:sz w:val="28"/>
          <w:szCs w:val="28"/>
          <w:highlight w:val="none"/>
        </w:rPr>
        <w:t>二、公开招标文件</w:t>
      </w:r>
    </w:p>
    <w:p w14:paraId="360C66A2">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1、招标文件的构成</w:t>
      </w:r>
    </w:p>
    <w:p w14:paraId="56E01D2D">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1.1要求提供的服务、货物、招标过程和合同条件在招标文件中均有说明；招标文件各章名称见目录。</w:t>
      </w:r>
    </w:p>
    <w:p w14:paraId="67853DAB">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供应商应认真阅读招标文件中所有的事项、格式、条款和技术规范等。供应商没有按照招标文件要求提交全部资料，或者投标文件没有对招标文件在各方面都做出实质性响应是供应商的风险，并可能导致其投标被拒绝。</w:t>
      </w:r>
    </w:p>
    <w:p w14:paraId="34BDB13E">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2、招标文件的澄清或者修改</w:t>
      </w:r>
    </w:p>
    <w:p w14:paraId="4F2FDFD6">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2.1采购人或者采购代理机构可以对已发出的招标文件进行必要的澄清或者修改，澄清或者修改的内容为招标文件的组成部分；</w:t>
      </w:r>
    </w:p>
    <w:p w14:paraId="4E357801">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2.2澄清或者修改的内容可能影响投标文件编制的，采购人或者采购代理机构应当在投标截止时间至少15日前，以书面形式通知所有获取招标文件的潜在投标人；不足15日的，采购人或者采购代理机构应当根据项目实际情况决定是否顺延提交投标文件的截止时间。</w:t>
      </w:r>
    </w:p>
    <w:p w14:paraId="23C126BC">
      <w:pPr>
        <w:pStyle w:val="49"/>
        <w:keepNext w:val="0"/>
        <w:keepLines w:val="0"/>
        <w:pageBreakBefore w:val="0"/>
        <w:widowControl w:val="0"/>
        <w:kinsoku/>
        <w:wordWrap/>
        <w:overflowPunct/>
        <w:topLinePunct w:val="0"/>
        <w:autoSpaceDE/>
        <w:autoSpaceDN/>
        <w:bidi w:val="0"/>
        <w:snapToGrid/>
        <w:spacing w:line="520" w:lineRule="exact"/>
        <w:ind w:firstLine="560"/>
        <w:textAlignment w:val="auto"/>
        <w:rPr>
          <w:rFonts w:hint="eastAsia" w:ascii="仿宋" w:hAnsi="仿宋" w:eastAsia="仿宋" w:cs="仿宋"/>
          <w:color w:val="000000"/>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cs="仿宋"/>
          <w:sz w:val="28"/>
          <w:szCs w:val="28"/>
          <w:highlight w:val="none"/>
          <w:lang w:val="en-US" w:eastAsia="zh-CN"/>
        </w:rPr>
        <w:t>招标</w:t>
      </w:r>
      <w:r>
        <w:rPr>
          <w:rFonts w:hint="eastAsia" w:ascii="仿宋" w:hAnsi="仿宋" w:eastAsia="仿宋" w:cs="仿宋"/>
          <w:color w:val="000000"/>
          <w:szCs w:val="28"/>
          <w:highlight w:val="none"/>
          <w:lang w:val="en-US" w:eastAsia="zh-CN"/>
        </w:rPr>
        <w:t>文件的其他要求</w:t>
      </w:r>
    </w:p>
    <w:p w14:paraId="17058AA7">
      <w:pPr>
        <w:pStyle w:val="49"/>
        <w:keepNext w:val="0"/>
        <w:keepLines w:val="0"/>
        <w:pageBreakBefore w:val="0"/>
        <w:widowControl w:val="0"/>
        <w:kinsoku/>
        <w:wordWrap/>
        <w:overflowPunct/>
        <w:topLinePunct w:val="0"/>
        <w:autoSpaceDE/>
        <w:autoSpaceDN/>
        <w:bidi w:val="0"/>
        <w:snapToGrid/>
        <w:spacing w:line="520" w:lineRule="exact"/>
        <w:ind w:firstLine="560"/>
        <w:textAlignment w:val="auto"/>
        <w:rPr>
          <w:rFonts w:hint="default" w:ascii="仿宋" w:hAnsi="仿宋" w:eastAsia="仿宋" w:cs="仿宋"/>
          <w:sz w:val="28"/>
          <w:szCs w:val="28"/>
          <w:highlight w:val="none"/>
          <w:lang w:val="en-US" w:eastAsia="zh-CN"/>
        </w:rPr>
      </w:pPr>
      <w:r>
        <w:rPr>
          <w:rFonts w:hint="eastAsia" w:ascii="仿宋" w:hAnsi="仿宋" w:cs="仿宋"/>
          <w:color w:val="000000"/>
          <w:szCs w:val="28"/>
          <w:highlight w:val="none"/>
          <w:lang w:val="en-US" w:eastAsia="zh-CN"/>
        </w:rPr>
        <w:t>招标文件中凡是需要法定代表人签字或盖章之处，非法人单位的负责人均参照执行。供应商如为分支机构，则该分支机构负责人视同法定代表人。</w:t>
      </w:r>
    </w:p>
    <w:p w14:paraId="6E588188">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、各供应商必须从采购代理机构购买招标文件，供应商自行转让或复制文件视为无效。招标文件一经售出，一律不退，仅作为本次招标使用。</w:t>
      </w:r>
    </w:p>
    <w:p w14:paraId="152D2B0D">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、本文件的解释权归采购人和采购代理机构。</w:t>
      </w: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46F945B9">
      <w:pPr>
        <w:keepNext w:val="0"/>
        <w:keepLines w:val="0"/>
        <w:pageBreakBefore w:val="0"/>
        <w:kinsoku/>
        <w:wordWrap/>
        <w:overflowPunct/>
        <w:topLinePunct w:val="0"/>
        <w:autoSpaceDE/>
        <w:autoSpaceDN/>
        <w:bidi w:val="0"/>
        <w:snapToGrid/>
        <w:spacing w:line="520" w:lineRule="exact"/>
        <w:textAlignment w:val="auto"/>
        <w:rPr>
          <w:rFonts w:ascii="仿宋" w:hAnsi="仿宋" w:eastAsia="仿宋" w:cs="仿宋"/>
          <w:b/>
          <w:bCs/>
          <w:sz w:val="28"/>
          <w:szCs w:val="28"/>
          <w:highlight w:val="none"/>
        </w:rPr>
      </w:pPr>
      <w:bookmarkStart w:id="142" w:name="_Toc49090511"/>
      <w:bookmarkStart w:id="143" w:name="_Toc14577360"/>
      <w:r>
        <w:rPr>
          <w:rFonts w:hint="eastAsia" w:ascii="仿宋" w:hAnsi="仿宋" w:eastAsia="仿宋" w:cs="仿宋"/>
          <w:b/>
          <w:bCs/>
          <w:sz w:val="28"/>
          <w:szCs w:val="28"/>
          <w:highlight w:val="none"/>
        </w:rPr>
        <w:t>三、招标的内容要求</w:t>
      </w:r>
    </w:p>
    <w:p w14:paraId="26343716">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1、招标内容：韩城市政务云资源管理服务（详见第四章采购内容），供应商应对所有内容进行响应，不得在其中选项，否则按无效文件处理。</w:t>
      </w:r>
    </w:p>
    <w:p w14:paraId="44012D27">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2、供应商资格：</w:t>
      </w:r>
    </w:p>
    <w:p w14:paraId="0BF8D5EF">
      <w:pPr>
        <w:pStyle w:val="26"/>
        <w:keepNext w:val="0"/>
        <w:keepLines w:val="0"/>
        <w:pageBreakBefore w:val="0"/>
        <w:widowControl/>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2.1满足《中华人民共和国政府采购法》第二十二条规定；</w:t>
      </w:r>
    </w:p>
    <w:p w14:paraId="09E467EC">
      <w:pPr>
        <w:keepNext w:val="0"/>
        <w:keepLines w:val="0"/>
        <w:pageBreakBefore w:val="0"/>
        <w:widowControl/>
        <w:kinsoku/>
        <w:wordWrap/>
        <w:overflowPunct/>
        <w:topLinePunct w:val="0"/>
        <w:autoSpaceDE/>
        <w:autoSpaceDN/>
        <w:bidi w:val="0"/>
        <w:snapToGrid/>
        <w:spacing w:line="52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2.2本项目的特定资格要求：</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lang w:eastAsia="zh-CN"/>
        </w:rPr>
        <w:t>供应商应具有独立承担民事责任的能力且具备向采购人提供相关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 w:val="28"/>
          <w:szCs w:val="28"/>
          <w:highlight w:val="none"/>
          <w:lang w:val="en-US" w:eastAsia="zh-CN"/>
        </w:rPr>
        <w:t>；</w:t>
      </w:r>
    </w:p>
    <w:p w14:paraId="03967A67">
      <w:pPr>
        <w:pStyle w:val="26"/>
        <w:keepNext w:val="0"/>
        <w:keepLines w:val="0"/>
        <w:pageBreakBefore w:val="0"/>
        <w:widowControl/>
        <w:kinsoku/>
        <w:wordWrap/>
        <w:overflowPunct/>
        <w:topLinePunct w:val="0"/>
        <w:autoSpaceDE/>
        <w:autoSpaceDN/>
        <w:bidi w:val="0"/>
        <w:snapToGrid/>
        <w:spacing w:line="52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p w14:paraId="69F315D6">
      <w:pPr>
        <w:pStyle w:val="26"/>
        <w:keepNext w:val="0"/>
        <w:keepLines w:val="0"/>
        <w:pageBreakBefore w:val="0"/>
        <w:widowControl/>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提供202</w:t>
      </w:r>
      <w:r>
        <w:rPr>
          <w:rFonts w:hint="eastAsia" w:ascii="仿宋" w:hAnsi="仿宋" w:eastAsia="仿宋" w:cs="仿宋"/>
          <w:kern w:val="0"/>
          <w:sz w:val="28"/>
          <w:szCs w:val="28"/>
          <w:highlight w:val="none"/>
          <w:lang w:val="en-US" w:eastAsia="zh-CN"/>
        </w:rPr>
        <w:t>3或2024</w:t>
      </w:r>
      <w:r>
        <w:rPr>
          <w:rFonts w:hint="eastAsia" w:ascii="仿宋" w:hAnsi="仿宋" w:eastAsia="仿宋" w:cs="仿宋"/>
          <w:kern w:val="0"/>
          <w:sz w:val="28"/>
          <w:szCs w:val="28"/>
          <w:highlight w:val="none"/>
        </w:rPr>
        <w:t>年度经审计的财务报告或开标前六个月内其基本账户银行出具的资信证明或财政部门认可的政府采购专业担保机构出具的担保函；</w:t>
      </w:r>
    </w:p>
    <w:p w14:paraId="031308EF">
      <w:pPr>
        <w:pStyle w:val="26"/>
        <w:keepNext w:val="0"/>
        <w:keepLines w:val="0"/>
        <w:pageBreakBefore w:val="0"/>
        <w:widowControl/>
        <w:kinsoku/>
        <w:wordWrap/>
        <w:overflowPunct/>
        <w:topLinePunct w:val="0"/>
        <w:autoSpaceDE/>
        <w:autoSpaceDN/>
        <w:bidi w:val="0"/>
        <w:snapToGrid/>
        <w:spacing w:line="52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提供</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lang w:eastAsia="zh-CN"/>
        </w:rPr>
        <w:t>月</w:t>
      </w:r>
      <w:r>
        <w:rPr>
          <w:rFonts w:hint="eastAsia" w:ascii="仿宋" w:hAnsi="仿宋" w:eastAsia="仿宋" w:cs="仿宋"/>
          <w:kern w:val="0"/>
          <w:sz w:val="28"/>
          <w:szCs w:val="28"/>
          <w:highlight w:val="none"/>
        </w:rPr>
        <w:t>以来任意3个月</w:t>
      </w:r>
      <w:r>
        <w:rPr>
          <w:rFonts w:hint="eastAsia" w:ascii="仿宋" w:hAnsi="仿宋" w:eastAsia="仿宋" w:cs="仿宋"/>
          <w:kern w:val="0"/>
          <w:sz w:val="28"/>
          <w:szCs w:val="28"/>
          <w:highlight w:val="none"/>
          <w:lang w:eastAsia="zh-CN"/>
        </w:rPr>
        <w:t>依法缴纳税收和社会保险的相关证明材料；</w:t>
      </w:r>
      <w:r>
        <w:rPr>
          <w:rFonts w:hint="eastAsia" w:ascii="仿宋" w:hAnsi="仿宋" w:eastAsia="仿宋" w:cs="仿宋"/>
          <w:kern w:val="0"/>
          <w:sz w:val="28"/>
          <w:szCs w:val="28"/>
          <w:highlight w:val="none"/>
        </w:rPr>
        <w:t>注：依法免税或不需要缴纳社会保险的供应商提供相关部门出具的证明文件；</w:t>
      </w:r>
    </w:p>
    <w:p w14:paraId="2834B28C">
      <w:pPr>
        <w:pStyle w:val="26"/>
        <w:keepNext w:val="0"/>
        <w:keepLines w:val="0"/>
        <w:pageBreakBefore w:val="0"/>
        <w:widowControl/>
        <w:kinsoku/>
        <w:wordWrap/>
        <w:overflowPunct/>
        <w:topLinePunct w:val="0"/>
        <w:autoSpaceDE/>
        <w:autoSpaceDN/>
        <w:bidi w:val="0"/>
        <w:snapToGrid/>
        <w:spacing w:line="52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提供具有履行合同所必需的设备和专业技术能力的承诺；</w:t>
      </w:r>
    </w:p>
    <w:p w14:paraId="1B929026">
      <w:pPr>
        <w:pStyle w:val="26"/>
        <w:keepNext w:val="0"/>
        <w:keepLines w:val="0"/>
        <w:pageBreakBefore w:val="0"/>
        <w:widowControl/>
        <w:kinsoku/>
        <w:wordWrap/>
        <w:overflowPunct/>
        <w:topLinePunct w:val="0"/>
        <w:autoSpaceDE/>
        <w:autoSpaceDN/>
        <w:bidi w:val="0"/>
        <w:snapToGrid/>
        <w:spacing w:line="520" w:lineRule="exact"/>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提供参加政府采购活动前3年内在经营活动中没有重大违法记录的书面声明；</w:t>
      </w:r>
    </w:p>
    <w:p w14:paraId="43B32204">
      <w:pPr>
        <w:pStyle w:val="26"/>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kern w:val="0"/>
          <w:sz w:val="28"/>
          <w:szCs w:val="28"/>
          <w:highlight w:val="none"/>
          <w:lang w:val="en-US" w:eastAsia="zh-CN"/>
        </w:rPr>
        <w:t>（7）</w:t>
      </w:r>
      <w:r>
        <w:rPr>
          <w:rFonts w:hint="eastAsia" w:ascii="仿宋" w:hAnsi="仿宋" w:eastAsia="仿宋" w:cs="仿宋"/>
          <w:sz w:val="28"/>
          <w:szCs w:val="28"/>
          <w:highlight w:val="none"/>
          <w:lang w:eastAsia="zh-CN"/>
        </w:rPr>
        <w:t>单位负责人为同一人或者存在直接控股、管理关系的不同供应商，不得参加同一合同项下的政府采购活动。</w:t>
      </w:r>
    </w:p>
    <w:p w14:paraId="7BD78ADB">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3、投标文件的编制：</w:t>
      </w:r>
    </w:p>
    <w:p w14:paraId="01E92B97">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3.1投标文件必须根据招标文件要求的格式编写，做出实质性响应。具体内容包括：</w:t>
      </w:r>
    </w:p>
    <w:p w14:paraId="57E578C7">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①按照要求填写投标响应函格式；</w:t>
      </w:r>
    </w:p>
    <w:p w14:paraId="2791A9C5">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②报价一览表；</w:t>
      </w:r>
    </w:p>
    <w:p w14:paraId="471DBB27">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③供应商按要求出具的资格证明文件，证明参加投标的供应商是合格的，中标后有能力履行合同，质量有保证等；</w:t>
      </w:r>
    </w:p>
    <w:p w14:paraId="6E115297">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④各供应商按招标文件要求，完成本次采购任务，包含</w:t>
      </w:r>
      <w:r>
        <w:rPr>
          <w:rFonts w:hint="eastAsia" w:ascii="仿宋" w:hAnsi="仿宋" w:eastAsia="仿宋" w:cs="仿宋"/>
          <w:color w:val="auto"/>
          <w:sz w:val="28"/>
          <w:szCs w:val="28"/>
          <w:highlight w:val="none"/>
          <w:lang w:eastAsia="zh-CN"/>
        </w:rPr>
        <w:t>服务方案</w:t>
      </w:r>
      <w:r>
        <w:rPr>
          <w:rFonts w:hint="eastAsia" w:ascii="仿宋" w:hAnsi="仿宋" w:eastAsia="仿宋" w:cs="仿宋"/>
          <w:color w:val="auto"/>
          <w:sz w:val="28"/>
          <w:szCs w:val="28"/>
          <w:highlight w:val="none"/>
        </w:rPr>
        <w:t>、验收、服务</w:t>
      </w:r>
      <w:r>
        <w:rPr>
          <w:rFonts w:hint="eastAsia" w:ascii="仿宋" w:hAnsi="仿宋" w:eastAsia="仿宋" w:cs="仿宋"/>
          <w:color w:val="auto"/>
          <w:sz w:val="28"/>
          <w:szCs w:val="28"/>
          <w:highlight w:val="none"/>
          <w:lang w:eastAsia="zh-CN"/>
        </w:rPr>
        <w:t>承诺</w:t>
      </w:r>
      <w:r>
        <w:rPr>
          <w:rFonts w:hint="eastAsia" w:ascii="仿宋" w:hAnsi="仿宋" w:eastAsia="仿宋" w:cs="仿宋"/>
          <w:color w:val="auto"/>
          <w:sz w:val="28"/>
          <w:szCs w:val="28"/>
          <w:highlight w:val="none"/>
        </w:rPr>
        <w:t>等服务内容。</w:t>
      </w:r>
    </w:p>
    <w:p w14:paraId="09797957">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3.2投标报价：</w:t>
      </w:r>
    </w:p>
    <w:p w14:paraId="0514EFB1">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①各供应商应在投标文件中的报价一览表上，标明总价、服务期限、质量标准等项，任何有选择的报价采购代理机构不予接受；</w:t>
      </w:r>
    </w:p>
    <w:p w14:paraId="5B43AA13">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②投标总价为包括完成本项目招标文件中所提出的工作范围及要求的全部内容，并达到国家及采购人验收标准而产生的所有费用，包括</w:t>
      </w:r>
      <w:r>
        <w:rPr>
          <w:rFonts w:hint="eastAsia" w:ascii="仿宋" w:hAnsi="仿宋" w:eastAsia="仿宋" w:cs="仿宋"/>
          <w:b/>
          <w:bCs/>
          <w:kern w:val="0"/>
          <w:sz w:val="28"/>
          <w:szCs w:val="28"/>
          <w:highlight w:val="none"/>
          <w:lang w:val="en-US" w:eastAsia="zh-CN" w:bidi="ar"/>
        </w:rPr>
        <w:t>服务费</w:t>
      </w:r>
      <w:r>
        <w:rPr>
          <w:rFonts w:hint="eastAsia" w:ascii="仿宋" w:hAnsi="仿宋" w:eastAsia="仿宋" w:cs="仿宋"/>
          <w:b/>
          <w:sz w:val="28"/>
          <w:szCs w:val="28"/>
          <w:highlight w:val="none"/>
          <w:lang w:bidi="ar"/>
        </w:rPr>
        <w:t>、</w:t>
      </w:r>
      <w:r>
        <w:rPr>
          <w:rFonts w:hint="eastAsia" w:ascii="仿宋" w:hAnsi="仿宋" w:eastAsia="仿宋" w:cs="仿宋"/>
          <w:b/>
          <w:bCs/>
          <w:kern w:val="0"/>
          <w:sz w:val="28"/>
          <w:szCs w:val="28"/>
          <w:highlight w:val="none"/>
          <w:lang w:val="en-US" w:eastAsia="zh-CN" w:bidi="ar"/>
        </w:rPr>
        <w:t>租赁费、物业费、水电费、设备维护费、</w:t>
      </w:r>
      <w:r>
        <w:rPr>
          <w:rFonts w:hint="eastAsia" w:ascii="仿宋" w:hAnsi="仿宋" w:eastAsia="仿宋" w:cs="仿宋"/>
          <w:b/>
          <w:bCs/>
          <w:color w:val="000000"/>
          <w:sz w:val="28"/>
          <w:szCs w:val="28"/>
          <w:highlight w:val="none"/>
        </w:rPr>
        <w:t>人工费</w:t>
      </w:r>
      <w:r>
        <w:rPr>
          <w:rFonts w:hint="eastAsia" w:ascii="仿宋" w:hAnsi="仿宋" w:eastAsia="仿宋" w:cs="仿宋"/>
          <w:b/>
          <w:sz w:val="28"/>
          <w:szCs w:val="28"/>
          <w:highlight w:val="none"/>
          <w:lang w:bidi="ar"/>
        </w:rPr>
        <w:t>、</w:t>
      </w:r>
      <w:r>
        <w:rPr>
          <w:rFonts w:hint="eastAsia" w:ascii="仿宋" w:hAnsi="仿宋" w:eastAsia="仿宋" w:cs="仿宋"/>
          <w:b/>
          <w:sz w:val="28"/>
          <w:szCs w:val="28"/>
          <w:highlight w:val="none"/>
          <w:lang w:eastAsia="zh-CN" w:bidi="ar"/>
        </w:rPr>
        <w:t>测评费、</w:t>
      </w:r>
      <w:r>
        <w:rPr>
          <w:rFonts w:hint="eastAsia" w:ascii="仿宋" w:hAnsi="仿宋" w:eastAsia="仿宋" w:cs="仿宋"/>
          <w:b/>
          <w:sz w:val="28"/>
          <w:szCs w:val="28"/>
          <w:highlight w:val="none"/>
          <w:lang w:bidi="ar"/>
        </w:rPr>
        <w:t>管理费</w:t>
      </w:r>
      <w:r>
        <w:rPr>
          <w:rFonts w:hint="eastAsia" w:ascii="仿宋" w:hAnsi="仿宋" w:eastAsia="仿宋" w:cs="仿宋"/>
          <w:b/>
          <w:sz w:val="28"/>
          <w:szCs w:val="28"/>
          <w:highlight w:val="none"/>
          <w:lang w:eastAsia="zh-CN" w:bidi="ar"/>
        </w:rPr>
        <w:t>、</w:t>
      </w:r>
      <w:r>
        <w:rPr>
          <w:rFonts w:hint="eastAsia" w:ascii="仿宋" w:hAnsi="仿宋" w:eastAsia="仿宋" w:cs="仿宋"/>
          <w:b/>
          <w:bCs/>
          <w:sz w:val="28"/>
          <w:szCs w:val="28"/>
          <w:highlight w:val="none"/>
        </w:rPr>
        <w:t>验收费、税金</w:t>
      </w:r>
      <w:r>
        <w:rPr>
          <w:rFonts w:hint="eastAsia" w:ascii="仿宋" w:hAnsi="仿宋" w:eastAsia="仿宋" w:cs="仿宋"/>
          <w:b/>
          <w:bCs/>
          <w:sz w:val="28"/>
          <w:szCs w:val="28"/>
          <w:highlight w:val="none"/>
          <w:lang w:eastAsia="zh-CN"/>
        </w:rPr>
        <w:t>及</w:t>
      </w:r>
      <w:r>
        <w:rPr>
          <w:rFonts w:hint="eastAsia" w:ascii="仿宋" w:hAnsi="仿宋" w:eastAsia="仿宋" w:cs="仿宋"/>
          <w:b/>
          <w:bCs/>
          <w:sz w:val="28"/>
          <w:szCs w:val="28"/>
          <w:highlight w:val="none"/>
        </w:rPr>
        <w:t>风险等所有费用</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sz w:val="28"/>
          <w:szCs w:val="28"/>
          <w:highlight w:val="none"/>
        </w:rPr>
        <w:t>任何错报、漏报由供应商自行负责；</w:t>
      </w:r>
    </w:p>
    <w:p w14:paraId="6062F9C4">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③凡因供应商对招标文件阅读不深、理解不透、误解、疏漏或</w:t>
      </w:r>
      <w:r>
        <w:rPr>
          <w:rFonts w:hint="eastAsia" w:ascii="仿宋" w:hAnsi="仿宋" w:eastAsia="仿宋" w:cs="仿宋"/>
          <w:sz w:val="28"/>
          <w:szCs w:val="28"/>
          <w:highlight w:val="none"/>
        </w:rPr>
        <w:t>因市场行情了解不清造成的后果和风险均由各供应商自负；</w:t>
      </w:r>
    </w:p>
    <w:p w14:paraId="48B45B9D">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④各供应商自行现场踏勘；</w:t>
      </w:r>
    </w:p>
    <w:p w14:paraId="6C4044B7">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⑤最低报价不作为中标的唯一条件。</w:t>
      </w:r>
    </w:p>
    <w:p w14:paraId="02DF8C2B">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投标文件有效期为从提交投标文件的截止之日起90日历日，中标供应商的投标文件有效期延长至合同执行完毕。</w:t>
      </w:r>
    </w:p>
    <w:p w14:paraId="7BCDDBA5">
      <w:pPr>
        <w:keepNext w:val="0"/>
        <w:keepLines w:val="0"/>
        <w:pageBreakBefore w:val="0"/>
        <w:widowControl w:val="0"/>
        <w:kinsoku/>
        <w:wordWrap/>
        <w:overflowPunct/>
        <w:topLinePunct w:val="0"/>
        <w:autoSpaceDE/>
        <w:autoSpaceDN/>
        <w:bidi w:val="0"/>
        <w:snapToGrid/>
        <w:spacing w:line="52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四、投标文件的式样和签署</w:t>
      </w:r>
    </w:p>
    <w:p w14:paraId="750FE200">
      <w:pPr>
        <w:pStyle w:val="49"/>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textAlignment w:val="auto"/>
        <w:rPr>
          <w:sz w:val="28"/>
          <w:szCs w:val="28"/>
          <w:highlight w:val="none"/>
        </w:rPr>
      </w:pPr>
      <w:r>
        <w:rPr>
          <w:rFonts w:ascii="仿宋" w:hAnsi="仿宋" w:cs="仿宋"/>
          <w:sz w:val="28"/>
          <w:szCs w:val="28"/>
          <w:highlight w:val="none"/>
        </w:rPr>
        <w:t>1、各供应商应按照给定的式样，</w:t>
      </w:r>
      <w:r>
        <w:rPr>
          <w:rFonts w:ascii="仿宋" w:hAnsi="仿宋" w:cs="仿宋"/>
          <w:color w:val="auto"/>
          <w:sz w:val="28"/>
          <w:szCs w:val="28"/>
          <w:highlight w:val="none"/>
        </w:rPr>
        <w:t>准备</w:t>
      </w:r>
      <w:r>
        <w:rPr>
          <w:rFonts w:hint="eastAsia" w:ascii="仿宋" w:hAnsi="仿宋" w:cs="仿宋"/>
          <w:color w:val="auto"/>
          <w:sz w:val="28"/>
          <w:szCs w:val="28"/>
          <w:highlight w:val="none"/>
          <w:lang w:eastAsia="zh-CN"/>
        </w:rPr>
        <w:t>投标</w:t>
      </w:r>
      <w:r>
        <w:rPr>
          <w:rFonts w:ascii="仿宋" w:hAnsi="仿宋" w:cs="仿宋"/>
          <w:color w:val="auto"/>
          <w:sz w:val="28"/>
          <w:szCs w:val="28"/>
          <w:highlight w:val="none"/>
        </w:rPr>
        <w:t>文件</w:t>
      </w:r>
      <w:r>
        <w:rPr>
          <w:rFonts w:hint="eastAsia" w:ascii="仿宋" w:hAnsi="仿宋" w:cs="仿宋"/>
          <w:color w:val="auto"/>
          <w:sz w:val="28"/>
          <w:szCs w:val="28"/>
          <w:highlight w:val="none"/>
          <w:lang w:eastAsia="zh-CN"/>
        </w:rPr>
        <w:t>。资格标：</w:t>
      </w:r>
      <w:r>
        <w:rPr>
          <w:rFonts w:ascii="仿宋" w:hAnsi="仿宋" w:cs="仿宋"/>
          <w:color w:val="auto"/>
          <w:sz w:val="28"/>
          <w:szCs w:val="28"/>
          <w:highlight w:val="none"/>
        </w:rPr>
        <w:t>正本一份、副本三份</w:t>
      </w:r>
      <w:r>
        <w:rPr>
          <w:rFonts w:hint="eastAsia" w:ascii="仿宋" w:hAnsi="仿宋" w:cs="仿宋"/>
          <w:color w:val="auto"/>
          <w:sz w:val="28"/>
          <w:szCs w:val="28"/>
          <w:highlight w:val="none"/>
          <w:lang w:val="en-US" w:eastAsia="zh-CN"/>
        </w:rPr>
        <w:t>；商务及技术标：</w:t>
      </w:r>
      <w:r>
        <w:rPr>
          <w:rFonts w:ascii="仿宋" w:hAnsi="仿宋" w:cs="仿宋"/>
          <w:color w:val="auto"/>
          <w:sz w:val="28"/>
          <w:szCs w:val="28"/>
          <w:highlight w:val="none"/>
        </w:rPr>
        <w:t>正本一份、副本三份</w:t>
      </w:r>
      <w:r>
        <w:rPr>
          <w:rFonts w:hint="eastAsia" w:ascii="仿宋" w:hAnsi="仿宋" w:cs="仿宋"/>
          <w:color w:val="auto"/>
          <w:sz w:val="28"/>
          <w:szCs w:val="28"/>
          <w:highlight w:val="none"/>
          <w:lang w:eastAsia="zh-CN"/>
        </w:rPr>
        <w:t>；</w:t>
      </w:r>
      <w:r>
        <w:rPr>
          <w:rFonts w:ascii="仿宋" w:hAnsi="仿宋" w:cs="仿宋"/>
          <w:color w:val="auto"/>
          <w:sz w:val="28"/>
          <w:szCs w:val="28"/>
          <w:highlight w:val="none"/>
        </w:rPr>
        <w:t>电子文档一份</w:t>
      </w:r>
      <w:r>
        <w:rPr>
          <w:rFonts w:ascii="仿宋" w:hAnsi="仿宋" w:cs="仿宋"/>
          <w:sz w:val="28"/>
          <w:szCs w:val="28"/>
          <w:highlight w:val="none"/>
        </w:rPr>
        <w:t>，</w:t>
      </w:r>
      <w:r>
        <w:rPr>
          <w:rFonts w:ascii="仿宋" w:hAnsi="仿宋" w:cs="仿宋"/>
          <w:kern w:val="2"/>
          <w:sz w:val="28"/>
          <w:szCs w:val="28"/>
          <w:highlight w:val="none"/>
          <w:lang w:bidi="ar"/>
        </w:rPr>
        <w:t>分别密封，</w:t>
      </w:r>
      <w:r>
        <w:rPr>
          <w:rFonts w:ascii="仿宋" w:hAnsi="仿宋" w:cs="仿宋"/>
          <w:sz w:val="28"/>
          <w:szCs w:val="28"/>
          <w:highlight w:val="none"/>
        </w:rPr>
        <w:t>每套</w:t>
      </w:r>
      <w:r>
        <w:rPr>
          <w:rFonts w:hint="eastAsia" w:ascii="仿宋" w:hAnsi="仿宋" w:cs="仿宋"/>
          <w:sz w:val="28"/>
          <w:szCs w:val="28"/>
          <w:highlight w:val="none"/>
          <w:lang w:eastAsia="zh-CN"/>
        </w:rPr>
        <w:t>投标</w:t>
      </w:r>
      <w:r>
        <w:rPr>
          <w:rFonts w:ascii="仿宋" w:hAnsi="仿宋" w:cs="仿宋"/>
          <w:sz w:val="28"/>
          <w:szCs w:val="28"/>
          <w:highlight w:val="none"/>
        </w:rPr>
        <w:t>文件须清楚地标明“正本”“副本”及“电子文档”。一旦正本和副本不符，以正本为准。</w:t>
      </w:r>
    </w:p>
    <w:p w14:paraId="43E8E738">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2、投标文件的正本和所有的副本均需打印或用不褪色蓝（黑）墨水（汁）书写，统一胶装、编码，在每一页的正下方清楚标明页码。</w:t>
      </w:r>
    </w:p>
    <w:p w14:paraId="07E3499A">
      <w:pPr>
        <w:pStyle w:val="49"/>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仿宋" w:hAnsi="仿宋" w:cs="仿宋"/>
          <w:sz w:val="28"/>
          <w:szCs w:val="28"/>
          <w:highlight w:val="none"/>
        </w:rPr>
      </w:pPr>
      <w:r>
        <w:rPr>
          <w:rFonts w:ascii="仿宋" w:hAnsi="仿宋" w:cs="仿宋"/>
          <w:sz w:val="28"/>
          <w:szCs w:val="28"/>
          <w:highlight w:val="none"/>
        </w:rPr>
        <w:t>3、投标文件必须加盖单位公章、其法定代表人或被授权委托人签字或盖章。</w:t>
      </w:r>
    </w:p>
    <w:p w14:paraId="07381019">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4、投标文件除各供应商对错处做必要修改外，不得行间插字、涂改和增删，如有修改错漏处，必须由供应商法定代表人或被授权委托人签字并加盖单位公章。</w:t>
      </w:r>
    </w:p>
    <w:p w14:paraId="0FD33E66">
      <w:pPr>
        <w:keepNext w:val="0"/>
        <w:keepLines w:val="0"/>
        <w:pageBreakBefore w:val="0"/>
        <w:widowControl w:val="0"/>
        <w:kinsoku/>
        <w:wordWrap/>
        <w:overflowPunct/>
        <w:topLinePunct w:val="0"/>
        <w:autoSpaceDE/>
        <w:autoSpaceDN/>
        <w:bidi w:val="0"/>
        <w:snapToGrid/>
        <w:spacing w:line="520" w:lineRule="exact"/>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五、投标文件的密封及递交</w:t>
      </w:r>
    </w:p>
    <w:p w14:paraId="3BF396EF">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1、投标文件的密封：</w:t>
      </w:r>
    </w:p>
    <w:p w14:paraId="6D40ADA9">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1.1“资格标”正本单独密封，“资格标”副本单独密封，“商务及技术标”正本单独密封，“商务及技术标”副本单独密封，“电子文档”单独密封。</w:t>
      </w:r>
    </w:p>
    <w:p w14:paraId="2150F0D0">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eastAsia="仿宋"/>
          <w:sz w:val="28"/>
          <w:szCs w:val="28"/>
          <w:highlight w:val="none"/>
          <w:lang w:val="en-US" w:eastAsia="zh-CN"/>
        </w:rPr>
      </w:pPr>
      <w:r>
        <w:rPr>
          <w:rFonts w:hint="eastAsia" w:ascii="仿宋" w:hAnsi="仿宋" w:eastAsia="仿宋" w:cs="仿宋"/>
          <w:sz w:val="28"/>
          <w:szCs w:val="28"/>
          <w:highlight w:val="none"/>
        </w:rPr>
        <w:t>1.2在密封袋（箱）封口处加盖单位公章并由法定代表人或被授权委托人签字或盖章；</w:t>
      </w:r>
    </w:p>
    <w:p w14:paraId="3A863E14">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1.3在密封袋（箱）上应标明项目编号、项目名称、供应商全称（并加盖单位公章）、</w:t>
      </w:r>
      <w:r>
        <w:rPr>
          <w:rFonts w:hint="eastAsia" w:ascii="仿宋" w:hAnsi="仿宋" w:eastAsia="仿宋" w:cs="仿宋"/>
          <w:kern w:val="0"/>
          <w:sz w:val="28"/>
          <w:szCs w:val="28"/>
          <w:highlight w:val="none"/>
        </w:rPr>
        <w:t>在</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8月7日14</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0</w:t>
      </w:r>
      <w:r>
        <w:rPr>
          <w:rFonts w:hint="eastAsia" w:ascii="仿宋" w:hAnsi="仿宋" w:eastAsia="仿宋" w:cs="仿宋"/>
          <w:kern w:val="0"/>
          <w:sz w:val="28"/>
          <w:szCs w:val="28"/>
          <w:highlight w:val="none"/>
          <w:lang w:eastAsia="zh-CN"/>
        </w:rPr>
        <w:t>0</w:t>
      </w:r>
      <w:r>
        <w:rPr>
          <w:rFonts w:hint="eastAsia" w:ascii="仿宋" w:hAnsi="仿宋" w:eastAsia="仿宋" w:cs="仿宋"/>
          <w:kern w:val="0"/>
          <w:sz w:val="28"/>
          <w:szCs w:val="28"/>
          <w:highlight w:val="none"/>
        </w:rPr>
        <w:t>前不得开启</w:t>
      </w:r>
      <w:r>
        <w:rPr>
          <w:rFonts w:hint="eastAsia" w:ascii="仿宋" w:hAnsi="仿宋" w:eastAsia="仿宋" w:cs="仿宋"/>
          <w:sz w:val="28"/>
          <w:szCs w:val="28"/>
          <w:highlight w:val="none"/>
        </w:rPr>
        <w:t>等内容；</w:t>
      </w:r>
    </w:p>
    <w:p w14:paraId="76E91112">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1.4如果投标文件未按要求密封，采购代理机构拒绝接收。</w:t>
      </w:r>
    </w:p>
    <w:p w14:paraId="045CB8A5">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sz w:val="28"/>
          <w:szCs w:val="28"/>
          <w:highlight w:val="none"/>
        </w:rPr>
      </w:pPr>
      <w:r>
        <w:rPr>
          <w:rFonts w:hint="eastAsia" w:ascii="仿宋" w:hAnsi="仿宋" w:eastAsia="仿宋" w:cs="仿宋"/>
          <w:sz w:val="28"/>
          <w:szCs w:val="28"/>
          <w:highlight w:val="none"/>
        </w:rPr>
        <w:t>2、投标文件的递交：</w:t>
      </w:r>
    </w:p>
    <w:p w14:paraId="2E787831">
      <w:pPr>
        <w:pStyle w:val="9"/>
        <w:keepNext w:val="0"/>
        <w:keepLines w:val="0"/>
        <w:pageBreakBefore w:val="0"/>
        <w:widowControl w:val="0"/>
        <w:kinsoku/>
        <w:wordWrap/>
        <w:overflowPunct/>
        <w:topLinePunct w:val="0"/>
        <w:autoSpaceDE/>
        <w:autoSpaceDN/>
        <w:bidi w:val="0"/>
        <w:snapToGrid/>
        <w:spacing w:before="0" w:line="520" w:lineRule="exact"/>
        <w:ind w:firstLine="560" w:firstLineChars="200"/>
        <w:textAlignment w:val="auto"/>
        <w:rPr>
          <w:rFonts w:eastAsia="仿宋"/>
          <w:b/>
          <w:bCs/>
          <w:sz w:val="28"/>
          <w:szCs w:val="28"/>
          <w:highlight w:val="none"/>
        </w:rPr>
      </w:pPr>
      <w:r>
        <w:rPr>
          <w:rFonts w:hint="eastAsia" w:ascii="仿宋" w:hAnsi="仿宋" w:eastAsia="仿宋" w:cs="仿宋"/>
          <w:sz w:val="28"/>
          <w:szCs w:val="28"/>
          <w:highlight w:val="none"/>
        </w:rPr>
        <w:t>2.1供应商应将投标文件的正本、副本、电子文档，分别递交，且在封面标明“正本”“副本”“电子文档”字样；</w:t>
      </w:r>
    </w:p>
    <w:p w14:paraId="212A066A">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2.2在投标文件递交截止期后，采购代理机构拒绝接收供应商递交的任何资料和文件；</w:t>
      </w:r>
    </w:p>
    <w:p w14:paraId="34470734">
      <w:pPr>
        <w:pStyle w:val="12"/>
        <w:keepNext w:val="0"/>
        <w:keepLines w:val="0"/>
        <w:pageBreakBefore w:val="0"/>
        <w:widowControl w:val="0"/>
        <w:kinsoku/>
        <w:wordWrap/>
        <w:overflowPunct/>
        <w:topLinePunct w:val="0"/>
        <w:autoSpaceDE/>
        <w:autoSpaceDN/>
        <w:bidi w:val="0"/>
        <w:snapToGrid/>
        <w:spacing w:after="0" w:line="520" w:lineRule="exact"/>
        <w:ind w:firstLine="560" w:firstLineChars="200"/>
        <w:textAlignment w:val="auto"/>
        <w:rPr>
          <w:rFonts w:hint="default"/>
          <w:sz w:val="28"/>
          <w:szCs w:val="28"/>
          <w:highlight w:val="none"/>
        </w:rPr>
      </w:pPr>
      <w:r>
        <w:rPr>
          <w:rFonts w:ascii="仿宋" w:hAnsi="仿宋" w:cs="仿宋"/>
          <w:kern w:val="2"/>
          <w:sz w:val="28"/>
          <w:szCs w:val="28"/>
          <w:highlight w:val="none"/>
        </w:rPr>
        <w:t>2.3供应商在投标截止时间前，可以对所递交的投标文件进行补充、修改或者撤回，并书面通知采购人或者采购代理机构。补充、修改的内容应当按照招标文件要求签署、盖章、密封后，作为投标文件的组成部分；</w:t>
      </w:r>
    </w:p>
    <w:p w14:paraId="1B7ACFBE">
      <w:pPr>
        <w:keepNext w:val="0"/>
        <w:keepLines w:val="0"/>
        <w:pageBreakBefore w:val="0"/>
        <w:kinsoku/>
        <w:wordWrap/>
        <w:overflowPunct/>
        <w:topLinePunct w:val="0"/>
        <w:autoSpaceDE/>
        <w:autoSpaceDN/>
        <w:bidi w:val="0"/>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2.4投标文件递交截止后供应商不得对其投标文件做任何修改；</w:t>
      </w:r>
    </w:p>
    <w:p w14:paraId="55870BB7">
      <w:pPr>
        <w:keepNext w:val="0"/>
        <w:keepLines w:val="0"/>
        <w:pageBreakBefore w:val="0"/>
        <w:kinsoku/>
        <w:wordWrap/>
        <w:overflowPunct/>
        <w:topLinePunct w:val="0"/>
        <w:autoSpaceDE/>
        <w:autoSpaceDN/>
        <w:bidi w:val="0"/>
        <w:snapToGrid/>
        <w:spacing w:line="520" w:lineRule="exact"/>
        <w:ind w:firstLine="560" w:firstLineChars="200"/>
        <w:textAlignment w:val="auto"/>
        <w:rPr>
          <w:highlight w:val="none"/>
        </w:rPr>
      </w:pPr>
      <w:r>
        <w:rPr>
          <w:rFonts w:hint="eastAsia" w:ascii="仿宋" w:hAnsi="仿宋" w:eastAsia="仿宋" w:cs="仿宋"/>
          <w:sz w:val="28"/>
          <w:szCs w:val="28"/>
          <w:highlight w:val="none"/>
        </w:rPr>
        <w:t>2.5在投标文件递交截止期后到投标规定的投标文件有效期满之间的这段时间内，供应商不得撤销其投标文件，否则应按《中华人民共和国政府采购法》的有关规定处罚。</w:t>
      </w:r>
    </w:p>
    <w:bookmarkEnd w:id="142"/>
    <w:bookmarkEnd w:id="143"/>
    <w:p w14:paraId="54DA3379">
      <w:pPr>
        <w:keepNext w:val="0"/>
        <w:keepLines w:val="0"/>
        <w:pageBreakBefore w:val="0"/>
        <w:kinsoku/>
        <w:wordWrap/>
        <w:overflowPunct/>
        <w:topLinePunct w:val="0"/>
        <w:autoSpaceDE/>
        <w:autoSpaceDN/>
        <w:bidi w:val="0"/>
        <w:snapToGrid/>
        <w:spacing w:line="520" w:lineRule="exact"/>
        <w:textAlignment w:val="auto"/>
        <w:rPr>
          <w:rFonts w:ascii="仿宋" w:hAnsi="仿宋" w:eastAsia="仿宋" w:cs="仿宋"/>
          <w:b/>
          <w:bCs/>
          <w:sz w:val="28"/>
          <w:szCs w:val="28"/>
          <w:highlight w:val="none"/>
        </w:rPr>
      </w:pPr>
      <w:bookmarkStart w:id="144" w:name="_Toc15488"/>
      <w:bookmarkStart w:id="145" w:name="_Toc421604334"/>
      <w:bookmarkStart w:id="146" w:name="_Toc26554093"/>
      <w:bookmarkStart w:id="147" w:name="_Toc49090575"/>
      <w:bookmarkStart w:id="148" w:name="_Toc120614281"/>
      <w:bookmarkStart w:id="149" w:name="_Toc479757211"/>
      <w:bookmarkStart w:id="150" w:name="_Toc462564139"/>
      <w:r>
        <w:rPr>
          <w:rFonts w:hint="eastAsia" w:ascii="仿宋" w:hAnsi="仿宋" w:eastAsia="仿宋" w:cs="仿宋"/>
          <w:b/>
          <w:bCs/>
          <w:sz w:val="28"/>
          <w:szCs w:val="28"/>
          <w:highlight w:val="none"/>
        </w:rPr>
        <w:t>六、采购代理机构及评标委员会职能</w:t>
      </w:r>
    </w:p>
    <w:p w14:paraId="3C610AD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1、采购代理机构职能：</w:t>
      </w:r>
    </w:p>
    <w:p w14:paraId="70D094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b/>
          <w:bCs/>
          <w:sz w:val="28"/>
          <w:szCs w:val="28"/>
          <w:highlight w:val="none"/>
        </w:rPr>
      </w:pPr>
      <w:r>
        <w:rPr>
          <w:rFonts w:hint="eastAsia" w:ascii="仿宋" w:hAnsi="仿宋" w:eastAsia="仿宋" w:cs="仿宋"/>
          <w:sz w:val="28"/>
          <w:szCs w:val="28"/>
          <w:highlight w:val="none"/>
        </w:rPr>
        <w:t>1.1采购代理机构组织开标、评审工作，开标整个过程接受采购管理机构的监督和管理，参加投标的供应商、评标委员会、监督机构及采购人须签名报到以证明出席；</w:t>
      </w:r>
    </w:p>
    <w:p w14:paraId="1456A4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1.2为确保招标工作公平、公正，根据《中华人民共和国政府采购法》《中华人民共和国政府采购法实施条例》及相关法律法规的规定成立评标委员会。评标委员会由采购人代表和评审专家组成，成员人数为</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人以上单数，评审专家在政府采购专家库中随机抽取。</w:t>
      </w:r>
    </w:p>
    <w:p w14:paraId="1C08CC5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2、评标委员会的职能：</w:t>
      </w:r>
    </w:p>
    <w:p w14:paraId="23537D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2.1对各供应商就投标文件中（含澄清、说明或补正的内容）</w:t>
      </w:r>
      <w:r>
        <w:rPr>
          <w:rFonts w:hint="eastAsia" w:ascii="仿宋" w:hAnsi="仿宋" w:eastAsia="仿宋" w:cs="仿宋"/>
          <w:color w:val="auto"/>
          <w:sz w:val="28"/>
          <w:szCs w:val="28"/>
          <w:highlight w:val="none"/>
        </w:rPr>
        <w:t>投标报价、商务部分、技术响应、业绩证明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售后服务承诺等进行评审；</w:t>
      </w:r>
    </w:p>
    <w:p w14:paraId="3177C8AB">
      <w:pPr>
        <w:pStyle w:val="12"/>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仿宋" w:hAnsi="仿宋" w:cs="仿宋"/>
          <w:kern w:val="2"/>
          <w:sz w:val="28"/>
          <w:szCs w:val="28"/>
          <w:highlight w:val="none"/>
        </w:rPr>
      </w:pPr>
      <w:r>
        <w:rPr>
          <w:rFonts w:ascii="仿宋" w:hAnsi="仿宋" w:cs="仿宋"/>
          <w:kern w:val="2"/>
          <w:sz w:val="28"/>
          <w:szCs w:val="28"/>
          <w:highlight w:val="none"/>
        </w:rPr>
        <w:t>2.2对于投标文件中含义不明确、同类问题表述不一致或者有明显文字和计算错误的内容，评标委员会应当以书面形式要求投标人作出必要的澄清、说明或者补正；</w:t>
      </w:r>
    </w:p>
    <w:p w14:paraId="5F7A46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2.3依据招标文件的要求和评审标准，确定进入最终评审的供应商；</w:t>
      </w:r>
    </w:p>
    <w:p w14:paraId="51B611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2.4排序推荐中标候选供应商；</w:t>
      </w:r>
    </w:p>
    <w:p w14:paraId="2A44BA2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2.5协商处理开标过程中出现的其他相关问题。</w:t>
      </w:r>
    </w:p>
    <w:p w14:paraId="6905CA5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3、评标委员会成员应当遵守并履行下列义务：</w:t>
      </w:r>
    </w:p>
    <w:p w14:paraId="45E8C2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3.1遵纪守法，客观、公正、廉洁地履行职责，审查投标文件是否符合招标文件的要求，并做出评价；</w:t>
      </w:r>
    </w:p>
    <w:p w14:paraId="35B3D2D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3.2要求供应商对投标文件有关事项作出解释或者澄清；</w:t>
      </w:r>
    </w:p>
    <w:p w14:paraId="3F5104A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3.3按照招标文件的要求和评审办法进行评审，推荐中标候选供应商名单，对评审意见承担个人责任；</w:t>
      </w:r>
    </w:p>
    <w:p w14:paraId="43C07C9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3.4对评审过程和结果以及供应商的商业秘密保密；</w:t>
      </w:r>
    </w:p>
    <w:p w14:paraId="408240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3.5参与评标报告的起草；</w:t>
      </w:r>
    </w:p>
    <w:p w14:paraId="2BBFE3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3.6配合采购代理机构答复供应商提出的质疑；</w:t>
      </w:r>
    </w:p>
    <w:p w14:paraId="24D4B2B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3.7配合财政部门的投诉处理工作。</w:t>
      </w:r>
    </w:p>
    <w:p w14:paraId="650AF78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4、开标时，采购代理机构依据递交投标文件顺序的逆顺序，将各供应商的投标报价及有关内容进行公布。</w:t>
      </w:r>
    </w:p>
    <w:p w14:paraId="04580F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5、开标后，直到与中标供应商签订合同为止，凡与审查、澄清、评价和比较各供应商的有关资料及意见等内容，评标委员会均不得向供应商及与投标无关的其他人透露。</w:t>
      </w:r>
    </w:p>
    <w:p w14:paraId="272B16F9">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七、评审原则及程序</w:t>
      </w:r>
    </w:p>
    <w:p w14:paraId="55B2E65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1、招标评审原则：</w:t>
      </w:r>
    </w:p>
    <w:p w14:paraId="6E330D7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1.1评标委员会遵循“公平、公正、科学、择优”的原则；</w:t>
      </w:r>
    </w:p>
    <w:p w14:paraId="1CBB72D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1.2采用同一程序和标准对供应商进行评审。</w:t>
      </w:r>
    </w:p>
    <w:p w14:paraId="4F204EA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2、投标文件出现下列情况，修正原则为：</w:t>
      </w:r>
    </w:p>
    <w:p w14:paraId="1D794723">
      <w:pPr>
        <w:pStyle w:val="49"/>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default" w:ascii="仿宋" w:hAnsi="仿宋" w:cs="仿宋"/>
          <w:kern w:val="2"/>
          <w:sz w:val="28"/>
          <w:szCs w:val="28"/>
          <w:highlight w:val="none"/>
        </w:rPr>
      </w:pPr>
      <w:r>
        <w:rPr>
          <w:rFonts w:ascii="仿宋" w:hAnsi="仿宋" w:cs="仿宋"/>
          <w:kern w:val="2"/>
          <w:sz w:val="28"/>
          <w:szCs w:val="28"/>
          <w:highlight w:val="none"/>
        </w:rPr>
        <w:t>2.1文字与图表不符以文字为准；</w:t>
      </w:r>
    </w:p>
    <w:p w14:paraId="5896B04B">
      <w:pPr>
        <w:pStyle w:val="49"/>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2.2</w:t>
      </w:r>
      <w:r>
        <w:rPr>
          <w:rFonts w:ascii="仿宋" w:hAnsi="仿宋" w:cs="仿宋"/>
          <w:spacing w:val="-4"/>
          <w:sz w:val="28"/>
          <w:szCs w:val="28"/>
          <w:highlight w:val="none"/>
        </w:rPr>
        <w:t>正本与副本不符以正本为准；</w:t>
      </w:r>
    </w:p>
    <w:p w14:paraId="036C146F">
      <w:pPr>
        <w:pStyle w:val="49"/>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2.3</w:t>
      </w:r>
      <w:r>
        <w:rPr>
          <w:rFonts w:ascii="仿宋" w:hAnsi="仿宋" w:cs="仿宋"/>
          <w:spacing w:val="-4"/>
          <w:sz w:val="28"/>
          <w:szCs w:val="28"/>
          <w:highlight w:val="none"/>
        </w:rPr>
        <w:t>投标文件中报价一览表（报价表）内容与投标文件中相应内容不一致的，以报价一览表（报价表）为准；</w:t>
      </w:r>
    </w:p>
    <w:p w14:paraId="78598BBF">
      <w:pPr>
        <w:pStyle w:val="49"/>
        <w:keepNext w:val="0"/>
        <w:keepLines w:val="0"/>
        <w:pageBreakBefore w:val="0"/>
        <w:kinsoku/>
        <w:wordWrap/>
        <w:overflowPunct/>
        <w:topLinePunct w:val="0"/>
        <w:autoSpaceDE/>
        <w:autoSpaceDN/>
        <w:bidi w:val="0"/>
        <w:adjustRightInd/>
        <w:snapToGrid/>
        <w:spacing w:line="52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2.4</w:t>
      </w:r>
      <w:r>
        <w:rPr>
          <w:rFonts w:ascii="仿宋" w:hAnsi="仿宋" w:cs="仿宋"/>
          <w:spacing w:val="-4"/>
          <w:sz w:val="28"/>
          <w:szCs w:val="28"/>
          <w:highlight w:val="none"/>
        </w:rPr>
        <w:t>大写金额和小写金额不一致的，以大写金额为准；</w:t>
      </w:r>
    </w:p>
    <w:p w14:paraId="7CDE325A">
      <w:pPr>
        <w:pStyle w:val="49"/>
        <w:keepNext w:val="0"/>
        <w:keepLines w:val="0"/>
        <w:pageBreakBefore w:val="0"/>
        <w:kinsoku/>
        <w:wordWrap/>
        <w:overflowPunct/>
        <w:topLinePunct w:val="0"/>
        <w:autoSpaceDE/>
        <w:autoSpaceDN/>
        <w:bidi w:val="0"/>
        <w:adjustRightInd/>
        <w:snapToGrid/>
        <w:spacing w:line="52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2.5</w:t>
      </w:r>
      <w:r>
        <w:rPr>
          <w:rFonts w:ascii="仿宋" w:hAnsi="仿宋" w:cs="仿宋"/>
          <w:spacing w:val="-4"/>
          <w:sz w:val="28"/>
          <w:szCs w:val="28"/>
          <w:highlight w:val="none"/>
        </w:rPr>
        <w:t>单价金额小数点或者百分比有明显错位的，以报价一览表的总价为准，并修改单价；</w:t>
      </w:r>
    </w:p>
    <w:p w14:paraId="11617705">
      <w:pPr>
        <w:pStyle w:val="49"/>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default" w:ascii="仿宋" w:hAnsi="仿宋" w:cs="仿宋"/>
          <w:spacing w:val="-4"/>
          <w:sz w:val="28"/>
          <w:szCs w:val="28"/>
          <w:highlight w:val="none"/>
        </w:rPr>
      </w:pPr>
      <w:r>
        <w:rPr>
          <w:rFonts w:ascii="仿宋" w:hAnsi="仿宋" w:cs="仿宋"/>
          <w:kern w:val="2"/>
          <w:sz w:val="28"/>
          <w:szCs w:val="28"/>
          <w:highlight w:val="none"/>
        </w:rPr>
        <w:t>2.6</w:t>
      </w:r>
      <w:r>
        <w:rPr>
          <w:rFonts w:ascii="仿宋" w:hAnsi="仿宋" w:cs="仿宋"/>
          <w:spacing w:val="-4"/>
          <w:sz w:val="28"/>
          <w:szCs w:val="28"/>
          <w:highlight w:val="none"/>
        </w:rPr>
        <w:t>总价金额与按单价汇总金额不一致的，以单价金额计算结果为准。</w:t>
      </w:r>
    </w:p>
    <w:p w14:paraId="7B73CD4E">
      <w:pPr>
        <w:pStyle w:val="49"/>
        <w:keepNext w:val="0"/>
        <w:keepLines w:val="0"/>
        <w:pageBreakBefore w:val="0"/>
        <w:widowControl/>
        <w:kinsoku/>
        <w:wordWrap/>
        <w:overflowPunct/>
        <w:topLinePunct w:val="0"/>
        <w:autoSpaceDE/>
        <w:autoSpaceDN/>
        <w:bidi w:val="0"/>
        <w:adjustRightInd/>
        <w:snapToGrid/>
        <w:spacing w:line="520" w:lineRule="exact"/>
        <w:ind w:firstLine="544"/>
        <w:textAlignment w:val="auto"/>
        <w:rPr>
          <w:rFonts w:hint="default" w:ascii="仿宋" w:hAnsi="仿宋" w:cs="仿宋"/>
          <w:spacing w:val="-4"/>
          <w:sz w:val="28"/>
          <w:szCs w:val="28"/>
          <w:highlight w:val="none"/>
        </w:rPr>
      </w:pPr>
      <w:r>
        <w:rPr>
          <w:rFonts w:ascii="仿宋" w:hAnsi="仿宋" w:cs="仿宋"/>
          <w:spacing w:val="-4"/>
          <w:sz w:val="28"/>
          <w:szCs w:val="28"/>
          <w:highlight w:val="none"/>
        </w:rPr>
        <w:t>同时出现两种以上不一致的，按照前款规定的顺序修正。修正后的报价经供应商确认后产生约束力，供应商不确认的，其投标无效。</w:t>
      </w:r>
    </w:p>
    <w:p w14:paraId="08B8762D">
      <w:pPr>
        <w:keepNext w:val="0"/>
        <w:keepLines w:val="0"/>
        <w:pageBreakBefore w:val="0"/>
        <w:kinsoku/>
        <w:wordWrap/>
        <w:overflowPunct/>
        <w:topLinePunct w:val="0"/>
        <w:autoSpaceDE/>
        <w:autoSpaceDN/>
        <w:bidi w:val="0"/>
        <w:adjustRightInd/>
        <w:snapToGrid/>
        <w:spacing w:line="520" w:lineRule="exact"/>
        <w:ind w:firstLine="544" w:firstLineChars="200"/>
        <w:textAlignment w:val="auto"/>
        <w:rPr>
          <w:rFonts w:ascii="仿宋" w:hAnsi="仿宋" w:eastAsia="仿宋" w:cs="仿宋"/>
          <w:spacing w:val="-4"/>
          <w:sz w:val="28"/>
          <w:szCs w:val="28"/>
          <w:highlight w:val="none"/>
        </w:rPr>
      </w:pPr>
      <w:r>
        <w:rPr>
          <w:rFonts w:hint="eastAsia" w:ascii="仿宋" w:hAnsi="仿宋" w:eastAsia="仿宋" w:cs="仿宋"/>
          <w:spacing w:val="-4"/>
          <w:sz w:val="28"/>
          <w:szCs w:val="28"/>
          <w:highlight w:val="none"/>
        </w:rPr>
        <w:t>3、开标程序：</w:t>
      </w:r>
    </w:p>
    <w:p w14:paraId="15499A9D">
      <w:pPr>
        <w:keepNext w:val="0"/>
        <w:keepLines w:val="0"/>
        <w:pageBreakBefore w:val="0"/>
        <w:kinsoku/>
        <w:wordWrap/>
        <w:overflowPunct/>
        <w:topLinePunct w:val="0"/>
        <w:autoSpaceDE/>
        <w:autoSpaceDN/>
        <w:bidi w:val="0"/>
        <w:adjustRightInd/>
        <w:snapToGrid/>
        <w:spacing w:line="52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开标的全过程分为：投标文件密封查验、公布投标报价、供应商资格审查、投标文件符合性审查、评审过程、评审专家评审结论等阶段。</w:t>
      </w:r>
    </w:p>
    <w:p w14:paraId="51D75C70">
      <w:pPr>
        <w:keepNext w:val="0"/>
        <w:keepLines w:val="0"/>
        <w:pageBreakBefore w:val="0"/>
        <w:kinsoku/>
        <w:wordWrap/>
        <w:overflowPunct/>
        <w:topLinePunct w:val="0"/>
        <w:autoSpaceDE/>
        <w:autoSpaceDN/>
        <w:bidi w:val="0"/>
        <w:adjustRightInd/>
        <w:snapToGrid/>
        <w:spacing w:line="52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3.1投标文件密封查验：由供应商对投标文件密封情况进行查验；</w:t>
      </w:r>
    </w:p>
    <w:p w14:paraId="19020569">
      <w:pPr>
        <w:keepNext w:val="0"/>
        <w:keepLines w:val="0"/>
        <w:pageBreakBefore w:val="0"/>
        <w:kinsoku/>
        <w:wordWrap/>
        <w:overflowPunct/>
        <w:topLinePunct w:val="0"/>
        <w:autoSpaceDE/>
        <w:autoSpaceDN/>
        <w:bidi w:val="0"/>
        <w:adjustRightInd/>
        <w:snapToGrid/>
        <w:spacing w:line="52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3.2公布投标报价：将各参加投标供应商的投标文件中的报价、</w:t>
      </w:r>
      <w:r>
        <w:rPr>
          <w:rFonts w:hint="eastAsia" w:ascii="仿宋" w:hAnsi="仿宋" w:eastAsia="仿宋" w:cs="仿宋"/>
          <w:spacing w:val="-4"/>
          <w:sz w:val="28"/>
          <w:szCs w:val="28"/>
          <w:highlight w:val="none"/>
          <w:lang w:eastAsia="zh-CN"/>
        </w:rPr>
        <w:t>服务期限</w:t>
      </w:r>
      <w:r>
        <w:rPr>
          <w:rFonts w:hint="eastAsia" w:ascii="仿宋" w:hAnsi="仿宋" w:eastAsia="仿宋" w:cs="仿宋"/>
          <w:spacing w:val="-4"/>
          <w:sz w:val="28"/>
          <w:szCs w:val="28"/>
          <w:highlight w:val="none"/>
        </w:rPr>
        <w:t>、质量等内容以公开宣读的形式予以公布；</w:t>
      </w:r>
    </w:p>
    <w:p w14:paraId="6A0D0EDA">
      <w:pPr>
        <w:keepNext w:val="0"/>
        <w:keepLines w:val="0"/>
        <w:pageBreakBefore w:val="0"/>
        <w:kinsoku/>
        <w:wordWrap/>
        <w:overflowPunct/>
        <w:topLinePunct w:val="0"/>
        <w:autoSpaceDE/>
        <w:autoSpaceDN/>
        <w:bidi w:val="0"/>
        <w:adjustRightInd/>
        <w:snapToGrid/>
        <w:spacing w:line="52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3.3供应商资格审查：由采购人对供应商资格进行审查；</w:t>
      </w:r>
    </w:p>
    <w:p w14:paraId="5623A626">
      <w:pPr>
        <w:keepNext w:val="0"/>
        <w:keepLines w:val="0"/>
        <w:pageBreakBefore w:val="0"/>
        <w:kinsoku/>
        <w:wordWrap/>
        <w:overflowPunct/>
        <w:topLinePunct w:val="0"/>
        <w:autoSpaceDE/>
        <w:autoSpaceDN/>
        <w:bidi w:val="0"/>
        <w:adjustRightInd/>
        <w:snapToGrid/>
        <w:spacing w:line="520" w:lineRule="exact"/>
        <w:ind w:firstLine="544"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3.4投标文件符合性审查：由评标委员会对资格审查合格供应商的投标文件进行符合性审查。凡未通过符合性审查的投标文件即作为无效文件，不得进入后续评审工作。</w:t>
      </w:r>
    </w:p>
    <w:p w14:paraId="32892582">
      <w:pPr>
        <w:keepNext w:val="0"/>
        <w:keepLines w:val="0"/>
        <w:pageBreakBefore w:val="0"/>
        <w:widowControl w:val="0"/>
        <w:kinsoku/>
        <w:wordWrap/>
        <w:overflowPunct/>
        <w:topLinePunct w:val="0"/>
        <w:autoSpaceDE/>
        <w:autoSpaceDN/>
        <w:bidi w:val="0"/>
        <w:adjustRightInd/>
        <w:snapToGrid/>
        <w:spacing w:line="520" w:lineRule="exact"/>
        <w:ind w:firstLine="544" w:firstLineChars="200"/>
        <w:textAlignment w:val="auto"/>
        <w:rPr>
          <w:rFonts w:ascii="仿宋" w:hAnsi="仿宋" w:eastAsia="仿宋" w:cs="仿宋"/>
          <w:sz w:val="28"/>
          <w:szCs w:val="28"/>
          <w:highlight w:val="none"/>
        </w:rPr>
      </w:pPr>
      <w:r>
        <w:rPr>
          <w:rFonts w:hint="eastAsia" w:ascii="仿宋" w:hAnsi="仿宋" w:eastAsia="仿宋" w:cs="仿宋"/>
          <w:spacing w:val="-4"/>
          <w:sz w:val="28"/>
          <w:szCs w:val="28"/>
          <w:highlight w:val="none"/>
        </w:rPr>
        <w:t>3.5评审过程：评标委员会在符合性评审的基础上对各供应商的投标文件认真阅读，并对采购内容、商务报价、</w:t>
      </w:r>
      <w:r>
        <w:rPr>
          <w:rFonts w:hint="eastAsia" w:ascii="仿宋" w:hAnsi="仿宋" w:eastAsia="仿宋" w:cs="仿宋"/>
          <w:spacing w:val="-4"/>
          <w:sz w:val="28"/>
          <w:szCs w:val="28"/>
          <w:highlight w:val="none"/>
          <w:lang w:eastAsia="zh-CN"/>
        </w:rPr>
        <w:t>服务</w:t>
      </w:r>
      <w:r>
        <w:rPr>
          <w:rFonts w:hint="eastAsia" w:ascii="仿宋" w:hAnsi="仿宋" w:eastAsia="仿宋" w:cs="仿宋"/>
          <w:spacing w:val="-4"/>
          <w:sz w:val="28"/>
          <w:szCs w:val="28"/>
          <w:highlight w:val="none"/>
        </w:rPr>
        <w:t>性能等内容进行详细的评审。各供应商应评标委员会的要求对投标文件中的技术、商务价格、服务等内容按要求进行补充、完善、澄清、承诺，但补充完善的内容必须在其被授权范围内。评标委员会以补充、完善后的内容作为评审的依据。</w:t>
      </w:r>
    </w:p>
    <w:p w14:paraId="4BFA5D7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八、</w:t>
      </w:r>
      <w:r>
        <w:rPr>
          <w:rFonts w:hint="eastAsia" w:ascii="仿宋" w:hAnsi="仿宋" w:eastAsia="仿宋" w:cs="仿宋"/>
          <w:b/>
          <w:bCs/>
          <w:sz w:val="28"/>
          <w:szCs w:val="28"/>
          <w:highlight w:val="none"/>
        </w:rPr>
        <w:t>评标须知</w:t>
      </w:r>
    </w:p>
    <w:p w14:paraId="35B07C4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有下列情形之一的，视为供应商串通投标，其投标无效：</w:t>
      </w:r>
    </w:p>
    <w:p w14:paraId="37AFD4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不同供应商的投标文件由同一单位或者个人编制；</w:t>
      </w:r>
    </w:p>
    <w:p w14:paraId="2122467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不同供应商委托同一单位或者个人办理投标事宜；</w:t>
      </w:r>
    </w:p>
    <w:p w14:paraId="5E56E41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不同供应商的投标文件载明的项目管理成员或者联系人员为同一人；</w:t>
      </w:r>
    </w:p>
    <w:p w14:paraId="11285E9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不同供应商的投标文件异常一致或者投标报价呈规律性差异；</w:t>
      </w:r>
    </w:p>
    <w:p w14:paraId="461CF31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不同供应商的投标文件相互混装。</w:t>
      </w:r>
    </w:p>
    <w:p w14:paraId="3788715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评标委员会认为供应商的报价明显低于其他通过符合性审查供应商的报价，有可能影响</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质量或者不能诚信履约的，应当要求其在评标现场合理的时间内提供书面说明，必要时提交相关证明材料；供应商不能证明其报价合理性的，评标委员会应当将其作为无效投标处理。</w:t>
      </w:r>
    </w:p>
    <w:p w14:paraId="1B14A84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评标委员会对投标文件中的内容有疑问的部分，可以向供应商质询并要求该供应商做出书面澄清，但不得对投标文件做实质性修改，质询工作应当由全体评标委员会成员参加。对于实质性不符合招标文件的，评标委员会有权予以拒绝。质询工作应做书面记录，采购人代表、评标委员会成员及供应商应在记录上签字确认；</w:t>
      </w:r>
    </w:p>
    <w:p w14:paraId="6EE4C1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评标委员会按照评分标准进行独立记名评分，其合计即为该供应商的综合得分，并汇总排序，选定得分最高者为第一中标候选人。</w:t>
      </w:r>
    </w:p>
    <w:p w14:paraId="218802CD">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rPr>
        <w:t>、评审办法及内容</w:t>
      </w:r>
    </w:p>
    <w:p w14:paraId="1BB863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坚持公平、公正、科学、择优、合理低价、禁止不正当竞争。</w:t>
      </w:r>
    </w:p>
    <w:p w14:paraId="74143CA6">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cs="仿宋"/>
          <w:b/>
          <w:bCs/>
          <w:sz w:val="28"/>
          <w:szCs w:val="28"/>
          <w:highlight w:val="none"/>
          <w:lang w:val="en-US" w:eastAsia="zh-CN" w:bidi="ar"/>
        </w:rPr>
        <w:t>1、</w:t>
      </w:r>
      <w:r>
        <w:rPr>
          <w:rFonts w:hint="eastAsia" w:ascii="仿宋" w:hAnsi="仿宋" w:eastAsia="仿宋" w:cs="仿宋"/>
          <w:b/>
          <w:bCs/>
          <w:sz w:val="28"/>
          <w:szCs w:val="28"/>
          <w:highlight w:val="none"/>
          <w:lang w:bidi="ar"/>
        </w:rPr>
        <w:t>资格标审查</w:t>
      </w:r>
    </w:p>
    <w:tbl>
      <w:tblPr>
        <w:tblStyle w:val="31"/>
        <w:tblW w:w="956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426"/>
        <w:gridCol w:w="6223"/>
      </w:tblGrid>
      <w:tr w14:paraId="5DF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9" w:type="dxa"/>
            <w:tcBorders>
              <w:top w:val="single" w:color="auto" w:sz="4" w:space="0"/>
            </w:tcBorders>
            <w:noWrap w:val="0"/>
            <w:vAlign w:val="center"/>
          </w:tcPr>
          <w:p w14:paraId="680EDA44">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序号</w:t>
            </w:r>
          </w:p>
        </w:tc>
        <w:tc>
          <w:tcPr>
            <w:tcW w:w="2426" w:type="dxa"/>
            <w:tcBorders>
              <w:top w:val="single" w:color="auto" w:sz="4" w:space="0"/>
            </w:tcBorders>
            <w:noWrap w:val="0"/>
            <w:vAlign w:val="center"/>
          </w:tcPr>
          <w:p w14:paraId="08F30C0C">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rPr>
              <w:t>审查内容</w:t>
            </w:r>
          </w:p>
        </w:tc>
        <w:tc>
          <w:tcPr>
            <w:tcW w:w="6223" w:type="dxa"/>
            <w:tcBorders>
              <w:top w:val="single" w:color="auto" w:sz="4" w:space="0"/>
            </w:tcBorders>
            <w:noWrap w:val="0"/>
            <w:vAlign w:val="center"/>
          </w:tcPr>
          <w:p w14:paraId="6AA64B4C">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合格条件</w:t>
            </w:r>
          </w:p>
        </w:tc>
      </w:tr>
      <w:tr w14:paraId="6DF8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9" w:type="dxa"/>
            <w:noWrap w:val="0"/>
            <w:vAlign w:val="center"/>
          </w:tcPr>
          <w:p w14:paraId="3F0179EA">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w:t>
            </w:r>
          </w:p>
        </w:tc>
        <w:tc>
          <w:tcPr>
            <w:tcW w:w="2426" w:type="dxa"/>
            <w:noWrap w:val="0"/>
            <w:vAlign w:val="center"/>
          </w:tcPr>
          <w:p w14:paraId="3241D63E">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具有独立承担民事责任的能力</w:t>
            </w:r>
          </w:p>
        </w:tc>
        <w:tc>
          <w:tcPr>
            <w:tcW w:w="6223" w:type="dxa"/>
            <w:noWrap w:val="0"/>
            <w:vAlign w:val="center"/>
          </w:tcPr>
          <w:p w14:paraId="5B850BDE">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kern w:val="0"/>
                <w:sz w:val="28"/>
                <w:szCs w:val="28"/>
                <w:highlight w:val="none"/>
                <w:lang w:eastAsia="zh-CN"/>
              </w:rPr>
              <w:t>供应商应具有独立承担民事责任的能力且具备向采购人提供相关服务的企业法人、事业法人、其他组织或者自然人,企业法人应提供统一社会信用代码的营业执照；事业法人应提供统一社会信用代码的事业单位法人证；其他组织应提供合法证明文件；自然人提供身份证明文件</w:t>
            </w:r>
          </w:p>
        </w:tc>
      </w:tr>
      <w:tr w14:paraId="7C52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19" w:type="dxa"/>
            <w:noWrap w:val="0"/>
            <w:vAlign w:val="center"/>
          </w:tcPr>
          <w:p w14:paraId="408F085B">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p>
        </w:tc>
        <w:tc>
          <w:tcPr>
            <w:tcW w:w="2426" w:type="dxa"/>
            <w:noWrap w:val="0"/>
            <w:vAlign w:val="center"/>
          </w:tcPr>
          <w:p w14:paraId="3A8134E8">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供应商授权合法的人员参加投标全过程</w:t>
            </w:r>
          </w:p>
        </w:tc>
        <w:tc>
          <w:tcPr>
            <w:tcW w:w="6223" w:type="dxa"/>
            <w:noWrap w:val="0"/>
            <w:vAlign w:val="center"/>
          </w:tcPr>
          <w:p w14:paraId="714AE37F">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tc>
      </w:tr>
      <w:tr w14:paraId="18F2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19" w:type="dxa"/>
            <w:noWrap w:val="0"/>
            <w:vAlign w:val="center"/>
          </w:tcPr>
          <w:p w14:paraId="18220A9D">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w:t>
            </w:r>
          </w:p>
        </w:tc>
        <w:tc>
          <w:tcPr>
            <w:tcW w:w="2426" w:type="dxa"/>
            <w:noWrap w:val="0"/>
            <w:vAlign w:val="center"/>
          </w:tcPr>
          <w:p w14:paraId="6E98B948">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具有良好的商业信誉和健全的财务会计制度</w:t>
            </w:r>
          </w:p>
        </w:tc>
        <w:tc>
          <w:tcPr>
            <w:tcW w:w="6223" w:type="dxa"/>
            <w:noWrap w:val="0"/>
            <w:vAlign w:val="center"/>
          </w:tcPr>
          <w:p w14:paraId="16179D79">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color w:val="auto"/>
                <w:sz w:val="28"/>
                <w:szCs w:val="28"/>
                <w:highlight w:val="none"/>
                <w:lang w:eastAsia="zh-CN"/>
              </w:rPr>
              <w:t>提供202</w:t>
            </w:r>
            <w:r>
              <w:rPr>
                <w:rFonts w:hint="eastAsia" w:ascii="仿宋" w:hAnsi="仿宋" w:eastAsia="仿宋" w:cs="仿宋"/>
                <w:color w:val="auto"/>
                <w:sz w:val="28"/>
                <w:szCs w:val="28"/>
                <w:highlight w:val="none"/>
                <w:lang w:val="en-US" w:eastAsia="zh-CN"/>
              </w:rPr>
              <w:t>3或2024</w:t>
            </w:r>
            <w:r>
              <w:rPr>
                <w:rFonts w:hint="eastAsia" w:ascii="仿宋" w:hAnsi="仿宋" w:eastAsia="仿宋" w:cs="仿宋"/>
                <w:color w:val="auto"/>
                <w:sz w:val="28"/>
                <w:szCs w:val="28"/>
                <w:highlight w:val="none"/>
                <w:lang w:eastAsia="zh-CN"/>
              </w:rPr>
              <w:t>年度</w:t>
            </w:r>
            <w:r>
              <w:rPr>
                <w:rFonts w:hint="eastAsia" w:ascii="仿宋" w:hAnsi="仿宋" w:eastAsia="仿宋" w:cs="仿宋"/>
                <w:color w:val="auto"/>
                <w:sz w:val="28"/>
                <w:szCs w:val="28"/>
                <w:highlight w:val="none"/>
              </w:rPr>
              <w:t>经审计的财务报告或开标前六个月内其基本账户银行出具的资信证明或财政部门认可的政府采购专业担保机构出具的担保函</w:t>
            </w:r>
          </w:p>
        </w:tc>
      </w:tr>
      <w:tr w14:paraId="6908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noWrap w:val="0"/>
            <w:vAlign w:val="center"/>
          </w:tcPr>
          <w:p w14:paraId="0DEB6E08">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4</w:t>
            </w:r>
          </w:p>
        </w:tc>
        <w:tc>
          <w:tcPr>
            <w:tcW w:w="2426" w:type="dxa"/>
            <w:noWrap w:val="0"/>
            <w:vAlign w:val="center"/>
          </w:tcPr>
          <w:p w14:paraId="03F59A97">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rPr>
              <w:t>有依法缴纳税收和社会保障资金的良好记录</w:t>
            </w:r>
          </w:p>
        </w:tc>
        <w:tc>
          <w:tcPr>
            <w:tcW w:w="6223" w:type="dxa"/>
            <w:noWrap w:val="0"/>
            <w:vAlign w:val="center"/>
          </w:tcPr>
          <w:p w14:paraId="01E0EFCE">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color w:val="auto"/>
                <w:sz w:val="28"/>
                <w:szCs w:val="28"/>
                <w:highlight w:val="none"/>
                <w:lang w:eastAsia="zh-CN"/>
              </w:rPr>
              <w:t>提供202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月以来任意3个月依法缴纳税收和社会保险的相关证明材料；</w:t>
            </w:r>
            <w:r>
              <w:rPr>
                <w:rFonts w:hint="eastAsia" w:ascii="仿宋" w:hAnsi="仿宋" w:eastAsia="仿宋" w:cs="仿宋"/>
                <w:color w:val="auto"/>
                <w:sz w:val="28"/>
                <w:szCs w:val="28"/>
                <w:highlight w:val="none"/>
              </w:rPr>
              <w:t>注：依法免税或不需要缴纳社会保险的供应商提供相关部门出具的证明文件</w:t>
            </w:r>
          </w:p>
        </w:tc>
      </w:tr>
      <w:tr w14:paraId="0AAD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19" w:type="dxa"/>
            <w:noWrap w:val="0"/>
            <w:vAlign w:val="center"/>
          </w:tcPr>
          <w:p w14:paraId="17E388A7">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5</w:t>
            </w:r>
          </w:p>
        </w:tc>
        <w:tc>
          <w:tcPr>
            <w:tcW w:w="2426" w:type="dxa"/>
            <w:noWrap w:val="0"/>
            <w:vAlign w:val="center"/>
          </w:tcPr>
          <w:p w14:paraId="301A8015">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sz w:val="28"/>
                <w:szCs w:val="28"/>
                <w:highlight w:val="none"/>
              </w:rPr>
              <w:t>具有履行合同所必需的设备和专业技术能力</w:t>
            </w:r>
          </w:p>
        </w:tc>
        <w:tc>
          <w:tcPr>
            <w:tcW w:w="6223" w:type="dxa"/>
            <w:noWrap w:val="0"/>
            <w:vAlign w:val="center"/>
          </w:tcPr>
          <w:p w14:paraId="5ABDEC2D">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sz w:val="28"/>
                <w:szCs w:val="28"/>
                <w:highlight w:val="none"/>
              </w:rPr>
              <w:t>提供具有履行合同所必需的设备和专业技术能力的承诺</w:t>
            </w:r>
          </w:p>
        </w:tc>
      </w:tr>
      <w:tr w14:paraId="5F27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9" w:type="dxa"/>
            <w:noWrap w:val="0"/>
            <w:vAlign w:val="center"/>
          </w:tcPr>
          <w:p w14:paraId="3B3026EB">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6</w:t>
            </w:r>
          </w:p>
        </w:tc>
        <w:tc>
          <w:tcPr>
            <w:tcW w:w="2426" w:type="dxa"/>
            <w:noWrap w:val="0"/>
            <w:vAlign w:val="center"/>
          </w:tcPr>
          <w:p w14:paraId="6E3D4C5A">
            <w:pPr>
              <w:keepNext w:val="0"/>
              <w:keepLines w:val="0"/>
              <w:pageBreakBefore w:val="0"/>
              <w:widowControl w:val="0"/>
              <w:kinsoku/>
              <w:overflowPunct/>
              <w:topLinePunct w:val="0"/>
              <w:autoSpaceDE/>
              <w:autoSpaceDN/>
              <w:bidi w:val="0"/>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参加政府采购活动前三年内</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在经营活动中没有重大违法记录</w:t>
            </w:r>
          </w:p>
        </w:tc>
        <w:tc>
          <w:tcPr>
            <w:tcW w:w="6223" w:type="dxa"/>
            <w:noWrap w:val="0"/>
            <w:vAlign w:val="center"/>
          </w:tcPr>
          <w:p w14:paraId="2EACB464">
            <w:pPr>
              <w:keepNext w:val="0"/>
              <w:keepLines w:val="0"/>
              <w:pageBreakBefore w:val="0"/>
              <w:widowControl w:val="0"/>
              <w:kinsoku/>
              <w:overflowPunct/>
              <w:topLinePunct w:val="0"/>
              <w:autoSpaceDE/>
              <w:autoSpaceDN/>
              <w:bidi w:val="0"/>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提供参加政府采购活动前3年内在经营活动中没有重大违法记录的书面声明</w:t>
            </w:r>
          </w:p>
        </w:tc>
      </w:tr>
      <w:tr w14:paraId="48B2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9" w:type="dxa"/>
            <w:noWrap w:val="0"/>
            <w:vAlign w:val="center"/>
          </w:tcPr>
          <w:p w14:paraId="749A2C33">
            <w:pPr>
              <w:keepNext w:val="0"/>
              <w:keepLines w:val="0"/>
              <w:pageBreakBefore w:val="0"/>
              <w:widowControl w:val="0"/>
              <w:kinsoku/>
              <w:overflowPunct/>
              <w:topLinePunct w:val="0"/>
              <w:autoSpaceDE/>
              <w:autoSpaceDN/>
              <w:bidi w:val="0"/>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7</w:t>
            </w:r>
          </w:p>
        </w:tc>
        <w:tc>
          <w:tcPr>
            <w:tcW w:w="2426" w:type="dxa"/>
            <w:noWrap w:val="0"/>
            <w:vAlign w:val="center"/>
          </w:tcPr>
          <w:p w14:paraId="5D99CA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投标承诺</w:t>
            </w:r>
          </w:p>
        </w:tc>
        <w:tc>
          <w:tcPr>
            <w:tcW w:w="6223" w:type="dxa"/>
            <w:noWrap w:val="0"/>
            <w:vAlign w:val="center"/>
          </w:tcPr>
          <w:p w14:paraId="38676DE6">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tc>
      </w:tr>
    </w:tbl>
    <w:p w14:paraId="1DE57DB9">
      <w:pPr>
        <w:keepNext w:val="0"/>
        <w:keepLines w:val="0"/>
        <w:pageBreakBefore w:val="0"/>
        <w:widowControl w:val="0"/>
        <w:kinsoku/>
        <w:overflowPunct/>
        <w:topLinePunct w:val="0"/>
        <w:autoSpaceDE/>
        <w:autoSpaceDN/>
        <w:bidi w:val="0"/>
        <w:snapToGrid/>
        <w:spacing w:line="50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lang w:val="en-US" w:eastAsia="zh-CN"/>
        </w:rPr>
        <w:t>供应商对资格证明文件的真实性、合法性承担法律责任；</w:t>
      </w:r>
    </w:p>
    <w:p w14:paraId="44E9A98E">
      <w:pPr>
        <w:keepNext w:val="0"/>
        <w:keepLines w:val="0"/>
        <w:pageBreakBefore w:val="0"/>
        <w:widowControl w:val="0"/>
        <w:kinsoku/>
        <w:overflowPunct/>
        <w:topLinePunct w:val="0"/>
        <w:autoSpaceDE/>
        <w:autoSpaceDN/>
        <w:bidi w:val="0"/>
        <w:snapToGrid/>
        <w:spacing w:line="500" w:lineRule="exact"/>
        <w:jc w:val="both"/>
        <w:textAlignment w:val="auto"/>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由采购人对上述资料进行审查，以上内容有一项不符合要求，则投标文件的资格标审查为不合格，投标文件无效，无资格进入后续评审阶段。</w:t>
      </w:r>
    </w:p>
    <w:p w14:paraId="75D6835B">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14:paraId="65F3E5FF">
      <w:pPr>
        <w:numPr>
          <w:ilvl w:val="0"/>
          <w:numId w:val="0"/>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2、符合性审查</w:t>
      </w:r>
    </w:p>
    <w:tbl>
      <w:tblPr>
        <w:tblStyle w:val="31"/>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6146"/>
        <w:gridCol w:w="2773"/>
      </w:tblGrid>
      <w:tr w14:paraId="528B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1015" w:type="dxa"/>
            <w:vAlign w:val="center"/>
          </w:tcPr>
          <w:p w14:paraId="02FDC549">
            <w:pPr>
              <w:adjustRightInd w:val="0"/>
              <w:snapToGrid w:val="0"/>
              <w:spacing w:line="54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6146" w:type="dxa"/>
            <w:vAlign w:val="center"/>
          </w:tcPr>
          <w:p w14:paraId="7D25DE84">
            <w:pPr>
              <w:adjustRightInd w:val="0"/>
              <w:snapToGrid w:val="0"/>
              <w:spacing w:line="540" w:lineRule="exact"/>
              <w:ind w:firstLine="281" w:firstLineChars="10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审查内容</w:t>
            </w:r>
          </w:p>
        </w:tc>
        <w:tc>
          <w:tcPr>
            <w:tcW w:w="2773" w:type="dxa"/>
            <w:vAlign w:val="center"/>
          </w:tcPr>
          <w:p w14:paraId="2E6379BB">
            <w:pPr>
              <w:adjustRightInd w:val="0"/>
              <w:snapToGrid w:val="0"/>
              <w:spacing w:line="540" w:lineRule="exact"/>
              <w:ind w:firstLine="281" w:firstLineChars="10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合格条件</w:t>
            </w:r>
          </w:p>
        </w:tc>
      </w:tr>
      <w:tr w14:paraId="58DE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15" w:type="dxa"/>
            <w:vAlign w:val="center"/>
          </w:tcPr>
          <w:p w14:paraId="79EEBEB9">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6146" w:type="dxa"/>
            <w:vAlign w:val="center"/>
          </w:tcPr>
          <w:p w14:paraId="370C3C2B">
            <w:pPr>
              <w:adjustRightInd w:val="0"/>
              <w:snapToGrid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投标文件、投标响应函未加盖单位公章、未经</w:t>
            </w:r>
            <w:r>
              <w:rPr>
                <w:rFonts w:hint="eastAsia" w:ascii="仿宋" w:hAnsi="仿宋" w:eastAsia="仿宋" w:cs="仿宋"/>
                <w:color w:val="auto"/>
                <w:sz w:val="28"/>
                <w:szCs w:val="28"/>
                <w:highlight w:val="none"/>
                <w:lang w:eastAsia="zh-CN"/>
              </w:rPr>
              <w:t>法定代表人</w:t>
            </w:r>
            <w:r>
              <w:rPr>
                <w:rFonts w:hint="eastAsia" w:ascii="仿宋" w:hAnsi="仿宋" w:eastAsia="仿宋" w:cs="仿宋"/>
                <w:color w:val="auto"/>
                <w:sz w:val="28"/>
                <w:szCs w:val="28"/>
                <w:highlight w:val="none"/>
              </w:rPr>
              <w:t>或被授权委托人签字或盖章的</w:t>
            </w:r>
          </w:p>
        </w:tc>
        <w:tc>
          <w:tcPr>
            <w:tcW w:w="2773" w:type="dxa"/>
            <w:vAlign w:val="center"/>
          </w:tcPr>
          <w:p w14:paraId="4266CC03">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符合招标文件要求</w:t>
            </w:r>
          </w:p>
        </w:tc>
      </w:tr>
      <w:tr w14:paraId="0C0D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14:paraId="1138923E">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6146" w:type="dxa"/>
            <w:vAlign w:val="center"/>
          </w:tcPr>
          <w:p w14:paraId="620BAD2F">
            <w:pPr>
              <w:adjustRightInd w:val="0"/>
              <w:snapToGrid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投标文件无投标有效期或有效期达不到招标文件的要求</w:t>
            </w:r>
          </w:p>
        </w:tc>
        <w:tc>
          <w:tcPr>
            <w:tcW w:w="2773" w:type="dxa"/>
            <w:vAlign w:val="center"/>
          </w:tcPr>
          <w:p w14:paraId="01DCFBD4">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符合招标文件要求</w:t>
            </w:r>
          </w:p>
        </w:tc>
      </w:tr>
      <w:tr w14:paraId="2166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14:paraId="7FCC6200">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6146" w:type="dxa"/>
            <w:vAlign w:val="center"/>
          </w:tcPr>
          <w:p w14:paraId="517A234A">
            <w:pPr>
              <w:adjustRightInd w:val="0"/>
              <w:snapToGrid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报价超过本项目</w:t>
            </w:r>
            <w:r>
              <w:rPr>
                <w:rFonts w:hint="eastAsia" w:ascii="仿宋" w:hAnsi="仿宋" w:eastAsia="仿宋" w:cs="仿宋"/>
                <w:color w:val="auto"/>
                <w:sz w:val="28"/>
                <w:szCs w:val="28"/>
                <w:highlight w:val="none"/>
                <w:lang w:eastAsia="zh-CN"/>
              </w:rPr>
              <w:t>预算金额</w:t>
            </w:r>
            <w:r>
              <w:rPr>
                <w:rFonts w:hint="eastAsia" w:ascii="仿宋" w:hAnsi="仿宋" w:eastAsia="仿宋" w:cs="仿宋"/>
                <w:color w:val="auto"/>
                <w:sz w:val="28"/>
                <w:szCs w:val="28"/>
                <w:highlight w:val="none"/>
              </w:rPr>
              <w:t>的</w:t>
            </w:r>
          </w:p>
        </w:tc>
        <w:tc>
          <w:tcPr>
            <w:tcW w:w="2773" w:type="dxa"/>
            <w:vAlign w:val="center"/>
          </w:tcPr>
          <w:p w14:paraId="13FCBB47">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符合招标文件要求</w:t>
            </w:r>
          </w:p>
        </w:tc>
      </w:tr>
      <w:tr w14:paraId="0A8D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14:paraId="56BB3845">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6146" w:type="dxa"/>
            <w:vAlign w:val="center"/>
          </w:tcPr>
          <w:p w14:paraId="34E668CE">
            <w:pPr>
              <w:adjustRightInd w:val="0"/>
              <w:snapToGrid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供应商针对同一服务递交两份或多份内容不同的投标文件，未书面声明哪一份是有效的,出现选择性报价的</w:t>
            </w:r>
          </w:p>
        </w:tc>
        <w:tc>
          <w:tcPr>
            <w:tcW w:w="2773" w:type="dxa"/>
            <w:vAlign w:val="center"/>
          </w:tcPr>
          <w:p w14:paraId="0A51FE2F">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符合招标文件要求</w:t>
            </w:r>
          </w:p>
        </w:tc>
      </w:tr>
      <w:tr w14:paraId="600B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14:paraId="53FCC063">
            <w:pPr>
              <w:adjustRightInd w:val="0"/>
              <w:snapToGrid w:val="0"/>
              <w:spacing w:line="4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6146" w:type="dxa"/>
            <w:vAlign w:val="center"/>
          </w:tcPr>
          <w:p w14:paraId="6B4D7C2F">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明显不符合商务、技术要求，存在重大负偏离的</w:t>
            </w:r>
          </w:p>
        </w:tc>
        <w:tc>
          <w:tcPr>
            <w:tcW w:w="2773" w:type="dxa"/>
            <w:vAlign w:val="center"/>
          </w:tcPr>
          <w:p w14:paraId="6934B26C">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符合招标文件要求</w:t>
            </w:r>
          </w:p>
        </w:tc>
      </w:tr>
      <w:tr w14:paraId="5731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14:paraId="4F34ACBB">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6146" w:type="dxa"/>
            <w:vAlign w:val="center"/>
          </w:tcPr>
          <w:p w14:paraId="424E4300">
            <w:pPr>
              <w:adjustRightInd w:val="0"/>
              <w:snapToGrid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投标文件附有采购人不能接受的条件的</w:t>
            </w:r>
          </w:p>
        </w:tc>
        <w:tc>
          <w:tcPr>
            <w:tcW w:w="2773" w:type="dxa"/>
            <w:vAlign w:val="center"/>
          </w:tcPr>
          <w:p w14:paraId="3198B728">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符合招标文件要求</w:t>
            </w:r>
          </w:p>
        </w:tc>
      </w:tr>
      <w:tr w14:paraId="6137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14:paraId="3EBDF84D">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6146" w:type="dxa"/>
            <w:vAlign w:val="center"/>
          </w:tcPr>
          <w:p w14:paraId="04350912">
            <w:pPr>
              <w:adjustRightInd w:val="0"/>
              <w:snapToGrid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不符合招标文件规定的其他实质性要求的</w:t>
            </w:r>
          </w:p>
        </w:tc>
        <w:tc>
          <w:tcPr>
            <w:tcW w:w="2773" w:type="dxa"/>
            <w:vAlign w:val="center"/>
          </w:tcPr>
          <w:p w14:paraId="3E8FB28E">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符合招标文件要求</w:t>
            </w:r>
          </w:p>
        </w:tc>
      </w:tr>
      <w:tr w14:paraId="4DFD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Align w:val="center"/>
          </w:tcPr>
          <w:p w14:paraId="2E1A4E1A">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6146" w:type="dxa"/>
            <w:vAlign w:val="center"/>
          </w:tcPr>
          <w:p w14:paraId="2A08AC10">
            <w:pPr>
              <w:adjustRightInd w:val="0"/>
              <w:snapToGrid w:val="0"/>
              <w:spacing w:line="5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违反《中华人民共和国政府采购法》和其他相关法律、法规的规定</w:t>
            </w:r>
          </w:p>
        </w:tc>
        <w:tc>
          <w:tcPr>
            <w:tcW w:w="2773" w:type="dxa"/>
            <w:vAlign w:val="center"/>
          </w:tcPr>
          <w:p w14:paraId="372BB7AE">
            <w:pPr>
              <w:adjustRightInd w:val="0"/>
              <w:snapToGrid w:val="0"/>
              <w:spacing w:line="5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符合招标文件要求</w:t>
            </w:r>
          </w:p>
        </w:tc>
      </w:tr>
    </w:tbl>
    <w:p w14:paraId="04E14369">
      <w:pPr>
        <w:pStyle w:val="18"/>
        <w:rPr>
          <w:rFonts w:hint="eastAsia" w:ascii="仿宋" w:hAnsi="仿宋" w:eastAsia="仿宋" w:cs="仿宋"/>
          <w:b/>
          <w:bCs/>
          <w:sz w:val="28"/>
          <w:szCs w:val="28"/>
          <w:highlight w:val="none"/>
          <w:lang w:eastAsia="zh-CN"/>
        </w:rPr>
      </w:pPr>
    </w:p>
    <w:p w14:paraId="1D0BF160">
      <w:pPr>
        <w:pStyle w:val="1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由</w:t>
      </w:r>
      <w:r>
        <w:rPr>
          <w:rFonts w:hint="eastAsia" w:ascii="仿宋" w:hAnsi="仿宋" w:cs="仿宋"/>
          <w:b/>
          <w:bCs/>
          <w:sz w:val="28"/>
          <w:szCs w:val="28"/>
          <w:highlight w:val="none"/>
          <w:lang w:eastAsia="zh-CN"/>
        </w:rPr>
        <w:t>评标委员会</w:t>
      </w:r>
      <w:r>
        <w:rPr>
          <w:rFonts w:hint="eastAsia" w:ascii="仿宋" w:hAnsi="仿宋" w:eastAsia="仿宋" w:cs="仿宋"/>
          <w:b/>
          <w:bCs/>
          <w:sz w:val="28"/>
          <w:szCs w:val="28"/>
          <w:highlight w:val="none"/>
        </w:rPr>
        <w:t>对上述资料进行审查，以上内容有一项不符合要求，则</w:t>
      </w:r>
      <w:r>
        <w:rPr>
          <w:rFonts w:hint="eastAsia" w:ascii="仿宋" w:hAnsi="仿宋" w:cs="仿宋"/>
          <w:b/>
          <w:bCs/>
          <w:sz w:val="28"/>
          <w:szCs w:val="28"/>
          <w:highlight w:val="none"/>
          <w:lang w:eastAsia="zh-CN"/>
        </w:rPr>
        <w:t>投标文件</w:t>
      </w:r>
      <w:r>
        <w:rPr>
          <w:rFonts w:hint="eastAsia" w:ascii="仿宋" w:hAnsi="仿宋" w:eastAsia="仿宋" w:cs="仿宋"/>
          <w:b/>
          <w:bCs/>
          <w:sz w:val="28"/>
          <w:szCs w:val="28"/>
          <w:highlight w:val="none"/>
        </w:rPr>
        <w:t>的符合性审查为不合格，</w:t>
      </w:r>
      <w:r>
        <w:rPr>
          <w:rFonts w:hint="eastAsia" w:ascii="仿宋" w:hAnsi="仿宋" w:cs="仿宋"/>
          <w:b/>
          <w:bCs/>
          <w:sz w:val="28"/>
          <w:szCs w:val="28"/>
          <w:highlight w:val="none"/>
          <w:lang w:eastAsia="zh-CN"/>
        </w:rPr>
        <w:t>投标文件</w:t>
      </w:r>
      <w:r>
        <w:rPr>
          <w:rFonts w:hint="eastAsia" w:ascii="仿宋" w:hAnsi="仿宋" w:eastAsia="仿宋" w:cs="仿宋"/>
          <w:b/>
          <w:bCs/>
          <w:sz w:val="28"/>
          <w:szCs w:val="28"/>
          <w:highlight w:val="none"/>
        </w:rPr>
        <w:t>无效，无资格进入后续评审阶段</w:t>
      </w:r>
      <w:r>
        <w:rPr>
          <w:rFonts w:hint="eastAsia" w:ascii="仿宋" w:hAnsi="仿宋" w:cs="仿宋"/>
          <w:b/>
          <w:bCs/>
          <w:sz w:val="28"/>
          <w:szCs w:val="28"/>
          <w:highlight w:val="none"/>
          <w:lang w:eastAsia="zh-CN"/>
        </w:rPr>
        <w:t>。</w:t>
      </w:r>
    </w:p>
    <w:p w14:paraId="6CF1B9BF">
      <w:pPr>
        <w:spacing w:line="500" w:lineRule="exact"/>
        <w:ind w:firstLine="560" w:firstLineChars="200"/>
        <w:rPr>
          <w:rFonts w:hint="eastAsia" w:ascii="仿宋" w:hAnsi="仿宋" w:eastAsia="仿宋" w:cs="仿宋"/>
          <w:sz w:val="28"/>
          <w:szCs w:val="28"/>
          <w:highlight w:val="none"/>
        </w:rPr>
      </w:pPr>
    </w:p>
    <w:p w14:paraId="17F6F43B">
      <w:pPr>
        <w:spacing w:line="500" w:lineRule="exact"/>
        <w:ind w:firstLine="560" w:firstLineChars="200"/>
        <w:outlineLvl w:val="9"/>
        <w:rPr>
          <w:rFonts w:hint="eastAsia" w:ascii="仿宋" w:hAnsi="仿宋" w:eastAsia="仿宋" w:cs="仿宋"/>
          <w:sz w:val="28"/>
          <w:szCs w:val="28"/>
          <w:highlight w:val="none"/>
        </w:rPr>
      </w:pPr>
    </w:p>
    <w:p w14:paraId="05F0C4B8">
      <w:pPr>
        <w:outlineLvl w:val="9"/>
        <w:rPr>
          <w:rFonts w:hint="eastAsia"/>
          <w:highlight w:val="none"/>
        </w:rPr>
      </w:pPr>
    </w:p>
    <w:p w14:paraId="6462168E">
      <w:pPr>
        <w:pStyle w:val="27"/>
        <w:outlineLvl w:val="9"/>
        <w:rPr>
          <w:rFonts w:hint="eastAsia" w:ascii="仿宋" w:hAnsi="仿宋" w:eastAsia="仿宋" w:cs="仿宋"/>
          <w:sz w:val="28"/>
          <w:szCs w:val="28"/>
          <w:highlight w:val="none"/>
        </w:rPr>
      </w:pPr>
    </w:p>
    <w:p w14:paraId="21680D2D">
      <w:pPr>
        <w:pStyle w:val="27"/>
        <w:jc w:val="both"/>
        <w:outlineLvl w:val="9"/>
        <w:rPr>
          <w:rFonts w:hint="eastAsia"/>
          <w:highlight w:val="none"/>
        </w:rPr>
      </w:pPr>
    </w:p>
    <w:p w14:paraId="5F29345D">
      <w:pPr>
        <w:rPr>
          <w:rFonts w:hint="eastAsia"/>
          <w:highlight w:val="none"/>
        </w:rPr>
      </w:pPr>
    </w:p>
    <w:p w14:paraId="4D566C72">
      <w:pPr>
        <w:outlineLvl w:val="9"/>
        <w:rPr>
          <w:rFonts w:hint="eastAsia"/>
          <w:highlight w:val="none"/>
        </w:rPr>
      </w:pPr>
    </w:p>
    <w:p w14:paraId="56AC40AD">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3、</w:t>
      </w:r>
      <w:r>
        <w:rPr>
          <w:rFonts w:hint="eastAsia" w:ascii="仿宋" w:hAnsi="仿宋" w:eastAsia="仿宋" w:cs="仿宋"/>
          <w:b/>
          <w:bCs/>
          <w:sz w:val="28"/>
          <w:szCs w:val="28"/>
          <w:highlight w:val="none"/>
          <w:lang w:val="en-US" w:eastAsia="zh-CN" w:bidi="ar"/>
        </w:rPr>
        <w:t>商务及技术</w:t>
      </w:r>
      <w:r>
        <w:rPr>
          <w:rFonts w:hint="eastAsia" w:ascii="仿宋" w:hAnsi="仿宋" w:eastAsia="仿宋" w:cs="仿宋"/>
          <w:b/>
          <w:bCs/>
          <w:sz w:val="28"/>
          <w:szCs w:val="28"/>
          <w:highlight w:val="none"/>
          <w:lang w:bidi="ar"/>
        </w:rPr>
        <w:t>标</w:t>
      </w:r>
      <w:r>
        <w:rPr>
          <w:rFonts w:hint="eastAsia" w:ascii="仿宋" w:hAnsi="仿宋" w:eastAsia="仿宋" w:cs="仿宋"/>
          <w:b/>
          <w:bCs/>
          <w:sz w:val="28"/>
          <w:szCs w:val="28"/>
          <w:highlight w:val="none"/>
        </w:rPr>
        <w:t>评分标准及办法</w:t>
      </w:r>
    </w:p>
    <w:p w14:paraId="68627B2A">
      <w:pPr>
        <w:spacing w:line="500" w:lineRule="exact"/>
        <w:rPr>
          <w:highlight w:val="none"/>
        </w:rPr>
      </w:pPr>
      <w:r>
        <w:rPr>
          <w:rFonts w:hint="eastAsia" w:ascii="仿宋" w:hAnsi="仿宋" w:eastAsia="仿宋" w:cs="仿宋"/>
          <w:sz w:val="28"/>
          <w:szCs w:val="28"/>
          <w:highlight w:val="none"/>
          <w:lang w:bidi="ar"/>
        </w:rPr>
        <w:t>满分：100分，综合评分法。各分项分值分配如下：</w:t>
      </w:r>
    </w:p>
    <w:tbl>
      <w:tblPr>
        <w:tblStyle w:val="31"/>
        <w:tblW w:w="97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3"/>
        <w:gridCol w:w="1039"/>
        <w:gridCol w:w="7374"/>
      </w:tblGrid>
      <w:tr w14:paraId="55CE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FEF8">
            <w:pPr>
              <w:keepNext w:val="0"/>
              <w:keepLines w:val="0"/>
              <w:widowControl/>
              <w:suppressLineNumbers w:val="0"/>
              <w:jc w:val="center"/>
              <w:textAlignment w:val="center"/>
              <w:rPr>
                <w:rFonts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分值构成</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8546">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分值</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3B1D">
            <w:pPr>
              <w:keepNext w:val="0"/>
              <w:keepLines w:val="0"/>
              <w:widowControl/>
              <w:suppressLineNumbers w:val="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评审内容</w:t>
            </w:r>
          </w:p>
        </w:tc>
      </w:tr>
      <w:tr w14:paraId="4D6C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6883">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投标报价</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E3FA">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10分</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F2B2">
            <w:pPr>
              <w:keepNext w:val="0"/>
              <w:keepLines w:val="0"/>
              <w:widowControl/>
              <w:suppressLineNumbers w:val="0"/>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价格分采用低价优先法计算，即满足招标文件要求且投标报价最低的投标报价为评标基准价，其价格分为满分。其他供应商的价格分统一按照下列公式计算：</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投标报价得分=（评标基准价/有效报价）×价格权值（10%）×100</w:t>
            </w:r>
          </w:p>
        </w:tc>
      </w:tr>
      <w:tr w14:paraId="7722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1F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sz w:val="28"/>
                <w:szCs w:val="28"/>
                <w:highlight w:val="none"/>
              </w:rPr>
              <w:t>商务部分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8F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9C1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sz w:val="28"/>
                <w:szCs w:val="28"/>
                <w:highlight w:val="none"/>
              </w:rPr>
              <w:t>通过资格和符合性审查的供应商，对商务要求完全响应招标文件要求的得2分。</w:t>
            </w:r>
          </w:p>
        </w:tc>
      </w:tr>
      <w:tr w14:paraId="15AB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EB2E">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总体实施方案</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BD9B">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18分</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54AA">
            <w:pPr>
              <w:keepNext w:val="0"/>
              <w:keepLines w:val="0"/>
              <w:widowControl/>
              <w:suppressLineNumbers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val="0"/>
                <w:bCs w:val="0"/>
                <w:i w:val="0"/>
                <w:iCs w:val="0"/>
                <w:color w:val="000000"/>
                <w:kern w:val="0"/>
                <w:sz w:val="28"/>
                <w:szCs w:val="28"/>
                <w:highlight w:val="none"/>
                <w:u w:val="none"/>
                <w:lang w:val="en-US" w:eastAsia="zh-CN" w:bidi="ar"/>
              </w:rPr>
              <w:t>1、评审内容</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供应商提供针对本项目的总体实施方案，内容包括：</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①项目计划安排；</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②项目质量保障；</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③项目风险管控。</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2、评审标准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①完整性：方案须全面，对评审内容中的各项要求有详细描述及说明；</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②可实施性：切合本项目实际情况，实施步骤清晰、合理；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③针对性：方案能够紧扣项目实际情况，内容科学合理。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3、赋分标准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①项目计划安排：每满足一项评审标准得2分，满分6分；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②项目质量保障：每满足一项评审标准得2分，满分6分；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③项目风险管控：每满足一项评审标准得2分，满分6分。</w:t>
            </w:r>
          </w:p>
        </w:tc>
      </w:tr>
      <w:tr w14:paraId="6535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A123">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技术服务方案</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8DD4">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18分</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9F55">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1、评审内容</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供应商提供针对本项目的技术服务方案，内容包括：</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①对采购需求分析；</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②日常运维方案；</w:t>
            </w:r>
          </w:p>
          <w:p w14:paraId="0126B8C7">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val="0"/>
                <w:i w:val="0"/>
                <w:iCs w:val="0"/>
                <w:color w:val="000000"/>
                <w:kern w:val="0"/>
                <w:sz w:val="28"/>
                <w:szCs w:val="28"/>
                <w:highlight w:val="none"/>
                <w:u w:val="none"/>
                <w:lang w:val="en-US" w:eastAsia="zh-CN" w:bidi="ar"/>
              </w:rPr>
              <w:t>③巡检服务；</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2、评审标准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①完整性：方案内容全面，对评审内容中的各项要求有详细描述及说明；</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②可实施性：方案科学合理，可操作性强；</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③针对性：方案能紧扣本项目实际情况，满足本项目各项具体要求。</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3、赋分标准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①对采购需求分析：每满足一项评审标准得2分，满分6分；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②日常运维方案：每满足一项评审标准得2分，满分6分；</w:t>
            </w:r>
          </w:p>
          <w:p w14:paraId="3169F623">
            <w:pPr>
              <w:keepNext w:val="0"/>
              <w:keepLines w:val="0"/>
              <w:widowControl/>
              <w:suppressLineNumbers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val="0"/>
                <w:bCs w:val="0"/>
                <w:i w:val="0"/>
                <w:iCs w:val="0"/>
                <w:color w:val="000000"/>
                <w:kern w:val="0"/>
                <w:sz w:val="28"/>
                <w:szCs w:val="28"/>
                <w:highlight w:val="none"/>
                <w:u w:val="none"/>
                <w:lang w:val="en-US" w:eastAsia="zh-CN" w:bidi="ar"/>
              </w:rPr>
              <w:t>③巡检服务：每满足一项评审标准得2分，满分6分。</w:t>
            </w:r>
          </w:p>
        </w:tc>
      </w:tr>
      <w:tr w14:paraId="1CB0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832">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应急保障方案</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C001">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9分</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7E98">
            <w:pPr>
              <w:keepNext w:val="0"/>
              <w:keepLines w:val="0"/>
              <w:widowControl/>
              <w:suppressLineNumbers w:val="0"/>
              <w:jc w:val="left"/>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val="0"/>
                <w:bCs w:val="0"/>
                <w:i w:val="0"/>
                <w:iCs w:val="0"/>
                <w:color w:val="000000"/>
                <w:kern w:val="0"/>
                <w:sz w:val="28"/>
                <w:szCs w:val="28"/>
                <w:highlight w:val="none"/>
                <w:u w:val="none"/>
                <w:lang w:val="en-US" w:eastAsia="zh-CN" w:bidi="ar"/>
              </w:rPr>
              <w:t>1、评审内容：</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供应商提供针对本项目的应急保障方案应包括:</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①应急管理目标；</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②应急响应流程；</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③应急管理措施。</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2、评审标准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①完整性：方案必须全面，对评审内容中的各项要求有详细描述；</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②可实施性：切合本项目实际情况，提出步骤清晰、合理的方案；</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③针对性：方案能够紧扣项目实际情况，内容科学合理。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3、赋分标准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①应急管理目标</w:t>
            </w:r>
            <w:bookmarkStart w:id="325" w:name="_GoBack"/>
            <w:bookmarkEnd w:id="325"/>
            <w:r>
              <w:rPr>
                <w:rFonts w:hint="eastAsia" w:ascii="仿宋" w:hAnsi="仿宋" w:eastAsia="仿宋" w:cs="仿宋"/>
                <w:b w:val="0"/>
                <w:bCs w:val="0"/>
                <w:i w:val="0"/>
                <w:iCs w:val="0"/>
                <w:color w:val="000000"/>
                <w:kern w:val="0"/>
                <w:sz w:val="28"/>
                <w:szCs w:val="28"/>
                <w:highlight w:val="none"/>
                <w:u w:val="none"/>
                <w:lang w:val="en-US" w:eastAsia="zh-CN" w:bidi="ar"/>
              </w:rPr>
              <w:t>：每满足一项评审标准得1分，满分3分；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②应急响应流程：每满足一项评审标准得1分，满分3分；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③应急管理措施：每满足一项评审标准得1分，满分3分。</w:t>
            </w:r>
          </w:p>
        </w:tc>
      </w:tr>
      <w:tr w14:paraId="37C9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D280">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安全保密方案</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420D">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9分</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6882">
            <w:pPr>
              <w:keepNext w:val="0"/>
              <w:keepLines w:val="0"/>
              <w:widowControl/>
              <w:suppressLineNumbers w:val="0"/>
              <w:jc w:val="left"/>
              <w:textAlignment w:val="center"/>
              <w:rPr>
                <w:rFonts w:hint="eastAsia" w:ascii="仿宋" w:hAnsi="仿宋" w:eastAsia="仿宋" w:cs="仿宋"/>
                <w:b w:val="0"/>
                <w:bCs w:val="0"/>
                <w:i w:val="0"/>
                <w:iCs w:val="0"/>
                <w:color w:val="000000"/>
                <w:sz w:val="28"/>
                <w:szCs w:val="28"/>
                <w:highlight w:val="none"/>
                <w:u w:val="none"/>
              </w:rPr>
            </w:pPr>
            <w:r>
              <w:rPr>
                <w:rFonts w:hint="eastAsia" w:ascii="仿宋" w:hAnsi="仿宋" w:eastAsia="仿宋" w:cs="仿宋"/>
                <w:b w:val="0"/>
                <w:bCs w:val="0"/>
                <w:i w:val="0"/>
                <w:iCs w:val="0"/>
                <w:color w:val="000000"/>
                <w:kern w:val="0"/>
                <w:sz w:val="28"/>
                <w:szCs w:val="28"/>
                <w:highlight w:val="none"/>
                <w:u w:val="none"/>
                <w:lang w:val="en-US" w:eastAsia="zh-CN" w:bidi="ar"/>
              </w:rPr>
              <w:t>1、评审内容：</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供应商提供针对本项目的安全保密方案应包括:</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①保密机制；</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②保密管理制度；</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③保密人员管理。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2、评审标准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①完整性：方案必须全面，对评审内容中的各项要求有详细描述；</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②可实施性：切合本项目实际情况，提出步骤清晰、合理的方案；</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③针对性：方案能够紧扣项目实际情况，内容科学合理。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3、赋分标准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①保密机制：每满足一项评审标准得1分，满分3分；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②保密管理制度：每满足一项评审标准得1分，满分3分；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③保密人员管理：每满足一项评审标准得1分，满分3分。</w:t>
            </w:r>
          </w:p>
        </w:tc>
      </w:tr>
      <w:tr w14:paraId="0580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8CA4">
            <w:pPr>
              <w:keepNext w:val="0"/>
              <w:keepLines w:val="0"/>
              <w:widowControl/>
              <w:suppressLineNumbers w:val="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color w:val="auto"/>
                <w:kern w:val="0"/>
                <w:sz w:val="28"/>
                <w:szCs w:val="28"/>
                <w:highlight w:val="none"/>
              </w:rPr>
              <w:t>工作人员组成情况</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2369">
            <w:pPr>
              <w:keepNext w:val="0"/>
              <w:keepLines w:val="0"/>
              <w:widowControl/>
              <w:suppressLineNumbers w:val="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13分</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CA7A">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1、评审内容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供应商提供拟派本项目工作人员组成情况，包含驻场人员与行政人员（有具体成员名单，包括姓名、工作经验、工作职责、联系方式等），项目团队人员具备数据中心网络或云平台等操作证书。</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2、评审标准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①完整性：组织机构的运行配备完善、各岗位人员分工明确合理。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②针对性：人员数量充足，人员资格/年龄等符合采购需求；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③专业性：人员相关岗位经验丰富，切合本项目实际情况；</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④操作证书：</w:t>
            </w:r>
            <w:r>
              <w:rPr>
                <w:rFonts w:hint="eastAsia" w:ascii="仿宋" w:hAnsi="仿宋" w:eastAsia="仿宋" w:cs="仿宋"/>
                <w:i w:val="0"/>
                <w:iCs w:val="0"/>
                <w:color w:val="000000"/>
                <w:kern w:val="0"/>
                <w:sz w:val="28"/>
                <w:szCs w:val="28"/>
                <w:highlight w:val="none"/>
                <w:u w:val="none"/>
                <w:lang w:val="en-US" w:eastAsia="zh-CN" w:bidi="ar"/>
              </w:rPr>
              <w:t>数据中心网络或云平台操作证书</w:t>
            </w:r>
            <w:r>
              <w:rPr>
                <w:rFonts w:hint="eastAsia" w:ascii="仿宋" w:hAnsi="仿宋" w:eastAsia="仿宋" w:cs="仿宋"/>
                <w:i w:val="0"/>
                <w:iCs w:val="0"/>
                <w:color w:val="000000"/>
                <w:kern w:val="0"/>
                <w:sz w:val="28"/>
                <w:szCs w:val="28"/>
                <w:highlight w:val="none"/>
                <w:u w:val="none"/>
                <w:lang w:val="en-US" w:eastAsia="zh-CN" w:bidi="ar"/>
              </w:rPr>
              <w:t>。</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3、赋分标准（满分13分）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①-③每完全满足一项评审标准得3分，满分9分；④每提供一个得2分，最多得4分，未提供不得分。</w:t>
            </w:r>
          </w:p>
        </w:tc>
      </w:tr>
      <w:tr w14:paraId="719D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E13">
            <w:pPr>
              <w:keepNext w:val="0"/>
              <w:keepLines w:val="0"/>
              <w:widowControl/>
              <w:suppressLineNumbers w:val="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企业实力</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082A">
            <w:pPr>
              <w:keepNext w:val="0"/>
              <w:keepLines w:val="0"/>
              <w:widowControl/>
              <w:suppressLineNumbers w:val="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5分</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A8F3">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1、供应商具备ISO9001质量管理体系认证证书，计1分，未提供不得分；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2、供应商具备ISO27001信息安全管理体系认证证书，计1分，未提供不得分；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3、供应商具备知识产权管理体系认证证书，计1分，未提供不得分；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4、供应商具备ITSS运维服务能力资质认证，1级得2分、2级得1分，未提供不得分；</w:t>
            </w:r>
          </w:p>
        </w:tc>
      </w:tr>
      <w:tr w14:paraId="006C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BCE2">
            <w:pPr>
              <w:keepNext w:val="0"/>
              <w:keepLines w:val="0"/>
              <w:widowControl/>
              <w:suppressLineNumbers w:val="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业绩</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E31A">
            <w:pPr>
              <w:keepNext w:val="0"/>
              <w:keepLines w:val="0"/>
              <w:widowControl/>
              <w:suppressLineNumbers w:val="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10分</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EF63">
            <w:pPr>
              <w:keepNext w:val="0"/>
              <w:keepLines w:val="0"/>
              <w:widowControl/>
              <w:suppressLineNumbers w:val="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提供2022年1月1日以来供应商类似项目的业绩合同（以合同签订日期为准），附业绩合同复印件加盖公章，</w:t>
            </w:r>
            <w:r>
              <w:rPr>
                <w:rFonts w:hint="eastAsia" w:ascii="仿宋" w:hAnsi="仿宋" w:eastAsia="仿宋" w:cs="仿宋"/>
                <w:b w:val="0"/>
                <w:bCs w:val="0"/>
                <w:i w:val="0"/>
                <w:iCs w:val="0"/>
                <w:color w:val="000000"/>
                <w:kern w:val="0"/>
                <w:sz w:val="28"/>
                <w:szCs w:val="28"/>
                <w:highlight w:val="none"/>
                <w:u w:val="none"/>
                <w:lang w:val="en-US" w:eastAsia="zh-CN" w:bidi="ar"/>
              </w:rPr>
              <w:t>每份2分，满分10分，未提供不得分。</w:t>
            </w:r>
          </w:p>
        </w:tc>
      </w:tr>
      <w:tr w14:paraId="500A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DB7B">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服务</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承诺</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6237">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6分</w:t>
            </w:r>
          </w:p>
        </w:tc>
        <w:tc>
          <w:tcPr>
            <w:tcW w:w="7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4A16">
            <w:pPr>
              <w:keepNext w:val="0"/>
              <w:keepLines w:val="0"/>
              <w:widowControl/>
              <w:suppressLineNumbers w:val="0"/>
              <w:jc w:val="left"/>
              <w:textAlignment w:val="center"/>
              <w:rPr>
                <w:rFonts w:hint="eastAsia" w:ascii="仿宋" w:hAnsi="仿宋" w:eastAsia="仿宋" w:cs="仿宋"/>
                <w:b w:val="0"/>
                <w:bCs w:val="0"/>
                <w:i w:val="0"/>
                <w:iCs w:val="0"/>
                <w:color w:val="000000"/>
                <w:sz w:val="28"/>
                <w:szCs w:val="28"/>
                <w:highlight w:val="none"/>
                <w:u w:val="none"/>
              </w:rPr>
            </w:pPr>
            <w:r>
              <w:rPr>
                <w:rFonts w:hint="eastAsia" w:ascii="仿宋" w:hAnsi="仿宋" w:eastAsia="仿宋" w:cs="仿宋"/>
                <w:b w:val="0"/>
                <w:bCs w:val="0"/>
                <w:i w:val="0"/>
                <w:iCs w:val="0"/>
                <w:color w:val="000000"/>
                <w:kern w:val="0"/>
                <w:sz w:val="28"/>
                <w:szCs w:val="28"/>
                <w:highlight w:val="none"/>
                <w:u w:val="none"/>
                <w:lang w:val="en-US" w:eastAsia="zh-CN" w:bidi="ar"/>
              </w:rPr>
              <w:t>1、评审内容</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供应商提供针对本项目提供具体的服务承诺，内容包括：</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①服务质量承诺；</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②服务体系及响应时间。</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2、评审标准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①完整性：方案须全面，对评审内容中的各项要求有详细描述及说明；</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②可实施性：切合本项目实际情况，步骤清晰、合理，操作性强；</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③针对性：方案能够紧扣项目实际情况，内容科学合理。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3、赋分标准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①服务质量承诺：每满足一项评审标准得1分，满分3分；</w:t>
            </w:r>
            <w:r>
              <w:rPr>
                <w:rFonts w:hint="eastAsia" w:ascii="仿宋" w:hAnsi="仿宋" w:eastAsia="仿宋" w:cs="仿宋"/>
                <w:b w:val="0"/>
                <w:bCs w:val="0"/>
                <w:i w:val="0"/>
                <w:iCs w:val="0"/>
                <w:color w:val="000000"/>
                <w:kern w:val="0"/>
                <w:sz w:val="28"/>
                <w:szCs w:val="28"/>
                <w:highlight w:val="none"/>
                <w:u w:val="none"/>
                <w:lang w:val="en-US" w:eastAsia="zh-CN" w:bidi="ar"/>
              </w:rPr>
              <w:br w:type="textWrapping"/>
            </w:r>
            <w:r>
              <w:rPr>
                <w:rFonts w:hint="eastAsia" w:ascii="仿宋" w:hAnsi="仿宋" w:eastAsia="仿宋" w:cs="仿宋"/>
                <w:b w:val="0"/>
                <w:bCs w:val="0"/>
                <w:i w:val="0"/>
                <w:iCs w:val="0"/>
                <w:color w:val="000000"/>
                <w:kern w:val="0"/>
                <w:sz w:val="28"/>
                <w:szCs w:val="28"/>
                <w:highlight w:val="none"/>
                <w:u w:val="none"/>
                <w:lang w:val="en-US" w:eastAsia="zh-CN" w:bidi="ar"/>
              </w:rPr>
              <w:t>②服务体系及响应时间：每满足一项评审标准得1分，满分3分。</w:t>
            </w:r>
          </w:p>
        </w:tc>
      </w:tr>
    </w:tbl>
    <w:p w14:paraId="6682A8B6">
      <w:pPr>
        <w:keepNext w:val="0"/>
        <w:keepLines w:val="0"/>
        <w:pageBreakBefore w:val="0"/>
        <w:wordWrap/>
        <w:overflowPunct/>
        <w:autoSpaceDE/>
        <w:autoSpaceDN/>
        <w:bidi w:val="0"/>
        <w:spacing w:line="500" w:lineRule="exact"/>
        <w:ind w:firstLine="562" w:firstLineChars="200"/>
        <w:textAlignment w:val="auto"/>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w:t>
      </w:r>
    </w:p>
    <w:p w14:paraId="5E7C53E8">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）评委打分超过得分界限或未按本方法赋分时，该评委的打分按废票处理；</w:t>
      </w:r>
    </w:p>
    <w:p w14:paraId="01E2E301">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）各种计算数字均保留两位小数，第三位“四舍五入”；</w:t>
      </w:r>
    </w:p>
    <w:p w14:paraId="63531CB8">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）评标委员会根据以上内容打分，由高到低进行，推荐出中标候选单位。评标委员会依据评审结果写出评标报告，送采购人审定。</w:t>
      </w:r>
    </w:p>
    <w:p w14:paraId="4726C7A7">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采购代理机构在整个评标工作结束后，将把售标、开标、评标及推荐中标全过程的情况以书面形式（评标报告）报送采购人审核，同时报监督管理机构审核备案。</w:t>
      </w:r>
    </w:p>
    <w:p w14:paraId="16A4BEFA">
      <w:pPr>
        <w:pStyle w:val="65"/>
        <w:keepNext w:val="0"/>
        <w:keepLines w:val="0"/>
        <w:pageBreakBefore w:val="0"/>
        <w:numPr>
          <w:ilvl w:val="0"/>
          <w:numId w:val="0"/>
        </w:numPr>
        <w:tabs>
          <w:tab w:val="clear" w:pos="851"/>
        </w:tabs>
        <w:wordWrap/>
        <w:overflowPunct/>
        <w:autoSpaceDE/>
        <w:autoSpaceDN/>
        <w:bidi w:val="0"/>
        <w:spacing w:line="500" w:lineRule="exact"/>
        <w:textAlignment w:val="auto"/>
        <w:outlineLvl w:val="9"/>
        <w:rPr>
          <w:rFonts w:hint="default" w:cs="仿宋"/>
          <w:szCs w:val="28"/>
          <w:highlight w:val="none"/>
        </w:rPr>
      </w:pPr>
      <w:bookmarkStart w:id="151" w:name="_Toc20432"/>
      <w:bookmarkStart w:id="152" w:name="_Toc28539"/>
      <w:bookmarkStart w:id="153" w:name="_Toc27083"/>
      <w:bookmarkStart w:id="154" w:name="_Toc15186"/>
      <w:r>
        <w:rPr>
          <w:rFonts w:hint="eastAsia" w:cs="仿宋"/>
          <w:bCs/>
          <w:szCs w:val="28"/>
          <w:highlight w:val="none"/>
          <w:lang w:eastAsia="zh-CN"/>
        </w:rPr>
        <w:t>十</w:t>
      </w:r>
      <w:r>
        <w:rPr>
          <w:rFonts w:cs="仿宋"/>
          <w:bCs/>
          <w:szCs w:val="28"/>
          <w:highlight w:val="none"/>
        </w:rPr>
        <w:t>、</w:t>
      </w:r>
      <w:r>
        <w:rPr>
          <w:rFonts w:cs="仿宋"/>
          <w:szCs w:val="28"/>
          <w:highlight w:val="none"/>
        </w:rPr>
        <w:t>政策功能</w:t>
      </w:r>
      <w:bookmarkEnd w:id="151"/>
      <w:bookmarkEnd w:id="152"/>
      <w:bookmarkEnd w:id="153"/>
      <w:bookmarkEnd w:id="154"/>
    </w:p>
    <w:p w14:paraId="22A0087F">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1、关于节能产品、环境标志产品</w:t>
      </w:r>
    </w:p>
    <w:p w14:paraId="717286F1">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 发展改革委 生态环境部 市场监管总局关于调整优化节能产品、环境标志产品政府采购执行机制的通知》（财库〔2019〕9号）规定，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FFC659E">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2、关于小微企业、监狱企业、残疾人福利性单位</w:t>
      </w:r>
    </w:p>
    <w:p w14:paraId="31EF8154">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（1）小微企业</w:t>
      </w:r>
    </w:p>
    <w:p w14:paraId="329596FB">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①根据《政府采购促进中小企业发展管理办法》（财库〔2020〕46号）的规定，在政府采购活动中，供应商提供的货物、工程或者服务符合下列情形的，享受中小企业扶持政策：</w:t>
      </w:r>
    </w:p>
    <w:p w14:paraId="4A3485CB">
      <w:pPr>
        <w:pStyle w:val="26"/>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B71FEB0">
      <w:pPr>
        <w:pStyle w:val="26"/>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在本项目中，若提供的服务全部由符合政策要求的小微企业承接，报价给予10%的扣除，用扣除后的价格参加评审。</w:t>
      </w:r>
    </w:p>
    <w:p w14:paraId="27A965B0">
      <w:pPr>
        <w:pStyle w:val="26"/>
        <w:keepNext w:val="0"/>
        <w:keepLines w:val="0"/>
        <w:pageBreakBefore w:val="0"/>
        <w:wordWrap/>
        <w:overflowPunct/>
        <w:autoSpaceDE/>
        <w:autoSpaceDN/>
        <w:bidi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②中小企业参加政府采购活动，应当出具符合财库〔2020〕46号规定的《中小企业声明函》,否则不得享受相关中小企业扶持政策。</w:t>
      </w:r>
    </w:p>
    <w:p w14:paraId="61E94BA9">
      <w:pPr>
        <w:pStyle w:val="30"/>
        <w:keepNext w:val="0"/>
        <w:keepLines w:val="0"/>
        <w:pageBreakBefore w:val="0"/>
        <w:widowControl w:val="0"/>
        <w:kinsoku/>
        <w:wordWrap/>
        <w:overflowPunct/>
        <w:topLinePunct w:val="0"/>
        <w:autoSpaceDE/>
        <w:autoSpaceDN/>
        <w:bidi w:val="0"/>
        <w:adjustRightInd w:val="0"/>
        <w:snapToGrid/>
        <w:spacing w:after="0" w:line="50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cs="仿宋"/>
          <w:b w:val="0"/>
          <w:bCs w:val="0"/>
          <w:kern w:val="2"/>
          <w:sz w:val="28"/>
          <w:szCs w:val="28"/>
          <w:highlight w:val="none"/>
          <w:lang w:val="en-US" w:eastAsia="zh-CN" w:bidi="ar-SA"/>
        </w:rPr>
        <w:t>③</w:t>
      </w:r>
      <w:r>
        <w:rPr>
          <w:rFonts w:hint="eastAsia" w:ascii="仿宋" w:hAnsi="仿宋" w:eastAsia="仿宋" w:cs="仿宋"/>
          <w:b w:val="0"/>
          <w:bCs w:val="0"/>
          <w:kern w:val="2"/>
          <w:sz w:val="28"/>
          <w:szCs w:val="28"/>
          <w:highlight w:val="none"/>
          <w:lang w:val="en-US" w:eastAsia="zh-CN" w:bidi="ar-SA"/>
        </w:rPr>
        <w:t>根据《政府采购促进中小企业发展管理办法》（财库〔2020〕46号）</w:t>
      </w:r>
      <w:r>
        <w:rPr>
          <w:rFonts w:hint="eastAsia" w:ascii="仿宋" w:hAnsi="仿宋" w:cs="仿宋"/>
          <w:b w:val="0"/>
          <w:bCs w:val="0"/>
          <w:kern w:val="2"/>
          <w:sz w:val="28"/>
          <w:szCs w:val="28"/>
          <w:highlight w:val="none"/>
          <w:lang w:val="en-US" w:eastAsia="zh-CN" w:bidi="ar-SA"/>
        </w:rPr>
        <w:t>的</w:t>
      </w:r>
      <w:r>
        <w:rPr>
          <w:rFonts w:hint="eastAsia" w:ascii="仿宋" w:hAnsi="仿宋" w:eastAsia="仿宋" w:cs="仿宋"/>
          <w:b w:val="0"/>
          <w:bCs w:val="0"/>
          <w:kern w:val="2"/>
          <w:sz w:val="28"/>
          <w:szCs w:val="28"/>
          <w:highlight w:val="none"/>
          <w:lang w:val="en-US" w:eastAsia="zh-CN" w:bidi="ar-SA"/>
        </w:rPr>
        <w:t>规定</w:t>
      </w:r>
      <w:r>
        <w:rPr>
          <w:rFonts w:hint="eastAsia" w:ascii="仿宋" w:hAnsi="仿宋" w:cs="仿宋"/>
          <w:b w:val="0"/>
          <w:bCs w:val="0"/>
          <w:kern w:val="2"/>
          <w:sz w:val="28"/>
          <w:szCs w:val="28"/>
          <w:highlight w:val="none"/>
          <w:lang w:val="en-US" w:eastAsia="zh-CN" w:bidi="ar-SA"/>
        </w:rPr>
        <w:t>，</w:t>
      </w:r>
      <w:r>
        <w:rPr>
          <w:rFonts w:hint="eastAsia" w:ascii="仿宋" w:hAnsi="仿宋" w:eastAsia="仿宋" w:cs="仿宋"/>
          <w:b w:val="0"/>
          <w:bCs w:val="0"/>
          <w:kern w:val="2"/>
          <w:sz w:val="28"/>
          <w:szCs w:val="28"/>
          <w:highlight w:val="none"/>
          <w:lang w:val="en-US" w:eastAsia="zh-CN" w:bidi="ar-SA"/>
        </w:rPr>
        <w:t>享受扶持政策获得政府采购合同的，小微企业不得将合同分包给大中型企业，中型企业不得将合同分包给大型企业</w:t>
      </w:r>
      <w:r>
        <w:rPr>
          <w:rFonts w:hint="eastAsia" w:ascii="仿宋" w:hAnsi="仿宋" w:cs="仿宋"/>
          <w:b w:val="0"/>
          <w:bCs w:val="0"/>
          <w:kern w:val="2"/>
          <w:sz w:val="28"/>
          <w:szCs w:val="28"/>
          <w:highlight w:val="none"/>
          <w:lang w:val="en-US" w:eastAsia="zh-CN" w:bidi="ar-SA"/>
        </w:rPr>
        <w:t>。</w:t>
      </w:r>
    </w:p>
    <w:p w14:paraId="57B007E3">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（2）监狱企业参加政府采购活动时，应当提供相关证明文件。监狱企业参加政府采购活动时，视同小微企业。</w:t>
      </w:r>
    </w:p>
    <w:p w14:paraId="0FB816EA">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14:paraId="650B1EFC">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3、关于信用担保和信用融资</w:t>
      </w:r>
    </w:p>
    <w:p w14:paraId="19845130">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14:paraId="5CFFE8DD">
      <w:pPr>
        <w:keepNext w:val="0"/>
        <w:keepLines w:val="0"/>
        <w:pageBreakBefore w:val="0"/>
        <w:widowControl w:val="0"/>
        <w:numPr>
          <w:ilvl w:val="0"/>
          <w:numId w:val="0"/>
        </w:numPr>
        <w:kinsoku/>
        <w:wordWrap w:val="0"/>
        <w:overflowPunct/>
        <w:topLinePunct w:val="0"/>
        <w:autoSpaceDE/>
        <w:autoSpaceDN/>
        <w:bidi w:val="0"/>
        <w:adjustRightInd w:val="0"/>
        <w:snapToGrid/>
        <w:spacing w:line="500" w:lineRule="exact"/>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r>
        <w:rPr>
          <w:rFonts w:hint="eastAsia" w:ascii="仿宋" w:hAnsi="仿宋" w:eastAsia="仿宋" w:cs="仿宋"/>
          <w:sz w:val="28"/>
          <w:szCs w:val="28"/>
          <w:highlight w:val="none"/>
          <w:lang w:val="en-US" w:eastAsia="zh-CN"/>
        </w:rPr>
        <w:t>业务流程简图如下：</w:t>
      </w:r>
    </w:p>
    <w:p w14:paraId="221A6239">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right="0" w:rightChars="0"/>
        <w:textAlignment w:val="auto"/>
        <w:rPr>
          <w:rFonts w:hint="default" w:ascii="仿宋" w:hAnsi="仿宋" w:eastAsia="仿宋" w:cs="仿宋"/>
          <w:sz w:val="28"/>
          <w:szCs w:val="28"/>
          <w:highlight w:val="none"/>
          <w:lang w:val="en-US" w:eastAsia="zh-CN"/>
        </w:rPr>
      </w:pPr>
      <w:r>
        <w:rPr>
          <w:rFonts w:hint="eastAsia" w:ascii="仿宋" w:hAnsi="仿宋" w:eastAsia="仿宋" w:cs="仿宋"/>
          <w:i w:val="0"/>
          <w:iCs w:val="0"/>
          <w:caps w:val="0"/>
          <w:spacing w:val="0"/>
          <w:sz w:val="28"/>
          <w:szCs w:val="28"/>
          <w:highlight w:val="none"/>
          <w:shd w:val="clear" w:color="auto" w:fill="FFFFFF"/>
        </w:rPr>
        <w:t>未签订采购合同申请流程</w:t>
      </w:r>
    </w:p>
    <w:p w14:paraId="29EF774E">
      <w:pPr>
        <w:rPr>
          <w:rFonts w:hint="eastAsia" w:ascii="仿宋" w:hAnsi="仿宋" w:eastAsia="仿宋" w:cs="仿宋"/>
          <w:i w:val="0"/>
          <w:iCs w:val="0"/>
          <w:caps w:val="0"/>
          <w:spacing w:val="0"/>
          <w:sz w:val="28"/>
          <w:szCs w:val="28"/>
          <w:highlight w:val="none"/>
          <w:shd w:val="clear" w:color="auto" w:fill="FFFFFF"/>
        </w:rPr>
      </w:pPr>
      <w:r>
        <w:rPr>
          <w:rFonts w:hint="default"/>
          <w:highlight w:val="none"/>
          <w:lang w:val="en-US" w:eastAsia="zh-CN"/>
        </w:rPr>
        <w:drawing>
          <wp:inline distT="0" distB="0" distL="114300" distR="114300">
            <wp:extent cx="6181725" cy="3486150"/>
            <wp:effectExtent l="0" t="0" r="9525" b="0"/>
            <wp:docPr id="12" name="图片 1" descr="202105081846_1620470769847_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202105081846_1620470769847_2270"/>
                    <pic:cNvPicPr>
                      <a:picLocks noChangeAspect="1"/>
                    </pic:cNvPicPr>
                  </pic:nvPicPr>
                  <pic:blipFill>
                    <a:blip r:embed="rId11"/>
                    <a:stretch>
                      <a:fillRect/>
                    </a:stretch>
                  </pic:blipFill>
                  <pic:spPr>
                    <a:xfrm>
                      <a:off x="0" y="0"/>
                      <a:ext cx="6181725" cy="3486150"/>
                    </a:xfrm>
                    <a:prstGeom prst="rect">
                      <a:avLst/>
                    </a:prstGeom>
                    <a:noFill/>
                    <a:ln>
                      <a:noFill/>
                    </a:ln>
                  </pic:spPr>
                </pic:pic>
              </a:graphicData>
            </a:graphic>
          </wp:inline>
        </w:drawing>
      </w:r>
    </w:p>
    <w:p w14:paraId="714F0515">
      <w:pPr>
        <w:pStyle w:val="2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spacing w:val="0"/>
          <w:sz w:val="28"/>
          <w:szCs w:val="28"/>
          <w:highlight w:val="none"/>
          <w:shd w:val="clear" w:color="auto" w:fill="FFFFFF"/>
        </w:rPr>
      </w:pPr>
      <w:r>
        <w:rPr>
          <w:rFonts w:hint="eastAsia" w:ascii="仿宋" w:hAnsi="仿宋" w:eastAsia="仿宋" w:cs="仿宋"/>
          <w:i w:val="0"/>
          <w:iCs w:val="0"/>
          <w:caps w:val="0"/>
          <w:spacing w:val="0"/>
          <w:sz w:val="28"/>
          <w:szCs w:val="28"/>
          <w:highlight w:val="none"/>
          <w:shd w:val="clear" w:color="auto" w:fill="FFFFFF"/>
        </w:rPr>
        <w:t>已签订采购合同申请流程</w:t>
      </w:r>
    </w:p>
    <w:p w14:paraId="62883AEC">
      <w:pPr>
        <w:pStyle w:val="2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spacing w:val="0"/>
          <w:sz w:val="28"/>
          <w:szCs w:val="28"/>
          <w:highlight w:val="none"/>
          <w:shd w:val="clear" w:color="auto" w:fill="FFFFFF"/>
          <w:lang w:val="en-US" w:eastAsia="zh-CN"/>
        </w:rPr>
      </w:pPr>
      <w:r>
        <w:rPr>
          <w:rFonts w:hint="eastAsia" w:ascii="仿宋" w:hAnsi="仿宋" w:eastAsia="仿宋" w:cs="仿宋"/>
          <w:i w:val="0"/>
          <w:iCs w:val="0"/>
          <w:caps w:val="0"/>
          <w:spacing w:val="0"/>
          <w:sz w:val="28"/>
          <w:szCs w:val="28"/>
          <w:highlight w:val="none"/>
          <w:shd w:val="clear" w:color="auto" w:fill="FFFFFF"/>
          <w:lang w:val="en-US" w:eastAsia="zh-CN"/>
        </w:rPr>
        <w:drawing>
          <wp:inline distT="0" distB="0" distL="114300" distR="114300">
            <wp:extent cx="6223000" cy="3514725"/>
            <wp:effectExtent l="0" t="0" r="6350" b="9525"/>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2"/>
                    <a:stretch>
                      <a:fillRect/>
                    </a:stretch>
                  </pic:blipFill>
                  <pic:spPr>
                    <a:xfrm>
                      <a:off x="0" y="0"/>
                      <a:ext cx="6223000" cy="3514725"/>
                    </a:xfrm>
                    <a:prstGeom prst="rect">
                      <a:avLst/>
                    </a:prstGeom>
                  </pic:spPr>
                </pic:pic>
              </a:graphicData>
            </a:graphic>
          </wp:inline>
        </w:drawing>
      </w:r>
    </w:p>
    <w:p w14:paraId="2392480E">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4、关于政府采购支持绿色建材</w:t>
      </w:r>
    </w:p>
    <w:p w14:paraId="1880C2DF">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住房和城乡建设部关于政府采购支持绿色建材促进建筑品质提升试点工作的通知》（财库〔2020〕31号）规定，牢固树立新发展理念，发挥政府采购的示范引领作用，在政府采购工程中积极推广绿色建筑和绿色建材应用，推进建筑业供给侧结构性改革，促进绿色生产和绿色消费，推动经济社会绿色发展。</w:t>
      </w:r>
    </w:p>
    <w:p w14:paraId="59C80093">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5、关于进一步加强政府绿色采购</w:t>
      </w:r>
    </w:p>
    <w:p w14:paraId="52D699D1">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陕西省财政厅关于进一步加强政府绿色采购有关问题的通知》（陕财办采〔2021〕29号）规定，严格落实节能和环保产品采购政策、加大绿色建材产品在政府采购工程中使用、优先采购绿色印刷服务、落实绿色包装和绿色运输要求。</w:t>
      </w:r>
    </w:p>
    <w:p w14:paraId="61D764E0">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6、关于落实平等对待内外资企业有关政策</w:t>
      </w:r>
    </w:p>
    <w:p w14:paraId="42A0BEFC">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根据《财政部关于在政府采购活动中落实平等对待内外资企业有关政策的通知》（财库〔2021〕35号）规定，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14:paraId="17EFDE73">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平等维护内外资企业的合法权益。</w:t>
      </w:r>
    </w:p>
    <w:p w14:paraId="6F39AE7A">
      <w:pPr>
        <w:pStyle w:val="26"/>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7、其他需要落实的政府采购政策。</w:t>
      </w:r>
    </w:p>
    <w:p w14:paraId="352BB78F">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、特殊情况处理</w:t>
      </w:r>
    </w:p>
    <w:p w14:paraId="475FF476">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1、若出现综合得分并列时，投标报价得分高者为第一中标候选人，若投标报价和技术得分两项得分相同，则由全体评标委员会成员无记名投票，得票高者为第一中标候选人。</w:t>
      </w:r>
    </w:p>
    <w:p w14:paraId="6566B488">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2、评标过程中，若出现合格供应商少于三家时，本项目按废标处理并报监督管理机构批准重新组织招标。</w:t>
      </w:r>
    </w:p>
    <w:p w14:paraId="6E6F97FF">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、中标、询问及质疑</w:t>
      </w:r>
    </w:p>
    <w:p w14:paraId="4BBE3079">
      <w:pPr>
        <w:keepNext w:val="0"/>
        <w:keepLines w:val="0"/>
        <w:pageBreakBefore w:val="0"/>
        <w:wordWrap/>
        <w:overflowPunct/>
        <w:autoSpaceDE/>
        <w:autoSpaceDN/>
        <w:bidi w:val="0"/>
        <w:spacing w:line="500" w:lineRule="exact"/>
        <w:ind w:firstLine="560" w:firstLineChars="200"/>
        <w:textAlignment w:val="auto"/>
        <w:rPr>
          <w:rFonts w:ascii="仿宋" w:hAnsi="仿宋" w:cs="仿宋"/>
          <w:szCs w:val="28"/>
          <w:highlight w:val="none"/>
        </w:rPr>
      </w:pPr>
      <w:r>
        <w:rPr>
          <w:rFonts w:hint="eastAsia" w:ascii="仿宋" w:hAnsi="仿宋" w:eastAsia="仿宋" w:cs="仿宋"/>
          <w:sz w:val="28"/>
          <w:szCs w:val="28"/>
          <w:highlight w:val="none"/>
        </w:rPr>
        <w:t>1、确定中标人</w:t>
      </w:r>
    </w:p>
    <w:p w14:paraId="3220A35D">
      <w:pPr>
        <w:pStyle w:val="49"/>
        <w:keepNext w:val="0"/>
        <w:keepLines w:val="0"/>
        <w:pageBreakBefore w:val="0"/>
        <w:kinsoku w:val="0"/>
        <w:wordWrap/>
        <w:overflowPunct/>
        <w:topLinePunct/>
        <w:autoSpaceDE/>
        <w:autoSpaceDN/>
        <w:bidi w:val="0"/>
        <w:spacing w:line="500" w:lineRule="exact"/>
        <w:ind w:firstLine="560"/>
        <w:textAlignment w:val="auto"/>
        <w:rPr>
          <w:rFonts w:hint="default" w:ascii="仿宋" w:hAnsi="仿宋" w:cs="仿宋"/>
          <w:szCs w:val="28"/>
          <w:highlight w:val="none"/>
        </w:rPr>
      </w:pPr>
      <w:r>
        <w:rPr>
          <w:rFonts w:ascii="仿宋" w:hAnsi="仿宋" w:cs="仿宋"/>
          <w:szCs w:val="28"/>
          <w:highlight w:val="none"/>
        </w:rPr>
        <w:t>1.1采购代理机构在评标结束后2个工作日内将评标报告送采购人确认。采购人在收到评标报告后5个工作日内，从评标报告提出的中标候选供应商中，按照排序由高到低的原则确定中标供应商；</w:t>
      </w:r>
    </w:p>
    <w:p w14:paraId="4F007ABA">
      <w:pPr>
        <w:pStyle w:val="49"/>
        <w:keepNext w:val="0"/>
        <w:keepLines w:val="0"/>
        <w:pageBreakBefore w:val="0"/>
        <w:wordWrap/>
        <w:overflowPunct/>
        <w:autoSpaceDE/>
        <w:autoSpaceDN/>
        <w:bidi w:val="0"/>
        <w:spacing w:line="500" w:lineRule="exact"/>
        <w:ind w:firstLine="560"/>
        <w:textAlignment w:val="auto"/>
        <w:rPr>
          <w:rFonts w:hint="default"/>
          <w:highlight w:val="none"/>
        </w:rPr>
      </w:pPr>
      <w:r>
        <w:rPr>
          <w:rFonts w:ascii="仿宋" w:hAnsi="仿宋" w:cs="仿宋"/>
          <w:szCs w:val="28"/>
          <w:highlight w:val="none"/>
        </w:rPr>
        <w:t>1.2采购代理机构在中标供应商确定后2个工作日内在陕西省政府采购网公告中标结果并发放《中标通知书》。</w:t>
      </w:r>
    </w:p>
    <w:p w14:paraId="230DA267">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询问及质疑依据《中华人民共和国政府采购法》《中华人民共和国政府采购法实施条例》《中华人民共和国财政部令第94号》及相关法律法规处理。供应商在法定质疑期内一次性提出针对同一采购程序环节的质疑。</w:t>
      </w:r>
    </w:p>
    <w:p w14:paraId="333C4ED9">
      <w:pPr>
        <w:pStyle w:val="49"/>
        <w:keepNext w:val="0"/>
        <w:keepLines w:val="0"/>
        <w:pageBreakBefore w:val="0"/>
        <w:widowControl/>
        <w:wordWrap/>
        <w:overflowPunct/>
        <w:autoSpaceDE/>
        <w:autoSpaceDN/>
        <w:bidi w:val="0"/>
        <w:adjustRightInd/>
        <w:spacing w:line="500" w:lineRule="exact"/>
        <w:ind w:firstLine="560"/>
        <w:textAlignment w:val="auto"/>
        <w:rPr>
          <w:rFonts w:hint="default" w:ascii="仿宋" w:hAnsi="仿宋" w:cs="仿宋"/>
          <w:highlight w:val="none"/>
        </w:rPr>
      </w:pPr>
      <w:r>
        <w:rPr>
          <w:rFonts w:ascii="仿宋" w:hAnsi="仿宋" w:cs="仿宋"/>
          <w:highlight w:val="none"/>
        </w:rPr>
        <w:t>（1）质疑函应以书面方式递交；（格式见陕西省政府采购网政府采购供应商质疑函范本）</w:t>
      </w:r>
    </w:p>
    <w:p w14:paraId="4A903FFF">
      <w:pPr>
        <w:pStyle w:val="49"/>
        <w:keepNext w:val="0"/>
        <w:keepLines w:val="0"/>
        <w:pageBreakBefore w:val="0"/>
        <w:widowControl/>
        <w:wordWrap/>
        <w:overflowPunct/>
        <w:autoSpaceDE/>
        <w:autoSpaceDN/>
        <w:bidi w:val="0"/>
        <w:adjustRightInd/>
        <w:spacing w:line="500" w:lineRule="exact"/>
        <w:ind w:firstLine="560"/>
        <w:textAlignment w:val="auto"/>
        <w:rPr>
          <w:rFonts w:hint="default" w:ascii="仿宋" w:hAnsi="仿宋" w:cs="仿宋"/>
          <w:highlight w:val="none"/>
        </w:rPr>
      </w:pPr>
      <w:r>
        <w:rPr>
          <w:rFonts w:ascii="仿宋" w:hAnsi="仿宋" w:cs="仿宋"/>
          <w:highlight w:val="none"/>
        </w:rPr>
        <w:t>（2）质疑函递交联系方式：</w:t>
      </w:r>
    </w:p>
    <w:p w14:paraId="5698C073">
      <w:pPr>
        <w:pStyle w:val="49"/>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cs="仿宋"/>
          <w:highlight w:val="none"/>
        </w:rPr>
      </w:pPr>
      <w:r>
        <w:rPr>
          <w:rFonts w:ascii="仿宋" w:hAnsi="仿宋" w:cs="仿宋"/>
          <w:highlight w:val="none"/>
        </w:rPr>
        <w:t>采购代理机构名称：西安欣华联建工程咨询有限公司</w:t>
      </w:r>
    </w:p>
    <w:p w14:paraId="269EBFA5">
      <w:pPr>
        <w:pStyle w:val="49"/>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eastAsia="仿宋" w:cs="仿宋"/>
          <w:highlight w:val="none"/>
          <w:lang w:val="en-US" w:eastAsia="zh-CN"/>
        </w:rPr>
      </w:pPr>
      <w:r>
        <w:rPr>
          <w:rFonts w:ascii="仿宋" w:hAnsi="仿宋" w:cs="仿宋"/>
          <w:highlight w:val="none"/>
        </w:rPr>
        <w:t>电话：</w:t>
      </w:r>
      <w:r>
        <w:rPr>
          <w:rFonts w:hint="eastAsia" w:ascii="仿宋" w:hAnsi="仿宋" w:eastAsia="仿宋" w:cs="仿宋"/>
          <w:bCs/>
          <w:color w:val="auto"/>
          <w:sz w:val="28"/>
          <w:szCs w:val="28"/>
          <w:highlight w:val="none"/>
        </w:rPr>
        <w:t>029-89182232、029-89183511</w:t>
      </w:r>
    </w:p>
    <w:p w14:paraId="442F38AC">
      <w:pPr>
        <w:pStyle w:val="49"/>
        <w:keepNext w:val="0"/>
        <w:keepLines w:val="0"/>
        <w:pageBreakBefore w:val="0"/>
        <w:widowControl/>
        <w:wordWrap/>
        <w:overflowPunct/>
        <w:autoSpaceDE/>
        <w:autoSpaceDN/>
        <w:bidi w:val="0"/>
        <w:adjustRightInd/>
        <w:spacing w:line="500" w:lineRule="exact"/>
        <w:ind w:firstLine="1260" w:firstLineChars="450"/>
        <w:textAlignment w:val="auto"/>
        <w:rPr>
          <w:rFonts w:hint="default" w:ascii="仿宋" w:hAnsi="仿宋" w:cs="仿宋"/>
          <w:szCs w:val="28"/>
          <w:highlight w:val="none"/>
        </w:rPr>
      </w:pPr>
      <w:r>
        <w:rPr>
          <w:rFonts w:ascii="仿宋" w:hAnsi="仿宋" w:cs="仿宋"/>
          <w:highlight w:val="none"/>
        </w:rPr>
        <w:t>地址：</w:t>
      </w:r>
      <w:r>
        <w:rPr>
          <w:rFonts w:ascii="仿宋" w:hAnsi="仿宋" w:cs="仿宋"/>
          <w:szCs w:val="28"/>
          <w:highlight w:val="none"/>
        </w:rPr>
        <w:t>西安市高新区科技二路71号竹园天寰国际14层1404室</w:t>
      </w:r>
    </w:p>
    <w:p w14:paraId="5DB9623C">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3、采购代理机构不做未中标原因的解释。</w:t>
      </w:r>
    </w:p>
    <w:p w14:paraId="2F2E530A">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、合同授予</w:t>
      </w:r>
    </w:p>
    <w:p w14:paraId="1F6D95B2">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1、中标通知书是合同的重要组成部分。</w:t>
      </w:r>
    </w:p>
    <w:p w14:paraId="642AD39D">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2、招标文件、中标人的投标文件及评审过程中有关的澄清文件均作为合同附件。</w:t>
      </w:r>
    </w:p>
    <w:p w14:paraId="390EC3B1">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3、签订合同</w:t>
      </w:r>
    </w:p>
    <w:p w14:paraId="3606A66D">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采购人与中标供应商应当在中标通知书发出之日起</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日内，按照采购文件确定的事项签订政府采购合同。中标供应商拒绝与采购人签订合同的，采购人可以按照评标报告推荐的中标候选人名单排序，确定下一候选人为中标供应商，也可以重新开展政府采购活动。</w:t>
      </w:r>
    </w:p>
    <w:p w14:paraId="1192FF04">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、代理服务费</w:t>
      </w:r>
    </w:p>
    <w:p w14:paraId="7E848A47">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bookmarkStart w:id="155" w:name="_Toc193126874"/>
      <w:bookmarkStart w:id="156" w:name="_Toc194663910"/>
      <w:bookmarkStart w:id="157" w:name="_Toc193187089"/>
      <w:bookmarkStart w:id="158" w:name="_Toc188808820"/>
      <w:r>
        <w:rPr>
          <w:rFonts w:hint="eastAsia" w:ascii="仿宋" w:hAnsi="仿宋" w:eastAsia="仿宋" w:cs="仿宋"/>
          <w:bCs/>
          <w:sz w:val="28"/>
          <w:szCs w:val="28"/>
          <w:highlight w:val="none"/>
          <w:lang w:bidi="ar"/>
        </w:rPr>
        <w:t>1、中标供应商在领取中标通知书时须</w:t>
      </w:r>
      <w:r>
        <w:rPr>
          <w:rFonts w:hint="eastAsia" w:ascii="仿宋" w:hAnsi="仿宋" w:eastAsia="仿宋" w:cs="仿宋"/>
          <w:sz w:val="28"/>
          <w:szCs w:val="28"/>
          <w:highlight w:val="none"/>
          <w:lang w:bidi="ar"/>
        </w:rPr>
        <w:t>向采购代理机构支付</w:t>
      </w:r>
      <w:r>
        <w:rPr>
          <w:rFonts w:hint="eastAsia" w:ascii="仿宋" w:hAnsi="仿宋" w:eastAsia="仿宋" w:cs="仿宋"/>
          <w:bCs/>
          <w:kern w:val="0"/>
          <w:sz w:val="28"/>
          <w:szCs w:val="28"/>
          <w:highlight w:val="none"/>
          <w:lang w:bidi="ar"/>
        </w:rPr>
        <w:t>代理服务费。</w:t>
      </w:r>
    </w:p>
    <w:p w14:paraId="607F49FD">
      <w:pPr>
        <w:keepNext w:val="0"/>
        <w:keepLines w:val="0"/>
        <w:pageBreakBefore w:val="0"/>
        <w:wordWrap/>
        <w:overflowPunct/>
        <w:autoSpaceDE/>
        <w:autoSpaceDN/>
        <w:bidi w:val="0"/>
        <w:spacing w:line="500" w:lineRule="exact"/>
        <w:ind w:firstLine="560" w:firstLineChars="200"/>
        <w:textAlignment w:val="auto"/>
        <w:rPr>
          <w:highlight w:val="none"/>
        </w:rPr>
      </w:pPr>
      <w:r>
        <w:rPr>
          <w:rFonts w:hint="eastAsia" w:ascii="仿宋" w:hAnsi="仿宋" w:eastAsia="仿宋" w:cs="仿宋"/>
          <w:sz w:val="28"/>
          <w:szCs w:val="28"/>
          <w:highlight w:val="none"/>
          <w:lang w:bidi="ar"/>
        </w:rPr>
        <w:t>2、代理服务费：</w:t>
      </w:r>
      <w:r>
        <w:rPr>
          <w:rFonts w:hint="eastAsia" w:ascii="仿宋" w:hAnsi="仿宋" w:eastAsia="仿宋" w:cs="仿宋"/>
          <w:sz w:val="28"/>
          <w:szCs w:val="28"/>
          <w:highlight w:val="none"/>
        </w:rPr>
        <w:t>参照</w:t>
      </w:r>
      <w:r>
        <w:rPr>
          <w:rFonts w:hint="eastAsia" w:ascii="仿宋" w:hAnsi="仿宋" w:eastAsia="仿宋" w:cs="仿宋"/>
          <w:sz w:val="28"/>
          <w:szCs w:val="28"/>
          <w:highlight w:val="none"/>
          <w:lang w:eastAsia="zh-CN"/>
        </w:rPr>
        <w:t>原</w:t>
      </w:r>
      <w:r>
        <w:rPr>
          <w:rFonts w:hint="eastAsia" w:ascii="仿宋" w:hAnsi="仿宋" w:eastAsia="仿宋" w:cs="仿宋"/>
          <w:bCs/>
          <w:sz w:val="28"/>
          <w:szCs w:val="28"/>
          <w:highlight w:val="none"/>
          <w:lang w:bidi="ar"/>
        </w:rPr>
        <w:t>《国家计委关于印发&lt;招标代理服务收费管理暂行办法&gt;的通知》（计价格〔2002〕1980号）、《国家发展改革委员会办公厅关于招标代理服务收费有关问题的通知》（发改办价格〔2003〕857号）的规定标准执行，按差额定率累进法收取费用</w:t>
      </w:r>
      <w:r>
        <w:rPr>
          <w:rFonts w:hint="eastAsia" w:ascii="仿宋" w:hAnsi="仿宋" w:eastAsia="仿宋" w:cs="仿宋"/>
          <w:bCs/>
          <w:color w:val="auto"/>
          <w:sz w:val="28"/>
          <w:szCs w:val="28"/>
          <w:highlight w:val="none"/>
          <w:lang w:bidi="ar"/>
        </w:rPr>
        <w:t>，100万以下按1.5%收取，</w:t>
      </w:r>
      <w:r>
        <w:rPr>
          <w:rFonts w:hint="eastAsia" w:ascii="仿宋" w:hAnsi="仿宋" w:eastAsia="仿宋" w:cs="仿宋"/>
          <w:bCs/>
          <w:sz w:val="28"/>
          <w:szCs w:val="28"/>
          <w:highlight w:val="none"/>
        </w:rPr>
        <w:t>100万-500万按</w:t>
      </w:r>
      <w:r>
        <w:rPr>
          <w:rFonts w:hint="eastAsia" w:ascii="仿宋" w:hAnsi="仿宋" w:eastAsia="仿宋" w:cs="仿宋"/>
          <w:bCs/>
          <w:sz w:val="28"/>
          <w:szCs w:val="28"/>
          <w:highlight w:val="none"/>
          <w:lang w:val="en-US" w:eastAsia="zh-CN"/>
        </w:rPr>
        <w:t>0.8</w:t>
      </w:r>
      <w:r>
        <w:rPr>
          <w:rFonts w:hint="eastAsia" w:ascii="仿宋" w:hAnsi="仿宋" w:eastAsia="仿宋" w:cs="仿宋"/>
          <w:bCs/>
          <w:sz w:val="28"/>
          <w:szCs w:val="28"/>
          <w:highlight w:val="none"/>
        </w:rPr>
        <w:t>%收取。</w:t>
      </w:r>
    </w:p>
    <w:p w14:paraId="79096E74">
      <w:pPr>
        <w:keepNext w:val="0"/>
        <w:keepLines w:val="0"/>
        <w:pageBreakBefore w:val="0"/>
        <w:wordWrap/>
        <w:overflowPunct/>
        <w:autoSpaceDE/>
        <w:autoSpaceDN/>
        <w:bidi w:val="0"/>
        <w:spacing w:line="50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、其他</w:t>
      </w:r>
      <w:bookmarkEnd w:id="155"/>
      <w:bookmarkEnd w:id="156"/>
      <w:bookmarkEnd w:id="157"/>
      <w:bookmarkEnd w:id="158"/>
    </w:p>
    <w:p w14:paraId="2BB8E2BE">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1、如果发生下列情况本项目按废标处理并报监督管理机构批准重新组织招标：</w:t>
      </w:r>
    </w:p>
    <w:p w14:paraId="5117C39E">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1.1有效供应商不足三家；</w:t>
      </w:r>
    </w:p>
    <w:p w14:paraId="27ACB2EC">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1.2所有供应商的报价均超出</w:t>
      </w:r>
      <w:r>
        <w:rPr>
          <w:rFonts w:hint="eastAsia" w:ascii="仿宋" w:hAnsi="仿宋" w:eastAsia="仿宋" w:cs="仿宋"/>
          <w:sz w:val="28"/>
          <w:szCs w:val="28"/>
          <w:highlight w:val="none"/>
          <w:lang w:eastAsia="zh-CN"/>
        </w:rPr>
        <w:t>预算金额</w:t>
      </w:r>
      <w:r>
        <w:rPr>
          <w:rFonts w:hint="eastAsia" w:ascii="仿宋" w:hAnsi="仿宋" w:eastAsia="仿宋" w:cs="仿宋"/>
          <w:sz w:val="28"/>
          <w:szCs w:val="28"/>
          <w:highlight w:val="none"/>
        </w:rPr>
        <w:t>，采购人不能支付的；</w:t>
      </w:r>
    </w:p>
    <w:p w14:paraId="36286C03">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1.3评标委员会三分之二以上评委认定所有投标报价存在价格不实的现象；</w:t>
      </w:r>
    </w:p>
    <w:p w14:paraId="35BA065D">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1.4有证据证明有围标现象的发生。</w:t>
      </w:r>
    </w:p>
    <w:p w14:paraId="5DA0AD9A">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2、拒绝商业贿赂</w:t>
      </w:r>
    </w:p>
    <w:p w14:paraId="700D13D7">
      <w:pPr>
        <w:keepNext w:val="0"/>
        <w:keepLines w:val="0"/>
        <w:pageBreakBefore w:val="0"/>
        <w:wordWrap/>
        <w:overflowPunct/>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2.1遵照陕西省财政厅的规定，采购人、采购代理机构、供应商和评标委员会在招投标活动中，都要签订相应的《拒绝政府采购领域商业贿赂承诺书》，并对违反承诺的行为承担全部责任；</w:t>
      </w:r>
    </w:p>
    <w:p w14:paraId="75AC6459">
      <w:pPr>
        <w:keepNext w:val="0"/>
        <w:keepLines w:val="0"/>
        <w:pageBreakBefore w:val="0"/>
        <w:wordWrap/>
        <w:overflowPunct/>
        <w:autoSpaceDE/>
        <w:autoSpaceDN/>
        <w:bidi w:val="0"/>
        <w:snapToGrid w:val="0"/>
        <w:spacing w:line="500" w:lineRule="exact"/>
        <w:ind w:firstLine="56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2.2供应商必须填写一份《拒绝政府采购领域商业贿赂承诺书》（附件），应保证投标文件正、副本中均有且一致。</w:t>
      </w:r>
    </w:p>
    <w:p w14:paraId="03362D29">
      <w:pPr>
        <w:numPr>
          <w:ilvl w:val="0"/>
          <w:numId w:val="0"/>
        </w:numPr>
        <w:snapToGrid w:val="0"/>
        <w:spacing w:line="500" w:lineRule="exact"/>
        <w:jc w:val="center"/>
        <w:outlineLvl w:val="0"/>
        <w:rPr>
          <w:rFonts w:hint="eastAsia" w:ascii="仿宋" w:hAnsi="仿宋" w:eastAsia="仿宋" w:cs="仿宋"/>
          <w:b/>
          <w:bCs/>
          <w:kern w:val="0"/>
          <w:sz w:val="44"/>
          <w:szCs w:val="44"/>
          <w:highlight w:val="none"/>
          <w:lang w:val="en-US" w:eastAsia="zh-CN" w:bidi="ar-SA"/>
        </w:rPr>
        <w:sectPr>
          <w:footerReference r:id="rId6" w:type="default"/>
          <w:pgSz w:w="11906" w:h="16838"/>
          <w:pgMar w:top="1440" w:right="1080" w:bottom="1440" w:left="1080" w:header="851" w:footer="992" w:gutter="0"/>
          <w:pgNumType w:fmt="decimal" w:start="1"/>
          <w:cols w:space="425" w:num="1"/>
          <w:docGrid w:type="lines" w:linePitch="312" w:charSpace="0"/>
        </w:sectPr>
      </w:pPr>
      <w:bookmarkStart w:id="159" w:name="_Toc19349"/>
    </w:p>
    <w:p w14:paraId="6D9AC457">
      <w:pPr>
        <w:numPr>
          <w:ilvl w:val="0"/>
          <w:numId w:val="0"/>
        </w:numPr>
        <w:snapToGrid w:val="0"/>
        <w:spacing w:line="500" w:lineRule="exact"/>
        <w:jc w:val="center"/>
        <w:outlineLvl w:val="0"/>
        <w:rPr>
          <w:rFonts w:hint="eastAsia"/>
          <w:highlight w:val="none"/>
        </w:rPr>
      </w:pPr>
      <w:bookmarkStart w:id="160" w:name="_Toc19143"/>
      <w:r>
        <w:rPr>
          <w:rFonts w:hint="eastAsia" w:ascii="仿宋" w:hAnsi="仿宋" w:eastAsia="仿宋" w:cs="仿宋"/>
          <w:b/>
          <w:bCs/>
          <w:kern w:val="0"/>
          <w:sz w:val="44"/>
          <w:szCs w:val="44"/>
          <w:highlight w:val="none"/>
          <w:lang w:val="en-US" w:eastAsia="zh-CN" w:bidi="ar-SA"/>
        </w:rPr>
        <w:t>第四章</w:t>
      </w:r>
      <w:r>
        <w:rPr>
          <w:rFonts w:hint="eastAsia" w:ascii="仿宋" w:hAnsi="仿宋" w:eastAsia="仿宋" w:cs="仿宋"/>
          <w:b/>
          <w:bCs/>
          <w:kern w:val="0"/>
          <w:sz w:val="44"/>
          <w:szCs w:val="44"/>
          <w:highlight w:val="none"/>
          <w:lang w:val="en-US" w:eastAsia="zh-CN"/>
        </w:rPr>
        <w:t xml:space="preserve"> </w:t>
      </w:r>
      <w:r>
        <w:rPr>
          <w:rFonts w:hint="eastAsia" w:ascii="仿宋" w:hAnsi="仿宋" w:eastAsia="仿宋" w:cs="仿宋"/>
          <w:b/>
          <w:bCs/>
          <w:kern w:val="0"/>
          <w:sz w:val="44"/>
          <w:szCs w:val="44"/>
          <w:highlight w:val="none"/>
        </w:rPr>
        <w:t xml:space="preserve"> 采购内容</w:t>
      </w:r>
      <w:bookmarkEnd w:id="159"/>
      <w:bookmarkEnd w:id="160"/>
    </w:p>
    <w:p w14:paraId="565372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lang w:val="en-US" w:eastAsia="zh-CN"/>
        </w:rPr>
        <w:t>项目概况</w:t>
      </w:r>
    </w:p>
    <w:p w14:paraId="1F9309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韩城黄河大数据中心（以下简称“数据中心”）是统筹推进韩城市信息化进程的信息化基础工程，作为韩城市大数据基础网络的云计算中心，承载着韩城“政务云”、“工业云”、“金融云”、“社区云”等云平台服务，机房内系统软硬件资产属于韩城市政务大数据服务中心</w:t>
      </w:r>
    </w:p>
    <w:p w14:paraId="4F585A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该数据中心于2018年4月正式启用，</w:t>
      </w:r>
      <w:r>
        <w:rPr>
          <w:rFonts w:hint="eastAsia" w:ascii="仿宋" w:hAnsi="仿宋" w:eastAsia="仿宋" w:cs="仿宋"/>
          <w:sz w:val="28"/>
          <w:szCs w:val="28"/>
        </w:rPr>
        <w:t>位于韩城市新城区二环路以东，高速路以西，</w:t>
      </w:r>
      <w:r>
        <w:rPr>
          <w:rFonts w:hint="eastAsia" w:ascii="仿宋" w:hAnsi="仿宋" w:eastAsia="仿宋" w:cs="仿宋"/>
          <w:sz w:val="28"/>
          <w:szCs w:val="28"/>
          <w:lang w:val="en-US" w:eastAsia="zh-CN"/>
        </w:rPr>
        <w:t>整体占地18.5亩，总建筑面积为5316平方米，其中数据中心机房占地面积为1021平方米。建设标准为PUE值低于1.8，可用率99.9%，按照GB50174标准A级机房进行建设。数据中心拥有4个微模块94个机柜，在用机柜85个，以及密闭冷通道、机房空调、门禁安防、UPS配电箱间、高低压配电间、柴油发电间、储油罐等设施。场地资产属于韩城市信息产业投资有限责任公司所有（以下简称信投公司）。</w:t>
      </w:r>
    </w:p>
    <w:p w14:paraId="4977F7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据中心整体采用华为云计算技术服务，资产设备分6个集群，物理隔离，逻辑打通，约414台设备。其中安全设备27台，存储设备67台，服务器139台，网络设备159台，终端设备22台。项目总投资软硬件2300万元。网络链路双线路，1G、2G各一条。拥有R6及HSC两套云计算架构，已开通近400台云主机，供给3464核vCPU 、9510GB内存、857000GB存储云资源，承载韩城市政府部门的47套业务应用系统。设备和数据资产属于韩城市政务大数据服务中心所有或代持（以下简称政数中心）。</w:t>
      </w:r>
    </w:p>
    <w:p w14:paraId="0FE6B4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韩城市政府大院政务机房位于1号楼6楼，2010年按照县级电子政务机房标准建设，面积为27平方米，主要设备为：空调2台、接入交换机5台、解析服务器1台。该机房目前主要承载政府大院政务内网、政务外网等建设和运行维护工作。</w:t>
      </w:r>
    </w:p>
    <w:p w14:paraId="797445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sz w:val="28"/>
          <w:szCs w:val="28"/>
          <w:lang w:val="en-US" w:eastAsia="zh-CN"/>
        </w:rPr>
        <w:t>技术要求</w:t>
      </w:r>
    </w:p>
    <w:p w14:paraId="328C69D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项目经理需持有数据中心网络或云平台相关技术能力证书。</w:t>
      </w:r>
    </w:p>
    <w:p w14:paraId="0D4604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（一）</w:t>
      </w:r>
      <w:r>
        <w:rPr>
          <w:rFonts w:hint="eastAsia" w:ascii="仿宋" w:hAnsi="仿宋" w:eastAsia="仿宋" w:cs="仿宋"/>
          <w:sz w:val="28"/>
          <w:szCs w:val="28"/>
          <w:lang w:val="en-US" w:eastAsia="zh-CN"/>
        </w:rPr>
        <w:t>服务内容</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6"/>
        <w:gridCol w:w="1230"/>
        <w:gridCol w:w="5847"/>
        <w:gridCol w:w="1125"/>
        <w:gridCol w:w="914"/>
      </w:tblGrid>
      <w:tr w14:paraId="2641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19" w:type="pct"/>
            <w:shd w:val="clear" w:color="auto" w:fill="auto"/>
            <w:noWrap/>
            <w:vAlign w:val="center"/>
          </w:tcPr>
          <w:p w14:paraId="30886C5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17" w:type="pct"/>
            <w:shd w:val="clear" w:color="auto" w:fill="auto"/>
            <w:noWrap/>
            <w:vAlign w:val="center"/>
          </w:tcPr>
          <w:p w14:paraId="72B5760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服务类型</w:t>
            </w:r>
          </w:p>
        </w:tc>
        <w:tc>
          <w:tcPr>
            <w:tcW w:w="2938" w:type="pct"/>
            <w:shd w:val="clear" w:color="auto" w:fill="auto"/>
            <w:noWrap/>
            <w:vAlign w:val="center"/>
          </w:tcPr>
          <w:p w14:paraId="0F6A37A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服务描述</w:t>
            </w:r>
          </w:p>
        </w:tc>
        <w:tc>
          <w:tcPr>
            <w:tcW w:w="565" w:type="pct"/>
            <w:shd w:val="clear" w:color="auto" w:fill="auto"/>
            <w:noWrap/>
            <w:vAlign w:val="center"/>
          </w:tcPr>
          <w:p w14:paraId="423343A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459" w:type="pct"/>
            <w:shd w:val="clear" w:color="auto" w:fill="auto"/>
            <w:noWrap/>
            <w:vAlign w:val="center"/>
          </w:tcPr>
          <w:p w14:paraId="3B2C153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r>
      <w:tr w14:paraId="1AD2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04113B6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17" w:type="pct"/>
            <w:shd w:val="clear" w:color="auto" w:fill="auto"/>
            <w:noWrap/>
            <w:vAlign w:val="center"/>
          </w:tcPr>
          <w:p w14:paraId="25783F4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场地租赁</w:t>
            </w:r>
          </w:p>
        </w:tc>
        <w:tc>
          <w:tcPr>
            <w:tcW w:w="2938" w:type="pct"/>
            <w:shd w:val="clear" w:color="auto" w:fill="auto"/>
            <w:vAlign w:val="center"/>
          </w:tcPr>
          <w:p w14:paraId="0004EAF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数据中心办公共用区域，面积为360平方米，按当地市场价（自行与产权单位商定）</w:t>
            </w:r>
          </w:p>
        </w:tc>
        <w:tc>
          <w:tcPr>
            <w:tcW w:w="565" w:type="pct"/>
            <w:shd w:val="clear" w:color="auto" w:fill="auto"/>
            <w:vAlign w:val="center"/>
          </w:tcPr>
          <w:p w14:paraId="3CD4677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36AB76A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15F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154E59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17" w:type="pct"/>
            <w:shd w:val="clear" w:color="auto" w:fill="auto"/>
            <w:noWrap/>
            <w:vAlign w:val="center"/>
          </w:tcPr>
          <w:p w14:paraId="717C8B9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物业</w:t>
            </w:r>
          </w:p>
        </w:tc>
        <w:tc>
          <w:tcPr>
            <w:tcW w:w="2938" w:type="pct"/>
            <w:shd w:val="clear" w:color="auto" w:fill="auto"/>
            <w:vAlign w:val="center"/>
          </w:tcPr>
          <w:p w14:paraId="6E55DF6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数据中心机房及办公共用区域1021平方米物业，按当地市场价（自行与产权单位商定）</w:t>
            </w:r>
          </w:p>
        </w:tc>
        <w:tc>
          <w:tcPr>
            <w:tcW w:w="565" w:type="pct"/>
            <w:shd w:val="clear" w:color="auto" w:fill="auto"/>
            <w:vAlign w:val="center"/>
          </w:tcPr>
          <w:p w14:paraId="27D6BEB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4DDE959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240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0FDABF9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17" w:type="pct"/>
            <w:shd w:val="clear" w:color="auto" w:fill="auto"/>
            <w:noWrap/>
            <w:vAlign w:val="center"/>
          </w:tcPr>
          <w:p w14:paraId="4D3237C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日常用水</w:t>
            </w:r>
          </w:p>
        </w:tc>
        <w:tc>
          <w:tcPr>
            <w:tcW w:w="2938" w:type="pct"/>
            <w:shd w:val="clear" w:color="auto" w:fill="auto"/>
            <w:vAlign w:val="center"/>
          </w:tcPr>
          <w:p w14:paraId="35C110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数据中心日常卫生及清洁用水，按市政用水定价</w:t>
            </w:r>
          </w:p>
        </w:tc>
        <w:tc>
          <w:tcPr>
            <w:tcW w:w="565" w:type="pct"/>
            <w:shd w:val="clear" w:color="auto" w:fill="auto"/>
            <w:vAlign w:val="center"/>
          </w:tcPr>
          <w:p w14:paraId="6A024C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6403510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90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7DB637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17" w:type="pct"/>
            <w:shd w:val="clear" w:color="auto" w:fill="auto"/>
            <w:noWrap/>
            <w:vAlign w:val="center"/>
          </w:tcPr>
          <w:p w14:paraId="55BDCF2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日常用电</w:t>
            </w:r>
          </w:p>
        </w:tc>
        <w:tc>
          <w:tcPr>
            <w:tcW w:w="2938" w:type="pct"/>
            <w:shd w:val="clear" w:color="auto" w:fill="auto"/>
            <w:vAlign w:val="center"/>
          </w:tcPr>
          <w:p w14:paraId="193E97D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数据中心云服务资产设备414台及日常照明，按国网用电定价</w:t>
            </w:r>
          </w:p>
        </w:tc>
        <w:tc>
          <w:tcPr>
            <w:tcW w:w="565" w:type="pct"/>
            <w:shd w:val="clear" w:color="auto" w:fill="auto"/>
            <w:vAlign w:val="center"/>
          </w:tcPr>
          <w:p w14:paraId="583B3D1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735B07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0C2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60B44CE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17" w:type="pct"/>
            <w:shd w:val="clear" w:color="auto" w:fill="auto"/>
            <w:noWrap/>
            <w:vAlign w:val="center"/>
          </w:tcPr>
          <w:p w14:paraId="3AB6F91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网络链路费</w:t>
            </w:r>
          </w:p>
        </w:tc>
        <w:tc>
          <w:tcPr>
            <w:tcW w:w="2938" w:type="pct"/>
            <w:shd w:val="clear" w:color="auto" w:fill="auto"/>
            <w:vAlign w:val="center"/>
          </w:tcPr>
          <w:p w14:paraId="16C3097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数据中心双网络链路1G、2G各一条，按运营商标准定价</w:t>
            </w:r>
          </w:p>
        </w:tc>
        <w:tc>
          <w:tcPr>
            <w:tcW w:w="565" w:type="pct"/>
            <w:shd w:val="clear" w:color="auto" w:fill="auto"/>
            <w:vAlign w:val="center"/>
          </w:tcPr>
          <w:p w14:paraId="01BD5D0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1232693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97F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1836C4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17" w:type="pct"/>
            <w:shd w:val="clear" w:color="auto" w:fill="auto"/>
            <w:noWrap/>
            <w:vAlign w:val="center"/>
          </w:tcPr>
          <w:p w14:paraId="69BF91F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等保测评</w:t>
            </w:r>
          </w:p>
        </w:tc>
        <w:tc>
          <w:tcPr>
            <w:tcW w:w="2938" w:type="pct"/>
            <w:shd w:val="clear" w:color="auto" w:fill="auto"/>
            <w:vAlign w:val="center"/>
          </w:tcPr>
          <w:p w14:paraId="1C742C8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数据中心云平台每年等保评测费用</w:t>
            </w:r>
          </w:p>
        </w:tc>
        <w:tc>
          <w:tcPr>
            <w:tcW w:w="565" w:type="pct"/>
            <w:shd w:val="clear" w:color="auto" w:fill="auto"/>
            <w:vAlign w:val="center"/>
          </w:tcPr>
          <w:p w14:paraId="4870153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459" w:type="pct"/>
            <w:shd w:val="clear" w:color="auto" w:fill="auto"/>
            <w:vAlign w:val="center"/>
          </w:tcPr>
          <w:p w14:paraId="12254F7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BA3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6929B33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17" w:type="pct"/>
            <w:shd w:val="clear" w:color="auto" w:fill="auto"/>
            <w:noWrap/>
            <w:vAlign w:val="center"/>
          </w:tcPr>
          <w:p w14:paraId="068E633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其它费用</w:t>
            </w:r>
          </w:p>
        </w:tc>
        <w:tc>
          <w:tcPr>
            <w:tcW w:w="2938" w:type="pct"/>
            <w:shd w:val="clear" w:color="auto" w:fill="auto"/>
            <w:vAlign w:val="center"/>
          </w:tcPr>
          <w:p w14:paraId="47497ED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其它后备费用，用于保障云服务工作正常运行</w:t>
            </w:r>
          </w:p>
        </w:tc>
        <w:tc>
          <w:tcPr>
            <w:tcW w:w="565" w:type="pct"/>
            <w:shd w:val="clear" w:color="auto" w:fill="auto"/>
            <w:vAlign w:val="center"/>
          </w:tcPr>
          <w:p w14:paraId="0B239EF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573E5DD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1B7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799C86E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17" w:type="pct"/>
            <w:shd w:val="clear" w:color="auto" w:fill="auto"/>
            <w:noWrap/>
            <w:vAlign w:val="center"/>
          </w:tcPr>
          <w:p w14:paraId="40B0BE5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机房配套设备租赁</w:t>
            </w:r>
          </w:p>
        </w:tc>
        <w:tc>
          <w:tcPr>
            <w:tcW w:w="2938" w:type="pct"/>
            <w:shd w:val="clear" w:color="auto" w:fill="auto"/>
            <w:vAlign w:val="center"/>
          </w:tcPr>
          <w:p w14:paraId="3142FFA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数据中心机柜、空调等配套设备，按行业机柜租赁标准定价（自行与产权单位商定）</w:t>
            </w:r>
          </w:p>
        </w:tc>
        <w:tc>
          <w:tcPr>
            <w:tcW w:w="565" w:type="pct"/>
            <w:shd w:val="clear" w:color="auto" w:fill="auto"/>
            <w:vAlign w:val="center"/>
          </w:tcPr>
          <w:p w14:paraId="23A76A5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30B9C55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A16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39A1499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17" w:type="pct"/>
            <w:shd w:val="clear" w:color="auto" w:fill="auto"/>
            <w:noWrap/>
            <w:vAlign w:val="center"/>
          </w:tcPr>
          <w:p w14:paraId="1D161D9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设备维护</w:t>
            </w:r>
          </w:p>
        </w:tc>
        <w:tc>
          <w:tcPr>
            <w:tcW w:w="2938" w:type="pct"/>
            <w:shd w:val="clear" w:color="auto" w:fill="auto"/>
            <w:vAlign w:val="center"/>
          </w:tcPr>
          <w:p w14:paraId="6598F48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shd w:val="clear"/>
                <w:lang w:val="en-US" w:eastAsia="zh-CN" w:bidi="ar"/>
                <w14:textFill>
                  <w14:solidFill>
                    <w14:schemeClr w14:val="tx1"/>
                  </w14:solidFill>
                </w14:textFill>
              </w:rPr>
              <w:t>数据中心云平台设备和政府大院机房日常功能性维护。</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对于设备损耗需更换处理的，单次总费用低于5万元的，由中标人负责维修更换处理。若单次总费用超过5万元的，损耗及维修件另行向主管部门申请。（全年总价超过合同总标价的6%，超过另行计算）</w:t>
            </w:r>
          </w:p>
        </w:tc>
        <w:tc>
          <w:tcPr>
            <w:tcW w:w="565" w:type="pct"/>
            <w:shd w:val="clear" w:color="auto" w:fill="auto"/>
            <w:vAlign w:val="center"/>
          </w:tcPr>
          <w:p w14:paraId="1F11E44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385D43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AAD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587FA60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17" w:type="pct"/>
            <w:shd w:val="clear" w:color="auto" w:fill="auto"/>
            <w:noWrap/>
            <w:vAlign w:val="center"/>
          </w:tcPr>
          <w:p w14:paraId="55EF360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日常耗材更新</w:t>
            </w:r>
          </w:p>
        </w:tc>
        <w:tc>
          <w:tcPr>
            <w:tcW w:w="2938" w:type="pct"/>
            <w:shd w:val="clear" w:color="auto" w:fill="auto"/>
            <w:vAlign w:val="center"/>
          </w:tcPr>
          <w:p w14:paraId="033C8CF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数据中心云服务日常耗材更新，包括不限于网络跳线、打印纸、硒鼓、标签纸、记号笔、捆扎带等。设备损坏维修等情况按设备维护另行向主管部门申请。（全年维修总价超过合同总标价的6%，超过另行计算）</w:t>
            </w:r>
          </w:p>
        </w:tc>
        <w:tc>
          <w:tcPr>
            <w:tcW w:w="565" w:type="pct"/>
            <w:shd w:val="clear" w:color="auto" w:fill="auto"/>
            <w:vAlign w:val="center"/>
          </w:tcPr>
          <w:p w14:paraId="7F2F85F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6CBC11A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43F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562F046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617" w:type="pct"/>
            <w:shd w:val="clear" w:color="auto" w:fill="auto"/>
            <w:noWrap/>
            <w:vAlign w:val="center"/>
          </w:tcPr>
          <w:p w14:paraId="285CC4D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计算资源服务</w:t>
            </w:r>
          </w:p>
        </w:tc>
        <w:tc>
          <w:tcPr>
            <w:tcW w:w="2938" w:type="pct"/>
            <w:shd w:val="clear" w:color="auto" w:fill="auto"/>
            <w:vAlign w:val="center"/>
          </w:tcPr>
          <w:p w14:paraId="5D73801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参照多地政务云 “统一规划、分步实施” 的思路，先以 47 套系统的资源需求为基准（如按单套系统平均所需 vCPU 核数、内存容量核算总配额），搭建基础资源池，同时预留30%的冗余资源，用于支撑新增部门的系统部署。</w:t>
            </w:r>
          </w:p>
        </w:tc>
        <w:tc>
          <w:tcPr>
            <w:tcW w:w="565" w:type="pct"/>
            <w:shd w:val="clear" w:color="auto" w:fill="auto"/>
            <w:vAlign w:val="center"/>
          </w:tcPr>
          <w:p w14:paraId="2C9E6C6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6C6EF10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24E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57710AA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17" w:type="pct"/>
            <w:shd w:val="clear" w:color="auto" w:fill="auto"/>
            <w:noWrap/>
            <w:vAlign w:val="center"/>
          </w:tcPr>
          <w:p w14:paraId="1D2918F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存储资源服务</w:t>
            </w:r>
          </w:p>
        </w:tc>
        <w:tc>
          <w:tcPr>
            <w:tcW w:w="2938" w:type="pct"/>
            <w:shd w:val="clear" w:color="auto" w:fill="auto"/>
            <w:vAlign w:val="center"/>
          </w:tcPr>
          <w:p w14:paraId="49674CA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为满足数据中心机房存储、计算需求，需提供对象存储、块存储、文件存储等方式的基础云服务</w:t>
            </w:r>
          </w:p>
        </w:tc>
        <w:tc>
          <w:tcPr>
            <w:tcW w:w="565" w:type="pct"/>
            <w:shd w:val="clear" w:color="auto" w:fill="auto"/>
            <w:vAlign w:val="center"/>
          </w:tcPr>
          <w:p w14:paraId="760FB40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5A10497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773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75DDBCA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17" w:type="pct"/>
            <w:shd w:val="clear" w:color="auto" w:fill="auto"/>
            <w:noWrap/>
            <w:vAlign w:val="center"/>
          </w:tcPr>
          <w:p w14:paraId="55C7F3C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网络运行服务</w:t>
            </w:r>
          </w:p>
        </w:tc>
        <w:tc>
          <w:tcPr>
            <w:tcW w:w="2938" w:type="pct"/>
            <w:shd w:val="clear" w:color="auto" w:fill="auto"/>
            <w:vAlign w:val="center"/>
          </w:tcPr>
          <w:p w14:paraId="5EEF42A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为满足数据中心机房存储、计算需求，需提供云资源与韩城市级电子政务网网络链路、网络负载均衡等通畅基础服务</w:t>
            </w:r>
          </w:p>
        </w:tc>
        <w:tc>
          <w:tcPr>
            <w:tcW w:w="565" w:type="pct"/>
            <w:shd w:val="clear" w:color="auto" w:fill="auto"/>
            <w:vAlign w:val="center"/>
          </w:tcPr>
          <w:p w14:paraId="0394E48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73C8334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0E5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2E8E52A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617" w:type="pct"/>
            <w:shd w:val="clear" w:color="auto" w:fill="auto"/>
            <w:noWrap/>
            <w:vAlign w:val="center"/>
          </w:tcPr>
          <w:p w14:paraId="2A37313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云资源安全运行服务</w:t>
            </w:r>
          </w:p>
        </w:tc>
        <w:tc>
          <w:tcPr>
            <w:tcW w:w="2938" w:type="pct"/>
            <w:shd w:val="clear" w:color="auto" w:fill="auto"/>
            <w:vAlign w:val="center"/>
          </w:tcPr>
          <w:p w14:paraId="263AAE3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为满足数据中心机房存储、计算需求，需提供防火墙、入侵/预防、数据加密等安全保障基础服务</w:t>
            </w:r>
          </w:p>
        </w:tc>
        <w:tc>
          <w:tcPr>
            <w:tcW w:w="565" w:type="pct"/>
            <w:shd w:val="clear" w:color="auto" w:fill="auto"/>
            <w:vAlign w:val="center"/>
          </w:tcPr>
          <w:p w14:paraId="57833B7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6986C34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4CE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9" w:type="pct"/>
            <w:shd w:val="clear" w:color="auto" w:fill="auto"/>
            <w:noWrap/>
            <w:vAlign w:val="center"/>
          </w:tcPr>
          <w:p w14:paraId="62B8ECB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617" w:type="pct"/>
            <w:shd w:val="clear" w:color="auto" w:fill="auto"/>
            <w:noWrap/>
            <w:vAlign w:val="center"/>
          </w:tcPr>
          <w:p w14:paraId="4A3D14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智能知识库服务</w:t>
            </w:r>
          </w:p>
        </w:tc>
        <w:tc>
          <w:tcPr>
            <w:tcW w:w="2938" w:type="pct"/>
            <w:shd w:val="clear" w:color="auto" w:fill="auto"/>
            <w:vAlign w:val="center"/>
          </w:tcPr>
          <w:p w14:paraId="6097974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提供CPU:≥鲲鹏920-48C*2 2.6Ghz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内存≥512GB DDR4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硬盘≥系统盘 SSD 480*2 SATA:数据盘 SSD 960*3 SATA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GPU:≥2*Atlas300IDUO，算力≥280TOPSINT8，总显存≥2*96GB DDR4</w:t>
            </w:r>
          </w:p>
          <w:p w14:paraId="1CA4FEE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搭载:智能体运行平台及16个智能体，分别为“办公提效类”、“公文写作类”、“政策服务类”智能体应用。</w:t>
            </w:r>
          </w:p>
        </w:tc>
        <w:tc>
          <w:tcPr>
            <w:tcW w:w="565" w:type="pct"/>
            <w:shd w:val="clear" w:color="auto" w:fill="auto"/>
            <w:vAlign w:val="center"/>
          </w:tcPr>
          <w:p w14:paraId="0F5A03A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459" w:type="pct"/>
            <w:shd w:val="clear" w:color="auto" w:fill="auto"/>
            <w:vAlign w:val="center"/>
          </w:tcPr>
          <w:p w14:paraId="671E30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7DC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shd w:val="clear" w:color="auto" w:fill="auto"/>
            <w:noWrap/>
            <w:vAlign w:val="center"/>
          </w:tcPr>
          <w:p w14:paraId="6DAA58A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617" w:type="pct"/>
            <w:shd w:val="clear" w:color="auto" w:fill="auto"/>
            <w:noWrap/>
            <w:vAlign w:val="center"/>
          </w:tcPr>
          <w:p w14:paraId="211EF73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驻场技术服务</w:t>
            </w:r>
          </w:p>
        </w:tc>
        <w:tc>
          <w:tcPr>
            <w:tcW w:w="2938" w:type="pct"/>
            <w:shd w:val="clear" w:color="auto" w:fill="auto"/>
            <w:vAlign w:val="center"/>
          </w:tcPr>
          <w:p w14:paraId="2577590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数据中心7*24小时驻场服务，驻场技术人员不少于3人（需具备操作证书）。负责日常故障响应处理、部门系统故障协助排除、共享交换平台中跨部门数据共享交换办理。电子政务网维护和技术支撑等，每月及每季度巡检。</w:t>
            </w:r>
          </w:p>
        </w:tc>
        <w:tc>
          <w:tcPr>
            <w:tcW w:w="565" w:type="pct"/>
            <w:shd w:val="clear" w:color="auto" w:fill="auto"/>
            <w:vAlign w:val="center"/>
          </w:tcPr>
          <w:p w14:paraId="27E43CC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18FB6A8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4B8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9" w:type="pct"/>
            <w:shd w:val="clear" w:color="auto" w:fill="auto"/>
            <w:noWrap/>
            <w:vAlign w:val="center"/>
          </w:tcPr>
          <w:p w14:paraId="6E1B0E9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617" w:type="pct"/>
            <w:shd w:val="clear" w:color="auto" w:fill="auto"/>
            <w:noWrap/>
            <w:vAlign w:val="center"/>
          </w:tcPr>
          <w:p w14:paraId="1633EC2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行政管理</w:t>
            </w:r>
          </w:p>
        </w:tc>
        <w:tc>
          <w:tcPr>
            <w:tcW w:w="2938" w:type="pct"/>
            <w:shd w:val="clear" w:color="auto" w:fill="auto"/>
            <w:vAlign w:val="center"/>
          </w:tcPr>
          <w:p w14:paraId="16C4C90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负责日常业务对接，流程处理，行政支撑等工作，不少于2人。</w:t>
            </w:r>
          </w:p>
        </w:tc>
        <w:tc>
          <w:tcPr>
            <w:tcW w:w="565" w:type="pct"/>
            <w:shd w:val="clear" w:color="auto" w:fill="auto"/>
            <w:vAlign w:val="center"/>
          </w:tcPr>
          <w:p w14:paraId="435D1A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459" w:type="pct"/>
            <w:shd w:val="clear" w:color="auto" w:fill="auto"/>
            <w:vAlign w:val="center"/>
          </w:tcPr>
          <w:p w14:paraId="3167F9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B06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5000" w:type="pct"/>
            <w:gridSpan w:val="5"/>
            <w:shd w:val="clear" w:color="auto" w:fill="auto"/>
            <w:vAlign w:val="center"/>
          </w:tcPr>
          <w:p w14:paraId="0CE591BD">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p w14:paraId="5B9150C7">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shd w:val="clear"/>
                <w:lang w:val="en-US" w:eastAsia="zh-CN" w:bidi="ar"/>
              </w:rPr>
              <w:t>数据中心云平台设备和政府大院机房日常功能性维护。对于设备损耗需更换处理的，</w:t>
            </w:r>
            <w:r>
              <w:rPr>
                <w:rFonts w:hint="eastAsia" w:ascii="仿宋" w:hAnsi="仿宋" w:eastAsia="仿宋" w:cs="仿宋"/>
                <w:i w:val="0"/>
                <w:iCs w:val="0"/>
                <w:color w:val="auto"/>
                <w:kern w:val="0"/>
                <w:sz w:val="24"/>
                <w:szCs w:val="24"/>
                <w:u w:val="none"/>
                <w:lang w:val="en-US" w:eastAsia="zh-CN" w:bidi="ar"/>
              </w:rPr>
              <w:t>单次总费用低于5万元的，由中标人负责维修更换处理。若单次总费用超过5万元的，损耗及维修件另行向主管部门申请。</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日常耗材更新按设备维护另行向主管部门申请。</w:t>
            </w:r>
            <w:r>
              <w:rPr>
                <w:rFonts w:hint="eastAsia" w:ascii="仿宋" w:hAnsi="仿宋" w:eastAsia="仿宋" w:cs="仿宋"/>
                <w:i w:val="0"/>
                <w:iCs w:val="0"/>
                <w:color w:val="auto"/>
                <w:kern w:val="0"/>
                <w:sz w:val="24"/>
                <w:szCs w:val="24"/>
                <w:u w:val="none"/>
                <w:lang w:val="en-US" w:eastAsia="zh-CN" w:bidi="ar"/>
              </w:rPr>
              <w:t>（全年总价超过合同总标价的12%，超过另行计算）</w:t>
            </w:r>
          </w:p>
          <w:p w14:paraId="78C37DC4">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iCs w:val="0"/>
                <w:color w:val="000000"/>
                <w:kern w:val="0"/>
                <w:sz w:val="24"/>
                <w:szCs w:val="24"/>
                <w:highlight w:val="none"/>
                <w:u w:val="none"/>
                <w:shd w:val="clear"/>
                <w:lang w:val="en-US" w:eastAsia="zh-CN" w:bidi="ar"/>
              </w:rPr>
            </w:pPr>
            <w:r>
              <w:rPr>
                <w:rFonts w:hint="eastAsia" w:ascii="仿宋" w:hAnsi="仿宋" w:eastAsia="仿宋" w:cs="仿宋"/>
                <w:i w:val="0"/>
                <w:iCs w:val="0"/>
                <w:color w:val="000000"/>
                <w:kern w:val="0"/>
                <w:sz w:val="24"/>
                <w:szCs w:val="24"/>
                <w:highlight w:val="none"/>
                <w:u w:val="none"/>
                <w:shd w:val="clear"/>
                <w:lang w:val="en-US" w:eastAsia="zh-CN" w:bidi="ar"/>
              </w:rPr>
              <w:t>2.等保测评工作起止时间为2025年开始，若因前期未按要求进行系统等保造成整改的，产生的费用另行向主管部门申请。</w:t>
            </w:r>
            <w:r>
              <w:rPr>
                <w:rFonts w:hint="eastAsia" w:ascii="仿宋" w:hAnsi="仿宋" w:eastAsia="仿宋" w:cs="仿宋"/>
                <w:i w:val="0"/>
                <w:iCs w:val="0"/>
                <w:color w:val="000000"/>
                <w:kern w:val="0"/>
                <w:sz w:val="24"/>
                <w:szCs w:val="24"/>
                <w:highlight w:val="none"/>
                <w:u w:val="none"/>
                <w:shd w:val="clear"/>
                <w:lang w:val="en-US" w:eastAsia="zh-CN" w:bidi="ar"/>
              </w:rPr>
              <w:br w:type="textWrapping"/>
            </w:r>
            <w:r>
              <w:rPr>
                <w:rFonts w:hint="eastAsia" w:ascii="仿宋" w:hAnsi="仿宋" w:eastAsia="仿宋" w:cs="仿宋"/>
                <w:i w:val="0"/>
                <w:iCs w:val="0"/>
                <w:color w:val="000000"/>
                <w:kern w:val="0"/>
                <w:sz w:val="24"/>
                <w:szCs w:val="24"/>
                <w:highlight w:val="none"/>
                <w:u w:val="none"/>
                <w:shd w:val="clear"/>
                <w:lang w:val="en-US" w:eastAsia="zh-CN" w:bidi="ar"/>
              </w:rPr>
              <w:t>3.黄河大数据中心数据异地灾备费用按照实际情况向主管单位申请。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4.运维服务过程更换新设备资产归政数中心所有。</w:t>
            </w:r>
          </w:p>
        </w:tc>
      </w:tr>
    </w:tbl>
    <w:p w14:paraId="3556A18A">
      <w:pPr>
        <w:numPr>
          <w:ilvl w:val="0"/>
          <w:numId w:val="0"/>
        </w:numPr>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（二）</w:t>
      </w:r>
      <w:r>
        <w:rPr>
          <w:rFonts w:hint="eastAsia" w:ascii="仿宋" w:hAnsi="仿宋" w:eastAsia="仿宋" w:cs="仿宋"/>
          <w:sz w:val="28"/>
          <w:szCs w:val="28"/>
          <w:lang w:val="en-US" w:eastAsia="zh-CN"/>
        </w:rPr>
        <w:t>服务要求</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899"/>
        <w:gridCol w:w="7112"/>
      </w:tblGrid>
      <w:tr w14:paraId="2700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7" w:type="pct"/>
            <w:vAlign w:val="center"/>
          </w:tcPr>
          <w:p w14:paraId="3AE3FF1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i w:val="0"/>
                <w:iCs w:val="0"/>
                <w:color w:val="000000"/>
                <w:kern w:val="0"/>
                <w:sz w:val="24"/>
                <w:szCs w:val="24"/>
                <w:u w:val="none"/>
                <w:lang w:val="en-US" w:eastAsia="zh-CN" w:bidi="ar"/>
              </w:rPr>
              <w:t>序号</w:t>
            </w:r>
          </w:p>
        </w:tc>
        <w:tc>
          <w:tcPr>
            <w:tcW w:w="953" w:type="pct"/>
            <w:vAlign w:val="center"/>
          </w:tcPr>
          <w:p w14:paraId="690EED5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i w:val="0"/>
                <w:iCs w:val="0"/>
                <w:color w:val="000000"/>
                <w:kern w:val="0"/>
                <w:sz w:val="24"/>
                <w:szCs w:val="24"/>
                <w:u w:val="none"/>
                <w:lang w:val="en-US" w:eastAsia="zh-CN" w:bidi="ar"/>
              </w:rPr>
              <w:t>服务类别</w:t>
            </w:r>
          </w:p>
        </w:tc>
        <w:tc>
          <w:tcPr>
            <w:tcW w:w="3569" w:type="pct"/>
            <w:vAlign w:val="center"/>
          </w:tcPr>
          <w:p w14:paraId="07E5571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kern w:val="2"/>
                <w:sz w:val="24"/>
                <w:szCs w:val="24"/>
                <w:vertAlign w:val="baseline"/>
                <w:lang w:val="en-US" w:eastAsia="zh-CN" w:bidi="ar-SA"/>
              </w:rPr>
            </w:pPr>
            <w:r>
              <w:rPr>
                <w:rFonts w:hint="eastAsia" w:ascii="仿宋" w:hAnsi="仿宋" w:eastAsia="仿宋" w:cs="仿宋"/>
                <w:b/>
                <w:bCs/>
                <w:i w:val="0"/>
                <w:iCs w:val="0"/>
                <w:color w:val="000000"/>
                <w:kern w:val="0"/>
                <w:sz w:val="24"/>
                <w:szCs w:val="24"/>
                <w:u w:val="none"/>
                <w:lang w:val="en-US" w:eastAsia="zh-CN" w:bidi="ar"/>
              </w:rPr>
              <w:t>服务要求</w:t>
            </w:r>
          </w:p>
        </w:tc>
      </w:tr>
      <w:tr w14:paraId="7FFC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7" w:type="pct"/>
            <w:vAlign w:val="center"/>
          </w:tcPr>
          <w:p w14:paraId="166CB06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953" w:type="pct"/>
            <w:vAlign w:val="center"/>
          </w:tcPr>
          <w:p w14:paraId="318B714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软件服务</w:t>
            </w:r>
          </w:p>
        </w:tc>
        <w:tc>
          <w:tcPr>
            <w:tcW w:w="3569" w:type="pct"/>
            <w:vAlign w:val="top"/>
          </w:tcPr>
          <w:p w14:paraId="0886F4E0">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软件故障处理：针对软件系统出现的故障进行技术处理，优化系统结构，保障系统可靠稳定运行。</w:t>
            </w:r>
          </w:p>
          <w:p w14:paraId="04346A79">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软件应用培训服务：应面向黄河大数据中心云平台用户的工作人员、管理员等用户提供系统管理、功能操作等相关技术培训。</w:t>
            </w:r>
          </w:p>
          <w:p w14:paraId="35CB33FB">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软件咨询服务：应提供技术与业务咨询服务，做好信息化建设与应用的参谋助手。</w:t>
            </w:r>
          </w:p>
          <w:p w14:paraId="0C227FD2">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合理化建议服务：应针对系统当前现状和建设方向提出合理化建议。</w:t>
            </w:r>
          </w:p>
          <w:p w14:paraId="55FCCB17">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巡检服务：开展日常系统健康检查服务，并提交系统巡检分析报告，使维护工作有详实、合理的参考依据。</w:t>
            </w:r>
          </w:p>
          <w:p w14:paraId="0627AF61">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重要保障服务：应在主要节假日、政府会议和政府重要活动期间提供系统重点保障服务，确保系统安全稳定运行。</w:t>
            </w:r>
          </w:p>
        </w:tc>
      </w:tr>
      <w:tr w14:paraId="58DA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7" w:type="pct"/>
            <w:vAlign w:val="center"/>
          </w:tcPr>
          <w:p w14:paraId="238A5F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953" w:type="pct"/>
            <w:vAlign w:val="center"/>
          </w:tcPr>
          <w:p w14:paraId="70D949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硬件服务</w:t>
            </w:r>
          </w:p>
        </w:tc>
        <w:tc>
          <w:tcPr>
            <w:tcW w:w="3569" w:type="pct"/>
            <w:vAlign w:val="top"/>
          </w:tcPr>
          <w:p w14:paraId="38A15499">
            <w:pPr>
              <w:keepNext w:val="0"/>
              <w:keepLines w:val="0"/>
              <w:pageBreakBefore w:val="0"/>
              <w:widowControl/>
              <w:numPr>
                <w:ilvl w:val="0"/>
                <w:numId w:val="9"/>
              </w:numPr>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硬件故障上报服务：应针对硬件设备提供故障上报分析服务，协助进行硬件故障修复。</w:t>
            </w:r>
          </w:p>
          <w:p w14:paraId="4082A21A">
            <w:pPr>
              <w:keepNext w:val="0"/>
              <w:keepLines w:val="0"/>
              <w:pageBreakBefore w:val="0"/>
              <w:widowControl/>
              <w:numPr>
                <w:ilvl w:val="0"/>
                <w:numId w:val="9"/>
              </w:numPr>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巡检服务：开展日常硬件设备健康检查服务，硬件设备巡检分析报告，使维护工作有详实、合理的参考依据。</w:t>
            </w:r>
          </w:p>
          <w:p w14:paraId="1738B9C8">
            <w:pPr>
              <w:keepNext w:val="0"/>
              <w:keepLines w:val="0"/>
              <w:pageBreakBefore w:val="0"/>
              <w:widowControl/>
              <w:numPr>
                <w:ilvl w:val="0"/>
                <w:numId w:val="9"/>
              </w:numPr>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合理化建议服务：针对硬件设备当前现状、问题和使用规范提出合理化建议，优化硬件设备运行环境，保障设备稳定运行。</w:t>
            </w:r>
          </w:p>
          <w:p w14:paraId="2EC2E074">
            <w:pPr>
              <w:keepNext w:val="0"/>
              <w:keepLines w:val="0"/>
              <w:pageBreakBefore w:val="0"/>
              <w:widowControl/>
              <w:numPr>
                <w:ilvl w:val="0"/>
                <w:numId w:val="9"/>
              </w:numPr>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硬件设备培训服务：应面向硬件设备的工作人员、管理员等用户提供设备管理、使用操作等相关技术培训。</w:t>
            </w:r>
          </w:p>
        </w:tc>
      </w:tr>
      <w:tr w14:paraId="0927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7" w:type="pct"/>
            <w:vAlign w:val="center"/>
          </w:tcPr>
          <w:p w14:paraId="6623C3A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953" w:type="pct"/>
            <w:vAlign w:val="center"/>
          </w:tcPr>
          <w:p w14:paraId="1FF1BCE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等保测评服务</w:t>
            </w:r>
          </w:p>
        </w:tc>
        <w:tc>
          <w:tcPr>
            <w:tcW w:w="3569" w:type="pct"/>
            <w:vAlign w:val="top"/>
          </w:tcPr>
          <w:p w14:paraId="6155F17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在服务期内提供每年的系统等保三级测评服务，并按照等保三级测评结果，对黄河大数据中心云平台、存在的安全问题进行处理，满足信息安全等保三级要求。</w:t>
            </w:r>
          </w:p>
        </w:tc>
      </w:tr>
      <w:tr w14:paraId="7D19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7" w:type="pct"/>
            <w:vAlign w:val="center"/>
          </w:tcPr>
          <w:p w14:paraId="5739BBB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953" w:type="pct"/>
            <w:vAlign w:val="center"/>
          </w:tcPr>
          <w:p w14:paraId="3108CAD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驻场技术服务</w:t>
            </w:r>
          </w:p>
        </w:tc>
        <w:tc>
          <w:tcPr>
            <w:tcW w:w="3569" w:type="pct"/>
            <w:vAlign w:val="top"/>
          </w:tcPr>
          <w:p w14:paraId="2CF8E4A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对政数中心受理的正常日常性业务（政务部门数据存储、电子政务网扩容及维护、数据共享交换平台跨部门数据打通）提供完整的技术支持和响应。</w:t>
            </w:r>
          </w:p>
          <w:p w14:paraId="50696DD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提供黄河大数据中心7*24小时驻场服务，负责日常故障响应处理，每月及每季度巡检。</w:t>
            </w:r>
          </w:p>
          <w:p w14:paraId="3C12899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top"/>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每季度初15日内提供一次全面的软硬件环境整体运行情况和风险分析报告。</w:t>
            </w:r>
          </w:p>
        </w:tc>
      </w:tr>
    </w:tbl>
    <w:p w14:paraId="522BCF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（三）</w:t>
      </w:r>
      <w:r>
        <w:rPr>
          <w:rFonts w:hint="eastAsia" w:ascii="仿宋" w:hAnsi="仿宋" w:eastAsia="仿宋" w:cs="仿宋"/>
          <w:sz w:val="28"/>
          <w:szCs w:val="28"/>
          <w:lang w:val="en-US" w:eastAsia="zh-CN"/>
        </w:rPr>
        <w:t>服务方式</w:t>
      </w:r>
    </w:p>
    <w:p w14:paraId="33250882">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采用驻场与远程技术服务相结合的方式，驻场无法解决的问题及重大问题应提供技术专家进行远程技术服务。</w:t>
      </w:r>
    </w:p>
    <w:p w14:paraId="679677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（四）</w:t>
      </w:r>
      <w:r>
        <w:rPr>
          <w:rFonts w:hint="eastAsia" w:ascii="仿宋" w:hAnsi="仿宋" w:eastAsia="仿宋" w:cs="仿宋"/>
          <w:sz w:val="28"/>
          <w:szCs w:val="28"/>
          <w:lang w:val="en-US" w:eastAsia="zh-CN"/>
        </w:rPr>
        <w:t>服务标准</w:t>
      </w:r>
    </w:p>
    <w:p w14:paraId="78260349">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36"/>
          <w:lang w:val="en-US" w:eastAsia="zh-CN"/>
        </w:rPr>
        <w:t>提供7*24小时的响应服务，一般故障响应时间不超过30分钟。通过现场无法解决的问题应安排技术专家在4小时内到达现场进行免费维修服务。重大故障立即响应，应在24小时内排除故障。</w:t>
      </w:r>
    </w:p>
    <w:p w14:paraId="2917BDB2">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p>
    <w:p w14:paraId="1138B04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p>
    <w:p w14:paraId="6D919A3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p>
    <w:p w14:paraId="2007ACE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p>
    <w:p w14:paraId="7AB9C18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p>
    <w:p w14:paraId="18B6EB9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sz w:val="28"/>
          <w:szCs w:val="28"/>
          <w:highlight w:val="none"/>
          <w:lang w:val="en-US" w:eastAsia="zh-CN"/>
        </w:rPr>
        <w:sectPr>
          <w:footerReference r:id="rId7" w:type="default"/>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b/>
          <w:bCs/>
          <w:sz w:val="28"/>
          <w:szCs w:val="28"/>
          <w:highlight w:val="none"/>
        </w:rPr>
        <w:t>注：</w:t>
      </w:r>
      <w:r>
        <w:rPr>
          <w:rFonts w:hint="eastAsia" w:ascii="仿宋" w:hAnsi="仿宋" w:eastAsia="仿宋" w:cs="仿宋"/>
          <w:b/>
          <w:bCs/>
          <w:color w:val="auto"/>
          <w:sz w:val="28"/>
          <w:szCs w:val="28"/>
          <w:highlight w:val="none"/>
          <w:lang w:val="en-US" w:eastAsia="zh-CN"/>
        </w:rPr>
        <w:t>采购标的对应的中小企业划分标准所属行业为：软件和信息技术服务业。</w:t>
      </w:r>
    </w:p>
    <w:bookmarkEnd w:id="144"/>
    <w:bookmarkEnd w:id="145"/>
    <w:p w14:paraId="5D8D8074">
      <w:pPr>
        <w:spacing w:line="500" w:lineRule="exact"/>
        <w:jc w:val="center"/>
        <w:outlineLvl w:val="0"/>
        <w:rPr>
          <w:rFonts w:ascii="仿宋" w:hAnsi="仿宋" w:eastAsia="仿宋" w:cs="仿宋"/>
          <w:b/>
          <w:szCs w:val="28"/>
          <w:highlight w:val="none"/>
        </w:rPr>
      </w:pPr>
      <w:bookmarkStart w:id="161" w:name="_Toc24325"/>
      <w:bookmarkStart w:id="162" w:name="_Toc29626"/>
      <w:bookmarkStart w:id="163" w:name="_Toc15896"/>
      <w:bookmarkStart w:id="164" w:name="_Toc713"/>
      <w:bookmarkStart w:id="165" w:name="_Toc2621_WPSOffice_Level1"/>
      <w:bookmarkStart w:id="166" w:name="_Toc1096"/>
      <w:bookmarkStart w:id="167" w:name="OLE_LINK1"/>
      <w:bookmarkStart w:id="168" w:name="OLE_LINK2"/>
      <w:r>
        <w:rPr>
          <w:rFonts w:hint="eastAsia" w:ascii="仿宋" w:hAnsi="仿宋" w:eastAsia="仿宋" w:cs="仿宋"/>
          <w:b/>
          <w:sz w:val="44"/>
          <w:szCs w:val="44"/>
          <w:highlight w:val="none"/>
        </w:rPr>
        <w:t>第五章  合同</w:t>
      </w:r>
      <w:bookmarkEnd w:id="161"/>
      <w:bookmarkStart w:id="169" w:name="_Toc16938559"/>
      <w:bookmarkStart w:id="170" w:name="_Toc513029243"/>
      <w:bookmarkStart w:id="171" w:name="_Toc20823315"/>
      <w:r>
        <w:rPr>
          <w:rFonts w:hint="eastAsia" w:ascii="仿宋" w:hAnsi="仿宋" w:eastAsia="仿宋" w:cs="仿宋"/>
          <w:b/>
          <w:sz w:val="44"/>
          <w:szCs w:val="44"/>
          <w:highlight w:val="none"/>
        </w:rPr>
        <w:t>范本</w:t>
      </w:r>
      <w:bookmarkEnd w:id="162"/>
      <w:bookmarkEnd w:id="163"/>
      <w:bookmarkEnd w:id="164"/>
      <w:bookmarkEnd w:id="165"/>
      <w:bookmarkEnd w:id="166"/>
      <w:bookmarkEnd w:id="169"/>
      <w:bookmarkEnd w:id="170"/>
      <w:bookmarkEnd w:id="171"/>
    </w:p>
    <w:p w14:paraId="25AF5BE4">
      <w:pPr>
        <w:pStyle w:val="47"/>
        <w:keepNext w:val="0"/>
        <w:keepLines w:val="0"/>
        <w:pageBreakBefore w:val="0"/>
        <w:widowControl/>
        <w:kinsoku/>
        <w:wordWrap/>
        <w:overflowPunct/>
        <w:topLinePunct w:val="0"/>
        <w:autoSpaceDE/>
        <w:autoSpaceDN/>
        <w:bidi w:val="0"/>
        <w:adjustRightInd w:val="0"/>
        <w:snapToGrid/>
        <w:spacing w:line="480" w:lineRule="exact"/>
        <w:ind w:firstLine="0"/>
        <w:jc w:val="both"/>
        <w:textAlignment w:val="auto"/>
        <w:rPr>
          <w:rFonts w:ascii="仿宋" w:hAnsi="仿宋" w:eastAsia="仿宋" w:cs="仿宋"/>
          <w:b/>
          <w:sz w:val="24"/>
          <w:highlight w:val="none"/>
        </w:rPr>
      </w:pPr>
    </w:p>
    <w:p w14:paraId="01F30F8D">
      <w:pPr>
        <w:pStyle w:val="47"/>
        <w:keepNext w:val="0"/>
        <w:keepLines w:val="0"/>
        <w:pageBreakBefore w:val="0"/>
        <w:widowControl/>
        <w:kinsoku/>
        <w:wordWrap/>
        <w:overflowPunct/>
        <w:topLinePunct w:val="0"/>
        <w:autoSpaceDE/>
        <w:autoSpaceDN/>
        <w:bidi w:val="0"/>
        <w:adjustRightInd w:val="0"/>
        <w:snapToGrid/>
        <w:spacing w:line="480" w:lineRule="exact"/>
        <w:ind w:firstLine="0"/>
        <w:jc w:val="both"/>
        <w:textAlignment w:val="auto"/>
        <w:rPr>
          <w:rFonts w:ascii="仿宋" w:hAnsi="仿宋" w:eastAsia="仿宋" w:cs="仿宋"/>
          <w:b/>
          <w:sz w:val="24"/>
          <w:highlight w:val="none"/>
        </w:rPr>
      </w:pPr>
    </w:p>
    <w:bookmarkEnd w:id="146"/>
    <w:bookmarkEnd w:id="147"/>
    <w:bookmarkEnd w:id="148"/>
    <w:bookmarkEnd w:id="167"/>
    <w:bookmarkEnd w:id="168"/>
    <w:p w14:paraId="26D6DB36">
      <w:pPr>
        <w:pStyle w:val="47"/>
        <w:widowControl/>
        <w:spacing w:before="0" w:after="0"/>
        <w:ind w:firstLine="0"/>
        <w:jc w:val="center"/>
        <w:rPr>
          <w:rFonts w:hint="default" w:ascii="仿宋" w:hAnsi="仿宋" w:eastAsia="仿宋" w:cs="仿宋"/>
          <w:b/>
          <w:bCs/>
          <w:kern w:val="0"/>
          <w:sz w:val="52"/>
          <w:szCs w:val="52"/>
          <w:highlight w:val="none"/>
          <w:lang w:val="en-US" w:eastAsia="zh-CN"/>
        </w:rPr>
      </w:pPr>
      <w:bookmarkStart w:id="172" w:name="_Toc421604335"/>
      <w:r>
        <w:rPr>
          <w:rFonts w:hint="default" w:ascii="仿宋" w:hAnsi="仿宋" w:eastAsia="仿宋" w:cs="仿宋"/>
          <w:b/>
          <w:bCs/>
          <w:kern w:val="0"/>
          <w:sz w:val="52"/>
          <w:szCs w:val="52"/>
          <w:highlight w:val="none"/>
          <w:lang w:val="en-US" w:eastAsia="zh-CN"/>
        </w:rPr>
        <w:t>韩城市政务</w:t>
      </w:r>
      <w:r>
        <w:rPr>
          <w:rFonts w:hint="eastAsia" w:ascii="仿宋" w:hAnsi="仿宋" w:eastAsia="仿宋" w:cs="仿宋"/>
          <w:b/>
          <w:bCs/>
          <w:kern w:val="0"/>
          <w:sz w:val="52"/>
          <w:szCs w:val="52"/>
          <w:highlight w:val="none"/>
          <w:lang w:val="en-US" w:eastAsia="zh-CN"/>
        </w:rPr>
        <w:t>大</w:t>
      </w:r>
      <w:r>
        <w:rPr>
          <w:rFonts w:hint="default" w:ascii="仿宋" w:hAnsi="仿宋" w:eastAsia="仿宋" w:cs="仿宋"/>
          <w:b/>
          <w:bCs/>
          <w:kern w:val="0"/>
          <w:sz w:val="52"/>
          <w:szCs w:val="52"/>
          <w:highlight w:val="none"/>
          <w:lang w:val="en-US" w:eastAsia="zh-CN"/>
        </w:rPr>
        <w:t>数据服务中心韩城市政务云</w:t>
      </w:r>
    </w:p>
    <w:p w14:paraId="344DBEFA">
      <w:pPr>
        <w:pStyle w:val="47"/>
        <w:widowControl/>
        <w:spacing w:before="0" w:after="0"/>
        <w:ind w:firstLine="0"/>
        <w:jc w:val="center"/>
        <w:rPr>
          <w:rFonts w:ascii="仿宋" w:hAnsi="仿宋" w:eastAsia="仿宋" w:cs="仿宋"/>
          <w:b/>
          <w:sz w:val="28"/>
          <w:szCs w:val="28"/>
          <w:highlight w:val="none"/>
        </w:rPr>
      </w:pPr>
      <w:r>
        <w:rPr>
          <w:rFonts w:hint="default" w:ascii="仿宋" w:hAnsi="仿宋" w:eastAsia="仿宋" w:cs="仿宋"/>
          <w:b/>
          <w:bCs/>
          <w:kern w:val="0"/>
          <w:sz w:val="56"/>
          <w:szCs w:val="56"/>
          <w:highlight w:val="none"/>
          <w:lang w:val="en-US" w:eastAsia="zh-CN"/>
        </w:rPr>
        <w:t>资源管理服务采购项目</w:t>
      </w:r>
    </w:p>
    <w:p w14:paraId="6ECE7659">
      <w:pPr>
        <w:pStyle w:val="18"/>
        <w:rPr>
          <w:rFonts w:hint="default"/>
          <w:highlight w:val="none"/>
        </w:rPr>
      </w:pPr>
    </w:p>
    <w:p w14:paraId="18A98A8D">
      <w:pPr>
        <w:rPr>
          <w:rFonts w:hint="default"/>
          <w:highlight w:val="none"/>
        </w:rPr>
      </w:pPr>
    </w:p>
    <w:p w14:paraId="5A7F5041">
      <w:pPr>
        <w:pStyle w:val="18"/>
        <w:rPr>
          <w:rFonts w:hint="default"/>
          <w:highlight w:val="none"/>
        </w:rPr>
      </w:pPr>
    </w:p>
    <w:p w14:paraId="0A0234A1">
      <w:pPr>
        <w:rPr>
          <w:rFonts w:hint="default"/>
          <w:highlight w:val="none"/>
        </w:rPr>
      </w:pPr>
    </w:p>
    <w:p w14:paraId="223FD812">
      <w:pPr>
        <w:pStyle w:val="18"/>
        <w:rPr>
          <w:rFonts w:hint="default"/>
          <w:highlight w:val="none"/>
        </w:rPr>
      </w:pPr>
    </w:p>
    <w:p w14:paraId="5B5CF1AB">
      <w:pPr>
        <w:pStyle w:val="12"/>
        <w:rPr>
          <w:rFonts w:hint="default"/>
          <w:highlight w:val="none"/>
        </w:rPr>
      </w:pPr>
    </w:p>
    <w:p w14:paraId="3E10A3B6">
      <w:pPr>
        <w:spacing w:line="600" w:lineRule="auto"/>
        <w:jc w:val="center"/>
        <w:rPr>
          <w:rFonts w:ascii="仿宋" w:hAnsi="仿宋" w:eastAsia="仿宋" w:cs="仿宋"/>
          <w:b/>
          <w:kern w:val="0"/>
          <w:sz w:val="36"/>
          <w:szCs w:val="36"/>
          <w:highlight w:val="none"/>
        </w:rPr>
      </w:pPr>
      <w:r>
        <w:rPr>
          <w:rFonts w:hint="eastAsia" w:ascii="仿宋" w:hAnsi="仿宋" w:eastAsia="仿宋" w:cs="仿宋"/>
          <w:b/>
          <w:kern w:val="0"/>
          <w:sz w:val="52"/>
          <w:szCs w:val="52"/>
          <w:highlight w:val="none"/>
        </w:rPr>
        <w:t>合 同 书</w:t>
      </w:r>
    </w:p>
    <w:p w14:paraId="3D5B69BF">
      <w:pPr>
        <w:pStyle w:val="12"/>
        <w:jc w:val="center"/>
        <w:rPr>
          <w:rFonts w:hint="eastAsia" w:eastAsia="仿宋"/>
          <w:highlight w:val="none"/>
          <w:lang w:eastAsia="zh-CN"/>
        </w:rPr>
      </w:pPr>
      <w:r>
        <w:rPr>
          <w:rFonts w:hint="eastAsia"/>
          <w:sz w:val="28"/>
          <w:szCs w:val="22"/>
          <w:highlight w:val="none"/>
          <w:lang w:eastAsia="zh-CN"/>
        </w:rPr>
        <w:t>（</w:t>
      </w:r>
      <w:r>
        <w:rPr>
          <w:rFonts w:hint="eastAsia"/>
          <w:sz w:val="28"/>
          <w:szCs w:val="22"/>
          <w:highlight w:val="none"/>
          <w:lang w:val="en-US" w:eastAsia="zh-CN"/>
        </w:rPr>
        <w:t>本格式条款为合同基础条款，甲乙双方可根据项目实际情况增加条款和内容</w:t>
      </w:r>
      <w:r>
        <w:rPr>
          <w:rFonts w:hint="eastAsia"/>
          <w:sz w:val="28"/>
          <w:szCs w:val="22"/>
          <w:highlight w:val="none"/>
          <w:lang w:eastAsia="zh-CN"/>
        </w:rPr>
        <w:t>）</w:t>
      </w:r>
    </w:p>
    <w:p w14:paraId="3CAAC97F">
      <w:pPr>
        <w:pStyle w:val="25"/>
        <w:rPr>
          <w:rFonts w:hint="eastAsia" w:eastAsia="宋体"/>
          <w:highlight w:val="none"/>
          <w:lang w:val="en-US" w:eastAsia="zh-CN"/>
        </w:rPr>
      </w:pPr>
    </w:p>
    <w:p w14:paraId="13FFB77F">
      <w:pPr>
        <w:rPr>
          <w:rFonts w:hint="default"/>
          <w:highlight w:val="none"/>
        </w:rPr>
      </w:pPr>
    </w:p>
    <w:p w14:paraId="229DDCF5">
      <w:pPr>
        <w:rPr>
          <w:rFonts w:hint="default"/>
          <w:highlight w:val="none"/>
        </w:rPr>
      </w:pPr>
    </w:p>
    <w:p w14:paraId="2BB1F75E">
      <w:pPr>
        <w:spacing w:line="560" w:lineRule="exact"/>
        <w:jc w:val="center"/>
        <w:rPr>
          <w:rFonts w:ascii="仿宋" w:hAnsi="仿宋" w:eastAsia="仿宋" w:cs="仿宋"/>
          <w:b/>
          <w:highlight w:val="none"/>
        </w:rPr>
      </w:pPr>
      <w:r>
        <w:rPr>
          <w:rFonts w:hint="eastAsia" w:ascii="仿宋" w:hAnsi="仿宋" w:eastAsia="仿宋" w:cs="仿宋"/>
          <w:b/>
          <w:kern w:val="0"/>
          <w:sz w:val="36"/>
          <w:szCs w:val="36"/>
          <w:highlight w:val="none"/>
        </w:rPr>
        <w:t>合同编号：XXXX</w:t>
      </w:r>
    </w:p>
    <w:p w14:paraId="53E00F86">
      <w:pPr>
        <w:pStyle w:val="14"/>
        <w:ind w:left="0" w:leftChars="0" w:right="1470" w:firstLine="0" w:firstLineChars="0"/>
        <w:rPr>
          <w:highlight w:val="none"/>
        </w:rPr>
      </w:pPr>
    </w:p>
    <w:p w14:paraId="612D78A2">
      <w:pPr>
        <w:pStyle w:val="14"/>
        <w:ind w:left="0" w:leftChars="0" w:right="1470" w:firstLine="0" w:firstLineChars="0"/>
        <w:rPr>
          <w:highlight w:val="none"/>
        </w:rPr>
      </w:pPr>
    </w:p>
    <w:p w14:paraId="4032CDF0">
      <w:pPr>
        <w:pStyle w:val="14"/>
        <w:ind w:left="0" w:leftChars="0" w:right="1470" w:firstLine="0" w:firstLineChars="0"/>
        <w:rPr>
          <w:highlight w:val="none"/>
        </w:rPr>
      </w:pPr>
    </w:p>
    <w:p w14:paraId="0B87E478">
      <w:pPr>
        <w:pStyle w:val="14"/>
        <w:ind w:left="0" w:leftChars="0" w:right="1470" w:firstLine="0" w:firstLineChars="0"/>
        <w:rPr>
          <w:highlight w:val="none"/>
        </w:rPr>
      </w:pPr>
    </w:p>
    <w:p w14:paraId="77CC25E6">
      <w:pPr>
        <w:pStyle w:val="14"/>
        <w:ind w:left="0" w:leftChars="0" w:right="1470" w:firstLine="0" w:firstLineChars="0"/>
        <w:rPr>
          <w:highlight w:val="none"/>
        </w:rPr>
      </w:pPr>
    </w:p>
    <w:p w14:paraId="4E9361D9">
      <w:pPr>
        <w:pStyle w:val="14"/>
        <w:ind w:left="0" w:leftChars="0" w:right="1470" w:firstLine="0" w:firstLineChars="0"/>
        <w:rPr>
          <w:highlight w:val="none"/>
        </w:rPr>
      </w:pPr>
    </w:p>
    <w:p w14:paraId="00AA77AF">
      <w:pPr>
        <w:pStyle w:val="14"/>
        <w:ind w:left="0" w:leftChars="0" w:right="1470" w:firstLine="0" w:firstLineChars="0"/>
        <w:rPr>
          <w:highlight w:val="none"/>
        </w:rPr>
      </w:pPr>
    </w:p>
    <w:p w14:paraId="6448136F">
      <w:pPr>
        <w:pStyle w:val="14"/>
        <w:ind w:left="1470" w:right="1470"/>
        <w:rPr>
          <w:highlight w:val="none"/>
        </w:rPr>
      </w:pPr>
    </w:p>
    <w:p w14:paraId="0190F6A1">
      <w:pPr>
        <w:pStyle w:val="14"/>
        <w:ind w:left="1470" w:right="1470"/>
        <w:rPr>
          <w:rFonts w:hint="eastAsia" w:eastAsia="宋体"/>
          <w:highlight w:val="none"/>
          <w:lang w:val="en-US" w:eastAsia="zh-CN"/>
        </w:rPr>
      </w:pPr>
    </w:p>
    <w:p w14:paraId="5B12B86B">
      <w:pPr>
        <w:rPr>
          <w:highlight w:val="none"/>
        </w:rPr>
      </w:pPr>
    </w:p>
    <w:p w14:paraId="434BEB7A">
      <w:pPr>
        <w:spacing w:line="560" w:lineRule="exact"/>
        <w:ind w:left="1469" w:hanging="1469" w:hangingChars="400"/>
        <w:rPr>
          <w:rFonts w:ascii="仿宋" w:hAnsi="仿宋" w:eastAsia="仿宋" w:cs="仿宋"/>
          <w:b/>
          <w:spacing w:val="23"/>
          <w:sz w:val="32"/>
          <w:szCs w:val="32"/>
          <w:highlight w:val="none"/>
        </w:rPr>
      </w:pPr>
      <w:r>
        <w:rPr>
          <w:rFonts w:hint="eastAsia" w:ascii="仿宋" w:hAnsi="仿宋" w:eastAsia="仿宋" w:cs="仿宋"/>
          <w:b/>
          <w:spacing w:val="23"/>
          <w:sz w:val="32"/>
          <w:szCs w:val="32"/>
          <w:highlight w:val="none"/>
          <w:lang w:bidi="ar"/>
        </w:rPr>
        <w:t xml:space="preserve">          甲方</w:t>
      </w:r>
      <w:r>
        <w:rPr>
          <w:rFonts w:hint="eastAsia" w:ascii="仿宋" w:hAnsi="仿宋" w:eastAsia="仿宋" w:cs="仿宋"/>
          <w:b/>
          <w:spacing w:val="23"/>
          <w:sz w:val="32"/>
          <w:szCs w:val="32"/>
          <w:highlight w:val="none"/>
          <w:lang w:eastAsia="zh-CN" w:bidi="ar"/>
        </w:rPr>
        <w:t>（</w:t>
      </w:r>
      <w:r>
        <w:rPr>
          <w:highlight w:val="none"/>
        </w:rPr>
        <w:fldChar w:fldCharType="begin"/>
      </w:r>
      <w:r>
        <w:rPr>
          <w:highlight w:val="none"/>
        </w:rPr>
        <w:instrText xml:space="preserve"> HYPERLINK "http://set2.mail.qq.com/cgi-bin/mail_spam?action=check_link&amp;spam=0&amp;url=http://www.baidu.com/s?wd=%E9%87%87%E8%B4%AD%E5%8D%95&amp;hl_tag=textlink&amp;tn=SE_hldp01350_v6v6zkg6" </w:instrText>
      </w:r>
      <w:r>
        <w:rPr>
          <w:highlight w:val="none"/>
        </w:rPr>
        <w:fldChar w:fldCharType="separate"/>
      </w:r>
      <w:r>
        <w:rPr>
          <w:rStyle w:val="38"/>
          <w:rFonts w:hint="default" w:ascii="仿宋" w:hAnsi="仿宋" w:eastAsia="仿宋" w:cs="仿宋"/>
          <w:b/>
          <w:color w:val="auto"/>
          <w:spacing w:val="23"/>
          <w:sz w:val="32"/>
          <w:szCs w:val="32"/>
          <w:highlight w:val="none"/>
        </w:rPr>
        <w:t>采购人</w:t>
      </w:r>
      <w:r>
        <w:rPr>
          <w:rStyle w:val="38"/>
          <w:rFonts w:hint="default" w:ascii="仿宋" w:hAnsi="仿宋" w:eastAsia="仿宋" w:cs="仿宋"/>
          <w:b/>
          <w:color w:val="auto"/>
          <w:spacing w:val="23"/>
          <w:sz w:val="32"/>
          <w:szCs w:val="32"/>
          <w:highlight w:val="none"/>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p>
    <w:p w14:paraId="713AA56C">
      <w:pPr>
        <w:spacing w:line="560" w:lineRule="exact"/>
        <w:ind w:left="1469" w:hanging="1469" w:hangingChars="400"/>
        <w:rPr>
          <w:rFonts w:ascii="仿宋" w:hAnsi="仿宋" w:eastAsia="仿宋" w:cs="仿宋"/>
          <w:b/>
          <w:spacing w:val="23"/>
          <w:sz w:val="32"/>
          <w:szCs w:val="32"/>
          <w:highlight w:val="none"/>
        </w:rPr>
      </w:pPr>
      <w:r>
        <w:rPr>
          <w:rFonts w:hint="eastAsia" w:ascii="仿宋" w:hAnsi="仿宋" w:eastAsia="仿宋" w:cs="仿宋"/>
          <w:b/>
          <w:spacing w:val="23"/>
          <w:sz w:val="32"/>
          <w:szCs w:val="32"/>
          <w:highlight w:val="none"/>
          <w:lang w:bidi="ar"/>
        </w:rPr>
        <w:t xml:space="preserve">          </w:t>
      </w:r>
      <w:r>
        <w:rPr>
          <w:highlight w:val="none"/>
        </w:rPr>
        <w:fldChar w:fldCharType="begin"/>
      </w:r>
      <w:r>
        <w:rPr>
          <w:highlight w:val="none"/>
        </w:rPr>
        <w:instrText xml:space="preserve"> HYPERLINK "http://set2.mail.qq.com/cgi-bin/mail_spam?action=check_link&amp;spam=0&amp;url=http://www.baidu.com/s?wd=%E4%B9%99%E6%96%B9&amp;hl_tag=textlink&amp;tn=SE_hldp01350_v6v6zkg6" </w:instrText>
      </w:r>
      <w:r>
        <w:rPr>
          <w:highlight w:val="none"/>
        </w:rPr>
        <w:fldChar w:fldCharType="separate"/>
      </w:r>
      <w:r>
        <w:rPr>
          <w:rStyle w:val="38"/>
          <w:rFonts w:hint="default" w:ascii="仿宋" w:hAnsi="仿宋" w:eastAsia="仿宋" w:cs="仿宋"/>
          <w:b/>
          <w:color w:val="auto"/>
          <w:spacing w:val="23"/>
          <w:sz w:val="32"/>
          <w:szCs w:val="32"/>
          <w:highlight w:val="none"/>
        </w:rPr>
        <w:t>乙方</w:t>
      </w:r>
      <w:r>
        <w:rPr>
          <w:rStyle w:val="38"/>
          <w:rFonts w:hint="default" w:ascii="仿宋" w:hAnsi="仿宋" w:eastAsia="仿宋" w:cs="仿宋"/>
          <w:b/>
          <w:color w:val="auto"/>
          <w:spacing w:val="23"/>
          <w:sz w:val="32"/>
          <w:szCs w:val="32"/>
          <w:highlight w:val="none"/>
        </w:rPr>
        <w:fldChar w:fldCharType="end"/>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供应商</w:t>
      </w:r>
      <w:r>
        <w:rPr>
          <w:rFonts w:hint="eastAsia" w:ascii="仿宋" w:hAnsi="仿宋" w:eastAsia="仿宋" w:cs="仿宋"/>
          <w:b/>
          <w:spacing w:val="23"/>
          <w:sz w:val="32"/>
          <w:szCs w:val="32"/>
          <w:highlight w:val="none"/>
          <w:lang w:eastAsia="zh-CN" w:bidi="ar"/>
        </w:rPr>
        <w:t>）</w:t>
      </w:r>
      <w:r>
        <w:rPr>
          <w:rFonts w:hint="eastAsia" w:ascii="仿宋" w:hAnsi="仿宋" w:eastAsia="仿宋" w:cs="仿宋"/>
          <w:b/>
          <w:spacing w:val="23"/>
          <w:sz w:val="32"/>
          <w:szCs w:val="32"/>
          <w:highlight w:val="none"/>
          <w:lang w:bidi="ar"/>
        </w:rPr>
        <w:t>：</w:t>
      </w:r>
      <w:r>
        <w:rPr>
          <w:rFonts w:hint="eastAsia" w:ascii="仿宋" w:hAnsi="仿宋" w:eastAsia="仿宋" w:cs="仿宋"/>
          <w:b/>
          <w:spacing w:val="23"/>
          <w:sz w:val="32"/>
          <w:szCs w:val="32"/>
          <w:highlight w:val="none"/>
          <w:u w:val="single"/>
          <w:lang w:bidi="ar"/>
        </w:rPr>
        <w:t xml:space="preserve">           .</w:t>
      </w:r>
    </w:p>
    <w:p w14:paraId="39D32F5B">
      <w:pPr>
        <w:pStyle w:val="26"/>
        <w:widowControl/>
        <w:adjustRightInd w:val="0"/>
        <w:spacing w:line="560" w:lineRule="exact"/>
        <w:rPr>
          <w:rFonts w:hint="eastAsia" w:ascii="仿宋" w:hAnsi="仿宋" w:eastAsia="仿宋" w:cs="仿宋"/>
          <w:b/>
          <w:sz w:val="32"/>
          <w:szCs w:val="32"/>
          <w:highlight w:val="none"/>
          <w:lang w:bidi="ar"/>
        </w:rPr>
      </w:pPr>
      <w:r>
        <w:rPr>
          <w:rFonts w:hint="eastAsia" w:ascii="仿宋" w:hAnsi="仿宋" w:eastAsia="仿宋" w:cs="仿宋"/>
          <w:b/>
          <w:spacing w:val="23"/>
          <w:kern w:val="0"/>
          <w:sz w:val="32"/>
          <w:szCs w:val="32"/>
          <w:highlight w:val="none"/>
          <w:lang w:bidi="ar"/>
        </w:rPr>
        <w:t xml:space="preserve">          签订时间：</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年</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u w:val="single"/>
          <w:lang w:val="en-US" w:eastAsia="zh-CN" w:bidi="ar"/>
        </w:rPr>
        <w:t xml:space="preserve"> </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月</w:t>
      </w:r>
      <w:r>
        <w:rPr>
          <w:rFonts w:hint="eastAsia" w:ascii="仿宋" w:hAnsi="仿宋" w:eastAsia="仿宋" w:cs="仿宋"/>
          <w:b/>
          <w:spacing w:val="23"/>
          <w:kern w:val="0"/>
          <w:sz w:val="32"/>
          <w:szCs w:val="32"/>
          <w:highlight w:val="none"/>
          <w:u w:val="single"/>
          <w:lang w:bidi="ar"/>
        </w:rPr>
        <w:t xml:space="preserve">   </w:t>
      </w:r>
      <w:r>
        <w:rPr>
          <w:rFonts w:hint="eastAsia" w:ascii="仿宋" w:hAnsi="仿宋" w:eastAsia="仿宋" w:cs="仿宋"/>
          <w:b/>
          <w:spacing w:val="23"/>
          <w:kern w:val="0"/>
          <w:sz w:val="32"/>
          <w:szCs w:val="32"/>
          <w:highlight w:val="none"/>
          <w:lang w:bidi="ar"/>
        </w:rPr>
        <w:t>日</w:t>
      </w:r>
      <w:bookmarkStart w:id="173" w:name="_Toc26903"/>
    </w:p>
    <w:p w14:paraId="23C722E8">
      <w:pPr>
        <w:widowControl/>
        <w:spacing w:line="520" w:lineRule="exact"/>
        <w:jc w:val="center"/>
        <w:rPr>
          <w:rFonts w:ascii="仿宋" w:hAnsi="仿宋" w:eastAsia="仿宋" w:cs="仿宋"/>
          <w:b/>
          <w:sz w:val="32"/>
          <w:szCs w:val="32"/>
          <w:highlight w:val="none"/>
          <w:lang w:bidi="ar"/>
        </w:rPr>
      </w:pPr>
      <w:r>
        <w:rPr>
          <w:rFonts w:hint="eastAsia" w:ascii="仿宋" w:hAnsi="仿宋" w:eastAsia="仿宋" w:cs="仿宋"/>
          <w:b/>
          <w:sz w:val="32"/>
          <w:szCs w:val="32"/>
          <w:highlight w:val="none"/>
          <w:lang w:bidi="ar"/>
        </w:rPr>
        <w:t>合同范本</w:t>
      </w:r>
    </w:p>
    <w:p w14:paraId="2C229EC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bCs/>
          <w:color w:val="000000"/>
          <w:sz w:val="28"/>
          <w:szCs w:val="28"/>
          <w:highlight w:val="none"/>
          <w:lang w:val="en-US" w:eastAsia="zh-CN" w:bidi="ar"/>
        </w:rPr>
      </w:pPr>
      <w:r>
        <w:rPr>
          <w:rFonts w:hint="eastAsia" w:ascii="仿宋" w:hAnsi="仿宋" w:eastAsia="仿宋" w:cs="仿宋"/>
          <w:bCs/>
          <w:color w:val="000000"/>
          <w:sz w:val="28"/>
          <w:szCs w:val="28"/>
          <w:highlight w:val="none"/>
          <w:lang w:bidi="ar"/>
        </w:rPr>
        <w:t>甲方（采购人）：</w:t>
      </w:r>
      <w:r>
        <w:rPr>
          <w:rFonts w:hint="eastAsia" w:ascii="仿宋" w:hAnsi="仿宋" w:eastAsia="仿宋" w:cs="仿宋"/>
          <w:bCs/>
          <w:color w:val="000000"/>
          <w:sz w:val="28"/>
          <w:szCs w:val="28"/>
          <w:highlight w:val="none"/>
          <w:u w:val="single"/>
          <w:lang w:bidi="ar"/>
        </w:rPr>
        <w:t xml:space="preserve">            </w:t>
      </w:r>
      <w:r>
        <w:rPr>
          <w:rFonts w:hint="eastAsia" w:ascii="仿宋" w:hAnsi="仿宋" w:eastAsia="仿宋" w:cs="仿宋"/>
          <w:bCs/>
          <w:color w:val="000000"/>
          <w:sz w:val="28"/>
          <w:szCs w:val="28"/>
          <w:highlight w:val="none"/>
          <w:u w:val="single"/>
          <w:lang w:val="en-US" w:eastAsia="zh-CN" w:bidi="ar"/>
        </w:rPr>
        <w:t xml:space="preserve"> </w:t>
      </w:r>
      <w:r>
        <w:rPr>
          <w:rFonts w:hint="eastAsia" w:ascii="仿宋" w:hAnsi="仿宋" w:eastAsia="仿宋" w:cs="仿宋"/>
          <w:bCs/>
          <w:color w:val="000000"/>
          <w:sz w:val="28"/>
          <w:szCs w:val="28"/>
          <w:highlight w:val="none"/>
          <w:u w:val="single"/>
          <w:lang w:bidi="ar"/>
        </w:rPr>
        <w:t xml:space="preserve">   </w:t>
      </w:r>
      <w:r>
        <w:rPr>
          <w:rFonts w:hint="eastAsia" w:ascii="仿宋" w:hAnsi="仿宋" w:eastAsia="仿宋" w:cs="仿宋"/>
          <w:bCs/>
          <w:color w:val="000000"/>
          <w:sz w:val="28"/>
          <w:szCs w:val="28"/>
          <w:highlight w:val="none"/>
          <w:u w:val="single"/>
          <w:lang w:val="en-US" w:eastAsia="zh-CN" w:bidi="ar"/>
        </w:rPr>
        <w:t>.</w:t>
      </w:r>
    </w:p>
    <w:p w14:paraId="1831282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bCs/>
          <w:color w:val="000000"/>
          <w:sz w:val="28"/>
          <w:szCs w:val="28"/>
          <w:highlight w:val="none"/>
          <w:lang w:val="en-US" w:eastAsia="zh-CN" w:bidi="ar"/>
        </w:rPr>
      </w:pPr>
      <w:r>
        <w:rPr>
          <w:rFonts w:hint="eastAsia" w:ascii="仿宋" w:hAnsi="仿宋" w:eastAsia="仿宋" w:cs="仿宋"/>
          <w:bCs/>
          <w:color w:val="000000"/>
          <w:sz w:val="28"/>
          <w:szCs w:val="28"/>
          <w:highlight w:val="none"/>
          <w:lang w:bidi="ar"/>
        </w:rPr>
        <w:t>乙方（供应商）：</w:t>
      </w:r>
      <w:r>
        <w:rPr>
          <w:rFonts w:hint="eastAsia" w:ascii="仿宋" w:hAnsi="仿宋" w:eastAsia="仿宋" w:cs="仿宋"/>
          <w:bCs/>
          <w:color w:val="000000"/>
          <w:sz w:val="28"/>
          <w:szCs w:val="28"/>
          <w:highlight w:val="none"/>
          <w:u w:val="single"/>
          <w:lang w:bidi="ar"/>
        </w:rPr>
        <w:t xml:space="preserve">                </w:t>
      </w:r>
      <w:r>
        <w:rPr>
          <w:rFonts w:hint="eastAsia" w:ascii="仿宋" w:hAnsi="仿宋" w:eastAsia="仿宋" w:cs="仿宋"/>
          <w:bCs/>
          <w:color w:val="000000"/>
          <w:sz w:val="28"/>
          <w:szCs w:val="28"/>
          <w:highlight w:val="none"/>
          <w:u w:val="single"/>
          <w:lang w:val="en-US" w:eastAsia="zh-CN" w:bidi="ar"/>
        </w:rPr>
        <w:t>.</w:t>
      </w:r>
    </w:p>
    <w:p w14:paraId="26CC715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bCs/>
          <w:color w:val="000000"/>
          <w:sz w:val="28"/>
          <w:szCs w:val="28"/>
          <w:highlight w:val="none"/>
          <w:lang w:bidi="ar"/>
        </w:rPr>
      </w:pPr>
      <w:r>
        <w:rPr>
          <w:rFonts w:hint="eastAsia" w:ascii="仿宋" w:hAnsi="仿宋" w:eastAsia="仿宋" w:cs="仿宋"/>
          <w:bCs/>
          <w:color w:val="000000"/>
          <w:sz w:val="28"/>
          <w:szCs w:val="28"/>
          <w:highlight w:val="none"/>
          <w:lang w:bidi="ar"/>
        </w:rPr>
        <w:t>甲乙双方根据</w:t>
      </w:r>
      <w:r>
        <w:rPr>
          <w:rFonts w:hint="eastAsia" w:ascii="仿宋" w:hAnsi="仿宋" w:eastAsia="仿宋" w:cs="仿宋"/>
          <w:bCs/>
          <w:color w:val="000000"/>
          <w:sz w:val="28"/>
          <w:szCs w:val="28"/>
          <w:highlight w:val="none"/>
          <w:u w:val="single"/>
          <w:lang w:val="en-US" w:eastAsia="zh-CN" w:bidi="ar"/>
        </w:rPr>
        <w:t xml:space="preserve">   </w:t>
      </w:r>
      <w:r>
        <w:rPr>
          <w:rFonts w:hint="eastAsia" w:ascii="仿宋" w:hAnsi="仿宋" w:eastAsia="仿宋" w:cs="仿宋"/>
          <w:bCs/>
          <w:color w:val="000000"/>
          <w:sz w:val="28"/>
          <w:szCs w:val="28"/>
          <w:highlight w:val="none"/>
          <w:u w:val="single"/>
          <w:lang w:bidi="ar"/>
        </w:rPr>
        <w:t xml:space="preserve">   </w:t>
      </w:r>
      <w:r>
        <w:rPr>
          <w:rFonts w:hint="eastAsia" w:ascii="仿宋" w:hAnsi="仿宋" w:eastAsia="仿宋" w:cs="仿宋"/>
          <w:bCs/>
          <w:color w:val="000000"/>
          <w:sz w:val="28"/>
          <w:szCs w:val="28"/>
          <w:highlight w:val="none"/>
          <w:u w:val="single"/>
          <w:lang w:val="en-US" w:eastAsia="zh-CN" w:bidi="ar"/>
        </w:rPr>
        <w:t xml:space="preserve">  </w:t>
      </w:r>
      <w:r>
        <w:rPr>
          <w:rFonts w:hint="eastAsia" w:ascii="仿宋" w:hAnsi="仿宋" w:eastAsia="仿宋" w:cs="仿宋"/>
          <w:bCs/>
          <w:color w:val="000000"/>
          <w:sz w:val="28"/>
          <w:szCs w:val="28"/>
          <w:highlight w:val="none"/>
          <w:u w:val="single"/>
          <w:lang w:bidi="ar"/>
        </w:rPr>
        <w:t xml:space="preserve">    </w:t>
      </w:r>
      <w:r>
        <w:rPr>
          <w:rFonts w:hint="eastAsia" w:ascii="仿宋" w:hAnsi="仿宋" w:eastAsia="仿宋" w:cs="仿宋"/>
          <w:bCs/>
          <w:color w:val="000000"/>
          <w:sz w:val="28"/>
          <w:szCs w:val="28"/>
          <w:highlight w:val="none"/>
          <w:lang w:bidi="ar"/>
        </w:rPr>
        <w:t>政府采购项目（项目编号：</w:t>
      </w:r>
      <w:r>
        <w:rPr>
          <w:rFonts w:hint="eastAsia" w:ascii="仿宋" w:hAnsi="仿宋" w:eastAsia="仿宋" w:cs="仿宋"/>
          <w:bCs/>
          <w:color w:val="000000"/>
          <w:sz w:val="28"/>
          <w:szCs w:val="28"/>
          <w:highlight w:val="none"/>
          <w:u w:val="single"/>
          <w:lang w:bidi="ar"/>
        </w:rPr>
        <w:t xml:space="preserve">  </w:t>
      </w:r>
      <w:r>
        <w:rPr>
          <w:rFonts w:hint="eastAsia" w:ascii="仿宋" w:hAnsi="仿宋" w:eastAsia="仿宋" w:cs="仿宋"/>
          <w:bCs/>
          <w:color w:val="000000"/>
          <w:sz w:val="28"/>
          <w:szCs w:val="28"/>
          <w:highlight w:val="none"/>
          <w:u w:val="single"/>
          <w:lang w:val="en-US" w:eastAsia="zh-CN" w:bidi="ar"/>
        </w:rPr>
        <w:t xml:space="preserve">      </w:t>
      </w:r>
      <w:r>
        <w:rPr>
          <w:rFonts w:hint="eastAsia" w:ascii="仿宋" w:hAnsi="仿宋" w:eastAsia="仿宋" w:cs="仿宋"/>
          <w:bCs/>
          <w:color w:val="000000"/>
          <w:sz w:val="28"/>
          <w:szCs w:val="28"/>
          <w:highlight w:val="none"/>
          <w:u w:val="single"/>
          <w:lang w:bidi="ar"/>
        </w:rPr>
        <w:t xml:space="preserve">  </w:t>
      </w:r>
      <w:r>
        <w:rPr>
          <w:rFonts w:hint="eastAsia" w:ascii="仿宋" w:hAnsi="仿宋" w:eastAsia="仿宋" w:cs="仿宋"/>
          <w:bCs/>
          <w:color w:val="000000"/>
          <w:sz w:val="28"/>
          <w:szCs w:val="28"/>
          <w:highlight w:val="none"/>
          <w:lang w:bidi="ar"/>
        </w:rPr>
        <w:t>）采购结果及相关</w:t>
      </w:r>
      <w:r>
        <w:rPr>
          <w:rFonts w:hint="eastAsia" w:ascii="仿宋" w:hAnsi="仿宋" w:eastAsia="仿宋" w:cs="仿宋"/>
          <w:bCs/>
          <w:color w:val="000000"/>
          <w:sz w:val="28"/>
          <w:szCs w:val="28"/>
          <w:highlight w:val="none"/>
          <w:lang w:eastAsia="zh-CN" w:bidi="ar"/>
        </w:rPr>
        <w:t>招标</w:t>
      </w:r>
      <w:r>
        <w:rPr>
          <w:rFonts w:hint="eastAsia" w:ascii="仿宋" w:hAnsi="仿宋" w:eastAsia="仿宋" w:cs="仿宋"/>
          <w:bCs/>
          <w:color w:val="000000"/>
          <w:sz w:val="28"/>
          <w:szCs w:val="28"/>
          <w:highlight w:val="none"/>
          <w:lang w:bidi="ar"/>
        </w:rPr>
        <w:t>文件、</w:t>
      </w:r>
      <w:r>
        <w:rPr>
          <w:rFonts w:hint="eastAsia" w:ascii="仿宋" w:hAnsi="仿宋" w:eastAsia="仿宋" w:cs="仿宋"/>
          <w:bCs/>
          <w:color w:val="000000"/>
          <w:sz w:val="28"/>
          <w:szCs w:val="28"/>
          <w:highlight w:val="none"/>
          <w:lang w:eastAsia="zh-CN" w:bidi="ar"/>
        </w:rPr>
        <w:t>投标</w:t>
      </w:r>
      <w:r>
        <w:rPr>
          <w:rFonts w:hint="eastAsia" w:ascii="仿宋" w:hAnsi="仿宋" w:eastAsia="仿宋" w:cs="仿宋"/>
          <w:bCs/>
          <w:color w:val="000000"/>
          <w:sz w:val="28"/>
          <w:szCs w:val="28"/>
          <w:highlight w:val="none"/>
          <w:lang w:bidi="ar"/>
        </w:rPr>
        <w:t>文件，经协商一致，订立本合同，供双方共同遵守：</w:t>
      </w:r>
    </w:p>
    <w:p w14:paraId="0A09AC6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 xml:space="preserve">第一条 </w:t>
      </w:r>
      <w:r>
        <w:rPr>
          <w:rFonts w:hint="eastAsia" w:ascii="仿宋" w:hAnsi="仿宋" w:eastAsia="仿宋" w:cs="仿宋"/>
          <w:b/>
          <w:bCs w:val="0"/>
          <w:color w:val="000000"/>
          <w:sz w:val="28"/>
          <w:szCs w:val="28"/>
          <w:highlight w:val="none"/>
          <w:lang w:bidi="ar"/>
        </w:rPr>
        <w:t>项目概况</w:t>
      </w:r>
    </w:p>
    <w:p w14:paraId="592D7792">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color w:val="000000"/>
          <w:sz w:val="28"/>
          <w:szCs w:val="28"/>
          <w:highlight w:val="none"/>
          <w:lang w:eastAsia="zh-CN" w:bidi="ar"/>
        </w:rPr>
      </w:pPr>
      <w:r>
        <w:rPr>
          <w:rFonts w:hint="eastAsia" w:ascii="仿宋" w:hAnsi="仿宋" w:eastAsia="仿宋" w:cs="仿宋"/>
          <w:b w:val="0"/>
          <w:bCs/>
          <w:color w:val="000000"/>
          <w:sz w:val="28"/>
          <w:szCs w:val="28"/>
          <w:highlight w:val="none"/>
          <w:lang w:eastAsia="zh-CN" w:bidi="ar"/>
        </w:rPr>
        <w:t>服务内容：</w:t>
      </w:r>
      <w:r>
        <w:rPr>
          <w:rFonts w:hint="eastAsia" w:ascii="仿宋" w:hAnsi="仿宋" w:eastAsia="仿宋" w:cs="仿宋"/>
          <w:b w:val="0"/>
          <w:bCs/>
          <w:color w:val="000000"/>
          <w:sz w:val="28"/>
          <w:szCs w:val="28"/>
          <w:highlight w:val="none"/>
          <w:u w:val="single"/>
          <w:lang w:eastAsia="zh-CN" w:bidi="ar"/>
        </w:rPr>
        <w:t xml:space="preserve">              .</w:t>
      </w:r>
    </w:p>
    <w:p w14:paraId="274F0E66">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color w:val="000000"/>
          <w:sz w:val="28"/>
          <w:szCs w:val="28"/>
          <w:highlight w:val="none"/>
          <w:lang w:eastAsia="zh-CN" w:bidi="ar"/>
        </w:rPr>
      </w:pPr>
      <w:r>
        <w:rPr>
          <w:rFonts w:hint="eastAsia" w:ascii="仿宋" w:hAnsi="仿宋" w:eastAsia="仿宋" w:cs="仿宋"/>
          <w:b w:val="0"/>
          <w:bCs/>
          <w:color w:val="000000"/>
          <w:sz w:val="28"/>
          <w:szCs w:val="28"/>
          <w:highlight w:val="none"/>
          <w:lang w:eastAsia="zh-CN" w:bidi="ar"/>
        </w:rPr>
        <w:t>成交价格（含税）：</w:t>
      </w:r>
      <w:r>
        <w:rPr>
          <w:rFonts w:hint="eastAsia" w:ascii="仿宋" w:hAnsi="仿宋" w:eastAsia="仿宋" w:cs="仿宋"/>
          <w:b w:val="0"/>
          <w:bCs/>
          <w:color w:val="000000"/>
          <w:sz w:val="28"/>
          <w:szCs w:val="28"/>
          <w:highlight w:val="none"/>
          <w:u w:val="single"/>
          <w:lang w:eastAsia="zh-CN" w:bidi="ar"/>
        </w:rPr>
        <w:t xml:space="preserve">         </w:t>
      </w:r>
      <w:r>
        <w:rPr>
          <w:rFonts w:hint="eastAsia" w:ascii="仿宋" w:hAnsi="仿宋" w:eastAsia="仿宋" w:cs="仿宋"/>
          <w:b w:val="0"/>
          <w:bCs/>
          <w:color w:val="000000"/>
          <w:sz w:val="28"/>
          <w:szCs w:val="28"/>
          <w:highlight w:val="none"/>
          <w:lang w:eastAsia="zh-CN" w:bidi="ar"/>
        </w:rPr>
        <w:t>(金额单位：人民币元)</w:t>
      </w:r>
    </w:p>
    <w:p w14:paraId="24C3FC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color w:val="auto"/>
          <w:sz w:val="28"/>
          <w:szCs w:val="28"/>
          <w:highlight w:val="none"/>
          <w:lang w:eastAsia="zh-CN" w:bidi="ar"/>
        </w:rPr>
      </w:pPr>
      <w:r>
        <w:rPr>
          <w:rFonts w:hint="eastAsia" w:ascii="仿宋" w:hAnsi="仿宋" w:eastAsia="仿宋" w:cs="仿宋"/>
          <w:b w:val="0"/>
          <w:bCs/>
          <w:color w:val="auto"/>
          <w:sz w:val="28"/>
          <w:szCs w:val="28"/>
          <w:highlight w:val="none"/>
          <w:lang w:eastAsia="zh-CN" w:bidi="ar"/>
        </w:rPr>
        <w:t>乙方负责项目实施过程中的所有费用，甲方不再另付任何费用。</w:t>
      </w:r>
    </w:p>
    <w:p w14:paraId="3B00E10B">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二</w:t>
      </w:r>
      <w:r>
        <w:rPr>
          <w:rFonts w:hint="eastAsia" w:ascii="仿宋" w:hAnsi="仿宋" w:eastAsia="仿宋" w:cs="仿宋"/>
          <w:b/>
          <w:sz w:val="28"/>
          <w:szCs w:val="28"/>
          <w:highlight w:val="none"/>
          <w:lang w:bidi="ar"/>
        </w:rPr>
        <w:t xml:space="preserve">条  </w:t>
      </w:r>
      <w:r>
        <w:rPr>
          <w:rFonts w:hint="eastAsia" w:ascii="仿宋" w:hAnsi="仿宋" w:eastAsia="仿宋" w:cs="仿宋"/>
          <w:b/>
          <w:sz w:val="28"/>
          <w:szCs w:val="28"/>
          <w:highlight w:val="none"/>
          <w:lang w:val="zh-CN" w:bidi="ar"/>
        </w:rPr>
        <w:t>服务期限</w:t>
      </w:r>
    </w:p>
    <w:p w14:paraId="36CA5DEF">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服务期限：合同签订后一年</w:t>
      </w:r>
    </w:p>
    <w:p w14:paraId="4E29AF3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b w:val="0"/>
          <w:bCs w:val="0"/>
          <w:sz w:val="28"/>
          <w:szCs w:val="28"/>
          <w:highlight w:val="none"/>
          <w:u w:val="none"/>
          <w:lang w:bidi="ar"/>
        </w:rPr>
      </w:pPr>
      <w:r>
        <w:rPr>
          <w:rFonts w:hint="eastAsia" w:ascii="仿宋" w:hAnsi="仿宋" w:eastAsia="仿宋" w:cs="仿宋"/>
          <w:b w:val="0"/>
          <w:bCs w:val="0"/>
          <w:sz w:val="28"/>
          <w:szCs w:val="28"/>
          <w:highlight w:val="none"/>
          <w:lang w:val="zh-CN"/>
        </w:rPr>
        <w:t>注：根据《政府购买服务管理办法》（中华人民共和国财政部令第102号），</w:t>
      </w:r>
      <w:r>
        <w:rPr>
          <w:rFonts w:hint="eastAsia" w:ascii="仿宋" w:hAnsi="仿宋" w:eastAsia="仿宋" w:cs="仿宋"/>
          <w:b w:val="0"/>
          <w:bCs w:val="0"/>
          <w:color w:val="auto"/>
          <w:kern w:val="0"/>
          <w:sz w:val="28"/>
          <w:szCs w:val="28"/>
          <w:highlight w:val="none"/>
          <w:lang w:val="en-US" w:eastAsia="zh-CN" w:bidi="ar-SA"/>
        </w:rPr>
        <w:t>本次服务采用一次采购，两年沿用，合同一年一签，服务到期后续签合同。</w:t>
      </w:r>
    </w:p>
    <w:p w14:paraId="6924CFE1">
      <w:pPr>
        <w:keepNext w:val="0"/>
        <w:keepLines w:val="0"/>
        <w:pageBreakBefore w:val="0"/>
        <w:kinsoku/>
        <w:wordWrap/>
        <w:overflowPunct/>
        <w:topLinePunct w:val="0"/>
        <w:bidi w:val="0"/>
        <w:spacing w:line="500" w:lineRule="exact"/>
        <w:jc w:val="left"/>
        <w:textAlignment w:val="auto"/>
        <w:rPr>
          <w:rFonts w:hint="default" w:ascii="仿宋" w:hAnsi="仿宋" w:eastAsia="仿宋" w:cs="仿宋"/>
          <w:b/>
          <w:sz w:val="28"/>
          <w:szCs w:val="28"/>
          <w:highlight w:val="none"/>
          <w:lang w:val="en-US" w:eastAsia="zh-CN" w:bidi="ar"/>
        </w:rPr>
      </w:pPr>
      <w:r>
        <w:rPr>
          <w:rFonts w:hint="eastAsia" w:ascii="仿宋" w:hAnsi="仿宋" w:eastAsia="仿宋" w:cs="仿宋"/>
          <w:b/>
          <w:sz w:val="28"/>
          <w:szCs w:val="28"/>
          <w:highlight w:val="none"/>
          <w:lang w:val="en-US" w:eastAsia="zh-CN" w:bidi="ar"/>
        </w:rPr>
        <w:t>第三条  甲乙双方责任及义务</w:t>
      </w:r>
    </w:p>
    <w:p w14:paraId="372A940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1、甲方责任及义务</w:t>
      </w:r>
    </w:p>
    <w:p w14:paraId="03B4680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（1）按照乙方需求，及时、完整提供机房图纸、设备手册、历史运维记录等项目相关资料；资料内容应真实、准确，无重大遗漏。</w:t>
      </w:r>
    </w:p>
    <w:p w14:paraId="21EDFB8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（2）指派专人作为项目对接人，配合乙方完成现场勘查、方案确认、进度协调等工作，对接人信息变更应提前3个工作日书面通知乙方。</w:t>
      </w:r>
    </w:p>
    <w:p w14:paraId="664E027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（3）提供机房出入权限、必要的作业便利（如工具存放区域、基础办公条件等），保障乙方工作人员正常开展服务。</w:t>
      </w:r>
    </w:p>
    <w:p w14:paraId="708E709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（4）按照乙方书面通知的要求，配合完成设备检修、系统升级等工作，包括但不限于数据备份、业务暂停安排等，并提前做好相关准备。</w:t>
      </w:r>
    </w:p>
    <w:p w14:paraId="7ED98DF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（5）按照合同约定的付款方式、期限及金额，向乙方支付服务费用；逾期支付的，按合同约定承担违约责任。</w:t>
      </w:r>
    </w:p>
    <w:p w14:paraId="19990FD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（6）对乙方的服务过程进行监督考核，考核标准以合同约定的采购内容及服务要求为准；发现乙方未达到标准的，有权发出书面整改通知，乙方应在通知要求的期限内完成整改。</w:t>
      </w:r>
    </w:p>
    <w:p w14:paraId="221F597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（7）配合乙方完成阶段性及年度运维总结与评估，提供必要的反馈意见。</w:t>
      </w:r>
    </w:p>
    <w:p w14:paraId="7B0CC51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2、乙方责任及义务</w:t>
      </w:r>
    </w:p>
    <w:p w14:paraId="44FB415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（1）严格按照合同约定的服务内容及标准提供服务，确保服务质量符合行业规范及甲方要求（具体服务标准详见合同附件《服务规范细则》）。</w:t>
      </w:r>
    </w:p>
    <w:p w14:paraId="39CFCB3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（2）对甲方提供的所有资料（包括但不限于机房信息、设备数据、运维记录等）承担保密义务，未经甲方书面同意不得向任何第三方披露；保密义务期限自资料接收之日起至项目结束后3年。</w:t>
      </w:r>
    </w:p>
    <w:p w14:paraId="64F1298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（3）因乙方工作人员操作失误、技术疏漏等自身原因，导致甲方设备损坏、数据丢失或业务中断等损失的，乙方应承担赔偿责任（赔偿范围包括直接经济损失，具体赔偿标准按合同约定执行）。</w:t>
      </w:r>
    </w:p>
    <w:p w14:paraId="79D56C3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（4）派驻的服务人员须具备相应的专业资质证书（如设备厂商认证、运维职业资格等），并提供人员简历及资质证明供甲方审核；人员变更需提前5个工作日书面申请，经甲方同意后方可更换。</w:t>
      </w:r>
    </w:p>
    <w:p w14:paraId="313C3B3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（5）工作人员应遵守甲方的工作时间规定及机房管理细则；如需调整工作时间，应提前1个工作日与甲方对接人协商，达成一致后执行。</w:t>
      </w:r>
    </w:p>
    <w:p w14:paraId="3ADF3A0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6）采用“驻场服务+远程技术支持”相结合的服务模式：驻场人员负责日常运维及一般故障处理；驻场无法解决的问题或重大故障，应立即启动远程技术专家支持，远程支持仍无法解决的，按本款第（7）项执行。</w:t>
      </w:r>
    </w:p>
    <w:p w14:paraId="28F94BC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（7）提供7×24小时服务响应：</w:t>
      </w:r>
    </w:p>
    <w:p w14:paraId="4CD8556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一般故障（定义详见附件《故障等级划分标准》）：响应时间不超过30分钟；现场无法解决的，技术专家应在4小时内到达现场提供免费维修。</w:t>
      </w:r>
    </w:p>
    <w:p w14:paraId="4929208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val="zh-CN" w:eastAsia="zh-CN" w:bidi="ar"/>
        </w:rPr>
      </w:pPr>
      <w:r>
        <w:rPr>
          <w:rFonts w:hint="eastAsia" w:ascii="仿宋" w:hAnsi="仿宋" w:eastAsia="仿宋" w:cs="仿宋"/>
          <w:bCs/>
          <w:sz w:val="28"/>
          <w:szCs w:val="28"/>
          <w:highlight w:val="none"/>
          <w:lang w:val="zh-CN" w:eastAsia="zh-CN" w:bidi="ar"/>
        </w:rPr>
        <w:t>重大故障（定义详见附件《故障等级划分标准》）：立即响应（10分钟内确认故障并启动处理流程），24小时内排除故障；若24小时内无法排除，应提供临时解决方案以减少甲方损失。</w:t>
      </w:r>
    </w:p>
    <w:p w14:paraId="5C40C5F6">
      <w:pPr>
        <w:keepNext w:val="0"/>
        <w:keepLines w:val="0"/>
        <w:pageBreakBefore w:val="0"/>
        <w:widowControl/>
        <w:kinsoku/>
        <w:wordWrap/>
        <w:overflowPunct/>
        <w:topLinePunct w:val="0"/>
        <w:bidi w:val="0"/>
        <w:spacing w:line="500" w:lineRule="exact"/>
        <w:ind w:left="0" w:leftChars="0"/>
        <w:jc w:val="left"/>
        <w:textAlignment w:val="auto"/>
        <w:rPr>
          <w:rFonts w:hint="eastAsia" w:ascii="仿宋" w:hAnsi="仿宋" w:eastAsia="仿宋" w:cs="仿宋"/>
          <w:b/>
          <w:color w:val="000000"/>
          <w:sz w:val="28"/>
          <w:szCs w:val="28"/>
          <w:highlight w:val="none"/>
          <w:lang w:bidi="ar"/>
        </w:rPr>
      </w:pPr>
      <w:r>
        <w:rPr>
          <w:rFonts w:hint="eastAsia" w:ascii="仿宋" w:hAnsi="仿宋" w:eastAsia="仿宋" w:cs="仿宋"/>
          <w:b/>
          <w:color w:val="000000"/>
          <w:sz w:val="28"/>
          <w:szCs w:val="28"/>
          <w:highlight w:val="none"/>
          <w:lang w:bidi="ar"/>
        </w:rPr>
        <w:t>第</w:t>
      </w:r>
      <w:r>
        <w:rPr>
          <w:rFonts w:hint="eastAsia" w:ascii="仿宋" w:hAnsi="仿宋" w:eastAsia="仿宋" w:cs="仿宋"/>
          <w:b/>
          <w:color w:val="000000"/>
          <w:sz w:val="28"/>
          <w:szCs w:val="28"/>
          <w:highlight w:val="none"/>
          <w:lang w:eastAsia="zh-CN" w:bidi="ar"/>
        </w:rPr>
        <w:t>四</w:t>
      </w:r>
      <w:r>
        <w:rPr>
          <w:rFonts w:hint="eastAsia" w:ascii="仿宋" w:hAnsi="仿宋" w:eastAsia="仿宋" w:cs="仿宋"/>
          <w:b/>
          <w:color w:val="000000"/>
          <w:sz w:val="28"/>
          <w:szCs w:val="28"/>
          <w:highlight w:val="none"/>
          <w:lang w:bidi="ar"/>
        </w:rPr>
        <w:t>条</w:t>
      </w:r>
      <w:r>
        <w:rPr>
          <w:rFonts w:hint="eastAsia" w:ascii="仿宋" w:hAnsi="仿宋" w:eastAsia="仿宋" w:cs="仿宋"/>
          <w:b/>
          <w:color w:val="000000"/>
          <w:sz w:val="28"/>
          <w:szCs w:val="28"/>
          <w:highlight w:val="none"/>
          <w:lang w:val="en-US" w:eastAsia="zh-CN" w:bidi="ar"/>
        </w:rPr>
        <w:t xml:space="preserve">  </w:t>
      </w:r>
      <w:r>
        <w:rPr>
          <w:rFonts w:hint="eastAsia" w:ascii="仿宋" w:hAnsi="仿宋" w:eastAsia="仿宋" w:cs="仿宋"/>
          <w:b/>
          <w:color w:val="000000"/>
          <w:sz w:val="28"/>
          <w:szCs w:val="28"/>
          <w:highlight w:val="none"/>
          <w:lang w:bidi="ar"/>
        </w:rPr>
        <w:t>费用的结算</w:t>
      </w:r>
    </w:p>
    <w:p w14:paraId="75D15896">
      <w:pPr>
        <w:keepNext w:val="0"/>
        <w:keepLines w:val="0"/>
        <w:pageBreakBefore w:val="0"/>
        <w:widowControl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bCs/>
          <w:color w:val="000000"/>
          <w:sz w:val="28"/>
          <w:szCs w:val="28"/>
          <w:highlight w:val="none"/>
          <w:lang w:bidi="ar"/>
        </w:rPr>
      </w:pPr>
      <w:r>
        <w:rPr>
          <w:rFonts w:hint="eastAsia" w:ascii="仿宋" w:hAnsi="仿宋" w:eastAsia="仿宋" w:cs="仿宋"/>
          <w:bCs/>
          <w:color w:val="000000"/>
          <w:sz w:val="28"/>
          <w:szCs w:val="28"/>
          <w:highlight w:val="none"/>
          <w:lang w:bidi="ar"/>
        </w:rPr>
        <w:t>1、结算依据：本项目</w:t>
      </w:r>
      <w:r>
        <w:rPr>
          <w:rFonts w:hint="eastAsia" w:ascii="仿宋" w:hAnsi="仿宋" w:eastAsia="仿宋" w:cs="仿宋"/>
          <w:bCs/>
          <w:color w:val="000000"/>
          <w:sz w:val="28"/>
          <w:szCs w:val="28"/>
          <w:highlight w:val="none"/>
          <w:lang w:eastAsia="zh-CN" w:bidi="ar"/>
        </w:rPr>
        <w:t>招标文件</w:t>
      </w:r>
      <w:r>
        <w:rPr>
          <w:rFonts w:hint="eastAsia" w:ascii="仿宋" w:hAnsi="仿宋" w:eastAsia="仿宋" w:cs="仿宋"/>
          <w:bCs/>
          <w:color w:val="000000"/>
          <w:sz w:val="28"/>
          <w:szCs w:val="28"/>
          <w:highlight w:val="none"/>
          <w:lang w:bidi="ar"/>
        </w:rPr>
        <w:t>、</w:t>
      </w:r>
      <w:r>
        <w:rPr>
          <w:rFonts w:hint="eastAsia" w:ascii="仿宋" w:hAnsi="仿宋" w:eastAsia="仿宋" w:cs="仿宋"/>
          <w:bCs/>
          <w:color w:val="000000"/>
          <w:sz w:val="28"/>
          <w:szCs w:val="28"/>
          <w:highlight w:val="none"/>
          <w:lang w:eastAsia="zh-CN" w:bidi="ar"/>
        </w:rPr>
        <w:t>投标</w:t>
      </w:r>
      <w:r>
        <w:rPr>
          <w:rFonts w:hint="eastAsia" w:ascii="仿宋" w:hAnsi="仿宋" w:eastAsia="仿宋" w:cs="仿宋"/>
          <w:bCs/>
          <w:color w:val="000000"/>
          <w:sz w:val="28"/>
          <w:szCs w:val="28"/>
          <w:highlight w:val="none"/>
          <w:lang w:bidi="ar"/>
        </w:rPr>
        <w:t>文件、</w:t>
      </w:r>
      <w:r>
        <w:rPr>
          <w:rFonts w:hint="eastAsia" w:ascii="仿宋" w:hAnsi="仿宋" w:eastAsia="仿宋" w:cs="仿宋"/>
          <w:bCs/>
          <w:color w:val="000000"/>
          <w:sz w:val="28"/>
          <w:szCs w:val="28"/>
          <w:highlight w:val="none"/>
          <w:lang w:bidi="ar"/>
        </w:rPr>
        <w:fldChar w:fldCharType="begin"/>
      </w:r>
      <w:r>
        <w:rPr>
          <w:rFonts w:hint="eastAsia" w:ascii="仿宋" w:hAnsi="仿宋" w:eastAsia="仿宋" w:cs="仿宋"/>
          <w:bCs/>
          <w:color w:val="000000"/>
          <w:sz w:val="28"/>
          <w:szCs w:val="28"/>
          <w:highlight w:val="none"/>
          <w:lang w:bidi="ar"/>
        </w:rPr>
        <w:instrText xml:space="preserve">HYPERLINK "http://set2.mail.qq.com/cgi-bin/mail_spam?action=check_link&amp;spam=0&amp;url=http%3A%2F%2Fwww%2Ebaidu%2Ecom%2Fs%3Fwd%3D%25E9%2587%2587%25E8%25B4%25AD%25E5%2590%2588%25E5%2590%258C%26hl_tag%3Dtextlink%26tn%3DSE_hldp01350_v6v6zkg6" </w:instrText>
      </w:r>
      <w:r>
        <w:rPr>
          <w:rFonts w:hint="eastAsia" w:ascii="仿宋" w:hAnsi="仿宋" w:eastAsia="仿宋" w:cs="仿宋"/>
          <w:bCs/>
          <w:color w:val="000000"/>
          <w:sz w:val="28"/>
          <w:szCs w:val="28"/>
          <w:highlight w:val="none"/>
          <w:lang w:bidi="ar"/>
        </w:rPr>
        <w:fldChar w:fldCharType="separate"/>
      </w:r>
      <w:r>
        <w:rPr>
          <w:rFonts w:hint="eastAsia" w:ascii="仿宋" w:hAnsi="仿宋" w:eastAsia="仿宋" w:cs="仿宋"/>
          <w:bCs/>
          <w:color w:val="000000"/>
          <w:sz w:val="28"/>
          <w:szCs w:val="28"/>
          <w:highlight w:val="none"/>
          <w:lang w:bidi="ar"/>
        </w:rPr>
        <w:t>采购合同</w:t>
      </w:r>
      <w:r>
        <w:rPr>
          <w:rFonts w:hint="eastAsia" w:ascii="仿宋" w:hAnsi="仿宋" w:eastAsia="仿宋" w:cs="仿宋"/>
          <w:bCs/>
          <w:color w:val="000000"/>
          <w:sz w:val="28"/>
          <w:szCs w:val="28"/>
          <w:highlight w:val="none"/>
          <w:lang w:bidi="ar"/>
        </w:rPr>
        <w:fldChar w:fldCharType="end"/>
      </w:r>
      <w:r>
        <w:rPr>
          <w:rFonts w:hint="eastAsia" w:ascii="仿宋" w:hAnsi="仿宋" w:eastAsia="仿宋" w:cs="仿宋"/>
          <w:bCs/>
          <w:color w:val="000000"/>
          <w:sz w:val="28"/>
          <w:szCs w:val="28"/>
          <w:highlight w:val="none"/>
          <w:lang w:bidi="ar"/>
        </w:rPr>
        <w:t>、乙方</w:t>
      </w:r>
      <w:r>
        <w:rPr>
          <w:rFonts w:hint="eastAsia" w:ascii="仿宋" w:hAnsi="仿宋" w:eastAsia="仿宋" w:cs="仿宋"/>
          <w:bCs/>
          <w:color w:val="000000"/>
          <w:sz w:val="28"/>
          <w:szCs w:val="28"/>
          <w:highlight w:val="none"/>
          <w:lang w:bidi="ar"/>
        </w:rPr>
        <w:fldChar w:fldCharType="begin"/>
      </w:r>
      <w:r>
        <w:rPr>
          <w:rFonts w:hint="eastAsia" w:ascii="仿宋" w:hAnsi="仿宋" w:eastAsia="仿宋" w:cs="仿宋"/>
          <w:bCs/>
          <w:color w:val="000000"/>
          <w:sz w:val="28"/>
          <w:szCs w:val="28"/>
          <w:highlight w:val="none"/>
          <w:lang w:bidi="ar"/>
        </w:rPr>
        <w:instrText xml:space="preserve">HYPERLINK "http://set2.mail.qq.com/cgi-bin/mail_spam?action=check_link&amp;spam=0&amp;url=http%3A%2F%2Fwww%2Ebaidu%2Ecom%2Fs%3Fwd%3D%25E9%2594%2580%25E5%2594%25AE%25E5%258F%2591%25E7%25A5%25A8%26hl_tag%3Dtextlink%26tn%3DSE_hldp01350_v6v6zkg6" </w:instrText>
      </w:r>
      <w:r>
        <w:rPr>
          <w:rFonts w:hint="eastAsia" w:ascii="仿宋" w:hAnsi="仿宋" w:eastAsia="仿宋" w:cs="仿宋"/>
          <w:bCs/>
          <w:color w:val="000000"/>
          <w:sz w:val="28"/>
          <w:szCs w:val="28"/>
          <w:highlight w:val="none"/>
          <w:lang w:bidi="ar"/>
        </w:rPr>
        <w:fldChar w:fldCharType="separate"/>
      </w:r>
      <w:r>
        <w:rPr>
          <w:rFonts w:hint="eastAsia" w:ascii="仿宋" w:hAnsi="仿宋" w:eastAsia="仿宋" w:cs="仿宋"/>
          <w:bCs/>
          <w:color w:val="000000"/>
          <w:sz w:val="28"/>
          <w:szCs w:val="28"/>
          <w:highlight w:val="none"/>
          <w:lang w:bidi="ar"/>
        </w:rPr>
        <w:t>发票</w:t>
      </w:r>
      <w:r>
        <w:rPr>
          <w:rFonts w:hint="eastAsia" w:ascii="仿宋" w:hAnsi="仿宋" w:eastAsia="仿宋" w:cs="仿宋"/>
          <w:bCs/>
          <w:color w:val="000000"/>
          <w:sz w:val="28"/>
          <w:szCs w:val="28"/>
          <w:highlight w:val="none"/>
          <w:lang w:bidi="ar"/>
        </w:rPr>
        <w:fldChar w:fldCharType="end"/>
      </w:r>
      <w:r>
        <w:rPr>
          <w:rFonts w:hint="eastAsia" w:ascii="仿宋" w:hAnsi="仿宋" w:eastAsia="仿宋" w:cs="仿宋"/>
          <w:bCs/>
          <w:color w:val="000000"/>
          <w:sz w:val="28"/>
          <w:szCs w:val="28"/>
          <w:highlight w:val="none"/>
          <w:lang w:bidi="ar"/>
        </w:rPr>
        <w:t>以及与本项目有关的其他资料。</w:t>
      </w:r>
    </w:p>
    <w:p w14:paraId="00459899">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560" w:firstLineChars="200"/>
        <w:textAlignment w:val="auto"/>
        <w:rPr>
          <w:rFonts w:hint="eastAsia" w:ascii="仿宋" w:hAnsi="仿宋" w:eastAsia="仿宋" w:cs="仿宋"/>
          <w:bCs/>
          <w:color w:val="000000"/>
          <w:sz w:val="28"/>
          <w:szCs w:val="28"/>
          <w:highlight w:val="none"/>
          <w:lang w:bidi="ar"/>
        </w:rPr>
      </w:pPr>
      <w:r>
        <w:rPr>
          <w:rFonts w:hint="eastAsia" w:ascii="仿宋" w:hAnsi="仿宋" w:eastAsia="仿宋" w:cs="仿宋"/>
          <w:bCs/>
          <w:color w:val="000000"/>
          <w:sz w:val="28"/>
          <w:szCs w:val="28"/>
          <w:highlight w:val="none"/>
          <w:lang w:bidi="ar"/>
        </w:rPr>
        <w:t>2、</w:t>
      </w:r>
      <w:r>
        <w:rPr>
          <w:rFonts w:hint="eastAsia" w:ascii="仿宋" w:hAnsi="仿宋" w:eastAsia="仿宋" w:cs="仿宋"/>
          <w:bCs/>
          <w:color w:val="000000"/>
          <w:sz w:val="28"/>
          <w:szCs w:val="28"/>
          <w:highlight w:val="none"/>
          <w:lang w:bidi="ar"/>
        </w:rPr>
        <w:fldChar w:fldCharType="begin"/>
      </w:r>
      <w:r>
        <w:rPr>
          <w:rFonts w:hint="eastAsia" w:ascii="仿宋" w:hAnsi="仿宋" w:eastAsia="仿宋" w:cs="仿宋"/>
          <w:bCs/>
          <w:color w:val="000000"/>
          <w:sz w:val="28"/>
          <w:szCs w:val="28"/>
          <w:highlight w:val="none"/>
          <w:lang w:bidi="ar"/>
        </w:rPr>
        <w:instrText xml:space="preserve">HYPERLINK "http://set2.mail.qq.com/cgi-bin/mail_spam?action=check_link&amp;spam=0&amp;url=http%3A%2F%2Fwww%2Ebaidu%2Ecom%2Fs%3Fwd%3D%25E7%25BB%2593%25E7%25AE%2597%25E6%2596%25B9%25E5%25BC%258F%26hl_tag%3Dtextlink%26tn%3DSE_hldp01350_v6v6zkg6" </w:instrText>
      </w:r>
      <w:r>
        <w:rPr>
          <w:rFonts w:hint="eastAsia" w:ascii="仿宋" w:hAnsi="仿宋" w:eastAsia="仿宋" w:cs="仿宋"/>
          <w:bCs/>
          <w:color w:val="000000"/>
          <w:sz w:val="28"/>
          <w:szCs w:val="28"/>
          <w:highlight w:val="none"/>
          <w:lang w:bidi="ar"/>
        </w:rPr>
        <w:fldChar w:fldCharType="separate"/>
      </w:r>
      <w:r>
        <w:rPr>
          <w:rFonts w:hint="eastAsia" w:ascii="仿宋" w:hAnsi="仿宋" w:eastAsia="仿宋" w:cs="仿宋"/>
          <w:bCs/>
          <w:color w:val="000000"/>
          <w:sz w:val="28"/>
          <w:szCs w:val="28"/>
          <w:highlight w:val="none"/>
          <w:lang w:bidi="ar"/>
        </w:rPr>
        <w:t>结算方式</w:t>
      </w:r>
      <w:r>
        <w:rPr>
          <w:rFonts w:hint="eastAsia" w:ascii="仿宋" w:hAnsi="仿宋" w:eastAsia="仿宋" w:cs="仿宋"/>
          <w:bCs/>
          <w:color w:val="000000"/>
          <w:sz w:val="28"/>
          <w:szCs w:val="28"/>
          <w:highlight w:val="none"/>
          <w:lang w:bidi="ar"/>
        </w:rPr>
        <w:fldChar w:fldCharType="end"/>
      </w:r>
      <w:r>
        <w:rPr>
          <w:rFonts w:hint="eastAsia" w:ascii="仿宋" w:hAnsi="仿宋" w:eastAsia="仿宋" w:cs="仿宋"/>
          <w:bCs/>
          <w:color w:val="000000"/>
          <w:sz w:val="28"/>
          <w:szCs w:val="28"/>
          <w:highlight w:val="none"/>
          <w:lang w:bidi="ar"/>
        </w:rPr>
        <w:t>：</w:t>
      </w:r>
      <w:r>
        <w:rPr>
          <w:rFonts w:hint="eastAsia" w:ascii="仿宋" w:hAnsi="仿宋" w:eastAsia="仿宋" w:cs="仿宋"/>
          <w:kern w:val="0"/>
          <w:sz w:val="28"/>
          <w:szCs w:val="28"/>
          <w:highlight w:val="none"/>
          <w:lang w:eastAsia="zh-CN"/>
        </w:rPr>
        <w:t>合同签订后1月内，甲方支付合同总金额的30%；乙方服务满半年后，甲方15个工作日内支付合同总金额的40%；乙方年度服务期满，经甲方完成年度验收评价完毕后（合同期满一个月内出具），甲方1个月内支付剩余总金额的30%。</w:t>
      </w:r>
    </w:p>
    <w:p w14:paraId="53C3A869">
      <w:pPr>
        <w:keepNext w:val="0"/>
        <w:keepLines w:val="0"/>
        <w:pageBreakBefore w:val="0"/>
        <w:widowControl w:val="0"/>
        <w:kinsoku/>
        <w:wordWrap/>
        <w:overflowPunct/>
        <w:topLinePunct w:val="0"/>
        <w:bidi w:val="0"/>
        <w:spacing w:line="500" w:lineRule="exact"/>
        <w:ind w:left="0" w:leftChars="0"/>
        <w:jc w:val="left"/>
        <w:textAlignment w:val="auto"/>
        <w:rPr>
          <w:rFonts w:hint="eastAsia" w:ascii="仿宋" w:hAnsi="仿宋" w:eastAsia="仿宋" w:cs="仿宋"/>
          <w:b/>
          <w:color w:val="000000"/>
          <w:sz w:val="28"/>
          <w:szCs w:val="28"/>
          <w:highlight w:val="none"/>
          <w:lang w:val="en-US" w:eastAsia="zh-CN" w:bidi="ar"/>
        </w:rPr>
      </w:pPr>
      <w:r>
        <w:rPr>
          <w:rFonts w:hint="eastAsia" w:ascii="仿宋" w:hAnsi="仿宋" w:eastAsia="仿宋" w:cs="仿宋"/>
          <w:b/>
          <w:color w:val="000000"/>
          <w:sz w:val="28"/>
          <w:szCs w:val="28"/>
          <w:highlight w:val="none"/>
          <w:lang w:eastAsia="zh-CN" w:bidi="ar"/>
        </w:rPr>
        <w:t>第五条</w:t>
      </w:r>
      <w:r>
        <w:rPr>
          <w:rFonts w:hint="eastAsia" w:ascii="仿宋" w:hAnsi="仿宋" w:eastAsia="仿宋" w:cs="仿宋"/>
          <w:b/>
          <w:color w:val="000000"/>
          <w:sz w:val="28"/>
          <w:szCs w:val="28"/>
          <w:highlight w:val="none"/>
          <w:lang w:val="en-US" w:eastAsia="zh-CN" w:bidi="ar"/>
        </w:rPr>
        <w:t xml:space="preserve">  验收</w:t>
      </w:r>
    </w:p>
    <w:p w14:paraId="2EACD5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项目由甲方或其邀请的专家或第三方机构进行验收，验收时乙方应无条件予以配合并提供验收所需的全部资料，若乙方不配合或者未按时提供招标文件采购的服务，甲方将拒绝验收。</w:t>
      </w:r>
    </w:p>
    <w:p w14:paraId="51F980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验收依据：招标文件、投标文件、合同文本。</w:t>
      </w:r>
    </w:p>
    <w:p w14:paraId="20BC4674">
      <w:pPr>
        <w:keepNext w:val="0"/>
        <w:keepLines w:val="0"/>
        <w:pageBreakBefore w:val="0"/>
        <w:widowControl w:val="0"/>
        <w:kinsoku/>
        <w:wordWrap/>
        <w:overflowPunct/>
        <w:topLinePunct w:val="0"/>
        <w:bidi w:val="0"/>
        <w:spacing w:line="500" w:lineRule="exact"/>
        <w:ind w:left="0" w:leftChars="0"/>
        <w:jc w:val="left"/>
        <w:textAlignment w:val="auto"/>
        <w:rPr>
          <w:rFonts w:hint="default" w:ascii="仿宋" w:hAnsi="仿宋" w:eastAsia="仿宋" w:cs="仿宋"/>
          <w:b/>
          <w:color w:val="000000"/>
          <w:sz w:val="28"/>
          <w:szCs w:val="28"/>
          <w:highlight w:val="none"/>
          <w:lang w:val="en-US" w:eastAsia="zh-CN" w:bidi="ar"/>
        </w:rPr>
      </w:pPr>
      <w:r>
        <w:rPr>
          <w:rFonts w:hint="eastAsia" w:ascii="仿宋" w:hAnsi="仿宋" w:eastAsia="仿宋" w:cs="仿宋"/>
          <w:b/>
          <w:color w:val="000000"/>
          <w:sz w:val="28"/>
          <w:szCs w:val="28"/>
          <w:highlight w:val="none"/>
          <w:lang w:val="en-US" w:eastAsia="zh-CN" w:bidi="ar"/>
        </w:rPr>
        <w:t>第六条  知识产权</w:t>
      </w:r>
    </w:p>
    <w:p w14:paraId="5B0C76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乙方应保证服务不会出现因第三方提出侵犯其专利权、商标权或其它知识产权而引发法律或经济纠纷，否则由乙方承担全部责任。任何被乙方用于未经授权的商业目的行为所造成的违约或侵权责任由乙方承但。</w:t>
      </w:r>
    </w:p>
    <w:p w14:paraId="723DCD8D">
      <w:pPr>
        <w:keepNext w:val="0"/>
        <w:keepLines w:val="0"/>
        <w:pageBreakBefore w:val="0"/>
        <w:widowControl w:val="0"/>
        <w:kinsoku/>
        <w:wordWrap/>
        <w:overflowPunct/>
        <w:topLinePunct w:val="0"/>
        <w:bidi w:val="0"/>
        <w:spacing w:line="500" w:lineRule="exact"/>
        <w:ind w:left="0" w:leftChars="0"/>
        <w:jc w:val="left"/>
        <w:textAlignment w:val="auto"/>
        <w:rPr>
          <w:rFonts w:hint="eastAsia" w:ascii="仿宋" w:hAnsi="仿宋" w:eastAsia="仿宋" w:cs="仿宋"/>
          <w:b/>
          <w:color w:val="000000"/>
          <w:sz w:val="28"/>
          <w:szCs w:val="28"/>
          <w:highlight w:val="none"/>
          <w:lang w:bidi="ar"/>
        </w:rPr>
      </w:pPr>
      <w:r>
        <w:rPr>
          <w:rFonts w:hint="eastAsia" w:ascii="仿宋" w:hAnsi="仿宋" w:eastAsia="仿宋" w:cs="仿宋"/>
          <w:b/>
          <w:color w:val="000000"/>
          <w:sz w:val="28"/>
          <w:szCs w:val="28"/>
          <w:highlight w:val="none"/>
          <w:lang w:bidi="ar"/>
        </w:rPr>
        <w:t>第</w:t>
      </w:r>
      <w:r>
        <w:rPr>
          <w:rFonts w:hint="eastAsia" w:ascii="仿宋" w:hAnsi="仿宋" w:eastAsia="仿宋" w:cs="仿宋"/>
          <w:b/>
          <w:color w:val="000000"/>
          <w:sz w:val="28"/>
          <w:szCs w:val="28"/>
          <w:highlight w:val="none"/>
          <w:lang w:eastAsia="zh-CN" w:bidi="ar"/>
        </w:rPr>
        <w:t>七</w:t>
      </w:r>
      <w:r>
        <w:rPr>
          <w:rFonts w:hint="eastAsia" w:ascii="仿宋" w:hAnsi="仿宋" w:eastAsia="仿宋" w:cs="仿宋"/>
          <w:b/>
          <w:color w:val="000000"/>
          <w:sz w:val="28"/>
          <w:szCs w:val="28"/>
          <w:highlight w:val="none"/>
          <w:lang w:bidi="ar"/>
        </w:rPr>
        <w:t>条  甲方的</w:t>
      </w:r>
      <w:r>
        <w:rPr>
          <w:rFonts w:hint="eastAsia" w:ascii="仿宋" w:hAnsi="仿宋" w:eastAsia="仿宋" w:cs="仿宋"/>
          <w:b/>
          <w:color w:val="000000"/>
          <w:sz w:val="28"/>
          <w:szCs w:val="28"/>
          <w:highlight w:val="none"/>
          <w:lang w:bidi="ar"/>
        </w:rPr>
        <w:fldChar w:fldCharType="begin"/>
      </w:r>
      <w:r>
        <w:rPr>
          <w:rFonts w:hint="eastAsia" w:ascii="仿宋" w:hAnsi="仿宋" w:eastAsia="仿宋" w:cs="仿宋"/>
          <w:b/>
          <w:color w:val="000000"/>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 </w:instrText>
      </w:r>
      <w:r>
        <w:rPr>
          <w:rFonts w:hint="eastAsia" w:ascii="仿宋" w:hAnsi="仿宋" w:eastAsia="仿宋" w:cs="仿宋"/>
          <w:b/>
          <w:color w:val="000000"/>
          <w:sz w:val="28"/>
          <w:szCs w:val="28"/>
          <w:highlight w:val="none"/>
          <w:lang w:bidi="ar"/>
        </w:rPr>
        <w:fldChar w:fldCharType="separate"/>
      </w:r>
      <w:r>
        <w:rPr>
          <w:rFonts w:hint="eastAsia" w:ascii="仿宋" w:hAnsi="仿宋" w:eastAsia="仿宋" w:cs="仿宋"/>
          <w:b/>
          <w:color w:val="000000"/>
          <w:sz w:val="28"/>
          <w:szCs w:val="28"/>
          <w:highlight w:val="none"/>
          <w:lang w:bidi="ar"/>
        </w:rPr>
        <w:t>违约责任</w:t>
      </w:r>
      <w:r>
        <w:rPr>
          <w:rFonts w:hint="eastAsia" w:ascii="仿宋" w:hAnsi="仿宋" w:eastAsia="仿宋" w:cs="仿宋"/>
          <w:b/>
          <w:color w:val="000000"/>
          <w:sz w:val="28"/>
          <w:szCs w:val="28"/>
          <w:highlight w:val="none"/>
          <w:lang w:bidi="ar"/>
        </w:rPr>
        <w:fldChar w:fldCharType="end"/>
      </w:r>
    </w:p>
    <w:p w14:paraId="56A8001D">
      <w:pPr>
        <w:keepNext w:val="0"/>
        <w:keepLines w:val="0"/>
        <w:pageBreakBefore w:val="0"/>
        <w:widowControl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color w:val="000000"/>
          <w:kern w:val="0"/>
          <w:sz w:val="28"/>
          <w:szCs w:val="28"/>
          <w:highlight w:val="none"/>
        </w:rPr>
      </w:pPr>
      <w:r>
        <w:rPr>
          <w:rFonts w:hint="eastAsia" w:ascii="仿宋" w:hAnsi="仿宋" w:eastAsia="仿宋" w:cs="仿宋"/>
          <w:bCs/>
          <w:color w:val="000000"/>
          <w:sz w:val="28"/>
          <w:szCs w:val="28"/>
          <w:highlight w:val="none"/>
          <w:lang w:bidi="ar"/>
        </w:rPr>
        <w:t>1、</w:t>
      </w:r>
      <w:r>
        <w:rPr>
          <w:rFonts w:hint="eastAsia" w:ascii="仿宋" w:hAnsi="仿宋" w:eastAsia="仿宋" w:cs="仿宋"/>
          <w:color w:val="000000"/>
          <w:kern w:val="0"/>
          <w:sz w:val="28"/>
          <w:szCs w:val="28"/>
          <w:highlight w:val="none"/>
        </w:rPr>
        <w:t>甲方逾期付款，应就逾期部分向乙方支付按照中国人民银行规定的同期贷款基准利率计算的逾期付款违约金。</w:t>
      </w:r>
    </w:p>
    <w:p w14:paraId="362E506F">
      <w:pPr>
        <w:keepNext w:val="0"/>
        <w:keepLines w:val="0"/>
        <w:pageBreakBefore w:val="0"/>
        <w:widowControl w:val="0"/>
        <w:kinsoku/>
        <w:wordWrap/>
        <w:overflowPunct/>
        <w:topLinePunct w:val="0"/>
        <w:bidi w:val="0"/>
        <w:spacing w:line="500" w:lineRule="exact"/>
        <w:ind w:left="0" w:leftChars="0" w:firstLine="560" w:firstLineChars="200"/>
        <w:jc w:val="left"/>
        <w:textAlignment w:val="auto"/>
        <w:rPr>
          <w:rFonts w:hint="eastAsia" w:ascii="仿宋" w:hAnsi="仿宋" w:eastAsia="仿宋" w:cs="仿宋"/>
          <w:bCs/>
          <w:color w:val="000000"/>
          <w:sz w:val="28"/>
          <w:szCs w:val="28"/>
          <w:highlight w:val="none"/>
          <w:lang w:bidi="ar"/>
        </w:rPr>
      </w:pPr>
      <w:r>
        <w:rPr>
          <w:rFonts w:hint="eastAsia" w:ascii="仿宋" w:hAnsi="仿宋" w:eastAsia="仿宋" w:cs="仿宋"/>
          <w:bCs/>
          <w:color w:val="000000"/>
          <w:sz w:val="28"/>
          <w:szCs w:val="28"/>
          <w:highlight w:val="none"/>
          <w:lang w:bidi="ar"/>
        </w:rPr>
        <w:t>2、甲方违反合同规定拒绝接收</w:t>
      </w:r>
      <w:r>
        <w:rPr>
          <w:rFonts w:hint="eastAsia" w:ascii="仿宋" w:hAnsi="仿宋" w:eastAsia="仿宋" w:cs="仿宋"/>
          <w:bCs/>
          <w:color w:val="000000"/>
          <w:sz w:val="28"/>
          <w:szCs w:val="28"/>
          <w:highlight w:val="none"/>
          <w:lang w:eastAsia="zh-CN" w:bidi="ar"/>
        </w:rPr>
        <w:t>服务</w:t>
      </w:r>
      <w:r>
        <w:rPr>
          <w:rFonts w:hint="eastAsia" w:ascii="仿宋" w:hAnsi="仿宋" w:eastAsia="仿宋" w:cs="仿宋"/>
          <w:bCs/>
          <w:color w:val="000000"/>
          <w:sz w:val="28"/>
          <w:szCs w:val="28"/>
          <w:highlight w:val="none"/>
          <w:lang w:bidi="ar"/>
        </w:rPr>
        <w:t>的，应当承担由此对乙方造成的损失。</w:t>
      </w:r>
    </w:p>
    <w:p w14:paraId="2814234D">
      <w:pPr>
        <w:keepNext w:val="0"/>
        <w:keepLines w:val="0"/>
        <w:pageBreakBefore w:val="0"/>
        <w:widowControl w:val="0"/>
        <w:kinsoku/>
        <w:wordWrap/>
        <w:overflowPunct/>
        <w:topLinePunct w:val="0"/>
        <w:bidi w:val="0"/>
        <w:spacing w:line="500" w:lineRule="exact"/>
        <w:ind w:left="0" w:leftChars="0"/>
        <w:jc w:val="left"/>
        <w:textAlignment w:val="auto"/>
        <w:rPr>
          <w:rFonts w:hint="eastAsia" w:ascii="仿宋" w:hAnsi="仿宋" w:eastAsia="仿宋" w:cs="仿宋"/>
          <w:b/>
          <w:color w:val="000000"/>
          <w:sz w:val="28"/>
          <w:szCs w:val="28"/>
          <w:highlight w:val="none"/>
          <w:lang w:bidi="ar"/>
        </w:rPr>
      </w:pPr>
      <w:r>
        <w:rPr>
          <w:rFonts w:hint="eastAsia" w:ascii="仿宋" w:hAnsi="仿宋" w:eastAsia="仿宋" w:cs="仿宋"/>
          <w:b/>
          <w:color w:val="000000"/>
          <w:sz w:val="28"/>
          <w:szCs w:val="28"/>
          <w:highlight w:val="none"/>
          <w:lang w:bidi="ar"/>
        </w:rPr>
        <w:t>第</w:t>
      </w:r>
      <w:r>
        <w:rPr>
          <w:rFonts w:hint="eastAsia" w:ascii="仿宋" w:hAnsi="仿宋" w:eastAsia="仿宋" w:cs="仿宋"/>
          <w:b/>
          <w:color w:val="000000"/>
          <w:sz w:val="28"/>
          <w:szCs w:val="28"/>
          <w:highlight w:val="none"/>
          <w:lang w:eastAsia="zh-CN" w:bidi="ar"/>
        </w:rPr>
        <w:t>八</w:t>
      </w:r>
      <w:r>
        <w:rPr>
          <w:rFonts w:hint="eastAsia" w:ascii="仿宋" w:hAnsi="仿宋" w:eastAsia="仿宋" w:cs="仿宋"/>
          <w:b/>
          <w:color w:val="000000"/>
          <w:sz w:val="28"/>
          <w:szCs w:val="28"/>
          <w:highlight w:val="none"/>
          <w:lang w:bidi="ar"/>
        </w:rPr>
        <w:t>条  乙方的</w:t>
      </w:r>
      <w:r>
        <w:rPr>
          <w:rFonts w:hint="eastAsia" w:ascii="仿宋" w:hAnsi="仿宋" w:eastAsia="仿宋" w:cs="仿宋"/>
          <w:b/>
          <w:color w:val="000000"/>
          <w:sz w:val="28"/>
          <w:szCs w:val="28"/>
          <w:highlight w:val="none"/>
          <w:lang w:bidi="ar"/>
        </w:rPr>
        <w:fldChar w:fldCharType="begin"/>
      </w:r>
      <w:r>
        <w:rPr>
          <w:rFonts w:hint="eastAsia" w:ascii="仿宋" w:hAnsi="仿宋" w:eastAsia="仿宋" w:cs="仿宋"/>
          <w:b/>
          <w:color w:val="000000"/>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 </w:instrText>
      </w:r>
      <w:r>
        <w:rPr>
          <w:rFonts w:hint="eastAsia" w:ascii="仿宋" w:hAnsi="仿宋" w:eastAsia="仿宋" w:cs="仿宋"/>
          <w:b/>
          <w:color w:val="000000"/>
          <w:sz w:val="28"/>
          <w:szCs w:val="28"/>
          <w:highlight w:val="none"/>
          <w:lang w:bidi="ar"/>
        </w:rPr>
        <w:fldChar w:fldCharType="separate"/>
      </w:r>
      <w:r>
        <w:rPr>
          <w:rFonts w:hint="eastAsia" w:ascii="仿宋" w:hAnsi="仿宋" w:eastAsia="仿宋" w:cs="仿宋"/>
          <w:b/>
          <w:color w:val="000000"/>
          <w:sz w:val="28"/>
          <w:szCs w:val="28"/>
          <w:highlight w:val="none"/>
          <w:lang w:bidi="ar"/>
        </w:rPr>
        <w:t>违约责任</w:t>
      </w:r>
      <w:r>
        <w:rPr>
          <w:rFonts w:hint="eastAsia" w:ascii="仿宋" w:hAnsi="仿宋" w:eastAsia="仿宋" w:cs="仿宋"/>
          <w:b/>
          <w:color w:val="000000"/>
          <w:sz w:val="28"/>
          <w:szCs w:val="28"/>
          <w:highlight w:val="none"/>
          <w:lang w:bidi="ar"/>
        </w:rPr>
        <w:fldChar w:fldCharType="end"/>
      </w:r>
    </w:p>
    <w:p w14:paraId="15FD7524">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1、乙</w:t>
      </w:r>
      <w:r>
        <w:rPr>
          <w:rFonts w:hint="eastAsia" w:ascii="仿宋" w:hAnsi="仿宋" w:eastAsia="仿宋" w:cs="仿宋"/>
          <w:bCs/>
          <w:sz w:val="28"/>
          <w:szCs w:val="28"/>
          <w:highlight w:val="none"/>
          <w:lang w:bidi="ar"/>
        </w:rPr>
        <w:t>方不能按</w:t>
      </w:r>
      <w:r>
        <w:rPr>
          <w:rFonts w:hint="eastAsia" w:ascii="仿宋" w:hAnsi="仿宋" w:eastAsia="仿宋" w:cs="仿宋"/>
          <w:bCs/>
          <w:sz w:val="28"/>
          <w:szCs w:val="28"/>
          <w:highlight w:val="none"/>
          <w:lang w:eastAsia="zh-CN" w:bidi="ar"/>
        </w:rPr>
        <w:t>合同约定期限完成服务</w:t>
      </w:r>
      <w:r>
        <w:rPr>
          <w:rFonts w:hint="eastAsia" w:ascii="仿宋" w:hAnsi="仿宋" w:eastAsia="仿宋" w:cs="仿宋"/>
          <w:bCs/>
          <w:sz w:val="28"/>
          <w:szCs w:val="28"/>
          <w:highlight w:val="none"/>
          <w:lang w:bidi="ar"/>
        </w:rPr>
        <w:t>的，每逾期1日，乙方应向甲方赔付合同总价的0.1%</w:t>
      </w:r>
      <w:r>
        <w:rPr>
          <w:rFonts w:hint="eastAsia" w:ascii="仿宋" w:hAnsi="仿宋" w:eastAsia="仿宋" w:cs="仿宋"/>
          <w:bCs/>
          <w:sz w:val="28"/>
          <w:szCs w:val="28"/>
          <w:highlight w:val="none"/>
          <w:lang w:eastAsia="zh-CN" w:bidi="ar"/>
        </w:rPr>
        <w:t>的</w:t>
      </w:r>
      <w:r>
        <w:rPr>
          <w:rFonts w:hint="eastAsia" w:ascii="仿宋" w:hAnsi="仿宋" w:eastAsia="仿宋" w:cs="仿宋"/>
          <w:bCs/>
          <w:sz w:val="28"/>
          <w:szCs w:val="28"/>
          <w:highlight w:val="none"/>
          <w:lang w:bidi="ar"/>
        </w:rPr>
        <w:t>违约金。</w:t>
      </w:r>
    </w:p>
    <w:p w14:paraId="40964798">
      <w:pPr>
        <w:keepNext w:val="0"/>
        <w:keepLines w:val="0"/>
        <w:pageBreakBefore w:val="0"/>
        <w:widowControl w:val="0"/>
        <w:kinsoku/>
        <w:wordWrap/>
        <w:overflowPunct/>
        <w:topLinePunct w:val="0"/>
        <w:autoSpaceDE/>
        <w:autoSpaceDN/>
        <w:bidi w:val="0"/>
        <w:adjustRightInd/>
        <w:spacing w:line="500" w:lineRule="exact"/>
        <w:ind w:firstLine="560" w:firstLineChars="200"/>
        <w:jc w:val="left"/>
        <w:textAlignment w:val="auto"/>
        <w:rPr>
          <w:rFonts w:ascii="仿宋" w:hAnsi="仿宋" w:eastAsia="仿宋" w:cs="仿宋"/>
          <w:bCs/>
          <w:sz w:val="28"/>
          <w:szCs w:val="28"/>
          <w:highlight w:val="none"/>
          <w:lang w:bidi="ar"/>
        </w:rPr>
      </w:pPr>
      <w:r>
        <w:rPr>
          <w:rFonts w:hint="eastAsia" w:ascii="仿宋" w:hAnsi="仿宋" w:eastAsia="仿宋" w:cs="仿宋"/>
          <w:bCs/>
          <w:sz w:val="28"/>
          <w:szCs w:val="28"/>
          <w:highlight w:val="none"/>
          <w:lang w:bidi="ar"/>
        </w:rPr>
        <w:t>2、乙方所交货物不符合国家</w:t>
      </w:r>
      <w:r>
        <w:rPr>
          <w:rFonts w:hint="eastAsia" w:ascii="仿宋" w:hAnsi="仿宋" w:eastAsia="仿宋" w:cs="仿宋"/>
          <w:bCs/>
          <w:sz w:val="28"/>
          <w:szCs w:val="28"/>
          <w:highlight w:val="none"/>
          <w:lang w:eastAsia="zh-CN" w:bidi="ar"/>
        </w:rPr>
        <w:t>、行业及</w:t>
      </w:r>
      <w:r>
        <w:rPr>
          <w:rFonts w:hint="eastAsia" w:ascii="仿宋" w:hAnsi="仿宋" w:eastAsia="仿宋" w:cs="仿宋"/>
          <w:bCs/>
          <w:sz w:val="28"/>
          <w:szCs w:val="28"/>
          <w:highlight w:val="none"/>
          <w:lang w:bidi="ar"/>
        </w:rPr>
        <w:t>法律法规和合同</w:t>
      </w:r>
      <w:r>
        <w:rPr>
          <w:rFonts w:hint="eastAsia" w:ascii="仿宋" w:hAnsi="仿宋" w:eastAsia="仿宋" w:cs="仿宋"/>
          <w:bCs/>
          <w:sz w:val="28"/>
          <w:szCs w:val="28"/>
          <w:highlight w:val="none"/>
          <w:lang w:eastAsia="zh-CN" w:bidi="ar"/>
        </w:rPr>
        <w:t>约定的技术标准</w:t>
      </w:r>
      <w:r>
        <w:rPr>
          <w:rFonts w:hint="eastAsia" w:ascii="仿宋" w:hAnsi="仿宋" w:eastAsia="仿宋" w:cs="仿宋"/>
          <w:bCs/>
          <w:sz w:val="28"/>
          <w:szCs w:val="28"/>
          <w:highlight w:val="none"/>
          <w:lang w:bidi="ar"/>
        </w:rPr>
        <w:t>的，甲方有权拒收，并由乙方承担</w:t>
      </w:r>
      <w:r>
        <w:rPr>
          <w:rFonts w:hint="eastAsia" w:ascii="仿宋" w:hAnsi="仿宋" w:eastAsia="仿宋" w:cs="仿宋"/>
          <w:bCs/>
          <w:sz w:val="28"/>
          <w:szCs w:val="28"/>
          <w:highlight w:val="none"/>
          <w:lang w:eastAsia="zh-CN" w:bidi="ar"/>
        </w:rPr>
        <w:t>因本违约产生的全部</w:t>
      </w:r>
      <w:r>
        <w:rPr>
          <w:rFonts w:hint="eastAsia" w:ascii="仿宋" w:hAnsi="仿宋" w:eastAsia="仿宋" w:cs="仿宋"/>
          <w:bCs/>
          <w:sz w:val="28"/>
          <w:szCs w:val="28"/>
          <w:highlight w:val="none"/>
          <w:lang w:bidi="ar"/>
        </w:rPr>
        <w:t>费用。</w:t>
      </w:r>
    </w:p>
    <w:p w14:paraId="3A7823F3">
      <w:pPr>
        <w:keepNext w:val="0"/>
        <w:keepLines w:val="0"/>
        <w:pageBreakBefore w:val="0"/>
        <w:widowControl/>
        <w:kinsoku/>
        <w:wordWrap/>
        <w:overflowPunct/>
        <w:topLinePunct w:val="0"/>
        <w:bidi w:val="0"/>
        <w:spacing w:line="500" w:lineRule="exact"/>
        <w:ind w:left="0" w:leftChars="0"/>
        <w:jc w:val="left"/>
        <w:textAlignment w:val="auto"/>
        <w:rPr>
          <w:rFonts w:hint="eastAsia" w:ascii="仿宋" w:hAnsi="仿宋" w:eastAsia="仿宋" w:cs="仿宋"/>
          <w:b/>
          <w:color w:val="000000"/>
          <w:sz w:val="28"/>
          <w:szCs w:val="28"/>
          <w:highlight w:val="none"/>
          <w:lang w:bidi="ar"/>
        </w:rPr>
      </w:pPr>
      <w:r>
        <w:rPr>
          <w:rFonts w:hint="eastAsia" w:ascii="仿宋" w:hAnsi="仿宋" w:eastAsia="仿宋" w:cs="仿宋"/>
          <w:b/>
          <w:color w:val="000000"/>
          <w:sz w:val="28"/>
          <w:szCs w:val="28"/>
          <w:highlight w:val="none"/>
          <w:lang w:bidi="ar"/>
        </w:rPr>
        <w:t>第</w:t>
      </w:r>
      <w:r>
        <w:rPr>
          <w:rFonts w:hint="eastAsia" w:ascii="仿宋" w:hAnsi="仿宋" w:eastAsia="仿宋" w:cs="仿宋"/>
          <w:b/>
          <w:color w:val="000000"/>
          <w:sz w:val="28"/>
          <w:szCs w:val="28"/>
          <w:highlight w:val="none"/>
          <w:lang w:eastAsia="zh-CN" w:bidi="ar"/>
        </w:rPr>
        <w:t>九</w:t>
      </w:r>
      <w:r>
        <w:rPr>
          <w:rFonts w:hint="eastAsia" w:ascii="仿宋" w:hAnsi="仿宋" w:eastAsia="仿宋" w:cs="仿宋"/>
          <w:b/>
          <w:color w:val="000000"/>
          <w:sz w:val="28"/>
          <w:szCs w:val="28"/>
          <w:highlight w:val="none"/>
          <w:lang w:bidi="ar"/>
        </w:rPr>
        <w:t xml:space="preserve">条  </w:t>
      </w:r>
      <w:r>
        <w:rPr>
          <w:rFonts w:hint="eastAsia" w:ascii="仿宋" w:hAnsi="仿宋" w:eastAsia="仿宋" w:cs="仿宋"/>
          <w:b/>
          <w:color w:val="000000"/>
          <w:sz w:val="28"/>
          <w:szCs w:val="28"/>
          <w:highlight w:val="none"/>
          <w:lang w:bidi="ar"/>
        </w:rPr>
        <w:fldChar w:fldCharType="begin"/>
      </w:r>
      <w:r>
        <w:rPr>
          <w:rFonts w:hint="eastAsia" w:ascii="仿宋" w:hAnsi="仿宋" w:eastAsia="仿宋" w:cs="仿宋"/>
          <w:b/>
          <w:color w:val="000000"/>
          <w:sz w:val="28"/>
          <w:szCs w:val="28"/>
          <w:highlight w:val="none"/>
          <w:lang w:bidi="ar"/>
        </w:rPr>
        <w:instrText xml:space="preserve">HYPERLINK "http://set2.mail.qq.com/cgi-bin/mail_spam?action=check_link&amp;spam=0&amp;url=http%3A%2F%2Fwww%2Ebaidu%2Ecom%2Fs%3Fwd%3D%25E4%25B8%258D%25E5%258F%25AF%25E6%258A%2597%25E5%258A%259B%26hl_tag%3Dtextlink%26tn%3DSE_hldp01350_v6v6zkg6" </w:instrText>
      </w:r>
      <w:r>
        <w:rPr>
          <w:rFonts w:hint="eastAsia" w:ascii="仿宋" w:hAnsi="仿宋" w:eastAsia="仿宋" w:cs="仿宋"/>
          <w:b/>
          <w:color w:val="000000"/>
          <w:sz w:val="28"/>
          <w:szCs w:val="28"/>
          <w:highlight w:val="none"/>
          <w:lang w:bidi="ar"/>
        </w:rPr>
        <w:fldChar w:fldCharType="separate"/>
      </w:r>
      <w:r>
        <w:rPr>
          <w:rFonts w:hint="eastAsia" w:ascii="仿宋" w:hAnsi="仿宋" w:eastAsia="仿宋" w:cs="仿宋"/>
          <w:b/>
          <w:color w:val="000000"/>
          <w:sz w:val="28"/>
          <w:szCs w:val="28"/>
          <w:highlight w:val="none"/>
          <w:lang w:bidi="ar"/>
        </w:rPr>
        <w:t>不可抗力</w:t>
      </w:r>
      <w:r>
        <w:rPr>
          <w:rFonts w:hint="eastAsia" w:ascii="仿宋" w:hAnsi="仿宋" w:eastAsia="仿宋" w:cs="仿宋"/>
          <w:b/>
          <w:color w:val="000000"/>
          <w:sz w:val="28"/>
          <w:szCs w:val="28"/>
          <w:highlight w:val="none"/>
          <w:lang w:bidi="ar"/>
        </w:rPr>
        <w:fldChar w:fldCharType="end"/>
      </w:r>
    </w:p>
    <w:p w14:paraId="75716E91">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Cs/>
          <w:color w:val="000000"/>
          <w:sz w:val="28"/>
          <w:szCs w:val="28"/>
          <w:highlight w:val="none"/>
          <w:lang w:bidi="ar"/>
        </w:rPr>
      </w:pPr>
      <w:r>
        <w:rPr>
          <w:rFonts w:hint="eastAsia" w:ascii="仿宋" w:hAnsi="仿宋" w:eastAsia="仿宋" w:cs="仿宋"/>
          <w:bCs/>
          <w:color w:val="000000"/>
          <w:sz w:val="28"/>
          <w:szCs w:val="28"/>
          <w:highlight w:val="none"/>
          <w:lang w:bidi="ar"/>
        </w:rPr>
        <w:t>甲乙双方任何一方由于</w:t>
      </w:r>
      <w:r>
        <w:rPr>
          <w:rFonts w:hint="eastAsia" w:ascii="仿宋" w:hAnsi="仿宋" w:eastAsia="仿宋" w:cs="仿宋"/>
          <w:bCs/>
          <w:color w:val="000000"/>
          <w:sz w:val="28"/>
          <w:szCs w:val="28"/>
          <w:highlight w:val="none"/>
          <w:lang w:bidi="ar"/>
        </w:rPr>
        <w:fldChar w:fldCharType="begin"/>
      </w:r>
      <w:r>
        <w:rPr>
          <w:rFonts w:hint="eastAsia" w:ascii="仿宋" w:hAnsi="仿宋" w:eastAsia="仿宋" w:cs="仿宋"/>
          <w:bCs/>
          <w:color w:val="000000"/>
          <w:sz w:val="28"/>
          <w:szCs w:val="28"/>
          <w:highlight w:val="none"/>
          <w:lang w:bidi="ar"/>
        </w:rPr>
        <w:instrText xml:space="preserve">HYPERLINK "http://set2.mail.qq.com/cgi-bin/mail_spam?action=check_link&amp;spam=0&amp;url=http%3A%2F%2Fwww%2Ebaidu%2Ecom%2Fs%3Fwd%3D%25E4%25B8%258D%25E5%258F%25AF%25E6%258A%2597%25E5%258A%259B%26hl_tag%3Dtextlink%26tn%3DSE_hldp01350_v6v6zkg6" </w:instrText>
      </w:r>
      <w:r>
        <w:rPr>
          <w:rFonts w:hint="eastAsia" w:ascii="仿宋" w:hAnsi="仿宋" w:eastAsia="仿宋" w:cs="仿宋"/>
          <w:bCs/>
          <w:color w:val="000000"/>
          <w:sz w:val="28"/>
          <w:szCs w:val="28"/>
          <w:highlight w:val="none"/>
          <w:lang w:bidi="ar"/>
        </w:rPr>
        <w:fldChar w:fldCharType="separate"/>
      </w:r>
      <w:r>
        <w:rPr>
          <w:rFonts w:hint="eastAsia" w:ascii="仿宋" w:hAnsi="仿宋" w:eastAsia="仿宋" w:cs="仿宋"/>
          <w:bCs/>
          <w:color w:val="000000"/>
          <w:sz w:val="28"/>
          <w:szCs w:val="28"/>
          <w:highlight w:val="none"/>
          <w:lang w:bidi="ar"/>
        </w:rPr>
        <w:t>不可抗力</w:t>
      </w:r>
      <w:r>
        <w:rPr>
          <w:rFonts w:hint="eastAsia" w:ascii="仿宋" w:hAnsi="仿宋" w:eastAsia="仿宋" w:cs="仿宋"/>
          <w:bCs/>
          <w:color w:val="000000"/>
          <w:sz w:val="28"/>
          <w:szCs w:val="28"/>
          <w:highlight w:val="none"/>
          <w:lang w:bidi="ar"/>
        </w:rPr>
        <w:fldChar w:fldCharType="end"/>
      </w:r>
      <w:r>
        <w:rPr>
          <w:rFonts w:hint="eastAsia" w:ascii="仿宋" w:hAnsi="仿宋" w:eastAsia="仿宋" w:cs="仿宋"/>
          <w:bCs/>
          <w:color w:val="000000"/>
          <w:sz w:val="28"/>
          <w:szCs w:val="28"/>
          <w:highlight w:val="none"/>
          <w:lang w:bidi="ar"/>
        </w:rPr>
        <w:t>原因不能履行合同时，应及时向对</w:t>
      </w:r>
      <w:r>
        <w:rPr>
          <w:rFonts w:hint="eastAsia" w:ascii="仿宋" w:hAnsi="仿宋" w:eastAsia="仿宋" w:cs="仿宋"/>
          <w:bCs/>
          <w:color w:val="000000"/>
          <w:sz w:val="28"/>
          <w:szCs w:val="28"/>
          <w:highlight w:val="none"/>
          <w:lang w:bidi="ar"/>
        </w:rPr>
        <w:fldChar w:fldCharType="begin"/>
      </w:r>
      <w:r>
        <w:rPr>
          <w:rFonts w:hint="eastAsia" w:ascii="仿宋" w:hAnsi="仿宋" w:eastAsia="仿宋" w:cs="仿宋"/>
          <w:bCs/>
          <w:color w:val="000000"/>
          <w:sz w:val="28"/>
          <w:szCs w:val="28"/>
          <w:highlight w:val="none"/>
          <w:lang w:bidi="ar"/>
        </w:rPr>
        <w:instrText xml:space="preserve">HYPERLINK "http://set2.mail.qq.com/cgi-bin/mail_spam?action=check_link&amp;spam=0&amp;url=http%3A%2F%2Fwww%2Ebaidu%2Ecom%2Fs%3Fwd%3D%25E6%2596%25B9%25E9%2580%259A%26hl_tag%3Dtextlink%26tn%3DSE_hldp01350_v6v6zkg6" </w:instrText>
      </w:r>
      <w:r>
        <w:rPr>
          <w:rFonts w:hint="eastAsia" w:ascii="仿宋" w:hAnsi="仿宋" w:eastAsia="仿宋" w:cs="仿宋"/>
          <w:bCs/>
          <w:color w:val="000000"/>
          <w:sz w:val="28"/>
          <w:szCs w:val="28"/>
          <w:highlight w:val="none"/>
          <w:lang w:bidi="ar"/>
        </w:rPr>
        <w:fldChar w:fldCharType="separate"/>
      </w:r>
      <w:r>
        <w:rPr>
          <w:rFonts w:hint="eastAsia" w:ascii="仿宋" w:hAnsi="仿宋" w:eastAsia="仿宋" w:cs="仿宋"/>
          <w:bCs/>
          <w:color w:val="000000"/>
          <w:sz w:val="28"/>
          <w:szCs w:val="28"/>
          <w:highlight w:val="none"/>
          <w:lang w:bidi="ar"/>
        </w:rPr>
        <w:t>方通</w:t>
      </w:r>
      <w:r>
        <w:rPr>
          <w:rFonts w:hint="eastAsia" w:ascii="仿宋" w:hAnsi="仿宋" w:eastAsia="仿宋" w:cs="仿宋"/>
          <w:bCs/>
          <w:color w:val="000000"/>
          <w:sz w:val="28"/>
          <w:szCs w:val="28"/>
          <w:highlight w:val="none"/>
          <w:lang w:bidi="ar"/>
        </w:rPr>
        <w:fldChar w:fldCharType="end"/>
      </w:r>
      <w:r>
        <w:rPr>
          <w:rFonts w:hint="eastAsia" w:ascii="仿宋" w:hAnsi="仿宋" w:eastAsia="仿宋" w:cs="仿宋"/>
          <w:bCs/>
          <w:color w:val="000000"/>
          <w:sz w:val="28"/>
          <w:szCs w:val="28"/>
          <w:highlight w:val="none"/>
          <w:lang w:bidi="ar"/>
        </w:rPr>
        <w:t>报不能履行或不能完全履行的理由，以减轻可能给对方造成的损失，在取得有关机构证明后，允许延期履行、部分履行或不履行合同，并根据情况可部分或全部免予承担</w:t>
      </w:r>
      <w:r>
        <w:rPr>
          <w:rFonts w:hint="eastAsia" w:ascii="仿宋" w:hAnsi="仿宋" w:eastAsia="仿宋" w:cs="仿宋"/>
          <w:bCs/>
          <w:color w:val="000000"/>
          <w:sz w:val="28"/>
          <w:szCs w:val="28"/>
          <w:highlight w:val="none"/>
          <w:lang w:bidi="ar"/>
        </w:rPr>
        <w:fldChar w:fldCharType="begin"/>
      </w:r>
      <w:r>
        <w:rPr>
          <w:rFonts w:hint="eastAsia" w:ascii="仿宋" w:hAnsi="仿宋" w:eastAsia="仿宋" w:cs="仿宋"/>
          <w:bCs/>
          <w:color w:val="000000"/>
          <w:sz w:val="28"/>
          <w:szCs w:val="28"/>
          <w:highlight w:val="none"/>
          <w:lang w:bidi="ar"/>
        </w:rPr>
        <w:instrText xml:space="preserve">HYPERLINK "http://set2.mail.qq.com/cgi-bin/mail_spam?action=check_link&amp;spam=0&amp;url=http%3A%2F%2Fwww%2Ebaidu%2Ecom%2Fs%3Fwd%3D%25E8%25BF%259D%25E7%25BA%25A6%25E8%25B4%25A3%25E4%25BB%25BB%26hl_tag%3Dtextlink%26tn%3DSE_hldp01350_v6v6zkg6" </w:instrText>
      </w:r>
      <w:r>
        <w:rPr>
          <w:rFonts w:hint="eastAsia" w:ascii="仿宋" w:hAnsi="仿宋" w:eastAsia="仿宋" w:cs="仿宋"/>
          <w:bCs/>
          <w:color w:val="000000"/>
          <w:sz w:val="28"/>
          <w:szCs w:val="28"/>
          <w:highlight w:val="none"/>
          <w:lang w:bidi="ar"/>
        </w:rPr>
        <w:fldChar w:fldCharType="separate"/>
      </w:r>
      <w:r>
        <w:rPr>
          <w:rFonts w:hint="eastAsia" w:ascii="仿宋" w:hAnsi="仿宋" w:eastAsia="仿宋" w:cs="仿宋"/>
          <w:bCs/>
          <w:color w:val="000000"/>
          <w:sz w:val="28"/>
          <w:szCs w:val="28"/>
          <w:highlight w:val="none"/>
          <w:lang w:bidi="ar"/>
        </w:rPr>
        <w:t>违约责任</w:t>
      </w:r>
      <w:r>
        <w:rPr>
          <w:rFonts w:hint="eastAsia" w:ascii="仿宋" w:hAnsi="仿宋" w:eastAsia="仿宋" w:cs="仿宋"/>
          <w:bCs/>
          <w:color w:val="000000"/>
          <w:sz w:val="28"/>
          <w:szCs w:val="28"/>
          <w:highlight w:val="none"/>
          <w:lang w:bidi="ar"/>
        </w:rPr>
        <w:fldChar w:fldCharType="end"/>
      </w:r>
      <w:r>
        <w:rPr>
          <w:rFonts w:hint="eastAsia" w:ascii="仿宋" w:hAnsi="仿宋" w:eastAsia="仿宋" w:cs="仿宋"/>
          <w:bCs/>
          <w:color w:val="000000"/>
          <w:sz w:val="28"/>
          <w:szCs w:val="28"/>
          <w:highlight w:val="none"/>
          <w:lang w:bidi="ar"/>
        </w:rPr>
        <w:t>。</w:t>
      </w:r>
    </w:p>
    <w:p w14:paraId="4E5E36D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十</w:t>
      </w:r>
      <w:r>
        <w:rPr>
          <w:rFonts w:hint="eastAsia" w:ascii="仿宋" w:hAnsi="仿宋" w:eastAsia="仿宋" w:cs="仿宋"/>
          <w:b/>
          <w:sz w:val="28"/>
          <w:szCs w:val="28"/>
          <w:highlight w:val="none"/>
          <w:lang w:bidi="ar"/>
        </w:rPr>
        <w:t>条  争议解决</w:t>
      </w:r>
    </w:p>
    <w:p w14:paraId="18571038">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双方本着友好合作的态度,对合同履行过程中发生的纠纷应及时协商解决，协商不成的，向甲方所在地有管辖权的人民法院诉讼解决。</w:t>
      </w:r>
    </w:p>
    <w:p w14:paraId="22FFA69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w:t>
      </w:r>
      <w:r>
        <w:rPr>
          <w:rFonts w:hint="eastAsia" w:ascii="仿宋" w:hAnsi="仿宋" w:eastAsia="仿宋" w:cs="仿宋"/>
          <w:b/>
          <w:sz w:val="28"/>
          <w:szCs w:val="28"/>
          <w:highlight w:val="none"/>
          <w:lang w:eastAsia="zh-CN" w:bidi="ar"/>
        </w:rPr>
        <w:t>十一</w:t>
      </w:r>
      <w:r>
        <w:rPr>
          <w:rFonts w:hint="eastAsia" w:ascii="仿宋" w:hAnsi="仿宋" w:eastAsia="仿宋" w:cs="仿宋"/>
          <w:b/>
          <w:sz w:val="28"/>
          <w:szCs w:val="28"/>
          <w:highlight w:val="none"/>
          <w:lang w:bidi="ar"/>
        </w:rPr>
        <w:t>条  监督和管理</w:t>
      </w:r>
    </w:p>
    <w:p w14:paraId="3B393DB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1、政府采购合同履行中，采购人需追加与合同标的相同的货物、工程或者服务的，在不改变合同其他条款的前提下，可以与供应商协商签订补充合同，但所有补充合同的采购金额不得超过原合同采购金额的10%。</w:t>
      </w:r>
    </w:p>
    <w:p w14:paraId="557F326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2、甲乙双方均应自觉配合有关监督管理部门对</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"http://set2.mail.qq.com/cgi-bin/mail_spam?action=check_link&amp;spam=0&amp;url=http%3A%2F%2Fwww%2Ebaidu%2Ecom%2Fs%3Fwd%3D%25E5%2590%2588%25E5%2590%258C%25E5%25B1%25A5%25E8%25A1%258C%26hl_tag%3Dtextlink%26tn%3DSE_hldp01350_v6v6zkg6"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合同履行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情况的监督检查，如实反映情况，提供有关资料；否则，将对有关单位、当事人按照有关规定予以处罚。</w:t>
      </w:r>
    </w:p>
    <w:p w14:paraId="3E00865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第十</w:t>
      </w:r>
      <w:r>
        <w:rPr>
          <w:rFonts w:hint="eastAsia" w:ascii="仿宋" w:hAnsi="仿宋" w:eastAsia="仿宋" w:cs="仿宋"/>
          <w:b/>
          <w:sz w:val="28"/>
          <w:szCs w:val="28"/>
          <w:highlight w:val="none"/>
          <w:lang w:eastAsia="zh-CN" w:bidi="ar"/>
        </w:rPr>
        <w:t>二</w:t>
      </w:r>
      <w:r>
        <w:rPr>
          <w:rFonts w:hint="eastAsia" w:ascii="仿宋" w:hAnsi="仿宋" w:eastAsia="仿宋" w:cs="仿宋"/>
          <w:b/>
          <w:sz w:val="28"/>
          <w:szCs w:val="28"/>
          <w:highlight w:val="none"/>
          <w:lang w:bidi="ar"/>
        </w:rPr>
        <w:t>条</w:t>
      </w:r>
      <w:r>
        <w:rPr>
          <w:rFonts w:hint="eastAsia" w:ascii="仿宋" w:hAnsi="仿宋" w:eastAsia="仿宋" w:cs="仿宋"/>
          <w:b/>
          <w:sz w:val="28"/>
          <w:szCs w:val="28"/>
          <w:highlight w:val="none"/>
          <w:lang w:bidi="ar"/>
        </w:rPr>
        <w:fldChar w:fldCharType="begin"/>
      </w:r>
      <w:r>
        <w:rPr>
          <w:rFonts w:hint="eastAsia" w:ascii="仿宋" w:hAnsi="仿宋" w:eastAsia="仿宋" w:cs="仿宋"/>
          <w:b/>
          <w:sz w:val="28"/>
          <w:szCs w:val="28"/>
          <w:highlight w:val="none"/>
          <w:lang w:bidi="ar"/>
        </w:rPr>
        <w:instrText xml:space="preserve">HYPERLINK "http://set2.mail.qq.com/cgi-bin/mail_spam?action=check_link&amp;spam=0&amp;url=http%3A%2F%2Fwww%2Ebaidu%2Ecom%2Fs%3Fwd%3D%25E6%2597%25A0%25E6%2595%2588%25E5%2590%2588%25E5%2590%258C%26hl_tag%3Dtextlink%26tn%3DSE_hldp01350_v6v6zkg6"</w:instrText>
      </w:r>
      <w:r>
        <w:rPr>
          <w:rFonts w:hint="eastAsia" w:ascii="仿宋" w:hAnsi="仿宋" w:eastAsia="仿宋" w:cs="仿宋"/>
          <w:b/>
          <w:sz w:val="28"/>
          <w:szCs w:val="28"/>
          <w:highlight w:val="none"/>
          <w:lang w:bidi="ar"/>
        </w:rPr>
        <w:fldChar w:fldCharType="separate"/>
      </w:r>
      <w:r>
        <w:rPr>
          <w:rFonts w:hint="eastAsia" w:ascii="仿宋" w:hAnsi="仿宋" w:eastAsia="仿宋" w:cs="仿宋"/>
          <w:b/>
          <w:sz w:val="28"/>
          <w:szCs w:val="28"/>
          <w:highlight w:val="none"/>
          <w:lang w:bidi="ar"/>
        </w:rPr>
        <w:t>无效合同</w:t>
      </w:r>
      <w:r>
        <w:rPr>
          <w:rFonts w:hint="eastAsia" w:ascii="仿宋" w:hAnsi="仿宋" w:eastAsia="仿宋" w:cs="仿宋"/>
          <w:b/>
          <w:sz w:val="28"/>
          <w:szCs w:val="28"/>
          <w:highlight w:val="none"/>
          <w:lang w:bidi="ar"/>
        </w:rPr>
        <w:fldChar w:fldCharType="end"/>
      </w:r>
    </w:p>
    <w:p w14:paraId="44EB6CA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甲乙双方如因违反政府采购法及相关法律法规的规定，被宣告</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"http://set2.mail.qq.com/cgi-bin/mail_spam?action=check_link&amp;spam=0&amp;url=http%3A%2F%2Fwww%2Ebaidu%2Ecom%2Fs%3Fwd%3D%25E5%2590%2588%25E5%2590%258C%25E6%2597%25A0%25E6%2595%2588%26hl_tag%3Dtextlink%26tn%3DSE_hldp01350_v6v6zkg6"</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合同无效</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的，一切责任概由过错方自行承担。</w:t>
      </w:r>
    </w:p>
    <w:p w14:paraId="20F637D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sz w:val="28"/>
          <w:szCs w:val="28"/>
          <w:highlight w:val="none"/>
          <w:lang w:bidi="ar"/>
        </w:rPr>
      </w:pPr>
      <w:r>
        <w:rPr>
          <w:rFonts w:hint="eastAsia" w:ascii="仿宋" w:hAnsi="仿宋" w:eastAsia="仿宋" w:cs="仿宋"/>
          <w:b/>
          <w:sz w:val="28"/>
          <w:szCs w:val="28"/>
          <w:highlight w:val="none"/>
          <w:lang w:bidi="ar"/>
        </w:rPr>
        <w:t>第十</w:t>
      </w:r>
      <w:r>
        <w:rPr>
          <w:rFonts w:hint="eastAsia" w:ascii="仿宋" w:hAnsi="仿宋" w:eastAsia="仿宋" w:cs="仿宋"/>
          <w:b/>
          <w:sz w:val="28"/>
          <w:szCs w:val="28"/>
          <w:highlight w:val="none"/>
          <w:lang w:eastAsia="zh-CN" w:bidi="ar"/>
        </w:rPr>
        <w:t>三</w:t>
      </w:r>
      <w:r>
        <w:rPr>
          <w:rFonts w:hint="eastAsia" w:ascii="仿宋" w:hAnsi="仿宋" w:eastAsia="仿宋" w:cs="仿宋"/>
          <w:b/>
          <w:sz w:val="28"/>
          <w:szCs w:val="28"/>
          <w:highlight w:val="none"/>
          <w:lang w:bidi="ar"/>
        </w:rPr>
        <w:t>条附则</w:t>
      </w:r>
    </w:p>
    <w:p w14:paraId="333BD66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1、</w:t>
      </w:r>
      <w:r>
        <w:rPr>
          <w:rFonts w:hint="eastAsia" w:ascii="仿宋" w:hAnsi="仿宋" w:eastAsia="仿宋" w:cs="仿宋"/>
          <w:bCs/>
          <w:sz w:val="28"/>
          <w:szCs w:val="28"/>
          <w:highlight w:val="none"/>
          <w:u w:val="single"/>
          <w:lang w:bidi="ar"/>
        </w:rPr>
        <w:t></w:t>
      </w:r>
      <w:r>
        <w:rPr>
          <w:rFonts w:hint="eastAsia" w:ascii="仿宋" w:hAnsi="仿宋" w:eastAsia="仿宋" w:cs="仿宋"/>
          <w:bCs/>
          <w:sz w:val="28"/>
          <w:szCs w:val="28"/>
          <w:highlight w:val="none"/>
          <w:lang w:bidi="ar"/>
        </w:rPr>
        <w:t>项目（项目编号：</w:t>
      </w:r>
      <w:r>
        <w:rPr>
          <w:rFonts w:hint="eastAsia" w:ascii="仿宋" w:hAnsi="仿宋" w:eastAsia="仿宋" w:cs="仿宋"/>
          <w:bCs/>
          <w:sz w:val="28"/>
          <w:szCs w:val="28"/>
          <w:highlight w:val="none"/>
          <w:u w:val="single"/>
          <w:lang w:bidi="ar"/>
        </w:rPr>
        <w:t></w:t>
      </w:r>
      <w:r>
        <w:rPr>
          <w:rFonts w:hint="eastAsia" w:ascii="仿宋" w:hAnsi="仿宋" w:eastAsia="仿宋" w:cs="仿宋"/>
          <w:bCs/>
          <w:sz w:val="28"/>
          <w:szCs w:val="28"/>
          <w:highlight w:val="none"/>
          <w:lang w:bidi="ar"/>
        </w:rPr>
        <w:t>）的</w:t>
      </w:r>
      <w:r>
        <w:rPr>
          <w:rFonts w:hint="eastAsia" w:ascii="仿宋" w:hAnsi="仿宋" w:eastAsia="仿宋" w:cs="仿宋"/>
          <w:bCs/>
          <w:sz w:val="28"/>
          <w:szCs w:val="28"/>
          <w:highlight w:val="none"/>
          <w:lang w:eastAsia="zh-CN" w:bidi="ar"/>
        </w:rPr>
        <w:t>招标</w:t>
      </w:r>
      <w:r>
        <w:rPr>
          <w:rFonts w:hint="eastAsia" w:ascii="仿宋" w:hAnsi="仿宋" w:eastAsia="仿宋" w:cs="仿宋"/>
          <w:bCs/>
          <w:sz w:val="28"/>
          <w:szCs w:val="28"/>
          <w:highlight w:val="none"/>
          <w:lang w:bidi="ar"/>
        </w:rPr>
        <w:t>文件、</w:t>
      </w:r>
      <w:r>
        <w:rPr>
          <w:rFonts w:hint="eastAsia" w:ascii="仿宋" w:hAnsi="仿宋" w:eastAsia="仿宋" w:cs="仿宋"/>
          <w:bCs/>
          <w:sz w:val="28"/>
          <w:szCs w:val="28"/>
          <w:highlight w:val="none"/>
          <w:lang w:eastAsia="zh-CN" w:bidi="ar"/>
        </w:rPr>
        <w:t>中标</w:t>
      </w:r>
      <w:r>
        <w:rPr>
          <w:rFonts w:hint="eastAsia" w:ascii="仿宋" w:hAnsi="仿宋" w:eastAsia="仿宋" w:cs="仿宋"/>
          <w:bCs/>
          <w:sz w:val="28"/>
          <w:szCs w:val="28"/>
          <w:highlight w:val="none"/>
          <w:lang w:bidi="ar"/>
        </w:rPr>
        <w:t>通知书、乙方</w:t>
      </w:r>
      <w:r>
        <w:rPr>
          <w:rFonts w:hint="eastAsia" w:ascii="仿宋" w:hAnsi="仿宋" w:eastAsia="仿宋" w:cs="仿宋"/>
          <w:bCs/>
          <w:sz w:val="28"/>
          <w:szCs w:val="28"/>
          <w:highlight w:val="none"/>
          <w:lang w:eastAsia="zh-CN" w:bidi="ar"/>
        </w:rPr>
        <w:t>投标</w:t>
      </w:r>
      <w:r>
        <w:rPr>
          <w:rFonts w:hint="eastAsia" w:ascii="仿宋" w:hAnsi="仿宋" w:eastAsia="仿宋" w:cs="仿宋"/>
          <w:bCs/>
          <w:sz w:val="28"/>
          <w:szCs w:val="28"/>
          <w:highlight w:val="none"/>
          <w:lang w:bidi="ar"/>
        </w:rPr>
        <w:t>文件及澄清说明文件都是本合同的组成部分，甲、乙双方必须全面遵守，如有违反，应承担违约责任。</w:t>
      </w:r>
    </w:p>
    <w:p w14:paraId="141DC7C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eastAsia="zh-CN" w:bidi="ar"/>
        </w:rPr>
      </w:pPr>
      <w:r>
        <w:rPr>
          <w:rFonts w:hint="eastAsia" w:ascii="仿宋" w:hAnsi="仿宋" w:eastAsia="仿宋" w:cs="仿宋"/>
          <w:bCs/>
          <w:sz w:val="28"/>
          <w:szCs w:val="28"/>
          <w:highlight w:val="none"/>
          <w:lang w:bidi="ar"/>
        </w:rPr>
        <w:t>2、本合同一式</w:t>
      </w:r>
      <w:r>
        <w:rPr>
          <w:rFonts w:hint="eastAsia" w:ascii="仿宋" w:hAnsi="仿宋" w:eastAsia="仿宋" w:cs="仿宋"/>
          <w:bCs/>
          <w:sz w:val="28"/>
          <w:szCs w:val="28"/>
          <w:highlight w:val="none"/>
          <w:lang w:val="en-US" w:eastAsia="zh-CN" w:bidi="ar"/>
        </w:rPr>
        <w:t>六</w:t>
      </w:r>
      <w:r>
        <w:rPr>
          <w:rFonts w:hint="eastAsia" w:ascii="仿宋" w:hAnsi="仿宋" w:eastAsia="仿宋" w:cs="仿宋"/>
          <w:bCs/>
          <w:sz w:val="28"/>
          <w:szCs w:val="28"/>
          <w:highlight w:val="none"/>
          <w:lang w:bidi="ar"/>
        </w:rPr>
        <w:t>份,甲乙双方各执</w:t>
      </w:r>
      <w:r>
        <w:rPr>
          <w:rFonts w:hint="eastAsia" w:ascii="仿宋" w:hAnsi="仿宋" w:eastAsia="仿宋" w:cs="仿宋"/>
          <w:bCs/>
          <w:sz w:val="28"/>
          <w:szCs w:val="28"/>
          <w:highlight w:val="none"/>
          <w:lang w:val="en-US" w:eastAsia="zh-CN" w:bidi="ar"/>
        </w:rPr>
        <w:t>两</w:t>
      </w:r>
      <w:r>
        <w:rPr>
          <w:rFonts w:hint="eastAsia" w:ascii="仿宋" w:hAnsi="仿宋" w:eastAsia="仿宋" w:cs="仿宋"/>
          <w:bCs/>
          <w:sz w:val="28"/>
          <w:szCs w:val="28"/>
          <w:highlight w:val="none"/>
          <w:lang w:bidi="ar"/>
        </w:rPr>
        <w:t>份,政府采购代理机构两份</w:t>
      </w:r>
      <w:r>
        <w:rPr>
          <w:rFonts w:hint="eastAsia" w:ascii="仿宋" w:hAnsi="仿宋" w:eastAsia="仿宋" w:cs="仿宋"/>
          <w:bCs/>
          <w:sz w:val="28"/>
          <w:szCs w:val="28"/>
          <w:highlight w:val="none"/>
          <w:lang w:eastAsia="zh-CN" w:bidi="ar"/>
        </w:rPr>
        <w:t>。</w:t>
      </w:r>
    </w:p>
    <w:p w14:paraId="62BF878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3、本合同自签字盖章之日起生效。</w:t>
      </w:r>
    </w:p>
    <w:p w14:paraId="54EC5C3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eastAsia="zh-CN" w:bidi="ar"/>
        </w:rPr>
      </w:pPr>
      <w:r>
        <w:rPr>
          <w:rFonts w:hint="eastAsia" w:ascii="仿宋" w:hAnsi="仿宋" w:eastAsia="仿宋" w:cs="仿宋"/>
          <w:bCs/>
          <w:sz w:val="28"/>
          <w:szCs w:val="28"/>
          <w:highlight w:val="none"/>
          <w:lang w:bidi="ar"/>
        </w:rPr>
        <w:t>4、附件：</w:t>
      </w:r>
      <w:r>
        <w:rPr>
          <w:rFonts w:hint="eastAsia" w:ascii="仿宋" w:hAnsi="仿宋" w:eastAsia="仿宋" w:cs="仿宋"/>
          <w:sz w:val="28"/>
          <w:szCs w:val="28"/>
          <w:highlight w:val="none"/>
        </w:rPr>
        <w:t>（包含但不限于</w:t>
      </w:r>
      <w:r>
        <w:rPr>
          <w:rFonts w:hint="eastAsia" w:ascii="仿宋" w:hAnsi="仿宋" w:eastAsia="仿宋" w:cs="仿宋"/>
          <w:sz w:val="28"/>
          <w:szCs w:val="28"/>
          <w:highlight w:val="none"/>
          <w:lang w:val="en-US" w:eastAsia="zh-CN"/>
        </w:rPr>
        <w:t>总体实施</w:t>
      </w:r>
      <w:r>
        <w:rPr>
          <w:rFonts w:hint="eastAsia" w:ascii="仿宋" w:hAnsi="仿宋" w:eastAsia="仿宋" w:cs="仿宋"/>
          <w:sz w:val="28"/>
          <w:szCs w:val="28"/>
          <w:highlight w:val="none"/>
          <w:lang w:eastAsia="zh-CN"/>
        </w:rPr>
        <w:t>方案</w:t>
      </w:r>
      <w:r>
        <w:rPr>
          <w:rFonts w:hint="eastAsia" w:ascii="仿宋" w:hAnsi="仿宋" w:eastAsia="仿宋" w:cs="仿宋"/>
          <w:sz w:val="28"/>
          <w:szCs w:val="28"/>
          <w:highlight w:val="none"/>
        </w:rPr>
        <w:t>）</w:t>
      </w:r>
    </w:p>
    <w:p w14:paraId="74C75D5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采购人(甲方)：供应商(乙方)：</w:t>
      </w:r>
    </w:p>
    <w:p w14:paraId="57BF075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法定代表人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法定代表人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14:paraId="4D03A66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委托代理人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委托代理人</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14:paraId="270BA6A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开户银行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r>
        <w:rPr>
          <w:rFonts w:hint="eastAsia" w:ascii="仿宋" w:hAnsi="仿宋" w:eastAsia="仿宋" w:cs="仿宋"/>
          <w:bCs/>
          <w:sz w:val="28"/>
          <w:szCs w:val="28"/>
          <w:highlight w:val="none"/>
          <w:lang w:bidi="ar"/>
        </w:rPr>
        <w:fldChar w:fldCharType="begin"/>
      </w:r>
      <w:r>
        <w:rPr>
          <w:rFonts w:hint="eastAsia" w:ascii="仿宋" w:hAnsi="仿宋" w:eastAsia="仿宋" w:cs="仿宋"/>
          <w:bCs/>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sz w:val="28"/>
          <w:szCs w:val="28"/>
          <w:highlight w:val="none"/>
          <w:lang w:bidi="ar"/>
        </w:rPr>
        <w:fldChar w:fldCharType="separate"/>
      </w:r>
      <w:r>
        <w:rPr>
          <w:rFonts w:hint="eastAsia" w:ascii="仿宋" w:hAnsi="仿宋" w:eastAsia="仿宋" w:cs="仿宋"/>
          <w:bCs/>
          <w:sz w:val="28"/>
          <w:szCs w:val="28"/>
          <w:highlight w:val="none"/>
          <w:lang w:bidi="ar"/>
        </w:rPr>
        <w:t>开户银行</w:t>
      </w:r>
      <w:r>
        <w:rPr>
          <w:rFonts w:hint="eastAsia" w:ascii="仿宋" w:hAnsi="仿宋" w:eastAsia="仿宋" w:cs="仿宋"/>
          <w:bCs/>
          <w:sz w:val="28"/>
          <w:szCs w:val="28"/>
          <w:highlight w:val="none"/>
          <w:lang w:bidi="ar"/>
        </w:rPr>
        <w:fldChar w:fldCharType="end"/>
      </w:r>
      <w:r>
        <w:rPr>
          <w:rFonts w:hint="eastAsia" w:ascii="仿宋" w:hAnsi="仿宋" w:eastAsia="仿宋" w:cs="仿宋"/>
          <w:bCs/>
          <w:sz w:val="28"/>
          <w:szCs w:val="28"/>
          <w:highlight w:val="none"/>
          <w:lang w:bidi="ar"/>
        </w:rPr>
        <w:t>：</w:t>
      </w:r>
    </w:p>
    <w:p w14:paraId="5DB120F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账    号：账    号：</w:t>
      </w:r>
    </w:p>
    <w:p w14:paraId="73D4560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电    话：电    话：</w:t>
      </w:r>
    </w:p>
    <w:p w14:paraId="6012CEB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sz w:val="28"/>
          <w:szCs w:val="28"/>
          <w:highlight w:val="none"/>
          <w:lang w:bidi="ar"/>
        </w:rPr>
        <w:t>地    址：地    址：</w:t>
      </w:r>
    </w:p>
    <w:p w14:paraId="37AEBB1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sz w:val="28"/>
          <w:szCs w:val="28"/>
          <w:highlight w:val="none"/>
          <w:lang w:eastAsia="zh-CN" w:bidi="ar"/>
        </w:rPr>
      </w:pPr>
      <w:r>
        <w:rPr>
          <w:rFonts w:hint="eastAsia" w:ascii="仿宋" w:hAnsi="仿宋" w:eastAsia="仿宋" w:cs="仿宋"/>
          <w:bCs/>
          <w:sz w:val="28"/>
          <w:szCs w:val="28"/>
          <w:highlight w:val="none"/>
          <w:lang w:bidi="ar"/>
        </w:rPr>
        <w:t>时    间：  年月日    时    间：  年月日</w:t>
      </w:r>
    </w:p>
    <w:p w14:paraId="1095A90A">
      <w:pPr>
        <w:widowControl/>
        <w:spacing w:line="360" w:lineRule="auto"/>
        <w:jc w:val="center"/>
        <w:outlineLvl w:val="0"/>
        <w:rPr>
          <w:rFonts w:ascii="仿宋" w:hAnsi="仿宋" w:eastAsia="仿宋" w:cs="仿宋"/>
          <w:b/>
          <w:sz w:val="44"/>
          <w:szCs w:val="44"/>
          <w:highlight w:val="none"/>
        </w:rPr>
      </w:pPr>
      <w:r>
        <w:rPr>
          <w:rFonts w:hint="eastAsia" w:ascii="仿宋" w:hAnsi="仿宋" w:eastAsia="仿宋" w:cs="仿宋"/>
          <w:kern w:val="0"/>
          <w:sz w:val="28"/>
          <w:szCs w:val="28"/>
          <w:highlight w:val="none"/>
        </w:rPr>
        <w:br w:type="page"/>
      </w:r>
      <w:bookmarkStart w:id="174" w:name="_Toc29617"/>
      <w:bookmarkStart w:id="175" w:name="_Toc3645"/>
      <w:bookmarkStart w:id="176" w:name="_Toc31522_WPSOffice_Level1"/>
      <w:bookmarkStart w:id="177" w:name="_Toc17511"/>
      <w:bookmarkStart w:id="178" w:name="_Toc12275"/>
      <w:r>
        <w:rPr>
          <w:rFonts w:hint="eastAsia" w:ascii="仿宋" w:hAnsi="仿宋" w:eastAsia="仿宋" w:cs="仿宋"/>
          <w:b/>
          <w:bCs/>
          <w:kern w:val="0"/>
          <w:sz w:val="44"/>
          <w:szCs w:val="44"/>
          <w:highlight w:val="none"/>
        </w:rPr>
        <w:t>第六章  投标文件格式</w:t>
      </w:r>
      <w:bookmarkEnd w:id="172"/>
      <w:bookmarkEnd w:id="173"/>
      <w:bookmarkEnd w:id="174"/>
      <w:bookmarkEnd w:id="175"/>
      <w:bookmarkEnd w:id="176"/>
      <w:bookmarkEnd w:id="177"/>
      <w:bookmarkEnd w:id="178"/>
      <w:bookmarkStart w:id="179" w:name="_Toc26554094"/>
      <w:bookmarkStart w:id="180" w:name="_Toc49090576"/>
      <w:bookmarkStart w:id="181" w:name="_Toc120614282"/>
    </w:p>
    <w:tbl>
      <w:tblPr>
        <w:tblStyle w:val="31"/>
        <w:tblpPr w:leftFromText="180" w:rightFromText="180" w:vertAnchor="text" w:horzAnchor="page" w:tblpX="9105" w:tblpY="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14:paraId="6E09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14:paraId="57992E68">
            <w:pPr>
              <w:spacing w:line="360" w:lineRule="auto"/>
              <w:jc w:val="center"/>
              <w:rPr>
                <w:rFonts w:ascii="仿宋" w:hAnsi="仿宋" w:eastAsia="仿宋" w:cs="仿宋"/>
                <w:b/>
                <w:sz w:val="40"/>
                <w:szCs w:val="44"/>
                <w:highlight w:val="none"/>
              </w:rPr>
            </w:pPr>
            <w:bookmarkStart w:id="182" w:name="_Toc2950_WPSOffice_Level1"/>
            <w:bookmarkStart w:id="183" w:name="_Toc19647_WPSOffice_Level1"/>
            <w:r>
              <w:rPr>
                <w:rFonts w:hint="eastAsia" w:ascii="仿宋" w:hAnsi="仿宋" w:eastAsia="仿宋" w:cs="仿宋"/>
                <w:b/>
                <w:sz w:val="40"/>
                <w:szCs w:val="44"/>
                <w:highlight w:val="none"/>
              </w:rPr>
              <w:t>正/副本</w:t>
            </w:r>
          </w:p>
        </w:tc>
      </w:tr>
    </w:tbl>
    <w:p w14:paraId="4AC4662A">
      <w:pPr>
        <w:pStyle w:val="49"/>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184" w:name="_Toc10187"/>
      <w:bookmarkStart w:id="185" w:name="_Toc26032"/>
      <w:bookmarkStart w:id="186" w:name="_Toc26645"/>
      <w:r>
        <w:rPr>
          <w:rFonts w:hint="eastAsia" w:ascii="仿宋" w:hAnsi="仿宋" w:cs="仿宋"/>
          <w:b/>
          <w:kern w:val="0"/>
          <w:sz w:val="32"/>
          <w:szCs w:val="32"/>
          <w:highlight w:val="none"/>
          <w:lang w:val="en-US" w:eastAsia="zh-CN" w:bidi="ar-SA"/>
        </w:rPr>
        <w:t xml:space="preserve">A </w:t>
      </w:r>
      <w:r>
        <w:rPr>
          <w:rFonts w:hint="eastAsia" w:ascii="仿宋" w:hAnsi="仿宋" w:eastAsia="仿宋" w:cs="仿宋"/>
          <w:b/>
          <w:kern w:val="0"/>
          <w:sz w:val="32"/>
          <w:szCs w:val="32"/>
          <w:highlight w:val="none"/>
          <w:lang w:val="en-US" w:eastAsia="zh-CN" w:bidi="ar-SA"/>
        </w:rPr>
        <w:t>资格标</w:t>
      </w:r>
      <w:bookmarkEnd w:id="184"/>
      <w:bookmarkEnd w:id="185"/>
      <w:bookmarkEnd w:id="186"/>
    </w:p>
    <w:bookmarkEnd w:id="182"/>
    <w:bookmarkEnd w:id="183"/>
    <w:p w14:paraId="7948BCF3">
      <w:pPr>
        <w:pStyle w:val="47"/>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w:t>
      </w:r>
      <w:r>
        <w:rPr>
          <w:rFonts w:hint="eastAsia" w:ascii="仿宋" w:hAnsi="仿宋" w:eastAsia="仿宋" w:cs="仿宋"/>
          <w:b/>
          <w:sz w:val="32"/>
          <w:szCs w:val="32"/>
          <w:highlight w:val="none"/>
          <w:lang w:val="en-US" w:eastAsia="zh-CN"/>
        </w:rPr>
        <w:t>5-076</w:t>
      </w:r>
    </w:p>
    <w:p w14:paraId="3DFF98E0">
      <w:pPr>
        <w:pStyle w:val="47"/>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6"/>
          <w:szCs w:val="36"/>
          <w:highlight w:val="none"/>
          <w:lang w:val="en-US"/>
        </w:rPr>
      </w:pPr>
      <w:r>
        <w:rPr>
          <w:rFonts w:hint="eastAsia" w:ascii="仿宋" w:hAnsi="仿宋" w:eastAsia="仿宋" w:cs="仿宋"/>
          <w:b/>
          <w:sz w:val="32"/>
          <w:szCs w:val="32"/>
          <w:highlight w:val="none"/>
          <w:lang w:eastAsia="zh-CN"/>
        </w:rPr>
        <w:t>ZCSP-韩城市-2025-00046</w:t>
      </w:r>
    </w:p>
    <w:p w14:paraId="1E15749E">
      <w:pPr>
        <w:pStyle w:val="47"/>
        <w:keepNext w:val="0"/>
        <w:keepLines w:val="0"/>
        <w:pageBreakBefore w:val="0"/>
        <w:widowControl w:val="0"/>
        <w:kinsoku/>
        <w:wordWrap/>
        <w:overflowPunct/>
        <w:topLinePunct w:val="0"/>
        <w:autoSpaceDE/>
        <w:autoSpaceDN/>
        <w:bidi w:val="0"/>
        <w:adjustRightInd w:val="0"/>
        <w:snapToGrid/>
        <w:spacing w:before="0" w:after="0" w:line="360" w:lineRule="auto"/>
        <w:ind w:firstLine="2349" w:firstLineChars="650"/>
        <w:textAlignment w:val="auto"/>
        <w:rPr>
          <w:rFonts w:hint="default" w:ascii="仿宋" w:hAnsi="仿宋" w:eastAsia="仿宋" w:cs="仿宋"/>
          <w:b/>
          <w:sz w:val="36"/>
          <w:szCs w:val="36"/>
          <w:highlight w:val="none"/>
          <w:lang w:val="en-US"/>
        </w:rPr>
      </w:pPr>
    </w:p>
    <w:p w14:paraId="508EF906">
      <w:pPr>
        <w:pStyle w:val="47"/>
        <w:keepNext w:val="0"/>
        <w:keepLines w:val="0"/>
        <w:pageBreakBefore w:val="0"/>
        <w:widowControl/>
        <w:kinsoku/>
        <w:wordWrap/>
        <w:overflowPunct/>
        <w:topLinePunct w:val="0"/>
        <w:autoSpaceDE/>
        <w:autoSpaceDN/>
        <w:bidi w:val="0"/>
        <w:adjustRightInd w:val="0"/>
        <w:snapToGrid/>
        <w:spacing w:before="0" w:after="0" w:line="360" w:lineRule="auto"/>
        <w:ind w:firstLine="0"/>
        <w:jc w:val="both"/>
        <w:textAlignment w:val="auto"/>
        <w:rPr>
          <w:rFonts w:ascii="仿宋" w:hAnsi="仿宋" w:eastAsia="仿宋" w:cs="仿宋"/>
          <w:b/>
          <w:sz w:val="44"/>
          <w:szCs w:val="44"/>
          <w:highlight w:val="none"/>
        </w:rPr>
      </w:pPr>
    </w:p>
    <w:p w14:paraId="3BFDB082">
      <w:pPr>
        <w:pStyle w:val="47"/>
        <w:widowControl/>
        <w:spacing w:before="0" w:after="0"/>
        <w:ind w:firstLine="0"/>
        <w:jc w:val="center"/>
        <w:rPr>
          <w:rFonts w:hint="default" w:ascii="仿宋" w:hAnsi="仿宋" w:eastAsia="仿宋" w:cs="仿宋"/>
          <w:b/>
          <w:bCs/>
          <w:kern w:val="0"/>
          <w:sz w:val="52"/>
          <w:szCs w:val="52"/>
          <w:highlight w:val="none"/>
          <w:lang w:val="en-US" w:eastAsia="zh-CN"/>
        </w:rPr>
      </w:pPr>
      <w:bookmarkStart w:id="187" w:name="_Toc17020_WPSOffice_Level1"/>
      <w:bookmarkStart w:id="188" w:name="_Toc6284_WPSOffice_Level1"/>
      <w:r>
        <w:rPr>
          <w:rFonts w:hint="default" w:ascii="仿宋" w:hAnsi="仿宋" w:eastAsia="仿宋" w:cs="仿宋"/>
          <w:b/>
          <w:bCs/>
          <w:kern w:val="0"/>
          <w:sz w:val="52"/>
          <w:szCs w:val="52"/>
          <w:highlight w:val="none"/>
          <w:lang w:val="en-US" w:eastAsia="zh-CN"/>
        </w:rPr>
        <w:t>韩城市政务</w:t>
      </w:r>
      <w:r>
        <w:rPr>
          <w:rFonts w:hint="eastAsia" w:ascii="仿宋" w:hAnsi="仿宋" w:eastAsia="仿宋" w:cs="仿宋"/>
          <w:b/>
          <w:bCs/>
          <w:kern w:val="0"/>
          <w:sz w:val="52"/>
          <w:szCs w:val="52"/>
          <w:highlight w:val="none"/>
          <w:lang w:val="en-US" w:eastAsia="zh-CN"/>
        </w:rPr>
        <w:t>大</w:t>
      </w:r>
      <w:r>
        <w:rPr>
          <w:rFonts w:hint="default" w:ascii="仿宋" w:hAnsi="仿宋" w:eastAsia="仿宋" w:cs="仿宋"/>
          <w:b/>
          <w:bCs/>
          <w:kern w:val="0"/>
          <w:sz w:val="52"/>
          <w:szCs w:val="52"/>
          <w:highlight w:val="none"/>
          <w:lang w:val="en-US" w:eastAsia="zh-CN"/>
        </w:rPr>
        <w:t>数据服务中心韩城市政务云</w:t>
      </w:r>
    </w:p>
    <w:p w14:paraId="2530561C">
      <w:pPr>
        <w:pStyle w:val="47"/>
        <w:widowControl/>
        <w:spacing w:before="0" w:after="0"/>
        <w:ind w:firstLine="0"/>
        <w:jc w:val="center"/>
        <w:rPr>
          <w:rFonts w:ascii="仿宋" w:hAnsi="仿宋" w:eastAsia="仿宋" w:cs="仿宋"/>
          <w:b/>
          <w:sz w:val="28"/>
          <w:szCs w:val="28"/>
          <w:highlight w:val="none"/>
        </w:rPr>
      </w:pPr>
      <w:r>
        <w:rPr>
          <w:rFonts w:hint="default" w:ascii="仿宋" w:hAnsi="仿宋" w:eastAsia="仿宋" w:cs="仿宋"/>
          <w:b/>
          <w:bCs/>
          <w:kern w:val="0"/>
          <w:sz w:val="56"/>
          <w:szCs w:val="56"/>
          <w:highlight w:val="none"/>
          <w:lang w:val="en-US" w:eastAsia="zh-CN"/>
        </w:rPr>
        <w:t>资源管理服务采购项目</w:t>
      </w:r>
    </w:p>
    <w:p w14:paraId="1B138877">
      <w:pPr>
        <w:pStyle w:val="49"/>
        <w:keepNext w:val="0"/>
        <w:keepLines w:val="0"/>
        <w:pageBreakBefore w:val="0"/>
        <w:widowControl/>
        <w:kinsoku/>
        <w:wordWrap/>
        <w:overflowPunct/>
        <w:topLinePunct w:val="0"/>
        <w:autoSpaceDE/>
        <w:autoSpaceDN/>
        <w:bidi w:val="0"/>
        <w:adjustRightInd w:val="0"/>
        <w:snapToGrid/>
        <w:spacing w:line="240" w:lineRule="exact"/>
        <w:ind w:firstLine="0" w:firstLineChars="0"/>
        <w:jc w:val="both"/>
        <w:textAlignment w:val="auto"/>
        <w:rPr>
          <w:rFonts w:hint="default" w:ascii="仿宋" w:hAnsi="仿宋" w:cs="仿宋"/>
          <w:b/>
          <w:sz w:val="52"/>
          <w:szCs w:val="52"/>
          <w:highlight w:val="none"/>
        </w:rPr>
      </w:pPr>
    </w:p>
    <w:p w14:paraId="42217BC1">
      <w:pPr>
        <w:pStyle w:val="49"/>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default" w:ascii="仿宋" w:hAnsi="仿宋" w:cs="仿宋"/>
          <w:b/>
          <w:sz w:val="52"/>
          <w:szCs w:val="52"/>
          <w:highlight w:val="none"/>
        </w:rPr>
      </w:pPr>
    </w:p>
    <w:p w14:paraId="185D9537">
      <w:pPr>
        <w:pStyle w:val="49"/>
        <w:keepNext w:val="0"/>
        <w:keepLines w:val="0"/>
        <w:pageBreakBefore w:val="0"/>
        <w:widowControl/>
        <w:kinsoku/>
        <w:wordWrap/>
        <w:overflowPunct/>
        <w:topLinePunct w:val="0"/>
        <w:autoSpaceDE/>
        <w:autoSpaceDN/>
        <w:bidi w:val="0"/>
        <w:adjustRightInd w:val="0"/>
        <w:snapToGrid/>
        <w:spacing w:line="240" w:lineRule="exact"/>
        <w:ind w:firstLine="0" w:firstLineChars="0"/>
        <w:jc w:val="both"/>
        <w:textAlignment w:val="auto"/>
        <w:rPr>
          <w:rFonts w:hint="default" w:ascii="仿宋" w:hAnsi="仿宋" w:cs="仿宋"/>
          <w:b/>
          <w:sz w:val="52"/>
          <w:szCs w:val="52"/>
          <w:highlight w:val="none"/>
        </w:rPr>
      </w:pPr>
    </w:p>
    <w:p w14:paraId="576F74FB">
      <w:pPr>
        <w:pStyle w:val="49"/>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default" w:ascii="仿宋" w:hAnsi="仿宋" w:cs="仿宋"/>
          <w:b/>
          <w:sz w:val="52"/>
          <w:szCs w:val="52"/>
          <w:highlight w:val="none"/>
        </w:rPr>
      </w:pPr>
    </w:p>
    <w:p w14:paraId="6017E078">
      <w:pPr>
        <w:pStyle w:val="49"/>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auto"/>
        <w:rPr>
          <w:rFonts w:hint="default" w:ascii="仿宋" w:hAnsi="仿宋" w:cs="仿宋"/>
          <w:b/>
          <w:sz w:val="52"/>
          <w:szCs w:val="52"/>
          <w:highlight w:val="none"/>
        </w:rPr>
      </w:pPr>
    </w:p>
    <w:p w14:paraId="00D238D2">
      <w:pPr>
        <w:pStyle w:val="49"/>
        <w:keepNext w:val="0"/>
        <w:keepLines w:val="0"/>
        <w:pageBreakBefore w:val="0"/>
        <w:widowControl/>
        <w:kinsoku/>
        <w:wordWrap/>
        <w:overflowPunct/>
        <w:topLinePunct w:val="0"/>
        <w:autoSpaceDE/>
        <w:autoSpaceDN/>
        <w:bidi w:val="0"/>
        <w:adjustRightInd w:val="0"/>
        <w:snapToGrid/>
        <w:spacing w:line="240" w:lineRule="exact"/>
        <w:ind w:firstLine="0" w:firstLineChars="0"/>
        <w:jc w:val="both"/>
        <w:textAlignment w:val="auto"/>
        <w:rPr>
          <w:rFonts w:hint="default" w:ascii="仿宋" w:hAnsi="仿宋" w:cs="仿宋"/>
          <w:b/>
          <w:sz w:val="52"/>
          <w:szCs w:val="52"/>
          <w:highlight w:val="none"/>
        </w:rPr>
      </w:pPr>
    </w:p>
    <w:p w14:paraId="4BF9F736">
      <w:pPr>
        <w:pStyle w:val="49"/>
        <w:widowControl/>
        <w:spacing w:line="480" w:lineRule="auto"/>
        <w:ind w:firstLine="0" w:firstLineChars="0"/>
        <w:jc w:val="center"/>
        <w:rPr>
          <w:rFonts w:hint="default" w:ascii="仿宋" w:hAnsi="仿宋" w:cs="仿宋"/>
          <w:b/>
          <w:sz w:val="72"/>
          <w:szCs w:val="72"/>
          <w:highlight w:val="none"/>
        </w:rPr>
      </w:pPr>
      <w:r>
        <w:rPr>
          <w:rFonts w:ascii="仿宋" w:hAnsi="仿宋" w:cs="仿宋"/>
          <w:b/>
          <w:sz w:val="52"/>
          <w:szCs w:val="52"/>
          <w:highlight w:val="none"/>
        </w:rPr>
        <w:t>投 标 文 件</w:t>
      </w:r>
      <w:bookmarkEnd w:id="187"/>
      <w:bookmarkEnd w:id="188"/>
    </w:p>
    <w:p w14:paraId="1B3B5A06">
      <w:pPr>
        <w:pStyle w:val="49"/>
        <w:widowControl/>
        <w:spacing w:line="480" w:lineRule="auto"/>
        <w:ind w:firstLine="0" w:firstLineChars="0"/>
        <w:jc w:val="center"/>
        <w:rPr>
          <w:rFonts w:ascii="仿宋" w:hAnsi="仿宋" w:eastAsia="仿宋" w:cs="仿宋"/>
          <w:b/>
          <w:spacing w:val="8"/>
          <w:sz w:val="28"/>
          <w:szCs w:val="28"/>
          <w:highlight w:val="none"/>
          <w:u w:val="single"/>
        </w:rPr>
      </w:pPr>
      <w:bookmarkStart w:id="189" w:name="_Toc17469_WPSOffice_Level1"/>
      <w:bookmarkStart w:id="190" w:name="_Toc24484_WPSOffice_Level1"/>
      <w:r>
        <w:rPr>
          <w:rFonts w:ascii="仿宋" w:hAnsi="仿宋" w:cs="仿宋"/>
          <w:b/>
          <w:sz w:val="52"/>
          <w:szCs w:val="52"/>
          <w:highlight w:val="none"/>
        </w:rPr>
        <w:t>（格式）</w:t>
      </w:r>
      <w:bookmarkEnd w:id="149"/>
      <w:bookmarkEnd w:id="150"/>
      <w:bookmarkEnd w:id="179"/>
      <w:bookmarkEnd w:id="180"/>
      <w:bookmarkEnd w:id="181"/>
      <w:bookmarkEnd w:id="189"/>
      <w:bookmarkEnd w:id="190"/>
      <w:bookmarkStart w:id="191" w:name="_Toc4511"/>
    </w:p>
    <w:p w14:paraId="04D039B6">
      <w:pPr>
        <w:rPr>
          <w:highlight w:val="none"/>
        </w:rPr>
      </w:pPr>
    </w:p>
    <w:p w14:paraId="02F96E63">
      <w:pPr>
        <w:rPr>
          <w:highlight w:val="none"/>
        </w:rPr>
      </w:pPr>
    </w:p>
    <w:p w14:paraId="2802FCC2">
      <w:pPr>
        <w:rPr>
          <w:highlight w:val="none"/>
        </w:rPr>
      </w:pPr>
    </w:p>
    <w:p w14:paraId="05F0A4AF">
      <w:pPr>
        <w:pStyle w:val="12"/>
        <w:rPr>
          <w:rFonts w:hint="default"/>
          <w:highlight w:val="none"/>
        </w:rPr>
      </w:pPr>
    </w:p>
    <w:p w14:paraId="21A74993">
      <w:pPr>
        <w:rPr>
          <w:rFonts w:hint="default"/>
          <w:highlight w:val="none"/>
        </w:rPr>
      </w:pPr>
    </w:p>
    <w:p w14:paraId="142B055E">
      <w:pPr>
        <w:rPr>
          <w:highlight w:val="none"/>
        </w:rPr>
      </w:pPr>
    </w:p>
    <w:p w14:paraId="31E71927">
      <w:pPr>
        <w:pStyle w:val="29"/>
        <w:keepNext w:val="0"/>
        <w:keepLines w:val="0"/>
        <w:pageBreakBefore w:val="0"/>
        <w:widowControl w:val="0"/>
        <w:kinsoku/>
        <w:wordWrap/>
        <w:overflowPunct/>
        <w:topLinePunct w:val="0"/>
        <w:autoSpaceDE/>
        <w:autoSpaceDN/>
        <w:bidi w:val="0"/>
        <w:adjustRightInd/>
        <w:snapToGrid/>
        <w:spacing w:after="0"/>
        <w:ind w:left="0" w:leftChars="0" w:firstLine="1687" w:firstLineChars="600"/>
        <w:jc w:val="both"/>
        <w:textAlignment w:val="auto"/>
        <w:rPr>
          <w:rFonts w:hint="default" w:ascii="仿宋" w:hAnsi="仿宋" w:cs="仿宋"/>
          <w:b/>
          <w:bCs/>
          <w:sz w:val="28"/>
          <w:szCs w:val="28"/>
          <w:highlight w:val="none"/>
          <w:u w:val="single"/>
          <w:lang w:val="en-US" w:eastAsia="zh-CN"/>
        </w:rPr>
      </w:pPr>
      <w:r>
        <w:rPr>
          <w:rFonts w:hint="eastAsia" w:ascii="仿宋" w:hAnsi="仿宋" w:cs="仿宋"/>
          <w:b/>
          <w:bCs/>
          <w:sz w:val="28"/>
          <w:szCs w:val="28"/>
          <w:highlight w:val="none"/>
          <w:lang w:eastAsia="zh-CN"/>
        </w:rPr>
        <w:t>投标文件内容：</w:t>
      </w:r>
      <w:r>
        <w:rPr>
          <w:rFonts w:hint="eastAsia" w:ascii="仿宋" w:hAnsi="仿宋" w:cs="仿宋"/>
          <w:b/>
          <w:bCs/>
          <w:sz w:val="28"/>
          <w:szCs w:val="28"/>
          <w:highlight w:val="none"/>
          <w:u w:val="single"/>
          <w:lang w:val="en-US" w:eastAsia="zh-CN"/>
        </w:rPr>
        <w:t xml:space="preserve">    资 格 标    </w:t>
      </w:r>
    </w:p>
    <w:p w14:paraId="70BE293B">
      <w:pPr>
        <w:pStyle w:val="2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ascii="仿宋" w:hAnsi="仿宋" w:eastAsia="仿宋" w:cs="仿宋"/>
          <w:b/>
          <w:spacing w:val="8"/>
          <w:sz w:val="28"/>
          <w:szCs w:val="28"/>
          <w:highlight w:val="non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14:paraId="78A28D1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6436F7D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kern w:val="0"/>
          <w:sz w:val="44"/>
          <w:szCs w:val="44"/>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 xml:space="preserve"> .</w:t>
      </w:r>
    </w:p>
    <w:p w14:paraId="0B4E5EF5">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14:paraId="0F80029B">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 xml:space="preserve">第一部分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供应商资格声明文件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4765EB62">
      <w:pPr>
        <w:spacing w:line="480" w:lineRule="auto"/>
        <w:jc w:val="center"/>
        <w:rPr>
          <w:rFonts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 xml:space="preserve">第二部分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供应商资格证明文件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5032D51F">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401AA127">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7CA518FA">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37F44EAC">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39BFD913">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3B6B9F0D">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0A2DA8CD">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2EA42209">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36D48114">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3DFD75C2">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03D1FE11">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34541B04">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3E6B11C2">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69DB55B6">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仿宋" w:hAnsi="仿宋" w:eastAsia="仿宋" w:cs="仿宋"/>
          <w:b/>
          <w:kern w:val="0"/>
          <w:sz w:val="44"/>
          <w:szCs w:val="44"/>
          <w:highlight w:val="none"/>
        </w:rPr>
      </w:pPr>
    </w:p>
    <w:p w14:paraId="7E967E02">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kern w:val="0"/>
          <w:sz w:val="44"/>
          <w:szCs w:val="44"/>
          <w:highlight w:val="none"/>
        </w:rPr>
      </w:pPr>
    </w:p>
    <w:p w14:paraId="601D9FF0">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kern w:val="0"/>
          <w:sz w:val="44"/>
          <w:szCs w:val="44"/>
          <w:highlight w:val="none"/>
        </w:rPr>
      </w:pPr>
    </w:p>
    <w:p w14:paraId="5F9330BE">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kern w:val="0"/>
          <w:sz w:val="44"/>
          <w:szCs w:val="44"/>
          <w:highlight w:val="none"/>
        </w:rPr>
      </w:pPr>
    </w:p>
    <w:p w14:paraId="52CB6F9A">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kern w:val="0"/>
          <w:sz w:val="44"/>
          <w:szCs w:val="44"/>
          <w:highlight w:val="none"/>
        </w:rPr>
      </w:pPr>
    </w:p>
    <w:p w14:paraId="3FF2490B">
      <w:pPr>
        <w:pStyle w:val="18"/>
        <w:keepNext w:val="0"/>
        <w:keepLines w:val="0"/>
        <w:pageBreakBefore w:val="0"/>
        <w:widowControl w:val="0"/>
        <w:kinsoku/>
        <w:wordWrap/>
        <w:overflowPunct/>
        <w:topLinePunct w:val="0"/>
        <w:autoSpaceDE/>
        <w:autoSpaceDN/>
        <w:bidi w:val="0"/>
        <w:textAlignment w:val="auto"/>
        <w:rPr>
          <w:rFonts w:hint="eastAsia" w:ascii="仿宋" w:hAnsi="仿宋" w:eastAsia="仿宋" w:cs="仿宋"/>
          <w:b/>
          <w:kern w:val="0"/>
          <w:sz w:val="44"/>
          <w:szCs w:val="44"/>
          <w:highlight w:val="none"/>
        </w:rPr>
      </w:pPr>
    </w:p>
    <w:p w14:paraId="3D5F8E14">
      <w:pPr>
        <w:spacing w:line="480" w:lineRule="atLeast"/>
        <w:jc w:val="center"/>
        <w:outlineLvl w:val="2"/>
        <w:rPr>
          <w:rFonts w:ascii="仿宋" w:hAnsi="仿宋" w:eastAsia="仿宋" w:cs="仿宋"/>
          <w:b/>
          <w:bCs/>
          <w:sz w:val="36"/>
          <w:szCs w:val="36"/>
          <w:highlight w:val="none"/>
        </w:rPr>
      </w:pPr>
      <w:bookmarkStart w:id="192" w:name="_Toc4891"/>
      <w:bookmarkStart w:id="193" w:name="_Toc22509"/>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一</w:t>
      </w:r>
      <w:r>
        <w:rPr>
          <w:rFonts w:hint="eastAsia" w:ascii="仿宋" w:hAnsi="仿宋" w:eastAsia="仿宋" w:cs="仿宋"/>
          <w:b/>
          <w:bCs/>
          <w:sz w:val="36"/>
          <w:szCs w:val="36"/>
          <w:highlight w:val="none"/>
        </w:rPr>
        <w:t>部分  供应商资格声明文件</w:t>
      </w:r>
      <w:bookmarkEnd w:id="192"/>
      <w:bookmarkEnd w:id="193"/>
    </w:p>
    <w:tbl>
      <w:tblPr>
        <w:tblStyle w:val="31"/>
        <w:tblpPr w:leftFromText="180" w:rightFromText="180" w:vertAnchor="text" w:horzAnchor="page" w:tblpX="1268"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1486"/>
        <w:gridCol w:w="1218"/>
        <w:gridCol w:w="1455"/>
        <w:gridCol w:w="1218"/>
        <w:gridCol w:w="1122"/>
      </w:tblGrid>
      <w:tr w14:paraId="6327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14:paraId="1DA60365">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供应商名称</w:t>
            </w:r>
          </w:p>
        </w:tc>
        <w:tc>
          <w:tcPr>
            <w:tcW w:w="6499" w:type="dxa"/>
            <w:gridSpan w:val="5"/>
            <w:tcBorders>
              <w:top w:val="single" w:color="auto" w:sz="4" w:space="0"/>
              <w:left w:val="single" w:color="auto" w:sz="4" w:space="0"/>
              <w:bottom w:val="single" w:color="auto" w:sz="4" w:space="0"/>
              <w:right w:val="single" w:color="auto" w:sz="4" w:space="0"/>
            </w:tcBorders>
            <w:vAlign w:val="center"/>
          </w:tcPr>
          <w:p w14:paraId="0CAA6703">
            <w:pPr>
              <w:adjustRightInd w:val="0"/>
              <w:spacing w:line="400" w:lineRule="exact"/>
              <w:jc w:val="center"/>
              <w:rPr>
                <w:rFonts w:ascii="仿宋" w:hAnsi="仿宋" w:eastAsia="仿宋" w:cs="仿宋"/>
                <w:bCs/>
                <w:sz w:val="24"/>
                <w:szCs w:val="24"/>
                <w:highlight w:val="none"/>
              </w:rPr>
            </w:pPr>
          </w:p>
        </w:tc>
      </w:tr>
      <w:tr w14:paraId="26BE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14:paraId="518B83D9">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6499" w:type="dxa"/>
            <w:gridSpan w:val="5"/>
            <w:tcBorders>
              <w:top w:val="single" w:color="auto" w:sz="4" w:space="0"/>
              <w:left w:val="single" w:color="auto" w:sz="4" w:space="0"/>
              <w:bottom w:val="single" w:color="auto" w:sz="4" w:space="0"/>
              <w:right w:val="single" w:color="auto" w:sz="4" w:space="0"/>
            </w:tcBorders>
            <w:vAlign w:val="center"/>
          </w:tcPr>
          <w:p w14:paraId="676E065D">
            <w:pPr>
              <w:adjustRightInd w:val="0"/>
              <w:spacing w:line="400" w:lineRule="exact"/>
              <w:jc w:val="center"/>
              <w:rPr>
                <w:rFonts w:ascii="仿宋" w:hAnsi="仿宋" w:eastAsia="仿宋" w:cs="仿宋"/>
                <w:bCs/>
                <w:sz w:val="24"/>
                <w:szCs w:val="24"/>
                <w:highlight w:val="none"/>
              </w:rPr>
            </w:pPr>
          </w:p>
        </w:tc>
      </w:tr>
      <w:tr w14:paraId="150F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14:paraId="73FC4F9C">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6499" w:type="dxa"/>
            <w:gridSpan w:val="5"/>
            <w:tcBorders>
              <w:top w:val="single" w:color="auto" w:sz="4" w:space="0"/>
              <w:left w:val="single" w:color="auto" w:sz="4" w:space="0"/>
              <w:bottom w:val="single" w:color="auto" w:sz="4" w:space="0"/>
              <w:right w:val="single" w:color="auto" w:sz="4" w:space="0"/>
            </w:tcBorders>
            <w:vAlign w:val="center"/>
          </w:tcPr>
          <w:p w14:paraId="7354250E">
            <w:pPr>
              <w:adjustRightInd w:val="0"/>
              <w:spacing w:line="400" w:lineRule="exact"/>
              <w:jc w:val="center"/>
              <w:rPr>
                <w:rFonts w:ascii="仿宋" w:hAnsi="仿宋" w:eastAsia="仿宋" w:cs="仿宋"/>
                <w:bCs/>
                <w:sz w:val="24"/>
                <w:szCs w:val="24"/>
                <w:highlight w:val="none"/>
              </w:rPr>
            </w:pPr>
          </w:p>
        </w:tc>
      </w:tr>
      <w:tr w14:paraId="6DB5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14:paraId="742045E7">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6499" w:type="dxa"/>
            <w:gridSpan w:val="5"/>
            <w:tcBorders>
              <w:top w:val="single" w:color="auto" w:sz="4" w:space="0"/>
              <w:left w:val="single" w:color="auto" w:sz="4" w:space="0"/>
              <w:bottom w:val="single" w:color="auto" w:sz="4" w:space="0"/>
              <w:right w:val="single" w:color="auto" w:sz="4" w:space="0"/>
            </w:tcBorders>
            <w:vAlign w:val="center"/>
          </w:tcPr>
          <w:p w14:paraId="514B47D0">
            <w:pPr>
              <w:adjustRightInd w:val="0"/>
              <w:spacing w:line="400" w:lineRule="exact"/>
              <w:jc w:val="center"/>
              <w:rPr>
                <w:rFonts w:ascii="仿宋" w:hAnsi="仿宋" w:eastAsia="仿宋" w:cs="仿宋"/>
                <w:bCs/>
                <w:sz w:val="24"/>
                <w:szCs w:val="24"/>
                <w:highlight w:val="none"/>
              </w:rPr>
            </w:pPr>
          </w:p>
        </w:tc>
      </w:tr>
      <w:tr w14:paraId="57EE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14:paraId="41188B0C">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开户银行</w:t>
            </w:r>
          </w:p>
        </w:tc>
        <w:tc>
          <w:tcPr>
            <w:tcW w:w="6499" w:type="dxa"/>
            <w:gridSpan w:val="5"/>
            <w:tcBorders>
              <w:top w:val="single" w:color="auto" w:sz="4" w:space="0"/>
              <w:left w:val="single" w:color="auto" w:sz="4" w:space="0"/>
              <w:bottom w:val="single" w:color="auto" w:sz="4" w:space="0"/>
              <w:right w:val="single" w:color="auto" w:sz="4" w:space="0"/>
            </w:tcBorders>
            <w:vAlign w:val="center"/>
          </w:tcPr>
          <w:p w14:paraId="4774D388">
            <w:pPr>
              <w:adjustRightInd w:val="0"/>
              <w:spacing w:line="400" w:lineRule="exact"/>
              <w:jc w:val="center"/>
              <w:rPr>
                <w:rFonts w:ascii="仿宋" w:hAnsi="仿宋" w:eastAsia="仿宋" w:cs="仿宋"/>
                <w:bCs/>
                <w:sz w:val="24"/>
                <w:szCs w:val="24"/>
                <w:highlight w:val="none"/>
              </w:rPr>
            </w:pPr>
          </w:p>
        </w:tc>
      </w:tr>
      <w:tr w14:paraId="75F4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14:paraId="6B379FCF">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账号</w:t>
            </w:r>
          </w:p>
        </w:tc>
        <w:tc>
          <w:tcPr>
            <w:tcW w:w="6499" w:type="dxa"/>
            <w:gridSpan w:val="5"/>
            <w:tcBorders>
              <w:top w:val="single" w:color="auto" w:sz="4" w:space="0"/>
              <w:left w:val="single" w:color="auto" w:sz="4" w:space="0"/>
              <w:bottom w:val="single" w:color="auto" w:sz="4" w:space="0"/>
              <w:right w:val="single" w:color="auto" w:sz="4" w:space="0"/>
            </w:tcBorders>
            <w:vAlign w:val="center"/>
          </w:tcPr>
          <w:p w14:paraId="252E1302">
            <w:pPr>
              <w:adjustRightInd w:val="0"/>
              <w:spacing w:line="400" w:lineRule="exact"/>
              <w:jc w:val="center"/>
              <w:rPr>
                <w:rFonts w:ascii="仿宋" w:hAnsi="仿宋" w:eastAsia="仿宋" w:cs="仿宋"/>
                <w:bCs/>
                <w:sz w:val="24"/>
                <w:szCs w:val="24"/>
                <w:highlight w:val="none"/>
              </w:rPr>
            </w:pPr>
          </w:p>
        </w:tc>
      </w:tr>
      <w:tr w14:paraId="34FB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14:paraId="7172E643">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6499" w:type="dxa"/>
            <w:gridSpan w:val="5"/>
            <w:tcBorders>
              <w:top w:val="single" w:color="auto" w:sz="4" w:space="0"/>
              <w:left w:val="single" w:color="auto" w:sz="4" w:space="0"/>
              <w:bottom w:val="single" w:color="auto" w:sz="4" w:space="0"/>
              <w:right w:val="single" w:color="auto" w:sz="4" w:space="0"/>
            </w:tcBorders>
            <w:vAlign w:val="center"/>
          </w:tcPr>
          <w:p w14:paraId="104441AF">
            <w:pPr>
              <w:adjustRightInd w:val="0"/>
              <w:spacing w:line="400" w:lineRule="exact"/>
              <w:rPr>
                <w:rFonts w:ascii="仿宋" w:hAnsi="仿宋" w:eastAsia="仿宋" w:cs="仿宋"/>
                <w:bCs/>
                <w:sz w:val="24"/>
                <w:szCs w:val="24"/>
                <w:highlight w:val="none"/>
              </w:rPr>
            </w:pPr>
          </w:p>
        </w:tc>
      </w:tr>
      <w:tr w14:paraId="6FF1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tcBorders>
              <w:top w:val="single" w:color="auto" w:sz="4" w:space="0"/>
              <w:left w:val="single" w:color="auto" w:sz="4" w:space="0"/>
              <w:bottom w:val="single" w:color="auto" w:sz="4" w:space="0"/>
              <w:right w:val="single" w:color="auto" w:sz="4" w:space="0"/>
            </w:tcBorders>
            <w:vAlign w:val="center"/>
          </w:tcPr>
          <w:p w14:paraId="6278618D">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近三年内在经营活动中有无重大违法纪录</w:t>
            </w:r>
          </w:p>
        </w:tc>
        <w:tc>
          <w:tcPr>
            <w:tcW w:w="6499" w:type="dxa"/>
            <w:gridSpan w:val="5"/>
            <w:tcBorders>
              <w:top w:val="single" w:color="auto" w:sz="4" w:space="0"/>
              <w:left w:val="single" w:color="auto" w:sz="4" w:space="0"/>
              <w:bottom w:val="single" w:color="auto" w:sz="4" w:space="0"/>
              <w:right w:val="single" w:color="auto" w:sz="4" w:space="0"/>
            </w:tcBorders>
            <w:vAlign w:val="center"/>
          </w:tcPr>
          <w:p w14:paraId="396D10F2">
            <w:pPr>
              <w:adjustRightInd w:val="0"/>
              <w:spacing w:line="400" w:lineRule="exact"/>
              <w:rPr>
                <w:rFonts w:ascii="仿宋" w:hAnsi="仿宋" w:eastAsia="仿宋" w:cs="仿宋"/>
                <w:bCs/>
                <w:sz w:val="24"/>
                <w:szCs w:val="24"/>
                <w:highlight w:val="none"/>
              </w:rPr>
            </w:pPr>
          </w:p>
        </w:tc>
      </w:tr>
      <w:tr w14:paraId="5425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14:paraId="0DE836AE">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是否依法缴纳税收</w:t>
            </w:r>
          </w:p>
        </w:tc>
        <w:tc>
          <w:tcPr>
            <w:tcW w:w="6499" w:type="dxa"/>
            <w:gridSpan w:val="5"/>
            <w:tcBorders>
              <w:top w:val="single" w:color="auto" w:sz="4" w:space="0"/>
              <w:left w:val="single" w:color="auto" w:sz="4" w:space="0"/>
              <w:bottom w:val="single" w:color="auto" w:sz="4" w:space="0"/>
              <w:right w:val="single" w:color="auto" w:sz="4" w:space="0"/>
            </w:tcBorders>
          </w:tcPr>
          <w:p w14:paraId="72ADAB0D">
            <w:pPr>
              <w:adjustRightInd w:val="0"/>
              <w:spacing w:line="400" w:lineRule="exact"/>
              <w:rPr>
                <w:rFonts w:ascii="仿宋" w:hAnsi="仿宋" w:eastAsia="仿宋" w:cs="仿宋"/>
                <w:bCs/>
                <w:sz w:val="24"/>
                <w:szCs w:val="24"/>
                <w:highlight w:val="none"/>
              </w:rPr>
            </w:pPr>
          </w:p>
        </w:tc>
      </w:tr>
      <w:tr w14:paraId="362A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tcBorders>
              <w:top w:val="single" w:color="auto" w:sz="4" w:space="0"/>
              <w:left w:val="single" w:color="auto" w:sz="4" w:space="0"/>
              <w:bottom w:val="single" w:color="auto" w:sz="4" w:space="0"/>
              <w:right w:val="single" w:color="auto" w:sz="4" w:space="0"/>
            </w:tcBorders>
            <w:vAlign w:val="center"/>
          </w:tcPr>
          <w:p w14:paraId="57D76953">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rPr>
              <w:t>是否依法缴纳</w:t>
            </w:r>
            <w:r>
              <w:rPr>
                <w:rFonts w:hint="eastAsia" w:ascii="仿宋" w:hAnsi="仿宋" w:eastAsia="仿宋" w:cs="仿宋"/>
                <w:bCs/>
                <w:color w:val="auto"/>
                <w:sz w:val="24"/>
                <w:szCs w:val="24"/>
                <w:highlight w:val="none"/>
                <w:lang w:eastAsia="zh-CN"/>
              </w:rPr>
              <w:t>社会保险</w:t>
            </w:r>
          </w:p>
        </w:tc>
        <w:tc>
          <w:tcPr>
            <w:tcW w:w="6499" w:type="dxa"/>
            <w:gridSpan w:val="5"/>
            <w:tcBorders>
              <w:top w:val="single" w:color="auto" w:sz="4" w:space="0"/>
              <w:left w:val="single" w:color="auto" w:sz="4" w:space="0"/>
              <w:bottom w:val="single" w:color="auto" w:sz="4" w:space="0"/>
              <w:right w:val="single" w:color="auto" w:sz="4" w:space="0"/>
            </w:tcBorders>
            <w:vAlign w:val="top"/>
          </w:tcPr>
          <w:p w14:paraId="2B65BA8E">
            <w:pPr>
              <w:keepNext w:val="0"/>
              <w:keepLines w:val="0"/>
              <w:pageBreakBefore w:val="0"/>
              <w:widowControl w:val="0"/>
              <w:kinsoku/>
              <w:wordWrap/>
              <w:overflowPunct/>
              <w:topLinePunct w:val="0"/>
              <w:autoSpaceDE/>
              <w:autoSpaceDN/>
              <w:bidi w:val="0"/>
              <w:adjustRightInd w:val="0"/>
              <w:spacing w:line="400" w:lineRule="exact"/>
              <w:rPr>
                <w:rFonts w:ascii="仿宋" w:hAnsi="仿宋" w:eastAsia="仿宋" w:cs="仿宋"/>
                <w:bCs/>
                <w:sz w:val="24"/>
                <w:szCs w:val="24"/>
                <w:highlight w:val="none"/>
              </w:rPr>
            </w:pPr>
          </w:p>
        </w:tc>
      </w:tr>
      <w:tr w14:paraId="1833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restart"/>
            <w:tcBorders>
              <w:top w:val="single" w:color="auto" w:sz="4" w:space="0"/>
              <w:left w:val="single" w:color="auto" w:sz="4" w:space="0"/>
              <w:bottom w:val="single" w:color="auto" w:sz="4" w:space="0"/>
              <w:right w:val="single" w:color="auto" w:sz="4" w:space="0"/>
            </w:tcBorders>
            <w:vAlign w:val="center"/>
          </w:tcPr>
          <w:p w14:paraId="19E3FB96">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单位概</w:t>
            </w:r>
            <w:r>
              <w:rPr>
                <w:rFonts w:hint="eastAsia" w:ascii="仿宋" w:hAnsi="仿宋" w:eastAsia="仿宋" w:cs="仿宋"/>
                <w:bCs/>
                <w:sz w:val="24"/>
                <w:szCs w:val="24"/>
                <w:highlight w:val="none"/>
              </w:rPr>
              <w:t>况</w:t>
            </w:r>
          </w:p>
        </w:tc>
        <w:tc>
          <w:tcPr>
            <w:tcW w:w="1486" w:type="dxa"/>
            <w:tcBorders>
              <w:top w:val="single" w:color="auto" w:sz="4" w:space="0"/>
              <w:left w:val="single" w:color="auto" w:sz="4" w:space="0"/>
              <w:bottom w:val="single" w:color="auto" w:sz="4" w:space="0"/>
              <w:right w:val="single" w:color="auto" w:sz="4" w:space="0"/>
            </w:tcBorders>
            <w:vAlign w:val="center"/>
          </w:tcPr>
          <w:p w14:paraId="2E741C5E">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注册资本</w:t>
            </w:r>
          </w:p>
        </w:tc>
        <w:tc>
          <w:tcPr>
            <w:tcW w:w="1218" w:type="dxa"/>
            <w:tcBorders>
              <w:top w:val="single" w:color="auto" w:sz="4" w:space="0"/>
              <w:left w:val="single" w:color="auto" w:sz="4" w:space="0"/>
              <w:bottom w:val="single" w:color="auto" w:sz="4" w:space="0"/>
              <w:right w:val="single" w:color="auto" w:sz="4" w:space="0"/>
            </w:tcBorders>
            <w:vAlign w:val="center"/>
          </w:tcPr>
          <w:p w14:paraId="23F1259B">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14:paraId="1FE527FC">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占地面积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6F539A65">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14:paraId="54C8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14:paraId="45CE94D0">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14:paraId="05AF092C">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固定资产</w:t>
            </w:r>
          </w:p>
        </w:tc>
        <w:tc>
          <w:tcPr>
            <w:tcW w:w="1218" w:type="dxa"/>
            <w:tcBorders>
              <w:top w:val="single" w:color="auto" w:sz="4" w:space="0"/>
              <w:left w:val="single" w:color="auto" w:sz="4" w:space="0"/>
              <w:bottom w:val="single" w:color="auto" w:sz="4" w:space="0"/>
              <w:right w:val="single" w:color="auto" w:sz="4" w:space="0"/>
            </w:tcBorders>
            <w:vAlign w:val="center"/>
          </w:tcPr>
          <w:p w14:paraId="14AA6638">
            <w:pPr>
              <w:adjustRightInd w:val="0"/>
              <w:spacing w:line="400" w:lineRule="exact"/>
              <w:ind w:left="960" w:hanging="960" w:hangingChars="400"/>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14:paraId="4E8694D0">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建筑面积</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E4F308F">
            <w:pPr>
              <w:adjustRightInd w:val="0"/>
              <w:spacing w:line="400" w:lineRule="exact"/>
              <w:jc w:val="righ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14:paraId="613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top w:val="single" w:color="auto" w:sz="4" w:space="0"/>
              <w:left w:val="single" w:color="auto" w:sz="4" w:space="0"/>
              <w:bottom w:val="single" w:color="auto" w:sz="4" w:space="0"/>
              <w:right w:val="single" w:color="auto" w:sz="4" w:space="0"/>
            </w:tcBorders>
            <w:vAlign w:val="center"/>
          </w:tcPr>
          <w:p w14:paraId="4EE0AD47">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14:paraId="4C95EE23">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净资产</w:t>
            </w:r>
          </w:p>
        </w:tc>
        <w:tc>
          <w:tcPr>
            <w:tcW w:w="1218" w:type="dxa"/>
            <w:tcBorders>
              <w:top w:val="single" w:color="auto" w:sz="4" w:space="0"/>
              <w:left w:val="single" w:color="auto" w:sz="4" w:space="0"/>
              <w:bottom w:val="single" w:color="auto" w:sz="4" w:space="0"/>
              <w:right w:val="single" w:color="auto" w:sz="4" w:space="0"/>
            </w:tcBorders>
            <w:vAlign w:val="center"/>
          </w:tcPr>
          <w:p w14:paraId="3E044419">
            <w:pPr>
              <w:adjustRightInd w:val="0"/>
              <w:spacing w:line="400" w:lineRule="exact"/>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55" w:type="dxa"/>
            <w:tcBorders>
              <w:top w:val="single" w:color="auto" w:sz="4" w:space="0"/>
              <w:left w:val="single" w:color="auto" w:sz="4" w:space="0"/>
              <w:bottom w:val="single" w:color="auto" w:sz="4" w:space="0"/>
              <w:right w:val="single" w:color="auto" w:sz="4" w:space="0"/>
            </w:tcBorders>
            <w:vAlign w:val="center"/>
          </w:tcPr>
          <w:p w14:paraId="4E73EB7A">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职工总数</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FF401F1">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     人</w:t>
            </w:r>
          </w:p>
        </w:tc>
      </w:tr>
      <w:tr w14:paraId="7747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3140" w:type="dxa"/>
            <w:vMerge w:val="restart"/>
            <w:tcBorders>
              <w:top w:val="single" w:color="auto" w:sz="4" w:space="0"/>
              <w:left w:val="single" w:color="auto" w:sz="4" w:space="0"/>
              <w:right w:val="single" w:color="auto" w:sz="4" w:space="0"/>
            </w:tcBorders>
            <w:vAlign w:val="center"/>
          </w:tcPr>
          <w:p w14:paraId="22BD257D">
            <w:pPr>
              <w:spacing w:line="400" w:lineRule="exact"/>
              <w:jc w:val="center"/>
              <w:rPr>
                <w:rFonts w:ascii="仿宋" w:hAnsi="仿宋" w:eastAsia="仿宋" w:cs="仿宋"/>
                <w:sz w:val="24"/>
                <w:szCs w:val="24"/>
                <w:highlight w:val="none"/>
              </w:rPr>
            </w:pPr>
            <w:r>
              <w:rPr>
                <w:rFonts w:hint="eastAsia" w:ascii="仿宋" w:hAnsi="仿宋" w:eastAsia="仿宋" w:cs="仿宋"/>
                <w:kern w:val="0"/>
                <w:sz w:val="24"/>
                <w:szCs w:val="24"/>
                <w:highlight w:val="none"/>
                <w:lang w:val="zh-TW"/>
              </w:rPr>
              <w:t>财务状况</w:t>
            </w:r>
          </w:p>
        </w:tc>
        <w:tc>
          <w:tcPr>
            <w:tcW w:w="1486" w:type="dxa"/>
            <w:tcBorders>
              <w:top w:val="single" w:color="auto" w:sz="4" w:space="0"/>
              <w:left w:val="single" w:color="auto" w:sz="4" w:space="0"/>
              <w:bottom w:val="single" w:color="auto" w:sz="4" w:space="0"/>
              <w:right w:val="single" w:color="auto" w:sz="4" w:space="0"/>
            </w:tcBorders>
            <w:vAlign w:val="center"/>
          </w:tcPr>
          <w:p w14:paraId="1CBE651A">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年份</w:t>
            </w:r>
          </w:p>
        </w:tc>
        <w:tc>
          <w:tcPr>
            <w:tcW w:w="1218" w:type="dxa"/>
            <w:tcBorders>
              <w:top w:val="single" w:color="auto" w:sz="4" w:space="0"/>
              <w:left w:val="single" w:color="auto" w:sz="4" w:space="0"/>
              <w:bottom w:val="single" w:color="auto" w:sz="4" w:space="0"/>
              <w:right w:val="single" w:color="auto" w:sz="4" w:space="0"/>
            </w:tcBorders>
            <w:vAlign w:val="center"/>
          </w:tcPr>
          <w:p w14:paraId="00444679">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主营收入</w:t>
            </w:r>
          </w:p>
          <w:p w14:paraId="2E55534F">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455" w:type="dxa"/>
            <w:tcBorders>
              <w:top w:val="single" w:color="auto" w:sz="4" w:space="0"/>
              <w:left w:val="single" w:color="auto" w:sz="4" w:space="0"/>
              <w:bottom w:val="single" w:color="auto" w:sz="4" w:space="0"/>
              <w:right w:val="single" w:color="auto" w:sz="4" w:space="0"/>
            </w:tcBorders>
            <w:vAlign w:val="center"/>
          </w:tcPr>
          <w:p w14:paraId="352BEBAA">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收入总额</w:t>
            </w:r>
          </w:p>
          <w:p w14:paraId="1A760658">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218" w:type="dxa"/>
            <w:tcBorders>
              <w:top w:val="single" w:color="auto" w:sz="4" w:space="0"/>
              <w:left w:val="single" w:color="auto" w:sz="4" w:space="0"/>
              <w:bottom w:val="single" w:color="auto" w:sz="4" w:space="0"/>
              <w:right w:val="single" w:color="auto" w:sz="4" w:space="0"/>
            </w:tcBorders>
            <w:vAlign w:val="center"/>
          </w:tcPr>
          <w:p w14:paraId="59AB83D9">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利润总额</w:t>
            </w:r>
          </w:p>
          <w:p w14:paraId="7EE72C42">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122" w:type="dxa"/>
            <w:tcBorders>
              <w:top w:val="single" w:color="auto" w:sz="4" w:space="0"/>
              <w:left w:val="single" w:color="auto" w:sz="4" w:space="0"/>
              <w:bottom w:val="single" w:color="auto" w:sz="4" w:space="0"/>
              <w:right w:val="single" w:color="auto" w:sz="4" w:space="0"/>
            </w:tcBorders>
            <w:vAlign w:val="center"/>
          </w:tcPr>
          <w:p w14:paraId="7F07759B">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kern w:val="0"/>
                <w:sz w:val="24"/>
                <w:szCs w:val="24"/>
                <w:highlight w:val="none"/>
              </w:rPr>
              <w:t>净利润</w:t>
            </w:r>
          </w:p>
          <w:p w14:paraId="160778D4">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（万元）</w:t>
            </w:r>
          </w:p>
        </w:tc>
      </w:tr>
      <w:tr w14:paraId="4BF7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14:paraId="07332D6E">
            <w:pPr>
              <w:spacing w:line="400" w:lineRule="exact"/>
              <w:jc w:val="center"/>
              <w:rPr>
                <w:rFonts w:ascii="仿宋" w:hAnsi="仿宋" w:eastAsia="仿宋" w:cs="仿宋"/>
                <w:sz w:val="24"/>
                <w:szCs w:val="24"/>
                <w:highlight w:val="none"/>
              </w:rPr>
            </w:pPr>
          </w:p>
        </w:tc>
        <w:tc>
          <w:tcPr>
            <w:tcW w:w="1486" w:type="dxa"/>
            <w:tcBorders>
              <w:top w:val="single" w:color="auto" w:sz="4" w:space="0"/>
              <w:left w:val="single" w:color="auto" w:sz="4" w:space="0"/>
              <w:right w:val="single" w:color="auto" w:sz="4" w:space="0"/>
            </w:tcBorders>
            <w:vAlign w:val="center"/>
          </w:tcPr>
          <w:p w14:paraId="7ECD84DD">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14:paraId="647884E3">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14:paraId="290EBC12">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14:paraId="058E56F4">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14:paraId="72F924E0">
            <w:pPr>
              <w:adjustRightInd w:val="0"/>
              <w:spacing w:line="400" w:lineRule="exact"/>
              <w:rPr>
                <w:rFonts w:ascii="仿宋" w:hAnsi="仿宋" w:eastAsia="仿宋" w:cs="仿宋"/>
                <w:bCs/>
                <w:sz w:val="24"/>
                <w:szCs w:val="24"/>
                <w:highlight w:val="none"/>
              </w:rPr>
            </w:pPr>
          </w:p>
        </w:tc>
      </w:tr>
      <w:tr w14:paraId="45FE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14:paraId="3E66C89E">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right w:val="single" w:color="auto" w:sz="4" w:space="0"/>
            </w:tcBorders>
            <w:vAlign w:val="center"/>
          </w:tcPr>
          <w:p w14:paraId="27D2FB3A">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right w:val="single" w:color="auto" w:sz="4" w:space="0"/>
            </w:tcBorders>
          </w:tcPr>
          <w:p w14:paraId="206CFBEE">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right w:val="single" w:color="auto" w:sz="4" w:space="0"/>
            </w:tcBorders>
          </w:tcPr>
          <w:p w14:paraId="524BFF25">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right w:val="single" w:color="auto" w:sz="4" w:space="0"/>
            </w:tcBorders>
          </w:tcPr>
          <w:p w14:paraId="445D26F0">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14:paraId="2F9E3BE2">
            <w:pPr>
              <w:adjustRightInd w:val="0"/>
              <w:spacing w:line="400" w:lineRule="exact"/>
              <w:rPr>
                <w:rFonts w:ascii="仿宋" w:hAnsi="仿宋" w:eastAsia="仿宋" w:cs="仿宋"/>
                <w:bCs/>
                <w:sz w:val="24"/>
                <w:szCs w:val="24"/>
                <w:highlight w:val="none"/>
              </w:rPr>
            </w:pPr>
          </w:p>
        </w:tc>
      </w:tr>
      <w:tr w14:paraId="1059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3140" w:type="dxa"/>
            <w:vMerge w:val="continue"/>
            <w:tcBorders>
              <w:left w:val="single" w:color="auto" w:sz="4" w:space="0"/>
              <w:right w:val="single" w:color="auto" w:sz="4" w:space="0"/>
            </w:tcBorders>
            <w:vAlign w:val="center"/>
          </w:tcPr>
          <w:p w14:paraId="4C988E06">
            <w:pPr>
              <w:spacing w:line="400" w:lineRule="exact"/>
              <w:jc w:val="center"/>
              <w:rPr>
                <w:rFonts w:ascii="仿宋" w:hAnsi="仿宋" w:eastAsia="仿宋" w:cs="仿宋"/>
                <w:kern w:val="0"/>
                <w:sz w:val="24"/>
                <w:szCs w:val="24"/>
                <w:highlight w:val="none"/>
                <w:lang w:val="zh-TW"/>
              </w:rPr>
            </w:pPr>
          </w:p>
        </w:tc>
        <w:tc>
          <w:tcPr>
            <w:tcW w:w="1486" w:type="dxa"/>
            <w:tcBorders>
              <w:top w:val="single" w:color="auto" w:sz="4" w:space="0"/>
              <w:left w:val="single" w:color="auto" w:sz="4" w:space="0"/>
              <w:bottom w:val="single" w:color="auto" w:sz="4" w:space="0"/>
              <w:right w:val="single" w:color="auto" w:sz="4" w:space="0"/>
            </w:tcBorders>
            <w:vAlign w:val="center"/>
          </w:tcPr>
          <w:p w14:paraId="22DCC49B">
            <w:pPr>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p>
        </w:tc>
        <w:tc>
          <w:tcPr>
            <w:tcW w:w="1218" w:type="dxa"/>
            <w:tcBorders>
              <w:top w:val="single" w:color="auto" w:sz="4" w:space="0"/>
              <w:left w:val="single" w:color="auto" w:sz="4" w:space="0"/>
              <w:bottom w:val="single" w:color="auto" w:sz="4" w:space="0"/>
              <w:right w:val="single" w:color="auto" w:sz="4" w:space="0"/>
            </w:tcBorders>
          </w:tcPr>
          <w:p w14:paraId="69B1059E">
            <w:pPr>
              <w:adjustRightInd w:val="0"/>
              <w:spacing w:line="400" w:lineRule="exact"/>
              <w:rPr>
                <w:rFonts w:ascii="仿宋" w:hAnsi="仿宋" w:eastAsia="仿宋" w:cs="仿宋"/>
                <w:bCs/>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tcPr>
          <w:p w14:paraId="1AB18F6D">
            <w:pPr>
              <w:adjustRightInd w:val="0"/>
              <w:spacing w:line="400" w:lineRule="exact"/>
              <w:rPr>
                <w:rFonts w:ascii="仿宋" w:hAnsi="仿宋" w:eastAsia="仿宋" w:cs="仿宋"/>
                <w:bCs/>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tcPr>
          <w:p w14:paraId="1BC629C0">
            <w:pPr>
              <w:adjustRightInd w:val="0"/>
              <w:spacing w:line="400" w:lineRule="exact"/>
              <w:rPr>
                <w:rFonts w:ascii="仿宋" w:hAnsi="仿宋" w:eastAsia="仿宋" w:cs="仿宋"/>
                <w:bCs/>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Pr>
          <w:p w14:paraId="72CE6DC4">
            <w:pPr>
              <w:adjustRightInd w:val="0"/>
              <w:spacing w:line="400" w:lineRule="exact"/>
              <w:rPr>
                <w:rFonts w:ascii="仿宋" w:hAnsi="仿宋" w:eastAsia="仿宋" w:cs="仿宋"/>
                <w:bCs/>
                <w:sz w:val="24"/>
                <w:szCs w:val="24"/>
                <w:highlight w:val="none"/>
              </w:rPr>
            </w:pPr>
          </w:p>
        </w:tc>
      </w:tr>
      <w:tr w14:paraId="23A6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3140" w:type="dxa"/>
            <w:tcBorders>
              <w:left w:val="single" w:color="auto" w:sz="4" w:space="0"/>
              <w:right w:val="single" w:color="auto" w:sz="4" w:space="0"/>
            </w:tcBorders>
            <w:vAlign w:val="center"/>
          </w:tcPr>
          <w:p w14:paraId="1EBB30F5">
            <w:pPr>
              <w:spacing w:line="400" w:lineRule="exact"/>
              <w:jc w:val="center"/>
              <w:rPr>
                <w:rFonts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其他补充说明</w:t>
            </w:r>
          </w:p>
        </w:tc>
        <w:tc>
          <w:tcPr>
            <w:tcW w:w="6499" w:type="dxa"/>
            <w:gridSpan w:val="5"/>
            <w:tcBorders>
              <w:top w:val="single" w:color="auto" w:sz="4" w:space="0"/>
              <w:left w:val="single" w:color="auto" w:sz="4" w:space="0"/>
              <w:bottom w:val="single" w:color="auto" w:sz="4" w:space="0"/>
              <w:right w:val="single" w:color="auto" w:sz="4" w:space="0"/>
            </w:tcBorders>
            <w:vAlign w:val="center"/>
          </w:tcPr>
          <w:p w14:paraId="7F91E953">
            <w:pPr>
              <w:adjustRightInd w:val="0"/>
              <w:spacing w:line="400" w:lineRule="exact"/>
              <w:rPr>
                <w:rFonts w:ascii="仿宋" w:hAnsi="仿宋" w:eastAsia="仿宋" w:cs="仿宋"/>
                <w:bCs/>
                <w:sz w:val="24"/>
                <w:szCs w:val="24"/>
                <w:highlight w:val="none"/>
              </w:rPr>
            </w:pPr>
          </w:p>
        </w:tc>
      </w:tr>
    </w:tbl>
    <w:p w14:paraId="21E9389B">
      <w:pPr>
        <w:pStyle w:val="49"/>
        <w:widowControl/>
        <w:spacing w:line="500" w:lineRule="exact"/>
        <w:ind w:firstLine="560"/>
        <w:rPr>
          <w:rFonts w:hint="default" w:ascii="仿宋" w:hAnsi="仿宋" w:cs="仿宋"/>
          <w:szCs w:val="28"/>
          <w:highlight w:val="none"/>
        </w:rPr>
      </w:pPr>
    </w:p>
    <w:p w14:paraId="1165F4FF">
      <w:pPr>
        <w:pStyle w:val="49"/>
        <w:widowControl/>
        <w:spacing w:line="500" w:lineRule="exact"/>
        <w:ind w:firstLine="560"/>
        <w:rPr>
          <w:rFonts w:hint="default" w:ascii="仿宋" w:hAnsi="仿宋" w:cs="仿宋"/>
          <w:szCs w:val="28"/>
          <w:highlight w:val="none"/>
        </w:rPr>
      </w:pPr>
      <w:r>
        <w:rPr>
          <w:rFonts w:ascii="仿宋" w:hAnsi="仿宋" w:cs="仿宋"/>
          <w:szCs w:val="28"/>
          <w:highlight w:val="none"/>
        </w:rPr>
        <w:t>我们保证上述声明中的资料和数据是真实的、正确的。如有虚假，我方愿承担相关法律责任。</w:t>
      </w:r>
    </w:p>
    <w:p w14:paraId="0462DB78">
      <w:pPr>
        <w:pStyle w:val="49"/>
        <w:widowControl/>
        <w:spacing w:line="500" w:lineRule="exact"/>
        <w:ind w:firstLine="560"/>
        <w:rPr>
          <w:rFonts w:hint="default" w:ascii="仿宋" w:hAnsi="仿宋" w:cs="仿宋"/>
          <w:szCs w:val="28"/>
          <w:highlight w:val="none"/>
        </w:rPr>
      </w:pPr>
      <w:r>
        <w:rPr>
          <w:rFonts w:ascii="仿宋" w:hAnsi="仿宋" w:cs="仿宋"/>
          <w:szCs w:val="28"/>
          <w:highlight w:val="none"/>
        </w:rPr>
        <w:t>供  应  商：</w:t>
      </w:r>
      <w:r>
        <w:rPr>
          <w:rFonts w:ascii="仿宋" w:hAnsi="仿宋" w:cs="仿宋"/>
          <w:szCs w:val="28"/>
          <w:highlight w:val="none"/>
          <w:u w:val="single"/>
        </w:rPr>
        <w:t xml:space="preserve">                （</w:t>
      </w:r>
      <w:r>
        <w:rPr>
          <w:rFonts w:ascii="仿宋" w:hAnsi="仿宋" w:cs="仿宋"/>
          <w:szCs w:val="28"/>
          <w:highlight w:val="none"/>
        </w:rPr>
        <w:t>公      章）</w:t>
      </w:r>
    </w:p>
    <w:p w14:paraId="273BA60C">
      <w:pPr>
        <w:pStyle w:val="49"/>
        <w:widowControl/>
        <w:spacing w:line="500" w:lineRule="exact"/>
        <w:ind w:firstLine="560"/>
        <w:rPr>
          <w:rFonts w:hint="default" w:ascii="仿宋" w:hAnsi="仿宋" w:cs="仿宋"/>
          <w:szCs w:val="28"/>
          <w:highlight w:val="none"/>
        </w:rPr>
      </w:pPr>
      <w:r>
        <w:rPr>
          <w:rFonts w:ascii="仿宋" w:hAnsi="仿宋" w:cs="仿宋"/>
          <w:szCs w:val="28"/>
          <w:highlight w:val="none"/>
        </w:rPr>
        <w:t>法定代表人：</w:t>
      </w:r>
      <w:r>
        <w:rPr>
          <w:rFonts w:ascii="仿宋" w:hAnsi="仿宋" w:cs="仿宋"/>
          <w:szCs w:val="28"/>
          <w:highlight w:val="none"/>
          <w:u w:val="single"/>
        </w:rPr>
        <w:t xml:space="preserve">                （</w:t>
      </w:r>
      <w:r>
        <w:rPr>
          <w:rFonts w:ascii="仿宋" w:hAnsi="仿宋" w:cs="仿宋"/>
          <w:szCs w:val="28"/>
          <w:highlight w:val="none"/>
        </w:rPr>
        <w:t>签字或盖章）</w:t>
      </w:r>
    </w:p>
    <w:p w14:paraId="115BFBE3">
      <w:pPr>
        <w:pStyle w:val="49"/>
        <w:widowControl/>
        <w:spacing w:line="500" w:lineRule="exact"/>
        <w:ind w:firstLine="560"/>
        <w:rPr>
          <w:rFonts w:hint="default" w:ascii="仿宋" w:hAnsi="仿宋" w:cs="仿宋"/>
          <w:szCs w:val="28"/>
          <w:highlight w:val="none"/>
        </w:rPr>
      </w:pPr>
      <w:r>
        <w:rPr>
          <w:rFonts w:ascii="仿宋" w:hAnsi="仿宋" w:cs="仿宋"/>
          <w:szCs w:val="28"/>
          <w:highlight w:val="none"/>
        </w:rPr>
        <w:t>电话号码：</w:t>
      </w:r>
      <w:r>
        <w:rPr>
          <w:rFonts w:ascii="仿宋" w:hAnsi="仿宋" w:cs="仿宋"/>
          <w:szCs w:val="28"/>
          <w:highlight w:val="none"/>
          <w:u w:val="single"/>
        </w:rPr>
        <w:t xml:space="preserve">                              .</w:t>
      </w:r>
    </w:p>
    <w:p w14:paraId="3218EFB5">
      <w:pPr>
        <w:pStyle w:val="49"/>
        <w:widowControl/>
        <w:spacing w:line="500" w:lineRule="exact"/>
        <w:ind w:firstLine="560"/>
        <w:rPr>
          <w:rFonts w:hint="default" w:ascii="仿宋" w:hAnsi="仿宋" w:cs="仿宋"/>
          <w:szCs w:val="28"/>
          <w:highlight w:val="none"/>
          <w:u w:val="single"/>
        </w:rPr>
      </w:pPr>
      <w:r>
        <w:rPr>
          <w:rFonts w:ascii="仿宋" w:hAnsi="仿宋" w:cs="仿宋"/>
          <w:szCs w:val="28"/>
          <w:highlight w:val="none"/>
        </w:rPr>
        <w:t>传    真：</w:t>
      </w:r>
      <w:r>
        <w:rPr>
          <w:rFonts w:ascii="仿宋" w:hAnsi="仿宋" w:cs="仿宋"/>
          <w:szCs w:val="28"/>
          <w:highlight w:val="none"/>
          <w:u w:val="single"/>
        </w:rPr>
        <w:t xml:space="preserve">                              .</w:t>
      </w:r>
    </w:p>
    <w:p w14:paraId="224BE281">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14:paraId="4BD2269B">
      <w:pPr>
        <w:pStyle w:val="18"/>
        <w:rPr>
          <w:rFonts w:hint="eastAsia" w:ascii="仿宋" w:hAnsi="仿宋" w:eastAsia="仿宋" w:cs="仿宋"/>
          <w:b/>
          <w:kern w:val="0"/>
          <w:sz w:val="44"/>
          <w:szCs w:val="44"/>
          <w:highlight w:val="none"/>
        </w:rPr>
      </w:pPr>
    </w:p>
    <w:p w14:paraId="0BE4E57B">
      <w:pPr>
        <w:pStyle w:val="18"/>
        <w:rPr>
          <w:rFonts w:hint="eastAsia" w:ascii="仿宋" w:hAnsi="仿宋" w:eastAsia="仿宋" w:cs="仿宋"/>
          <w:b/>
          <w:kern w:val="0"/>
          <w:sz w:val="44"/>
          <w:szCs w:val="44"/>
          <w:highlight w:val="none"/>
        </w:rPr>
      </w:pPr>
    </w:p>
    <w:p w14:paraId="3B5AD53C">
      <w:pPr>
        <w:pStyle w:val="18"/>
        <w:rPr>
          <w:rFonts w:hint="eastAsia" w:ascii="仿宋" w:hAnsi="仿宋" w:eastAsia="仿宋" w:cs="仿宋"/>
          <w:b/>
          <w:kern w:val="0"/>
          <w:sz w:val="44"/>
          <w:szCs w:val="44"/>
          <w:highlight w:val="none"/>
        </w:rPr>
      </w:pPr>
    </w:p>
    <w:p w14:paraId="57F19D6A">
      <w:pPr>
        <w:pStyle w:val="18"/>
        <w:rPr>
          <w:rFonts w:hint="eastAsia" w:ascii="仿宋" w:hAnsi="仿宋" w:eastAsia="仿宋" w:cs="仿宋"/>
          <w:b/>
          <w:kern w:val="0"/>
          <w:sz w:val="44"/>
          <w:szCs w:val="44"/>
          <w:highlight w:val="none"/>
        </w:rPr>
      </w:pPr>
    </w:p>
    <w:p w14:paraId="51F2CCDE">
      <w:pPr>
        <w:pStyle w:val="18"/>
        <w:rPr>
          <w:rFonts w:hint="eastAsia" w:ascii="仿宋" w:hAnsi="仿宋" w:eastAsia="仿宋" w:cs="仿宋"/>
          <w:b/>
          <w:kern w:val="0"/>
          <w:sz w:val="44"/>
          <w:szCs w:val="44"/>
          <w:highlight w:val="none"/>
        </w:rPr>
      </w:pPr>
    </w:p>
    <w:p w14:paraId="659EF686">
      <w:pPr>
        <w:pStyle w:val="18"/>
        <w:rPr>
          <w:rFonts w:hint="eastAsia" w:ascii="仿宋" w:hAnsi="仿宋" w:eastAsia="仿宋" w:cs="仿宋"/>
          <w:b/>
          <w:kern w:val="0"/>
          <w:sz w:val="44"/>
          <w:szCs w:val="44"/>
          <w:highlight w:val="none"/>
        </w:rPr>
      </w:pPr>
    </w:p>
    <w:p w14:paraId="29429E55">
      <w:pPr>
        <w:pStyle w:val="18"/>
        <w:rPr>
          <w:rFonts w:hint="eastAsia" w:ascii="仿宋" w:hAnsi="仿宋" w:eastAsia="仿宋" w:cs="仿宋"/>
          <w:b/>
          <w:kern w:val="0"/>
          <w:sz w:val="44"/>
          <w:szCs w:val="44"/>
          <w:highlight w:val="none"/>
        </w:rPr>
      </w:pPr>
    </w:p>
    <w:p w14:paraId="02128B99">
      <w:pPr>
        <w:pStyle w:val="18"/>
        <w:rPr>
          <w:rFonts w:hint="eastAsia" w:ascii="仿宋" w:hAnsi="仿宋" w:eastAsia="仿宋" w:cs="仿宋"/>
          <w:b/>
          <w:kern w:val="0"/>
          <w:sz w:val="44"/>
          <w:szCs w:val="44"/>
          <w:highlight w:val="none"/>
        </w:rPr>
      </w:pPr>
    </w:p>
    <w:p w14:paraId="40C5935C">
      <w:pPr>
        <w:rPr>
          <w:rFonts w:hint="eastAsia" w:ascii="仿宋" w:hAnsi="仿宋" w:eastAsia="仿宋" w:cs="仿宋"/>
          <w:b/>
          <w:kern w:val="0"/>
          <w:sz w:val="44"/>
          <w:szCs w:val="44"/>
          <w:highlight w:val="none"/>
        </w:rPr>
      </w:pPr>
    </w:p>
    <w:p w14:paraId="6AE61F3F">
      <w:pPr>
        <w:rPr>
          <w:rFonts w:hint="eastAsia" w:ascii="仿宋" w:hAnsi="仿宋" w:eastAsia="仿宋" w:cs="仿宋"/>
          <w:b/>
          <w:kern w:val="0"/>
          <w:sz w:val="44"/>
          <w:szCs w:val="44"/>
          <w:highlight w:val="none"/>
        </w:rPr>
      </w:pPr>
    </w:p>
    <w:p w14:paraId="76E3AE87">
      <w:pPr>
        <w:rPr>
          <w:rFonts w:hint="eastAsia" w:ascii="仿宋" w:hAnsi="仿宋" w:eastAsia="仿宋" w:cs="仿宋"/>
          <w:b/>
          <w:kern w:val="0"/>
          <w:sz w:val="44"/>
          <w:szCs w:val="44"/>
          <w:highlight w:val="none"/>
        </w:rPr>
      </w:pPr>
    </w:p>
    <w:p w14:paraId="60C9BA46">
      <w:pPr>
        <w:pStyle w:val="18"/>
        <w:rPr>
          <w:rFonts w:hint="eastAsia" w:ascii="仿宋" w:hAnsi="仿宋" w:eastAsia="仿宋" w:cs="仿宋"/>
          <w:b/>
          <w:kern w:val="0"/>
          <w:sz w:val="44"/>
          <w:szCs w:val="44"/>
          <w:highlight w:val="none"/>
        </w:rPr>
      </w:pPr>
    </w:p>
    <w:p w14:paraId="59B6287C">
      <w:pPr>
        <w:pStyle w:val="18"/>
        <w:rPr>
          <w:rFonts w:hint="eastAsia" w:ascii="仿宋" w:hAnsi="仿宋" w:eastAsia="仿宋" w:cs="仿宋"/>
          <w:b/>
          <w:kern w:val="0"/>
          <w:sz w:val="44"/>
          <w:szCs w:val="44"/>
          <w:highlight w:val="none"/>
        </w:rPr>
      </w:pPr>
    </w:p>
    <w:p w14:paraId="5D0D6905">
      <w:pPr>
        <w:pStyle w:val="18"/>
        <w:rPr>
          <w:rFonts w:hint="eastAsia" w:ascii="仿宋" w:hAnsi="仿宋" w:eastAsia="仿宋" w:cs="仿宋"/>
          <w:b/>
          <w:kern w:val="0"/>
          <w:sz w:val="44"/>
          <w:szCs w:val="44"/>
          <w:highlight w:val="none"/>
        </w:rPr>
      </w:pPr>
    </w:p>
    <w:p w14:paraId="4F635990">
      <w:pPr>
        <w:pStyle w:val="18"/>
        <w:rPr>
          <w:rFonts w:hint="eastAsia" w:ascii="仿宋" w:hAnsi="仿宋" w:eastAsia="仿宋" w:cs="仿宋"/>
          <w:b/>
          <w:kern w:val="0"/>
          <w:sz w:val="44"/>
          <w:szCs w:val="44"/>
          <w:highlight w:val="none"/>
        </w:rPr>
      </w:pPr>
    </w:p>
    <w:p w14:paraId="57FFEE4D">
      <w:pPr>
        <w:pStyle w:val="18"/>
        <w:rPr>
          <w:rFonts w:hint="eastAsia" w:ascii="仿宋" w:hAnsi="仿宋" w:eastAsia="仿宋" w:cs="仿宋"/>
          <w:b/>
          <w:kern w:val="0"/>
          <w:sz w:val="44"/>
          <w:szCs w:val="44"/>
          <w:highlight w:val="none"/>
        </w:rPr>
      </w:pPr>
    </w:p>
    <w:p w14:paraId="2D3EC682">
      <w:pPr>
        <w:pStyle w:val="18"/>
        <w:rPr>
          <w:rFonts w:hint="eastAsia" w:ascii="仿宋" w:hAnsi="仿宋" w:eastAsia="仿宋" w:cs="仿宋"/>
          <w:b/>
          <w:kern w:val="0"/>
          <w:sz w:val="44"/>
          <w:szCs w:val="44"/>
          <w:highlight w:val="none"/>
        </w:rPr>
      </w:pPr>
    </w:p>
    <w:p w14:paraId="6B4373F8">
      <w:pPr>
        <w:pStyle w:val="18"/>
        <w:rPr>
          <w:rFonts w:hint="eastAsia" w:ascii="仿宋" w:hAnsi="仿宋" w:eastAsia="仿宋" w:cs="仿宋"/>
          <w:b/>
          <w:kern w:val="0"/>
          <w:sz w:val="44"/>
          <w:szCs w:val="44"/>
          <w:highlight w:val="none"/>
        </w:rPr>
      </w:pPr>
    </w:p>
    <w:p w14:paraId="0D3417C9">
      <w:pPr>
        <w:spacing w:line="500" w:lineRule="atLeast"/>
        <w:jc w:val="center"/>
        <w:outlineLvl w:val="2"/>
        <w:rPr>
          <w:rFonts w:ascii="仿宋" w:hAnsi="仿宋" w:eastAsia="仿宋" w:cs="仿宋"/>
          <w:b/>
          <w:bCs/>
          <w:sz w:val="36"/>
          <w:szCs w:val="36"/>
          <w:highlight w:val="none"/>
        </w:rPr>
      </w:pPr>
      <w:bookmarkStart w:id="194" w:name="_Toc26850"/>
      <w:bookmarkStart w:id="195" w:name="_Toc18761"/>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二</w:t>
      </w:r>
      <w:r>
        <w:rPr>
          <w:rFonts w:hint="eastAsia" w:ascii="仿宋" w:hAnsi="仿宋" w:eastAsia="仿宋" w:cs="仿宋"/>
          <w:b/>
          <w:bCs/>
          <w:sz w:val="36"/>
          <w:szCs w:val="36"/>
          <w:highlight w:val="none"/>
        </w:rPr>
        <w:t>部分  供应商资格证明文件</w:t>
      </w:r>
      <w:bookmarkEnd w:id="194"/>
      <w:bookmarkEnd w:id="195"/>
    </w:p>
    <w:p w14:paraId="58E3030B">
      <w:pPr>
        <w:keepNext w:val="0"/>
        <w:keepLines w:val="0"/>
        <w:pageBreakBefore w:val="0"/>
        <w:kinsoku/>
        <w:wordWrap/>
        <w:overflowPunct/>
        <w:topLinePunct w:val="0"/>
        <w:autoSpaceDE/>
        <w:autoSpaceDN/>
        <w:bidi w:val="0"/>
        <w:adjustRightInd/>
        <w:snapToGrid/>
        <w:spacing w:line="470" w:lineRule="exact"/>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资格要求：</w:t>
      </w:r>
    </w:p>
    <w:p w14:paraId="0709162A">
      <w:pPr>
        <w:pStyle w:val="26"/>
        <w:keepNext w:val="0"/>
        <w:keepLines w:val="0"/>
        <w:pageBreakBefore w:val="0"/>
        <w:widowControl/>
        <w:numPr>
          <w:ilvl w:val="0"/>
          <w:numId w:val="10"/>
        </w:numPr>
        <w:kinsoku/>
        <w:wordWrap/>
        <w:overflowPunct/>
        <w:topLinePunct w:val="0"/>
        <w:autoSpaceDE/>
        <w:autoSpaceDN/>
        <w:bidi w:val="0"/>
        <w:adjustRightInd/>
        <w:snapToGrid/>
        <w:spacing w:before="0" w:after="0" w:line="500" w:lineRule="exact"/>
        <w:ind w:left="0" w:leftChars="0" w:firstLine="560" w:firstLineChars="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满足《中华人民共和国政府采购法》第二十二条规定；</w:t>
      </w:r>
    </w:p>
    <w:p w14:paraId="4B46ED94">
      <w:pPr>
        <w:pStyle w:val="26"/>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left="0" w:firstLine="560" w:firstLineChars="200"/>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rPr>
        <w:t>本项目的特定资格要求：（1）</w:t>
      </w:r>
      <w:r>
        <w:rPr>
          <w:rFonts w:hint="eastAsia" w:ascii="仿宋" w:hAnsi="仿宋" w:eastAsia="仿宋" w:cs="仿宋"/>
          <w:sz w:val="28"/>
          <w:szCs w:val="28"/>
          <w:highlight w:val="none"/>
          <w:shd w:val="clear" w:color="auto" w:fill="FFFFFF"/>
          <w:lang w:eastAsia="zh-CN"/>
        </w:rPr>
        <w:t>供应商应具有独立承担民事责任的能力且具备向采购人提供相关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 w:val="28"/>
          <w:szCs w:val="28"/>
          <w:highlight w:val="none"/>
          <w:lang w:val="en-US" w:eastAsia="zh-CN"/>
        </w:rPr>
        <w:t>；</w:t>
      </w:r>
    </w:p>
    <w:p w14:paraId="003B7374">
      <w:pPr>
        <w:keepNext w:val="0"/>
        <w:keepLines w:val="0"/>
        <w:pageBreakBefore w:val="0"/>
        <w:widowControl/>
        <w:numPr>
          <w:ilvl w:val="0"/>
          <w:numId w:val="0"/>
        </w:numPr>
        <w:tabs>
          <w:tab w:val="left" w:pos="18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法定代表人授权委托书（附法定代表人身份证复印件）及被授权委托人身份证（法定代表人参加投标只须提供法定代表人身份证）；</w:t>
      </w:r>
    </w:p>
    <w:p w14:paraId="6BF48267">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提供202</w:t>
      </w:r>
      <w:r>
        <w:rPr>
          <w:rFonts w:hint="eastAsia" w:ascii="仿宋" w:hAnsi="仿宋" w:eastAsia="仿宋" w:cs="仿宋"/>
          <w:color w:val="auto"/>
          <w:kern w:val="0"/>
          <w:sz w:val="28"/>
          <w:szCs w:val="28"/>
          <w:highlight w:val="none"/>
          <w:lang w:val="en-US" w:eastAsia="zh-CN"/>
        </w:rPr>
        <w:t>3或2024</w:t>
      </w:r>
      <w:r>
        <w:rPr>
          <w:rFonts w:hint="eastAsia" w:ascii="仿宋" w:hAnsi="仿宋" w:eastAsia="仿宋" w:cs="仿宋"/>
          <w:color w:val="auto"/>
          <w:kern w:val="0"/>
          <w:sz w:val="28"/>
          <w:szCs w:val="28"/>
          <w:highlight w:val="none"/>
          <w:lang w:eastAsia="zh-CN"/>
        </w:rPr>
        <w:t>年度</w:t>
      </w:r>
      <w:r>
        <w:rPr>
          <w:rFonts w:hint="eastAsia" w:ascii="仿宋" w:hAnsi="仿宋" w:eastAsia="仿宋" w:cs="仿宋"/>
          <w:color w:val="auto"/>
          <w:kern w:val="0"/>
          <w:sz w:val="28"/>
          <w:szCs w:val="28"/>
          <w:highlight w:val="none"/>
        </w:rPr>
        <w:t>经审计的财务报告或开标前六个月内其基本账户银行出具的资信证明或财政部门认可的政府采购专业担保机构出具的担保函；</w:t>
      </w:r>
    </w:p>
    <w:p w14:paraId="114B804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eastAsia="zh-CN"/>
        </w:rPr>
        <w:t>提供202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lang w:eastAsia="zh-CN"/>
        </w:rPr>
        <w:t>年</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月以来任意3个月依法缴纳税收和社会保险的相关证明材料；</w:t>
      </w:r>
      <w:r>
        <w:rPr>
          <w:rFonts w:hint="eastAsia" w:ascii="仿宋" w:hAnsi="仿宋" w:eastAsia="仿宋" w:cs="仿宋"/>
          <w:color w:val="auto"/>
          <w:kern w:val="0"/>
          <w:sz w:val="28"/>
          <w:szCs w:val="28"/>
          <w:highlight w:val="none"/>
        </w:rPr>
        <w:t>注：依法免税或不需要缴纳社会保险的供应商提供相关部门出具的证明文件;</w:t>
      </w:r>
    </w:p>
    <w:p w14:paraId="48DEDC13">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提供具有履行合同所必需的设备和专业技术能力的承诺；</w:t>
      </w:r>
    </w:p>
    <w:p w14:paraId="05D3A94D">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提供参加政府采购活动前3年内在经营活动中没有重大违法记录的书面声明；</w:t>
      </w:r>
    </w:p>
    <w:p w14:paraId="07615146">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）单位负责人为同一人或者存在直接控股、管理关系的不同供应商，不得参加同一合同项下的政府采购活动</w:t>
      </w:r>
      <w:r>
        <w:rPr>
          <w:rFonts w:hint="eastAsia" w:ascii="仿宋" w:hAnsi="仿宋" w:eastAsia="仿宋" w:cs="仿宋"/>
          <w:kern w:val="0"/>
          <w:sz w:val="28"/>
          <w:szCs w:val="28"/>
          <w:highlight w:val="none"/>
          <w:lang w:eastAsia="zh-CN"/>
        </w:rPr>
        <w:t>；</w:t>
      </w:r>
    </w:p>
    <w:p w14:paraId="3C019E62">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）供应商认为有必要提供而增加其竞争性的其它资料</w:t>
      </w:r>
      <w:r>
        <w:rPr>
          <w:rFonts w:hint="eastAsia" w:ascii="仿宋" w:hAnsi="仿宋" w:eastAsia="仿宋" w:cs="仿宋"/>
          <w:sz w:val="28"/>
          <w:szCs w:val="28"/>
          <w:highlight w:val="none"/>
        </w:rPr>
        <w:t>。</w:t>
      </w:r>
    </w:p>
    <w:p w14:paraId="03879E08">
      <w:pPr>
        <w:keepNext w:val="0"/>
        <w:keepLines w:val="0"/>
        <w:pageBreakBefore w:val="0"/>
        <w:widowControl/>
        <w:kinsoku/>
        <w:wordWrap/>
        <w:overflowPunct/>
        <w:topLinePunct w:val="0"/>
        <w:autoSpaceDE/>
        <w:autoSpaceDN/>
        <w:bidi w:val="0"/>
        <w:adjustRightInd/>
        <w:snapToGrid/>
        <w:spacing w:line="470" w:lineRule="exact"/>
        <w:ind w:firstLine="560" w:firstLineChars="200"/>
        <w:jc w:val="left"/>
        <w:textAlignment w:val="auto"/>
        <w:rPr>
          <w:rFonts w:hint="eastAsia" w:ascii="仿宋" w:hAnsi="仿宋" w:eastAsia="仿宋" w:cs="仿宋"/>
          <w:sz w:val="28"/>
          <w:szCs w:val="28"/>
          <w:highlight w:val="none"/>
          <w:lang w:eastAsia="zh-CN"/>
        </w:rPr>
      </w:pPr>
    </w:p>
    <w:p w14:paraId="764A4A24">
      <w:pPr>
        <w:keepNext w:val="0"/>
        <w:keepLines w:val="0"/>
        <w:pageBreakBefore w:val="0"/>
        <w:widowControl/>
        <w:kinsoku/>
        <w:wordWrap/>
        <w:overflowPunct/>
        <w:topLinePunct w:val="0"/>
        <w:autoSpaceDE/>
        <w:autoSpaceDN/>
        <w:bidi w:val="0"/>
        <w:adjustRightInd/>
        <w:snapToGrid/>
        <w:spacing w:line="470" w:lineRule="exact"/>
        <w:ind w:firstLine="560" w:firstLineChars="200"/>
        <w:jc w:val="left"/>
        <w:textAlignment w:val="auto"/>
        <w:rPr>
          <w:rFonts w:hint="eastAsia" w:ascii="仿宋" w:hAnsi="仿宋" w:eastAsia="仿宋" w:cs="仿宋"/>
          <w:sz w:val="28"/>
          <w:szCs w:val="28"/>
          <w:highlight w:val="none"/>
          <w:lang w:eastAsia="zh-CN"/>
        </w:rPr>
      </w:pPr>
    </w:p>
    <w:p w14:paraId="1C17B04C">
      <w:pPr>
        <w:keepNext w:val="0"/>
        <w:keepLines w:val="0"/>
        <w:pageBreakBefore w:val="0"/>
        <w:widowControl/>
        <w:kinsoku/>
        <w:wordWrap/>
        <w:overflowPunct/>
        <w:topLinePunct w:val="0"/>
        <w:autoSpaceDE/>
        <w:autoSpaceDN/>
        <w:bidi w:val="0"/>
        <w:adjustRightInd/>
        <w:snapToGrid/>
        <w:spacing w:line="470" w:lineRule="exact"/>
        <w:jc w:val="left"/>
        <w:textAlignment w:val="auto"/>
        <w:rPr>
          <w:rFonts w:hint="eastAsia" w:ascii="仿宋" w:hAnsi="仿宋" w:eastAsia="仿宋" w:cs="仿宋"/>
          <w:sz w:val="28"/>
          <w:szCs w:val="28"/>
          <w:highlight w:val="none"/>
          <w:lang w:eastAsia="zh-CN"/>
        </w:rPr>
      </w:pPr>
    </w:p>
    <w:p w14:paraId="7843D3F9">
      <w:pPr>
        <w:pStyle w:val="18"/>
        <w:keepNext w:val="0"/>
        <w:keepLines w:val="0"/>
        <w:pageBreakBefore w:val="0"/>
        <w:widowControl w:val="0"/>
        <w:kinsoku/>
        <w:wordWrap/>
        <w:overflowPunct/>
        <w:topLinePunct w:val="0"/>
        <w:autoSpaceDE/>
        <w:autoSpaceDN/>
        <w:bidi w:val="0"/>
        <w:adjustRightInd/>
        <w:snapToGrid/>
        <w:spacing w:line="470" w:lineRule="exact"/>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注：身份证原件现场单独递交。</w:t>
      </w:r>
    </w:p>
    <w:p w14:paraId="646709E1">
      <w:pPr>
        <w:pStyle w:val="18"/>
        <w:keepNext w:val="0"/>
        <w:keepLines w:val="0"/>
        <w:pageBreakBefore w:val="0"/>
        <w:widowControl w:val="0"/>
        <w:kinsoku/>
        <w:wordWrap/>
        <w:overflowPunct/>
        <w:topLinePunct w:val="0"/>
        <w:autoSpaceDE/>
        <w:autoSpaceDN/>
        <w:bidi w:val="0"/>
        <w:adjustRightInd/>
        <w:snapToGrid/>
        <w:spacing w:line="470" w:lineRule="exact"/>
        <w:ind w:firstLine="562" w:firstLineChars="200"/>
        <w:textAlignment w:val="auto"/>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lang w:eastAsia="zh-CN"/>
        </w:rPr>
        <w:t>以上资格要求第（</w:t>
      </w:r>
      <w:r>
        <w:rPr>
          <w:rFonts w:hint="eastAsia" w:ascii="仿宋" w:hAnsi="仿宋" w:eastAsia="仿宋" w:cs="仿宋"/>
          <w:b/>
          <w:kern w:val="0"/>
          <w:sz w:val="28"/>
          <w:szCs w:val="28"/>
          <w:highlight w:val="none"/>
          <w:lang w:val="en-US" w:eastAsia="zh-CN"/>
        </w:rPr>
        <w:t>2</w:t>
      </w:r>
      <w:r>
        <w:rPr>
          <w:rFonts w:hint="eastAsia" w:ascii="仿宋" w:hAnsi="仿宋" w:eastAsia="仿宋" w:cs="仿宋"/>
          <w:b/>
          <w:kern w:val="0"/>
          <w:sz w:val="28"/>
          <w:szCs w:val="28"/>
          <w:highlight w:val="none"/>
          <w:lang w:eastAsia="zh-CN"/>
        </w:rPr>
        <w:t>）项须按照格式要求签字盖章，其余</w:t>
      </w:r>
      <w:r>
        <w:rPr>
          <w:rFonts w:hint="eastAsia" w:ascii="仿宋" w:hAnsi="仿宋" w:eastAsia="仿宋" w:cs="仿宋"/>
          <w:b/>
          <w:kern w:val="0"/>
          <w:sz w:val="28"/>
          <w:szCs w:val="28"/>
          <w:highlight w:val="none"/>
        </w:rPr>
        <w:t>每一项均为加盖单位公章的复印件或扫描件</w:t>
      </w:r>
      <w:r>
        <w:rPr>
          <w:rFonts w:hint="eastAsia" w:ascii="仿宋" w:hAnsi="仿宋" w:eastAsia="仿宋" w:cs="仿宋"/>
          <w:b/>
          <w:kern w:val="0"/>
          <w:sz w:val="28"/>
          <w:szCs w:val="28"/>
          <w:highlight w:val="none"/>
          <w:lang w:eastAsia="zh-CN"/>
        </w:rPr>
        <w:t>。</w:t>
      </w:r>
    </w:p>
    <w:p w14:paraId="04D7B4B3">
      <w:pPr>
        <w:rPr>
          <w:rFonts w:hint="eastAsia" w:ascii="仿宋" w:hAnsi="仿宋" w:eastAsia="仿宋" w:cs="仿宋"/>
          <w:sz w:val="30"/>
          <w:szCs w:val="30"/>
          <w:highlight w:val="none"/>
        </w:rPr>
      </w:pPr>
      <w:bookmarkStart w:id="196" w:name="_Toc16146"/>
      <w:bookmarkStart w:id="197" w:name="_Toc6636"/>
      <w:bookmarkStart w:id="198" w:name="_Toc8220"/>
      <w:r>
        <w:rPr>
          <w:rFonts w:hint="eastAsia" w:ascii="仿宋" w:hAnsi="仿宋" w:eastAsia="仿宋" w:cs="仿宋"/>
          <w:sz w:val="30"/>
          <w:szCs w:val="30"/>
          <w:highlight w:val="none"/>
        </w:rPr>
        <w:br w:type="page"/>
      </w:r>
    </w:p>
    <w:p w14:paraId="74078689">
      <w:pPr>
        <w:pStyle w:val="47"/>
        <w:keepNext w:val="0"/>
        <w:keepLines w:val="0"/>
        <w:pageBreakBefore w:val="0"/>
        <w:widowControl/>
        <w:kinsoku/>
        <w:wordWrap/>
        <w:overflowPunct/>
        <w:topLinePunct w:val="0"/>
        <w:autoSpaceDE/>
        <w:autoSpaceDN/>
        <w:bidi w:val="0"/>
        <w:adjustRightInd w:val="0"/>
        <w:snapToGrid/>
        <w:spacing w:before="0" w:after="0" w:line="360" w:lineRule="auto"/>
        <w:ind w:firstLine="0"/>
        <w:jc w:val="center"/>
        <w:textAlignment w:val="auto"/>
        <w:outlineLvl w:val="3"/>
        <w:rPr>
          <w:rFonts w:hint="eastAsia" w:ascii="仿宋" w:hAnsi="仿宋" w:eastAsia="仿宋" w:cs="仿宋"/>
          <w:sz w:val="30"/>
          <w:szCs w:val="30"/>
          <w:highlight w:val="none"/>
        </w:rPr>
      </w:pPr>
      <w:bookmarkStart w:id="199" w:name="_Toc21677"/>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HYPERLINK \l _Toc19385 </w:instrText>
      </w:r>
      <w:r>
        <w:rPr>
          <w:rFonts w:hint="eastAsia" w:ascii="仿宋" w:hAnsi="仿宋" w:eastAsia="仿宋" w:cs="仿宋"/>
          <w:sz w:val="30"/>
          <w:szCs w:val="30"/>
          <w:highlight w:val="none"/>
        </w:rPr>
        <w:fldChar w:fldCharType="separate"/>
      </w:r>
      <w:r>
        <w:rPr>
          <w:rFonts w:hint="eastAsia" w:ascii="仿宋" w:hAnsi="仿宋" w:eastAsia="仿宋" w:cs="仿宋"/>
          <w:b/>
          <w:bCs/>
          <w:sz w:val="28"/>
          <w:szCs w:val="28"/>
          <w:highlight w:val="none"/>
          <w:lang w:val="en-US" w:eastAsia="zh-CN"/>
        </w:rPr>
        <w:t>1、供应商</w:t>
      </w:r>
      <w:r>
        <w:rPr>
          <w:rFonts w:hint="eastAsia" w:ascii="仿宋" w:hAnsi="仿宋" w:eastAsia="仿宋" w:cs="仿宋"/>
          <w:b/>
          <w:bCs/>
          <w:sz w:val="28"/>
          <w:szCs w:val="28"/>
          <w:highlight w:val="none"/>
        </w:rPr>
        <w:t>具有独立承担民事责任的能力</w:t>
      </w:r>
      <w:r>
        <w:rPr>
          <w:rFonts w:hint="eastAsia" w:ascii="仿宋" w:hAnsi="仿宋" w:eastAsia="仿宋" w:cs="仿宋"/>
          <w:sz w:val="30"/>
          <w:szCs w:val="30"/>
          <w:highlight w:val="none"/>
        </w:rPr>
        <w:fldChar w:fldCharType="end"/>
      </w:r>
      <w:bookmarkEnd w:id="196"/>
      <w:bookmarkEnd w:id="197"/>
      <w:bookmarkEnd w:id="198"/>
      <w:bookmarkEnd w:id="199"/>
    </w:p>
    <w:p w14:paraId="626C7E0D">
      <w:pPr>
        <w:pStyle w:val="47"/>
        <w:keepNext w:val="0"/>
        <w:keepLines w:val="0"/>
        <w:pageBreakBefore w:val="0"/>
        <w:widowControl/>
        <w:kinsoku/>
        <w:wordWrap/>
        <w:overflowPunct/>
        <w:topLinePunct w:val="0"/>
        <w:autoSpaceDE/>
        <w:autoSpaceDN/>
        <w:bidi w:val="0"/>
        <w:adjustRightInd w:val="0"/>
        <w:snapToGrid/>
        <w:spacing w:before="0" w:after="0" w:line="360" w:lineRule="auto"/>
        <w:ind w:firstLine="560" w:firstLineChars="200"/>
        <w:jc w:val="both"/>
        <w:textAlignment w:val="auto"/>
        <w:rPr>
          <w:rFonts w:hint="eastAsia" w:eastAsia="仿宋"/>
          <w:highlight w:val="none"/>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lang w:val="en-US" w:eastAsia="zh-CN"/>
        </w:rPr>
        <w:t>供应商应具有独立承担民事责任的能力且具备向采购人提供相关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仿宋" w:hAnsi="仿宋" w:eastAsia="仿宋" w:cs="仿宋"/>
          <w:szCs w:val="28"/>
          <w:highlight w:val="none"/>
          <w:lang w:eastAsia="zh-CN"/>
        </w:rPr>
        <w:t>。</w:t>
      </w:r>
    </w:p>
    <w:p w14:paraId="0C9AD240">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b/>
          <w:bCs/>
          <w:sz w:val="28"/>
          <w:szCs w:val="28"/>
          <w:highlight w:val="none"/>
          <w:lang w:val="en-US" w:eastAsia="zh-CN"/>
        </w:rPr>
      </w:pPr>
      <w:bookmarkStart w:id="200" w:name="_Toc28074"/>
      <w:bookmarkStart w:id="201" w:name="_Toc31187"/>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_Toc3988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供</w:t>
      </w:r>
      <w:r>
        <w:rPr>
          <w:rFonts w:hint="eastAsia" w:ascii="仿宋" w:hAnsi="仿宋" w:eastAsia="仿宋" w:cs="仿宋"/>
          <w:b/>
          <w:bCs/>
          <w:sz w:val="28"/>
          <w:szCs w:val="28"/>
          <w:highlight w:val="none"/>
          <w:lang w:eastAsia="zh-CN"/>
        </w:rPr>
        <w:t>应商授权合法的人员参加投标全过程</w:t>
      </w:r>
      <w:r>
        <w:rPr>
          <w:rFonts w:hint="eastAsia" w:ascii="仿宋" w:hAnsi="仿宋" w:eastAsia="仿宋" w:cs="仿宋"/>
          <w:b/>
          <w:bCs/>
          <w:sz w:val="28"/>
          <w:szCs w:val="28"/>
          <w:highlight w:val="none"/>
          <w:lang w:val="en-US" w:eastAsia="zh-CN"/>
        </w:rPr>
        <w:fldChar w:fldCharType="end"/>
      </w:r>
      <w:bookmarkEnd w:id="200"/>
      <w:bookmarkEnd w:id="201"/>
    </w:p>
    <w:p w14:paraId="014880A9">
      <w:pPr>
        <w:pStyle w:val="52"/>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2.1</w:t>
      </w:r>
      <w:r>
        <w:rPr>
          <w:rFonts w:hint="eastAsia" w:ascii="仿宋" w:hAnsi="仿宋" w:eastAsia="仿宋" w:cs="仿宋"/>
          <w:b/>
          <w:bCs/>
          <w:sz w:val="28"/>
          <w:szCs w:val="28"/>
          <w:highlight w:val="none"/>
        </w:rPr>
        <w:t>法定代表人身份证明书</w:t>
      </w:r>
    </w:p>
    <w:p w14:paraId="4C9FD6C6">
      <w:pPr>
        <w:pStyle w:val="52"/>
        <w:spacing w:line="500" w:lineRule="atLeast"/>
        <w:ind w:firstLine="560" w:firstLineChars="200"/>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 </w:t>
      </w:r>
    </w:p>
    <w:p w14:paraId="1E579763">
      <w:pPr>
        <w:pStyle w:val="52"/>
        <w:spacing w:line="500" w:lineRule="atLeas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 </w:t>
      </w:r>
    </w:p>
    <w:p w14:paraId="4EE8392D">
      <w:pPr>
        <w:pStyle w:val="52"/>
        <w:spacing w:line="5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 </w:t>
      </w:r>
    </w:p>
    <w:p w14:paraId="07A1F434">
      <w:pPr>
        <w:pStyle w:val="52"/>
        <w:spacing w:line="5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9F09C36">
      <w:pPr>
        <w:pStyle w:val="52"/>
        <w:spacing w:line="5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2EDE77CD">
      <w:pPr>
        <w:pStyle w:val="52"/>
        <w:spacing w:line="5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         </w:t>
      </w:r>
    </w:p>
    <w:p w14:paraId="0D5A6397">
      <w:pPr>
        <w:pStyle w:val="52"/>
        <w:spacing w:line="500" w:lineRule="atLeas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的法定代表人。</w:t>
      </w:r>
    </w:p>
    <w:p w14:paraId="2067F94F">
      <w:pPr>
        <w:pStyle w:val="5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p>
    <w:p w14:paraId="0C04C788">
      <w:pPr>
        <w:pStyle w:val="5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7FCCB0A7">
      <w:pPr>
        <w:pStyle w:val="52"/>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p>
    <w:p w14:paraId="3D11DE39">
      <w:pPr>
        <w:pStyle w:val="52"/>
        <w:spacing w:line="5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14:paraId="66C9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120" w:type="dxa"/>
            <w:noWrap w:val="0"/>
            <w:vAlign w:val="center"/>
          </w:tcPr>
          <w:p w14:paraId="06A9CA71">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297070A5">
            <w:pPr>
              <w:adjustRightInd w:val="0"/>
              <w:snapToGrid w:val="0"/>
              <w:spacing w:line="500" w:lineRule="atLeast"/>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正反面</w:t>
            </w:r>
          </w:p>
        </w:tc>
      </w:tr>
    </w:tbl>
    <w:p w14:paraId="527E0005">
      <w:pPr>
        <w:pStyle w:val="52"/>
        <w:spacing w:line="500" w:lineRule="atLeast"/>
        <w:rPr>
          <w:rFonts w:hint="eastAsia" w:ascii="仿宋" w:hAnsi="仿宋" w:eastAsia="仿宋" w:cs="仿宋"/>
          <w:sz w:val="28"/>
          <w:szCs w:val="28"/>
          <w:highlight w:val="none"/>
        </w:rPr>
      </w:pPr>
    </w:p>
    <w:p w14:paraId="53E3DDB4">
      <w:pPr>
        <w:pStyle w:val="52"/>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（公章）</w:t>
      </w:r>
    </w:p>
    <w:p w14:paraId="636FAEF3">
      <w:pPr>
        <w:pStyle w:val="5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highlight w:val="none"/>
        </w:rPr>
      </w:pPr>
    </w:p>
    <w:p w14:paraId="3CB53DA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8918E7E">
      <w:pPr>
        <w:spacing w:line="500" w:lineRule="atLeast"/>
        <w:jc w:val="center"/>
        <w:rPr>
          <w:rFonts w:hint="eastAsia" w:ascii="仿宋" w:hAnsi="仿宋" w:eastAsia="仿宋" w:cs="仿宋"/>
          <w:b/>
          <w:bCs/>
          <w:sz w:val="28"/>
          <w:szCs w:val="28"/>
          <w:highlight w:val="none"/>
        </w:rPr>
      </w:pPr>
    </w:p>
    <w:p w14:paraId="5C12789E">
      <w:pPr>
        <w:pStyle w:val="9"/>
        <w:rPr>
          <w:rFonts w:hint="eastAsia"/>
          <w:highlight w:val="none"/>
        </w:rPr>
      </w:pPr>
    </w:p>
    <w:p w14:paraId="55F66D11">
      <w:pPr>
        <w:spacing w:line="500" w:lineRule="atLeas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2.2</w:t>
      </w:r>
      <w:r>
        <w:rPr>
          <w:rFonts w:hint="eastAsia" w:ascii="仿宋" w:hAnsi="仿宋" w:eastAsia="仿宋" w:cs="仿宋"/>
          <w:b/>
          <w:bCs/>
          <w:sz w:val="28"/>
          <w:szCs w:val="28"/>
          <w:highlight w:val="none"/>
        </w:rPr>
        <w:t>法定代表人授权委托书</w:t>
      </w:r>
    </w:p>
    <w:p w14:paraId="076A558A">
      <w:pPr>
        <w:adjustRightInd w:val="0"/>
        <w:snapToGrid w:val="0"/>
        <w:spacing w:line="5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注册于</w:t>
      </w:r>
      <w:r>
        <w:rPr>
          <w:rFonts w:hint="eastAsia" w:ascii="仿宋" w:hAnsi="仿宋" w:eastAsia="仿宋" w:cs="仿宋"/>
          <w:sz w:val="28"/>
          <w:szCs w:val="28"/>
          <w:highlight w:val="none"/>
          <w:u w:val="single"/>
        </w:rPr>
        <w:t>（工商行政管理局名称）</w:t>
      </w:r>
      <w:r>
        <w:rPr>
          <w:rFonts w:hint="eastAsia" w:ascii="仿宋" w:hAnsi="仿宋" w:eastAsia="仿宋" w:cs="仿宋"/>
          <w:sz w:val="28"/>
          <w:szCs w:val="28"/>
          <w:highlight w:val="none"/>
        </w:rPr>
        <w:t>之</w:t>
      </w:r>
      <w:r>
        <w:rPr>
          <w:rFonts w:hint="eastAsia" w:ascii="仿宋" w:hAnsi="仿宋" w:eastAsia="仿宋" w:cs="仿宋"/>
          <w:sz w:val="28"/>
          <w:szCs w:val="28"/>
          <w:highlight w:val="none"/>
          <w:u w:val="single"/>
        </w:rPr>
        <w:t>（供应商全称）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（姓名、职务）</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（被授权委托人姓名、职务）</w:t>
      </w:r>
      <w:r>
        <w:rPr>
          <w:rFonts w:hint="eastAsia" w:ascii="仿宋" w:hAnsi="仿宋" w:eastAsia="仿宋" w:cs="仿宋"/>
          <w:sz w:val="28"/>
          <w:szCs w:val="28"/>
          <w:highlight w:val="none"/>
        </w:rPr>
        <w:t>为本公司的合法代理人，就</w:t>
      </w:r>
      <w:r>
        <w:rPr>
          <w:rFonts w:hint="eastAsia" w:ascii="仿宋" w:hAnsi="仿宋" w:eastAsia="仿宋" w:cs="仿宋"/>
          <w:sz w:val="28"/>
          <w:szCs w:val="28"/>
          <w:highlight w:val="none"/>
          <w:u w:val="single"/>
        </w:rPr>
        <w:t>（项目名称）</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及合同的执行和完成，以本公司的名义处理一切与之有关的事宜。</w:t>
      </w:r>
    </w:p>
    <w:p w14:paraId="4F14BA2D">
      <w:pPr>
        <w:adjustRightInd w:val="0"/>
        <w:snapToGrid w:val="0"/>
        <w:spacing w:line="500" w:lineRule="atLeas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附：被授权委托人姓名：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p>
    <w:p w14:paraId="4E2A935D">
      <w:pPr>
        <w:adjustRightInd w:val="0"/>
        <w:snapToGrid w:val="0"/>
        <w:spacing w:line="500" w:lineRule="atLeast"/>
        <w:ind w:firstLine="630"/>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63BE2FE1">
      <w:pPr>
        <w:adjustRightInd w:val="0"/>
        <w:snapToGrid w:val="0"/>
        <w:spacing w:line="500" w:lineRule="atLeast"/>
        <w:ind w:firstLine="63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通讯地址：</w:t>
      </w:r>
      <w:r>
        <w:rPr>
          <w:rFonts w:hint="eastAsia" w:ascii="仿宋" w:hAnsi="仿宋" w:eastAsia="仿宋" w:cs="仿宋"/>
          <w:sz w:val="28"/>
          <w:szCs w:val="28"/>
          <w:highlight w:val="none"/>
          <w:u w:val="single"/>
        </w:rPr>
        <w:t xml:space="preserve">                                          .</w:t>
      </w:r>
    </w:p>
    <w:p w14:paraId="5F8B31CA">
      <w:pPr>
        <w:adjustRightInd w:val="0"/>
        <w:snapToGrid w:val="0"/>
        <w:spacing w:line="500" w:lineRule="atLeast"/>
        <w:ind w:firstLine="63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邮政编码：</w:t>
      </w:r>
      <w:r>
        <w:rPr>
          <w:rFonts w:hint="eastAsia" w:ascii="仿宋" w:hAnsi="仿宋" w:eastAsia="仿宋" w:cs="仿宋"/>
          <w:sz w:val="28"/>
          <w:szCs w:val="28"/>
          <w:highlight w:val="none"/>
          <w:u w:val="single"/>
        </w:rPr>
        <w:t xml:space="preserve">                                          .</w:t>
      </w:r>
    </w:p>
    <w:p w14:paraId="7DA8CB1C">
      <w:pPr>
        <w:adjustRightInd w:val="0"/>
        <w:snapToGrid w:val="0"/>
        <w:spacing w:line="500" w:lineRule="atLeast"/>
        <w:ind w:firstLine="63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xml:space="preserve">               .</w:t>
      </w:r>
    </w:p>
    <w:p w14:paraId="09536555">
      <w:pPr>
        <w:adjustRightInd w:val="0"/>
        <w:snapToGrid w:val="0"/>
        <w:spacing w:line="500" w:lineRule="atLeast"/>
        <w:ind w:firstLine="630"/>
        <w:rPr>
          <w:rFonts w:hint="eastAsia" w:ascii="仿宋" w:hAnsi="仿宋" w:eastAsia="仿宋" w:cs="仿宋"/>
          <w:sz w:val="28"/>
          <w:szCs w:val="28"/>
          <w:highlight w:val="none"/>
        </w:rPr>
      </w:pPr>
    </w:p>
    <w:p w14:paraId="21DC0BD0">
      <w:pPr>
        <w:adjustRightInd w:val="0"/>
        <w:snapToGrid w:val="0"/>
        <w:spacing w:line="500" w:lineRule="atLeast"/>
        <w:ind w:firstLine="63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被授权委托人身份证复印件</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1"/>
      </w:tblGrid>
      <w:tr w14:paraId="11FC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4719" w:type="dxa"/>
            <w:noWrap w:val="0"/>
            <w:vAlign w:val="center"/>
          </w:tcPr>
          <w:p w14:paraId="6D6EE7B2">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467AAF2A">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c>
          <w:tcPr>
            <w:tcW w:w="4721" w:type="dxa"/>
            <w:noWrap w:val="0"/>
            <w:vAlign w:val="center"/>
          </w:tcPr>
          <w:p w14:paraId="1F21910B">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被授权委托人身份证复印件</w:t>
            </w:r>
          </w:p>
          <w:p w14:paraId="3F9D1D27">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r>
    </w:tbl>
    <w:p w14:paraId="39F9A654">
      <w:pPr>
        <w:adjustRightInd w:val="0"/>
        <w:snapToGrid w:val="0"/>
        <w:spacing w:line="500" w:lineRule="atLeast"/>
        <w:ind w:firstLine="630"/>
        <w:rPr>
          <w:rFonts w:hint="eastAsia" w:ascii="仿宋" w:hAnsi="仿宋" w:eastAsia="仿宋" w:cs="仿宋"/>
          <w:sz w:val="28"/>
          <w:szCs w:val="28"/>
          <w:highlight w:val="none"/>
        </w:rPr>
      </w:pPr>
    </w:p>
    <w:p w14:paraId="2FD260A0">
      <w:pPr>
        <w:adjustRightInd w:val="0"/>
        <w:snapToGrid w:val="0"/>
        <w:spacing w:line="500" w:lineRule="atLeast"/>
        <w:rPr>
          <w:rFonts w:hint="eastAsia" w:ascii="仿宋" w:hAnsi="仿宋" w:eastAsia="仿宋" w:cs="仿宋"/>
          <w:sz w:val="28"/>
          <w:szCs w:val="28"/>
          <w:highlight w:val="none"/>
        </w:rPr>
      </w:pPr>
    </w:p>
    <w:p w14:paraId="64622944">
      <w:pPr>
        <w:adjustRightInd w:val="0"/>
        <w:snapToGrid w:val="0"/>
        <w:spacing w:line="500" w:lineRule="atLeast"/>
        <w:ind w:firstLine="63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14:paraId="7BD3CEE7">
      <w:pPr>
        <w:adjustRightInd w:val="0"/>
        <w:snapToGrid w:val="0"/>
        <w:spacing w:line="500" w:lineRule="atLeast"/>
        <w:ind w:firstLine="63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68DC5E97">
      <w:pPr>
        <w:adjustRightInd w:val="0"/>
        <w:snapToGrid w:val="0"/>
        <w:spacing w:line="500" w:lineRule="atLeast"/>
        <w:ind w:firstLine="630"/>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      字）</w:t>
      </w:r>
    </w:p>
    <w:p w14:paraId="4F3BDD25">
      <w:pPr>
        <w:spacing w:line="500" w:lineRule="atLeast"/>
        <w:ind w:firstLine="560" w:firstLineChars="200"/>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授权日期：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F5D764E">
      <w:pPr>
        <w:rPr>
          <w:highlight w:val="none"/>
        </w:rPr>
      </w:pPr>
    </w:p>
    <w:p w14:paraId="140F5AF4">
      <w:pPr>
        <w:jc w:val="center"/>
        <w:rPr>
          <w:rFonts w:hint="eastAsia" w:ascii="仿宋" w:hAnsi="仿宋" w:eastAsia="仿宋" w:cs="仿宋"/>
          <w:highlight w:val="none"/>
        </w:rPr>
      </w:pPr>
      <w:r>
        <w:rPr>
          <w:rFonts w:hint="eastAsia" w:ascii="仿宋" w:hAnsi="仿宋" w:eastAsia="仿宋" w:cs="仿宋"/>
          <w:b/>
          <w:bCs/>
          <w:sz w:val="28"/>
          <w:szCs w:val="28"/>
          <w:highlight w:val="none"/>
        </w:rPr>
        <w:t>（注：本授权有效期为自授权之日起至投标有效期结束之日止）</w:t>
      </w:r>
    </w:p>
    <w:p w14:paraId="2A0C424E">
      <w:pPr>
        <w:rPr>
          <w:rFonts w:hint="eastAsia"/>
          <w:highlight w:val="none"/>
        </w:rPr>
        <w:sectPr>
          <w:footerReference r:id="rId8" w:type="default"/>
          <w:pgSz w:w="11906" w:h="16838"/>
          <w:pgMar w:top="1440" w:right="1080" w:bottom="1440" w:left="1080" w:header="851" w:footer="992" w:gutter="0"/>
          <w:pgNumType w:fmt="decimal"/>
          <w:cols w:space="425" w:num="1"/>
          <w:docGrid w:type="lines" w:linePitch="312" w:charSpace="0"/>
        </w:sectPr>
      </w:pPr>
    </w:p>
    <w:p w14:paraId="5968461C">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b/>
          <w:bCs/>
          <w:sz w:val="28"/>
          <w:szCs w:val="28"/>
          <w:highlight w:val="none"/>
          <w:lang w:val="en-US" w:eastAsia="zh-CN"/>
        </w:rPr>
      </w:pPr>
      <w:bookmarkStart w:id="202" w:name="_Toc25190"/>
      <w:bookmarkStart w:id="203" w:name="_Toc8249"/>
      <w:r>
        <w:rPr>
          <w:rFonts w:hint="eastAsia" w:ascii="仿宋" w:hAnsi="仿宋" w:eastAsia="仿宋" w:cs="仿宋"/>
          <w:b/>
          <w:bCs/>
          <w:sz w:val="28"/>
          <w:szCs w:val="28"/>
          <w:highlight w:val="none"/>
          <w:lang w:val="en-US" w:eastAsia="zh-CN"/>
        </w:rPr>
        <w:t>3、供应商具有良好的商业信誉和健全的财务会计制度</w:t>
      </w:r>
      <w:bookmarkEnd w:id="202"/>
      <w:bookmarkEnd w:id="203"/>
    </w:p>
    <w:p w14:paraId="730A6CA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eastAsia="仿宋"/>
          <w:highlight w:val="none"/>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3或2024</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r>
        <w:rPr>
          <w:rFonts w:hint="eastAsia" w:ascii="仿宋" w:hAnsi="仿宋" w:eastAsia="仿宋" w:cs="仿宋"/>
          <w:sz w:val="28"/>
          <w:szCs w:val="28"/>
          <w:highlight w:val="none"/>
          <w:lang w:eastAsia="zh-CN"/>
        </w:rPr>
        <w:t>。</w:t>
      </w:r>
    </w:p>
    <w:p w14:paraId="315AA645">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b/>
          <w:bCs/>
          <w:sz w:val="28"/>
          <w:szCs w:val="28"/>
          <w:highlight w:val="none"/>
          <w:lang w:val="en-US" w:eastAsia="zh-CN"/>
        </w:rPr>
      </w:pPr>
      <w:bookmarkStart w:id="204" w:name="_Toc28455"/>
      <w:bookmarkStart w:id="205" w:name="_Toc12688"/>
      <w:r>
        <w:rPr>
          <w:rFonts w:hint="eastAsia" w:ascii="仿宋" w:hAnsi="仿宋" w:eastAsia="仿宋" w:cs="仿宋"/>
          <w:b/>
          <w:bCs/>
          <w:sz w:val="28"/>
          <w:szCs w:val="28"/>
          <w:highlight w:val="none"/>
          <w:lang w:val="en-US" w:eastAsia="zh-CN"/>
        </w:rPr>
        <w:t>4、供应商有依法缴纳税收和社会保障资金的良好记录</w:t>
      </w:r>
      <w:bookmarkEnd w:id="204"/>
      <w:bookmarkEnd w:id="205"/>
    </w:p>
    <w:p w14:paraId="060C3FF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rPr>
        <w:t>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注：依法免税或不需要缴纳社会保险的供应商提供相关部门出具的证明文件</w:t>
      </w:r>
      <w:r>
        <w:rPr>
          <w:rFonts w:hint="eastAsia" w:ascii="仿宋" w:hAnsi="仿宋" w:eastAsia="仿宋" w:cs="仿宋"/>
          <w:sz w:val="28"/>
          <w:szCs w:val="28"/>
          <w:highlight w:val="none"/>
          <w:lang w:eastAsia="zh-CN"/>
        </w:rPr>
        <w:t>。</w:t>
      </w:r>
    </w:p>
    <w:p w14:paraId="74D1EA9A">
      <w:pPr>
        <w:rPr>
          <w:rFonts w:hint="eastAsia"/>
          <w:highlight w:val="none"/>
        </w:rPr>
        <w:sectPr>
          <w:pgSz w:w="11906" w:h="16838"/>
          <w:pgMar w:top="1440" w:right="1080" w:bottom="1440" w:left="1080" w:header="851" w:footer="992" w:gutter="0"/>
          <w:pgNumType w:fmt="decimal"/>
          <w:cols w:space="425" w:num="1"/>
          <w:docGrid w:type="lines" w:linePitch="312" w:charSpace="0"/>
        </w:sectPr>
      </w:pPr>
    </w:p>
    <w:p w14:paraId="454C252E">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b/>
          <w:bCs/>
          <w:sz w:val="28"/>
          <w:szCs w:val="28"/>
          <w:highlight w:val="none"/>
          <w:lang w:val="en-US" w:eastAsia="zh-CN"/>
        </w:rPr>
      </w:pPr>
      <w:bookmarkStart w:id="206" w:name="_Toc16043"/>
      <w:bookmarkStart w:id="207" w:name="_Toc13987"/>
      <w:r>
        <w:rPr>
          <w:rFonts w:hint="eastAsia" w:ascii="仿宋" w:hAnsi="仿宋" w:eastAsia="仿宋" w:cs="仿宋"/>
          <w:b/>
          <w:bCs/>
          <w:sz w:val="28"/>
          <w:szCs w:val="28"/>
          <w:highlight w:val="none"/>
          <w:lang w:val="en-US" w:eastAsia="zh-CN"/>
        </w:rPr>
        <w:t>5、供应商具有履行合同所必需的设备和专业技术能力</w:t>
      </w:r>
      <w:bookmarkEnd w:id="206"/>
      <w:bookmarkEnd w:id="207"/>
    </w:p>
    <w:p w14:paraId="6CE1915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lang w:val="en-US" w:eastAsia="zh-CN"/>
        </w:rPr>
        <w:t>提供具有履行合同所必需的设备和专业技术能力的承诺。</w:t>
      </w:r>
    </w:p>
    <w:p w14:paraId="3836714D">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jc w:val="center"/>
        <w:textAlignment w:val="auto"/>
        <w:outlineLvl w:val="3"/>
        <w:rPr>
          <w:rFonts w:hint="eastAsia" w:ascii="仿宋" w:hAnsi="仿宋" w:eastAsia="仿宋" w:cs="仿宋"/>
          <w:b/>
          <w:bCs/>
          <w:sz w:val="28"/>
          <w:szCs w:val="28"/>
          <w:highlight w:val="none"/>
          <w:lang w:val="en-US" w:eastAsia="zh-CN"/>
        </w:rPr>
      </w:pPr>
      <w:bookmarkStart w:id="208" w:name="_Toc21288"/>
      <w:bookmarkStart w:id="209" w:name="_Toc8096"/>
      <w:r>
        <w:rPr>
          <w:rFonts w:hint="eastAsia" w:ascii="仿宋" w:hAnsi="仿宋" w:eastAsia="仿宋" w:cs="仿宋"/>
          <w:b/>
          <w:bCs/>
          <w:sz w:val="28"/>
          <w:szCs w:val="28"/>
          <w:highlight w:val="none"/>
          <w:lang w:val="en-US" w:eastAsia="zh-CN"/>
        </w:rPr>
        <w:t>6、供应商参加政府采购活动前三年内，在经营活动中没有重大违法记录</w:t>
      </w:r>
      <w:bookmarkEnd w:id="208"/>
      <w:bookmarkEnd w:id="209"/>
    </w:p>
    <w:p w14:paraId="5195FB32">
      <w:pPr>
        <w:pStyle w:val="23"/>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560" w:firstLineChars="200"/>
        <w:textAlignment w:val="auto"/>
        <w:rPr>
          <w:rFonts w:hint="eastAsia" w:eastAsia="仿宋"/>
          <w:highlight w:val="none"/>
          <w:lang w:eastAsia="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sz w:val="28"/>
          <w:szCs w:val="28"/>
          <w:highlight w:val="none"/>
        </w:rPr>
        <w:t>提供参加政府采购活动前3年内在经营活动中没有重大违法记录的书面声明</w:t>
      </w:r>
      <w:r>
        <w:rPr>
          <w:rFonts w:hint="eastAsia" w:ascii="仿宋" w:hAnsi="仿宋" w:eastAsia="仿宋" w:cs="仿宋"/>
          <w:sz w:val="28"/>
          <w:szCs w:val="28"/>
          <w:highlight w:val="none"/>
          <w:lang w:eastAsia="zh-CN"/>
        </w:rPr>
        <w:t>。</w:t>
      </w:r>
    </w:p>
    <w:p w14:paraId="5DCE7DD8">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outlineLvl w:val="3"/>
        <w:rPr>
          <w:rFonts w:hint="eastAsia" w:ascii="仿宋" w:hAnsi="仿宋" w:eastAsia="仿宋" w:cs="仿宋"/>
          <w:b/>
          <w:bCs/>
          <w:kern w:val="2"/>
          <w:sz w:val="28"/>
          <w:szCs w:val="28"/>
          <w:highlight w:val="none"/>
          <w:lang w:val="en-US" w:eastAsia="zh-CN" w:bidi="ar-SA"/>
        </w:rPr>
      </w:pPr>
      <w:bookmarkStart w:id="210" w:name="_Toc212"/>
      <w:bookmarkStart w:id="211" w:name="_Toc5377"/>
      <w:bookmarkStart w:id="212" w:name="_Toc26697"/>
      <w:bookmarkStart w:id="213" w:name="_Toc24274"/>
      <w:bookmarkStart w:id="214" w:name="_Toc20720"/>
      <w:bookmarkStart w:id="215" w:name="_Toc28906"/>
      <w:bookmarkStart w:id="216" w:name="_Toc14273"/>
      <w:bookmarkStart w:id="217" w:name="_Toc1864"/>
      <w:bookmarkStart w:id="218" w:name="_Toc1078"/>
      <w:bookmarkStart w:id="219" w:name="_Toc18603"/>
      <w:bookmarkStart w:id="220" w:name="_Toc12163"/>
      <w:bookmarkStart w:id="221" w:name="_Toc19511"/>
      <w:bookmarkStart w:id="222" w:name="_Toc31252"/>
      <w:r>
        <w:rPr>
          <w:rFonts w:hint="eastAsia" w:ascii="仿宋" w:hAnsi="仿宋" w:cs="仿宋"/>
          <w:b/>
          <w:bCs/>
          <w:kern w:val="2"/>
          <w:sz w:val="28"/>
          <w:szCs w:val="28"/>
          <w:highlight w:val="none"/>
          <w:lang w:val="en-US" w:eastAsia="zh-CN" w:bidi="ar-SA"/>
        </w:rPr>
        <w:t>7</w:t>
      </w:r>
      <w:r>
        <w:rPr>
          <w:rFonts w:hint="eastAsia" w:ascii="仿宋" w:hAnsi="仿宋" w:eastAsia="仿宋" w:cs="仿宋"/>
          <w:b/>
          <w:bCs/>
          <w:kern w:val="2"/>
          <w:sz w:val="28"/>
          <w:szCs w:val="28"/>
          <w:highlight w:val="none"/>
          <w:lang w:val="en-US" w:eastAsia="zh-CN" w:bidi="ar-SA"/>
        </w:rPr>
        <w:t>、</w:t>
      </w:r>
      <w:bookmarkEnd w:id="210"/>
      <w:bookmarkEnd w:id="211"/>
      <w:bookmarkEnd w:id="212"/>
      <w:bookmarkEnd w:id="213"/>
      <w:bookmarkEnd w:id="214"/>
      <w:bookmarkEnd w:id="215"/>
      <w:bookmarkEnd w:id="216"/>
      <w:bookmarkEnd w:id="217"/>
      <w:bookmarkEnd w:id="218"/>
      <w:bookmarkEnd w:id="219"/>
      <w:bookmarkEnd w:id="220"/>
      <w:r>
        <w:rPr>
          <w:rFonts w:hint="eastAsia" w:ascii="仿宋" w:hAnsi="仿宋" w:cs="仿宋"/>
          <w:b/>
          <w:bCs/>
          <w:kern w:val="2"/>
          <w:sz w:val="28"/>
          <w:szCs w:val="28"/>
          <w:highlight w:val="none"/>
          <w:lang w:val="en-US" w:eastAsia="zh-CN" w:bidi="ar-SA"/>
        </w:rPr>
        <w:t>投标承诺</w:t>
      </w:r>
      <w:bookmarkEnd w:id="221"/>
      <w:bookmarkEnd w:id="222"/>
    </w:p>
    <w:p w14:paraId="2AFD3BB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jc w:val="both"/>
        <w:textAlignment w:val="auto"/>
        <w:outlineLvl w:val="9"/>
        <w:rPr>
          <w:rFonts w:hint="eastAsia" w:ascii="仿宋" w:hAnsi="仿宋" w:cs="仿宋"/>
          <w:b/>
          <w:bCs/>
          <w:kern w:val="2"/>
          <w:sz w:val="28"/>
          <w:szCs w:val="28"/>
          <w:highlight w:val="none"/>
          <w:lang w:val="en-US" w:eastAsia="zh-CN"/>
        </w:rPr>
      </w:pP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r>
        <w:rPr>
          <w:rFonts w:hint="eastAsia" w:ascii="仿宋" w:hAnsi="仿宋" w:cs="仿宋"/>
          <w:kern w:val="0"/>
          <w:sz w:val="28"/>
          <w:szCs w:val="28"/>
          <w:highlight w:val="none"/>
          <w:lang w:eastAsia="zh-CN"/>
        </w:rPr>
        <w:t>。</w:t>
      </w:r>
    </w:p>
    <w:p w14:paraId="6F55F91F">
      <w:pPr>
        <w:pStyle w:val="18"/>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仿宋" w:hAnsi="仿宋" w:cs="仿宋"/>
          <w:b/>
          <w:bCs/>
          <w:color w:val="auto"/>
          <w:sz w:val="28"/>
          <w:szCs w:val="28"/>
          <w:highlight w:val="none"/>
          <w:lang w:val="en-US" w:eastAsia="zh-CN"/>
        </w:rPr>
        <w:sectPr>
          <w:footerReference r:id="rId9" w:type="default"/>
          <w:pgSz w:w="11906" w:h="16838"/>
          <w:pgMar w:top="1440" w:right="1080" w:bottom="1440" w:left="1080" w:header="851" w:footer="992" w:gutter="0"/>
          <w:pgNumType w:fmt="decimal"/>
          <w:cols w:space="425" w:num="1"/>
          <w:docGrid w:type="lines" w:linePitch="312" w:charSpace="0"/>
        </w:sectPr>
      </w:pPr>
    </w:p>
    <w:p w14:paraId="5A58DD7B">
      <w:pPr>
        <w:pStyle w:val="18"/>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仿宋" w:hAnsi="仿宋" w:eastAsia="仿宋" w:cs="仿宋"/>
          <w:b/>
          <w:kern w:val="0"/>
          <w:sz w:val="28"/>
          <w:szCs w:val="28"/>
          <w:highlight w:val="none"/>
          <w:lang w:eastAsia="zh-CN"/>
        </w:rPr>
      </w:pPr>
      <w:bookmarkStart w:id="223" w:name="_Toc17632"/>
      <w:bookmarkStart w:id="224" w:name="_Toc24380"/>
      <w:r>
        <w:rPr>
          <w:rFonts w:hint="eastAsia" w:ascii="仿宋" w:hAnsi="仿宋" w:cs="仿宋"/>
          <w:b/>
          <w:bCs/>
          <w:color w:val="auto"/>
          <w:sz w:val="28"/>
          <w:szCs w:val="28"/>
          <w:highlight w:val="none"/>
          <w:lang w:val="en-US" w:eastAsia="zh-CN"/>
        </w:rPr>
        <w:t>8、供应商认为有必要提供而增加其竞争性的其它资料</w:t>
      </w:r>
      <w:bookmarkEnd w:id="223"/>
      <w:bookmarkEnd w:id="224"/>
    </w:p>
    <w:p w14:paraId="2B5BF684">
      <w:pPr>
        <w:pStyle w:val="18"/>
        <w:rPr>
          <w:rFonts w:hint="eastAsia" w:ascii="仿宋" w:hAnsi="仿宋" w:eastAsia="仿宋" w:cs="仿宋"/>
          <w:b/>
          <w:kern w:val="0"/>
          <w:sz w:val="44"/>
          <w:szCs w:val="44"/>
          <w:highlight w:val="none"/>
        </w:rPr>
      </w:pPr>
    </w:p>
    <w:p w14:paraId="02A86467">
      <w:pPr>
        <w:pStyle w:val="18"/>
        <w:rPr>
          <w:rFonts w:hint="eastAsia" w:ascii="仿宋" w:hAnsi="仿宋" w:eastAsia="仿宋" w:cs="仿宋"/>
          <w:b/>
          <w:kern w:val="0"/>
          <w:sz w:val="44"/>
          <w:szCs w:val="44"/>
          <w:highlight w:val="none"/>
        </w:rPr>
      </w:pPr>
    </w:p>
    <w:p w14:paraId="1EBEFD49">
      <w:pPr>
        <w:pStyle w:val="18"/>
        <w:rPr>
          <w:rFonts w:hint="eastAsia" w:ascii="仿宋" w:hAnsi="仿宋" w:eastAsia="仿宋" w:cs="仿宋"/>
          <w:b/>
          <w:kern w:val="0"/>
          <w:sz w:val="44"/>
          <w:szCs w:val="44"/>
          <w:highlight w:val="none"/>
        </w:rPr>
      </w:pPr>
    </w:p>
    <w:p w14:paraId="7A3AEE9B">
      <w:pPr>
        <w:pStyle w:val="18"/>
        <w:rPr>
          <w:rFonts w:hint="eastAsia" w:ascii="仿宋" w:hAnsi="仿宋" w:cs="仿宋"/>
          <w:b/>
          <w:kern w:val="0"/>
          <w:sz w:val="44"/>
          <w:szCs w:val="44"/>
          <w:highlight w:val="none"/>
          <w:lang w:eastAsia="zh-CN"/>
        </w:rPr>
      </w:pPr>
    </w:p>
    <w:p w14:paraId="0BB26A58">
      <w:pPr>
        <w:pStyle w:val="18"/>
        <w:rPr>
          <w:rFonts w:hint="eastAsia" w:ascii="仿宋" w:hAnsi="仿宋" w:cs="仿宋"/>
          <w:b/>
          <w:kern w:val="0"/>
          <w:sz w:val="44"/>
          <w:szCs w:val="44"/>
          <w:highlight w:val="none"/>
          <w:lang w:eastAsia="zh-CN"/>
        </w:rPr>
      </w:pPr>
    </w:p>
    <w:p w14:paraId="3B059440">
      <w:pPr>
        <w:pStyle w:val="18"/>
        <w:rPr>
          <w:rFonts w:hint="eastAsia" w:ascii="仿宋" w:hAnsi="仿宋" w:cs="仿宋"/>
          <w:b/>
          <w:kern w:val="0"/>
          <w:sz w:val="44"/>
          <w:szCs w:val="44"/>
          <w:highlight w:val="none"/>
          <w:lang w:eastAsia="zh-CN"/>
        </w:rPr>
      </w:pPr>
    </w:p>
    <w:p w14:paraId="1B5F79A6">
      <w:pPr>
        <w:pStyle w:val="18"/>
        <w:rPr>
          <w:rFonts w:hint="eastAsia" w:ascii="仿宋" w:hAnsi="仿宋" w:cs="仿宋"/>
          <w:b/>
          <w:kern w:val="0"/>
          <w:sz w:val="44"/>
          <w:szCs w:val="44"/>
          <w:highlight w:val="none"/>
          <w:lang w:eastAsia="zh-CN"/>
        </w:rPr>
      </w:pPr>
    </w:p>
    <w:p w14:paraId="7FAED0AE">
      <w:pPr>
        <w:pStyle w:val="18"/>
        <w:rPr>
          <w:rFonts w:hint="eastAsia" w:ascii="仿宋" w:hAnsi="仿宋" w:cs="仿宋"/>
          <w:b/>
          <w:kern w:val="0"/>
          <w:sz w:val="44"/>
          <w:szCs w:val="44"/>
          <w:highlight w:val="none"/>
          <w:lang w:eastAsia="zh-CN"/>
        </w:rPr>
      </w:pPr>
    </w:p>
    <w:p w14:paraId="37C6014E">
      <w:pPr>
        <w:pStyle w:val="18"/>
        <w:rPr>
          <w:rFonts w:hint="eastAsia" w:ascii="仿宋" w:hAnsi="仿宋" w:cs="仿宋"/>
          <w:b/>
          <w:kern w:val="0"/>
          <w:sz w:val="44"/>
          <w:szCs w:val="44"/>
          <w:highlight w:val="none"/>
          <w:lang w:eastAsia="zh-CN"/>
        </w:rPr>
      </w:pPr>
    </w:p>
    <w:p w14:paraId="5E445FE5">
      <w:pPr>
        <w:pStyle w:val="18"/>
        <w:rPr>
          <w:rFonts w:hint="eastAsia" w:ascii="仿宋" w:hAnsi="仿宋" w:cs="仿宋"/>
          <w:b/>
          <w:kern w:val="0"/>
          <w:sz w:val="44"/>
          <w:szCs w:val="44"/>
          <w:highlight w:val="none"/>
          <w:lang w:eastAsia="zh-CN"/>
        </w:rPr>
      </w:pPr>
    </w:p>
    <w:p w14:paraId="5D36F336">
      <w:pPr>
        <w:pStyle w:val="18"/>
        <w:rPr>
          <w:rFonts w:hint="eastAsia" w:ascii="仿宋" w:hAnsi="仿宋" w:cs="仿宋"/>
          <w:b/>
          <w:kern w:val="0"/>
          <w:sz w:val="44"/>
          <w:szCs w:val="44"/>
          <w:highlight w:val="none"/>
          <w:lang w:eastAsia="zh-CN"/>
        </w:rPr>
      </w:pPr>
    </w:p>
    <w:p w14:paraId="1E4F8C77">
      <w:pPr>
        <w:pStyle w:val="18"/>
        <w:rPr>
          <w:rFonts w:hint="eastAsia" w:ascii="仿宋" w:hAnsi="仿宋" w:cs="仿宋"/>
          <w:b/>
          <w:kern w:val="0"/>
          <w:sz w:val="44"/>
          <w:szCs w:val="44"/>
          <w:highlight w:val="none"/>
          <w:lang w:eastAsia="zh-CN"/>
        </w:rPr>
      </w:pPr>
    </w:p>
    <w:p w14:paraId="7DBBF696">
      <w:pPr>
        <w:rPr>
          <w:rFonts w:hint="eastAsia" w:ascii="仿宋" w:hAnsi="仿宋" w:cs="仿宋"/>
          <w:b/>
          <w:kern w:val="0"/>
          <w:sz w:val="44"/>
          <w:szCs w:val="44"/>
          <w:highlight w:val="none"/>
          <w:lang w:eastAsia="zh-CN"/>
        </w:rPr>
      </w:pPr>
    </w:p>
    <w:p w14:paraId="29475829">
      <w:pPr>
        <w:rPr>
          <w:rFonts w:hint="eastAsia" w:ascii="仿宋" w:hAnsi="仿宋" w:cs="仿宋"/>
          <w:b/>
          <w:kern w:val="0"/>
          <w:sz w:val="44"/>
          <w:szCs w:val="44"/>
          <w:highlight w:val="none"/>
          <w:lang w:eastAsia="zh-CN"/>
        </w:rPr>
      </w:pPr>
    </w:p>
    <w:p w14:paraId="64E9A627">
      <w:pPr>
        <w:rPr>
          <w:rFonts w:hint="eastAsia" w:ascii="仿宋" w:hAnsi="仿宋" w:cs="仿宋"/>
          <w:b/>
          <w:kern w:val="0"/>
          <w:sz w:val="44"/>
          <w:szCs w:val="44"/>
          <w:highlight w:val="none"/>
          <w:lang w:eastAsia="zh-CN"/>
        </w:rPr>
      </w:pPr>
    </w:p>
    <w:p w14:paraId="683F1255">
      <w:pPr>
        <w:pStyle w:val="18"/>
        <w:rPr>
          <w:rFonts w:hint="eastAsia" w:ascii="仿宋" w:hAnsi="仿宋" w:cs="仿宋"/>
          <w:b/>
          <w:kern w:val="0"/>
          <w:sz w:val="44"/>
          <w:szCs w:val="44"/>
          <w:highlight w:val="none"/>
          <w:lang w:eastAsia="zh-CN"/>
        </w:rPr>
      </w:pPr>
    </w:p>
    <w:p w14:paraId="11B3D3B1">
      <w:pPr>
        <w:pStyle w:val="18"/>
        <w:rPr>
          <w:rFonts w:hint="eastAsia" w:ascii="仿宋" w:hAnsi="仿宋" w:cs="仿宋"/>
          <w:b/>
          <w:kern w:val="0"/>
          <w:sz w:val="44"/>
          <w:szCs w:val="44"/>
          <w:highlight w:val="none"/>
          <w:lang w:eastAsia="zh-CN"/>
        </w:rPr>
      </w:pPr>
    </w:p>
    <w:p w14:paraId="60A73D0D">
      <w:pPr>
        <w:pStyle w:val="18"/>
        <w:rPr>
          <w:rFonts w:hint="eastAsia" w:ascii="仿宋" w:hAnsi="仿宋" w:cs="仿宋"/>
          <w:b/>
          <w:kern w:val="0"/>
          <w:sz w:val="44"/>
          <w:szCs w:val="44"/>
          <w:highlight w:val="none"/>
          <w:lang w:eastAsia="zh-CN"/>
        </w:rPr>
      </w:pPr>
    </w:p>
    <w:p w14:paraId="7FEB77AA">
      <w:pPr>
        <w:pStyle w:val="18"/>
        <w:rPr>
          <w:rFonts w:hint="eastAsia" w:ascii="仿宋" w:hAnsi="仿宋" w:cs="仿宋"/>
          <w:b/>
          <w:kern w:val="0"/>
          <w:sz w:val="44"/>
          <w:szCs w:val="44"/>
          <w:highlight w:val="none"/>
          <w:lang w:eastAsia="zh-CN"/>
        </w:rPr>
      </w:pPr>
    </w:p>
    <w:p w14:paraId="3F89739C">
      <w:pPr>
        <w:pStyle w:val="18"/>
        <w:rPr>
          <w:rFonts w:hint="eastAsia" w:ascii="仿宋" w:hAnsi="仿宋" w:cs="仿宋"/>
          <w:b/>
          <w:kern w:val="0"/>
          <w:sz w:val="44"/>
          <w:szCs w:val="44"/>
          <w:highlight w:val="none"/>
          <w:lang w:eastAsia="zh-CN"/>
        </w:rPr>
      </w:pPr>
    </w:p>
    <w:p w14:paraId="5A54B96E">
      <w:pPr>
        <w:pStyle w:val="18"/>
        <w:rPr>
          <w:rFonts w:hint="eastAsia" w:ascii="仿宋" w:hAnsi="仿宋" w:cs="仿宋"/>
          <w:b/>
          <w:kern w:val="0"/>
          <w:sz w:val="44"/>
          <w:szCs w:val="44"/>
          <w:highlight w:val="none"/>
          <w:lang w:eastAsia="zh-CN"/>
        </w:rPr>
      </w:pPr>
    </w:p>
    <w:p w14:paraId="3BE1ED89">
      <w:pPr>
        <w:pStyle w:val="18"/>
        <w:rPr>
          <w:rFonts w:hint="eastAsia" w:ascii="仿宋" w:hAnsi="仿宋" w:cs="仿宋"/>
          <w:b/>
          <w:kern w:val="0"/>
          <w:sz w:val="44"/>
          <w:szCs w:val="44"/>
          <w:highlight w:val="none"/>
          <w:lang w:eastAsia="zh-CN"/>
        </w:rPr>
      </w:pPr>
    </w:p>
    <w:p w14:paraId="6B8812AF">
      <w:pPr>
        <w:pStyle w:val="18"/>
        <w:rPr>
          <w:rFonts w:hint="eastAsia" w:ascii="仿宋" w:hAnsi="仿宋" w:cs="仿宋"/>
          <w:b/>
          <w:kern w:val="0"/>
          <w:sz w:val="44"/>
          <w:szCs w:val="44"/>
          <w:highlight w:val="none"/>
          <w:lang w:eastAsia="zh-CN"/>
        </w:rPr>
      </w:pPr>
    </w:p>
    <w:bookmarkEnd w:id="191"/>
    <w:tbl>
      <w:tblPr>
        <w:tblStyle w:val="31"/>
        <w:tblpPr w:leftFromText="180" w:rightFromText="180" w:vertAnchor="text" w:horzAnchor="page" w:tblpX="9086" w:tblpY="3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14:paraId="7180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14:paraId="3A0AACD2">
            <w:pPr>
              <w:spacing w:line="360" w:lineRule="auto"/>
              <w:jc w:val="center"/>
              <w:rPr>
                <w:rFonts w:ascii="仿宋" w:hAnsi="仿宋" w:eastAsia="仿宋" w:cs="仿宋"/>
                <w:b/>
                <w:sz w:val="40"/>
                <w:szCs w:val="44"/>
                <w:highlight w:val="none"/>
              </w:rPr>
            </w:pPr>
            <w:bookmarkStart w:id="225" w:name="_Toc19526"/>
            <w:bookmarkStart w:id="226" w:name="_Toc438541313"/>
            <w:bookmarkStart w:id="227" w:name="_Toc3443"/>
            <w:bookmarkStart w:id="228" w:name="_Toc25352_WPSOffice_Level1"/>
            <w:bookmarkStart w:id="229" w:name="_Toc5680"/>
            <w:bookmarkStart w:id="230" w:name="_Toc13405_WPSOffice_Level1"/>
            <w:bookmarkStart w:id="231" w:name="_Toc120614284"/>
            <w:bookmarkStart w:id="232" w:name="_Toc204524343"/>
            <w:r>
              <w:rPr>
                <w:rFonts w:hint="eastAsia" w:ascii="仿宋" w:hAnsi="仿宋" w:eastAsia="仿宋" w:cs="仿宋"/>
                <w:b/>
                <w:sz w:val="40"/>
                <w:szCs w:val="44"/>
                <w:highlight w:val="none"/>
              </w:rPr>
              <w:t>正/副本</w:t>
            </w:r>
          </w:p>
        </w:tc>
      </w:tr>
    </w:tbl>
    <w:p w14:paraId="7B933BEF">
      <w:pPr>
        <w:pStyle w:val="49"/>
        <w:keepNext w:val="0"/>
        <w:keepLines w:val="0"/>
        <w:pageBreakBefore w:val="0"/>
        <w:widowControl/>
        <w:kinsoku/>
        <w:wordWrap/>
        <w:overflowPunct/>
        <w:topLinePunct w:val="0"/>
        <w:autoSpaceDE/>
        <w:autoSpaceDN/>
        <w:bidi w:val="0"/>
        <w:adjustRightInd w:val="0"/>
        <w:snapToGrid/>
        <w:spacing w:before="0" w:line="360" w:lineRule="auto"/>
        <w:ind w:firstLine="0" w:firstLineChars="0"/>
        <w:jc w:val="left"/>
        <w:textAlignment w:val="auto"/>
        <w:outlineLvl w:val="1"/>
        <w:rPr>
          <w:rFonts w:hint="eastAsia" w:ascii="仿宋" w:hAnsi="仿宋" w:eastAsia="仿宋" w:cs="仿宋"/>
          <w:b/>
          <w:sz w:val="32"/>
          <w:szCs w:val="32"/>
          <w:highlight w:val="none"/>
        </w:rPr>
      </w:pPr>
      <w:bookmarkStart w:id="233" w:name="_Toc32228"/>
      <w:bookmarkStart w:id="234" w:name="_Toc11650"/>
      <w:r>
        <w:rPr>
          <w:rFonts w:hint="eastAsia" w:ascii="仿宋" w:hAnsi="仿宋" w:cs="仿宋"/>
          <w:b/>
          <w:kern w:val="0"/>
          <w:sz w:val="32"/>
          <w:szCs w:val="32"/>
          <w:highlight w:val="none"/>
          <w:lang w:val="en-US" w:eastAsia="zh-CN" w:bidi="ar-SA"/>
        </w:rPr>
        <w:t>B 商务及技术标</w:t>
      </w:r>
      <w:bookmarkEnd w:id="233"/>
      <w:bookmarkEnd w:id="234"/>
    </w:p>
    <w:p w14:paraId="7D23143B">
      <w:pPr>
        <w:pStyle w:val="47"/>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color w:val="FF0000"/>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w:t>
      </w:r>
      <w:r>
        <w:rPr>
          <w:rFonts w:hint="eastAsia" w:ascii="仿宋" w:hAnsi="仿宋" w:eastAsia="仿宋" w:cs="仿宋"/>
          <w:b/>
          <w:sz w:val="32"/>
          <w:szCs w:val="32"/>
          <w:highlight w:val="none"/>
          <w:lang w:val="en-US" w:eastAsia="zh-CN"/>
        </w:rPr>
        <w:t>5-076</w:t>
      </w:r>
    </w:p>
    <w:p w14:paraId="36A4F397">
      <w:pPr>
        <w:pStyle w:val="47"/>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6"/>
          <w:szCs w:val="36"/>
          <w:highlight w:val="none"/>
          <w:lang w:val="en-US"/>
        </w:rPr>
      </w:pPr>
      <w:r>
        <w:rPr>
          <w:rFonts w:hint="eastAsia" w:ascii="仿宋" w:hAnsi="仿宋" w:eastAsia="仿宋" w:cs="仿宋"/>
          <w:b/>
          <w:sz w:val="32"/>
          <w:szCs w:val="32"/>
          <w:highlight w:val="none"/>
          <w:lang w:eastAsia="zh-CN"/>
        </w:rPr>
        <w:t>ZCSP-韩城市-2025-00046</w:t>
      </w:r>
    </w:p>
    <w:p w14:paraId="2583E914">
      <w:pPr>
        <w:pStyle w:val="47"/>
        <w:widowControl/>
        <w:spacing w:before="0" w:after="0" w:line="600" w:lineRule="exact"/>
        <w:ind w:firstLine="0"/>
        <w:jc w:val="both"/>
        <w:rPr>
          <w:rFonts w:ascii="仿宋" w:hAnsi="仿宋" w:eastAsia="仿宋" w:cs="仿宋"/>
          <w:b/>
          <w:sz w:val="36"/>
          <w:szCs w:val="36"/>
          <w:highlight w:val="none"/>
        </w:rPr>
      </w:pPr>
    </w:p>
    <w:p w14:paraId="582137CE">
      <w:pPr>
        <w:pStyle w:val="47"/>
        <w:widowControl/>
        <w:spacing w:before="0" w:after="0" w:line="600" w:lineRule="exact"/>
        <w:ind w:firstLine="0"/>
        <w:jc w:val="center"/>
        <w:rPr>
          <w:rFonts w:ascii="仿宋" w:hAnsi="仿宋" w:eastAsia="仿宋" w:cs="仿宋"/>
          <w:b/>
          <w:sz w:val="44"/>
          <w:szCs w:val="44"/>
          <w:highlight w:val="none"/>
        </w:rPr>
      </w:pPr>
    </w:p>
    <w:p w14:paraId="61C7725E">
      <w:pPr>
        <w:pStyle w:val="47"/>
        <w:widowControl/>
        <w:spacing w:before="0" w:after="0" w:line="600" w:lineRule="exact"/>
        <w:ind w:firstLine="0"/>
        <w:jc w:val="center"/>
        <w:rPr>
          <w:rFonts w:ascii="仿宋" w:hAnsi="仿宋" w:eastAsia="仿宋" w:cs="仿宋"/>
          <w:b/>
          <w:sz w:val="44"/>
          <w:szCs w:val="44"/>
          <w:highlight w:val="none"/>
        </w:rPr>
      </w:pPr>
    </w:p>
    <w:p w14:paraId="09F7D5E5">
      <w:pPr>
        <w:pStyle w:val="47"/>
        <w:widowControl/>
        <w:spacing w:before="0" w:after="0"/>
        <w:ind w:firstLine="0"/>
        <w:jc w:val="center"/>
        <w:rPr>
          <w:rFonts w:hint="default" w:ascii="仿宋" w:hAnsi="仿宋" w:eastAsia="仿宋" w:cs="仿宋"/>
          <w:b/>
          <w:bCs/>
          <w:kern w:val="0"/>
          <w:sz w:val="56"/>
          <w:szCs w:val="56"/>
          <w:highlight w:val="none"/>
          <w:lang w:val="en-US" w:eastAsia="zh-CN"/>
        </w:rPr>
      </w:pPr>
      <w:r>
        <w:rPr>
          <w:rFonts w:hint="default" w:ascii="仿宋" w:hAnsi="仿宋" w:eastAsia="仿宋" w:cs="仿宋"/>
          <w:b/>
          <w:bCs/>
          <w:kern w:val="0"/>
          <w:sz w:val="52"/>
          <w:szCs w:val="52"/>
          <w:highlight w:val="none"/>
          <w:lang w:val="en-US" w:eastAsia="zh-CN"/>
        </w:rPr>
        <w:t>韩城市政务</w:t>
      </w:r>
      <w:r>
        <w:rPr>
          <w:rFonts w:hint="eastAsia" w:ascii="仿宋" w:hAnsi="仿宋" w:eastAsia="仿宋" w:cs="仿宋"/>
          <w:b/>
          <w:bCs/>
          <w:kern w:val="0"/>
          <w:sz w:val="52"/>
          <w:szCs w:val="52"/>
          <w:highlight w:val="none"/>
          <w:lang w:val="en-US" w:eastAsia="zh-CN"/>
        </w:rPr>
        <w:t>大</w:t>
      </w:r>
      <w:r>
        <w:rPr>
          <w:rFonts w:hint="default" w:ascii="仿宋" w:hAnsi="仿宋" w:eastAsia="仿宋" w:cs="仿宋"/>
          <w:b/>
          <w:bCs/>
          <w:kern w:val="0"/>
          <w:sz w:val="52"/>
          <w:szCs w:val="52"/>
          <w:highlight w:val="none"/>
          <w:lang w:val="en-US" w:eastAsia="zh-CN"/>
        </w:rPr>
        <w:t>数据服务中心韩城市政务</w:t>
      </w:r>
      <w:r>
        <w:rPr>
          <w:rFonts w:hint="default" w:ascii="仿宋" w:hAnsi="仿宋" w:eastAsia="仿宋" w:cs="仿宋"/>
          <w:b/>
          <w:bCs/>
          <w:kern w:val="0"/>
          <w:sz w:val="56"/>
          <w:szCs w:val="56"/>
          <w:highlight w:val="none"/>
          <w:lang w:val="en-US" w:eastAsia="zh-CN"/>
        </w:rPr>
        <w:t>云</w:t>
      </w:r>
    </w:p>
    <w:p w14:paraId="006440E8">
      <w:pPr>
        <w:pStyle w:val="47"/>
        <w:widowControl/>
        <w:spacing w:before="0" w:after="0"/>
        <w:ind w:firstLine="0"/>
        <w:jc w:val="center"/>
        <w:rPr>
          <w:rFonts w:ascii="仿宋" w:hAnsi="仿宋" w:eastAsia="仿宋" w:cs="仿宋"/>
          <w:b/>
          <w:sz w:val="28"/>
          <w:szCs w:val="28"/>
          <w:highlight w:val="none"/>
        </w:rPr>
      </w:pPr>
      <w:r>
        <w:rPr>
          <w:rFonts w:hint="default" w:ascii="仿宋" w:hAnsi="仿宋" w:eastAsia="仿宋" w:cs="仿宋"/>
          <w:b/>
          <w:bCs/>
          <w:kern w:val="0"/>
          <w:sz w:val="56"/>
          <w:szCs w:val="56"/>
          <w:highlight w:val="none"/>
          <w:lang w:val="en-US" w:eastAsia="zh-CN"/>
        </w:rPr>
        <w:t>资源管理服务采购项目</w:t>
      </w:r>
    </w:p>
    <w:p w14:paraId="25BA0C2E">
      <w:pPr>
        <w:pStyle w:val="49"/>
        <w:keepNext w:val="0"/>
        <w:keepLines w:val="0"/>
        <w:pageBreakBefore w:val="0"/>
        <w:widowControl/>
        <w:kinsoku/>
        <w:wordWrap/>
        <w:overflowPunct/>
        <w:topLinePunct w:val="0"/>
        <w:autoSpaceDE/>
        <w:autoSpaceDN/>
        <w:bidi w:val="0"/>
        <w:adjustRightInd w:val="0"/>
        <w:snapToGrid/>
        <w:spacing w:line="360" w:lineRule="exact"/>
        <w:ind w:firstLine="0" w:firstLineChars="0"/>
        <w:jc w:val="both"/>
        <w:textAlignment w:val="auto"/>
        <w:rPr>
          <w:rFonts w:hint="eastAsia" w:ascii="仿宋" w:hAnsi="仿宋" w:eastAsia="仿宋" w:cs="仿宋"/>
          <w:b/>
          <w:sz w:val="52"/>
          <w:szCs w:val="52"/>
          <w:highlight w:val="none"/>
          <w:lang w:eastAsia="zh-CN"/>
        </w:rPr>
      </w:pPr>
    </w:p>
    <w:p w14:paraId="4030EFC6">
      <w:pPr>
        <w:pStyle w:val="49"/>
        <w:keepNext w:val="0"/>
        <w:keepLines w:val="0"/>
        <w:pageBreakBefore w:val="0"/>
        <w:widowControl/>
        <w:kinsoku/>
        <w:wordWrap/>
        <w:overflowPunct/>
        <w:topLinePunct w:val="0"/>
        <w:autoSpaceDE/>
        <w:autoSpaceDN/>
        <w:bidi w:val="0"/>
        <w:adjustRightInd w:val="0"/>
        <w:snapToGrid/>
        <w:spacing w:line="360" w:lineRule="exact"/>
        <w:ind w:firstLine="0" w:firstLineChars="0"/>
        <w:jc w:val="both"/>
        <w:textAlignment w:val="auto"/>
        <w:rPr>
          <w:rFonts w:hint="default" w:ascii="仿宋" w:hAnsi="仿宋" w:cs="仿宋"/>
          <w:b/>
          <w:sz w:val="52"/>
          <w:szCs w:val="52"/>
          <w:highlight w:val="none"/>
        </w:rPr>
      </w:pPr>
    </w:p>
    <w:p w14:paraId="34A6E7BA">
      <w:pPr>
        <w:pStyle w:val="49"/>
        <w:keepNext w:val="0"/>
        <w:keepLines w:val="0"/>
        <w:pageBreakBefore w:val="0"/>
        <w:widowControl/>
        <w:kinsoku/>
        <w:wordWrap/>
        <w:overflowPunct/>
        <w:topLinePunct w:val="0"/>
        <w:autoSpaceDE/>
        <w:autoSpaceDN/>
        <w:bidi w:val="0"/>
        <w:adjustRightInd w:val="0"/>
        <w:snapToGrid/>
        <w:spacing w:line="360" w:lineRule="exact"/>
        <w:ind w:firstLine="0" w:firstLineChars="0"/>
        <w:jc w:val="both"/>
        <w:textAlignment w:val="auto"/>
        <w:rPr>
          <w:rFonts w:hint="default" w:ascii="仿宋" w:hAnsi="仿宋" w:cs="仿宋"/>
          <w:b/>
          <w:sz w:val="52"/>
          <w:szCs w:val="52"/>
          <w:highlight w:val="none"/>
        </w:rPr>
      </w:pPr>
    </w:p>
    <w:p w14:paraId="6796C29F">
      <w:pPr>
        <w:pStyle w:val="49"/>
        <w:keepNext w:val="0"/>
        <w:keepLines w:val="0"/>
        <w:pageBreakBefore w:val="0"/>
        <w:widowControl/>
        <w:kinsoku/>
        <w:wordWrap/>
        <w:overflowPunct/>
        <w:topLinePunct w:val="0"/>
        <w:autoSpaceDE/>
        <w:autoSpaceDN/>
        <w:bidi w:val="0"/>
        <w:adjustRightInd w:val="0"/>
        <w:snapToGrid/>
        <w:spacing w:line="360" w:lineRule="exact"/>
        <w:ind w:firstLine="0" w:firstLineChars="0"/>
        <w:jc w:val="both"/>
        <w:textAlignment w:val="auto"/>
        <w:rPr>
          <w:rFonts w:hint="default" w:ascii="仿宋" w:hAnsi="仿宋" w:cs="仿宋"/>
          <w:b/>
          <w:sz w:val="52"/>
          <w:szCs w:val="52"/>
          <w:highlight w:val="none"/>
        </w:rPr>
      </w:pPr>
    </w:p>
    <w:p w14:paraId="7991D2D7">
      <w:pPr>
        <w:pStyle w:val="49"/>
        <w:widowControl/>
        <w:spacing w:line="480" w:lineRule="auto"/>
        <w:ind w:firstLine="0" w:firstLineChars="0"/>
        <w:jc w:val="center"/>
        <w:rPr>
          <w:rFonts w:hint="default" w:ascii="仿宋" w:hAnsi="仿宋" w:cs="仿宋"/>
          <w:b/>
          <w:sz w:val="72"/>
          <w:szCs w:val="72"/>
          <w:highlight w:val="none"/>
        </w:rPr>
      </w:pPr>
      <w:r>
        <w:rPr>
          <w:rFonts w:ascii="仿宋" w:hAnsi="仿宋" w:cs="仿宋"/>
          <w:b/>
          <w:sz w:val="52"/>
          <w:szCs w:val="52"/>
          <w:highlight w:val="none"/>
        </w:rPr>
        <w:t>投 标 文 件</w:t>
      </w:r>
    </w:p>
    <w:p w14:paraId="59AE5AEB">
      <w:pPr>
        <w:pStyle w:val="49"/>
        <w:widowControl/>
        <w:spacing w:line="480" w:lineRule="auto"/>
        <w:ind w:firstLine="0" w:firstLineChars="0"/>
        <w:jc w:val="center"/>
        <w:rPr>
          <w:rFonts w:hint="default" w:ascii="仿宋" w:hAnsi="仿宋" w:cs="仿宋"/>
          <w:b/>
          <w:sz w:val="52"/>
          <w:szCs w:val="52"/>
          <w:highlight w:val="none"/>
        </w:rPr>
      </w:pPr>
      <w:r>
        <w:rPr>
          <w:rFonts w:ascii="仿宋" w:hAnsi="仿宋" w:cs="仿宋"/>
          <w:b/>
          <w:sz w:val="52"/>
          <w:szCs w:val="52"/>
          <w:highlight w:val="none"/>
        </w:rPr>
        <w:t>（格式）</w:t>
      </w:r>
    </w:p>
    <w:p w14:paraId="36AFC07F">
      <w:pPr>
        <w:rPr>
          <w:rFonts w:hint="eastAsia" w:eastAsia="宋体"/>
          <w:highlight w:val="none"/>
          <w:lang w:eastAsia="zh-CN"/>
        </w:rPr>
      </w:pPr>
    </w:p>
    <w:p w14:paraId="2E0D57BE">
      <w:pPr>
        <w:outlineLvl w:val="9"/>
        <w:rPr>
          <w:rFonts w:hint="eastAsia"/>
          <w:highlight w:val="none"/>
          <w:lang w:eastAsia="zh-CN"/>
        </w:rPr>
      </w:pPr>
    </w:p>
    <w:p w14:paraId="4B714EC9">
      <w:pPr>
        <w:rPr>
          <w:highlight w:val="none"/>
        </w:rPr>
      </w:pPr>
    </w:p>
    <w:p w14:paraId="13EEDF47">
      <w:pPr>
        <w:rPr>
          <w:highlight w:val="none"/>
        </w:rPr>
      </w:pPr>
    </w:p>
    <w:p w14:paraId="00DD87FC">
      <w:pPr>
        <w:pStyle w:val="12"/>
        <w:rPr>
          <w:rFonts w:hint="default"/>
          <w:highlight w:val="none"/>
        </w:rPr>
      </w:pPr>
    </w:p>
    <w:p w14:paraId="25021996">
      <w:pPr>
        <w:rPr>
          <w:rFonts w:hint="default"/>
          <w:highlight w:val="none"/>
        </w:rPr>
      </w:pPr>
    </w:p>
    <w:p w14:paraId="468148D9">
      <w:pPr>
        <w:rPr>
          <w:highlight w:val="none"/>
        </w:rPr>
      </w:pPr>
    </w:p>
    <w:p w14:paraId="6B6ABC10">
      <w:pPr>
        <w:ind w:firstLine="1687" w:firstLineChars="600"/>
        <w:jc w:val="both"/>
        <w:rPr>
          <w:rFonts w:hint="default" w:ascii="仿宋" w:hAnsi="仿宋" w:eastAsia="仿宋" w:cs="仿宋"/>
          <w:b/>
          <w:bCs/>
          <w:sz w:val="28"/>
          <w:szCs w:val="24"/>
          <w:highlight w:val="none"/>
          <w:u w:val="single"/>
          <w:lang w:val="en-US" w:eastAsia="zh-CN"/>
        </w:rPr>
      </w:pPr>
      <w:r>
        <w:rPr>
          <w:rFonts w:hint="eastAsia" w:ascii="仿宋" w:hAnsi="仿宋" w:eastAsia="仿宋" w:cs="仿宋"/>
          <w:b/>
          <w:bCs/>
          <w:sz w:val="28"/>
          <w:szCs w:val="24"/>
          <w:highlight w:val="none"/>
          <w:u w:val="none"/>
          <w:lang w:eastAsia="zh-CN"/>
        </w:rPr>
        <w:t>投标文件内容：</w:t>
      </w:r>
      <w:r>
        <w:rPr>
          <w:rFonts w:hint="eastAsia" w:ascii="仿宋" w:hAnsi="仿宋" w:eastAsia="仿宋" w:cs="仿宋"/>
          <w:b/>
          <w:bCs/>
          <w:sz w:val="28"/>
          <w:szCs w:val="24"/>
          <w:highlight w:val="none"/>
          <w:u w:val="single"/>
          <w:lang w:val="en-US" w:eastAsia="zh-CN"/>
        </w:rPr>
        <w:t xml:space="preserve">    商务及技术标    </w:t>
      </w:r>
    </w:p>
    <w:p w14:paraId="47FAF2CB">
      <w:pPr>
        <w:jc w:val="center"/>
        <w:rPr>
          <w:rFonts w:hint="eastAsia" w:ascii="仿宋" w:hAnsi="仿宋" w:eastAsia="仿宋" w:cs="仿宋"/>
          <w:b/>
          <w:bCs/>
          <w:sz w:val="28"/>
          <w:szCs w:val="24"/>
          <w:highlight w:val="none"/>
          <w:u w:val="single"/>
        </w:rPr>
      </w:pPr>
      <w:r>
        <w:rPr>
          <w:rFonts w:hint="eastAsia" w:ascii="仿宋" w:hAnsi="仿宋" w:eastAsia="仿宋" w:cs="仿宋"/>
          <w:b/>
          <w:bCs/>
          <w:sz w:val="28"/>
          <w:szCs w:val="24"/>
          <w:highlight w:val="none"/>
          <w:u w:val="none"/>
        </w:rPr>
        <w:t>供应商名称：</w:t>
      </w:r>
      <w:r>
        <w:rPr>
          <w:rFonts w:hint="eastAsia" w:ascii="仿宋" w:hAnsi="仿宋" w:eastAsia="仿宋" w:cs="仿宋"/>
          <w:b/>
          <w:bCs/>
          <w:sz w:val="28"/>
          <w:szCs w:val="24"/>
          <w:highlight w:val="none"/>
          <w:u w:val="single"/>
        </w:rPr>
        <w:t xml:space="preserve">              </w:t>
      </w:r>
      <w:r>
        <w:rPr>
          <w:rFonts w:hint="eastAsia" w:ascii="仿宋" w:hAnsi="仿宋" w:eastAsia="仿宋" w:cs="仿宋"/>
          <w:b/>
          <w:bCs/>
          <w:sz w:val="28"/>
          <w:szCs w:val="24"/>
          <w:highlight w:val="none"/>
          <w:u w:val="single"/>
          <w:lang w:val="en-US" w:eastAsia="zh-CN"/>
        </w:rPr>
        <w:t xml:space="preserve">   </w:t>
      </w:r>
      <w:r>
        <w:rPr>
          <w:rFonts w:hint="eastAsia" w:ascii="仿宋" w:hAnsi="仿宋" w:eastAsia="仿宋" w:cs="仿宋"/>
          <w:b/>
          <w:bCs/>
          <w:sz w:val="28"/>
          <w:szCs w:val="24"/>
          <w:highlight w:val="none"/>
          <w:u w:val="single"/>
        </w:rPr>
        <w:t xml:space="preserve">    （公     章）</w:t>
      </w:r>
    </w:p>
    <w:p w14:paraId="52D84C2D">
      <w:pPr>
        <w:jc w:val="center"/>
        <w:rPr>
          <w:rFonts w:hint="eastAsia" w:ascii="仿宋" w:hAnsi="仿宋" w:eastAsia="仿宋" w:cs="仿宋"/>
          <w:b/>
          <w:bCs/>
          <w:sz w:val="28"/>
          <w:szCs w:val="24"/>
          <w:highlight w:val="none"/>
          <w:u w:val="single"/>
        </w:rPr>
      </w:pPr>
      <w:r>
        <w:rPr>
          <w:rFonts w:hint="eastAsia" w:ascii="仿宋" w:hAnsi="仿宋" w:eastAsia="仿宋" w:cs="仿宋"/>
          <w:b/>
          <w:bCs/>
          <w:sz w:val="28"/>
          <w:szCs w:val="24"/>
          <w:highlight w:val="none"/>
          <w:u w:val="none"/>
        </w:rPr>
        <w:t>法定代表人或被授权委托人</w:t>
      </w:r>
      <w:r>
        <w:rPr>
          <w:rFonts w:hint="eastAsia" w:ascii="仿宋" w:hAnsi="仿宋" w:eastAsia="仿宋" w:cs="仿宋"/>
          <w:b/>
          <w:bCs/>
          <w:sz w:val="28"/>
          <w:szCs w:val="24"/>
          <w:highlight w:val="none"/>
          <w:u w:val="none"/>
          <w:lang w:eastAsia="zh-CN"/>
        </w:rPr>
        <w:t>：</w:t>
      </w:r>
      <w:r>
        <w:rPr>
          <w:rFonts w:hint="eastAsia" w:ascii="仿宋" w:hAnsi="仿宋" w:eastAsia="仿宋" w:cs="仿宋"/>
          <w:b/>
          <w:bCs/>
          <w:sz w:val="28"/>
          <w:szCs w:val="24"/>
          <w:highlight w:val="none"/>
          <w:u w:val="single"/>
        </w:rPr>
        <w:t xml:space="preserve">      （签字或盖章）</w:t>
      </w:r>
    </w:p>
    <w:p w14:paraId="359F31C5">
      <w:pPr>
        <w:jc w:val="center"/>
        <w:rPr>
          <w:rFonts w:hint="eastAsia" w:ascii="仿宋" w:hAnsi="仿宋" w:eastAsia="仿宋" w:cs="仿宋"/>
          <w:b/>
          <w:kern w:val="0"/>
          <w:sz w:val="44"/>
          <w:szCs w:val="44"/>
          <w:highlight w:val="none"/>
        </w:rPr>
      </w:pPr>
      <w:r>
        <w:rPr>
          <w:rFonts w:hint="eastAsia" w:ascii="仿宋" w:hAnsi="仿宋" w:eastAsia="仿宋" w:cs="仿宋"/>
          <w:b/>
          <w:bCs/>
          <w:sz w:val="28"/>
          <w:szCs w:val="24"/>
          <w:highlight w:val="none"/>
          <w:u w:val="none"/>
        </w:rPr>
        <w:t>时      间：</w:t>
      </w:r>
      <w:r>
        <w:rPr>
          <w:rFonts w:hint="eastAsia" w:ascii="仿宋" w:hAnsi="仿宋" w:eastAsia="仿宋" w:cs="仿宋"/>
          <w:b/>
          <w:bCs/>
          <w:sz w:val="28"/>
          <w:szCs w:val="24"/>
          <w:highlight w:val="none"/>
          <w:u w:val="single"/>
        </w:rPr>
        <w:t xml:space="preserve">                                 .</w:t>
      </w:r>
    </w:p>
    <w:p w14:paraId="29183B7A">
      <w:pPr>
        <w:adjustRightInd w:val="0"/>
        <w:spacing w:line="480" w:lineRule="auto"/>
        <w:jc w:val="center"/>
        <w:rPr>
          <w:rFonts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14:paraId="5945B36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highlight w:val="none"/>
        </w:rPr>
        <w:fldChar w:fldCharType="begin"/>
      </w:r>
      <w:r>
        <w:rPr>
          <w:highlight w:val="none"/>
        </w:rPr>
        <w:instrText xml:space="preserve"> HYPERLINK \l "_Toc15109" </w:instrText>
      </w:r>
      <w:r>
        <w:rPr>
          <w:highlight w:val="none"/>
        </w:rPr>
        <w:fldChar w:fldCharType="separate"/>
      </w:r>
      <w:r>
        <w:rPr>
          <w:rFonts w:hint="eastAsia" w:ascii="仿宋" w:hAnsi="仿宋" w:eastAsia="仿宋" w:cs="仿宋"/>
          <w:b/>
          <w:bCs/>
          <w:sz w:val="28"/>
          <w:szCs w:val="28"/>
          <w:highlight w:val="none"/>
        </w:rPr>
        <w:t>第一部分    投标响应函</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14:paraId="53B78F1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sz w:val="28"/>
          <w:szCs w:val="28"/>
          <w:highlight w:val="none"/>
        </w:rPr>
      </w:pPr>
      <w:r>
        <w:rPr>
          <w:highlight w:val="none"/>
        </w:rPr>
        <w:fldChar w:fldCharType="begin"/>
      </w:r>
      <w:r>
        <w:rPr>
          <w:highlight w:val="none"/>
        </w:rPr>
        <w:instrText xml:space="preserve"> HYPERLINK \l "_Toc30925" </w:instrText>
      </w:r>
      <w:r>
        <w:rPr>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14:paraId="50CDFECD">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 xml:space="preserve">部分    业绩证明文件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14:paraId="0D9FDFFE">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仿宋" w:hAnsi="仿宋" w:eastAsia="仿宋" w:cs="仿宋"/>
          <w:b/>
          <w:bCs/>
          <w:sz w:val="28"/>
          <w:szCs w:val="28"/>
          <w:highlight w:val="none"/>
        </w:rPr>
      </w:pPr>
      <w:r>
        <w:rPr>
          <w:highlight w:val="none"/>
        </w:rPr>
        <w:fldChar w:fldCharType="begin"/>
      </w:r>
      <w:r>
        <w:rPr>
          <w:highlight w:val="none"/>
        </w:rPr>
        <w:instrText xml:space="preserve"> HYPERLINK \l "_Toc29348" </w:instrText>
      </w:r>
      <w:r>
        <w:rPr>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投标方案说明                                 （页码）</w:t>
      </w:r>
    </w:p>
    <w:p w14:paraId="7B849737">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b/>
          <w:bCs/>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部分    供应商承诺书                                 （页码）</w:t>
      </w:r>
    </w:p>
    <w:p w14:paraId="2F536C97">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第六部分    政府采购供应商拒绝政府采购领域商业贿赂承诺书 （页码）</w:t>
      </w:r>
    </w:p>
    <w:p w14:paraId="2C20DBB1">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 xml:space="preserve">第七部分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lang w:eastAsia="zh-CN"/>
        </w:rPr>
        <w:t xml:space="preserve"> 附件（如有）</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lang w:eastAsia="zh-CN"/>
        </w:rPr>
        <w:t>（页码）</w:t>
      </w:r>
    </w:p>
    <w:p w14:paraId="0D015336">
      <w:pPr>
        <w:rPr>
          <w:rFonts w:hint="default" w:ascii="仿宋" w:hAnsi="仿宋" w:cs="仿宋"/>
          <w:sz w:val="28"/>
          <w:szCs w:val="28"/>
          <w:highlight w:val="none"/>
        </w:rPr>
      </w:pPr>
    </w:p>
    <w:p w14:paraId="5EF9EB70">
      <w:pPr>
        <w:pStyle w:val="18"/>
        <w:rPr>
          <w:rFonts w:hint="default" w:ascii="仿宋" w:hAnsi="仿宋" w:cs="仿宋"/>
          <w:sz w:val="28"/>
          <w:szCs w:val="28"/>
          <w:highlight w:val="none"/>
        </w:rPr>
      </w:pPr>
    </w:p>
    <w:p w14:paraId="74EBAE79">
      <w:pPr>
        <w:pStyle w:val="18"/>
        <w:rPr>
          <w:rFonts w:hint="default" w:ascii="仿宋" w:hAnsi="仿宋" w:cs="仿宋"/>
          <w:sz w:val="28"/>
          <w:szCs w:val="28"/>
          <w:highlight w:val="none"/>
        </w:rPr>
      </w:pPr>
    </w:p>
    <w:p w14:paraId="58132DB3">
      <w:pPr>
        <w:pStyle w:val="18"/>
        <w:rPr>
          <w:rFonts w:hint="default" w:ascii="仿宋" w:hAnsi="仿宋" w:cs="仿宋"/>
          <w:sz w:val="28"/>
          <w:szCs w:val="28"/>
          <w:highlight w:val="none"/>
        </w:rPr>
      </w:pPr>
    </w:p>
    <w:p w14:paraId="37C01C8F">
      <w:pPr>
        <w:pStyle w:val="18"/>
        <w:rPr>
          <w:rFonts w:hint="default" w:ascii="仿宋" w:hAnsi="仿宋" w:cs="仿宋"/>
          <w:sz w:val="28"/>
          <w:szCs w:val="28"/>
          <w:highlight w:val="none"/>
        </w:rPr>
      </w:pPr>
    </w:p>
    <w:p w14:paraId="539992D0">
      <w:pPr>
        <w:pStyle w:val="18"/>
        <w:rPr>
          <w:rFonts w:hint="default" w:ascii="仿宋" w:hAnsi="仿宋" w:cs="仿宋"/>
          <w:sz w:val="28"/>
          <w:szCs w:val="28"/>
          <w:highlight w:val="none"/>
        </w:rPr>
      </w:pPr>
    </w:p>
    <w:p w14:paraId="34EA3930">
      <w:pPr>
        <w:pStyle w:val="18"/>
        <w:rPr>
          <w:rFonts w:hint="default" w:ascii="仿宋" w:hAnsi="仿宋" w:cs="仿宋"/>
          <w:sz w:val="28"/>
          <w:szCs w:val="28"/>
          <w:highlight w:val="none"/>
        </w:rPr>
      </w:pPr>
    </w:p>
    <w:p w14:paraId="230E7B18">
      <w:pPr>
        <w:pStyle w:val="18"/>
        <w:rPr>
          <w:rFonts w:hint="default" w:ascii="仿宋" w:hAnsi="仿宋" w:cs="仿宋"/>
          <w:sz w:val="28"/>
          <w:szCs w:val="28"/>
          <w:highlight w:val="none"/>
        </w:rPr>
      </w:pPr>
    </w:p>
    <w:p w14:paraId="5B316E99">
      <w:pPr>
        <w:pStyle w:val="18"/>
        <w:rPr>
          <w:rFonts w:hint="default" w:ascii="仿宋" w:hAnsi="仿宋" w:cs="仿宋"/>
          <w:sz w:val="28"/>
          <w:szCs w:val="28"/>
          <w:highlight w:val="none"/>
        </w:rPr>
      </w:pPr>
    </w:p>
    <w:p w14:paraId="23C8A82D">
      <w:pPr>
        <w:pStyle w:val="18"/>
        <w:rPr>
          <w:rFonts w:hint="default" w:ascii="仿宋" w:hAnsi="仿宋" w:cs="仿宋"/>
          <w:sz w:val="28"/>
          <w:szCs w:val="28"/>
          <w:highlight w:val="none"/>
        </w:rPr>
      </w:pPr>
    </w:p>
    <w:p w14:paraId="0E7D99FC">
      <w:pPr>
        <w:pStyle w:val="18"/>
        <w:rPr>
          <w:rFonts w:hint="default" w:ascii="仿宋" w:hAnsi="仿宋" w:cs="仿宋"/>
          <w:sz w:val="28"/>
          <w:szCs w:val="28"/>
          <w:highlight w:val="none"/>
        </w:rPr>
      </w:pPr>
    </w:p>
    <w:p w14:paraId="3F00740D">
      <w:pPr>
        <w:rPr>
          <w:rFonts w:hint="default" w:ascii="仿宋" w:hAnsi="仿宋" w:cs="仿宋"/>
          <w:sz w:val="28"/>
          <w:szCs w:val="28"/>
          <w:highlight w:val="none"/>
        </w:rPr>
      </w:pPr>
    </w:p>
    <w:p w14:paraId="3744CB01">
      <w:pPr>
        <w:rPr>
          <w:rFonts w:hint="default" w:ascii="仿宋" w:hAnsi="仿宋" w:cs="仿宋"/>
          <w:sz w:val="28"/>
          <w:szCs w:val="28"/>
          <w:highlight w:val="none"/>
        </w:rPr>
      </w:pPr>
    </w:p>
    <w:p w14:paraId="7F7A5465">
      <w:pPr>
        <w:pStyle w:val="18"/>
        <w:rPr>
          <w:rFonts w:hint="default" w:ascii="仿宋" w:hAnsi="仿宋" w:cs="仿宋"/>
          <w:sz w:val="28"/>
          <w:szCs w:val="28"/>
          <w:highlight w:val="none"/>
        </w:rPr>
      </w:pPr>
    </w:p>
    <w:p w14:paraId="4ACFEB8D">
      <w:pPr>
        <w:rPr>
          <w:rFonts w:hint="default" w:ascii="仿宋" w:hAnsi="仿宋" w:cs="仿宋"/>
          <w:sz w:val="28"/>
          <w:szCs w:val="28"/>
          <w:highlight w:val="none"/>
        </w:rPr>
      </w:pPr>
    </w:p>
    <w:p w14:paraId="30E2CBF4">
      <w:pPr>
        <w:rPr>
          <w:rFonts w:hint="default" w:ascii="仿宋" w:hAnsi="仿宋" w:cs="仿宋"/>
          <w:sz w:val="28"/>
          <w:szCs w:val="28"/>
          <w:highlight w:val="none"/>
        </w:rPr>
      </w:pPr>
    </w:p>
    <w:p w14:paraId="2744B5F6">
      <w:pPr>
        <w:pStyle w:val="18"/>
        <w:rPr>
          <w:rFonts w:hint="default" w:ascii="仿宋" w:hAnsi="仿宋" w:cs="仿宋"/>
          <w:sz w:val="28"/>
          <w:szCs w:val="28"/>
          <w:highlight w:val="none"/>
        </w:rPr>
      </w:pPr>
    </w:p>
    <w:p w14:paraId="46C70758">
      <w:pPr>
        <w:pStyle w:val="18"/>
        <w:rPr>
          <w:rFonts w:hint="default" w:ascii="仿宋" w:hAnsi="仿宋" w:cs="仿宋"/>
          <w:sz w:val="28"/>
          <w:szCs w:val="28"/>
          <w:highlight w:val="none"/>
        </w:rPr>
      </w:pPr>
    </w:p>
    <w:p w14:paraId="4E9E9BED">
      <w:pPr>
        <w:pStyle w:val="12"/>
        <w:spacing w:line="500" w:lineRule="exact"/>
        <w:jc w:val="center"/>
        <w:outlineLvl w:val="2"/>
        <w:rPr>
          <w:rFonts w:hint="default" w:ascii="仿宋" w:hAnsi="仿宋" w:cs="仿宋"/>
          <w:b/>
          <w:bCs/>
          <w:sz w:val="44"/>
          <w:szCs w:val="44"/>
          <w:highlight w:val="none"/>
        </w:rPr>
      </w:pPr>
      <w:bookmarkStart w:id="235" w:name="_Toc9066"/>
      <w:bookmarkStart w:id="236" w:name="_Toc30623"/>
      <w:r>
        <w:rPr>
          <w:rFonts w:ascii="仿宋" w:hAnsi="仿宋" w:cs="仿宋"/>
          <w:b/>
          <w:bCs/>
          <w:sz w:val="36"/>
          <w:szCs w:val="36"/>
          <w:highlight w:val="none"/>
        </w:rPr>
        <w:t>第一部分  投标响应函</w:t>
      </w:r>
      <w:bookmarkEnd w:id="225"/>
      <w:bookmarkEnd w:id="226"/>
      <w:bookmarkEnd w:id="227"/>
      <w:bookmarkEnd w:id="228"/>
      <w:bookmarkEnd w:id="229"/>
      <w:bookmarkEnd w:id="230"/>
      <w:bookmarkEnd w:id="235"/>
      <w:bookmarkEnd w:id="236"/>
    </w:p>
    <w:p w14:paraId="3CC1BF3F">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bCs/>
          <w:sz w:val="28"/>
          <w:szCs w:val="28"/>
          <w:highlight w:val="none"/>
        </w:rPr>
      </w:pPr>
      <w:bookmarkStart w:id="237" w:name="_Toc8963_WPSOffice_Level1"/>
      <w:bookmarkStart w:id="238" w:name="_Toc438541314"/>
      <w:bookmarkStart w:id="239" w:name="_Toc1669_WPSOffice_Level1"/>
      <w:bookmarkStart w:id="240" w:name="_Toc21079"/>
      <w:bookmarkStart w:id="241" w:name="_Toc17278"/>
      <w:bookmarkStart w:id="242" w:name="_Toc27691"/>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   </w:t>
      </w:r>
    </w:p>
    <w:p w14:paraId="0EB8F2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我公司收到贵单位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招标文件，经详细研究，我们决定参加本次招标活动。为此，我方郑重声明以下诸点，并负法律责任。</w:t>
      </w:r>
    </w:p>
    <w:p w14:paraId="59037D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eastAsia="仿宋"/>
          <w:sz w:val="28"/>
          <w:szCs w:val="28"/>
          <w:highlight w:val="none"/>
        </w:rPr>
      </w:pPr>
      <w:r>
        <w:rPr>
          <w:rFonts w:hint="eastAsia" w:ascii="仿宋" w:hAnsi="仿宋" w:eastAsia="仿宋" w:cs="仿宋"/>
          <w:sz w:val="28"/>
          <w:szCs w:val="28"/>
          <w:highlight w:val="none"/>
        </w:rPr>
        <w:t>1、愿意按照招标文件中的一切要求，提供服务，完成合同的责任和义务。</w:t>
      </w:r>
    </w:p>
    <w:p w14:paraId="6F79E6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2、按招标文件的规定，我公司的投标总报价为：</w:t>
      </w:r>
    </w:p>
    <w:p w14:paraId="34D5EB8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；（小写）¥：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p>
    <w:p w14:paraId="4AAAF25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3、我方提交的投标文件正本一份、副本三份、电子文档一份。</w:t>
      </w:r>
    </w:p>
    <w:p w14:paraId="319EAB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4、已详细阅读了招标文件，完全理解并放弃提出含糊不清或易形成歧义的表述和资料。</w:t>
      </w:r>
    </w:p>
    <w:p w14:paraId="07FC39E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5、在规定的招标有效期内撤回投标文件，我们愿接受政府采购的有关处罚决定。</w:t>
      </w:r>
    </w:p>
    <w:p w14:paraId="630D9C8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6、同意向贵方提供可能要求的，与本次招标有关的任何证据或资料。我们完全理解最低报价不作为中标的唯一条件，且尊重评标委员会的结论和中标结果。</w:t>
      </w:r>
    </w:p>
    <w:p w14:paraId="5E8DC1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7、我方的投标有效期为从提交投标文件的截止之日起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日历日。</w:t>
      </w:r>
    </w:p>
    <w:p w14:paraId="25FECB1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8、有关于投标文件的函电，请按下列地址联系。</w:t>
      </w:r>
    </w:p>
    <w:p w14:paraId="544F99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投标供应商全称：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14:paraId="05FB1F7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7A46CE7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地    址：__________________________________________</w:t>
      </w:r>
    </w:p>
    <w:p w14:paraId="3C03B9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开户银行：__________________________________________</w:t>
      </w:r>
    </w:p>
    <w:p w14:paraId="1A31520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    号：__________________________________________</w:t>
      </w:r>
    </w:p>
    <w:p w14:paraId="24817A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电    话：__________________________________________</w:t>
      </w:r>
    </w:p>
    <w:p w14:paraId="383ED0B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传    真：__________________________________________</w:t>
      </w:r>
    </w:p>
    <w:p w14:paraId="54D45B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邮    编：__________________________________________</w:t>
      </w:r>
    </w:p>
    <w:p w14:paraId="47BB133B">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bCs/>
          <w:sz w:val="36"/>
          <w:szCs w:val="36"/>
          <w:highlight w:val="none"/>
        </w:rPr>
      </w:pPr>
      <w:r>
        <w:rPr>
          <w:rFonts w:hint="eastAsia" w:ascii="仿宋" w:hAnsi="仿宋" w:eastAsia="仿宋" w:cs="仿宋"/>
          <w:sz w:val="28"/>
          <w:szCs w:val="28"/>
          <w:highlight w:val="none"/>
        </w:rPr>
        <w:t xml:space="preserve">                                   _____年_____月_____日</w:t>
      </w:r>
    </w:p>
    <w:p w14:paraId="39924E22">
      <w:pPr>
        <w:rPr>
          <w:rFonts w:hint="eastAsia" w:ascii="仿宋" w:hAnsi="仿宋" w:eastAsia="仿宋" w:cs="仿宋"/>
          <w:b/>
          <w:bCs/>
          <w:sz w:val="36"/>
          <w:szCs w:val="36"/>
          <w:highlight w:val="none"/>
        </w:rPr>
      </w:pPr>
      <w:bookmarkStart w:id="243" w:name="_Toc4260"/>
      <w:r>
        <w:rPr>
          <w:rFonts w:hint="eastAsia" w:ascii="仿宋" w:hAnsi="仿宋" w:eastAsia="仿宋" w:cs="仿宋"/>
          <w:b/>
          <w:bCs/>
          <w:sz w:val="36"/>
          <w:szCs w:val="36"/>
          <w:highlight w:val="none"/>
        </w:rPr>
        <w:br w:type="page"/>
      </w:r>
    </w:p>
    <w:p w14:paraId="12420553">
      <w:pPr>
        <w:spacing w:line="500" w:lineRule="atLeast"/>
        <w:jc w:val="center"/>
        <w:outlineLvl w:val="2"/>
        <w:rPr>
          <w:rFonts w:ascii="仿宋" w:hAnsi="仿宋" w:eastAsia="仿宋" w:cs="仿宋"/>
          <w:b/>
          <w:bCs/>
          <w:sz w:val="36"/>
          <w:szCs w:val="36"/>
          <w:highlight w:val="none"/>
        </w:rPr>
      </w:pPr>
      <w:bookmarkStart w:id="244" w:name="_Toc22956"/>
      <w:r>
        <w:rPr>
          <w:rFonts w:hint="eastAsia" w:ascii="仿宋" w:hAnsi="仿宋" w:eastAsia="仿宋" w:cs="仿宋"/>
          <w:b/>
          <w:bCs/>
          <w:sz w:val="36"/>
          <w:szCs w:val="36"/>
          <w:highlight w:val="none"/>
        </w:rPr>
        <w:t>第二部分  报价一览表</w:t>
      </w:r>
      <w:bookmarkEnd w:id="237"/>
      <w:bookmarkEnd w:id="238"/>
      <w:bookmarkEnd w:id="239"/>
      <w:bookmarkEnd w:id="240"/>
      <w:bookmarkEnd w:id="241"/>
      <w:bookmarkEnd w:id="242"/>
      <w:bookmarkEnd w:id="243"/>
      <w:bookmarkEnd w:id="244"/>
    </w:p>
    <w:p w14:paraId="4AFCBABF">
      <w:pPr>
        <w:pStyle w:val="12"/>
        <w:rPr>
          <w:rFonts w:hint="default"/>
          <w:highlight w:val="none"/>
        </w:rPr>
      </w:pPr>
    </w:p>
    <w:p w14:paraId="261E51C1">
      <w:pPr>
        <w:spacing w:line="500" w:lineRule="exac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项目名称：韩城市政务</w:t>
      </w:r>
      <w:r>
        <w:rPr>
          <w:rFonts w:hint="eastAsia" w:ascii="仿宋" w:hAnsi="仿宋" w:eastAsia="仿宋" w:cs="仿宋"/>
          <w:sz w:val="28"/>
          <w:szCs w:val="28"/>
          <w:highlight w:val="none"/>
          <w:lang w:eastAsia="zh-CN"/>
        </w:rPr>
        <w:t>大</w:t>
      </w:r>
      <w:r>
        <w:rPr>
          <w:rFonts w:hint="eastAsia" w:ascii="仿宋" w:hAnsi="仿宋" w:eastAsia="仿宋" w:cs="仿宋"/>
          <w:sz w:val="28"/>
          <w:szCs w:val="28"/>
          <w:highlight w:val="none"/>
        </w:rPr>
        <w:t>数据服务中心韩城市政务云资源管理服务采购项目</w:t>
      </w:r>
    </w:p>
    <w:p w14:paraId="69B43A98">
      <w:pPr>
        <w:spacing w:line="500" w:lineRule="exact"/>
        <w:rPr>
          <w:rFonts w:hint="default" w:ascii="仿宋" w:hAnsi="仿宋" w:eastAsia="仿宋" w:cs="仿宋"/>
          <w:kern w:val="0"/>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kern w:val="0"/>
          <w:sz w:val="28"/>
          <w:szCs w:val="28"/>
          <w:highlight w:val="none"/>
          <w:lang w:val="en-US" w:eastAsia="zh-CN"/>
        </w:rPr>
        <w:t>ZCSP-韩城市-2025-00046</w:t>
      </w:r>
      <w:r>
        <w:rPr>
          <w:rFonts w:hint="default" w:ascii="仿宋" w:hAnsi="仿宋" w:eastAsia="仿宋" w:cs="仿宋"/>
          <w:kern w:val="0"/>
          <w:sz w:val="28"/>
          <w:szCs w:val="28"/>
          <w:highlight w:val="none"/>
          <w:lang w:val="en-US" w:eastAsia="zh-CN"/>
        </w:rPr>
        <w:t>、XHLJZC-WN202</w:t>
      </w:r>
      <w:r>
        <w:rPr>
          <w:rFonts w:hint="eastAsia" w:ascii="仿宋" w:hAnsi="仿宋" w:eastAsia="仿宋" w:cs="仿宋"/>
          <w:kern w:val="0"/>
          <w:sz w:val="28"/>
          <w:szCs w:val="28"/>
          <w:highlight w:val="none"/>
          <w:lang w:val="en-US" w:eastAsia="zh-CN"/>
        </w:rPr>
        <w:t>5</w:t>
      </w:r>
      <w:r>
        <w:rPr>
          <w:rFonts w:hint="default"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lang w:val="en-US" w:eastAsia="zh-CN"/>
        </w:rPr>
        <w:t>076</w:t>
      </w:r>
    </w:p>
    <w:p w14:paraId="1BE1C6AB">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供 应 商：</w:t>
      </w:r>
    </w:p>
    <w:p w14:paraId="6C872802">
      <w:pPr>
        <w:spacing w:line="500" w:lineRule="exact"/>
        <w:jc w:val="right"/>
        <w:rPr>
          <w:highlight w:val="none"/>
        </w:rPr>
      </w:pPr>
      <w:r>
        <w:rPr>
          <w:rFonts w:hint="eastAsia" w:ascii="仿宋" w:hAnsi="仿宋" w:eastAsia="仿宋" w:cs="仿宋"/>
          <w:sz w:val="28"/>
          <w:szCs w:val="28"/>
          <w:highlight w:val="none"/>
        </w:rPr>
        <w:t>报价单位：人民币  元</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1805"/>
        <w:gridCol w:w="2265"/>
        <w:gridCol w:w="2423"/>
        <w:gridCol w:w="1086"/>
      </w:tblGrid>
      <w:tr w14:paraId="26F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383" w:type="dxa"/>
            <w:vAlign w:val="center"/>
          </w:tcPr>
          <w:p w14:paraId="345C86CB">
            <w:pPr>
              <w:pStyle w:val="5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采购内容</w:t>
            </w:r>
          </w:p>
        </w:tc>
        <w:tc>
          <w:tcPr>
            <w:tcW w:w="1805" w:type="dxa"/>
            <w:vAlign w:val="center"/>
          </w:tcPr>
          <w:p w14:paraId="7CF58A02">
            <w:pPr>
              <w:pStyle w:val="5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w:t>
            </w:r>
          </w:p>
          <w:p w14:paraId="17F20D06">
            <w:pPr>
              <w:pStyle w:val="5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（元）</w:t>
            </w:r>
          </w:p>
        </w:tc>
        <w:tc>
          <w:tcPr>
            <w:tcW w:w="2265" w:type="dxa"/>
            <w:vAlign w:val="center"/>
          </w:tcPr>
          <w:p w14:paraId="2707B0C7">
            <w:pPr>
              <w:pStyle w:val="5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服务期限</w:t>
            </w:r>
          </w:p>
        </w:tc>
        <w:tc>
          <w:tcPr>
            <w:tcW w:w="2423" w:type="dxa"/>
            <w:vAlign w:val="center"/>
          </w:tcPr>
          <w:p w14:paraId="2046CC02">
            <w:pPr>
              <w:pStyle w:val="50"/>
              <w:spacing w:line="500" w:lineRule="exact"/>
              <w:rPr>
                <w:rFonts w:ascii="仿宋" w:hAnsi="仿宋" w:eastAsia="仿宋" w:cs="仿宋"/>
                <w:b w:val="0"/>
                <w:bCs/>
                <w:kern w:val="2"/>
                <w:sz w:val="28"/>
                <w:szCs w:val="28"/>
                <w:highlight w:val="none"/>
                <w:lang w:val="zh-CN"/>
              </w:rPr>
            </w:pPr>
            <w:r>
              <w:rPr>
                <w:rFonts w:hint="eastAsia" w:ascii="仿宋" w:hAnsi="仿宋" w:eastAsia="仿宋" w:cs="仿宋"/>
                <w:b w:val="0"/>
                <w:bCs/>
                <w:kern w:val="2"/>
                <w:sz w:val="28"/>
                <w:szCs w:val="28"/>
                <w:highlight w:val="none"/>
                <w:lang w:val="zh-CN"/>
              </w:rPr>
              <w:t>质量标准</w:t>
            </w:r>
          </w:p>
          <w:p w14:paraId="7805216D">
            <w:pPr>
              <w:pStyle w:val="5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bCs/>
                <w:kern w:val="2"/>
                <w:sz w:val="28"/>
                <w:szCs w:val="28"/>
                <w:highlight w:val="none"/>
                <w:lang w:val="zh-CN"/>
              </w:rPr>
              <w:t>（合格</w:t>
            </w:r>
            <w:r>
              <w:rPr>
                <w:rFonts w:hint="eastAsia" w:ascii="仿宋" w:hAnsi="仿宋" w:eastAsia="仿宋" w:cs="仿宋"/>
                <w:b w:val="0"/>
                <w:bCs/>
                <w:kern w:val="2"/>
                <w:sz w:val="28"/>
                <w:szCs w:val="28"/>
                <w:highlight w:val="none"/>
              </w:rPr>
              <w:t>/不合格）</w:t>
            </w:r>
          </w:p>
        </w:tc>
        <w:tc>
          <w:tcPr>
            <w:tcW w:w="1086" w:type="dxa"/>
            <w:vAlign w:val="center"/>
          </w:tcPr>
          <w:p w14:paraId="2107B2CE">
            <w:pPr>
              <w:pStyle w:val="50"/>
              <w:spacing w:line="500" w:lineRule="exact"/>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备注</w:t>
            </w:r>
          </w:p>
        </w:tc>
      </w:tr>
      <w:tr w14:paraId="24D2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383" w:type="dxa"/>
            <w:vAlign w:val="center"/>
          </w:tcPr>
          <w:p w14:paraId="51484B66">
            <w:pPr>
              <w:pStyle w:val="50"/>
              <w:spacing w:line="500" w:lineRule="atLeast"/>
              <w:rPr>
                <w:rFonts w:ascii="仿宋" w:hAnsi="仿宋" w:eastAsia="仿宋" w:cs="仿宋"/>
                <w:b w:val="0"/>
                <w:kern w:val="2"/>
                <w:sz w:val="28"/>
                <w:szCs w:val="28"/>
                <w:highlight w:val="none"/>
                <w:lang w:val="zh-CN"/>
              </w:rPr>
            </w:pPr>
          </w:p>
        </w:tc>
        <w:tc>
          <w:tcPr>
            <w:tcW w:w="1805" w:type="dxa"/>
            <w:vAlign w:val="center"/>
          </w:tcPr>
          <w:p w14:paraId="5B6E228E">
            <w:pPr>
              <w:pStyle w:val="50"/>
              <w:spacing w:line="500" w:lineRule="atLeast"/>
              <w:rPr>
                <w:rFonts w:ascii="仿宋" w:hAnsi="仿宋" w:eastAsia="仿宋" w:cs="仿宋"/>
                <w:b w:val="0"/>
                <w:kern w:val="2"/>
                <w:sz w:val="28"/>
                <w:szCs w:val="28"/>
                <w:highlight w:val="none"/>
                <w:lang w:val="zh-CN"/>
              </w:rPr>
            </w:pPr>
          </w:p>
        </w:tc>
        <w:tc>
          <w:tcPr>
            <w:tcW w:w="2265" w:type="dxa"/>
            <w:vAlign w:val="center"/>
          </w:tcPr>
          <w:p w14:paraId="32B1CE60">
            <w:pPr>
              <w:pStyle w:val="50"/>
              <w:spacing w:line="500" w:lineRule="atLeast"/>
              <w:rPr>
                <w:rFonts w:ascii="仿宋" w:hAnsi="仿宋" w:eastAsia="仿宋" w:cs="仿宋"/>
                <w:b w:val="0"/>
                <w:kern w:val="2"/>
                <w:sz w:val="28"/>
                <w:szCs w:val="28"/>
                <w:highlight w:val="none"/>
                <w:lang w:val="zh-CN"/>
              </w:rPr>
            </w:pPr>
          </w:p>
        </w:tc>
        <w:tc>
          <w:tcPr>
            <w:tcW w:w="2423" w:type="dxa"/>
            <w:vAlign w:val="center"/>
          </w:tcPr>
          <w:p w14:paraId="3AE6159C">
            <w:pPr>
              <w:pStyle w:val="50"/>
              <w:spacing w:line="500" w:lineRule="atLeast"/>
              <w:rPr>
                <w:rFonts w:ascii="仿宋" w:hAnsi="仿宋" w:eastAsia="仿宋" w:cs="仿宋"/>
                <w:b w:val="0"/>
                <w:kern w:val="2"/>
                <w:sz w:val="28"/>
                <w:szCs w:val="28"/>
                <w:highlight w:val="none"/>
                <w:lang w:val="zh-CN"/>
              </w:rPr>
            </w:pPr>
          </w:p>
        </w:tc>
        <w:tc>
          <w:tcPr>
            <w:tcW w:w="1086" w:type="dxa"/>
            <w:vAlign w:val="center"/>
          </w:tcPr>
          <w:p w14:paraId="2EDE9282">
            <w:pPr>
              <w:pStyle w:val="50"/>
              <w:spacing w:line="500" w:lineRule="atLeast"/>
              <w:rPr>
                <w:rFonts w:ascii="仿宋" w:hAnsi="仿宋" w:eastAsia="仿宋" w:cs="仿宋"/>
                <w:b w:val="0"/>
                <w:kern w:val="2"/>
                <w:sz w:val="28"/>
                <w:szCs w:val="28"/>
                <w:highlight w:val="none"/>
                <w:lang w:val="zh-CN"/>
              </w:rPr>
            </w:pPr>
          </w:p>
        </w:tc>
      </w:tr>
      <w:tr w14:paraId="50BA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962" w:type="dxa"/>
            <w:gridSpan w:val="5"/>
          </w:tcPr>
          <w:p w14:paraId="2CBC48FC">
            <w:pPr>
              <w:pStyle w:val="50"/>
              <w:spacing w:line="500" w:lineRule="atLeast"/>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总报价（大写）：</w:t>
            </w:r>
          </w:p>
        </w:tc>
      </w:tr>
    </w:tbl>
    <w:p w14:paraId="6CE2FE78">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注：包括服务费、租赁费、物业费、水电费、人工费、测评费、管理费、验收费、税金及风险等所有费用。</w:t>
      </w:r>
    </w:p>
    <w:p w14:paraId="5D0094E7">
      <w:pPr>
        <w:pStyle w:val="12"/>
        <w:rPr>
          <w:highlight w:val="none"/>
        </w:rPr>
      </w:pPr>
    </w:p>
    <w:p w14:paraId="7FFF8213">
      <w:pPr>
        <w:pStyle w:val="12"/>
        <w:rPr>
          <w:highlight w:val="none"/>
        </w:rPr>
      </w:pPr>
    </w:p>
    <w:p w14:paraId="47FFB6FD">
      <w:pPr>
        <w:spacing w:line="500" w:lineRule="exact"/>
        <w:jc w:val="right"/>
        <w:rPr>
          <w:rFonts w:ascii="仿宋" w:hAnsi="仿宋" w:eastAsia="仿宋" w:cs="仿宋"/>
          <w:sz w:val="28"/>
          <w:szCs w:val="28"/>
          <w:highlight w:val="none"/>
        </w:rPr>
      </w:pPr>
    </w:p>
    <w:p w14:paraId="5FE69F62">
      <w:pPr>
        <w:spacing w:line="500" w:lineRule="exact"/>
        <w:jc w:val="right"/>
        <w:rPr>
          <w:rFonts w:ascii="仿宋" w:hAnsi="仿宋" w:eastAsia="仿宋" w:cs="仿宋"/>
          <w:sz w:val="28"/>
          <w:szCs w:val="28"/>
          <w:highlight w:val="none"/>
        </w:rPr>
      </w:pPr>
    </w:p>
    <w:p w14:paraId="7A0DE90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  应  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14:paraId="2C6C6FB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444B6439">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 w:hAnsi="仿宋" w:eastAsia="仿宋" w:cs="仿宋"/>
          <w:bCs/>
          <w:sz w:val="32"/>
          <w:szCs w:val="32"/>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bookmarkStart w:id="245" w:name="_Toc16561"/>
      <w:bookmarkStart w:id="246" w:name="_Toc12941"/>
      <w:bookmarkStart w:id="247" w:name="_Toc438541316"/>
    </w:p>
    <w:p w14:paraId="38480A96">
      <w:pPr>
        <w:rPr>
          <w:rFonts w:ascii="仿宋" w:hAnsi="仿宋" w:eastAsia="仿宋" w:cs="仿宋"/>
          <w:bCs/>
          <w:sz w:val="32"/>
          <w:szCs w:val="32"/>
          <w:highlight w:val="none"/>
        </w:rPr>
      </w:pPr>
      <w:r>
        <w:rPr>
          <w:rFonts w:hint="eastAsia" w:ascii="仿宋" w:hAnsi="仿宋" w:eastAsia="仿宋" w:cs="仿宋"/>
          <w:bCs/>
          <w:sz w:val="32"/>
          <w:szCs w:val="32"/>
          <w:highlight w:val="none"/>
        </w:rPr>
        <w:br w:type="page"/>
      </w:r>
    </w:p>
    <w:p w14:paraId="0C1B9761">
      <w:pPr>
        <w:pStyle w:val="50"/>
        <w:spacing w:line="40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分项报价表</w:t>
      </w:r>
    </w:p>
    <w:p w14:paraId="047E6E52">
      <w:pPr>
        <w:pStyle w:val="50"/>
        <w:spacing w:line="400" w:lineRule="exact"/>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（报价单位：人民币   元）</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234"/>
        <w:gridCol w:w="1500"/>
        <w:gridCol w:w="1183"/>
        <w:gridCol w:w="1179"/>
        <w:gridCol w:w="1076"/>
        <w:gridCol w:w="816"/>
      </w:tblGrid>
      <w:tr w14:paraId="6D1A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6E58A0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序号</w:t>
            </w:r>
          </w:p>
        </w:tc>
        <w:tc>
          <w:tcPr>
            <w:tcW w:w="3234" w:type="dxa"/>
            <w:noWrap w:val="0"/>
            <w:vAlign w:val="center"/>
          </w:tcPr>
          <w:p w14:paraId="1ADF87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color w:val="auto"/>
                <w:kern w:val="0"/>
                <w:sz w:val="24"/>
                <w:szCs w:val="24"/>
                <w:highlight w:val="none"/>
              </w:rPr>
            </w:pPr>
            <w:r>
              <w:rPr>
                <w:rFonts w:hint="eastAsia" w:ascii="仿宋" w:hAnsi="仿宋" w:eastAsia="仿宋" w:cs="仿宋"/>
                <w:b/>
                <w:bCs/>
                <w:color w:val="auto"/>
                <w:sz w:val="22"/>
                <w:szCs w:val="22"/>
                <w:highlight w:val="none"/>
              </w:rPr>
              <w:t>费用组成</w:t>
            </w:r>
          </w:p>
        </w:tc>
        <w:tc>
          <w:tcPr>
            <w:tcW w:w="1500" w:type="dxa"/>
            <w:noWrap w:val="0"/>
            <w:vAlign w:val="center"/>
          </w:tcPr>
          <w:p w14:paraId="766F7E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color w:val="auto"/>
                <w:kern w:val="0"/>
                <w:sz w:val="24"/>
                <w:szCs w:val="24"/>
                <w:highlight w:val="none"/>
              </w:rPr>
            </w:pPr>
            <w:r>
              <w:rPr>
                <w:rFonts w:hint="eastAsia" w:ascii="仿宋" w:hAnsi="仿宋" w:eastAsia="仿宋" w:cs="仿宋"/>
                <w:b/>
                <w:bCs/>
                <w:color w:val="auto"/>
                <w:sz w:val="22"/>
                <w:szCs w:val="22"/>
                <w:highlight w:val="none"/>
              </w:rPr>
              <w:t>单位</w:t>
            </w:r>
          </w:p>
        </w:tc>
        <w:tc>
          <w:tcPr>
            <w:tcW w:w="1183" w:type="dxa"/>
            <w:noWrap w:val="0"/>
            <w:vAlign w:val="center"/>
          </w:tcPr>
          <w:p w14:paraId="135512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0"/>
                <w:sz w:val="24"/>
                <w:szCs w:val="24"/>
                <w:highlight w:val="none"/>
              </w:rPr>
            </w:pPr>
            <w:r>
              <w:rPr>
                <w:rFonts w:hint="eastAsia" w:ascii="仿宋" w:hAnsi="仿宋" w:eastAsia="仿宋" w:cs="仿宋"/>
                <w:b/>
                <w:bCs/>
                <w:color w:val="auto"/>
                <w:sz w:val="22"/>
                <w:szCs w:val="22"/>
                <w:highlight w:val="none"/>
              </w:rPr>
              <w:t>数量</w:t>
            </w:r>
          </w:p>
        </w:tc>
        <w:tc>
          <w:tcPr>
            <w:tcW w:w="1179" w:type="dxa"/>
            <w:noWrap w:val="0"/>
            <w:vAlign w:val="center"/>
          </w:tcPr>
          <w:p w14:paraId="050B8D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单价</w:t>
            </w:r>
          </w:p>
          <w:p w14:paraId="42B22B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0"/>
                <w:sz w:val="24"/>
                <w:szCs w:val="24"/>
                <w:highlight w:val="none"/>
              </w:rPr>
            </w:pPr>
            <w:r>
              <w:rPr>
                <w:rFonts w:hint="eastAsia" w:ascii="仿宋" w:hAnsi="仿宋" w:eastAsia="仿宋" w:cs="仿宋"/>
                <w:b/>
                <w:bCs/>
                <w:color w:val="auto"/>
                <w:sz w:val="22"/>
                <w:szCs w:val="22"/>
                <w:highlight w:val="none"/>
              </w:rPr>
              <w:t>（元）</w:t>
            </w:r>
          </w:p>
        </w:tc>
        <w:tc>
          <w:tcPr>
            <w:tcW w:w="1076" w:type="dxa"/>
            <w:noWrap w:val="0"/>
            <w:vAlign w:val="center"/>
          </w:tcPr>
          <w:p w14:paraId="674594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合价</w:t>
            </w:r>
          </w:p>
          <w:p w14:paraId="309B0F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0"/>
                <w:sz w:val="24"/>
                <w:szCs w:val="24"/>
                <w:highlight w:val="none"/>
              </w:rPr>
            </w:pPr>
            <w:r>
              <w:rPr>
                <w:rFonts w:hint="eastAsia" w:ascii="仿宋" w:hAnsi="仿宋" w:eastAsia="仿宋" w:cs="仿宋"/>
                <w:b/>
                <w:bCs/>
                <w:color w:val="auto"/>
                <w:sz w:val="22"/>
                <w:szCs w:val="22"/>
                <w:highlight w:val="none"/>
              </w:rPr>
              <w:t>（元）</w:t>
            </w:r>
          </w:p>
        </w:tc>
        <w:tc>
          <w:tcPr>
            <w:tcW w:w="816" w:type="dxa"/>
            <w:noWrap w:val="0"/>
            <w:vAlign w:val="center"/>
          </w:tcPr>
          <w:p w14:paraId="641ABB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color w:val="auto"/>
                <w:kern w:val="0"/>
                <w:sz w:val="24"/>
                <w:szCs w:val="24"/>
                <w:highlight w:val="none"/>
              </w:rPr>
            </w:pPr>
            <w:r>
              <w:rPr>
                <w:rFonts w:hint="eastAsia" w:ascii="仿宋" w:hAnsi="仿宋" w:eastAsia="仿宋" w:cs="仿宋"/>
                <w:b/>
                <w:bCs/>
                <w:color w:val="auto"/>
                <w:sz w:val="22"/>
                <w:szCs w:val="22"/>
                <w:highlight w:val="none"/>
              </w:rPr>
              <w:t>备注</w:t>
            </w:r>
          </w:p>
        </w:tc>
      </w:tr>
      <w:tr w14:paraId="0982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74F9BA71">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w:t>
            </w:r>
          </w:p>
        </w:tc>
        <w:tc>
          <w:tcPr>
            <w:tcW w:w="3234" w:type="dxa"/>
            <w:noWrap w:val="0"/>
            <w:vAlign w:val="center"/>
          </w:tcPr>
          <w:p w14:paraId="51122359">
            <w:pPr>
              <w:rPr>
                <w:rFonts w:ascii="仿宋" w:hAnsi="仿宋" w:eastAsia="仿宋" w:cs="仿宋"/>
                <w:color w:val="auto"/>
                <w:kern w:val="0"/>
                <w:sz w:val="24"/>
                <w:szCs w:val="24"/>
                <w:highlight w:val="none"/>
              </w:rPr>
            </w:pPr>
          </w:p>
        </w:tc>
        <w:tc>
          <w:tcPr>
            <w:tcW w:w="1500" w:type="dxa"/>
            <w:noWrap w:val="0"/>
            <w:vAlign w:val="center"/>
          </w:tcPr>
          <w:p w14:paraId="2B0CE69E">
            <w:pPr>
              <w:jc w:val="center"/>
              <w:rPr>
                <w:rFonts w:ascii="仿宋" w:hAnsi="仿宋" w:eastAsia="仿宋" w:cs="仿宋"/>
                <w:color w:val="auto"/>
                <w:kern w:val="0"/>
                <w:sz w:val="24"/>
                <w:szCs w:val="24"/>
                <w:highlight w:val="none"/>
              </w:rPr>
            </w:pPr>
          </w:p>
        </w:tc>
        <w:tc>
          <w:tcPr>
            <w:tcW w:w="1183" w:type="dxa"/>
            <w:noWrap w:val="0"/>
            <w:vAlign w:val="center"/>
          </w:tcPr>
          <w:p w14:paraId="63D6585E">
            <w:pPr>
              <w:jc w:val="center"/>
              <w:rPr>
                <w:rFonts w:ascii="仿宋" w:hAnsi="仿宋" w:eastAsia="仿宋" w:cs="仿宋"/>
                <w:color w:val="auto"/>
                <w:kern w:val="0"/>
                <w:sz w:val="24"/>
                <w:szCs w:val="24"/>
                <w:highlight w:val="none"/>
              </w:rPr>
            </w:pPr>
          </w:p>
        </w:tc>
        <w:tc>
          <w:tcPr>
            <w:tcW w:w="1179" w:type="dxa"/>
            <w:noWrap w:val="0"/>
            <w:vAlign w:val="center"/>
          </w:tcPr>
          <w:p w14:paraId="477C1851">
            <w:pPr>
              <w:jc w:val="center"/>
              <w:rPr>
                <w:rFonts w:ascii="仿宋" w:hAnsi="仿宋" w:eastAsia="仿宋" w:cs="仿宋"/>
                <w:color w:val="auto"/>
                <w:kern w:val="0"/>
                <w:sz w:val="24"/>
                <w:szCs w:val="24"/>
                <w:highlight w:val="none"/>
              </w:rPr>
            </w:pPr>
          </w:p>
        </w:tc>
        <w:tc>
          <w:tcPr>
            <w:tcW w:w="1076" w:type="dxa"/>
            <w:noWrap w:val="0"/>
            <w:vAlign w:val="center"/>
          </w:tcPr>
          <w:p w14:paraId="6170D4F4">
            <w:pPr>
              <w:rPr>
                <w:rFonts w:ascii="仿宋" w:hAnsi="仿宋" w:eastAsia="仿宋" w:cs="仿宋"/>
                <w:color w:val="auto"/>
                <w:kern w:val="0"/>
                <w:sz w:val="24"/>
                <w:szCs w:val="24"/>
                <w:highlight w:val="none"/>
              </w:rPr>
            </w:pPr>
          </w:p>
        </w:tc>
        <w:tc>
          <w:tcPr>
            <w:tcW w:w="816" w:type="dxa"/>
            <w:noWrap w:val="0"/>
            <w:vAlign w:val="center"/>
          </w:tcPr>
          <w:p w14:paraId="00B53733">
            <w:pPr>
              <w:rPr>
                <w:rFonts w:ascii="仿宋" w:hAnsi="仿宋" w:eastAsia="仿宋" w:cs="仿宋"/>
                <w:color w:val="auto"/>
                <w:kern w:val="0"/>
                <w:sz w:val="24"/>
                <w:szCs w:val="24"/>
                <w:highlight w:val="none"/>
              </w:rPr>
            </w:pPr>
          </w:p>
        </w:tc>
      </w:tr>
      <w:tr w14:paraId="1B1B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5ABFA71B">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w:t>
            </w:r>
          </w:p>
        </w:tc>
        <w:tc>
          <w:tcPr>
            <w:tcW w:w="3234" w:type="dxa"/>
            <w:noWrap w:val="0"/>
            <w:vAlign w:val="center"/>
          </w:tcPr>
          <w:p w14:paraId="7CC08680">
            <w:pPr>
              <w:rPr>
                <w:rFonts w:ascii="仿宋" w:hAnsi="仿宋" w:eastAsia="仿宋" w:cs="仿宋"/>
                <w:color w:val="auto"/>
                <w:kern w:val="0"/>
                <w:sz w:val="24"/>
                <w:szCs w:val="24"/>
                <w:highlight w:val="none"/>
              </w:rPr>
            </w:pPr>
          </w:p>
        </w:tc>
        <w:tc>
          <w:tcPr>
            <w:tcW w:w="1500" w:type="dxa"/>
            <w:noWrap w:val="0"/>
            <w:vAlign w:val="center"/>
          </w:tcPr>
          <w:p w14:paraId="60C2DB41">
            <w:pPr>
              <w:jc w:val="center"/>
              <w:rPr>
                <w:rFonts w:ascii="仿宋" w:hAnsi="仿宋" w:eastAsia="仿宋" w:cs="仿宋"/>
                <w:color w:val="auto"/>
                <w:kern w:val="0"/>
                <w:sz w:val="24"/>
                <w:szCs w:val="24"/>
                <w:highlight w:val="none"/>
              </w:rPr>
            </w:pPr>
          </w:p>
        </w:tc>
        <w:tc>
          <w:tcPr>
            <w:tcW w:w="1183" w:type="dxa"/>
            <w:noWrap w:val="0"/>
            <w:vAlign w:val="center"/>
          </w:tcPr>
          <w:p w14:paraId="388633A3">
            <w:pPr>
              <w:jc w:val="center"/>
              <w:rPr>
                <w:rFonts w:ascii="仿宋" w:hAnsi="仿宋" w:eastAsia="仿宋" w:cs="仿宋"/>
                <w:color w:val="auto"/>
                <w:kern w:val="0"/>
                <w:sz w:val="24"/>
                <w:szCs w:val="24"/>
                <w:highlight w:val="none"/>
              </w:rPr>
            </w:pPr>
          </w:p>
        </w:tc>
        <w:tc>
          <w:tcPr>
            <w:tcW w:w="1179" w:type="dxa"/>
            <w:noWrap w:val="0"/>
            <w:vAlign w:val="center"/>
          </w:tcPr>
          <w:p w14:paraId="000306A7">
            <w:pPr>
              <w:jc w:val="center"/>
              <w:rPr>
                <w:rFonts w:ascii="仿宋" w:hAnsi="仿宋" w:eastAsia="仿宋" w:cs="仿宋"/>
                <w:color w:val="auto"/>
                <w:kern w:val="0"/>
                <w:sz w:val="24"/>
                <w:szCs w:val="24"/>
                <w:highlight w:val="none"/>
              </w:rPr>
            </w:pPr>
          </w:p>
        </w:tc>
        <w:tc>
          <w:tcPr>
            <w:tcW w:w="1076" w:type="dxa"/>
            <w:noWrap w:val="0"/>
            <w:vAlign w:val="center"/>
          </w:tcPr>
          <w:p w14:paraId="2F71FFC5">
            <w:pPr>
              <w:rPr>
                <w:rFonts w:ascii="仿宋" w:hAnsi="仿宋" w:eastAsia="仿宋" w:cs="仿宋"/>
                <w:color w:val="auto"/>
                <w:kern w:val="0"/>
                <w:sz w:val="24"/>
                <w:szCs w:val="24"/>
                <w:highlight w:val="none"/>
              </w:rPr>
            </w:pPr>
          </w:p>
        </w:tc>
        <w:tc>
          <w:tcPr>
            <w:tcW w:w="816" w:type="dxa"/>
            <w:noWrap w:val="0"/>
            <w:vAlign w:val="center"/>
          </w:tcPr>
          <w:p w14:paraId="3E587185">
            <w:pPr>
              <w:rPr>
                <w:rFonts w:ascii="仿宋" w:hAnsi="仿宋" w:eastAsia="仿宋" w:cs="仿宋"/>
                <w:color w:val="auto"/>
                <w:kern w:val="0"/>
                <w:sz w:val="24"/>
                <w:szCs w:val="24"/>
                <w:highlight w:val="none"/>
              </w:rPr>
            </w:pPr>
          </w:p>
        </w:tc>
      </w:tr>
      <w:tr w14:paraId="0AC2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69E1AD50">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w:t>
            </w:r>
          </w:p>
        </w:tc>
        <w:tc>
          <w:tcPr>
            <w:tcW w:w="3234" w:type="dxa"/>
            <w:noWrap w:val="0"/>
            <w:vAlign w:val="center"/>
          </w:tcPr>
          <w:p w14:paraId="09055DDB">
            <w:pPr>
              <w:rPr>
                <w:rFonts w:ascii="仿宋" w:hAnsi="仿宋" w:eastAsia="仿宋" w:cs="仿宋"/>
                <w:color w:val="auto"/>
                <w:kern w:val="0"/>
                <w:sz w:val="24"/>
                <w:szCs w:val="24"/>
                <w:highlight w:val="none"/>
              </w:rPr>
            </w:pPr>
          </w:p>
        </w:tc>
        <w:tc>
          <w:tcPr>
            <w:tcW w:w="1500" w:type="dxa"/>
            <w:noWrap w:val="0"/>
            <w:vAlign w:val="center"/>
          </w:tcPr>
          <w:p w14:paraId="73DF329D">
            <w:pPr>
              <w:jc w:val="center"/>
              <w:rPr>
                <w:rFonts w:ascii="仿宋" w:hAnsi="仿宋" w:eastAsia="仿宋" w:cs="仿宋"/>
                <w:color w:val="auto"/>
                <w:kern w:val="0"/>
                <w:sz w:val="24"/>
                <w:szCs w:val="24"/>
                <w:highlight w:val="none"/>
                <w:lang w:val="en-US" w:eastAsia="zh-CN" w:bidi="ar-SA"/>
              </w:rPr>
            </w:pPr>
          </w:p>
        </w:tc>
        <w:tc>
          <w:tcPr>
            <w:tcW w:w="1183" w:type="dxa"/>
            <w:noWrap w:val="0"/>
            <w:vAlign w:val="center"/>
          </w:tcPr>
          <w:p w14:paraId="509F5D97">
            <w:pPr>
              <w:jc w:val="center"/>
              <w:rPr>
                <w:rFonts w:ascii="仿宋" w:hAnsi="仿宋" w:eastAsia="仿宋" w:cs="仿宋"/>
                <w:color w:val="auto"/>
                <w:kern w:val="0"/>
                <w:sz w:val="24"/>
                <w:szCs w:val="24"/>
                <w:highlight w:val="none"/>
              </w:rPr>
            </w:pPr>
          </w:p>
        </w:tc>
        <w:tc>
          <w:tcPr>
            <w:tcW w:w="1179" w:type="dxa"/>
            <w:noWrap w:val="0"/>
            <w:vAlign w:val="center"/>
          </w:tcPr>
          <w:p w14:paraId="4988DEBE">
            <w:pPr>
              <w:jc w:val="center"/>
              <w:rPr>
                <w:rFonts w:ascii="仿宋" w:hAnsi="仿宋" w:eastAsia="仿宋" w:cs="仿宋"/>
                <w:color w:val="auto"/>
                <w:kern w:val="0"/>
                <w:sz w:val="24"/>
                <w:szCs w:val="24"/>
                <w:highlight w:val="none"/>
              </w:rPr>
            </w:pPr>
          </w:p>
        </w:tc>
        <w:tc>
          <w:tcPr>
            <w:tcW w:w="1076" w:type="dxa"/>
            <w:noWrap w:val="0"/>
            <w:vAlign w:val="center"/>
          </w:tcPr>
          <w:p w14:paraId="3F1F1C51">
            <w:pPr>
              <w:rPr>
                <w:rFonts w:ascii="仿宋" w:hAnsi="仿宋" w:eastAsia="仿宋" w:cs="仿宋"/>
                <w:color w:val="auto"/>
                <w:kern w:val="0"/>
                <w:sz w:val="24"/>
                <w:szCs w:val="24"/>
                <w:highlight w:val="none"/>
              </w:rPr>
            </w:pPr>
          </w:p>
        </w:tc>
        <w:tc>
          <w:tcPr>
            <w:tcW w:w="816" w:type="dxa"/>
            <w:noWrap w:val="0"/>
            <w:vAlign w:val="center"/>
          </w:tcPr>
          <w:p w14:paraId="66F65CC3">
            <w:pPr>
              <w:rPr>
                <w:rFonts w:ascii="仿宋" w:hAnsi="仿宋" w:eastAsia="仿宋" w:cs="仿宋"/>
                <w:color w:val="auto"/>
                <w:kern w:val="0"/>
                <w:sz w:val="24"/>
                <w:szCs w:val="24"/>
                <w:highlight w:val="none"/>
              </w:rPr>
            </w:pPr>
          </w:p>
        </w:tc>
      </w:tr>
      <w:tr w14:paraId="5DB8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53F4843A">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4</w:t>
            </w:r>
          </w:p>
        </w:tc>
        <w:tc>
          <w:tcPr>
            <w:tcW w:w="3234" w:type="dxa"/>
            <w:noWrap w:val="0"/>
            <w:vAlign w:val="center"/>
          </w:tcPr>
          <w:p w14:paraId="31FCD677">
            <w:pPr>
              <w:rPr>
                <w:rFonts w:ascii="仿宋" w:hAnsi="仿宋" w:eastAsia="仿宋" w:cs="仿宋"/>
                <w:color w:val="auto"/>
                <w:kern w:val="0"/>
                <w:sz w:val="24"/>
                <w:szCs w:val="24"/>
                <w:highlight w:val="none"/>
              </w:rPr>
            </w:pPr>
          </w:p>
        </w:tc>
        <w:tc>
          <w:tcPr>
            <w:tcW w:w="1500" w:type="dxa"/>
            <w:noWrap w:val="0"/>
            <w:vAlign w:val="center"/>
          </w:tcPr>
          <w:p w14:paraId="78B8FABB">
            <w:pPr>
              <w:jc w:val="center"/>
              <w:rPr>
                <w:rFonts w:ascii="仿宋" w:hAnsi="仿宋" w:eastAsia="仿宋" w:cs="仿宋"/>
                <w:color w:val="auto"/>
                <w:kern w:val="0"/>
                <w:sz w:val="24"/>
                <w:szCs w:val="24"/>
                <w:highlight w:val="none"/>
                <w:lang w:val="en-US" w:eastAsia="zh-CN" w:bidi="ar-SA"/>
              </w:rPr>
            </w:pPr>
          </w:p>
        </w:tc>
        <w:tc>
          <w:tcPr>
            <w:tcW w:w="1183" w:type="dxa"/>
            <w:noWrap w:val="0"/>
            <w:vAlign w:val="center"/>
          </w:tcPr>
          <w:p w14:paraId="1FD72739">
            <w:pPr>
              <w:jc w:val="center"/>
              <w:rPr>
                <w:rFonts w:ascii="仿宋" w:hAnsi="仿宋" w:eastAsia="仿宋" w:cs="仿宋"/>
                <w:color w:val="auto"/>
                <w:kern w:val="0"/>
                <w:sz w:val="24"/>
                <w:szCs w:val="24"/>
                <w:highlight w:val="none"/>
              </w:rPr>
            </w:pPr>
          </w:p>
        </w:tc>
        <w:tc>
          <w:tcPr>
            <w:tcW w:w="1179" w:type="dxa"/>
            <w:noWrap w:val="0"/>
            <w:vAlign w:val="center"/>
          </w:tcPr>
          <w:p w14:paraId="37398B28">
            <w:pPr>
              <w:jc w:val="center"/>
              <w:rPr>
                <w:rFonts w:ascii="仿宋" w:hAnsi="仿宋" w:eastAsia="仿宋" w:cs="仿宋"/>
                <w:color w:val="auto"/>
                <w:kern w:val="0"/>
                <w:sz w:val="24"/>
                <w:szCs w:val="24"/>
                <w:highlight w:val="none"/>
              </w:rPr>
            </w:pPr>
          </w:p>
        </w:tc>
        <w:tc>
          <w:tcPr>
            <w:tcW w:w="1076" w:type="dxa"/>
            <w:noWrap w:val="0"/>
            <w:vAlign w:val="center"/>
          </w:tcPr>
          <w:p w14:paraId="243744BC">
            <w:pPr>
              <w:rPr>
                <w:rFonts w:ascii="仿宋" w:hAnsi="仿宋" w:eastAsia="仿宋" w:cs="仿宋"/>
                <w:color w:val="auto"/>
                <w:kern w:val="0"/>
                <w:sz w:val="24"/>
                <w:szCs w:val="24"/>
                <w:highlight w:val="none"/>
              </w:rPr>
            </w:pPr>
          </w:p>
        </w:tc>
        <w:tc>
          <w:tcPr>
            <w:tcW w:w="816" w:type="dxa"/>
            <w:noWrap w:val="0"/>
            <w:vAlign w:val="center"/>
          </w:tcPr>
          <w:p w14:paraId="19F20967">
            <w:pPr>
              <w:rPr>
                <w:rFonts w:ascii="仿宋" w:hAnsi="仿宋" w:eastAsia="仿宋" w:cs="仿宋"/>
                <w:color w:val="auto"/>
                <w:kern w:val="0"/>
                <w:sz w:val="24"/>
                <w:szCs w:val="24"/>
                <w:highlight w:val="none"/>
              </w:rPr>
            </w:pPr>
          </w:p>
        </w:tc>
      </w:tr>
      <w:tr w14:paraId="4599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39E6A9F3">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5</w:t>
            </w:r>
          </w:p>
        </w:tc>
        <w:tc>
          <w:tcPr>
            <w:tcW w:w="3234" w:type="dxa"/>
            <w:noWrap w:val="0"/>
            <w:vAlign w:val="center"/>
          </w:tcPr>
          <w:p w14:paraId="6DC26344">
            <w:pPr>
              <w:rPr>
                <w:rFonts w:ascii="仿宋" w:hAnsi="仿宋" w:eastAsia="仿宋" w:cs="仿宋"/>
                <w:color w:val="auto"/>
                <w:kern w:val="0"/>
                <w:sz w:val="24"/>
                <w:szCs w:val="24"/>
                <w:highlight w:val="none"/>
              </w:rPr>
            </w:pPr>
          </w:p>
        </w:tc>
        <w:tc>
          <w:tcPr>
            <w:tcW w:w="1500" w:type="dxa"/>
            <w:noWrap w:val="0"/>
            <w:vAlign w:val="center"/>
          </w:tcPr>
          <w:p w14:paraId="66AC2EA4">
            <w:pPr>
              <w:jc w:val="center"/>
              <w:rPr>
                <w:rFonts w:ascii="仿宋" w:hAnsi="仿宋" w:eastAsia="仿宋" w:cs="仿宋"/>
                <w:color w:val="auto"/>
                <w:kern w:val="0"/>
                <w:sz w:val="24"/>
                <w:szCs w:val="24"/>
                <w:highlight w:val="none"/>
                <w:lang w:val="en-US" w:eastAsia="zh-CN" w:bidi="ar-SA"/>
              </w:rPr>
            </w:pPr>
          </w:p>
        </w:tc>
        <w:tc>
          <w:tcPr>
            <w:tcW w:w="1183" w:type="dxa"/>
            <w:noWrap w:val="0"/>
            <w:vAlign w:val="center"/>
          </w:tcPr>
          <w:p w14:paraId="303044A4">
            <w:pPr>
              <w:jc w:val="center"/>
              <w:rPr>
                <w:rFonts w:ascii="仿宋" w:hAnsi="仿宋" w:eastAsia="仿宋" w:cs="仿宋"/>
                <w:color w:val="auto"/>
                <w:kern w:val="0"/>
                <w:sz w:val="24"/>
                <w:szCs w:val="24"/>
                <w:highlight w:val="none"/>
              </w:rPr>
            </w:pPr>
          </w:p>
        </w:tc>
        <w:tc>
          <w:tcPr>
            <w:tcW w:w="1179" w:type="dxa"/>
            <w:noWrap w:val="0"/>
            <w:vAlign w:val="center"/>
          </w:tcPr>
          <w:p w14:paraId="47C19CD9">
            <w:pPr>
              <w:jc w:val="center"/>
              <w:rPr>
                <w:rFonts w:ascii="仿宋" w:hAnsi="仿宋" w:eastAsia="仿宋" w:cs="仿宋"/>
                <w:color w:val="auto"/>
                <w:kern w:val="0"/>
                <w:sz w:val="24"/>
                <w:szCs w:val="24"/>
                <w:highlight w:val="none"/>
              </w:rPr>
            </w:pPr>
          </w:p>
        </w:tc>
        <w:tc>
          <w:tcPr>
            <w:tcW w:w="1076" w:type="dxa"/>
            <w:noWrap w:val="0"/>
            <w:vAlign w:val="center"/>
          </w:tcPr>
          <w:p w14:paraId="4A0A930F">
            <w:pPr>
              <w:rPr>
                <w:rFonts w:ascii="仿宋" w:hAnsi="仿宋" w:eastAsia="仿宋" w:cs="仿宋"/>
                <w:color w:val="auto"/>
                <w:kern w:val="0"/>
                <w:sz w:val="24"/>
                <w:szCs w:val="24"/>
                <w:highlight w:val="none"/>
              </w:rPr>
            </w:pPr>
          </w:p>
        </w:tc>
        <w:tc>
          <w:tcPr>
            <w:tcW w:w="816" w:type="dxa"/>
            <w:noWrap w:val="0"/>
            <w:vAlign w:val="center"/>
          </w:tcPr>
          <w:p w14:paraId="08B16E51">
            <w:pPr>
              <w:rPr>
                <w:rFonts w:ascii="仿宋" w:hAnsi="仿宋" w:eastAsia="仿宋" w:cs="仿宋"/>
                <w:color w:val="auto"/>
                <w:kern w:val="0"/>
                <w:sz w:val="24"/>
                <w:szCs w:val="24"/>
                <w:highlight w:val="none"/>
              </w:rPr>
            </w:pPr>
          </w:p>
        </w:tc>
      </w:tr>
      <w:tr w14:paraId="1FAB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67EB0D81">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6</w:t>
            </w:r>
          </w:p>
        </w:tc>
        <w:tc>
          <w:tcPr>
            <w:tcW w:w="3234" w:type="dxa"/>
            <w:noWrap w:val="0"/>
            <w:vAlign w:val="center"/>
          </w:tcPr>
          <w:p w14:paraId="56A7907D">
            <w:pPr>
              <w:rPr>
                <w:rFonts w:ascii="仿宋" w:hAnsi="仿宋" w:eastAsia="仿宋" w:cs="仿宋"/>
                <w:color w:val="auto"/>
                <w:kern w:val="0"/>
                <w:sz w:val="24"/>
                <w:szCs w:val="24"/>
                <w:highlight w:val="none"/>
              </w:rPr>
            </w:pPr>
          </w:p>
        </w:tc>
        <w:tc>
          <w:tcPr>
            <w:tcW w:w="1500" w:type="dxa"/>
            <w:noWrap w:val="0"/>
            <w:vAlign w:val="center"/>
          </w:tcPr>
          <w:p w14:paraId="430171EA">
            <w:pPr>
              <w:jc w:val="center"/>
              <w:rPr>
                <w:rFonts w:ascii="仿宋" w:hAnsi="仿宋" w:eastAsia="仿宋" w:cs="仿宋"/>
                <w:color w:val="auto"/>
                <w:kern w:val="0"/>
                <w:sz w:val="24"/>
                <w:szCs w:val="24"/>
                <w:highlight w:val="none"/>
                <w:lang w:val="en-US" w:eastAsia="zh-CN" w:bidi="ar-SA"/>
              </w:rPr>
            </w:pPr>
          </w:p>
        </w:tc>
        <w:tc>
          <w:tcPr>
            <w:tcW w:w="1183" w:type="dxa"/>
            <w:noWrap w:val="0"/>
            <w:vAlign w:val="center"/>
          </w:tcPr>
          <w:p w14:paraId="00353730">
            <w:pPr>
              <w:jc w:val="center"/>
              <w:rPr>
                <w:rFonts w:ascii="仿宋" w:hAnsi="仿宋" w:eastAsia="仿宋" w:cs="仿宋"/>
                <w:color w:val="auto"/>
                <w:kern w:val="0"/>
                <w:sz w:val="24"/>
                <w:szCs w:val="24"/>
                <w:highlight w:val="none"/>
              </w:rPr>
            </w:pPr>
          </w:p>
        </w:tc>
        <w:tc>
          <w:tcPr>
            <w:tcW w:w="1179" w:type="dxa"/>
            <w:noWrap w:val="0"/>
            <w:vAlign w:val="center"/>
          </w:tcPr>
          <w:p w14:paraId="7877D1D3">
            <w:pPr>
              <w:jc w:val="center"/>
              <w:rPr>
                <w:rFonts w:ascii="仿宋" w:hAnsi="仿宋" w:eastAsia="仿宋" w:cs="仿宋"/>
                <w:color w:val="auto"/>
                <w:kern w:val="0"/>
                <w:sz w:val="24"/>
                <w:szCs w:val="24"/>
                <w:highlight w:val="none"/>
              </w:rPr>
            </w:pPr>
          </w:p>
        </w:tc>
        <w:tc>
          <w:tcPr>
            <w:tcW w:w="1076" w:type="dxa"/>
            <w:noWrap w:val="0"/>
            <w:vAlign w:val="center"/>
          </w:tcPr>
          <w:p w14:paraId="09928E83">
            <w:pPr>
              <w:rPr>
                <w:rFonts w:ascii="仿宋" w:hAnsi="仿宋" w:eastAsia="仿宋" w:cs="仿宋"/>
                <w:color w:val="auto"/>
                <w:kern w:val="0"/>
                <w:sz w:val="24"/>
                <w:szCs w:val="24"/>
                <w:highlight w:val="none"/>
              </w:rPr>
            </w:pPr>
          </w:p>
        </w:tc>
        <w:tc>
          <w:tcPr>
            <w:tcW w:w="816" w:type="dxa"/>
            <w:noWrap w:val="0"/>
            <w:vAlign w:val="center"/>
          </w:tcPr>
          <w:p w14:paraId="23AA8B76">
            <w:pPr>
              <w:rPr>
                <w:rFonts w:ascii="仿宋" w:hAnsi="仿宋" w:eastAsia="仿宋" w:cs="仿宋"/>
                <w:color w:val="auto"/>
                <w:kern w:val="0"/>
                <w:sz w:val="24"/>
                <w:szCs w:val="24"/>
                <w:highlight w:val="none"/>
              </w:rPr>
            </w:pPr>
          </w:p>
        </w:tc>
      </w:tr>
      <w:tr w14:paraId="2278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018430BC">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7</w:t>
            </w:r>
          </w:p>
        </w:tc>
        <w:tc>
          <w:tcPr>
            <w:tcW w:w="3234" w:type="dxa"/>
            <w:noWrap w:val="0"/>
            <w:vAlign w:val="center"/>
          </w:tcPr>
          <w:p w14:paraId="524B3A9B">
            <w:pPr>
              <w:rPr>
                <w:rFonts w:ascii="仿宋" w:hAnsi="仿宋" w:eastAsia="仿宋" w:cs="仿宋"/>
                <w:color w:val="auto"/>
                <w:kern w:val="0"/>
                <w:sz w:val="24"/>
                <w:szCs w:val="24"/>
                <w:highlight w:val="none"/>
              </w:rPr>
            </w:pPr>
          </w:p>
        </w:tc>
        <w:tc>
          <w:tcPr>
            <w:tcW w:w="1500" w:type="dxa"/>
            <w:noWrap w:val="0"/>
            <w:vAlign w:val="center"/>
          </w:tcPr>
          <w:p w14:paraId="10F47C67">
            <w:pPr>
              <w:jc w:val="center"/>
              <w:rPr>
                <w:rFonts w:ascii="仿宋" w:hAnsi="仿宋" w:eastAsia="仿宋" w:cs="仿宋"/>
                <w:color w:val="auto"/>
                <w:kern w:val="0"/>
                <w:sz w:val="24"/>
                <w:szCs w:val="24"/>
                <w:highlight w:val="none"/>
                <w:lang w:val="en-US" w:eastAsia="zh-CN" w:bidi="ar-SA"/>
              </w:rPr>
            </w:pPr>
          </w:p>
        </w:tc>
        <w:tc>
          <w:tcPr>
            <w:tcW w:w="1183" w:type="dxa"/>
            <w:noWrap w:val="0"/>
            <w:vAlign w:val="center"/>
          </w:tcPr>
          <w:p w14:paraId="60D6AB60">
            <w:pPr>
              <w:jc w:val="center"/>
              <w:rPr>
                <w:rFonts w:ascii="仿宋" w:hAnsi="仿宋" w:eastAsia="仿宋" w:cs="仿宋"/>
                <w:color w:val="auto"/>
                <w:kern w:val="0"/>
                <w:sz w:val="24"/>
                <w:szCs w:val="24"/>
                <w:highlight w:val="none"/>
              </w:rPr>
            </w:pPr>
          </w:p>
        </w:tc>
        <w:tc>
          <w:tcPr>
            <w:tcW w:w="1179" w:type="dxa"/>
            <w:noWrap w:val="0"/>
            <w:vAlign w:val="center"/>
          </w:tcPr>
          <w:p w14:paraId="6EFF3B42">
            <w:pPr>
              <w:jc w:val="center"/>
              <w:rPr>
                <w:rFonts w:ascii="仿宋" w:hAnsi="仿宋" w:eastAsia="仿宋" w:cs="仿宋"/>
                <w:color w:val="auto"/>
                <w:kern w:val="0"/>
                <w:sz w:val="24"/>
                <w:szCs w:val="24"/>
                <w:highlight w:val="none"/>
              </w:rPr>
            </w:pPr>
          </w:p>
        </w:tc>
        <w:tc>
          <w:tcPr>
            <w:tcW w:w="1076" w:type="dxa"/>
            <w:noWrap w:val="0"/>
            <w:vAlign w:val="center"/>
          </w:tcPr>
          <w:p w14:paraId="126CC4A9">
            <w:pPr>
              <w:rPr>
                <w:rFonts w:ascii="仿宋" w:hAnsi="仿宋" w:eastAsia="仿宋" w:cs="仿宋"/>
                <w:color w:val="auto"/>
                <w:kern w:val="0"/>
                <w:sz w:val="24"/>
                <w:szCs w:val="24"/>
                <w:highlight w:val="none"/>
              </w:rPr>
            </w:pPr>
          </w:p>
        </w:tc>
        <w:tc>
          <w:tcPr>
            <w:tcW w:w="816" w:type="dxa"/>
            <w:noWrap w:val="0"/>
            <w:vAlign w:val="center"/>
          </w:tcPr>
          <w:p w14:paraId="4C9D1EF7">
            <w:pPr>
              <w:rPr>
                <w:rFonts w:ascii="仿宋" w:hAnsi="仿宋" w:eastAsia="仿宋" w:cs="仿宋"/>
                <w:color w:val="auto"/>
                <w:kern w:val="0"/>
                <w:sz w:val="24"/>
                <w:szCs w:val="24"/>
                <w:highlight w:val="none"/>
              </w:rPr>
            </w:pPr>
          </w:p>
        </w:tc>
      </w:tr>
      <w:tr w14:paraId="626C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54328033">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8</w:t>
            </w:r>
          </w:p>
        </w:tc>
        <w:tc>
          <w:tcPr>
            <w:tcW w:w="3234" w:type="dxa"/>
            <w:noWrap w:val="0"/>
            <w:vAlign w:val="center"/>
          </w:tcPr>
          <w:p w14:paraId="71E7E8D6">
            <w:pPr>
              <w:rPr>
                <w:rFonts w:ascii="仿宋" w:hAnsi="仿宋" w:eastAsia="仿宋" w:cs="仿宋"/>
                <w:color w:val="auto"/>
                <w:kern w:val="0"/>
                <w:sz w:val="24"/>
                <w:szCs w:val="24"/>
                <w:highlight w:val="none"/>
              </w:rPr>
            </w:pPr>
          </w:p>
        </w:tc>
        <w:tc>
          <w:tcPr>
            <w:tcW w:w="1500" w:type="dxa"/>
            <w:noWrap w:val="0"/>
            <w:vAlign w:val="center"/>
          </w:tcPr>
          <w:p w14:paraId="22498D5B">
            <w:pPr>
              <w:jc w:val="center"/>
              <w:rPr>
                <w:rFonts w:ascii="仿宋" w:hAnsi="仿宋" w:eastAsia="仿宋" w:cs="仿宋"/>
                <w:color w:val="auto"/>
                <w:kern w:val="0"/>
                <w:sz w:val="24"/>
                <w:szCs w:val="24"/>
                <w:highlight w:val="none"/>
                <w:lang w:val="en-US" w:eastAsia="zh-CN" w:bidi="ar-SA"/>
              </w:rPr>
            </w:pPr>
          </w:p>
        </w:tc>
        <w:tc>
          <w:tcPr>
            <w:tcW w:w="1183" w:type="dxa"/>
            <w:noWrap w:val="0"/>
            <w:vAlign w:val="center"/>
          </w:tcPr>
          <w:p w14:paraId="13760E60">
            <w:pPr>
              <w:jc w:val="center"/>
              <w:rPr>
                <w:rFonts w:ascii="仿宋" w:hAnsi="仿宋" w:eastAsia="仿宋" w:cs="仿宋"/>
                <w:color w:val="auto"/>
                <w:kern w:val="0"/>
                <w:sz w:val="24"/>
                <w:szCs w:val="24"/>
                <w:highlight w:val="none"/>
              </w:rPr>
            </w:pPr>
          </w:p>
        </w:tc>
        <w:tc>
          <w:tcPr>
            <w:tcW w:w="1179" w:type="dxa"/>
            <w:noWrap w:val="0"/>
            <w:vAlign w:val="center"/>
          </w:tcPr>
          <w:p w14:paraId="1203A189">
            <w:pPr>
              <w:jc w:val="center"/>
              <w:rPr>
                <w:rFonts w:ascii="仿宋" w:hAnsi="仿宋" w:eastAsia="仿宋" w:cs="仿宋"/>
                <w:color w:val="auto"/>
                <w:kern w:val="0"/>
                <w:sz w:val="24"/>
                <w:szCs w:val="24"/>
                <w:highlight w:val="none"/>
              </w:rPr>
            </w:pPr>
          </w:p>
        </w:tc>
        <w:tc>
          <w:tcPr>
            <w:tcW w:w="1076" w:type="dxa"/>
            <w:noWrap w:val="0"/>
            <w:vAlign w:val="center"/>
          </w:tcPr>
          <w:p w14:paraId="17EC4091">
            <w:pPr>
              <w:rPr>
                <w:rFonts w:ascii="仿宋" w:hAnsi="仿宋" w:eastAsia="仿宋" w:cs="仿宋"/>
                <w:color w:val="auto"/>
                <w:kern w:val="0"/>
                <w:sz w:val="24"/>
                <w:szCs w:val="24"/>
                <w:highlight w:val="none"/>
              </w:rPr>
            </w:pPr>
          </w:p>
        </w:tc>
        <w:tc>
          <w:tcPr>
            <w:tcW w:w="816" w:type="dxa"/>
            <w:noWrap w:val="0"/>
            <w:vAlign w:val="center"/>
          </w:tcPr>
          <w:p w14:paraId="0AE91CA0">
            <w:pPr>
              <w:rPr>
                <w:rFonts w:ascii="仿宋" w:hAnsi="仿宋" w:eastAsia="仿宋" w:cs="仿宋"/>
                <w:color w:val="auto"/>
                <w:kern w:val="0"/>
                <w:sz w:val="24"/>
                <w:szCs w:val="24"/>
                <w:highlight w:val="none"/>
              </w:rPr>
            </w:pPr>
          </w:p>
        </w:tc>
      </w:tr>
      <w:tr w14:paraId="192D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1A205A6F">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9</w:t>
            </w:r>
          </w:p>
        </w:tc>
        <w:tc>
          <w:tcPr>
            <w:tcW w:w="3234" w:type="dxa"/>
            <w:noWrap w:val="0"/>
            <w:vAlign w:val="center"/>
          </w:tcPr>
          <w:p w14:paraId="50CAFA92">
            <w:pPr>
              <w:rPr>
                <w:rFonts w:ascii="仿宋" w:hAnsi="仿宋" w:eastAsia="仿宋" w:cs="仿宋"/>
                <w:color w:val="auto"/>
                <w:kern w:val="0"/>
                <w:sz w:val="24"/>
                <w:szCs w:val="24"/>
                <w:highlight w:val="none"/>
              </w:rPr>
            </w:pPr>
          </w:p>
        </w:tc>
        <w:tc>
          <w:tcPr>
            <w:tcW w:w="1500" w:type="dxa"/>
            <w:noWrap w:val="0"/>
            <w:vAlign w:val="center"/>
          </w:tcPr>
          <w:p w14:paraId="0EC76797">
            <w:pPr>
              <w:jc w:val="center"/>
              <w:rPr>
                <w:rFonts w:ascii="仿宋" w:hAnsi="仿宋" w:eastAsia="仿宋" w:cs="仿宋"/>
                <w:color w:val="auto"/>
                <w:kern w:val="0"/>
                <w:sz w:val="24"/>
                <w:szCs w:val="24"/>
                <w:highlight w:val="none"/>
                <w:lang w:val="en-US" w:eastAsia="zh-CN" w:bidi="ar-SA"/>
              </w:rPr>
            </w:pPr>
          </w:p>
        </w:tc>
        <w:tc>
          <w:tcPr>
            <w:tcW w:w="1183" w:type="dxa"/>
            <w:noWrap w:val="0"/>
            <w:vAlign w:val="center"/>
          </w:tcPr>
          <w:p w14:paraId="1B115DC2">
            <w:pPr>
              <w:jc w:val="center"/>
              <w:rPr>
                <w:rFonts w:ascii="仿宋" w:hAnsi="仿宋" w:eastAsia="仿宋" w:cs="仿宋"/>
                <w:color w:val="auto"/>
                <w:kern w:val="0"/>
                <w:sz w:val="24"/>
                <w:szCs w:val="24"/>
                <w:highlight w:val="none"/>
              </w:rPr>
            </w:pPr>
          </w:p>
        </w:tc>
        <w:tc>
          <w:tcPr>
            <w:tcW w:w="1179" w:type="dxa"/>
            <w:noWrap w:val="0"/>
            <w:vAlign w:val="center"/>
          </w:tcPr>
          <w:p w14:paraId="701C00B1">
            <w:pPr>
              <w:jc w:val="center"/>
              <w:rPr>
                <w:rFonts w:ascii="仿宋" w:hAnsi="仿宋" w:eastAsia="仿宋" w:cs="仿宋"/>
                <w:color w:val="auto"/>
                <w:kern w:val="0"/>
                <w:sz w:val="24"/>
                <w:szCs w:val="24"/>
                <w:highlight w:val="none"/>
              </w:rPr>
            </w:pPr>
          </w:p>
        </w:tc>
        <w:tc>
          <w:tcPr>
            <w:tcW w:w="1076" w:type="dxa"/>
            <w:noWrap w:val="0"/>
            <w:vAlign w:val="center"/>
          </w:tcPr>
          <w:p w14:paraId="47825142">
            <w:pPr>
              <w:rPr>
                <w:rFonts w:ascii="仿宋" w:hAnsi="仿宋" w:eastAsia="仿宋" w:cs="仿宋"/>
                <w:color w:val="auto"/>
                <w:kern w:val="0"/>
                <w:sz w:val="24"/>
                <w:szCs w:val="24"/>
                <w:highlight w:val="none"/>
              </w:rPr>
            </w:pPr>
          </w:p>
        </w:tc>
        <w:tc>
          <w:tcPr>
            <w:tcW w:w="816" w:type="dxa"/>
            <w:noWrap w:val="0"/>
            <w:vAlign w:val="center"/>
          </w:tcPr>
          <w:p w14:paraId="5B779C51">
            <w:pPr>
              <w:rPr>
                <w:rFonts w:ascii="仿宋" w:hAnsi="仿宋" w:eastAsia="仿宋" w:cs="仿宋"/>
                <w:color w:val="auto"/>
                <w:kern w:val="0"/>
                <w:sz w:val="24"/>
                <w:szCs w:val="24"/>
                <w:highlight w:val="none"/>
              </w:rPr>
            </w:pPr>
          </w:p>
        </w:tc>
      </w:tr>
      <w:tr w14:paraId="4DE1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7AB41931">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10</w:t>
            </w:r>
          </w:p>
        </w:tc>
        <w:tc>
          <w:tcPr>
            <w:tcW w:w="3234" w:type="dxa"/>
            <w:noWrap w:val="0"/>
            <w:vAlign w:val="center"/>
          </w:tcPr>
          <w:p w14:paraId="0CB4BEC5">
            <w:pPr>
              <w:rPr>
                <w:rFonts w:ascii="仿宋" w:hAnsi="仿宋" w:eastAsia="仿宋" w:cs="仿宋"/>
                <w:color w:val="auto"/>
                <w:kern w:val="0"/>
                <w:sz w:val="24"/>
                <w:szCs w:val="24"/>
                <w:highlight w:val="none"/>
              </w:rPr>
            </w:pPr>
          </w:p>
        </w:tc>
        <w:tc>
          <w:tcPr>
            <w:tcW w:w="1500" w:type="dxa"/>
            <w:noWrap w:val="0"/>
            <w:vAlign w:val="center"/>
          </w:tcPr>
          <w:p w14:paraId="70A1C5DF">
            <w:pPr>
              <w:jc w:val="center"/>
              <w:rPr>
                <w:rFonts w:ascii="仿宋" w:hAnsi="仿宋" w:eastAsia="仿宋" w:cs="仿宋"/>
                <w:color w:val="auto"/>
                <w:kern w:val="0"/>
                <w:sz w:val="24"/>
                <w:szCs w:val="24"/>
                <w:highlight w:val="none"/>
                <w:lang w:val="en-US" w:eastAsia="zh-CN" w:bidi="ar-SA"/>
              </w:rPr>
            </w:pPr>
          </w:p>
        </w:tc>
        <w:tc>
          <w:tcPr>
            <w:tcW w:w="1183" w:type="dxa"/>
            <w:noWrap w:val="0"/>
            <w:vAlign w:val="center"/>
          </w:tcPr>
          <w:p w14:paraId="7982CBED">
            <w:pPr>
              <w:jc w:val="center"/>
              <w:rPr>
                <w:rFonts w:ascii="仿宋" w:hAnsi="仿宋" w:eastAsia="仿宋" w:cs="仿宋"/>
                <w:color w:val="auto"/>
                <w:kern w:val="0"/>
                <w:sz w:val="24"/>
                <w:szCs w:val="24"/>
                <w:highlight w:val="none"/>
              </w:rPr>
            </w:pPr>
          </w:p>
        </w:tc>
        <w:tc>
          <w:tcPr>
            <w:tcW w:w="1179" w:type="dxa"/>
            <w:noWrap w:val="0"/>
            <w:vAlign w:val="center"/>
          </w:tcPr>
          <w:p w14:paraId="69E1E00E">
            <w:pPr>
              <w:jc w:val="center"/>
              <w:rPr>
                <w:rFonts w:ascii="仿宋" w:hAnsi="仿宋" w:eastAsia="仿宋" w:cs="仿宋"/>
                <w:color w:val="auto"/>
                <w:kern w:val="0"/>
                <w:sz w:val="24"/>
                <w:szCs w:val="24"/>
                <w:highlight w:val="none"/>
              </w:rPr>
            </w:pPr>
          </w:p>
        </w:tc>
        <w:tc>
          <w:tcPr>
            <w:tcW w:w="1076" w:type="dxa"/>
            <w:noWrap w:val="0"/>
            <w:vAlign w:val="center"/>
          </w:tcPr>
          <w:p w14:paraId="0BB4D7C8">
            <w:pPr>
              <w:rPr>
                <w:rFonts w:ascii="仿宋" w:hAnsi="仿宋" w:eastAsia="仿宋" w:cs="仿宋"/>
                <w:color w:val="auto"/>
                <w:kern w:val="0"/>
                <w:sz w:val="24"/>
                <w:szCs w:val="24"/>
                <w:highlight w:val="none"/>
              </w:rPr>
            </w:pPr>
          </w:p>
        </w:tc>
        <w:tc>
          <w:tcPr>
            <w:tcW w:w="816" w:type="dxa"/>
            <w:noWrap w:val="0"/>
            <w:vAlign w:val="center"/>
          </w:tcPr>
          <w:p w14:paraId="23D6E381">
            <w:pPr>
              <w:rPr>
                <w:rFonts w:ascii="仿宋" w:hAnsi="仿宋" w:eastAsia="仿宋" w:cs="仿宋"/>
                <w:color w:val="auto"/>
                <w:kern w:val="0"/>
                <w:sz w:val="24"/>
                <w:szCs w:val="24"/>
                <w:highlight w:val="none"/>
              </w:rPr>
            </w:pPr>
          </w:p>
        </w:tc>
      </w:tr>
      <w:tr w14:paraId="74B3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52F3815B">
            <w:pPr>
              <w:widowControl/>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w:t>
            </w:r>
          </w:p>
        </w:tc>
        <w:tc>
          <w:tcPr>
            <w:tcW w:w="3234" w:type="dxa"/>
            <w:noWrap w:val="0"/>
            <w:vAlign w:val="center"/>
          </w:tcPr>
          <w:p w14:paraId="3E4BF979">
            <w:pPr>
              <w:rPr>
                <w:rFonts w:ascii="仿宋" w:hAnsi="仿宋" w:eastAsia="仿宋" w:cs="仿宋"/>
                <w:color w:val="auto"/>
                <w:kern w:val="0"/>
                <w:sz w:val="24"/>
                <w:szCs w:val="24"/>
                <w:highlight w:val="none"/>
              </w:rPr>
            </w:pPr>
          </w:p>
        </w:tc>
        <w:tc>
          <w:tcPr>
            <w:tcW w:w="1500" w:type="dxa"/>
            <w:noWrap w:val="0"/>
            <w:vAlign w:val="center"/>
          </w:tcPr>
          <w:p w14:paraId="54C69B91">
            <w:pPr>
              <w:jc w:val="center"/>
              <w:rPr>
                <w:rFonts w:ascii="仿宋" w:hAnsi="仿宋" w:eastAsia="仿宋" w:cs="仿宋"/>
                <w:color w:val="auto"/>
                <w:kern w:val="0"/>
                <w:sz w:val="24"/>
                <w:szCs w:val="24"/>
                <w:highlight w:val="none"/>
              </w:rPr>
            </w:pPr>
          </w:p>
        </w:tc>
        <w:tc>
          <w:tcPr>
            <w:tcW w:w="1183" w:type="dxa"/>
            <w:noWrap w:val="0"/>
            <w:vAlign w:val="center"/>
          </w:tcPr>
          <w:p w14:paraId="05B7EEC8">
            <w:pPr>
              <w:jc w:val="center"/>
              <w:rPr>
                <w:rFonts w:ascii="仿宋" w:hAnsi="仿宋" w:eastAsia="仿宋" w:cs="仿宋"/>
                <w:color w:val="auto"/>
                <w:kern w:val="0"/>
                <w:sz w:val="24"/>
                <w:szCs w:val="24"/>
                <w:highlight w:val="none"/>
              </w:rPr>
            </w:pPr>
          </w:p>
        </w:tc>
        <w:tc>
          <w:tcPr>
            <w:tcW w:w="1179" w:type="dxa"/>
            <w:noWrap w:val="0"/>
            <w:vAlign w:val="center"/>
          </w:tcPr>
          <w:p w14:paraId="1944D7F2">
            <w:pPr>
              <w:jc w:val="center"/>
              <w:rPr>
                <w:rFonts w:ascii="仿宋" w:hAnsi="仿宋" w:eastAsia="仿宋" w:cs="仿宋"/>
                <w:color w:val="auto"/>
                <w:kern w:val="0"/>
                <w:sz w:val="24"/>
                <w:szCs w:val="24"/>
                <w:highlight w:val="none"/>
              </w:rPr>
            </w:pPr>
          </w:p>
        </w:tc>
        <w:tc>
          <w:tcPr>
            <w:tcW w:w="1076" w:type="dxa"/>
            <w:noWrap w:val="0"/>
            <w:vAlign w:val="center"/>
          </w:tcPr>
          <w:p w14:paraId="63FAB98C">
            <w:pPr>
              <w:rPr>
                <w:rFonts w:ascii="仿宋" w:hAnsi="仿宋" w:eastAsia="仿宋" w:cs="仿宋"/>
                <w:color w:val="auto"/>
                <w:kern w:val="0"/>
                <w:sz w:val="24"/>
                <w:szCs w:val="24"/>
                <w:highlight w:val="none"/>
              </w:rPr>
            </w:pPr>
          </w:p>
        </w:tc>
        <w:tc>
          <w:tcPr>
            <w:tcW w:w="816" w:type="dxa"/>
            <w:noWrap w:val="0"/>
            <w:vAlign w:val="center"/>
          </w:tcPr>
          <w:p w14:paraId="4DD1184B">
            <w:pPr>
              <w:rPr>
                <w:rFonts w:ascii="仿宋" w:hAnsi="仿宋" w:eastAsia="仿宋" w:cs="仿宋"/>
                <w:color w:val="auto"/>
                <w:kern w:val="0"/>
                <w:sz w:val="24"/>
                <w:szCs w:val="24"/>
                <w:highlight w:val="none"/>
              </w:rPr>
            </w:pPr>
          </w:p>
        </w:tc>
      </w:tr>
      <w:tr w14:paraId="693B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14:paraId="3A8F0AEE">
            <w:pPr>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总价</w:t>
            </w:r>
          </w:p>
        </w:tc>
        <w:tc>
          <w:tcPr>
            <w:tcW w:w="8988" w:type="dxa"/>
            <w:gridSpan w:val="6"/>
            <w:noWrap w:val="0"/>
            <w:vAlign w:val="center"/>
          </w:tcPr>
          <w:p w14:paraId="3CFCAD47">
            <w:pP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大写：人民币                              （小写：</w:t>
            </w:r>
            <w:r>
              <w:rPr>
                <w:rFonts w:hint="eastAsia" w:ascii="仿宋" w:hAnsi="仿宋" w:eastAsia="仿宋" w:cs="仿宋"/>
                <w:b/>
                <w:bCs/>
                <w:color w:val="auto"/>
                <w:kern w:val="0"/>
                <w:sz w:val="28"/>
                <w:szCs w:val="28"/>
                <w:highlight w:val="none"/>
                <w:lang w:val="zh-CN"/>
              </w:rPr>
              <w:t>¥</w:t>
            </w:r>
            <w:r>
              <w:rPr>
                <w:rFonts w:hint="eastAsia" w:ascii="仿宋" w:hAnsi="仿宋" w:eastAsia="仿宋" w:cs="仿宋"/>
                <w:b/>
                <w:bCs/>
                <w:color w:val="auto"/>
                <w:kern w:val="0"/>
                <w:sz w:val="28"/>
                <w:szCs w:val="28"/>
                <w:highlight w:val="none"/>
              </w:rPr>
              <w:t xml:space="preserve">    元）</w:t>
            </w:r>
          </w:p>
        </w:tc>
      </w:tr>
    </w:tbl>
    <w:p w14:paraId="6590E7C3">
      <w:pPr>
        <w:spacing w:line="4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注：若表格不够用，各供应商可按此表复制。</w:t>
      </w:r>
    </w:p>
    <w:p w14:paraId="6A5D9730">
      <w:pPr>
        <w:rPr>
          <w:color w:val="auto"/>
          <w:highlight w:val="none"/>
        </w:rPr>
      </w:pPr>
    </w:p>
    <w:p w14:paraId="77D8669D">
      <w:pPr>
        <w:spacing w:line="500" w:lineRule="atLeast"/>
        <w:rPr>
          <w:rFonts w:hint="eastAsia" w:ascii="仿宋" w:hAnsi="仿宋" w:eastAsia="仿宋" w:cs="仿宋"/>
          <w:color w:val="auto"/>
          <w:sz w:val="28"/>
          <w:szCs w:val="28"/>
          <w:highlight w:val="none"/>
        </w:rPr>
      </w:pPr>
    </w:p>
    <w:p w14:paraId="3A6C4B36">
      <w:pPr>
        <w:spacing w:line="500" w:lineRule="atLeast"/>
        <w:rPr>
          <w:rFonts w:hint="eastAsia" w:ascii="仿宋" w:hAnsi="仿宋" w:eastAsia="仿宋" w:cs="仿宋"/>
          <w:color w:val="auto"/>
          <w:sz w:val="28"/>
          <w:szCs w:val="28"/>
          <w:highlight w:val="none"/>
        </w:rPr>
      </w:pPr>
    </w:p>
    <w:p w14:paraId="2A5FDC9A">
      <w:pPr>
        <w:pStyle w:val="50"/>
        <w:keepNext w:val="0"/>
        <w:keepLines w:val="0"/>
        <w:pageBreakBefore w:val="0"/>
        <w:widowControl/>
        <w:kinsoku/>
        <w:wordWrap/>
        <w:overflowPunct/>
        <w:topLinePunct w:val="0"/>
        <w:autoSpaceDE/>
        <w:autoSpaceDN/>
        <w:bidi w:val="0"/>
        <w:adjustRightInd/>
        <w:snapToGrid/>
        <w:spacing w:line="620" w:lineRule="exact"/>
        <w:ind w:firstLine="2660" w:firstLineChars="950"/>
        <w:jc w:val="both"/>
        <w:textAlignment w:val="auto"/>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供</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应</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商：</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u w:val="single"/>
        </w:rPr>
        <w:t xml:space="preserve">   </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u w:val="single"/>
        </w:rPr>
        <w:t xml:space="preserve">  </w:t>
      </w:r>
      <w:r>
        <w:rPr>
          <w:rFonts w:hint="eastAsia" w:ascii="仿宋" w:hAnsi="仿宋" w:eastAsia="仿宋" w:cs="仿宋"/>
          <w:b w:val="0"/>
          <w:color w:val="auto"/>
          <w:kern w:val="2"/>
          <w:sz w:val="28"/>
          <w:szCs w:val="28"/>
          <w:highlight w:val="none"/>
          <w:lang w:val="zh-CN"/>
        </w:rPr>
        <w:t>（公</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章）</w:t>
      </w:r>
    </w:p>
    <w:p w14:paraId="6148595D">
      <w:pPr>
        <w:pStyle w:val="50"/>
        <w:keepNext w:val="0"/>
        <w:keepLines w:val="0"/>
        <w:pageBreakBefore w:val="0"/>
        <w:widowControl/>
        <w:kinsoku/>
        <w:wordWrap/>
        <w:overflowPunct/>
        <w:topLinePunct w:val="0"/>
        <w:autoSpaceDE/>
        <w:autoSpaceDN/>
        <w:bidi w:val="0"/>
        <w:adjustRightInd/>
        <w:snapToGrid/>
        <w:spacing w:line="620" w:lineRule="exact"/>
        <w:ind w:firstLine="2660" w:firstLineChars="950"/>
        <w:jc w:val="both"/>
        <w:textAlignment w:val="auto"/>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法定代表人或被授权委托人：</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（签字或盖章）</w:t>
      </w:r>
    </w:p>
    <w:p w14:paraId="0716CCAF">
      <w:pPr>
        <w:pStyle w:val="50"/>
        <w:keepNext w:val="0"/>
        <w:keepLines w:val="0"/>
        <w:pageBreakBefore w:val="0"/>
        <w:widowControl/>
        <w:kinsoku/>
        <w:wordWrap/>
        <w:overflowPunct/>
        <w:topLinePunct w:val="0"/>
        <w:autoSpaceDE/>
        <w:autoSpaceDN/>
        <w:bidi w:val="0"/>
        <w:adjustRightInd/>
        <w:snapToGrid/>
        <w:spacing w:line="620" w:lineRule="exact"/>
        <w:ind w:firstLine="2660" w:firstLineChars="950"/>
        <w:jc w:val="both"/>
        <w:textAlignment w:val="auto"/>
        <w:rPr>
          <w:rFonts w:hint="eastAsia" w:ascii="仿宋" w:hAnsi="仿宋" w:eastAsia="仿宋" w:cs="仿宋"/>
          <w:b w:val="0"/>
          <w:color w:val="auto"/>
          <w:kern w:val="2"/>
          <w:sz w:val="28"/>
          <w:szCs w:val="28"/>
          <w:highlight w:val="none"/>
          <w:lang w:val="zh-CN"/>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b w:val="0"/>
          <w:color w:val="auto"/>
          <w:kern w:val="2"/>
          <w:sz w:val="28"/>
          <w:szCs w:val="28"/>
          <w:highlight w:val="none"/>
          <w:lang w:val="zh-CN"/>
        </w:rPr>
        <w:t xml:space="preserve">日   </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 xml:space="preserve">  期：</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年</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月</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日</w:t>
      </w:r>
    </w:p>
    <w:p w14:paraId="38628708">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技术要求响应表</w:t>
      </w:r>
    </w:p>
    <w:tbl>
      <w:tblPr>
        <w:tblStyle w:val="3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5"/>
        <w:gridCol w:w="2192"/>
        <w:gridCol w:w="2373"/>
        <w:gridCol w:w="2315"/>
        <w:gridCol w:w="1086"/>
        <w:gridCol w:w="1197"/>
      </w:tblGrid>
      <w:tr w14:paraId="58EDB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705" w:type="dxa"/>
            <w:tcBorders>
              <w:top w:val="single" w:color="auto" w:sz="4" w:space="0"/>
              <w:left w:val="single" w:color="auto" w:sz="4" w:space="0"/>
              <w:bottom w:val="single" w:color="auto" w:sz="4" w:space="0"/>
            </w:tcBorders>
            <w:vAlign w:val="center"/>
          </w:tcPr>
          <w:p w14:paraId="150E8D33">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192" w:type="dxa"/>
            <w:vAlign w:val="center"/>
          </w:tcPr>
          <w:p w14:paraId="09DA5B36">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名称</w:t>
            </w:r>
          </w:p>
        </w:tc>
        <w:tc>
          <w:tcPr>
            <w:tcW w:w="2373" w:type="dxa"/>
            <w:vAlign w:val="center"/>
          </w:tcPr>
          <w:p w14:paraId="307D030A">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招标文件技术要求</w:t>
            </w:r>
          </w:p>
        </w:tc>
        <w:tc>
          <w:tcPr>
            <w:tcW w:w="2315" w:type="dxa"/>
            <w:vAlign w:val="center"/>
          </w:tcPr>
          <w:p w14:paraId="487EADF6">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投标文件技术响应</w:t>
            </w:r>
          </w:p>
        </w:tc>
        <w:tc>
          <w:tcPr>
            <w:tcW w:w="1086" w:type="dxa"/>
            <w:vAlign w:val="center"/>
          </w:tcPr>
          <w:p w14:paraId="132919F8">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偏离</w:t>
            </w:r>
          </w:p>
        </w:tc>
        <w:tc>
          <w:tcPr>
            <w:tcW w:w="1197" w:type="dxa"/>
            <w:vAlign w:val="center"/>
          </w:tcPr>
          <w:p w14:paraId="51FF1570">
            <w:pPr>
              <w:spacing w:line="5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响应说明</w:t>
            </w:r>
          </w:p>
        </w:tc>
      </w:tr>
      <w:tr w14:paraId="79FA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14:paraId="4AB2A07A">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192" w:type="dxa"/>
          </w:tcPr>
          <w:p w14:paraId="554567FE">
            <w:pPr>
              <w:spacing w:line="500" w:lineRule="exact"/>
              <w:jc w:val="center"/>
              <w:rPr>
                <w:rFonts w:ascii="仿宋" w:hAnsi="仿宋" w:eastAsia="仿宋" w:cs="仿宋"/>
                <w:sz w:val="24"/>
                <w:szCs w:val="24"/>
                <w:highlight w:val="none"/>
              </w:rPr>
            </w:pPr>
          </w:p>
        </w:tc>
        <w:tc>
          <w:tcPr>
            <w:tcW w:w="2373" w:type="dxa"/>
          </w:tcPr>
          <w:p w14:paraId="0134988C">
            <w:pPr>
              <w:spacing w:line="500" w:lineRule="exact"/>
              <w:jc w:val="center"/>
              <w:rPr>
                <w:rFonts w:ascii="仿宋" w:hAnsi="仿宋" w:eastAsia="仿宋" w:cs="仿宋"/>
                <w:sz w:val="24"/>
                <w:szCs w:val="24"/>
                <w:highlight w:val="none"/>
              </w:rPr>
            </w:pPr>
          </w:p>
        </w:tc>
        <w:tc>
          <w:tcPr>
            <w:tcW w:w="2315" w:type="dxa"/>
          </w:tcPr>
          <w:p w14:paraId="1510E7AC">
            <w:pPr>
              <w:spacing w:line="500" w:lineRule="exact"/>
              <w:jc w:val="center"/>
              <w:rPr>
                <w:rFonts w:ascii="仿宋" w:hAnsi="仿宋" w:eastAsia="仿宋" w:cs="仿宋"/>
                <w:sz w:val="24"/>
                <w:szCs w:val="24"/>
                <w:highlight w:val="none"/>
              </w:rPr>
            </w:pPr>
          </w:p>
        </w:tc>
        <w:tc>
          <w:tcPr>
            <w:tcW w:w="1086" w:type="dxa"/>
          </w:tcPr>
          <w:p w14:paraId="6AD2C252">
            <w:pPr>
              <w:spacing w:line="500" w:lineRule="exact"/>
              <w:jc w:val="center"/>
              <w:rPr>
                <w:rFonts w:ascii="仿宋" w:hAnsi="仿宋" w:eastAsia="仿宋" w:cs="仿宋"/>
                <w:sz w:val="24"/>
                <w:szCs w:val="24"/>
                <w:highlight w:val="none"/>
              </w:rPr>
            </w:pPr>
          </w:p>
        </w:tc>
        <w:tc>
          <w:tcPr>
            <w:tcW w:w="1197" w:type="dxa"/>
          </w:tcPr>
          <w:p w14:paraId="1B6B98FF">
            <w:pPr>
              <w:spacing w:line="500" w:lineRule="exact"/>
              <w:jc w:val="center"/>
              <w:rPr>
                <w:rFonts w:ascii="仿宋" w:hAnsi="仿宋" w:eastAsia="仿宋" w:cs="仿宋"/>
                <w:sz w:val="24"/>
                <w:szCs w:val="24"/>
                <w:highlight w:val="none"/>
              </w:rPr>
            </w:pPr>
          </w:p>
        </w:tc>
      </w:tr>
      <w:tr w14:paraId="30124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14:paraId="59B934BB">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192" w:type="dxa"/>
          </w:tcPr>
          <w:p w14:paraId="6D2C0BA7">
            <w:pPr>
              <w:spacing w:line="500" w:lineRule="exact"/>
              <w:jc w:val="center"/>
              <w:rPr>
                <w:rFonts w:ascii="仿宋" w:hAnsi="仿宋" w:eastAsia="仿宋" w:cs="仿宋"/>
                <w:sz w:val="24"/>
                <w:szCs w:val="24"/>
                <w:highlight w:val="none"/>
              </w:rPr>
            </w:pPr>
          </w:p>
        </w:tc>
        <w:tc>
          <w:tcPr>
            <w:tcW w:w="2373" w:type="dxa"/>
          </w:tcPr>
          <w:p w14:paraId="0AF74320">
            <w:pPr>
              <w:spacing w:line="500" w:lineRule="exact"/>
              <w:jc w:val="center"/>
              <w:rPr>
                <w:rFonts w:ascii="仿宋" w:hAnsi="仿宋" w:eastAsia="仿宋" w:cs="仿宋"/>
                <w:sz w:val="24"/>
                <w:szCs w:val="24"/>
                <w:highlight w:val="none"/>
              </w:rPr>
            </w:pPr>
          </w:p>
        </w:tc>
        <w:tc>
          <w:tcPr>
            <w:tcW w:w="2315" w:type="dxa"/>
          </w:tcPr>
          <w:p w14:paraId="6543E28F">
            <w:pPr>
              <w:spacing w:line="500" w:lineRule="exact"/>
              <w:jc w:val="center"/>
              <w:rPr>
                <w:rFonts w:ascii="仿宋" w:hAnsi="仿宋" w:eastAsia="仿宋" w:cs="仿宋"/>
                <w:sz w:val="24"/>
                <w:szCs w:val="24"/>
                <w:highlight w:val="none"/>
              </w:rPr>
            </w:pPr>
          </w:p>
        </w:tc>
        <w:tc>
          <w:tcPr>
            <w:tcW w:w="1086" w:type="dxa"/>
          </w:tcPr>
          <w:p w14:paraId="55FD64A4">
            <w:pPr>
              <w:spacing w:line="500" w:lineRule="exact"/>
              <w:jc w:val="center"/>
              <w:rPr>
                <w:rFonts w:ascii="仿宋" w:hAnsi="仿宋" w:eastAsia="仿宋" w:cs="仿宋"/>
                <w:sz w:val="24"/>
                <w:szCs w:val="24"/>
                <w:highlight w:val="none"/>
              </w:rPr>
            </w:pPr>
          </w:p>
        </w:tc>
        <w:tc>
          <w:tcPr>
            <w:tcW w:w="1197" w:type="dxa"/>
          </w:tcPr>
          <w:p w14:paraId="029648B6">
            <w:pPr>
              <w:spacing w:line="500" w:lineRule="exact"/>
              <w:jc w:val="center"/>
              <w:rPr>
                <w:rFonts w:ascii="仿宋" w:hAnsi="仿宋" w:eastAsia="仿宋" w:cs="仿宋"/>
                <w:sz w:val="24"/>
                <w:szCs w:val="24"/>
                <w:highlight w:val="none"/>
              </w:rPr>
            </w:pPr>
          </w:p>
        </w:tc>
      </w:tr>
      <w:tr w14:paraId="1D34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0" w:hRule="atLeast"/>
          <w:jc w:val="center"/>
        </w:trPr>
        <w:tc>
          <w:tcPr>
            <w:tcW w:w="705" w:type="dxa"/>
            <w:tcBorders>
              <w:top w:val="single" w:color="auto" w:sz="4" w:space="0"/>
              <w:left w:val="single" w:color="auto" w:sz="4" w:space="0"/>
              <w:bottom w:val="single" w:color="auto" w:sz="4" w:space="0"/>
            </w:tcBorders>
            <w:vAlign w:val="center"/>
          </w:tcPr>
          <w:p w14:paraId="5D3655CA">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192" w:type="dxa"/>
          </w:tcPr>
          <w:p w14:paraId="4B3B25A1">
            <w:pPr>
              <w:spacing w:line="500" w:lineRule="exact"/>
              <w:jc w:val="center"/>
              <w:rPr>
                <w:rFonts w:ascii="仿宋" w:hAnsi="仿宋" w:eastAsia="仿宋" w:cs="仿宋"/>
                <w:sz w:val="24"/>
                <w:szCs w:val="24"/>
                <w:highlight w:val="none"/>
              </w:rPr>
            </w:pPr>
          </w:p>
        </w:tc>
        <w:tc>
          <w:tcPr>
            <w:tcW w:w="2373" w:type="dxa"/>
          </w:tcPr>
          <w:p w14:paraId="1115C936">
            <w:pPr>
              <w:spacing w:line="500" w:lineRule="exact"/>
              <w:jc w:val="center"/>
              <w:rPr>
                <w:rFonts w:ascii="仿宋" w:hAnsi="仿宋" w:eastAsia="仿宋" w:cs="仿宋"/>
                <w:sz w:val="24"/>
                <w:szCs w:val="24"/>
                <w:highlight w:val="none"/>
              </w:rPr>
            </w:pPr>
          </w:p>
        </w:tc>
        <w:tc>
          <w:tcPr>
            <w:tcW w:w="2315" w:type="dxa"/>
          </w:tcPr>
          <w:p w14:paraId="34606473">
            <w:pPr>
              <w:spacing w:line="500" w:lineRule="exact"/>
              <w:jc w:val="center"/>
              <w:rPr>
                <w:rFonts w:ascii="仿宋" w:hAnsi="仿宋" w:eastAsia="仿宋" w:cs="仿宋"/>
                <w:sz w:val="24"/>
                <w:szCs w:val="24"/>
                <w:highlight w:val="none"/>
              </w:rPr>
            </w:pPr>
          </w:p>
        </w:tc>
        <w:tc>
          <w:tcPr>
            <w:tcW w:w="1086" w:type="dxa"/>
          </w:tcPr>
          <w:p w14:paraId="13CC3092">
            <w:pPr>
              <w:spacing w:line="500" w:lineRule="exact"/>
              <w:jc w:val="center"/>
              <w:rPr>
                <w:rFonts w:ascii="仿宋" w:hAnsi="仿宋" w:eastAsia="仿宋" w:cs="仿宋"/>
                <w:sz w:val="24"/>
                <w:szCs w:val="24"/>
                <w:highlight w:val="none"/>
              </w:rPr>
            </w:pPr>
          </w:p>
        </w:tc>
        <w:tc>
          <w:tcPr>
            <w:tcW w:w="1197" w:type="dxa"/>
          </w:tcPr>
          <w:p w14:paraId="7F22192B">
            <w:pPr>
              <w:spacing w:line="500" w:lineRule="exact"/>
              <w:jc w:val="center"/>
              <w:rPr>
                <w:rFonts w:ascii="仿宋" w:hAnsi="仿宋" w:eastAsia="仿宋" w:cs="仿宋"/>
                <w:sz w:val="24"/>
                <w:szCs w:val="24"/>
                <w:highlight w:val="none"/>
              </w:rPr>
            </w:pPr>
          </w:p>
        </w:tc>
      </w:tr>
      <w:tr w14:paraId="4324A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14:paraId="6F981CBA">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192" w:type="dxa"/>
          </w:tcPr>
          <w:p w14:paraId="58DBBDA8">
            <w:pPr>
              <w:spacing w:line="500" w:lineRule="exact"/>
              <w:jc w:val="center"/>
              <w:rPr>
                <w:rFonts w:ascii="仿宋" w:hAnsi="仿宋" w:eastAsia="仿宋" w:cs="仿宋"/>
                <w:sz w:val="24"/>
                <w:szCs w:val="24"/>
                <w:highlight w:val="none"/>
              </w:rPr>
            </w:pPr>
          </w:p>
        </w:tc>
        <w:tc>
          <w:tcPr>
            <w:tcW w:w="2373" w:type="dxa"/>
          </w:tcPr>
          <w:p w14:paraId="7812C11C">
            <w:pPr>
              <w:spacing w:line="500" w:lineRule="exact"/>
              <w:jc w:val="center"/>
              <w:rPr>
                <w:rFonts w:ascii="仿宋" w:hAnsi="仿宋" w:eastAsia="仿宋" w:cs="仿宋"/>
                <w:sz w:val="24"/>
                <w:szCs w:val="24"/>
                <w:highlight w:val="none"/>
              </w:rPr>
            </w:pPr>
          </w:p>
        </w:tc>
        <w:tc>
          <w:tcPr>
            <w:tcW w:w="2315" w:type="dxa"/>
          </w:tcPr>
          <w:p w14:paraId="7A4AC26B">
            <w:pPr>
              <w:spacing w:line="500" w:lineRule="exact"/>
              <w:jc w:val="center"/>
              <w:rPr>
                <w:rFonts w:ascii="仿宋" w:hAnsi="仿宋" w:eastAsia="仿宋" w:cs="仿宋"/>
                <w:sz w:val="24"/>
                <w:szCs w:val="24"/>
                <w:highlight w:val="none"/>
              </w:rPr>
            </w:pPr>
          </w:p>
        </w:tc>
        <w:tc>
          <w:tcPr>
            <w:tcW w:w="1086" w:type="dxa"/>
          </w:tcPr>
          <w:p w14:paraId="6517D6BB">
            <w:pPr>
              <w:spacing w:line="500" w:lineRule="exact"/>
              <w:jc w:val="center"/>
              <w:rPr>
                <w:rFonts w:ascii="仿宋" w:hAnsi="仿宋" w:eastAsia="仿宋" w:cs="仿宋"/>
                <w:sz w:val="24"/>
                <w:szCs w:val="24"/>
                <w:highlight w:val="none"/>
              </w:rPr>
            </w:pPr>
          </w:p>
        </w:tc>
        <w:tc>
          <w:tcPr>
            <w:tcW w:w="1197" w:type="dxa"/>
          </w:tcPr>
          <w:p w14:paraId="280B9A05">
            <w:pPr>
              <w:spacing w:line="500" w:lineRule="exact"/>
              <w:jc w:val="center"/>
              <w:rPr>
                <w:rFonts w:ascii="仿宋" w:hAnsi="仿宋" w:eastAsia="仿宋" w:cs="仿宋"/>
                <w:sz w:val="24"/>
                <w:szCs w:val="24"/>
                <w:highlight w:val="none"/>
              </w:rPr>
            </w:pPr>
          </w:p>
        </w:tc>
      </w:tr>
      <w:tr w14:paraId="3C93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14:paraId="4A621358">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192" w:type="dxa"/>
          </w:tcPr>
          <w:p w14:paraId="623F27AD">
            <w:pPr>
              <w:spacing w:line="500" w:lineRule="exact"/>
              <w:jc w:val="center"/>
              <w:rPr>
                <w:rFonts w:ascii="仿宋" w:hAnsi="仿宋" w:eastAsia="仿宋" w:cs="仿宋"/>
                <w:sz w:val="24"/>
                <w:szCs w:val="24"/>
                <w:highlight w:val="none"/>
              </w:rPr>
            </w:pPr>
          </w:p>
        </w:tc>
        <w:tc>
          <w:tcPr>
            <w:tcW w:w="2373" w:type="dxa"/>
          </w:tcPr>
          <w:p w14:paraId="39A964E0">
            <w:pPr>
              <w:spacing w:line="500" w:lineRule="exact"/>
              <w:jc w:val="center"/>
              <w:rPr>
                <w:rFonts w:ascii="仿宋" w:hAnsi="仿宋" w:eastAsia="仿宋" w:cs="仿宋"/>
                <w:sz w:val="24"/>
                <w:szCs w:val="24"/>
                <w:highlight w:val="none"/>
              </w:rPr>
            </w:pPr>
          </w:p>
        </w:tc>
        <w:tc>
          <w:tcPr>
            <w:tcW w:w="2315" w:type="dxa"/>
          </w:tcPr>
          <w:p w14:paraId="6634CA68">
            <w:pPr>
              <w:spacing w:line="500" w:lineRule="exact"/>
              <w:jc w:val="center"/>
              <w:rPr>
                <w:rFonts w:ascii="仿宋" w:hAnsi="仿宋" w:eastAsia="仿宋" w:cs="仿宋"/>
                <w:sz w:val="24"/>
                <w:szCs w:val="24"/>
                <w:highlight w:val="none"/>
              </w:rPr>
            </w:pPr>
          </w:p>
        </w:tc>
        <w:tc>
          <w:tcPr>
            <w:tcW w:w="1086" w:type="dxa"/>
          </w:tcPr>
          <w:p w14:paraId="7138B45B">
            <w:pPr>
              <w:spacing w:line="500" w:lineRule="exact"/>
              <w:jc w:val="center"/>
              <w:rPr>
                <w:rFonts w:ascii="仿宋" w:hAnsi="仿宋" w:eastAsia="仿宋" w:cs="仿宋"/>
                <w:sz w:val="24"/>
                <w:szCs w:val="24"/>
                <w:highlight w:val="none"/>
              </w:rPr>
            </w:pPr>
          </w:p>
        </w:tc>
        <w:tc>
          <w:tcPr>
            <w:tcW w:w="1197" w:type="dxa"/>
          </w:tcPr>
          <w:p w14:paraId="0325DE29">
            <w:pPr>
              <w:spacing w:line="500" w:lineRule="exact"/>
              <w:jc w:val="center"/>
              <w:rPr>
                <w:rFonts w:ascii="仿宋" w:hAnsi="仿宋" w:eastAsia="仿宋" w:cs="仿宋"/>
                <w:sz w:val="24"/>
                <w:szCs w:val="24"/>
                <w:highlight w:val="none"/>
              </w:rPr>
            </w:pPr>
          </w:p>
        </w:tc>
      </w:tr>
      <w:tr w14:paraId="71DA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vAlign w:val="center"/>
          </w:tcPr>
          <w:p w14:paraId="3FC07BE7">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192" w:type="dxa"/>
          </w:tcPr>
          <w:p w14:paraId="50AEF4F1">
            <w:pPr>
              <w:spacing w:line="500" w:lineRule="exact"/>
              <w:jc w:val="center"/>
              <w:rPr>
                <w:rFonts w:ascii="仿宋" w:hAnsi="仿宋" w:eastAsia="仿宋" w:cs="仿宋"/>
                <w:sz w:val="24"/>
                <w:szCs w:val="24"/>
                <w:highlight w:val="none"/>
              </w:rPr>
            </w:pPr>
          </w:p>
        </w:tc>
        <w:tc>
          <w:tcPr>
            <w:tcW w:w="2373" w:type="dxa"/>
          </w:tcPr>
          <w:p w14:paraId="0B40EF32">
            <w:pPr>
              <w:spacing w:line="500" w:lineRule="exact"/>
              <w:jc w:val="center"/>
              <w:rPr>
                <w:rFonts w:ascii="仿宋" w:hAnsi="仿宋" w:eastAsia="仿宋" w:cs="仿宋"/>
                <w:sz w:val="24"/>
                <w:szCs w:val="24"/>
                <w:highlight w:val="none"/>
              </w:rPr>
            </w:pPr>
          </w:p>
        </w:tc>
        <w:tc>
          <w:tcPr>
            <w:tcW w:w="2315" w:type="dxa"/>
          </w:tcPr>
          <w:p w14:paraId="0735E1B0">
            <w:pPr>
              <w:spacing w:line="500" w:lineRule="exact"/>
              <w:jc w:val="center"/>
              <w:rPr>
                <w:rFonts w:ascii="仿宋" w:hAnsi="仿宋" w:eastAsia="仿宋" w:cs="仿宋"/>
                <w:sz w:val="24"/>
                <w:szCs w:val="24"/>
                <w:highlight w:val="none"/>
              </w:rPr>
            </w:pPr>
          </w:p>
        </w:tc>
        <w:tc>
          <w:tcPr>
            <w:tcW w:w="1086" w:type="dxa"/>
          </w:tcPr>
          <w:p w14:paraId="6AB223F9">
            <w:pPr>
              <w:spacing w:line="500" w:lineRule="exact"/>
              <w:jc w:val="center"/>
              <w:rPr>
                <w:rFonts w:ascii="仿宋" w:hAnsi="仿宋" w:eastAsia="仿宋" w:cs="仿宋"/>
                <w:sz w:val="24"/>
                <w:szCs w:val="24"/>
                <w:highlight w:val="none"/>
              </w:rPr>
            </w:pPr>
          </w:p>
        </w:tc>
        <w:tc>
          <w:tcPr>
            <w:tcW w:w="1197" w:type="dxa"/>
          </w:tcPr>
          <w:p w14:paraId="7E9DF9B8">
            <w:pPr>
              <w:spacing w:line="500" w:lineRule="exact"/>
              <w:jc w:val="center"/>
              <w:rPr>
                <w:rFonts w:ascii="仿宋" w:hAnsi="仿宋" w:eastAsia="仿宋" w:cs="仿宋"/>
                <w:sz w:val="24"/>
                <w:szCs w:val="24"/>
                <w:highlight w:val="none"/>
              </w:rPr>
            </w:pPr>
          </w:p>
        </w:tc>
      </w:tr>
      <w:tr w14:paraId="5C22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14:paraId="59E699F9">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2192" w:type="dxa"/>
          </w:tcPr>
          <w:p w14:paraId="54EEB378">
            <w:pPr>
              <w:spacing w:line="500" w:lineRule="exact"/>
              <w:jc w:val="center"/>
              <w:rPr>
                <w:rFonts w:ascii="仿宋" w:hAnsi="仿宋" w:eastAsia="仿宋" w:cs="仿宋"/>
                <w:sz w:val="24"/>
                <w:szCs w:val="24"/>
                <w:highlight w:val="none"/>
              </w:rPr>
            </w:pPr>
          </w:p>
        </w:tc>
        <w:tc>
          <w:tcPr>
            <w:tcW w:w="2373" w:type="dxa"/>
          </w:tcPr>
          <w:p w14:paraId="5C6392F4">
            <w:pPr>
              <w:spacing w:line="500" w:lineRule="exact"/>
              <w:jc w:val="center"/>
              <w:rPr>
                <w:rFonts w:ascii="仿宋" w:hAnsi="仿宋" w:eastAsia="仿宋" w:cs="仿宋"/>
                <w:sz w:val="24"/>
                <w:szCs w:val="24"/>
                <w:highlight w:val="none"/>
              </w:rPr>
            </w:pPr>
          </w:p>
        </w:tc>
        <w:tc>
          <w:tcPr>
            <w:tcW w:w="2315" w:type="dxa"/>
          </w:tcPr>
          <w:p w14:paraId="507174AC">
            <w:pPr>
              <w:spacing w:line="500" w:lineRule="exact"/>
              <w:jc w:val="center"/>
              <w:rPr>
                <w:rFonts w:ascii="仿宋" w:hAnsi="仿宋" w:eastAsia="仿宋" w:cs="仿宋"/>
                <w:sz w:val="24"/>
                <w:szCs w:val="24"/>
                <w:highlight w:val="none"/>
              </w:rPr>
            </w:pPr>
          </w:p>
        </w:tc>
        <w:tc>
          <w:tcPr>
            <w:tcW w:w="1086" w:type="dxa"/>
          </w:tcPr>
          <w:p w14:paraId="6F035C00">
            <w:pPr>
              <w:spacing w:line="500" w:lineRule="exact"/>
              <w:jc w:val="center"/>
              <w:rPr>
                <w:rFonts w:ascii="仿宋" w:hAnsi="仿宋" w:eastAsia="仿宋" w:cs="仿宋"/>
                <w:sz w:val="24"/>
                <w:szCs w:val="24"/>
                <w:highlight w:val="none"/>
              </w:rPr>
            </w:pPr>
          </w:p>
        </w:tc>
        <w:tc>
          <w:tcPr>
            <w:tcW w:w="1197" w:type="dxa"/>
          </w:tcPr>
          <w:p w14:paraId="00E554E9">
            <w:pPr>
              <w:spacing w:line="500" w:lineRule="exact"/>
              <w:jc w:val="center"/>
              <w:rPr>
                <w:rFonts w:ascii="仿宋" w:hAnsi="仿宋" w:eastAsia="仿宋" w:cs="仿宋"/>
                <w:sz w:val="24"/>
                <w:szCs w:val="24"/>
                <w:highlight w:val="none"/>
              </w:rPr>
            </w:pPr>
          </w:p>
        </w:tc>
      </w:tr>
      <w:tr w14:paraId="0EB9C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14:paraId="322BE8E2">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2192" w:type="dxa"/>
          </w:tcPr>
          <w:p w14:paraId="743BF25F">
            <w:pPr>
              <w:spacing w:line="500" w:lineRule="exact"/>
              <w:jc w:val="center"/>
              <w:rPr>
                <w:rFonts w:ascii="仿宋" w:hAnsi="仿宋" w:eastAsia="仿宋" w:cs="仿宋"/>
                <w:sz w:val="24"/>
                <w:szCs w:val="24"/>
                <w:highlight w:val="none"/>
              </w:rPr>
            </w:pPr>
          </w:p>
        </w:tc>
        <w:tc>
          <w:tcPr>
            <w:tcW w:w="2373" w:type="dxa"/>
          </w:tcPr>
          <w:p w14:paraId="35E601DA">
            <w:pPr>
              <w:spacing w:line="500" w:lineRule="exact"/>
              <w:jc w:val="center"/>
              <w:rPr>
                <w:rFonts w:ascii="仿宋" w:hAnsi="仿宋" w:eastAsia="仿宋" w:cs="仿宋"/>
                <w:sz w:val="24"/>
                <w:szCs w:val="24"/>
                <w:highlight w:val="none"/>
              </w:rPr>
            </w:pPr>
          </w:p>
        </w:tc>
        <w:tc>
          <w:tcPr>
            <w:tcW w:w="2315" w:type="dxa"/>
          </w:tcPr>
          <w:p w14:paraId="2980CA54">
            <w:pPr>
              <w:spacing w:line="500" w:lineRule="exact"/>
              <w:jc w:val="center"/>
              <w:rPr>
                <w:rFonts w:ascii="仿宋" w:hAnsi="仿宋" w:eastAsia="仿宋" w:cs="仿宋"/>
                <w:sz w:val="24"/>
                <w:szCs w:val="24"/>
                <w:highlight w:val="none"/>
              </w:rPr>
            </w:pPr>
          </w:p>
        </w:tc>
        <w:tc>
          <w:tcPr>
            <w:tcW w:w="1086" w:type="dxa"/>
          </w:tcPr>
          <w:p w14:paraId="50379CF3">
            <w:pPr>
              <w:spacing w:line="500" w:lineRule="exact"/>
              <w:jc w:val="center"/>
              <w:rPr>
                <w:rFonts w:ascii="仿宋" w:hAnsi="仿宋" w:eastAsia="仿宋" w:cs="仿宋"/>
                <w:sz w:val="24"/>
                <w:szCs w:val="24"/>
                <w:highlight w:val="none"/>
              </w:rPr>
            </w:pPr>
          </w:p>
        </w:tc>
        <w:tc>
          <w:tcPr>
            <w:tcW w:w="1197" w:type="dxa"/>
          </w:tcPr>
          <w:p w14:paraId="28734137">
            <w:pPr>
              <w:spacing w:line="500" w:lineRule="exact"/>
              <w:jc w:val="center"/>
              <w:rPr>
                <w:rFonts w:ascii="仿宋" w:hAnsi="仿宋" w:eastAsia="仿宋" w:cs="仿宋"/>
                <w:sz w:val="24"/>
                <w:szCs w:val="24"/>
                <w:highlight w:val="none"/>
              </w:rPr>
            </w:pPr>
          </w:p>
        </w:tc>
      </w:tr>
      <w:tr w14:paraId="0729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14:paraId="4C8A11FA">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9</w:t>
            </w:r>
          </w:p>
        </w:tc>
        <w:tc>
          <w:tcPr>
            <w:tcW w:w="2192" w:type="dxa"/>
          </w:tcPr>
          <w:p w14:paraId="3B2DCE6E">
            <w:pPr>
              <w:spacing w:line="500" w:lineRule="exact"/>
              <w:jc w:val="center"/>
              <w:rPr>
                <w:rFonts w:ascii="仿宋" w:hAnsi="仿宋" w:eastAsia="仿宋" w:cs="仿宋"/>
                <w:sz w:val="24"/>
                <w:szCs w:val="24"/>
                <w:highlight w:val="none"/>
              </w:rPr>
            </w:pPr>
          </w:p>
        </w:tc>
        <w:tc>
          <w:tcPr>
            <w:tcW w:w="2373" w:type="dxa"/>
          </w:tcPr>
          <w:p w14:paraId="3A9DB3E6">
            <w:pPr>
              <w:spacing w:line="500" w:lineRule="exact"/>
              <w:jc w:val="center"/>
              <w:rPr>
                <w:rFonts w:ascii="仿宋" w:hAnsi="仿宋" w:eastAsia="仿宋" w:cs="仿宋"/>
                <w:sz w:val="24"/>
                <w:szCs w:val="24"/>
                <w:highlight w:val="none"/>
              </w:rPr>
            </w:pPr>
          </w:p>
        </w:tc>
        <w:tc>
          <w:tcPr>
            <w:tcW w:w="2315" w:type="dxa"/>
          </w:tcPr>
          <w:p w14:paraId="6FCF8CC8">
            <w:pPr>
              <w:spacing w:line="500" w:lineRule="exact"/>
              <w:jc w:val="center"/>
              <w:rPr>
                <w:rFonts w:ascii="仿宋" w:hAnsi="仿宋" w:eastAsia="仿宋" w:cs="仿宋"/>
                <w:sz w:val="24"/>
                <w:szCs w:val="24"/>
                <w:highlight w:val="none"/>
              </w:rPr>
            </w:pPr>
          </w:p>
        </w:tc>
        <w:tc>
          <w:tcPr>
            <w:tcW w:w="1086" w:type="dxa"/>
          </w:tcPr>
          <w:p w14:paraId="2B80F2BA">
            <w:pPr>
              <w:spacing w:line="500" w:lineRule="exact"/>
              <w:jc w:val="center"/>
              <w:rPr>
                <w:rFonts w:ascii="仿宋" w:hAnsi="仿宋" w:eastAsia="仿宋" w:cs="仿宋"/>
                <w:sz w:val="24"/>
                <w:szCs w:val="24"/>
                <w:highlight w:val="none"/>
              </w:rPr>
            </w:pPr>
          </w:p>
        </w:tc>
        <w:tc>
          <w:tcPr>
            <w:tcW w:w="1197" w:type="dxa"/>
          </w:tcPr>
          <w:p w14:paraId="3613653E">
            <w:pPr>
              <w:spacing w:line="500" w:lineRule="exact"/>
              <w:jc w:val="center"/>
              <w:rPr>
                <w:rFonts w:ascii="仿宋" w:hAnsi="仿宋" w:eastAsia="仿宋" w:cs="仿宋"/>
                <w:sz w:val="24"/>
                <w:szCs w:val="24"/>
                <w:highlight w:val="none"/>
              </w:rPr>
            </w:pPr>
          </w:p>
        </w:tc>
      </w:tr>
      <w:tr w14:paraId="7588D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14:paraId="2FB1F614">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10</w:t>
            </w:r>
          </w:p>
        </w:tc>
        <w:tc>
          <w:tcPr>
            <w:tcW w:w="2192" w:type="dxa"/>
          </w:tcPr>
          <w:p w14:paraId="7D067FBB">
            <w:pPr>
              <w:spacing w:line="500" w:lineRule="exact"/>
              <w:jc w:val="center"/>
              <w:rPr>
                <w:rFonts w:ascii="仿宋" w:hAnsi="仿宋" w:eastAsia="仿宋" w:cs="仿宋"/>
                <w:sz w:val="24"/>
                <w:szCs w:val="24"/>
                <w:highlight w:val="none"/>
              </w:rPr>
            </w:pPr>
          </w:p>
        </w:tc>
        <w:tc>
          <w:tcPr>
            <w:tcW w:w="2373" w:type="dxa"/>
          </w:tcPr>
          <w:p w14:paraId="2C569ABC">
            <w:pPr>
              <w:spacing w:line="500" w:lineRule="exact"/>
              <w:jc w:val="center"/>
              <w:rPr>
                <w:rFonts w:ascii="仿宋" w:hAnsi="仿宋" w:eastAsia="仿宋" w:cs="仿宋"/>
                <w:sz w:val="24"/>
                <w:szCs w:val="24"/>
                <w:highlight w:val="none"/>
              </w:rPr>
            </w:pPr>
          </w:p>
        </w:tc>
        <w:tc>
          <w:tcPr>
            <w:tcW w:w="2315" w:type="dxa"/>
          </w:tcPr>
          <w:p w14:paraId="71A1D3C4">
            <w:pPr>
              <w:spacing w:line="500" w:lineRule="exact"/>
              <w:jc w:val="center"/>
              <w:rPr>
                <w:rFonts w:ascii="仿宋" w:hAnsi="仿宋" w:eastAsia="仿宋" w:cs="仿宋"/>
                <w:sz w:val="24"/>
                <w:szCs w:val="24"/>
                <w:highlight w:val="none"/>
              </w:rPr>
            </w:pPr>
          </w:p>
        </w:tc>
        <w:tc>
          <w:tcPr>
            <w:tcW w:w="1086" w:type="dxa"/>
          </w:tcPr>
          <w:p w14:paraId="18525F05">
            <w:pPr>
              <w:spacing w:line="500" w:lineRule="exact"/>
              <w:jc w:val="center"/>
              <w:rPr>
                <w:rFonts w:ascii="仿宋" w:hAnsi="仿宋" w:eastAsia="仿宋" w:cs="仿宋"/>
                <w:sz w:val="24"/>
                <w:szCs w:val="24"/>
                <w:highlight w:val="none"/>
              </w:rPr>
            </w:pPr>
          </w:p>
        </w:tc>
        <w:tc>
          <w:tcPr>
            <w:tcW w:w="1197" w:type="dxa"/>
          </w:tcPr>
          <w:p w14:paraId="33B62CBE">
            <w:pPr>
              <w:spacing w:line="500" w:lineRule="exact"/>
              <w:jc w:val="center"/>
              <w:rPr>
                <w:rFonts w:ascii="仿宋" w:hAnsi="仿宋" w:eastAsia="仿宋" w:cs="仿宋"/>
                <w:sz w:val="24"/>
                <w:szCs w:val="24"/>
                <w:highlight w:val="none"/>
              </w:rPr>
            </w:pPr>
          </w:p>
        </w:tc>
      </w:tr>
      <w:tr w14:paraId="3BDBB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vAlign w:val="center"/>
          </w:tcPr>
          <w:p w14:paraId="1CC114AB">
            <w:pPr>
              <w:spacing w:line="5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2192" w:type="dxa"/>
          </w:tcPr>
          <w:p w14:paraId="39981383">
            <w:pPr>
              <w:spacing w:line="500" w:lineRule="exact"/>
              <w:jc w:val="center"/>
              <w:rPr>
                <w:rFonts w:ascii="仿宋" w:hAnsi="仿宋" w:eastAsia="仿宋" w:cs="仿宋"/>
                <w:sz w:val="24"/>
                <w:szCs w:val="24"/>
                <w:highlight w:val="none"/>
              </w:rPr>
            </w:pPr>
          </w:p>
        </w:tc>
        <w:tc>
          <w:tcPr>
            <w:tcW w:w="2373" w:type="dxa"/>
          </w:tcPr>
          <w:p w14:paraId="27F4FB03">
            <w:pPr>
              <w:spacing w:line="500" w:lineRule="exact"/>
              <w:jc w:val="center"/>
              <w:rPr>
                <w:rFonts w:ascii="仿宋" w:hAnsi="仿宋" w:eastAsia="仿宋" w:cs="仿宋"/>
                <w:sz w:val="24"/>
                <w:szCs w:val="24"/>
                <w:highlight w:val="none"/>
              </w:rPr>
            </w:pPr>
          </w:p>
        </w:tc>
        <w:tc>
          <w:tcPr>
            <w:tcW w:w="2315" w:type="dxa"/>
          </w:tcPr>
          <w:p w14:paraId="294A8D1D">
            <w:pPr>
              <w:spacing w:line="500" w:lineRule="exact"/>
              <w:jc w:val="center"/>
              <w:rPr>
                <w:rFonts w:ascii="仿宋" w:hAnsi="仿宋" w:eastAsia="仿宋" w:cs="仿宋"/>
                <w:sz w:val="24"/>
                <w:szCs w:val="24"/>
                <w:highlight w:val="none"/>
              </w:rPr>
            </w:pPr>
          </w:p>
        </w:tc>
        <w:tc>
          <w:tcPr>
            <w:tcW w:w="1086" w:type="dxa"/>
          </w:tcPr>
          <w:p w14:paraId="72933F81">
            <w:pPr>
              <w:spacing w:line="500" w:lineRule="exact"/>
              <w:jc w:val="center"/>
              <w:rPr>
                <w:rFonts w:ascii="仿宋" w:hAnsi="仿宋" w:eastAsia="仿宋" w:cs="仿宋"/>
                <w:sz w:val="24"/>
                <w:szCs w:val="24"/>
                <w:highlight w:val="none"/>
              </w:rPr>
            </w:pPr>
          </w:p>
        </w:tc>
        <w:tc>
          <w:tcPr>
            <w:tcW w:w="1197" w:type="dxa"/>
          </w:tcPr>
          <w:p w14:paraId="7E9D5BAD">
            <w:pPr>
              <w:spacing w:line="500" w:lineRule="exact"/>
              <w:jc w:val="center"/>
              <w:rPr>
                <w:rFonts w:ascii="仿宋" w:hAnsi="仿宋" w:eastAsia="仿宋" w:cs="仿宋"/>
                <w:sz w:val="24"/>
                <w:szCs w:val="24"/>
                <w:highlight w:val="none"/>
              </w:rPr>
            </w:pPr>
          </w:p>
        </w:tc>
      </w:tr>
    </w:tbl>
    <w:p w14:paraId="6280964F">
      <w:pPr>
        <w:spacing w:line="360" w:lineRule="auto"/>
        <w:rPr>
          <w:rFonts w:ascii="仿宋" w:hAnsi="仿宋" w:eastAsia="仿宋" w:cs="仿宋"/>
          <w:bCs/>
          <w:sz w:val="28"/>
          <w:szCs w:val="28"/>
          <w:highlight w:val="none"/>
        </w:rPr>
      </w:pPr>
      <w:r>
        <w:rPr>
          <w:rFonts w:hint="eastAsia" w:ascii="仿宋" w:hAnsi="仿宋" w:eastAsia="仿宋" w:cs="仿宋"/>
          <w:bCs/>
          <w:sz w:val="28"/>
          <w:szCs w:val="28"/>
          <w:highlight w:val="none"/>
        </w:rPr>
        <w:t>注：1.招标文件技术要求详见招标文件第四章采购内容</w:t>
      </w:r>
    </w:p>
    <w:p w14:paraId="57BA95F6">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2.偏离填写：有偏离（正/负）、无偏离</w:t>
      </w:r>
    </w:p>
    <w:p w14:paraId="281272A1">
      <w:pPr>
        <w:spacing w:line="360" w:lineRule="auto"/>
        <w:ind w:firstLine="560" w:firstLineChars="200"/>
        <w:rPr>
          <w:rFonts w:ascii="仿宋" w:hAnsi="仿宋" w:eastAsia="仿宋" w:cs="仿宋"/>
          <w:b/>
          <w:sz w:val="28"/>
          <w:szCs w:val="28"/>
          <w:highlight w:val="none"/>
        </w:rPr>
      </w:pPr>
      <w:r>
        <w:rPr>
          <w:rFonts w:hint="eastAsia" w:ascii="仿宋" w:hAnsi="仿宋" w:eastAsia="仿宋" w:cs="仿宋"/>
          <w:bCs/>
          <w:sz w:val="28"/>
          <w:szCs w:val="28"/>
          <w:highlight w:val="none"/>
        </w:rPr>
        <w:t>3.响应说明填写：优于、满足</w:t>
      </w:r>
    </w:p>
    <w:p w14:paraId="64389AA9">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4.表格不够用，各供应商可按此表复制</w:t>
      </w:r>
    </w:p>
    <w:p w14:paraId="1F3DD768">
      <w:pPr>
        <w:pStyle w:val="12"/>
        <w:rPr>
          <w:rFonts w:hint="default"/>
          <w:highlight w:val="none"/>
        </w:rPr>
      </w:pPr>
    </w:p>
    <w:p w14:paraId="63FAEB91">
      <w:pPr>
        <w:pStyle w:val="50"/>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14:paraId="3A205600">
      <w:pPr>
        <w:pStyle w:val="50"/>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14:paraId="361E7E98">
      <w:pPr>
        <w:pStyle w:val="50"/>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14:paraId="38BD0F0B">
      <w:pPr>
        <w:adjustRightInd w:val="0"/>
        <w:snapToGrid w:val="0"/>
        <w:spacing w:line="360" w:lineRule="auto"/>
        <w:rPr>
          <w:rFonts w:ascii="仿宋" w:hAnsi="仿宋" w:eastAsia="仿宋" w:cs="仿宋"/>
          <w:b/>
          <w:sz w:val="32"/>
          <w:szCs w:val="32"/>
          <w:highlight w:val="none"/>
        </w:rPr>
      </w:pPr>
    </w:p>
    <w:p w14:paraId="45506E67">
      <w:pPr>
        <w:adjustRightInd w:val="0"/>
        <w:snapToGrid w:val="0"/>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商务要求响应表</w:t>
      </w:r>
    </w:p>
    <w:tbl>
      <w:tblPr>
        <w:tblStyle w:val="3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08"/>
        <w:gridCol w:w="1684"/>
        <w:gridCol w:w="3768"/>
        <w:gridCol w:w="2373"/>
        <w:gridCol w:w="987"/>
      </w:tblGrid>
      <w:tr w14:paraId="59C2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7" w:hRule="exact"/>
          <w:jc w:val="center"/>
        </w:trPr>
        <w:tc>
          <w:tcPr>
            <w:tcW w:w="908" w:type="dxa"/>
            <w:tcBorders>
              <w:top w:val="single" w:color="auto" w:sz="4" w:space="0"/>
              <w:left w:val="single" w:color="auto" w:sz="4" w:space="0"/>
              <w:bottom w:val="single" w:color="auto" w:sz="4" w:space="0"/>
            </w:tcBorders>
            <w:vAlign w:val="center"/>
          </w:tcPr>
          <w:p w14:paraId="1C99780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684" w:type="dxa"/>
            <w:vAlign w:val="center"/>
          </w:tcPr>
          <w:p w14:paraId="0C68D38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名称</w:t>
            </w:r>
          </w:p>
        </w:tc>
        <w:tc>
          <w:tcPr>
            <w:tcW w:w="3768" w:type="dxa"/>
            <w:vAlign w:val="center"/>
          </w:tcPr>
          <w:p w14:paraId="5F4DEF0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招标文件商务要求</w:t>
            </w:r>
          </w:p>
        </w:tc>
        <w:tc>
          <w:tcPr>
            <w:tcW w:w="2373" w:type="dxa"/>
            <w:vAlign w:val="center"/>
          </w:tcPr>
          <w:p w14:paraId="6668461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投标文件</w:t>
            </w:r>
          </w:p>
          <w:p w14:paraId="3B90D5B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（响应/不响应）</w:t>
            </w:r>
          </w:p>
        </w:tc>
        <w:tc>
          <w:tcPr>
            <w:tcW w:w="987" w:type="dxa"/>
            <w:vAlign w:val="center"/>
          </w:tcPr>
          <w:p w14:paraId="76B1FA2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响应</w:t>
            </w:r>
          </w:p>
          <w:p w14:paraId="5C3CA70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说明</w:t>
            </w:r>
          </w:p>
        </w:tc>
      </w:tr>
      <w:tr w14:paraId="2C43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34" w:hRule="atLeast"/>
          <w:jc w:val="center"/>
        </w:trPr>
        <w:tc>
          <w:tcPr>
            <w:tcW w:w="908" w:type="dxa"/>
            <w:tcBorders>
              <w:top w:val="single" w:color="auto" w:sz="4" w:space="0"/>
              <w:left w:val="single" w:color="auto" w:sz="4" w:space="0"/>
              <w:bottom w:val="single" w:color="auto" w:sz="4" w:space="0"/>
            </w:tcBorders>
            <w:vAlign w:val="center"/>
          </w:tcPr>
          <w:p w14:paraId="6A2FEDA2">
            <w:pPr>
              <w:spacing w:line="50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1684" w:type="dxa"/>
            <w:vAlign w:val="center"/>
          </w:tcPr>
          <w:p w14:paraId="6604060B">
            <w:pPr>
              <w:spacing w:line="5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服务期限</w:t>
            </w:r>
          </w:p>
        </w:tc>
        <w:tc>
          <w:tcPr>
            <w:tcW w:w="3768" w:type="dxa"/>
            <w:vAlign w:val="center"/>
          </w:tcPr>
          <w:p w14:paraId="49618A5B">
            <w:pPr>
              <w:pageBreakBefore w:val="0"/>
              <w:bidi w:val="0"/>
              <w:spacing w:line="510" w:lineRule="exact"/>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合同签订后一年</w:t>
            </w:r>
          </w:p>
          <w:p w14:paraId="2B7AE6B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bidi="ar-SA"/>
              </w:rPr>
              <w:t>注：根据《政府购买服务管理办法》（中华人民共和国财政部令第102号），本次服务采用一次采购，两年沿用，合同一年一签，服务到期后续签合同。</w:t>
            </w:r>
          </w:p>
        </w:tc>
        <w:tc>
          <w:tcPr>
            <w:tcW w:w="2373" w:type="dxa"/>
          </w:tcPr>
          <w:p w14:paraId="786DEC13">
            <w:pPr>
              <w:spacing w:line="500" w:lineRule="exact"/>
              <w:jc w:val="center"/>
              <w:rPr>
                <w:rFonts w:ascii="仿宋" w:hAnsi="仿宋" w:eastAsia="仿宋" w:cs="仿宋"/>
                <w:sz w:val="28"/>
                <w:szCs w:val="28"/>
                <w:highlight w:val="none"/>
              </w:rPr>
            </w:pPr>
          </w:p>
        </w:tc>
        <w:tc>
          <w:tcPr>
            <w:tcW w:w="987" w:type="dxa"/>
          </w:tcPr>
          <w:p w14:paraId="60CBA926">
            <w:pPr>
              <w:spacing w:line="500" w:lineRule="exact"/>
              <w:jc w:val="center"/>
              <w:rPr>
                <w:rFonts w:ascii="仿宋" w:hAnsi="仿宋" w:eastAsia="仿宋" w:cs="仿宋"/>
                <w:sz w:val="28"/>
                <w:szCs w:val="28"/>
                <w:highlight w:val="none"/>
              </w:rPr>
            </w:pPr>
          </w:p>
        </w:tc>
      </w:tr>
      <w:tr w14:paraId="4010B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68" w:hRule="atLeast"/>
          <w:jc w:val="center"/>
        </w:trPr>
        <w:tc>
          <w:tcPr>
            <w:tcW w:w="908" w:type="dxa"/>
            <w:tcBorders>
              <w:top w:val="single" w:color="auto" w:sz="4" w:space="0"/>
              <w:left w:val="single" w:color="auto" w:sz="4" w:space="0"/>
              <w:bottom w:val="single" w:color="auto" w:sz="4" w:space="0"/>
            </w:tcBorders>
            <w:vAlign w:val="center"/>
          </w:tcPr>
          <w:p w14:paraId="5B63133A">
            <w:pPr>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1684" w:type="dxa"/>
            <w:vAlign w:val="center"/>
          </w:tcPr>
          <w:p w14:paraId="7A5248D0">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质量标准</w:t>
            </w:r>
          </w:p>
        </w:tc>
        <w:tc>
          <w:tcPr>
            <w:tcW w:w="3768" w:type="dxa"/>
            <w:vAlign w:val="center"/>
          </w:tcPr>
          <w:p w14:paraId="3918E61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合格</w:t>
            </w:r>
          </w:p>
        </w:tc>
        <w:tc>
          <w:tcPr>
            <w:tcW w:w="2373" w:type="dxa"/>
          </w:tcPr>
          <w:p w14:paraId="3E3F7DB2">
            <w:pPr>
              <w:spacing w:line="500" w:lineRule="exact"/>
              <w:jc w:val="center"/>
              <w:rPr>
                <w:rFonts w:ascii="仿宋" w:hAnsi="仿宋" w:eastAsia="仿宋" w:cs="仿宋"/>
                <w:sz w:val="28"/>
                <w:szCs w:val="28"/>
                <w:highlight w:val="none"/>
              </w:rPr>
            </w:pPr>
          </w:p>
        </w:tc>
        <w:tc>
          <w:tcPr>
            <w:tcW w:w="987" w:type="dxa"/>
          </w:tcPr>
          <w:p w14:paraId="371BB62F">
            <w:pPr>
              <w:spacing w:line="500" w:lineRule="exact"/>
              <w:jc w:val="center"/>
              <w:rPr>
                <w:rFonts w:ascii="仿宋" w:hAnsi="仿宋" w:eastAsia="仿宋" w:cs="仿宋"/>
                <w:sz w:val="28"/>
                <w:szCs w:val="28"/>
                <w:highlight w:val="none"/>
              </w:rPr>
            </w:pPr>
          </w:p>
        </w:tc>
      </w:tr>
      <w:tr w14:paraId="50CFB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359" w:hRule="atLeast"/>
          <w:jc w:val="center"/>
        </w:trPr>
        <w:tc>
          <w:tcPr>
            <w:tcW w:w="908" w:type="dxa"/>
            <w:tcBorders>
              <w:top w:val="single" w:color="auto" w:sz="4" w:space="0"/>
              <w:left w:val="single" w:color="auto" w:sz="4" w:space="0"/>
              <w:bottom w:val="single" w:color="auto" w:sz="4" w:space="0"/>
            </w:tcBorders>
            <w:vAlign w:val="center"/>
          </w:tcPr>
          <w:p w14:paraId="3FB586F8">
            <w:pPr>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1684" w:type="dxa"/>
            <w:vAlign w:val="center"/>
          </w:tcPr>
          <w:p w14:paraId="27F6FB31">
            <w:pPr>
              <w:spacing w:line="500" w:lineRule="exact"/>
              <w:jc w:val="center"/>
              <w:rPr>
                <w:rFonts w:ascii="仿宋" w:hAnsi="仿宋" w:eastAsia="仿宋" w:cs="仿宋"/>
                <w:sz w:val="28"/>
                <w:szCs w:val="28"/>
                <w:highlight w:val="none"/>
              </w:rPr>
            </w:pPr>
            <w:r>
              <w:rPr>
                <w:rFonts w:hint="eastAsia" w:ascii="仿宋" w:hAnsi="仿宋" w:eastAsia="仿宋" w:cs="仿宋"/>
                <w:color w:val="auto"/>
                <w:sz w:val="28"/>
                <w:szCs w:val="28"/>
                <w:highlight w:val="none"/>
              </w:rPr>
              <w:t>付款方式</w:t>
            </w:r>
          </w:p>
        </w:tc>
        <w:tc>
          <w:tcPr>
            <w:tcW w:w="3768" w:type="dxa"/>
            <w:vAlign w:val="center"/>
          </w:tcPr>
          <w:p w14:paraId="0B64483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lang w:eastAsia="zh-CN"/>
              </w:rPr>
              <w:t>合同签订后1月内，采购人支付合同总金额的30%；供应商服务满半年后，采购人15个工作日内支付合同总金额的40%；供应商年度服务期满，经采购人完成年度验收评价完毕后（合同期满一个月内出具），采购人1个月内支付剩余总金额的30%。</w:t>
            </w:r>
          </w:p>
        </w:tc>
        <w:tc>
          <w:tcPr>
            <w:tcW w:w="2373" w:type="dxa"/>
          </w:tcPr>
          <w:p w14:paraId="78415A4D">
            <w:pPr>
              <w:spacing w:line="500" w:lineRule="exact"/>
              <w:jc w:val="center"/>
              <w:rPr>
                <w:rFonts w:ascii="仿宋" w:hAnsi="仿宋" w:eastAsia="仿宋" w:cs="仿宋"/>
                <w:sz w:val="28"/>
                <w:szCs w:val="28"/>
                <w:highlight w:val="none"/>
              </w:rPr>
            </w:pPr>
          </w:p>
        </w:tc>
        <w:tc>
          <w:tcPr>
            <w:tcW w:w="987" w:type="dxa"/>
          </w:tcPr>
          <w:p w14:paraId="5A63B107">
            <w:pPr>
              <w:spacing w:line="500" w:lineRule="exact"/>
              <w:jc w:val="center"/>
              <w:rPr>
                <w:rFonts w:ascii="仿宋" w:hAnsi="仿宋" w:eastAsia="仿宋" w:cs="仿宋"/>
                <w:sz w:val="28"/>
                <w:szCs w:val="28"/>
                <w:highlight w:val="none"/>
              </w:rPr>
            </w:pPr>
          </w:p>
        </w:tc>
      </w:tr>
      <w:tr w14:paraId="2FCFA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83" w:hRule="atLeast"/>
          <w:jc w:val="center"/>
        </w:trPr>
        <w:tc>
          <w:tcPr>
            <w:tcW w:w="908" w:type="dxa"/>
            <w:tcBorders>
              <w:top w:val="single" w:color="auto" w:sz="4" w:space="0"/>
              <w:left w:val="single" w:color="auto" w:sz="4" w:space="0"/>
              <w:bottom w:val="single" w:color="auto" w:sz="4" w:space="0"/>
            </w:tcBorders>
            <w:vAlign w:val="center"/>
          </w:tcPr>
          <w:p w14:paraId="01A16FB1">
            <w:pPr>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1684" w:type="dxa"/>
            <w:vAlign w:val="center"/>
          </w:tcPr>
          <w:p w14:paraId="621CE92E">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合同条款</w:t>
            </w:r>
          </w:p>
        </w:tc>
        <w:tc>
          <w:tcPr>
            <w:tcW w:w="3768" w:type="dxa"/>
            <w:vAlign w:val="center"/>
          </w:tcPr>
          <w:p w14:paraId="0489F6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第五章  合同范本</w:t>
            </w:r>
          </w:p>
        </w:tc>
        <w:tc>
          <w:tcPr>
            <w:tcW w:w="2373" w:type="dxa"/>
            <w:vAlign w:val="center"/>
          </w:tcPr>
          <w:p w14:paraId="50C1B531">
            <w:pPr>
              <w:spacing w:line="500" w:lineRule="exact"/>
              <w:jc w:val="center"/>
              <w:rPr>
                <w:rFonts w:ascii="仿宋" w:hAnsi="仿宋" w:eastAsia="仿宋" w:cs="仿宋"/>
                <w:sz w:val="28"/>
                <w:szCs w:val="28"/>
                <w:highlight w:val="none"/>
              </w:rPr>
            </w:pPr>
          </w:p>
        </w:tc>
        <w:tc>
          <w:tcPr>
            <w:tcW w:w="987" w:type="dxa"/>
          </w:tcPr>
          <w:p w14:paraId="2FDA6D68">
            <w:pPr>
              <w:spacing w:line="500" w:lineRule="exact"/>
              <w:jc w:val="center"/>
              <w:rPr>
                <w:rFonts w:ascii="仿宋" w:hAnsi="仿宋" w:eastAsia="仿宋" w:cs="仿宋"/>
                <w:sz w:val="28"/>
                <w:szCs w:val="28"/>
                <w:highlight w:val="none"/>
              </w:rPr>
            </w:pPr>
          </w:p>
        </w:tc>
      </w:tr>
      <w:tr w14:paraId="4E5E7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5" w:hRule="atLeast"/>
          <w:jc w:val="center"/>
        </w:trPr>
        <w:tc>
          <w:tcPr>
            <w:tcW w:w="908" w:type="dxa"/>
            <w:tcBorders>
              <w:top w:val="single" w:color="auto" w:sz="4" w:space="0"/>
              <w:left w:val="single" w:color="auto" w:sz="4" w:space="0"/>
              <w:bottom w:val="single" w:color="auto" w:sz="4" w:space="0"/>
            </w:tcBorders>
            <w:vAlign w:val="center"/>
          </w:tcPr>
          <w:p w14:paraId="18835EA8">
            <w:pPr>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1684" w:type="dxa"/>
            <w:vAlign w:val="center"/>
          </w:tcPr>
          <w:p w14:paraId="39106AF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3768" w:type="dxa"/>
            <w:vAlign w:val="center"/>
          </w:tcPr>
          <w:p w14:paraId="4E01C71D">
            <w:pPr>
              <w:spacing w:line="500" w:lineRule="exact"/>
              <w:jc w:val="center"/>
              <w:rPr>
                <w:rFonts w:ascii="仿宋" w:hAnsi="仿宋" w:eastAsia="仿宋" w:cs="仿宋"/>
                <w:sz w:val="28"/>
                <w:szCs w:val="28"/>
                <w:highlight w:val="none"/>
              </w:rPr>
            </w:pPr>
          </w:p>
        </w:tc>
        <w:tc>
          <w:tcPr>
            <w:tcW w:w="2373" w:type="dxa"/>
            <w:vAlign w:val="center"/>
          </w:tcPr>
          <w:p w14:paraId="1DF3A8EE">
            <w:pPr>
              <w:spacing w:line="500" w:lineRule="exact"/>
              <w:jc w:val="center"/>
              <w:rPr>
                <w:rFonts w:ascii="仿宋" w:hAnsi="仿宋" w:eastAsia="仿宋" w:cs="仿宋"/>
                <w:sz w:val="28"/>
                <w:szCs w:val="28"/>
                <w:highlight w:val="none"/>
              </w:rPr>
            </w:pPr>
          </w:p>
        </w:tc>
        <w:tc>
          <w:tcPr>
            <w:tcW w:w="987" w:type="dxa"/>
            <w:vAlign w:val="center"/>
          </w:tcPr>
          <w:p w14:paraId="351CB564">
            <w:pPr>
              <w:spacing w:line="500" w:lineRule="exact"/>
              <w:jc w:val="center"/>
              <w:rPr>
                <w:rFonts w:ascii="仿宋" w:hAnsi="仿宋" w:eastAsia="仿宋" w:cs="仿宋"/>
                <w:sz w:val="28"/>
                <w:szCs w:val="28"/>
                <w:highlight w:val="none"/>
              </w:rPr>
            </w:pPr>
          </w:p>
        </w:tc>
      </w:tr>
    </w:tbl>
    <w:p w14:paraId="476EC0CA">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sz w:val="28"/>
          <w:szCs w:val="28"/>
          <w:highlight w:val="none"/>
        </w:rPr>
      </w:pPr>
      <w:r>
        <w:rPr>
          <w:rFonts w:hint="eastAsia" w:ascii="仿宋" w:hAnsi="仿宋" w:eastAsia="仿宋" w:cs="仿宋"/>
          <w:bCs/>
          <w:sz w:val="28"/>
          <w:szCs w:val="28"/>
          <w:highlight w:val="none"/>
        </w:rPr>
        <w:t>注：1.响应说明：若优于要求具体填写相关内容。</w:t>
      </w:r>
    </w:p>
    <w:p w14:paraId="2C6BC5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仿宋"/>
          <w:bCs/>
          <w:sz w:val="28"/>
          <w:szCs w:val="28"/>
          <w:highlight w:val="none"/>
        </w:rPr>
      </w:pPr>
      <w:r>
        <w:rPr>
          <w:rFonts w:hint="eastAsia" w:ascii="仿宋" w:hAnsi="仿宋" w:eastAsia="仿宋" w:cs="仿宋"/>
          <w:bCs/>
          <w:sz w:val="28"/>
          <w:szCs w:val="28"/>
          <w:highlight w:val="none"/>
        </w:rPr>
        <w:t>2.表格不够用，各供应商可按此表复制。</w:t>
      </w:r>
    </w:p>
    <w:p w14:paraId="487117FD">
      <w:pPr>
        <w:rPr>
          <w:highlight w:val="none"/>
        </w:rPr>
      </w:pPr>
    </w:p>
    <w:p w14:paraId="1928B7EB">
      <w:pPr>
        <w:pStyle w:val="50"/>
        <w:keepNext w:val="0"/>
        <w:keepLines w:val="0"/>
        <w:pageBreakBefore w:val="0"/>
        <w:widowControl/>
        <w:kinsoku/>
        <w:wordWrap/>
        <w:overflowPunct/>
        <w:topLinePunct w:val="0"/>
        <w:autoSpaceDE/>
        <w:autoSpaceDN/>
        <w:bidi w:val="0"/>
        <w:adjustRightInd/>
        <w:snapToGrid/>
        <w:spacing w:line="440" w:lineRule="exact"/>
        <w:ind w:firstLine="2660" w:firstLineChars="950"/>
        <w:jc w:val="both"/>
        <w:textAlignment w:val="auto"/>
        <w:rPr>
          <w:rFonts w:hint="eastAsia" w:ascii="仿宋" w:hAnsi="仿宋" w:eastAsia="仿宋" w:cs="仿宋"/>
          <w:b w:val="0"/>
          <w:kern w:val="2"/>
          <w:sz w:val="28"/>
          <w:szCs w:val="28"/>
          <w:highlight w:val="none"/>
          <w:lang w:val="zh-CN"/>
        </w:rPr>
      </w:pPr>
    </w:p>
    <w:p w14:paraId="722C0D29">
      <w:pPr>
        <w:pStyle w:val="50"/>
        <w:keepNext w:val="0"/>
        <w:keepLines w:val="0"/>
        <w:pageBreakBefore w:val="0"/>
        <w:widowControl/>
        <w:kinsoku/>
        <w:wordWrap/>
        <w:overflowPunct/>
        <w:topLinePunct w:val="0"/>
        <w:autoSpaceDE/>
        <w:autoSpaceDN/>
        <w:bidi w:val="0"/>
        <w:adjustRightInd/>
        <w:snapToGrid/>
        <w:spacing w:line="440" w:lineRule="exact"/>
        <w:ind w:firstLine="2660" w:firstLineChars="950"/>
        <w:jc w:val="both"/>
        <w:textAlignment w:val="auto"/>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14:paraId="59D51836">
      <w:pPr>
        <w:pStyle w:val="50"/>
        <w:keepNext w:val="0"/>
        <w:keepLines w:val="0"/>
        <w:pageBreakBefore w:val="0"/>
        <w:widowControl/>
        <w:kinsoku/>
        <w:wordWrap/>
        <w:overflowPunct/>
        <w:topLinePunct w:val="0"/>
        <w:autoSpaceDE/>
        <w:autoSpaceDN/>
        <w:bidi w:val="0"/>
        <w:adjustRightInd/>
        <w:snapToGrid/>
        <w:spacing w:line="440" w:lineRule="exact"/>
        <w:ind w:firstLine="2660" w:firstLineChars="950"/>
        <w:jc w:val="both"/>
        <w:textAlignment w:val="auto"/>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14:paraId="62E61BF4">
      <w:pPr>
        <w:pStyle w:val="50"/>
        <w:keepNext w:val="0"/>
        <w:keepLines w:val="0"/>
        <w:pageBreakBefore w:val="0"/>
        <w:widowControl/>
        <w:kinsoku/>
        <w:wordWrap/>
        <w:overflowPunct/>
        <w:topLinePunct w:val="0"/>
        <w:autoSpaceDE/>
        <w:autoSpaceDN/>
        <w:bidi w:val="0"/>
        <w:adjustRightInd/>
        <w:snapToGrid/>
        <w:spacing w:line="440" w:lineRule="exact"/>
        <w:ind w:firstLine="2660" w:firstLineChars="950"/>
        <w:jc w:val="both"/>
        <w:textAlignment w:val="auto"/>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bookmarkEnd w:id="245"/>
    <w:bookmarkEnd w:id="246"/>
    <w:bookmarkEnd w:id="247"/>
    <w:p w14:paraId="64C0831F">
      <w:pPr>
        <w:rPr>
          <w:rFonts w:ascii="仿宋" w:hAnsi="仿宋" w:cs="仿宋"/>
          <w:szCs w:val="28"/>
          <w:highlight w:val="none"/>
        </w:rPr>
      </w:pPr>
      <w:r>
        <w:rPr>
          <w:rFonts w:ascii="仿宋" w:hAnsi="仿宋" w:cs="仿宋"/>
          <w:szCs w:val="28"/>
          <w:highlight w:val="none"/>
        </w:rPr>
        <w:br w:type="page"/>
      </w:r>
    </w:p>
    <w:p w14:paraId="3528D073">
      <w:pPr>
        <w:spacing w:line="500" w:lineRule="atLeast"/>
        <w:jc w:val="center"/>
        <w:outlineLvl w:val="2"/>
        <w:rPr>
          <w:rFonts w:ascii="仿宋" w:hAnsi="仿宋" w:eastAsia="仿宋" w:cs="仿宋"/>
          <w:b/>
          <w:bCs/>
          <w:sz w:val="36"/>
          <w:szCs w:val="36"/>
          <w:highlight w:val="none"/>
        </w:rPr>
      </w:pPr>
      <w:bookmarkStart w:id="248" w:name="_Toc18984"/>
      <w:bookmarkStart w:id="249" w:name="_Toc438541323"/>
      <w:bookmarkStart w:id="250" w:name="_Toc28061"/>
      <w:bookmarkStart w:id="251" w:name="_Toc18268_WPSOffice_Level1"/>
      <w:bookmarkStart w:id="252" w:name="_Toc19778"/>
      <w:bookmarkStart w:id="253" w:name="_Toc14381_WPSOffice_Level1"/>
      <w:bookmarkStart w:id="254" w:name="_Toc14488"/>
      <w:bookmarkStart w:id="255" w:name="_Toc11782"/>
      <w:bookmarkStart w:id="256" w:name="_Toc5317"/>
      <w:bookmarkStart w:id="257" w:name="_Toc5608"/>
      <w:bookmarkStart w:id="258" w:name="_Toc438541320"/>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三</w:t>
      </w:r>
      <w:r>
        <w:rPr>
          <w:rFonts w:hint="eastAsia" w:ascii="仿宋" w:hAnsi="仿宋" w:eastAsia="仿宋" w:cs="仿宋"/>
          <w:b/>
          <w:bCs/>
          <w:sz w:val="36"/>
          <w:szCs w:val="36"/>
          <w:highlight w:val="none"/>
        </w:rPr>
        <w:t>部分  业绩证明文件</w:t>
      </w:r>
      <w:bookmarkEnd w:id="248"/>
      <w:bookmarkEnd w:id="249"/>
      <w:bookmarkEnd w:id="250"/>
      <w:bookmarkEnd w:id="251"/>
      <w:bookmarkEnd w:id="252"/>
      <w:bookmarkEnd w:id="253"/>
      <w:bookmarkEnd w:id="254"/>
      <w:bookmarkEnd w:id="255"/>
      <w:bookmarkEnd w:id="256"/>
    </w:p>
    <w:p w14:paraId="536DE586">
      <w:pPr>
        <w:spacing w:line="500" w:lineRule="exact"/>
        <w:rPr>
          <w:rFonts w:ascii="仿宋" w:hAnsi="仿宋" w:eastAsia="仿宋" w:cs="仿宋"/>
          <w:sz w:val="28"/>
          <w:szCs w:val="24"/>
          <w:highlight w:val="none"/>
          <w:u w:val="single"/>
        </w:rPr>
      </w:pPr>
      <w:r>
        <w:rPr>
          <w:rFonts w:hint="eastAsia" w:ascii="仿宋" w:hAnsi="仿宋" w:eastAsia="仿宋" w:cs="仿宋"/>
          <w:sz w:val="28"/>
          <w:szCs w:val="24"/>
          <w:highlight w:val="none"/>
        </w:rPr>
        <w:t>供应商名称：</w:t>
      </w:r>
      <w:r>
        <w:rPr>
          <w:rFonts w:hint="eastAsia" w:ascii="仿宋" w:hAnsi="仿宋" w:eastAsia="仿宋" w:cs="仿宋"/>
          <w:sz w:val="28"/>
          <w:szCs w:val="24"/>
          <w:highlight w:val="none"/>
          <w:u w:val="single"/>
        </w:rPr>
        <w:t xml:space="preserve">                          </w:t>
      </w:r>
      <w:r>
        <w:rPr>
          <w:rFonts w:hint="eastAsia" w:ascii="仿宋" w:hAnsi="仿宋" w:eastAsia="仿宋" w:cs="仿宋"/>
          <w:sz w:val="28"/>
          <w:szCs w:val="24"/>
          <w:highlight w:val="none"/>
        </w:rPr>
        <w:t xml:space="preserve">     采购项目编号：</w:t>
      </w:r>
      <w:r>
        <w:rPr>
          <w:rFonts w:hint="eastAsia" w:ascii="仿宋" w:hAnsi="仿宋" w:eastAsia="仿宋" w:cs="仿宋"/>
          <w:sz w:val="28"/>
          <w:szCs w:val="24"/>
          <w:highlight w:val="none"/>
          <w:u w:val="single"/>
        </w:rPr>
        <w:t xml:space="preserve">           .</w:t>
      </w:r>
    </w:p>
    <w:tbl>
      <w:tblPr>
        <w:tblStyle w:val="3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3"/>
        <w:gridCol w:w="1554"/>
        <w:gridCol w:w="2697"/>
        <w:gridCol w:w="1123"/>
        <w:gridCol w:w="1203"/>
        <w:gridCol w:w="931"/>
        <w:gridCol w:w="1579"/>
      </w:tblGrid>
      <w:tr w14:paraId="1545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14:paraId="25A2257E">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1554" w:type="dxa"/>
            <w:vAlign w:val="center"/>
          </w:tcPr>
          <w:p w14:paraId="20849DFB">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项目名称</w:t>
            </w:r>
          </w:p>
        </w:tc>
        <w:tc>
          <w:tcPr>
            <w:tcW w:w="2697" w:type="dxa"/>
            <w:vAlign w:val="center"/>
          </w:tcPr>
          <w:p w14:paraId="5FE4BD9C">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项目内容</w:t>
            </w:r>
          </w:p>
          <w:p w14:paraId="21FCBCE4">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类似项目</w:t>
            </w:r>
            <w:r>
              <w:rPr>
                <w:rFonts w:hint="eastAsia" w:ascii="仿宋" w:hAnsi="仿宋" w:eastAsia="仿宋" w:cs="仿宋"/>
                <w:b/>
                <w:bCs/>
                <w:sz w:val="24"/>
                <w:highlight w:val="none"/>
              </w:rPr>
              <w:t>）</w:t>
            </w:r>
          </w:p>
        </w:tc>
        <w:tc>
          <w:tcPr>
            <w:tcW w:w="1123" w:type="dxa"/>
            <w:tcBorders>
              <w:left w:val="single" w:color="auto" w:sz="4" w:space="0"/>
              <w:right w:val="single" w:color="auto" w:sz="4" w:space="0"/>
            </w:tcBorders>
            <w:vAlign w:val="center"/>
          </w:tcPr>
          <w:p w14:paraId="7E335D40">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完成日期</w:t>
            </w:r>
          </w:p>
        </w:tc>
        <w:tc>
          <w:tcPr>
            <w:tcW w:w="1203" w:type="dxa"/>
            <w:vAlign w:val="center"/>
          </w:tcPr>
          <w:p w14:paraId="22DF7F94">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质量</w:t>
            </w:r>
          </w:p>
        </w:tc>
        <w:tc>
          <w:tcPr>
            <w:tcW w:w="931" w:type="dxa"/>
            <w:vAlign w:val="center"/>
          </w:tcPr>
          <w:p w14:paraId="3816FAF8">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金额</w:t>
            </w:r>
          </w:p>
        </w:tc>
        <w:tc>
          <w:tcPr>
            <w:tcW w:w="1579" w:type="dxa"/>
            <w:vAlign w:val="center"/>
          </w:tcPr>
          <w:p w14:paraId="37835293">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业主名称、联系人及电话</w:t>
            </w:r>
          </w:p>
        </w:tc>
      </w:tr>
      <w:tr w14:paraId="205CE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14:paraId="503E3872">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554" w:type="dxa"/>
            <w:vAlign w:val="center"/>
          </w:tcPr>
          <w:p w14:paraId="3DA6B94D">
            <w:pPr>
              <w:spacing w:line="500" w:lineRule="exact"/>
              <w:jc w:val="center"/>
              <w:rPr>
                <w:rFonts w:ascii="仿宋" w:hAnsi="仿宋" w:eastAsia="仿宋" w:cs="仿宋"/>
                <w:sz w:val="24"/>
                <w:highlight w:val="none"/>
              </w:rPr>
            </w:pPr>
          </w:p>
        </w:tc>
        <w:tc>
          <w:tcPr>
            <w:tcW w:w="2697" w:type="dxa"/>
            <w:vAlign w:val="center"/>
          </w:tcPr>
          <w:p w14:paraId="6F4373A3">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14:paraId="7392D6B3">
            <w:pPr>
              <w:spacing w:line="500" w:lineRule="exact"/>
              <w:jc w:val="center"/>
              <w:rPr>
                <w:rFonts w:ascii="仿宋" w:hAnsi="仿宋" w:eastAsia="仿宋" w:cs="仿宋"/>
                <w:sz w:val="24"/>
                <w:highlight w:val="none"/>
              </w:rPr>
            </w:pPr>
          </w:p>
        </w:tc>
        <w:tc>
          <w:tcPr>
            <w:tcW w:w="1203" w:type="dxa"/>
            <w:vAlign w:val="center"/>
          </w:tcPr>
          <w:p w14:paraId="0615FDDD">
            <w:pPr>
              <w:spacing w:line="500" w:lineRule="exact"/>
              <w:jc w:val="center"/>
              <w:rPr>
                <w:rFonts w:ascii="仿宋" w:hAnsi="仿宋" w:eastAsia="仿宋" w:cs="仿宋"/>
                <w:sz w:val="24"/>
                <w:highlight w:val="none"/>
              </w:rPr>
            </w:pPr>
          </w:p>
        </w:tc>
        <w:tc>
          <w:tcPr>
            <w:tcW w:w="931" w:type="dxa"/>
          </w:tcPr>
          <w:p w14:paraId="26FCAFE4">
            <w:pPr>
              <w:spacing w:line="500" w:lineRule="exact"/>
              <w:jc w:val="center"/>
              <w:rPr>
                <w:rFonts w:ascii="仿宋" w:hAnsi="仿宋" w:eastAsia="仿宋" w:cs="仿宋"/>
                <w:sz w:val="24"/>
                <w:highlight w:val="none"/>
              </w:rPr>
            </w:pPr>
          </w:p>
        </w:tc>
        <w:tc>
          <w:tcPr>
            <w:tcW w:w="1579" w:type="dxa"/>
          </w:tcPr>
          <w:p w14:paraId="2C931298">
            <w:pPr>
              <w:spacing w:line="500" w:lineRule="exact"/>
              <w:jc w:val="center"/>
              <w:rPr>
                <w:rFonts w:ascii="仿宋" w:hAnsi="仿宋" w:eastAsia="仿宋" w:cs="仿宋"/>
                <w:sz w:val="24"/>
                <w:highlight w:val="none"/>
              </w:rPr>
            </w:pPr>
          </w:p>
        </w:tc>
      </w:tr>
      <w:tr w14:paraId="1CB49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14:paraId="2AA30E0E">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1554" w:type="dxa"/>
            <w:vAlign w:val="center"/>
          </w:tcPr>
          <w:p w14:paraId="0EE91554">
            <w:pPr>
              <w:spacing w:line="500" w:lineRule="exact"/>
              <w:jc w:val="center"/>
              <w:rPr>
                <w:rFonts w:ascii="仿宋" w:hAnsi="仿宋" w:eastAsia="仿宋" w:cs="仿宋"/>
                <w:sz w:val="24"/>
                <w:highlight w:val="none"/>
              </w:rPr>
            </w:pPr>
          </w:p>
        </w:tc>
        <w:tc>
          <w:tcPr>
            <w:tcW w:w="2697" w:type="dxa"/>
            <w:vAlign w:val="center"/>
          </w:tcPr>
          <w:p w14:paraId="42187509">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14:paraId="47788BE8">
            <w:pPr>
              <w:spacing w:line="500" w:lineRule="exact"/>
              <w:jc w:val="center"/>
              <w:rPr>
                <w:rFonts w:ascii="仿宋" w:hAnsi="仿宋" w:eastAsia="仿宋" w:cs="仿宋"/>
                <w:sz w:val="24"/>
                <w:highlight w:val="none"/>
              </w:rPr>
            </w:pPr>
          </w:p>
        </w:tc>
        <w:tc>
          <w:tcPr>
            <w:tcW w:w="1203" w:type="dxa"/>
            <w:vAlign w:val="center"/>
          </w:tcPr>
          <w:p w14:paraId="31B4DF3C">
            <w:pPr>
              <w:spacing w:line="500" w:lineRule="exact"/>
              <w:jc w:val="center"/>
              <w:rPr>
                <w:rFonts w:ascii="仿宋" w:hAnsi="仿宋" w:eastAsia="仿宋" w:cs="仿宋"/>
                <w:sz w:val="24"/>
                <w:highlight w:val="none"/>
              </w:rPr>
            </w:pPr>
          </w:p>
        </w:tc>
        <w:tc>
          <w:tcPr>
            <w:tcW w:w="931" w:type="dxa"/>
          </w:tcPr>
          <w:p w14:paraId="3B188864">
            <w:pPr>
              <w:spacing w:line="500" w:lineRule="exact"/>
              <w:jc w:val="center"/>
              <w:rPr>
                <w:rFonts w:ascii="仿宋" w:hAnsi="仿宋" w:eastAsia="仿宋" w:cs="仿宋"/>
                <w:sz w:val="24"/>
                <w:highlight w:val="none"/>
              </w:rPr>
            </w:pPr>
          </w:p>
        </w:tc>
        <w:tc>
          <w:tcPr>
            <w:tcW w:w="1579" w:type="dxa"/>
          </w:tcPr>
          <w:p w14:paraId="4204FDDA">
            <w:pPr>
              <w:spacing w:line="500" w:lineRule="exact"/>
              <w:jc w:val="center"/>
              <w:rPr>
                <w:rFonts w:ascii="仿宋" w:hAnsi="仿宋" w:eastAsia="仿宋" w:cs="仿宋"/>
                <w:sz w:val="24"/>
                <w:highlight w:val="none"/>
              </w:rPr>
            </w:pPr>
          </w:p>
        </w:tc>
      </w:tr>
      <w:tr w14:paraId="48B34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14:paraId="0569E547">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1554" w:type="dxa"/>
            <w:vAlign w:val="center"/>
          </w:tcPr>
          <w:p w14:paraId="59AE2450">
            <w:pPr>
              <w:spacing w:line="500" w:lineRule="exact"/>
              <w:jc w:val="center"/>
              <w:rPr>
                <w:rFonts w:ascii="仿宋" w:hAnsi="仿宋" w:eastAsia="仿宋" w:cs="仿宋"/>
                <w:sz w:val="24"/>
                <w:highlight w:val="none"/>
              </w:rPr>
            </w:pPr>
          </w:p>
        </w:tc>
        <w:tc>
          <w:tcPr>
            <w:tcW w:w="2697" w:type="dxa"/>
            <w:vAlign w:val="center"/>
          </w:tcPr>
          <w:p w14:paraId="1FC769E2">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14:paraId="27548440">
            <w:pPr>
              <w:spacing w:line="500" w:lineRule="exact"/>
              <w:jc w:val="center"/>
              <w:rPr>
                <w:rFonts w:ascii="仿宋" w:hAnsi="仿宋" w:eastAsia="仿宋" w:cs="仿宋"/>
                <w:sz w:val="24"/>
                <w:highlight w:val="none"/>
              </w:rPr>
            </w:pPr>
          </w:p>
        </w:tc>
        <w:tc>
          <w:tcPr>
            <w:tcW w:w="1203" w:type="dxa"/>
            <w:vAlign w:val="center"/>
          </w:tcPr>
          <w:p w14:paraId="5E1A6816">
            <w:pPr>
              <w:spacing w:line="500" w:lineRule="exact"/>
              <w:jc w:val="center"/>
              <w:rPr>
                <w:rFonts w:ascii="仿宋" w:hAnsi="仿宋" w:eastAsia="仿宋" w:cs="仿宋"/>
                <w:sz w:val="24"/>
                <w:highlight w:val="none"/>
              </w:rPr>
            </w:pPr>
          </w:p>
        </w:tc>
        <w:tc>
          <w:tcPr>
            <w:tcW w:w="931" w:type="dxa"/>
          </w:tcPr>
          <w:p w14:paraId="389F4894">
            <w:pPr>
              <w:spacing w:line="500" w:lineRule="exact"/>
              <w:jc w:val="center"/>
              <w:rPr>
                <w:rFonts w:ascii="仿宋" w:hAnsi="仿宋" w:eastAsia="仿宋" w:cs="仿宋"/>
                <w:sz w:val="24"/>
                <w:highlight w:val="none"/>
              </w:rPr>
            </w:pPr>
          </w:p>
        </w:tc>
        <w:tc>
          <w:tcPr>
            <w:tcW w:w="1579" w:type="dxa"/>
          </w:tcPr>
          <w:p w14:paraId="2DF54EFC">
            <w:pPr>
              <w:spacing w:line="500" w:lineRule="exact"/>
              <w:jc w:val="center"/>
              <w:rPr>
                <w:rFonts w:ascii="仿宋" w:hAnsi="仿宋" w:eastAsia="仿宋" w:cs="仿宋"/>
                <w:sz w:val="24"/>
                <w:highlight w:val="none"/>
              </w:rPr>
            </w:pPr>
          </w:p>
        </w:tc>
      </w:tr>
      <w:tr w14:paraId="463CB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14:paraId="242A9DA9">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1554" w:type="dxa"/>
            <w:vAlign w:val="center"/>
          </w:tcPr>
          <w:p w14:paraId="3309122E">
            <w:pPr>
              <w:spacing w:line="500" w:lineRule="exact"/>
              <w:jc w:val="center"/>
              <w:rPr>
                <w:rFonts w:ascii="仿宋" w:hAnsi="仿宋" w:eastAsia="仿宋" w:cs="仿宋"/>
                <w:sz w:val="24"/>
                <w:highlight w:val="none"/>
              </w:rPr>
            </w:pPr>
          </w:p>
        </w:tc>
        <w:tc>
          <w:tcPr>
            <w:tcW w:w="2697" w:type="dxa"/>
            <w:vAlign w:val="center"/>
          </w:tcPr>
          <w:p w14:paraId="396F6569">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14:paraId="4DF1040A">
            <w:pPr>
              <w:spacing w:line="500" w:lineRule="exact"/>
              <w:jc w:val="center"/>
              <w:rPr>
                <w:rFonts w:ascii="仿宋" w:hAnsi="仿宋" w:eastAsia="仿宋" w:cs="仿宋"/>
                <w:sz w:val="24"/>
                <w:highlight w:val="none"/>
              </w:rPr>
            </w:pPr>
          </w:p>
        </w:tc>
        <w:tc>
          <w:tcPr>
            <w:tcW w:w="1203" w:type="dxa"/>
            <w:vAlign w:val="center"/>
          </w:tcPr>
          <w:p w14:paraId="58592AA8">
            <w:pPr>
              <w:spacing w:line="500" w:lineRule="exact"/>
              <w:jc w:val="center"/>
              <w:rPr>
                <w:rFonts w:ascii="仿宋" w:hAnsi="仿宋" w:eastAsia="仿宋" w:cs="仿宋"/>
                <w:sz w:val="24"/>
                <w:highlight w:val="none"/>
              </w:rPr>
            </w:pPr>
          </w:p>
        </w:tc>
        <w:tc>
          <w:tcPr>
            <w:tcW w:w="931" w:type="dxa"/>
          </w:tcPr>
          <w:p w14:paraId="6F4E7D44">
            <w:pPr>
              <w:spacing w:line="500" w:lineRule="exact"/>
              <w:jc w:val="center"/>
              <w:rPr>
                <w:rFonts w:ascii="仿宋" w:hAnsi="仿宋" w:eastAsia="仿宋" w:cs="仿宋"/>
                <w:sz w:val="24"/>
                <w:highlight w:val="none"/>
              </w:rPr>
            </w:pPr>
          </w:p>
        </w:tc>
        <w:tc>
          <w:tcPr>
            <w:tcW w:w="1579" w:type="dxa"/>
          </w:tcPr>
          <w:p w14:paraId="09A38783">
            <w:pPr>
              <w:spacing w:line="500" w:lineRule="exact"/>
              <w:jc w:val="center"/>
              <w:rPr>
                <w:rFonts w:ascii="仿宋" w:hAnsi="仿宋" w:eastAsia="仿宋" w:cs="仿宋"/>
                <w:sz w:val="24"/>
                <w:highlight w:val="none"/>
              </w:rPr>
            </w:pPr>
          </w:p>
        </w:tc>
      </w:tr>
      <w:tr w14:paraId="005FD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14:paraId="1FD4A53F">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1554" w:type="dxa"/>
            <w:vAlign w:val="center"/>
          </w:tcPr>
          <w:p w14:paraId="7089267F">
            <w:pPr>
              <w:spacing w:line="500" w:lineRule="exact"/>
              <w:jc w:val="center"/>
              <w:rPr>
                <w:rFonts w:ascii="仿宋" w:hAnsi="仿宋" w:eastAsia="仿宋" w:cs="仿宋"/>
                <w:sz w:val="24"/>
                <w:highlight w:val="none"/>
              </w:rPr>
            </w:pPr>
          </w:p>
        </w:tc>
        <w:tc>
          <w:tcPr>
            <w:tcW w:w="2697" w:type="dxa"/>
            <w:vAlign w:val="center"/>
          </w:tcPr>
          <w:p w14:paraId="2733EEE4">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14:paraId="5A65F008">
            <w:pPr>
              <w:spacing w:line="500" w:lineRule="exact"/>
              <w:jc w:val="center"/>
              <w:rPr>
                <w:rFonts w:ascii="仿宋" w:hAnsi="仿宋" w:eastAsia="仿宋" w:cs="仿宋"/>
                <w:sz w:val="24"/>
                <w:highlight w:val="none"/>
              </w:rPr>
            </w:pPr>
          </w:p>
        </w:tc>
        <w:tc>
          <w:tcPr>
            <w:tcW w:w="1203" w:type="dxa"/>
            <w:vAlign w:val="center"/>
          </w:tcPr>
          <w:p w14:paraId="6AEE0053">
            <w:pPr>
              <w:spacing w:line="500" w:lineRule="exact"/>
              <w:jc w:val="center"/>
              <w:rPr>
                <w:rFonts w:ascii="仿宋" w:hAnsi="仿宋" w:eastAsia="仿宋" w:cs="仿宋"/>
                <w:sz w:val="24"/>
                <w:highlight w:val="none"/>
              </w:rPr>
            </w:pPr>
          </w:p>
        </w:tc>
        <w:tc>
          <w:tcPr>
            <w:tcW w:w="931" w:type="dxa"/>
          </w:tcPr>
          <w:p w14:paraId="6FBD23A8">
            <w:pPr>
              <w:spacing w:line="500" w:lineRule="exact"/>
              <w:jc w:val="center"/>
              <w:rPr>
                <w:rFonts w:ascii="仿宋" w:hAnsi="仿宋" w:eastAsia="仿宋" w:cs="仿宋"/>
                <w:sz w:val="24"/>
                <w:highlight w:val="none"/>
              </w:rPr>
            </w:pPr>
          </w:p>
        </w:tc>
        <w:tc>
          <w:tcPr>
            <w:tcW w:w="1579" w:type="dxa"/>
          </w:tcPr>
          <w:p w14:paraId="5CFB3534">
            <w:pPr>
              <w:spacing w:line="500" w:lineRule="exact"/>
              <w:jc w:val="center"/>
              <w:rPr>
                <w:rFonts w:ascii="仿宋" w:hAnsi="仿宋" w:eastAsia="仿宋" w:cs="仿宋"/>
                <w:sz w:val="24"/>
                <w:highlight w:val="none"/>
              </w:rPr>
            </w:pPr>
          </w:p>
        </w:tc>
      </w:tr>
      <w:tr w14:paraId="779EF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14:paraId="10140C84">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1554" w:type="dxa"/>
            <w:vAlign w:val="center"/>
          </w:tcPr>
          <w:p w14:paraId="138E3EA4">
            <w:pPr>
              <w:spacing w:line="500" w:lineRule="exact"/>
              <w:jc w:val="center"/>
              <w:rPr>
                <w:rFonts w:ascii="仿宋" w:hAnsi="仿宋" w:eastAsia="仿宋" w:cs="仿宋"/>
                <w:sz w:val="24"/>
                <w:highlight w:val="none"/>
              </w:rPr>
            </w:pPr>
          </w:p>
        </w:tc>
        <w:tc>
          <w:tcPr>
            <w:tcW w:w="2697" w:type="dxa"/>
            <w:vAlign w:val="center"/>
          </w:tcPr>
          <w:p w14:paraId="779457E4">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14:paraId="54736205">
            <w:pPr>
              <w:spacing w:line="500" w:lineRule="exact"/>
              <w:jc w:val="center"/>
              <w:rPr>
                <w:rFonts w:ascii="仿宋" w:hAnsi="仿宋" w:eastAsia="仿宋" w:cs="仿宋"/>
                <w:sz w:val="24"/>
                <w:highlight w:val="none"/>
              </w:rPr>
            </w:pPr>
          </w:p>
        </w:tc>
        <w:tc>
          <w:tcPr>
            <w:tcW w:w="1203" w:type="dxa"/>
            <w:vAlign w:val="center"/>
          </w:tcPr>
          <w:p w14:paraId="30D8BD1A">
            <w:pPr>
              <w:spacing w:line="500" w:lineRule="exact"/>
              <w:jc w:val="center"/>
              <w:rPr>
                <w:rFonts w:ascii="仿宋" w:hAnsi="仿宋" w:eastAsia="仿宋" w:cs="仿宋"/>
                <w:sz w:val="24"/>
                <w:highlight w:val="none"/>
              </w:rPr>
            </w:pPr>
          </w:p>
        </w:tc>
        <w:tc>
          <w:tcPr>
            <w:tcW w:w="931" w:type="dxa"/>
          </w:tcPr>
          <w:p w14:paraId="269B2B5C">
            <w:pPr>
              <w:spacing w:line="500" w:lineRule="exact"/>
              <w:jc w:val="center"/>
              <w:rPr>
                <w:rFonts w:ascii="仿宋" w:hAnsi="仿宋" w:eastAsia="仿宋" w:cs="仿宋"/>
                <w:sz w:val="24"/>
                <w:highlight w:val="none"/>
              </w:rPr>
            </w:pPr>
          </w:p>
        </w:tc>
        <w:tc>
          <w:tcPr>
            <w:tcW w:w="1579" w:type="dxa"/>
          </w:tcPr>
          <w:p w14:paraId="0647E86B">
            <w:pPr>
              <w:spacing w:line="500" w:lineRule="exact"/>
              <w:jc w:val="center"/>
              <w:rPr>
                <w:rFonts w:ascii="仿宋" w:hAnsi="仿宋" w:eastAsia="仿宋" w:cs="仿宋"/>
                <w:sz w:val="24"/>
                <w:highlight w:val="none"/>
              </w:rPr>
            </w:pPr>
          </w:p>
        </w:tc>
      </w:tr>
      <w:tr w14:paraId="5BFB4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14:paraId="46A8DFFF">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1554" w:type="dxa"/>
            <w:vAlign w:val="center"/>
          </w:tcPr>
          <w:p w14:paraId="6B6FB471">
            <w:pPr>
              <w:spacing w:line="500" w:lineRule="exact"/>
              <w:jc w:val="center"/>
              <w:rPr>
                <w:rFonts w:ascii="仿宋" w:hAnsi="仿宋" w:eastAsia="仿宋" w:cs="仿宋"/>
                <w:sz w:val="24"/>
                <w:highlight w:val="none"/>
              </w:rPr>
            </w:pPr>
          </w:p>
        </w:tc>
        <w:tc>
          <w:tcPr>
            <w:tcW w:w="2697" w:type="dxa"/>
            <w:vAlign w:val="center"/>
          </w:tcPr>
          <w:p w14:paraId="5E1A92D2">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14:paraId="288F32EC">
            <w:pPr>
              <w:spacing w:line="500" w:lineRule="exact"/>
              <w:jc w:val="center"/>
              <w:rPr>
                <w:rFonts w:ascii="仿宋" w:hAnsi="仿宋" w:eastAsia="仿宋" w:cs="仿宋"/>
                <w:sz w:val="24"/>
                <w:highlight w:val="none"/>
              </w:rPr>
            </w:pPr>
          </w:p>
        </w:tc>
        <w:tc>
          <w:tcPr>
            <w:tcW w:w="1203" w:type="dxa"/>
            <w:vAlign w:val="center"/>
          </w:tcPr>
          <w:p w14:paraId="6AFEF309">
            <w:pPr>
              <w:spacing w:line="500" w:lineRule="exact"/>
              <w:jc w:val="center"/>
              <w:rPr>
                <w:rFonts w:ascii="仿宋" w:hAnsi="仿宋" w:eastAsia="仿宋" w:cs="仿宋"/>
                <w:sz w:val="24"/>
                <w:highlight w:val="none"/>
              </w:rPr>
            </w:pPr>
          </w:p>
        </w:tc>
        <w:tc>
          <w:tcPr>
            <w:tcW w:w="931" w:type="dxa"/>
          </w:tcPr>
          <w:p w14:paraId="1510C9D2">
            <w:pPr>
              <w:spacing w:line="500" w:lineRule="exact"/>
              <w:jc w:val="center"/>
              <w:rPr>
                <w:rFonts w:ascii="仿宋" w:hAnsi="仿宋" w:eastAsia="仿宋" w:cs="仿宋"/>
                <w:sz w:val="24"/>
                <w:highlight w:val="none"/>
              </w:rPr>
            </w:pPr>
          </w:p>
        </w:tc>
        <w:tc>
          <w:tcPr>
            <w:tcW w:w="1579" w:type="dxa"/>
          </w:tcPr>
          <w:p w14:paraId="36AFDEA7">
            <w:pPr>
              <w:spacing w:line="500" w:lineRule="exact"/>
              <w:jc w:val="center"/>
              <w:rPr>
                <w:rFonts w:ascii="仿宋" w:hAnsi="仿宋" w:eastAsia="仿宋" w:cs="仿宋"/>
                <w:sz w:val="24"/>
                <w:highlight w:val="none"/>
              </w:rPr>
            </w:pPr>
          </w:p>
        </w:tc>
      </w:tr>
      <w:tr w14:paraId="3F108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14:paraId="40B6DE42">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1554" w:type="dxa"/>
            <w:vAlign w:val="center"/>
          </w:tcPr>
          <w:p w14:paraId="5D69FD10">
            <w:pPr>
              <w:spacing w:line="500" w:lineRule="exact"/>
              <w:jc w:val="center"/>
              <w:rPr>
                <w:rFonts w:ascii="仿宋" w:hAnsi="仿宋" w:eastAsia="仿宋" w:cs="仿宋"/>
                <w:sz w:val="24"/>
                <w:highlight w:val="none"/>
              </w:rPr>
            </w:pPr>
          </w:p>
        </w:tc>
        <w:tc>
          <w:tcPr>
            <w:tcW w:w="2697" w:type="dxa"/>
            <w:vAlign w:val="center"/>
          </w:tcPr>
          <w:p w14:paraId="252DF160">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14:paraId="18A713D4">
            <w:pPr>
              <w:spacing w:line="500" w:lineRule="exact"/>
              <w:jc w:val="center"/>
              <w:rPr>
                <w:rFonts w:ascii="仿宋" w:hAnsi="仿宋" w:eastAsia="仿宋" w:cs="仿宋"/>
                <w:sz w:val="24"/>
                <w:highlight w:val="none"/>
              </w:rPr>
            </w:pPr>
          </w:p>
        </w:tc>
        <w:tc>
          <w:tcPr>
            <w:tcW w:w="1203" w:type="dxa"/>
            <w:vAlign w:val="center"/>
          </w:tcPr>
          <w:p w14:paraId="248BA09F">
            <w:pPr>
              <w:spacing w:line="500" w:lineRule="exact"/>
              <w:jc w:val="center"/>
              <w:rPr>
                <w:rFonts w:ascii="仿宋" w:hAnsi="仿宋" w:eastAsia="仿宋" w:cs="仿宋"/>
                <w:sz w:val="24"/>
                <w:highlight w:val="none"/>
              </w:rPr>
            </w:pPr>
          </w:p>
        </w:tc>
        <w:tc>
          <w:tcPr>
            <w:tcW w:w="931" w:type="dxa"/>
          </w:tcPr>
          <w:p w14:paraId="25EEBE50">
            <w:pPr>
              <w:spacing w:line="500" w:lineRule="exact"/>
              <w:jc w:val="center"/>
              <w:rPr>
                <w:rFonts w:ascii="仿宋" w:hAnsi="仿宋" w:eastAsia="仿宋" w:cs="仿宋"/>
                <w:sz w:val="24"/>
                <w:highlight w:val="none"/>
              </w:rPr>
            </w:pPr>
          </w:p>
        </w:tc>
        <w:tc>
          <w:tcPr>
            <w:tcW w:w="1579" w:type="dxa"/>
          </w:tcPr>
          <w:p w14:paraId="0D8E694F">
            <w:pPr>
              <w:spacing w:line="500" w:lineRule="exact"/>
              <w:jc w:val="center"/>
              <w:rPr>
                <w:rFonts w:ascii="仿宋" w:hAnsi="仿宋" w:eastAsia="仿宋" w:cs="仿宋"/>
                <w:sz w:val="24"/>
                <w:highlight w:val="none"/>
              </w:rPr>
            </w:pPr>
          </w:p>
        </w:tc>
      </w:tr>
      <w:tr w14:paraId="28BA8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8" w:hRule="atLeast"/>
          <w:jc w:val="center"/>
        </w:trPr>
        <w:tc>
          <w:tcPr>
            <w:tcW w:w="613" w:type="dxa"/>
            <w:vAlign w:val="center"/>
          </w:tcPr>
          <w:p w14:paraId="12CEC1F7">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1554" w:type="dxa"/>
            <w:vAlign w:val="center"/>
          </w:tcPr>
          <w:p w14:paraId="7DAEA93D">
            <w:pPr>
              <w:spacing w:line="500" w:lineRule="exact"/>
              <w:jc w:val="center"/>
              <w:rPr>
                <w:rFonts w:ascii="仿宋" w:hAnsi="仿宋" w:eastAsia="仿宋" w:cs="仿宋"/>
                <w:sz w:val="24"/>
                <w:highlight w:val="none"/>
              </w:rPr>
            </w:pPr>
          </w:p>
        </w:tc>
        <w:tc>
          <w:tcPr>
            <w:tcW w:w="2697" w:type="dxa"/>
            <w:vAlign w:val="center"/>
          </w:tcPr>
          <w:p w14:paraId="39BFAD55">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14:paraId="6D657DDF">
            <w:pPr>
              <w:spacing w:line="500" w:lineRule="exact"/>
              <w:jc w:val="center"/>
              <w:rPr>
                <w:rFonts w:ascii="仿宋" w:hAnsi="仿宋" w:eastAsia="仿宋" w:cs="仿宋"/>
                <w:sz w:val="24"/>
                <w:highlight w:val="none"/>
              </w:rPr>
            </w:pPr>
          </w:p>
        </w:tc>
        <w:tc>
          <w:tcPr>
            <w:tcW w:w="1203" w:type="dxa"/>
            <w:vAlign w:val="center"/>
          </w:tcPr>
          <w:p w14:paraId="44E2F49C">
            <w:pPr>
              <w:spacing w:line="500" w:lineRule="exact"/>
              <w:jc w:val="center"/>
              <w:rPr>
                <w:rFonts w:ascii="仿宋" w:hAnsi="仿宋" w:eastAsia="仿宋" w:cs="仿宋"/>
                <w:sz w:val="24"/>
                <w:highlight w:val="none"/>
              </w:rPr>
            </w:pPr>
          </w:p>
        </w:tc>
        <w:tc>
          <w:tcPr>
            <w:tcW w:w="931" w:type="dxa"/>
          </w:tcPr>
          <w:p w14:paraId="66A4F398">
            <w:pPr>
              <w:spacing w:line="500" w:lineRule="exact"/>
              <w:jc w:val="center"/>
              <w:rPr>
                <w:rFonts w:ascii="仿宋" w:hAnsi="仿宋" w:eastAsia="仿宋" w:cs="仿宋"/>
                <w:sz w:val="24"/>
                <w:highlight w:val="none"/>
              </w:rPr>
            </w:pPr>
          </w:p>
        </w:tc>
        <w:tc>
          <w:tcPr>
            <w:tcW w:w="1579" w:type="dxa"/>
          </w:tcPr>
          <w:p w14:paraId="08C9E645">
            <w:pPr>
              <w:spacing w:line="500" w:lineRule="exact"/>
              <w:jc w:val="center"/>
              <w:rPr>
                <w:rFonts w:ascii="仿宋" w:hAnsi="仿宋" w:eastAsia="仿宋" w:cs="仿宋"/>
                <w:sz w:val="24"/>
                <w:highlight w:val="none"/>
              </w:rPr>
            </w:pPr>
          </w:p>
        </w:tc>
      </w:tr>
      <w:tr w14:paraId="07D3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613" w:type="dxa"/>
            <w:vAlign w:val="center"/>
          </w:tcPr>
          <w:p w14:paraId="4217300F">
            <w:pPr>
              <w:spacing w:line="500" w:lineRule="exact"/>
              <w:ind w:left="120"/>
              <w:jc w:val="center"/>
              <w:rPr>
                <w:rFonts w:ascii="仿宋" w:hAnsi="仿宋" w:eastAsia="仿宋" w:cs="仿宋"/>
                <w:sz w:val="24"/>
                <w:highlight w:val="none"/>
              </w:rPr>
            </w:pPr>
            <w:r>
              <w:rPr>
                <w:rFonts w:hint="eastAsia" w:ascii="仿宋" w:hAnsi="仿宋" w:eastAsia="仿宋" w:cs="仿宋"/>
                <w:sz w:val="24"/>
                <w:highlight w:val="none"/>
              </w:rPr>
              <w:t>...</w:t>
            </w:r>
          </w:p>
        </w:tc>
        <w:tc>
          <w:tcPr>
            <w:tcW w:w="1554" w:type="dxa"/>
            <w:vAlign w:val="center"/>
          </w:tcPr>
          <w:p w14:paraId="0D446441">
            <w:pPr>
              <w:spacing w:line="500" w:lineRule="exact"/>
              <w:jc w:val="center"/>
              <w:rPr>
                <w:rFonts w:ascii="仿宋" w:hAnsi="仿宋" w:eastAsia="仿宋" w:cs="仿宋"/>
                <w:sz w:val="24"/>
                <w:highlight w:val="none"/>
              </w:rPr>
            </w:pPr>
          </w:p>
        </w:tc>
        <w:tc>
          <w:tcPr>
            <w:tcW w:w="2697" w:type="dxa"/>
            <w:vAlign w:val="center"/>
          </w:tcPr>
          <w:p w14:paraId="747DE7B0">
            <w:pPr>
              <w:spacing w:line="500" w:lineRule="exact"/>
              <w:jc w:val="center"/>
              <w:rPr>
                <w:rFonts w:ascii="仿宋" w:hAnsi="仿宋" w:eastAsia="仿宋" w:cs="仿宋"/>
                <w:sz w:val="24"/>
                <w:highlight w:val="none"/>
              </w:rPr>
            </w:pPr>
          </w:p>
        </w:tc>
        <w:tc>
          <w:tcPr>
            <w:tcW w:w="1123" w:type="dxa"/>
            <w:tcBorders>
              <w:left w:val="single" w:color="auto" w:sz="4" w:space="0"/>
              <w:right w:val="single" w:color="auto" w:sz="4" w:space="0"/>
            </w:tcBorders>
            <w:vAlign w:val="center"/>
          </w:tcPr>
          <w:p w14:paraId="4DFC103E">
            <w:pPr>
              <w:spacing w:line="500" w:lineRule="exact"/>
              <w:jc w:val="center"/>
              <w:rPr>
                <w:rFonts w:ascii="仿宋" w:hAnsi="仿宋" w:eastAsia="仿宋" w:cs="仿宋"/>
                <w:sz w:val="24"/>
                <w:highlight w:val="none"/>
              </w:rPr>
            </w:pPr>
          </w:p>
        </w:tc>
        <w:tc>
          <w:tcPr>
            <w:tcW w:w="1203" w:type="dxa"/>
            <w:vAlign w:val="center"/>
          </w:tcPr>
          <w:p w14:paraId="366A22A0">
            <w:pPr>
              <w:spacing w:line="500" w:lineRule="exact"/>
              <w:jc w:val="center"/>
              <w:rPr>
                <w:rFonts w:ascii="仿宋" w:hAnsi="仿宋" w:eastAsia="仿宋" w:cs="仿宋"/>
                <w:sz w:val="24"/>
                <w:highlight w:val="none"/>
              </w:rPr>
            </w:pPr>
          </w:p>
        </w:tc>
        <w:tc>
          <w:tcPr>
            <w:tcW w:w="931" w:type="dxa"/>
            <w:vAlign w:val="center"/>
          </w:tcPr>
          <w:p w14:paraId="7702E372">
            <w:pPr>
              <w:spacing w:line="500" w:lineRule="exact"/>
              <w:jc w:val="center"/>
              <w:rPr>
                <w:rFonts w:ascii="仿宋" w:hAnsi="仿宋" w:eastAsia="仿宋" w:cs="仿宋"/>
                <w:sz w:val="24"/>
                <w:highlight w:val="none"/>
              </w:rPr>
            </w:pPr>
          </w:p>
        </w:tc>
        <w:tc>
          <w:tcPr>
            <w:tcW w:w="1579" w:type="dxa"/>
            <w:vAlign w:val="center"/>
          </w:tcPr>
          <w:p w14:paraId="1A811DDE">
            <w:pPr>
              <w:spacing w:line="500" w:lineRule="exact"/>
              <w:jc w:val="center"/>
              <w:rPr>
                <w:rFonts w:ascii="仿宋" w:hAnsi="仿宋" w:eastAsia="仿宋" w:cs="仿宋"/>
                <w:sz w:val="24"/>
                <w:highlight w:val="none"/>
              </w:rPr>
            </w:pPr>
          </w:p>
        </w:tc>
      </w:tr>
    </w:tbl>
    <w:p w14:paraId="373F243B">
      <w:pPr>
        <w:spacing w:line="500" w:lineRule="exact"/>
        <w:rPr>
          <w:rFonts w:ascii="仿宋" w:hAnsi="仿宋" w:eastAsia="仿宋" w:cs="仿宋"/>
          <w:bCs/>
          <w:sz w:val="28"/>
          <w:szCs w:val="24"/>
          <w:highlight w:val="none"/>
        </w:rPr>
      </w:pPr>
      <w:r>
        <w:rPr>
          <w:rFonts w:hint="eastAsia" w:ascii="仿宋" w:hAnsi="仿宋" w:eastAsia="仿宋" w:cs="仿宋"/>
          <w:bCs/>
          <w:sz w:val="28"/>
          <w:szCs w:val="24"/>
          <w:highlight w:val="none"/>
        </w:rPr>
        <w:t>注：1.若表格不够用，各供应商可按此表自行复制；</w:t>
      </w:r>
    </w:p>
    <w:p w14:paraId="2E827D1C">
      <w:pPr>
        <w:spacing w:line="50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4"/>
          <w:highlight w:val="none"/>
        </w:rPr>
        <w:t>2.</w:t>
      </w:r>
      <w:r>
        <w:rPr>
          <w:rFonts w:hint="eastAsia" w:ascii="仿宋" w:hAnsi="仿宋" w:eastAsia="仿宋" w:cs="仿宋"/>
          <w:sz w:val="28"/>
          <w:szCs w:val="28"/>
          <w:highlight w:val="none"/>
        </w:rPr>
        <w:t>提供20</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年1月1日以来供应商</w:t>
      </w:r>
      <w:r>
        <w:rPr>
          <w:rFonts w:hint="eastAsia" w:ascii="仿宋" w:hAnsi="仿宋" w:eastAsia="仿宋" w:cs="仿宋"/>
          <w:sz w:val="28"/>
          <w:szCs w:val="28"/>
          <w:highlight w:val="none"/>
          <w:lang w:eastAsia="zh-CN"/>
        </w:rPr>
        <w:t>类似项目</w:t>
      </w:r>
      <w:r>
        <w:rPr>
          <w:rFonts w:hint="eastAsia" w:ascii="仿宋" w:hAnsi="仿宋" w:eastAsia="仿宋" w:cs="仿宋"/>
          <w:sz w:val="28"/>
          <w:szCs w:val="28"/>
          <w:highlight w:val="none"/>
        </w:rPr>
        <w:t>的业绩合同（以合同签订日期为准），附业绩合同复印件加盖公章。</w:t>
      </w:r>
    </w:p>
    <w:p w14:paraId="69B33906">
      <w:pPr>
        <w:pStyle w:val="12"/>
        <w:rPr>
          <w:rFonts w:hint="default"/>
          <w:highlight w:val="none"/>
        </w:rPr>
      </w:pPr>
    </w:p>
    <w:p w14:paraId="6A278B12">
      <w:pPr>
        <w:rPr>
          <w:highlight w:val="none"/>
        </w:rPr>
      </w:pPr>
    </w:p>
    <w:p w14:paraId="64257660">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供</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应</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zh-CN"/>
        </w:rPr>
        <w:t>（公</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14:paraId="3BD12BAC">
      <w:pPr>
        <w:spacing w:line="500" w:lineRule="exact"/>
        <w:jc w:val="right"/>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法定代表人或被授权委托人：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14:paraId="279264FC">
      <w:pPr>
        <w:spacing w:line="500" w:lineRule="exact"/>
        <w:ind w:firstLine="560"/>
        <w:jc w:val="center"/>
        <w:rPr>
          <w:highlight w:val="none"/>
        </w:rPr>
      </w:pPr>
      <w:r>
        <w:rPr>
          <w:rFonts w:hint="eastAsia" w:ascii="仿宋" w:hAnsi="仿宋" w:eastAsia="仿宋" w:cs="仿宋"/>
          <w:bCs/>
          <w:sz w:val="28"/>
          <w:szCs w:val="28"/>
          <w:highlight w:val="none"/>
          <w:lang w:val="zh-CN"/>
        </w:rPr>
        <w:t xml:space="preserve">日   </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zh-CN"/>
        </w:rPr>
        <w:t xml:space="preserve">  期：</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年</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月</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日</w:t>
      </w:r>
      <w:bookmarkStart w:id="259" w:name="_Toc12154"/>
      <w:bookmarkStart w:id="260" w:name="_Toc22077_WPSOffice_Level1"/>
      <w:bookmarkStart w:id="261" w:name="_Toc3626"/>
      <w:bookmarkStart w:id="262" w:name="_Toc21147_WPSOffice_Level1"/>
    </w:p>
    <w:bookmarkEnd w:id="257"/>
    <w:bookmarkEnd w:id="258"/>
    <w:bookmarkEnd w:id="259"/>
    <w:bookmarkEnd w:id="260"/>
    <w:bookmarkEnd w:id="261"/>
    <w:bookmarkEnd w:id="262"/>
    <w:p w14:paraId="1F376AC7">
      <w:pPr>
        <w:pStyle w:val="12"/>
        <w:rPr>
          <w:rFonts w:hint="default"/>
          <w:highlight w:val="none"/>
        </w:rPr>
      </w:pPr>
      <w:bookmarkStart w:id="263" w:name="_Toc438541322"/>
    </w:p>
    <w:p w14:paraId="4BBEAA0E">
      <w:pPr>
        <w:spacing w:line="500" w:lineRule="atLeast"/>
        <w:jc w:val="center"/>
        <w:outlineLvl w:val="2"/>
        <w:rPr>
          <w:rFonts w:ascii="仿宋" w:hAnsi="仿宋" w:eastAsia="仿宋" w:cs="仿宋"/>
          <w:b/>
          <w:bCs/>
          <w:sz w:val="36"/>
          <w:szCs w:val="36"/>
          <w:highlight w:val="none"/>
        </w:rPr>
      </w:pPr>
      <w:bookmarkStart w:id="264" w:name="_Toc24582"/>
      <w:bookmarkStart w:id="265" w:name="_Toc26416_WPSOffice_Level1"/>
      <w:bookmarkStart w:id="266" w:name="_Toc18258_WPSOffice_Level1"/>
      <w:bookmarkStart w:id="267" w:name="_Toc2574"/>
      <w:bookmarkStart w:id="268" w:name="_Toc13736"/>
      <w:bookmarkStart w:id="269" w:name="_Toc29042"/>
      <w:bookmarkStart w:id="270" w:name="_Toc6255"/>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四</w:t>
      </w:r>
      <w:r>
        <w:rPr>
          <w:rFonts w:hint="eastAsia" w:ascii="仿宋" w:hAnsi="仿宋" w:eastAsia="仿宋" w:cs="仿宋"/>
          <w:b/>
          <w:bCs/>
          <w:sz w:val="36"/>
          <w:szCs w:val="36"/>
          <w:highlight w:val="none"/>
        </w:rPr>
        <w:t>部分  投标</w:t>
      </w:r>
      <w:bookmarkEnd w:id="263"/>
      <w:bookmarkEnd w:id="264"/>
      <w:bookmarkEnd w:id="265"/>
      <w:bookmarkEnd w:id="266"/>
      <w:bookmarkEnd w:id="267"/>
      <w:bookmarkEnd w:id="268"/>
      <w:r>
        <w:rPr>
          <w:rFonts w:hint="eastAsia" w:ascii="仿宋" w:hAnsi="仿宋" w:eastAsia="仿宋" w:cs="仿宋"/>
          <w:b/>
          <w:bCs/>
          <w:sz w:val="36"/>
          <w:szCs w:val="36"/>
          <w:highlight w:val="none"/>
        </w:rPr>
        <w:t>方案说明</w:t>
      </w:r>
      <w:bookmarkEnd w:id="269"/>
      <w:bookmarkEnd w:id="270"/>
    </w:p>
    <w:p w14:paraId="2B39FF99">
      <w:pPr>
        <w:pStyle w:val="12"/>
        <w:rPr>
          <w:rFonts w:hint="default"/>
          <w:highlight w:val="none"/>
        </w:rPr>
      </w:pPr>
    </w:p>
    <w:p w14:paraId="71EA3C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840" w:firstLineChars="300"/>
        <w:textAlignment w:val="auto"/>
        <w:rPr>
          <w:rFonts w:hint="eastAsia" w:ascii="仿宋" w:hAnsi="仿宋" w:eastAsia="仿宋" w:cs="仿宋"/>
          <w:color w:val="auto"/>
          <w:sz w:val="28"/>
          <w:szCs w:val="28"/>
          <w:highlight w:val="none"/>
        </w:rPr>
      </w:pPr>
      <w:bookmarkStart w:id="271" w:name="_Toc8829_WPSOffice_Level1"/>
      <w:bookmarkStart w:id="272" w:name="_Toc20394"/>
      <w:bookmarkStart w:id="273" w:name="_Toc438541324"/>
      <w:bookmarkStart w:id="274" w:name="_Toc1371_WPSOffice_Level1"/>
      <w:bookmarkStart w:id="275" w:name="_Toc29179"/>
      <w:bookmarkStart w:id="276" w:name="_Toc27627"/>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供应商企业简介；</w:t>
      </w:r>
    </w:p>
    <w:p w14:paraId="186A21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商务部分响应；</w:t>
      </w:r>
    </w:p>
    <w:p w14:paraId="21A9FCE2">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3、技术部分响应：</w:t>
      </w:r>
    </w:p>
    <w:p w14:paraId="5778BA77">
      <w:pPr>
        <w:keepNext w:val="0"/>
        <w:keepLines w:val="0"/>
        <w:pageBreakBefore w:val="0"/>
        <w:widowControl w:val="0"/>
        <w:kinsoku/>
        <w:wordWrap/>
        <w:overflowPunct/>
        <w:topLinePunct w:val="0"/>
        <w:autoSpaceDE/>
        <w:autoSpaceDN/>
        <w:bidi w:val="0"/>
        <w:adjustRightInd/>
        <w:snapToGrid/>
        <w:spacing w:line="540" w:lineRule="exact"/>
        <w:ind w:firstLine="1120" w:firstLineChars="4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总体实施方案；</w:t>
      </w:r>
    </w:p>
    <w:p w14:paraId="219007E8">
      <w:pPr>
        <w:keepNext w:val="0"/>
        <w:keepLines w:val="0"/>
        <w:pageBreakBefore w:val="0"/>
        <w:widowControl w:val="0"/>
        <w:kinsoku/>
        <w:wordWrap/>
        <w:overflowPunct/>
        <w:topLinePunct w:val="0"/>
        <w:autoSpaceDE/>
        <w:autoSpaceDN/>
        <w:bidi w:val="0"/>
        <w:adjustRightInd/>
        <w:snapToGrid/>
        <w:spacing w:line="540" w:lineRule="exact"/>
        <w:ind w:firstLine="1120" w:firstLineChars="4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（2）技术服务方案；</w:t>
      </w:r>
    </w:p>
    <w:p w14:paraId="569F14E5">
      <w:pPr>
        <w:keepNext w:val="0"/>
        <w:keepLines w:val="0"/>
        <w:pageBreakBefore w:val="0"/>
        <w:widowControl w:val="0"/>
        <w:kinsoku/>
        <w:wordWrap/>
        <w:overflowPunct/>
        <w:topLinePunct w:val="0"/>
        <w:autoSpaceDE/>
        <w:autoSpaceDN/>
        <w:bidi w:val="0"/>
        <w:adjustRightInd/>
        <w:snapToGrid/>
        <w:spacing w:line="540" w:lineRule="exact"/>
        <w:ind w:firstLine="1120" w:firstLineChars="4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（3）应急保障方案；</w:t>
      </w:r>
    </w:p>
    <w:p w14:paraId="35BF0643">
      <w:pPr>
        <w:keepNext w:val="0"/>
        <w:keepLines w:val="0"/>
        <w:pageBreakBefore w:val="0"/>
        <w:widowControl w:val="0"/>
        <w:kinsoku/>
        <w:wordWrap/>
        <w:overflowPunct/>
        <w:topLinePunct w:val="0"/>
        <w:autoSpaceDE/>
        <w:autoSpaceDN/>
        <w:bidi w:val="0"/>
        <w:adjustRightInd/>
        <w:snapToGrid/>
        <w:spacing w:line="540" w:lineRule="exact"/>
        <w:ind w:firstLine="1120" w:firstLineChars="4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（4）安全保密方案；</w:t>
      </w:r>
    </w:p>
    <w:p w14:paraId="25DAED60">
      <w:pPr>
        <w:keepNext w:val="0"/>
        <w:keepLines w:val="0"/>
        <w:pageBreakBefore w:val="0"/>
        <w:widowControl w:val="0"/>
        <w:kinsoku/>
        <w:wordWrap/>
        <w:overflowPunct/>
        <w:topLinePunct w:val="0"/>
        <w:autoSpaceDE/>
        <w:autoSpaceDN/>
        <w:bidi w:val="0"/>
        <w:adjustRightInd/>
        <w:snapToGrid/>
        <w:spacing w:line="540" w:lineRule="exact"/>
        <w:ind w:firstLine="1120" w:firstLineChars="4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（5）工作人员组成情况；</w:t>
      </w:r>
    </w:p>
    <w:p w14:paraId="56B21931">
      <w:pPr>
        <w:keepNext w:val="0"/>
        <w:keepLines w:val="0"/>
        <w:pageBreakBefore w:val="0"/>
        <w:widowControl w:val="0"/>
        <w:kinsoku/>
        <w:wordWrap/>
        <w:overflowPunct/>
        <w:topLinePunct w:val="0"/>
        <w:autoSpaceDE/>
        <w:autoSpaceDN/>
        <w:bidi w:val="0"/>
        <w:adjustRightInd/>
        <w:snapToGrid/>
        <w:spacing w:line="540" w:lineRule="exact"/>
        <w:ind w:firstLine="1120" w:firstLineChars="4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（6）企业实力；</w:t>
      </w:r>
    </w:p>
    <w:p w14:paraId="203268A5">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4、服务承诺;</w:t>
      </w:r>
    </w:p>
    <w:p w14:paraId="4AD4AD43">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供应商认为有必要提供而增加其竞争性的其它资料。</w:t>
      </w:r>
    </w:p>
    <w:p w14:paraId="5914A26E">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699DF2ED">
      <w:pPr>
        <w:spacing w:line="500" w:lineRule="atLeast"/>
        <w:jc w:val="center"/>
        <w:outlineLvl w:val="2"/>
        <w:rPr>
          <w:rFonts w:ascii="仿宋" w:hAnsi="仿宋" w:eastAsia="仿宋" w:cs="仿宋"/>
          <w:sz w:val="28"/>
          <w:szCs w:val="28"/>
          <w:highlight w:val="none"/>
        </w:rPr>
      </w:pPr>
      <w:bookmarkStart w:id="277" w:name="_Toc505"/>
      <w:bookmarkStart w:id="278" w:name="_Toc9346"/>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五</w:t>
      </w:r>
      <w:r>
        <w:rPr>
          <w:rFonts w:hint="eastAsia" w:ascii="仿宋" w:hAnsi="仿宋" w:eastAsia="仿宋" w:cs="仿宋"/>
          <w:b/>
          <w:bCs/>
          <w:sz w:val="36"/>
          <w:szCs w:val="36"/>
          <w:highlight w:val="none"/>
        </w:rPr>
        <w:t xml:space="preserve">部分  </w:t>
      </w:r>
      <w:bookmarkEnd w:id="271"/>
      <w:bookmarkEnd w:id="272"/>
      <w:bookmarkEnd w:id="273"/>
      <w:bookmarkEnd w:id="274"/>
      <w:bookmarkEnd w:id="275"/>
      <w:bookmarkEnd w:id="276"/>
      <w:r>
        <w:rPr>
          <w:rFonts w:hint="eastAsia" w:ascii="仿宋" w:hAnsi="仿宋" w:eastAsia="仿宋" w:cs="仿宋"/>
          <w:b/>
          <w:bCs/>
          <w:sz w:val="36"/>
          <w:szCs w:val="36"/>
          <w:highlight w:val="none"/>
        </w:rPr>
        <w:t>供应商承诺书</w:t>
      </w:r>
      <w:bookmarkEnd w:id="277"/>
      <w:bookmarkEnd w:id="278"/>
    </w:p>
    <w:p w14:paraId="4C869310">
      <w:pPr>
        <w:spacing w:line="500" w:lineRule="atLeast"/>
        <w:rPr>
          <w:rFonts w:ascii="仿宋" w:hAnsi="仿宋" w:eastAsia="仿宋" w:cs="仿宋"/>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w:t>
      </w:r>
    </w:p>
    <w:p w14:paraId="1FAAC24D">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作为参加贵单位组织的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的投标供应商，本公司郑重承诺：</w:t>
      </w:r>
    </w:p>
    <w:p w14:paraId="19E9A153">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1、在参加本项目投标之前不存在被依法禁止经营行为、财产被接管或冻结的情况，如有隐瞒实情，愿承担一切责任及后果。</w:t>
      </w:r>
    </w:p>
    <w:p w14:paraId="20383527">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2、近三年受到有关行政主管部门的行政处理、不良行为记录为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次（没有填零），如有隐瞒实情，愿承担一切责任及后果。</w:t>
      </w:r>
    </w:p>
    <w:p w14:paraId="1B6783F4">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3、参加本次投标提交的所有资格证明文件是真实的、有效的，如有隐瞒实情，愿承担一切责任及后果。</w:t>
      </w:r>
    </w:p>
    <w:p w14:paraId="72C3A7A4">
      <w:pPr>
        <w:spacing w:line="50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4、我方已阅读《财政部关于在政府采购活动中查询及使用信用记录有关问题的通知-财库〔2016〕125号》文件，并领会了文件的精神。因违反文件规定所产生的后果由我方自行承担。</w:t>
      </w:r>
    </w:p>
    <w:p w14:paraId="40C76935">
      <w:pPr>
        <w:spacing w:line="500" w:lineRule="atLeast"/>
        <w:rPr>
          <w:rFonts w:ascii="仿宋" w:hAnsi="仿宋" w:eastAsia="仿宋" w:cs="仿宋"/>
          <w:sz w:val="28"/>
          <w:szCs w:val="28"/>
          <w:highlight w:val="none"/>
        </w:rPr>
      </w:pPr>
    </w:p>
    <w:p w14:paraId="7D18144F">
      <w:pPr>
        <w:pStyle w:val="12"/>
        <w:rPr>
          <w:rFonts w:hint="default" w:ascii="仿宋" w:hAnsi="仿宋" w:cs="仿宋"/>
          <w:sz w:val="28"/>
          <w:szCs w:val="28"/>
          <w:highlight w:val="none"/>
        </w:rPr>
      </w:pPr>
    </w:p>
    <w:p w14:paraId="520C1642">
      <w:pPr>
        <w:pStyle w:val="12"/>
        <w:rPr>
          <w:rFonts w:hint="default" w:ascii="仿宋" w:hAnsi="仿宋" w:cs="仿宋"/>
          <w:sz w:val="28"/>
          <w:szCs w:val="28"/>
          <w:highlight w:val="none"/>
        </w:rPr>
      </w:pPr>
    </w:p>
    <w:p w14:paraId="3DB77656">
      <w:pPr>
        <w:pStyle w:val="50"/>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14:paraId="6DDB02D5">
      <w:pPr>
        <w:pStyle w:val="50"/>
        <w:spacing w:line="500" w:lineRule="atLeast"/>
        <w:ind w:firstLine="2660" w:firstLineChars="950"/>
        <w:jc w:val="both"/>
        <w:rPr>
          <w:rFonts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14:paraId="2BD9BD53">
      <w:pPr>
        <w:pStyle w:val="50"/>
        <w:spacing w:line="500" w:lineRule="atLeast"/>
        <w:ind w:firstLine="2660" w:firstLineChars="950"/>
        <w:jc w:val="both"/>
        <w:rPr>
          <w:rFonts w:ascii="仿宋" w:hAnsi="仿宋" w:eastAsia="仿宋" w:cs="仿宋"/>
          <w:b w:val="0"/>
          <w:kern w:val="2"/>
          <w:sz w:val="24"/>
          <w:szCs w:val="24"/>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p>
    <w:p w14:paraId="1E14A7E7">
      <w:pPr>
        <w:tabs>
          <w:tab w:val="left" w:pos="1755"/>
        </w:tabs>
        <w:spacing w:line="500" w:lineRule="exact"/>
        <w:jc w:val="center"/>
        <w:outlineLvl w:val="2"/>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79" w:name="_Toc24209"/>
      <w:bookmarkStart w:id="280" w:name="_Toc31068"/>
      <w:bookmarkStart w:id="281" w:name="_Toc438541325"/>
      <w:bookmarkStart w:id="282" w:name="_Toc30612"/>
      <w:bookmarkStart w:id="283" w:name="_Toc31299"/>
      <w:bookmarkStart w:id="284" w:name="_Toc22372_WPSOffice_Level1"/>
      <w:bookmarkStart w:id="285" w:name="_Toc31198"/>
      <w:bookmarkStart w:id="286" w:name="_Toc6166_WPSOffice_Level1"/>
      <w:bookmarkStart w:id="287" w:name="_Toc22851"/>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eastAsia="zh-CN"/>
        </w:rPr>
        <w:t>六</w:t>
      </w:r>
      <w:r>
        <w:rPr>
          <w:rFonts w:hint="eastAsia" w:ascii="仿宋" w:hAnsi="仿宋" w:eastAsia="仿宋" w:cs="仿宋"/>
          <w:b/>
          <w:bCs/>
          <w:sz w:val="32"/>
          <w:szCs w:val="32"/>
          <w:highlight w:val="none"/>
        </w:rPr>
        <w:t>部分  政府采购供应商拒绝政府采购</w:t>
      </w:r>
      <w:bookmarkEnd w:id="279"/>
      <w:bookmarkEnd w:id="280"/>
      <w:bookmarkEnd w:id="281"/>
      <w:bookmarkStart w:id="288" w:name="_Toc435777821"/>
      <w:bookmarkStart w:id="289" w:name="_Toc437247481"/>
      <w:bookmarkStart w:id="290" w:name="_Toc437425973"/>
      <w:bookmarkStart w:id="291" w:name="_Toc28167"/>
      <w:bookmarkStart w:id="292" w:name="_Toc438541326"/>
      <w:r>
        <w:rPr>
          <w:rFonts w:hint="eastAsia" w:ascii="仿宋" w:hAnsi="仿宋" w:eastAsia="仿宋" w:cs="仿宋"/>
          <w:b/>
          <w:bCs/>
          <w:sz w:val="32"/>
          <w:szCs w:val="32"/>
          <w:highlight w:val="none"/>
        </w:rPr>
        <w:t>领域</w:t>
      </w:r>
      <w:bookmarkStart w:id="293" w:name="_Toc435776434"/>
      <w:bookmarkStart w:id="294" w:name="_Toc435777721"/>
      <w:r>
        <w:rPr>
          <w:rFonts w:hint="eastAsia" w:ascii="仿宋" w:hAnsi="仿宋" w:eastAsia="仿宋" w:cs="仿宋"/>
          <w:b/>
          <w:bCs/>
          <w:sz w:val="32"/>
          <w:szCs w:val="32"/>
          <w:highlight w:val="none"/>
        </w:rPr>
        <w:t>商业</w:t>
      </w:r>
      <w:bookmarkEnd w:id="288"/>
      <w:bookmarkEnd w:id="289"/>
      <w:bookmarkEnd w:id="290"/>
      <w:bookmarkEnd w:id="291"/>
      <w:bookmarkEnd w:id="292"/>
      <w:bookmarkEnd w:id="293"/>
      <w:bookmarkEnd w:id="294"/>
      <w:r>
        <w:rPr>
          <w:rFonts w:hint="eastAsia" w:ascii="仿宋" w:hAnsi="仿宋" w:eastAsia="仿宋" w:cs="仿宋"/>
          <w:b/>
          <w:bCs/>
          <w:sz w:val="32"/>
          <w:szCs w:val="32"/>
          <w:highlight w:val="none"/>
        </w:rPr>
        <w:t>贿赂承诺书</w:t>
      </w:r>
      <w:bookmarkEnd w:id="231"/>
      <w:bookmarkEnd w:id="232"/>
      <w:bookmarkEnd w:id="282"/>
      <w:bookmarkEnd w:id="283"/>
      <w:bookmarkEnd w:id="284"/>
      <w:bookmarkEnd w:id="285"/>
      <w:bookmarkEnd w:id="286"/>
      <w:bookmarkEnd w:id="287"/>
    </w:p>
    <w:p w14:paraId="5DC40FAF">
      <w:p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为响应党中央、国务院关于治理政府采购领域商业贿赂行为的号召，我单位在此庄严承诺：</w:t>
      </w:r>
    </w:p>
    <w:p w14:paraId="72393488">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在参与政府采购活动中遵纪守法、诚信经营、公平竞标。</w:t>
      </w:r>
    </w:p>
    <w:p w14:paraId="6B2572F7">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不向采购人、采购代理机构和政府采购评审专家进行任何形式的商业贿赂以谋取交易机会。</w:t>
      </w:r>
    </w:p>
    <w:p w14:paraId="5A916C0D">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不向采购代理机构和采购人提供虚假资格文件或采用虚假应标方式参与政府采购市场竞争并谋取中标、成交。</w:t>
      </w:r>
    </w:p>
    <w:p w14:paraId="2BB8D611">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不采取“围标、陪标”等商业欺诈手段获得政府采购定单。</w:t>
      </w:r>
    </w:p>
    <w:p w14:paraId="0AE9296E">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不采取不正当手段低毁、排挤其他供应商。</w:t>
      </w:r>
    </w:p>
    <w:p w14:paraId="49B1ACEF">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不在提供商品和服务时“偷梁换柱、以次充好”损害采购人的合法权益。</w:t>
      </w:r>
    </w:p>
    <w:p w14:paraId="2D66A40B">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不与采购人、采购代理机构政府采购评审专家或其他供应商恶意串通，进行质疑和投诉，维护政府采购市场秩序。</w:t>
      </w:r>
    </w:p>
    <w:p w14:paraId="265E6AB3">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尊重和接受政府采购监督管理部门的监督和采购代理机构的招标要求，承担因违约行为给采购人造成的损失。</w:t>
      </w:r>
    </w:p>
    <w:p w14:paraId="169D23A3">
      <w:pPr>
        <w:numPr>
          <w:ilvl w:val="0"/>
          <w:numId w:val="11"/>
        </w:numPr>
        <w:spacing w:line="480" w:lineRule="atLeas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不发生其他有悖于政府采购公开、公平、公正和诚信原则的行为。</w:t>
      </w:r>
    </w:p>
    <w:p w14:paraId="6591251D">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承诺单位：</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（公      章）</w:t>
      </w:r>
    </w:p>
    <w:p w14:paraId="19FE361F">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（签字或盖章）</w:t>
      </w:r>
    </w:p>
    <w:p w14:paraId="4F8FAD8A">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    址：</w:t>
      </w:r>
      <w:r>
        <w:rPr>
          <w:rFonts w:hint="eastAsia" w:ascii="仿宋" w:hAnsi="仿宋" w:eastAsia="仿宋" w:cs="仿宋"/>
          <w:kern w:val="0"/>
          <w:sz w:val="28"/>
          <w:szCs w:val="28"/>
          <w:highlight w:val="none"/>
          <w:u w:val="single"/>
        </w:rPr>
        <w:t xml:space="preserve">                                   .</w:t>
      </w:r>
    </w:p>
    <w:p w14:paraId="02B3AC1A">
      <w:pPr>
        <w:widowControl/>
        <w:tabs>
          <w:tab w:val="left" w:pos="2394"/>
        </w:tabs>
        <w:spacing w:line="500" w:lineRule="atLeast"/>
        <w:ind w:firstLine="840" w:firstLineChars="300"/>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邮    编：</w:t>
      </w:r>
      <w:r>
        <w:rPr>
          <w:rFonts w:hint="eastAsia" w:ascii="仿宋" w:hAnsi="仿宋" w:eastAsia="仿宋" w:cs="仿宋"/>
          <w:kern w:val="0"/>
          <w:sz w:val="28"/>
          <w:szCs w:val="28"/>
          <w:highlight w:val="none"/>
          <w:u w:val="single"/>
        </w:rPr>
        <w:t xml:space="preserve">                                   .</w:t>
      </w:r>
    </w:p>
    <w:p w14:paraId="7F3FABAD">
      <w:pPr>
        <w:widowControl/>
        <w:tabs>
          <w:tab w:val="left" w:pos="2394"/>
        </w:tabs>
        <w:spacing w:line="500" w:lineRule="atLeast"/>
        <w:ind w:firstLine="840" w:firstLineChars="3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电    话：</w:t>
      </w:r>
      <w:r>
        <w:rPr>
          <w:rFonts w:hint="eastAsia" w:ascii="仿宋" w:hAnsi="仿宋" w:eastAsia="仿宋" w:cs="仿宋"/>
          <w:kern w:val="0"/>
          <w:sz w:val="28"/>
          <w:szCs w:val="28"/>
          <w:highlight w:val="none"/>
          <w:u w:val="single"/>
        </w:rPr>
        <w:t xml:space="preserve">                                   .</w:t>
      </w:r>
    </w:p>
    <w:p w14:paraId="169617C2">
      <w:pPr>
        <w:spacing w:line="500" w:lineRule="atLeast"/>
        <w:ind w:firstLine="2240" w:firstLineChars="800"/>
        <w:rPr>
          <w:rFonts w:ascii="仿宋" w:hAnsi="仿宋" w:eastAsia="仿宋" w:cs="仿宋"/>
          <w:kern w:val="0"/>
          <w:sz w:val="24"/>
          <w:szCs w:val="24"/>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p>
    <w:p w14:paraId="17FA9BAE">
      <w:pPr>
        <w:keepNext w:val="0"/>
        <w:keepLines w:val="0"/>
        <w:pageBreakBefore w:val="0"/>
        <w:widowControl w:val="0"/>
        <w:tabs>
          <w:tab w:val="left" w:pos="1755"/>
        </w:tabs>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bCs/>
          <w:sz w:val="36"/>
          <w:szCs w:val="36"/>
          <w:highlight w:val="none"/>
          <w:lang w:eastAsia="zh-CN"/>
        </w:rPr>
      </w:pPr>
      <w:bookmarkStart w:id="295" w:name="_Toc4154"/>
      <w:bookmarkStart w:id="296" w:name="_Toc25411"/>
      <w:bookmarkStart w:id="297" w:name="_Toc21078"/>
      <w:bookmarkStart w:id="298" w:name="_Toc14162_WPSOffice_Level1"/>
      <w:bookmarkStart w:id="299" w:name="_Toc1502"/>
      <w:bookmarkStart w:id="300" w:name="_Toc28493"/>
      <w:bookmarkStart w:id="301" w:name="_Toc20090_WPSOffice_Level1"/>
      <w:bookmarkStart w:id="302" w:name="_Toc5506"/>
      <w:bookmarkStart w:id="303" w:name="_Toc26174"/>
      <w:bookmarkStart w:id="304" w:name="_Toc8093"/>
      <w:bookmarkStart w:id="305" w:name="_Toc22499"/>
      <w:bookmarkStart w:id="306" w:name="_Toc26999"/>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七</w:t>
      </w:r>
      <w:r>
        <w:rPr>
          <w:rFonts w:hint="eastAsia" w:ascii="仿宋" w:hAnsi="仿宋" w:eastAsia="仿宋" w:cs="仿宋"/>
          <w:b/>
          <w:bCs/>
          <w:sz w:val="36"/>
          <w:szCs w:val="36"/>
          <w:highlight w:val="none"/>
        </w:rPr>
        <w:t>部分  附件</w:t>
      </w:r>
      <w:bookmarkEnd w:id="295"/>
      <w:bookmarkEnd w:id="296"/>
      <w:bookmarkEnd w:id="297"/>
      <w:bookmarkEnd w:id="298"/>
      <w:bookmarkEnd w:id="299"/>
      <w:bookmarkEnd w:id="300"/>
      <w:bookmarkEnd w:id="301"/>
      <w:bookmarkStart w:id="307" w:name="_Toc24063"/>
      <w:bookmarkStart w:id="308" w:name="_Toc20607"/>
      <w:bookmarkStart w:id="309" w:name="_Toc8639"/>
      <w:bookmarkStart w:id="310" w:name="_Toc5558"/>
      <w:bookmarkStart w:id="311" w:name="_Toc30274"/>
      <w:bookmarkStart w:id="312" w:name="_Toc13622"/>
      <w:r>
        <w:rPr>
          <w:rFonts w:hint="eastAsia" w:ascii="仿宋" w:hAnsi="仿宋" w:eastAsia="仿宋" w:cs="仿宋"/>
          <w:b/>
          <w:bCs/>
          <w:sz w:val="36"/>
          <w:szCs w:val="36"/>
          <w:highlight w:val="none"/>
          <w:lang w:eastAsia="zh-CN"/>
        </w:rPr>
        <w:t>（如有）</w:t>
      </w:r>
      <w:bookmarkEnd w:id="302"/>
    </w:p>
    <w:p w14:paraId="3015E2F3">
      <w:pPr>
        <w:keepNext w:val="0"/>
        <w:keepLines w:val="0"/>
        <w:pageBreakBefore w:val="0"/>
        <w:widowControl w:val="0"/>
        <w:tabs>
          <w:tab w:val="left" w:pos="1755"/>
        </w:tabs>
        <w:kinsoku/>
        <w:wordWrap/>
        <w:overflowPunct/>
        <w:topLinePunct w:val="0"/>
        <w:autoSpaceDE/>
        <w:autoSpaceDN/>
        <w:bidi w:val="0"/>
        <w:adjustRightInd/>
        <w:snapToGrid/>
        <w:spacing w:line="360" w:lineRule="auto"/>
        <w:jc w:val="center"/>
        <w:textAlignment w:val="auto"/>
        <w:outlineLvl w:val="3"/>
        <w:rPr>
          <w:rFonts w:hint="default"/>
          <w:highlight w:val="none"/>
        </w:rPr>
      </w:pPr>
      <w:bookmarkStart w:id="313" w:name="_Toc24820"/>
      <w:bookmarkStart w:id="314" w:name="_Toc30697"/>
      <w:r>
        <w:rPr>
          <w:rFonts w:hint="eastAsia" w:ascii="仿宋" w:hAnsi="仿宋" w:eastAsia="仿宋" w:cs="仿宋"/>
          <w:b/>
          <w:bCs/>
          <w:kern w:val="0"/>
          <w:sz w:val="32"/>
          <w:szCs w:val="32"/>
          <w:highlight w:val="none"/>
        </w:rPr>
        <w:t>一、</w:t>
      </w:r>
      <w:bookmarkEnd w:id="307"/>
      <w:bookmarkEnd w:id="308"/>
      <w:r>
        <w:rPr>
          <w:rFonts w:hint="eastAsia" w:ascii="仿宋" w:hAnsi="仿宋" w:eastAsia="仿宋" w:cs="仿宋"/>
          <w:b/>
          <w:bCs/>
          <w:kern w:val="0"/>
          <w:sz w:val="32"/>
          <w:szCs w:val="32"/>
          <w:highlight w:val="none"/>
        </w:rPr>
        <w:t>中小企业声明函</w:t>
      </w:r>
      <w:bookmarkEnd w:id="309"/>
      <w:bookmarkEnd w:id="310"/>
      <w:bookmarkEnd w:id="311"/>
      <w:bookmarkEnd w:id="312"/>
      <w:bookmarkEnd w:id="313"/>
      <w:bookmarkEnd w:id="314"/>
    </w:p>
    <w:p w14:paraId="01EFB0F0">
      <w:pPr>
        <w:pageBreakBefore w:val="0"/>
        <w:kinsoku/>
        <w:overflowPunct/>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公司郑重声明，根据《政府采购促进中小企业发展管理办法》（财库〔2020〕46号）的规定，本公司参加（单位名称）的（项目名称）采购活动，服务全部由符合政策要求的中小企业承接。相关企业（含联合体中的中小企业、签订分包意向协议的中小企业）的具体情况如下：</w:t>
      </w:r>
    </w:p>
    <w:p w14:paraId="0B1827DD">
      <w:pPr>
        <w:pageBreakBefore w:val="0"/>
        <w:kinsoku/>
        <w:overflowPunct/>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（软件和信息技术服务业）</w:t>
      </w:r>
      <w:r>
        <w:rPr>
          <w:rFonts w:hint="eastAsia" w:ascii="仿宋" w:hAnsi="仿宋" w:eastAsia="仿宋" w:cs="仿宋"/>
          <w:sz w:val="28"/>
          <w:szCs w:val="28"/>
          <w:highlight w:val="none"/>
        </w:rPr>
        <w:t>；承接企业为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w:t>
      </w:r>
      <w:r>
        <w:rPr>
          <w:rFonts w:hint="eastAsia" w:ascii="仿宋" w:hAnsi="仿宋" w:eastAsia="仿宋" w:cs="仿宋"/>
          <w:color w:val="000000"/>
          <w:kern w:val="0"/>
          <w:sz w:val="28"/>
          <w:szCs w:val="28"/>
          <w:highlight w:val="none"/>
          <w:vertAlign w:val="superscript"/>
          <w:lang w:bidi="ar"/>
        </w:rPr>
        <w:t>1</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14:paraId="763C73B7">
      <w:pPr>
        <w:pageBreakBefore w:val="0"/>
        <w:kinsoku/>
        <w:overflowPunct/>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（软件和信息技术服务业）</w:t>
      </w:r>
      <w:r>
        <w:rPr>
          <w:rFonts w:hint="eastAsia" w:ascii="仿宋" w:hAnsi="仿宋" w:eastAsia="仿宋" w:cs="仿宋"/>
          <w:sz w:val="28"/>
          <w:szCs w:val="28"/>
          <w:highlight w:val="none"/>
        </w:rPr>
        <w:t>；承接企业为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人，营业收入为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万元，资产总额为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万元，属于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14:paraId="6D8E6E5C">
      <w:pPr>
        <w:pStyle w:val="29"/>
        <w:pageBreakBefore w:val="0"/>
        <w:kinsoku/>
        <w:overflowPunct/>
        <w:bidi w:val="0"/>
        <w:spacing w:after="0" w:line="500" w:lineRule="exact"/>
        <w:ind w:firstLine="560" w:firstLineChars="200"/>
        <w:rPr>
          <w:rFonts w:hint="default"/>
          <w:highlight w:val="none"/>
        </w:rPr>
      </w:pPr>
      <w:r>
        <w:rPr>
          <w:rFonts w:ascii="仿宋" w:hAnsi="仿宋" w:cs="仿宋"/>
          <w:sz w:val="28"/>
          <w:szCs w:val="28"/>
          <w:highlight w:val="none"/>
        </w:rPr>
        <w:t>......</w:t>
      </w:r>
    </w:p>
    <w:p w14:paraId="59C66C76">
      <w:pPr>
        <w:pStyle w:val="29"/>
        <w:pageBreakBefore w:val="0"/>
        <w:kinsoku/>
        <w:overflowPunct/>
        <w:bidi w:val="0"/>
        <w:spacing w:after="0" w:line="500" w:lineRule="exact"/>
        <w:ind w:firstLine="360" w:firstLineChars="200"/>
        <w:rPr>
          <w:rFonts w:hint="default"/>
          <w:highlight w:val="none"/>
        </w:rPr>
      </w:pPr>
    </w:p>
    <w:p w14:paraId="2F3BB049">
      <w:pPr>
        <w:pageBreakBefore w:val="0"/>
        <w:kinsoku/>
        <w:overflowPunct/>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14:paraId="3A44CE69">
      <w:pPr>
        <w:pageBreakBefore w:val="0"/>
        <w:kinsoku/>
        <w:overflowPunct/>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14:paraId="6DE01A64">
      <w:pPr>
        <w:pageBreakBefore w:val="0"/>
        <w:kinsoku/>
        <w:overflowPunct/>
        <w:bidi w:val="0"/>
        <w:spacing w:line="500" w:lineRule="exact"/>
        <w:ind w:firstLine="560" w:firstLineChars="200"/>
        <w:jc w:val="left"/>
        <w:rPr>
          <w:rFonts w:hint="eastAsia" w:ascii="仿宋" w:hAnsi="仿宋" w:eastAsia="仿宋" w:cs="仿宋"/>
          <w:sz w:val="28"/>
          <w:szCs w:val="28"/>
          <w:highlight w:val="none"/>
        </w:rPr>
      </w:pPr>
    </w:p>
    <w:p w14:paraId="5C510B0C">
      <w:pPr>
        <w:pageBreakBefore w:val="0"/>
        <w:kinsoku/>
        <w:overflowPunct/>
        <w:bidi w:val="0"/>
        <w:spacing w:line="500" w:lineRule="exact"/>
        <w:ind w:firstLine="4200" w:firstLineChars="1500"/>
        <w:jc w:val="left"/>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企业名称（盖章）：</w:t>
      </w:r>
      <w:r>
        <w:rPr>
          <w:rFonts w:hint="eastAsia" w:ascii="仿宋" w:hAnsi="仿宋" w:eastAsia="仿宋" w:cs="仿宋"/>
          <w:b/>
          <w:color w:val="000000"/>
          <w:sz w:val="28"/>
          <w:szCs w:val="28"/>
          <w:highlight w:val="none"/>
          <w:u w:val="single"/>
          <w:lang w:val="zh-CN"/>
        </w:rPr>
        <w:t xml:space="preserve">          </w:t>
      </w:r>
      <w:r>
        <w:rPr>
          <w:rFonts w:hint="eastAsia" w:ascii="仿宋" w:hAnsi="仿宋" w:eastAsia="仿宋" w:cs="仿宋"/>
          <w:b/>
          <w:color w:val="000000"/>
          <w:sz w:val="28"/>
          <w:szCs w:val="28"/>
          <w:highlight w:val="none"/>
          <w:u w:val="single"/>
        </w:rPr>
        <w:t xml:space="preserve">  </w:t>
      </w:r>
      <w:r>
        <w:rPr>
          <w:rFonts w:hint="eastAsia" w:ascii="仿宋" w:hAnsi="仿宋" w:eastAsia="仿宋" w:cs="仿宋"/>
          <w:b/>
          <w:color w:val="000000"/>
          <w:sz w:val="28"/>
          <w:szCs w:val="28"/>
          <w:highlight w:val="none"/>
          <w:u w:val="single"/>
          <w:lang w:val="zh-CN"/>
        </w:rPr>
        <w:t xml:space="preserve">      </w:t>
      </w:r>
      <w:r>
        <w:rPr>
          <w:rFonts w:hint="eastAsia" w:ascii="仿宋" w:hAnsi="仿宋" w:eastAsia="仿宋" w:cs="仿宋"/>
          <w:b/>
          <w:color w:val="000000"/>
          <w:sz w:val="28"/>
          <w:szCs w:val="28"/>
          <w:highlight w:val="none"/>
          <w:u w:val="single"/>
        </w:rPr>
        <w:t xml:space="preserve">  </w:t>
      </w:r>
      <w:r>
        <w:rPr>
          <w:rFonts w:hint="eastAsia" w:ascii="仿宋" w:hAnsi="仿宋" w:eastAsia="仿宋" w:cs="仿宋"/>
          <w:color w:val="000000"/>
          <w:sz w:val="28"/>
          <w:szCs w:val="28"/>
          <w:highlight w:val="none"/>
          <w:u w:val="single"/>
        </w:rPr>
        <w:t>.</w:t>
      </w:r>
    </w:p>
    <w:p w14:paraId="4B7530BD">
      <w:pPr>
        <w:autoSpaceDN w:val="0"/>
        <w:spacing w:line="500" w:lineRule="exact"/>
        <w:ind w:firstLine="4200" w:firstLineChars="1500"/>
        <w:jc w:val="left"/>
        <w:rPr>
          <w:rFonts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日 期：</w:t>
      </w:r>
      <w:r>
        <w:rPr>
          <w:rFonts w:hint="eastAsia" w:ascii="仿宋" w:hAnsi="仿宋" w:eastAsia="仿宋" w:cs="仿宋"/>
          <w:color w:val="000000"/>
          <w:kern w:val="0"/>
          <w:sz w:val="28"/>
          <w:szCs w:val="28"/>
          <w:highlight w:val="none"/>
          <w:u w:val="single"/>
          <w:lang w:bidi="ar"/>
        </w:rPr>
        <w:t xml:space="preserve">     </w:t>
      </w:r>
      <w:r>
        <w:rPr>
          <w:rFonts w:hint="eastAsia" w:ascii="仿宋" w:hAnsi="仿宋" w:eastAsia="仿宋" w:cs="仿宋"/>
          <w:color w:val="000000"/>
          <w:kern w:val="0"/>
          <w:sz w:val="28"/>
          <w:szCs w:val="28"/>
          <w:highlight w:val="none"/>
          <w:lang w:bidi="ar"/>
        </w:rPr>
        <w:t>年</w:t>
      </w:r>
      <w:r>
        <w:rPr>
          <w:rFonts w:hint="eastAsia" w:ascii="仿宋" w:hAnsi="仿宋" w:eastAsia="仿宋" w:cs="仿宋"/>
          <w:color w:val="000000"/>
          <w:kern w:val="0"/>
          <w:sz w:val="28"/>
          <w:szCs w:val="28"/>
          <w:highlight w:val="none"/>
          <w:u w:val="single"/>
          <w:lang w:bidi="ar"/>
        </w:rPr>
        <w:t xml:space="preserve">    </w:t>
      </w:r>
      <w:r>
        <w:rPr>
          <w:rFonts w:hint="eastAsia" w:ascii="仿宋" w:hAnsi="仿宋" w:eastAsia="仿宋" w:cs="仿宋"/>
          <w:color w:val="000000"/>
          <w:kern w:val="0"/>
          <w:sz w:val="28"/>
          <w:szCs w:val="28"/>
          <w:highlight w:val="none"/>
          <w:lang w:bidi="ar"/>
        </w:rPr>
        <w:t>月</w:t>
      </w:r>
      <w:r>
        <w:rPr>
          <w:rFonts w:hint="eastAsia" w:ascii="仿宋" w:hAnsi="仿宋" w:eastAsia="仿宋" w:cs="仿宋"/>
          <w:color w:val="000000"/>
          <w:kern w:val="0"/>
          <w:sz w:val="28"/>
          <w:szCs w:val="28"/>
          <w:highlight w:val="none"/>
          <w:u w:val="single"/>
          <w:lang w:bidi="ar"/>
        </w:rPr>
        <w:t xml:space="preserve">    </w:t>
      </w:r>
      <w:r>
        <w:rPr>
          <w:rFonts w:hint="eastAsia" w:ascii="仿宋" w:hAnsi="仿宋" w:eastAsia="仿宋" w:cs="仿宋"/>
          <w:color w:val="000000"/>
          <w:kern w:val="0"/>
          <w:sz w:val="28"/>
          <w:szCs w:val="28"/>
          <w:highlight w:val="none"/>
          <w:lang w:bidi="ar"/>
        </w:rPr>
        <w:t>日</w:t>
      </w:r>
    </w:p>
    <w:p w14:paraId="3DD81A4D">
      <w:pPr>
        <w:spacing w:line="500" w:lineRule="exact"/>
        <w:rPr>
          <w:rFonts w:ascii="仿宋" w:hAnsi="仿宋" w:eastAsia="仿宋" w:cs="仿宋"/>
          <w:b/>
          <w:bCs/>
          <w:sz w:val="28"/>
          <w:szCs w:val="28"/>
          <w:highlight w:val="none"/>
        </w:rPr>
      </w:pPr>
    </w:p>
    <w:p w14:paraId="533B8926">
      <w:pPr>
        <w:outlineLvl w:val="9"/>
        <w:rPr>
          <w:highlight w:val="none"/>
        </w:rPr>
      </w:pPr>
    </w:p>
    <w:p w14:paraId="065B8BCB">
      <w:pPr>
        <w:outlineLvl w:val="9"/>
        <w:rPr>
          <w:highlight w:val="none"/>
        </w:rPr>
      </w:pPr>
    </w:p>
    <w:p w14:paraId="4C01BA9F">
      <w:pPr>
        <w:pStyle w:val="12"/>
        <w:spacing w:line="500" w:lineRule="exact"/>
        <w:rPr>
          <w:rFonts w:hint="default"/>
          <w:highlight w:val="none"/>
        </w:rPr>
      </w:pPr>
      <w:r>
        <w:rPr>
          <w:rFonts w:ascii="仿宋" w:hAnsi="仿宋" w:cs="仿宋"/>
          <w:b/>
          <w:bCs/>
          <w:sz w:val="28"/>
          <w:szCs w:val="28"/>
          <w:highlight w:val="none"/>
        </w:rPr>
        <w:t>注：非</w:t>
      </w:r>
      <w:r>
        <w:rPr>
          <w:rFonts w:hint="eastAsia" w:ascii="仿宋" w:hAnsi="仿宋" w:cs="仿宋"/>
          <w:b/>
          <w:bCs/>
          <w:sz w:val="28"/>
          <w:szCs w:val="28"/>
          <w:highlight w:val="none"/>
          <w:lang w:eastAsia="zh-CN"/>
        </w:rPr>
        <w:t>中型、</w:t>
      </w:r>
      <w:r>
        <w:rPr>
          <w:rFonts w:ascii="仿宋" w:hAnsi="仿宋" w:cs="仿宋"/>
          <w:b/>
          <w:bCs/>
          <w:sz w:val="28"/>
          <w:szCs w:val="28"/>
          <w:highlight w:val="none"/>
        </w:rPr>
        <w:t>小型、微型企业可不填写此表。</w:t>
      </w:r>
    </w:p>
    <w:p w14:paraId="5E4E70CF">
      <w:pPr>
        <w:pStyle w:val="29"/>
        <w:ind w:firstLine="0" w:firstLineChars="0"/>
        <w:rPr>
          <w:rFonts w:hint="default"/>
          <w:highlight w:val="none"/>
        </w:rPr>
      </w:pPr>
    </w:p>
    <w:p w14:paraId="60B957F4">
      <w:pPr>
        <w:pStyle w:val="29"/>
        <w:ind w:firstLine="0" w:firstLineChars="0"/>
        <w:rPr>
          <w:rFonts w:hint="default"/>
          <w:highlight w:val="none"/>
        </w:rPr>
      </w:pPr>
    </w:p>
    <w:p w14:paraId="0EC3C5F5">
      <w:pPr>
        <w:pStyle w:val="29"/>
        <w:ind w:firstLine="0" w:firstLineChars="0"/>
        <w:rPr>
          <w:rFonts w:hint="default" w:ascii="仿宋" w:hAnsi="仿宋" w:cs="仿宋"/>
          <w:b/>
          <w:bCs/>
          <w:sz w:val="28"/>
          <w:szCs w:val="28"/>
          <w:highlight w:val="none"/>
        </w:rPr>
      </w:pPr>
    </w:p>
    <w:p w14:paraId="18522270">
      <w:pPr>
        <w:widowControl/>
        <w:jc w:val="center"/>
        <w:rPr>
          <w:rFonts w:ascii="仿宋" w:hAnsi="仿宋" w:eastAsia="仿宋" w:cs="仿宋"/>
          <w:b/>
          <w:bCs/>
          <w:sz w:val="32"/>
          <w:szCs w:val="32"/>
          <w:highlight w:val="none"/>
        </w:rPr>
      </w:pPr>
      <w:r>
        <w:rPr>
          <w:rFonts w:hint="eastAsia" w:ascii="仿宋" w:hAnsi="仿宋" w:eastAsia="仿宋" w:cs="仿宋"/>
          <w:b/>
          <w:bCs/>
          <w:kern w:val="0"/>
          <w:sz w:val="22"/>
          <w:szCs w:val="22"/>
          <w:highlight w:val="none"/>
          <w:vertAlign w:val="superscript"/>
          <w:lang w:bidi="ar"/>
        </w:rPr>
        <w:t xml:space="preserve">1 </w:t>
      </w:r>
      <w:r>
        <w:rPr>
          <w:rFonts w:hint="eastAsia" w:ascii="仿宋" w:hAnsi="仿宋" w:eastAsia="仿宋" w:cs="仿宋"/>
          <w:b/>
          <w:bCs/>
          <w:kern w:val="0"/>
          <w:sz w:val="22"/>
          <w:szCs w:val="22"/>
          <w:highlight w:val="none"/>
          <w:lang w:bidi="ar"/>
        </w:rPr>
        <w:t>从业人员、营业收入、资产总额填报上一年度数据，无上一年度数据的新成立企业可不填报。</w:t>
      </w:r>
      <w:bookmarkStart w:id="315" w:name="_Toc32499"/>
      <w:bookmarkStart w:id="316" w:name="_Toc26990"/>
      <w:bookmarkStart w:id="317" w:name="_Toc13115"/>
    </w:p>
    <w:p w14:paraId="708391D4">
      <w:pPr>
        <w:tabs>
          <w:tab w:val="left" w:pos="1755"/>
        </w:tabs>
        <w:spacing w:line="500" w:lineRule="atLeast"/>
        <w:ind w:left="-120"/>
        <w:jc w:val="center"/>
        <w:outlineLvl w:val="3"/>
        <w:rPr>
          <w:rFonts w:ascii="仿宋" w:hAnsi="仿宋" w:eastAsia="仿宋" w:cs="仿宋"/>
          <w:b/>
          <w:bCs/>
          <w:sz w:val="32"/>
          <w:szCs w:val="32"/>
          <w:highlight w:val="none"/>
        </w:rPr>
      </w:pPr>
      <w:bookmarkStart w:id="318" w:name="_Toc30828"/>
      <w:bookmarkStart w:id="319" w:name="_Toc3838"/>
      <w:r>
        <w:rPr>
          <w:rFonts w:hint="eastAsia" w:ascii="仿宋" w:hAnsi="仿宋" w:eastAsia="仿宋" w:cs="仿宋"/>
          <w:b/>
          <w:bCs/>
          <w:sz w:val="32"/>
          <w:szCs w:val="32"/>
          <w:highlight w:val="none"/>
        </w:rPr>
        <w:t>二、监狱企业相关资格证明材料</w:t>
      </w:r>
      <w:bookmarkEnd w:id="315"/>
      <w:bookmarkEnd w:id="316"/>
      <w:bookmarkEnd w:id="317"/>
      <w:bookmarkEnd w:id="318"/>
      <w:bookmarkEnd w:id="319"/>
    </w:p>
    <w:p w14:paraId="5F23B62C">
      <w:pPr>
        <w:pStyle w:val="12"/>
        <w:spacing w:line="500" w:lineRule="exact"/>
        <w:ind w:left="-119"/>
        <w:jc w:val="center"/>
        <w:rPr>
          <w:rFonts w:hint="default"/>
          <w:highlight w:val="none"/>
        </w:rPr>
      </w:pPr>
    </w:p>
    <w:p w14:paraId="609962EE">
      <w:pPr>
        <w:pStyle w:val="12"/>
        <w:spacing w:line="500" w:lineRule="exact"/>
        <w:ind w:left="-119"/>
        <w:jc w:val="center"/>
        <w:rPr>
          <w:rFonts w:hint="default"/>
          <w:highlight w:val="none"/>
        </w:rPr>
      </w:pPr>
    </w:p>
    <w:p w14:paraId="37458626">
      <w:pPr>
        <w:pStyle w:val="12"/>
        <w:spacing w:line="500" w:lineRule="exact"/>
        <w:ind w:left="-119"/>
        <w:jc w:val="center"/>
        <w:rPr>
          <w:rFonts w:hint="default"/>
          <w:highlight w:val="none"/>
        </w:rPr>
      </w:pPr>
    </w:p>
    <w:p w14:paraId="21583742">
      <w:pPr>
        <w:pStyle w:val="12"/>
        <w:spacing w:line="500" w:lineRule="exact"/>
        <w:ind w:left="-119"/>
        <w:jc w:val="center"/>
        <w:rPr>
          <w:rFonts w:hint="default"/>
          <w:highlight w:val="none"/>
        </w:rPr>
      </w:pPr>
    </w:p>
    <w:p w14:paraId="5A598BA2">
      <w:pPr>
        <w:pStyle w:val="12"/>
        <w:spacing w:line="500" w:lineRule="exact"/>
        <w:ind w:left="-119"/>
        <w:jc w:val="center"/>
        <w:rPr>
          <w:rFonts w:hint="default"/>
          <w:highlight w:val="none"/>
        </w:rPr>
      </w:pPr>
    </w:p>
    <w:p w14:paraId="7004688D">
      <w:pPr>
        <w:pStyle w:val="12"/>
        <w:spacing w:line="500" w:lineRule="exact"/>
        <w:ind w:left="-119"/>
        <w:jc w:val="center"/>
        <w:rPr>
          <w:rFonts w:hint="default"/>
          <w:highlight w:val="none"/>
        </w:rPr>
      </w:pPr>
    </w:p>
    <w:p w14:paraId="17292B65">
      <w:pPr>
        <w:pStyle w:val="12"/>
        <w:spacing w:line="500" w:lineRule="exact"/>
        <w:ind w:left="-119"/>
        <w:jc w:val="center"/>
        <w:rPr>
          <w:rFonts w:hint="default"/>
          <w:highlight w:val="none"/>
        </w:rPr>
      </w:pPr>
    </w:p>
    <w:p w14:paraId="21780697">
      <w:pPr>
        <w:pStyle w:val="12"/>
        <w:spacing w:line="500" w:lineRule="exact"/>
        <w:ind w:left="-119"/>
        <w:jc w:val="center"/>
        <w:rPr>
          <w:rFonts w:hint="default"/>
          <w:highlight w:val="none"/>
        </w:rPr>
      </w:pPr>
    </w:p>
    <w:p w14:paraId="529B01F5">
      <w:pPr>
        <w:pStyle w:val="12"/>
        <w:spacing w:line="500" w:lineRule="exact"/>
        <w:ind w:left="-119"/>
        <w:jc w:val="center"/>
        <w:rPr>
          <w:rFonts w:hint="default"/>
          <w:highlight w:val="none"/>
        </w:rPr>
      </w:pPr>
    </w:p>
    <w:p w14:paraId="76FD9108">
      <w:pPr>
        <w:pStyle w:val="12"/>
        <w:spacing w:line="500" w:lineRule="exact"/>
        <w:ind w:left="-119"/>
        <w:jc w:val="center"/>
        <w:rPr>
          <w:rFonts w:hint="default"/>
          <w:highlight w:val="none"/>
        </w:rPr>
      </w:pPr>
    </w:p>
    <w:p w14:paraId="76B1C58D">
      <w:pPr>
        <w:pStyle w:val="12"/>
        <w:spacing w:line="500" w:lineRule="exact"/>
        <w:ind w:left="-119"/>
        <w:jc w:val="center"/>
        <w:rPr>
          <w:rFonts w:hint="default"/>
          <w:highlight w:val="none"/>
        </w:rPr>
      </w:pPr>
    </w:p>
    <w:p w14:paraId="71E9CC38">
      <w:pPr>
        <w:pStyle w:val="12"/>
        <w:spacing w:line="500" w:lineRule="exact"/>
        <w:ind w:left="-119"/>
        <w:jc w:val="center"/>
        <w:rPr>
          <w:rFonts w:hint="default"/>
          <w:highlight w:val="none"/>
        </w:rPr>
      </w:pPr>
    </w:p>
    <w:p w14:paraId="5B603AD0">
      <w:pPr>
        <w:spacing w:line="4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注：非监狱企业可不填写此表。</w:t>
      </w:r>
    </w:p>
    <w:p w14:paraId="7466CD72">
      <w:pPr>
        <w:pStyle w:val="12"/>
        <w:spacing w:line="500" w:lineRule="exact"/>
        <w:ind w:left="-119"/>
        <w:jc w:val="center"/>
        <w:outlineLvl w:val="3"/>
        <w:rPr>
          <w:rFonts w:hint="default"/>
          <w:b/>
          <w:bCs/>
          <w:sz w:val="32"/>
          <w:szCs w:val="24"/>
          <w:highlight w:val="none"/>
        </w:rPr>
      </w:pPr>
      <w:r>
        <w:rPr>
          <w:highlight w:val="none"/>
        </w:rPr>
        <w:br w:type="page"/>
      </w:r>
      <w:bookmarkStart w:id="320" w:name="_Toc24813"/>
      <w:bookmarkStart w:id="321" w:name="_Toc20195"/>
      <w:r>
        <w:rPr>
          <w:b/>
          <w:bCs/>
          <w:sz w:val="32"/>
          <w:szCs w:val="24"/>
          <w:highlight w:val="none"/>
        </w:rPr>
        <w:t>三、残疾人福利性单位声明函</w:t>
      </w:r>
      <w:bookmarkEnd w:id="320"/>
      <w:bookmarkEnd w:id="321"/>
    </w:p>
    <w:p w14:paraId="2B80C794">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16A498">
      <w:pPr>
        <w:spacing w:line="500" w:lineRule="exact"/>
        <w:ind w:firstLine="584" w:firstLineChars="200"/>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14:paraId="1A8F3582">
      <w:pPr>
        <w:spacing w:line="500" w:lineRule="exact"/>
        <w:ind w:firstLine="584" w:firstLineChars="200"/>
        <w:rPr>
          <w:rFonts w:ascii="仿宋" w:hAnsi="仿宋" w:eastAsia="仿宋" w:cs="仿宋"/>
          <w:spacing w:val="6"/>
          <w:sz w:val="28"/>
          <w:szCs w:val="28"/>
          <w:highlight w:val="none"/>
        </w:rPr>
      </w:pPr>
    </w:p>
    <w:p w14:paraId="6DC0ABB8">
      <w:pPr>
        <w:spacing w:line="500" w:lineRule="exact"/>
        <w:ind w:firstLine="584" w:firstLineChars="200"/>
        <w:rPr>
          <w:rFonts w:ascii="仿宋" w:hAnsi="仿宋" w:eastAsia="仿宋" w:cs="仿宋"/>
          <w:spacing w:val="6"/>
          <w:sz w:val="28"/>
          <w:szCs w:val="28"/>
          <w:highlight w:val="none"/>
        </w:rPr>
      </w:pPr>
    </w:p>
    <w:p w14:paraId="3C79C33E">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14:paraId="0EC48671">
      <w:pPr>
        <w:tabs>
          <w:tab w:val="left" w:pos="4860"/>
        </w:tabs>
        <w:spacing w:line="500" w:lineRule="exact"/>
        <w:ind w:right="1560" w:firstLine="584" w:firstLineChars="200"/>
        <w:jc w:val="center"/>
        <w:rPr>
          <w:rFonts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14:paraId="525DB2F3">
      <w:pPr>
        <w:spacing w:line="500" w:lineRule="exact"/>
        <w:jc w:val="center"/>
        <w:rPr>
          <w:rFonts w:ascii="仿宋" w:hAnsi="仿宋" w:eastAsia="仿宋" w:cs="仿宋"/>
          <w:b/>
          <w:bCs/>
          <w:sz w:val="28"/>
          <w:szCs w:val="28"/>
          <w:highlight w:val="none"/>
        </w:rPr>
      </w:pPr>
    </w:p>
    <w:p w14:paraId="13998776">
      <w:pPr>
        <w:spacing w:line="500" w:lineRule="exact"/>
        <w:jc w:val="center"/>
        <w:rPr>
          <w:rFonts w:ascii="仿宋" w:hAnsi="仿宋" w:eastAsia="仿宋" w:cs="仿宋"/>
          <w:kern w:val="0"/>
          <w:sz w:val="28"/>
          <w:szCs w:val="28"/>
          <w:highlight w:val="none"/>
        </w:rPr>
      </w:pPr>
    </w:p>
    <w:p w14:paraId="2049950D">
      <w:pPr>
        <w:spacing w:line="500" w:lineRule="exact"/>
        <w:jc w:val="center"/>
        <w:rPr>
          <w:rFonts w:ascii="仿宋" w:hAnsi="仿宋" w:eastAsia="仿宋" w:cs="仿宋"/>
          <w:kern w:val="0"/>
          <w:sz w:val="28"/>
          <w:szCs w:val="28"/>
          <w:highlight w:val="none"/>
        </w:rPr>
      </w:pPr>
    </w:p>
    <w:p w14:paraId="472B7400">
      <w:pPr>
        <w:spacing w:line="500" w:lineRule="exact"/>
        <w:jc w:val="center"/>
        <w:rPr>
          <w:rStyle w:val="42"/>
          <w:rFonts w:hint="default" w:ascii="仿宋" w:hAnsi="仿宋" w:eastAsia="仿宋" w:cs="仿宋"/>
          <w:sz w:val="24"/>
          <w:szCs w:val="24"/>
          <w:highlight w:val="none"/>
        </w:rPr>
      </w:pPr>
    </w:p>
    <w:p w14:paraId="111BE94D">
      <w:pPr>
        <w:spacing w:line="500" w:lineRule="exact"/>
        <w:jc w:val="left"/>
        <w:rPr>
          <w:rFonts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注：非残疾人福利性单位可不填写此表。</w:t>
      </w:r>
    </w:p>
    <w:p w14:paraId="3906046F">
      <w:pPr>
        <w:spacing w:line="500" w:lineRule="exact"/>
        <w:jc w:val="center"/>
        <w:rPr>
          <w:rStyle w:val="42"/>
          <w:rFonts w:hint="default" w:ascii="仿宋" w:hAnsi="仿宋" w:eastAsia="仿宋" w:cs="仿宋"/>
          <w:sz w:val="24"/>
          <w:szCs w:val="24"/>
          <w:highlight w:val="none"/>
        </w:rPr>
      </w:pPr>
    </w:p>
    <w:p w14:paraId="357ECC61">
      <w:pPr>
        <w:pStyle w:val="12"/>
        <w:spacing w:line="500" w:lineRule="exact"/>
        <w:rPr>
          <w:rFonts w:hint="default" w:ascii="仿宋" w:hAnsi="仿宋" w:cs="仿宋"/>
          <w:sz w:val="28"/>
          <w:szCs w:val="28"/>
          <w:highlight w:val="none"/>
        </w:rPr>
      </w:pPr>
    </w:p>
    <w:p w14:paraId="3459B266">
      <w:pPr>
        <w:pStyle w:val="12"/>
        <w:spacing w:line="500" w:lineRule="exact"/>
        <w:rPr>
          <w:rFonts w:hint="default" w:ascii="仿宋" w:hAnsi="仿宋" w:cs="仿宋"/>
          <w:sz w:val="28"/>
          <w:szCs w:val="28"/>
          <w:highlight w:val="none"/>
        </w:rPr>
      </w:pPr>
    </w:p>
    <w:p w14:paraId="4A58B1FB">
      <w:pPr>
        <w:pStyle w:val="12"/>
        <w:spacing w:line="500" w:lineRule="exact"/>
        <w:rPr>
          <w:rFonts w:hint="default" w:ascii="仿宋" w:hAnsi="仿宋" w:cs="仿宋"/>
          <w:sz w:val="28"/>
          <w:szCs w:val="28"/>
          <w:highlight w:val="none"/>
        </w:rPr>
      </w:pPr>
    </w:p>
    <w:p w14:paraId="02758720">
      <w:pPr>
        <w:rPr>
          <w:rFonts w:ascii="仿宋" w:hAnsi="仿宋" w:eastAsia="仿宋" w:cs="仿宋"/>
          <w:kern w:val="0"/>
          <w:sz w:val="28"/>
          <w:szCs w:val="28"/>
          <w:highlight w:val="none"/>
        </w:rPr>
      </w:pPr>
    </w:p>
    <w:p w14:paraId="21606F1B">
      <w:pPr>
        <w:pStyle w:val="12"/>
        <w:rPr>
          <w:rFonts w:hint="default"/>
          <w:highlight w:val="none"/>
        </w:rPr>
      </w:pPr>
    </w:p>
    <w:p w14:paraId="3EC69334">
      <w:pPr>
        <w:rPr>
          <w:rFonts w:hint="default"/>
          <w:highlight w:val="none"/>
        </w:rPr>
      </w:pPr>
    </w:p>
    <w:p w14:paraId="1AFD195F">
      <w:pPr>
        <w:pStyle w:val="18"/>
        <w:rPr>
          <w:rFonts w:hint="default"/>
          <w:highlight w:val="none"/>
        </w:rPr>
      </w:pPr>
    </w:p>
    <w:p w14:paraId="5A70BCC3">
      <w:pPr>
        <w:pStyle w:val="18"/>
        <w:rPr>
          <w:rFonts w:hint="default"/>
          <w:highlight w:val="none"/>
        </w:rPr>
      </w:pPr>
    </w:p>
    <w:p w14:paraId="2A8A0659">
      <w:pPr>
        <w:pStyle w:val="12"/>
        <w:spacing w:line="500" w:lineRule="exact"/>
        <w:rPr>
          <w:rFonts w:hint="default" w:ascii="仿宋" w:hAnsi="仿宋" w:cs="仿宋"/>
          <w:sz w:val="28"/>
          <w:szCs w:val="28"/>
          <w:highlight w:val="none"/>
        </w:rPr>
      </w:pPr>
    </w:p>
    <w:p w14:paraId="12549C35">
      <w:pPr>
        <w:pStyle w:val="12"/>
        <w:spacing w:line="500" w:lineRule="exact"/>
        <w:rPr>
          <w:rFonts w:hint="default" w:ascii="仿宋" w:hAnsi="仿宋" w:cs="仿宋"/>
          <w:sz w:val="28"/>
          <w:szCs w:val="28"/>
          <w:highlight w:val="none"/>
        </w:rPr>
      </w:pPr>
    </w:p>
    <w:p w14:paraId="47F125DC">
      <w:pPr>
        <w:pStyle w:val="14"/>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highlight w:val="none"/>
        </w:rPr>
      </w:pPr>
      <w:bookmarkStart w:id="322" w:name="_Toc28526"/>
      <w:r>
        <w:rPr>
          <w:rFonts w:hint="eastAsia" w:ascii="仿宋" w:hAnsi="仿宋" w:eastAsia="仿宋" w:cs="仿宋"/>
          <w:b/>
          <w:bCs/>
          <w:sz w:val="32"/>
          <w:szCs w:val="28"/>
          <w:highlight w:val="none"/>
          <w:lang w:val="en-US" w:eastAsia="zh-CN"/>
        </w:rPr>
        <w:t>C 电子文档</w:t>
      </w:r>
      <w:bookmarkEnd w:id="303"/>
      <w:bookmarkEnd w:id="304"/>
      <w:bookmarkEnd w:id="305"/>
      <w:bookmarkEnd w:id="322"/>
    </w:p>
    <w:p w14:paraId="0508B3EC">
      <w:pPr>
        <w:pStyle w:val="12"/>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cs="仿宋"/>
          <w:b/>
          <w:bCs/>
          <w:sz w:val="28"/>
          <w:szCs w:val="28"/>
          <w:highlight w:val="none"/>
          <w:lang w:eastAsia="zh-CN"/>
        </w:rPr>
      </w:pPr>
      <w:r>
        <w:rPr>
          <w:rFonts w:hint="eastAsia" w:ascii="仿宋" w:hAnsi="仿宋" w:cs="仿宋"/>
          <w:b/>
          <w:bCs/>
          <w:sz w:val="28"/>
          <w:szCs w:val="28"/>
          <w:highlight w:val="none"/>
        </w:rPr>
        <w:t>电子文档</w:t>
      </w:r>
      <w:r>
        <w:rPr>
          <w:rFonts w:hint="eastAsia" w:ascii="仿宋" w:hAnsi="仿宋" w:cs="仿宋"/>
          <w:b/>
          <w:bCs/>
          <w:sz w:val="28"/>
          <w:szCs w:val="28"/>
          <w:highlight w:val="none"/>
          <w:lang w:eastAsia="zh-CN"/>
        </w:rPr>
        <w:t>要求：</w:t>
      </w:r>
      <w:r>
        <w:rPr>
          <w:rFonts w:hint="eastAsia" w:ascii="仿宋" w:hAnsi="仿宋" w:cs="仿宋"/>
          <w:b/>
          <w:bCs/>
          <w:sz w:val="28"/>
          <w:szCs w:val="28"/>
          <w:highlight w:val="none"/>
          <w:lang w:val="en-US" w:eastAsia="zh-CN"/>
        </w:rPr>
        <w:t>1、</w:t>
      </w:r>
      <w:r>
        <w:rPr>
          <w:rFonts w:hint="eastAsia" w:ascii="仿宋" w:hAnsi="仿宋" w:cs="仿宋"/>
          <w:b/>
          <w:bCs/>
          <w:sz w:val="28"/>
          <w:szCs w:val="28"/>
          <w:highlight w:val="none"/>
        </w:rPr>
        <w:t>供应商所提供的电子版</w:t>
      </w:r>
      <w:r>
        <w:rPr>
          <w:rFonts w:hint="eastAsia" w:ascii="仿宋" w:hAnsi="仿宋" w:cs="仿宋"/>
          <w:b/>
          <w:bCs/>
          <w:sz w:val="28"/>
          <w:szCs w:val="28"/>
          <w:highlight w:val="none"/>
          <w:lang w:eastAsia="zh-CN"/>
        </w:rPr>
        <w:t>投标</w:t>
      </w:r>
      <w:r>
        <w:rPr>
          <w:rFonts w:hint="eastAsia" w:ascii="仿宋" w:hAnsi="仿宋" w:cs="仿宋"/>
          <w:b/>
          <w:bCs/>
          <w:sz w:val="28"/>
          <w:szCs w:val="28"/>
          <w:highlight w:val="none"/>
        </w:rPr>
        <w:t>文件必须能够打开，内容必须与文字</w:t>
      </w:r>
      <w:r>
        <w:rPr>
          <w:rFonts w:hint="eastAsia" w:ascii="仿宋" w:hAnsi="仿宋" w:cs="仿宋"/>
          <w:b/>
          <w:bCs/>
          <w:sz w:val="28"/>
          <w:szCs w:val="28"/>
          <w:highlight w:val="none"/>
          <w:lang w:eastAsia="zh-CN"/>
        </w:rPr>
        <w:t>版投标</w:t>
      </w:r>
      <w:r>
        <w:rPr>
          <w:rFonts w:hint="eastAsia" w:ascii="仿宋" w:hAnsi="仿宋" w:cs="仿宋"/>
          <w:b/>
          <w:bCs/>
          <w:sz w:val="28"/>
          <w:szCs w:val="28"/>
          <w:highlight w:val="none"/>
        </w:rPr>
        <w:t>文件内容一致</w:t>
      </w:r>
      <w:r>
        <w:rPr>
          <w:rFonts w:hint="eastAsia" w:ascii="仿宋" w:hAnsi="仿宋" w:cs="仿宋"/>
          <w:b/>
          <w:bCs/>
          <w:sz w:val="28"/>
          <w:szCs w:val="28"/>
          <w:highlight w:val="none"/>
          <w:lang w:eastAsia="zh-CN"/>
        </w:rPr>
        <w:t>。</w:t>
      </w:r>
    </w:p>
    <w:p w14:paraId="1F3C80D4">
      <w:pPr>
        <w:pStyle w:val="12"/>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hint="eastAsia" w:ascii="仿宋" w:hAnsi="仿宋" w:cs="仿宋"/>
          <w:b/>
          <w:bCs/>
          <w:sz w:val="28"/>
          <w:szCs w:val="28"/>
          <w:highlight w:val="none"/>
          <w:lang w:val="en-US" w:eastAsia="zh-CN"/>
        </w:rPr>
      </w:pPr>
      <w:r>
        <w:rPr>
          <w:rFonts w:hint="eastAsia" w:ascii="仿宋" w:hAnsi="仿宋" w:cs="仿宋"/>
          <w:b/>
          <w:bCs/>
          <w:sz w:val="28"/>
          <w:szCs w:val="28"/>
          <w:highlight w:val="none"/>
          <w:lang w:val="en-US" w:eastAsia="zh-CN"/>
        </w:rPr>
        <w:t>2、</w:t>
      </w:r>
      <w:r>
        <w:rPr>
          <w:rFonts w:hint="eastAsia" w:ascii="仿宋" w:hAnsi="仿宋" w:eastAsia="仿宋" w:cs="仿宋"/>
          <w:b/>
          <w:sz w:val="28"/>
          <w:szCs w:val="28"/>
          <w:highlight w:val="none"/>
          <w:lang w:eastAsia="zh-CN"/>
        </w:rPr>
        <w:t>格式要求为：</w:t>
      </w:r>
      <w:r>
        <w:rPr>
          <w:rFonts w:hint="eastAsia" w:ascii="仿宋" w:hAnsi="仿宋" w:eastAsia="仿宋" w:cs="仿宋"/>
          <w:b/>
          <w:bCs/>
          <w:kern w:val="2"/>
          <w:sz w:val="28"/>
          <w:szCs w:val="24"/>
          <w:highlight w:val="none"/>
          <w:lang w:val="en-US" w:eastAsia="zh-CN" w:bidi="ar-SA"/>
        </w:rPr>
        <w:t>word版及pdf（签字盖章齐全）各一份。</w:t>
      </w:r>
    </w:p>
    <w:p w14:paraId="7CA2EA5F">
      <w:pPr>
        <w:widowControl w:val="0"/>
        <w:numPr>
          <w:ilvl w:val="0"/>
          <w:numId w:val="0"/>
        </w:numPr>
        <w:jc w:val="both"/>
        <w:rPr>
          <w:highlight w:val="none"/>
        </w:rPr>
      </w:pPr>
    </w:p>
    <w:p w14:paraId="4075F1F8">
      <w:pPr>
        <w:pStyle w:val="18"/>
        <w:rPr>
          <w:highlight w:val="none"/>
        </w:rPr>
      </w:pPr>
    </w:p>
    <w:p w14:paraId="3A423CB6">
      <w:pPr>
        <w:pStyle w:val="18"/>
        <w:rPr>
          <w:highlight w:val="none"/>
        </w:rPr>
      </w:pPr>
    </w:p>
    <w:p w14:paraId="5F832FFD">
      <w:pPr>
        <w:pStyle w:val="18"/>
        <w:rPr>
          <w:highlight w:val="none"/>
        </w:rPr>
      </w:pPr>
    </w:p>
    <w:p w14:paraId="67C1BF87">
      <w:pPr>
        <w:pStyle w:val="18"/>
        <w:rPr>
          <w:highlight w:val="none"/>
        </w:rPr>
      </w:pPr>
    </w:p>
    <w:p w14:paraId="3D04F213">
      <w:pPr>
        <w:pStyle w:val="18"/>
        <w:rPr>
          <w:highlight w:val="none"/>
        </w:rPr>
      </w:pPr>
    </w:p>
    <w:p w14:paraId="343F5498">
      <w:pPr>
        <w:pStyle w:val="18"/>
        <w:rPr>
          <w:highlight w:val="none"/>
        </w:rPr>
      </w:pPr>
    </w:p>
    <w:p w14:paraId="3133A4BB">
      <w:pPr>
        <w:pStyle w:val="18"/>
        <w:rPr>
          <w:highlight w:val="none"/>
        </w:rPr>
      </w:pPr>
    </w:p>
    <w:p w14:paraId="7E4B70DA">
      <w:pPr>
        <w:pStyle w:val="18"/>
        <w:rPr>
          <w:highlight w:val="none"/>
        </w:rPr>
      </w:pPr>
    </w:p>
    <w:p w14:paraId="146417AB">
      <w:pPr>
        <w:pStyle w:val="18"/>
        <w:rPr>
          <w:highlight w:val="none"/>
        </w:rPr>
      </w:pPr>
    </w:p>
    <w:p w14:paraId="63152E71">
      <w:pPr>
        <w:pStyle w:val="18"/>
        <w:rPr>
          <w:highlight w:val="none"/>
        </w:rPr>
      </w:pPr>
    </w:p>
    <w:p w14:paraId="2250D5AD">
      <w:pPr>
        <w:pStyle w:val="18"/>
        <w:rPr>
          <w:highlight w:val="none"/>
        </w:rPr>
      </w:pPr>
    </w:p>
    <w:p w14:paraId="0111148D">
      <w:pPr>
        <w:pStyle w:val="18"/>
        <w:rPr>
          <w:highlight w:val="none"/>
        </w:rPr>
      </w:pPr>
    </w:p>
    <w:p w14:paraId="5D07902F">
      <w:pPr>
        <w:pStyle w:val="18"/>
        <w:rPr>
          <w:highlight w:val="none"/>
        </w:rPr>
      </w:pPr>
    </w:p>
    <w:p w14:paraId="249A0369">
      <w:pPr>
        <w:pStyle w:val="18"/>
        <w:rPr>
          <w:highlight w:val="none"/>
        </w:rPr>
      </w:pPr>
    </w:p>
    <w:p w14:paraId="12AAE3D1">
      <w:pPr>
        <w:pStyle w:val="18"/>
        <w:rPr>
          <w:highlight w:val="none"/>
        </w:rPr>
      </w:pPr>
    </w:p>
    <w:p w14:paraId="64686DBE">
      <w:pPr>
        <w:pStyle w:val="18"/>
        <w:rPr>
          <w:highlight w:val="none"/>
        </w:rPr>
      </w:pPr>
    </w:p>
    <w:p w14:paraId="5AA9797C">
      <w:pPr>
        <w:pStyle w:val="18"/>
        <w:rPr>
          <w:highlight w:val="none"/>
        </w:rPr>
      </w:pPr>
    </w:p>
    <w:p w14:paraId="65104696">
      <w:pPr>
        <w:pStyle w:val="18"/>
        <w:rPr>
          <w:highlight w:val="none"/>
        </w:rPr>
      </w:pPr>
    </w:p>
    <w:p w14:paraId="46DC054D">
      <w:pPr>
        <w:pStyle w:val="18"/>
        <w:rPr>
          <w:highlight w:val="none"/>
        </w:rPr>
      </w:pPr>
    </w:p>
    <w:p w14:paraId="22FE5E5E">
      <w:pPr>
        <w:pStyle w:val="18"/>
        <w:rPr>
          <w:highlight w:val="none"/>
        </w:rPr>
      </w:pPr>
    </w:p>
    <w:p w14:paraId="14FD7F9E">
      <w:pPr>
        <w:pStyle w:val="18"/>
        <w:rPr>
          <w:highlight w:val="none"/>
        </w:rPr>
      </w:pPr>
    </w:p>
    <w:p w14:paraId="622965C8">
      <w:pPr>
        <w:pStyle w:val="18"/>
        <w:rPr>
          <w:highlight w:val="none"/>
        </w:rPr>
      </w:pPr>
    </w:p>
    <w:p w14:paraId="0389750E">
      <w:pPr>
        <w:pStyle w:val="18"/>
        <w:rPr>
          <w:highlight w:val="none"/>
        </w:rPr>
      </w:pPr>
    </w:p>
    <w:p w14:paraId="4C287F50">
      <w:pPr>
        <w:pStyle w:val="18"/>
        <w:rPr>
          <w:highlight w:val="none"/>
        </w:rPr>
      </w:pPr>
    </w:p>
    <w:p w14:paraId="78C88A60">
      <w:pPr>
        <w:pStyle w:val="18"/>
        <w:rPr>
          <w:highlight w:val="none"/>
        </w:rPr>
      </w:pPr>
    </w:p>
    <w:p w14:paraId="27562622">
      <w:pPr>
        <w:pStyle w:val="18"/>
        <w:rPr>
          <w:highlight w:val="none"/>
        </w:rPr>
      </w:pPr>
    </w:p>
    <w:p w14:paraId="15884B48">
      <w:pPr>
        <w:pStyle w:val="18"/>
        <w:rPr>
          <w:highlight w:val="none"/>
        </w:rPr>
      </w:pPr>
    </w:p>
    <w:p w14:paraId="6F915CFD">
      <w:pPr>
        <w:pStyle w:val="18"/>
        <w:rPr>
          <w:highlight w:val="none"/>
        </w:rPr>
      </w:pPr>
    </w:p>
    <w:p w14:paraId="3D648FF0">
      <w:pPr>
        <w:pStyle w:val="18"/>
        <w:rPr>
          <w:highlight w:val="none"/>
        </w:rPr>
      </w:pPr>
    </w:p>
    <w:p w14:paraId="14312215">
      <w:pPr>
        <w:pStyle w:val="18"/>
        <w:rPr>
          <w:highlight w:val="none"/>
        </w:rPr>
      </w:pPr>
    </w:p>
    <w:p w14:paraId="59E4F4B1">
      <w:pPr>
        <w:pStyle w:val="18"/>
        <w:rPr>
          <w:highlight w:val="none"/>
        </w:rPr>
      </w:pPr>
    </w:p>
    <w:p w14:paraId="634D9D97">
      <w:pPr>
        <w:pStyle w:val="18"/>
        <w:rPr>
          <w:highlight w:val="none"/>
        </w:rPr>
      </w:pPr>
    </w:p>
    <w:p w14:paraId="22B6F960">
      <w:pPr>
        <w:pStyle w:val="18"/>
        <w:rPr>
          <w:highlight w:val="none"/>
        </w:rPr>
      </w:pPr>
    </w:p>
    <w:p w14:paraId="095ED5BF">
      <w:pPr>
        <w:pStyle w:val="18"/>
        <w:rPr>
          <w:highlight w:val="none"/>
        </w:rPr>
      </w:pPr>
    </w:p>
    <w:p w14:paraId="01F330B4">
      <w:pPr>
        <w:pStyle w:val="18"/>
        <w:rPr>
          <w:highlight w:val="none"/>
        </w:rPr>
      </w:pPr>
    </w:p>
    <w:p w14:paraId="07F58DD7">
      <w:pPr>
        <w:pStyle w:val="18"/>
        <w:rPr>
          <w:highlight w:val="none"/>
        </w:rPr>
      </w:pPr>
    </w:p>
    <w:p w14:paraId="5E5D3B12">
      <w:pPr>
        <w:pStyle w:val="18"/>
        <w:rPr>
          <w:highlight w:val="none"/>
        </w:rPr>
      </w:pPr>
    </w:p>
    <w:p w14:paraId="648D074D">
      <w:pPr>
        <w:pStyle w:val="18"/>
        <w:rPr>
          <w:highlight w:val="none"/>
        </w:rPr>
      </w:pPr>
    </w:p>
    <w:p w14:paraId="5712FB46">
      <w:pPr>
        <w:pStyle w:val="18"/>
        <w:rPr>
          <w:highlight w:val="none"/>
        </w:rPr>
      </w:pPr>
    </w:p>
    <w:p w14:paraId="1340028E">
      <w:pPr>
        <w:pStyle w:val="18"/>
        <w:rPr>
          <w:highlight w:val="none"/>
        </w:rPr>
      </w:pPr>
    </w:p>
    <w:p w14:paraId="06D1C945">
      <w:pPr>
        <w:pStyle w:val="18"/>
        <w:rPr>
          <w:highlight w:val="none"/>
        </w:rPr>
      </w:pPr>
    </w:p>
    <w:p w14:paraId="5814E927">
      <w:pPr>
        <w:pStyle w:val="18"/>
        <w:rPr>
          <w:highlight w:val="none"/>
        </w:rPr>
      </w:pPr>
    </w:p>
    <w:p w14:paraId="07D7BBBA">
      <w:pPr>
        <w:pStyle w:val="18"/>
        <w:rPr>
          <w:highlight w:val="none"/>
        </w:rPr>
      </w:pPr>
    </w:p>
    <w:p w14:paraId="3918BD20">
      <w:pPr>
        <w:pStyle w:val="18"/>
        <w:rPr>
          <w:highlight w:val="none"/>
        </w:rPr>
      </w:pPr>
    </w:p>
    <w:p w14:paraId="66E45B80">
      <w:pPr>
        <w:pStyle w:val="12"/>
        <w:rPr>
          <w:rFonts w:hint="default" w:ascii="仿宋" w:hAnsi="仿宋" w:cs="仿宋"/>
          <w:sz w:val="28"/>
          <w:szCs w:val="28"/>
          <w:highlight w:val="none"/>
        </w:rPr>
      </w:pPr>
    </w:p>
    <w:p w14:paraId="490EC261">
      <w:pPr>
        <w:pStyle w:val="12"/>
        <w:jc w:val="center"/>
        <w:outlineLvl w:val="0"/>
        <w:rPr>
          <w:rFonts w:hint="default" w:ascii="仿宋" w:hAnsi="仿宋" w:cs="仿宋"/>
          <w:b/>
          <w:kern w:val="2"/>
          <w:sz w:val="36"/>
          <w:szCs w:val="36"/>
          <w:highlight w:val="none"/>
        </w:rPr>
      </w:pPr>
      <w:bookmarkStart w:id="323" w:name="_Toc3770"/>
      <w:bookmarkStart w:id="324" w:name="_Toc11697"/>
      <w:r>
        <w:rPr>
          <w:rFonts w:ascii="仿宋" w:hAnsi="仿宋" w:cs="仿宋"/>
          <w:b/>
          <w:kern w:val="2"/>
          <w:sz w:val="36"/>
          <w:szCs w:val="36"/>
          <w:highlight w:val="none"/>
        </w:rPr>
        <w:t xml:space="preserve">第七章  </w:t>
      </w:r>
      <w:bookmarkEnd w:id="306"/>
      <w:bookmarkEnd w:id="323"/>
      <w:r>
        <w:rPr>
          <w:rFonts w:hint="eastAsia" w:ascii="仿宋" w:hAnsi="仿宋" w:cs="仿宋"/>
          <w:b/>
          <w:kern w:val="2"/>
          <w:sz w:val="36"/>
          <w:szCs w:val="36"/>
          <w:highlight w:val="none"/>
        </w:rPr>
        <w:t>投标确认函</w:t>
      </w:r>
      <w:bookmarkEnd w:id="324"/>
    </w:p>
    <w:p w14:paraId="7C1863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u w:val="single"/>
          <w:lang w:eastAsia="zh-CN"/>
        </w:rPr>
        <w:t>西安欣华联建工程咨询有限公司</w:t>
      </w:r>
      <w:r>
        <w:rPr>
          <w:rFonts w:hint="eastAsia" w:ascii="仿宋" w:hAnsi="仿宋" w:eastAsia="仿宋" w:cs="仿宋"/>
          <w:b/>
          <w:bCs/>
          <w:sz w:val="28"/>
          <w:szCs w:val="28"/>
          <w:highlight w:val="none"/>
        </w:rPr>
        <w:t>：</w:t>
      </w:r>
    </w:p>
    <w:p w14:paraId="66395E33">
      <w:pPr>
        <w:pStyle w:val="12"/>
        <w:rPr>
          <w:rFonts w:ascii="仿宋" w:hAnsi="仿宋" w:cs="仿宋"/>
          <w:highlight w:val="none"/>
        </w:rPr>
      </w:pPr>
    </w:p>
    <w:p w14:paraId="3447F9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作为参加贵单位组织的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（项目名称）的供应商，本公司确定参与本项目</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w:t>
      </w:r>
    </w:p>
    <w:p w14:paraId="690B2F61">
      <w:pPr>
        <w:pStyle w:val="12"/>
        <w:rPr>
          <w:rFonts w:ascii="仿宋" w:hAnsi="仿宋" w:cs="仿宋"/>
          <w:highlight w:val="none"/>
        </w:rPr>
      </w:pPr>
    </w:p>
    <w:p w14:paraId="1DED0FAE">
      <w:pPr>
        <w:rPr>
          <w:highlight w:val="none"/>
        </w:rPr>
      </w:pPr>
    </w:p>
    <w:p w14:paraId="1C0282B6">
      <w:pPr>
        <w:pStyle w:val="50"/>
        <w:spacing w:line="500" w:lineRule="atLeast"/>
        <w:ind w:firstLine="2738" w:firstLineChars="978"/>
        <w:jc w:val="both"/>
        <w:rPr>
          <w:rFonts w:hint="eastAsia" w:ascii="仿宋" w:hAnsi="仿宋" w:eastAsia="仿宋" w:cs="仿宋"/>
          <w:b w:val="0"/>
          <w:sz w:val="28"/>
          <w:szCs w:val="28"/>
          <w:highlight w:val="none"/>
          <w:lang w:val="zh-CN"/>
        </w:rPr>
      </w:pPr>
      <w:r>
        <w:rPr>
          <w:rFonts w:hint="eastAsia" w:ascii="仿宋" w:hAnsi="仿宋" w:eastAsia="仿宋" w:cs="仿宋"/>
          <w:b w:val="0"/>
          <w:sz w:val="28"/>
          <w:szCs w:val="28"/>
          <w:highlight w:val="none"/>
          <w:lang w:val="zh-CN"/>
        </w:rPr>
        <w:t>供</w:t>
      </w:r>
      <w:r>
        <w:rPr>
          <w:rFonts w:hint="eastAsia" w:ascii="仿宋" w:hAnsi="仿宋" w:eastAsia="仿宋" w:cs="仿宋"/>
          <w:b w:val="0"/>
          <w:sz w:val="28"/>
          <w:szCs w:val="28"/>
          <w:highlight w:val="none"/>
        </w:rPr>
        <w:t xml:space="preserve">  </w:t>
      </w:r>
      <w:r>
        <w:rPr>
          <w:rFonts w:hint="eastAsia" w:ascii="仿宋" w:hAnsi="仿宋" w:eastAsia="仿宋" w:cs="仿宋"/>
          <w:b w:val="0"/>
          <w:sz w:val="28"/>
          <w:szCs w:val="28"/>
          <w:highlight w:val="none"/>
          <w:lang w:val="zh-CN"/>
        </w:rPr>
        <w:t>应</w:t>
      </w:r>
      <w:r>
        <w:rPr>
          <w:rFonts w:hint="eastAsia" w:ascii="仿宋" w:hAnsi="仿宋" w:eastAsia="仿宋" w:cs="仿宋"/>
          <w:b w:val="0"/>
          <w:sz w:val="28"/>
          <w:szCs w:val="28"/>
          <w:highlight w:val="none"/>
        </w:rPr>
        <w:t xml:space="preserve">  </w:t>
      </w:r>
      <w:r>
        <w:rPr>
          <w:rFonts w:hint="eastAsia" w:ascii="仿宋" w:hAnsi="仿宋" w:eastAsia="仿宋" w:cs="仿宋"/>
          <w:b w:val="0"/>
          <w:sz w:val="28"/>
          <w:szCs w:val="28"/>
          <w:highlight w:val="none"/>
          <w:lang w:val="zh-CN"/>
        </w:rPr>
        <w:t>商：</w:t>
      </w:r>
      <w:r>
        <w:rPr>
          <w:rFonts w:hint="eastAsia" w:ascii="仿宋" w:hAnsi="仿宋" w:eastAsia="仿宋" w:cs="仿宋"/>
          <w:b w:val="0"/>
          <w:sz w:val="28"/>
          <w:szCs w:val="28"/>
          <w:highlight w:val="none"/>
          <w:u w:val="single"/>
          <w:lang w:val="zh-CN"/>
        </w:rPr>
        <w:t xml:space="preserve">          </w:t>
      </w:r>
      <w:r>
        <w:rPr>
          <w:rFonts w:hint="eastAsia" w:ascii="仿宋" w:hAnsi="仿宋" w:eastAsia="仿宋" w:cs="仿宋"/>
          <w:b w:val="0"/>
          <w:sz w:val="28"/>
          <w:szCs w:val="28"/>
          <w:highlight w:val="none"/>
          <w:u w:val="single"/>
        </w:rPr>
        <w:t xml:space="preserve">  </w:t>
      </w:r>
      <w:r>
        <w:rPr>
          <w:rFonts w:hint="eastAsia" w:ascii="仿宋" w:hAnsi="仿宋" w:eastAsia="仿宋" w:cs="仿宋"/>
          <w:b w:val="0"/>
          <w:sz w:val="28"/>
          <w:szCs w:val="28"/>
          <w:highlight w:val="none"/>
          <w:u w:val="single"/>
          <w:lang w:val="zh-CN"/>
        </w:rPr>
        <w:t xml:space="preserve">      </w:t>
      </w:r>
      <w:r>
        <w:rPr>
          <w:rFonts w:hint="eastAsia" w:ascii="仿宋" w:hAnsi="仿宋" w:eastAsia="仿宋" w:cs="仿宋"/>
          <w:b w:val="0"/>
          <w:sz w:val="28"/>
          <w:szCs w:val="28"/>
          <w:highlight w:val="none"/>
          <w:u w:val="single"/>
        </w:rPr>
        <w:t xml:space="preserve">  </w:t>
      </w:r>
      <w:r>
        <w:rPr>
          <w:rFonts w:hint="eastAsia" w:ascii="仿宋" w:hAnsi="仿宋" w:eastAsia="仿宋" w:cs="仿宋"/>
          <w:b w:val="0"/>
          <w:sz w:val="28"/>
          <w:szCs w:val="28"/>
          <w:highlight w:val="none"/>
          <w:lang w:val="zh-CN"/>
        </w:rPr>
        <w:t>（公</w:t>
      </w:r>
      <w:r>
        <w:rPr>
          <w:rFonts w:hint="eastAsia" w:ascii="仿宋" w:hAnsi="仿宋" w:eastAsia="仿宋" w:cs="仿宋"/>
          <w:b w:val="0"/>
          <w:sz w:val="28"/>
          <w:szCs w:val="28"/>
          <w:highlight w:val="none"/>
        </w:rPr>
        <w:t xml:space="preserve">      </w:t>
      </w:r>
      <w:r>
        <w:rPr>
          <w:rFonts w:hint="eastAsia" w:ascii="仿宋" w:hAnsi="仿宋" w:eastAsia="仿宋" w:cs="仿宋"/>
          <w:b w:val="0"/>
          <w:sz w:val="28"/>
          <w:szCs w:val="28"/>
          <w:highlight w:val="none"/>
          <w:lang w:val="zh-CN"/>
        </w:rPr>
        <w:t>章）</w:t>
      </w:r>
    </w:p>
    <w:p w14:paraId="7BE5FDA8">
      <w:pPr>
        <w:pStyle w:val="50"/>
        <w:spacing w:line="500" w:lineRule="atLeast"/>
        <w:ind w:firstLine="2738" w:firstLineChars="978"/>
        <w:jc w:val="both"/>
        <w:rPr>
          <w:rFonts w:hint="eastAsia" w:ascii="仿宋" w:hAnsi="仿宋" w:eastAsia="仿宋" w:cs="仿宋"/>
          <w:b w:val="0"/>
          <w:sz w:val="24"/>
          <w:szCs w:val="24"/>
          <w:highlight w:val="none"/>
          <w:lang w:val="zh-CN"/>
        </w:rPr>
      </w:pPr>
      <w:r>
        <w:rPr>
          <w:rFonts w:hint="eastAsia" w:ascii="仿宋" w:hAnsi="仿宋" w:eastAsia="仿宋" w:cs="仿宋"/>
          <w:b w:val="0"/>
          <w:sz w:val="28"/>
          <w:szCs w:val="28"/>
          <w:highlight w:val="none"/>
          <w:lang w:val="zh-CN"/>
        </w:rPr>
        <w:t xml:space="preserve">日   </w:t>
      </w:r>
      <w:r>
        <w:rPr>
          <w:rFonts w:hint="eastAsia" w:ascii="仿宋" w:hAnsi="仿宋" w:eastAsia="仿宋" w:cs="仿宋"/>
          <w:b w:val="0"/>
          <w:sz w:val="28"/>
          <w:szCs w:val="28"/>
          <w:highlight w:val="none"/>
        </w:rPr>
        <w:t xml:space="preserve"> </w:t>
      </w:r>
      <w:r>
        <w:rPr>
          <w:rFonts w:hint="eastAsia" w:ascii="仿宋" w:hAnsi="仿宋" w:eastAsia="仿宋" w:cs="仿宋"/>
          <w:b w:val="0"/>
          <w:sz w:val="28"/>
          <w:szCs w:val="28"/>
          <w:highlight w:val="none"/>
          <w:lang w:val="zh-CN"/>
        </w:rPr>
        <w:t xml:space="preserve">  期：</w:t>
      </w:r>
      <w:r>
        <w:rPr>
          <w:rFonts w:hint="eastAsia" w:ascii="仿宋" w:hAnsi="仿宋" w:eastAsia="仿宋" w:cs="仿宋"/>
          <w:b w:val="0"/>
          <w:sz w:val="28"/>
          <w:szCs w:val="28"/>
          <w:highlight w:val="none"/>
          <w:u w:val="single"/>
          <w:lang w:val="zh-CN"/>
        </w:rPr>
        <w:t xml:space="preserve">        </w:t>
      </w:r>
      <w:r>
        <w:rPr>
          <w:rFonts w:hint="eastAsia" w:ascii="仿宋" w:hAnsi="仿宋" w:eastAsia="仿宋" w:cs="仿宋"/>
          <w:b w:val="0"/>
          <w:sz w:val="28"/>
          <w:szCs w:val="28"/>
          <w:highlight w:val="none"/>
          <w:lang w:val="zh-CN"/>
        </w:rPr>
        <w:t>年</w:t>
      </w:r>
      <w:r>
        <w:rPr>
          <w:rFonts w:hint="eastAsia" w:ascii="仿宋" w:hAnsi="仿宋" w:eastAsia="仿宋" w:cs="仿宋"/>
          <w:b w:val="0"/>
          <w:sz w:val="28"/>
          <w:szCs w:val="28"/>
          <w:highlight w:val="none"/>
          <w:u w:val="single"/>
          <w:lang w:val="zh-CN"/>
        </w:rPr>
        <w:t xml:space="preserve">    </w:t>
      </w:r>
      <w:r>
        <w:rPr>
          <w:rFonts w:hint="eastAsia" w:ascii="仿宋" w:hAnsi="仿宋" w:eastAsia="仿宋" w:cs="仿宋"/>
          <w:b w:val="0"/>
          <w:sz w:val="28"/>
          <w:szCs w:val="28"/>
          <w:highlight w:val="none"/>
          <w:lang w:val="zh-CN"/>
        </w:rPr>
        <w:t>月</w:t>
      </w:r>
      <w:r>
        <w:rPr>
          <w:rFonts w:hint="eastAsia" w:ascii="仿宋" w:hAnsi="仿宋" w:eastAsia="仿宋" w:cs="仿宋"/>
          <w:b w:val="0"/>
          <w:sz w:val="28"/>
          <w:szCs w:val="28"/>
          <w:highlight w:val="none"/>
          <w:u w:val="single"/>
          <w:lang w:val="zh-CN"/>
        </w:rPr>
        <w:t xml:space="preserve">    </w:t>
      </w:r>
      <w:r>
        <w:rPr>
          <w:rFonts w:hint="eastAsia" w:ascii="仿宋" w:hAnsi="仿宋" w:eastAsia="仿宋" w:cs="仿宋"/>
          <w:b w:val="0"/>
          <w:sz w:val="28"/>
          <w:szCs w:val="28"/>
          <w:highlight w:val="none"/>
          <w:lang w:val="zh-CN"/>
        </w:rPr>
        <w:t>日</w:t>
      </w:r>
    </w:p>
    <w:p w14:paraId="615A4859">
      <w:pPr>
        <w:rPr>
          <w:rFonts w:hint="eastAsia" w:ascii="仿宋" w:hAnsi="仿宋" w:eastAsia="仿宋" w:cs="仿宋"/>
          <w:highlight w:val="none"/>
        </w:rPr>
      </w:pPr>
    </w:p>
    <w:p w14:paraId="1453F577">
      <w:pPr>
        <w:pStyle w:val="12"/>
        <w:rPr>
          <w:rFonts w:ascii="仿宋" w:hAnsi="仿宋" w:cs="仿宋"/>
          <w:highlight w:val="none"/>
        </w:rPr>
      </w:pPr>
    </w:p>
    <w:p w14:paraId="226E1E81">
      <w:pPr>
        <w:pStyle w:val="12"/>
        <w:spacing w:line="360" w:lineRule="auto"/>
        <w:ind w:left="-12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注：</w:t>
      </w:r>
      <w:r>
        <w:rPr>
          <w:rFonts w:hint="eastAsia" w:ascii="仿宋" w:hAnsi="仿宋" w:eastAsia="仿宋" w:cs="仿宋"/>
          <w:b/>
          <w:bCs/>
          <w:sz w:val="28"/>
          <w:szCs w:val="28"/>
          <w:highlight w:val="none"/>
        </w:rPr>
        <w:t>加盖公章的</w:t>
      </w:r>
      <w:r>
        <w:rPr>
          <w:rFonts w:hint="eastAsia" w:ascii="仿宋" w:hAnsi="仿宋" w:eastAsia="仿宋" w:cs="仿宋"/>
          <w:b/>
          <w:bCs/>
          <w:sz w:val="28"/>
          <w:szCs w:val="28"/>
          <w:highlight w:val="none"/>
          <w:lang w:eastAsia="zh-CN"/>
        </w:rPr>
        <w:t>投标</w:t>
      </w:r>
      <w:r>
        <w:rPr>
          <w:rFonts w:hint="eastAsia" w:ascii="仿宋" w:hAnsi="仿宋" w:eastAsia="仿宋" w:cs="仿宋"/>
          <w:b/>
          <w:bCs/>
          <w:sz w:val="28"/>
          <w:szCs w:val="28"/>
          <w:highlight w:val="none"/>
        </w:rPr>
        <w:t>确认函扫描件请于开标前发至采购代理机构邮箱</w:t>
      </w:r>
      <w:r>
        <w:rPr>
          <w:rFonts w:hint="eastAsia" w:ascii="仿宋" w:hAnsi="仿宋" w:cs="仿宋"/>
          <w:b/>
          <w:bCs/>
          <w:sz w:val="28"/>
          <w:szCs w:val="28"/>
          <w:highlight w:val="none"/>
          <w:lang w:eastAsia="zh-CN"/>
        </w:rPr>
        <w:t>，</w:t>
      </w:r>
      <w:r>
        <w:rPr>
          <w:rFonts w:hint="eastAsia" w:ascii="仿宋" w:hAnsi="仿宋" w:cs="仿宋"/>
          <w:b/>
          <w:bCs/>
          <w:sz w:val="28"/>
          <w:szCs w:val="28"/>
          <w:highlight w:val="none"/>
          <w:lang w:val="en-US" w:eastAsia="zh-CN"/>
        </w:rPr>
        <w:t>未提交视为无效投标</w:t>
      </w:r>
      <w:r>
        <w:rPr>
          <w:rFonts w:hint="eastAsia" w:ascii="仿宋" w:hAnsi="仿宋" w:eastAsia="仿宋" w:cs="仿宋"/>
          <w:b/>
          <w:bCs/>
          <w:sz w:val="28"/>
          <w:szCs w:val="28"/>
          <w:highlight w:val="none"/>
        </w:rPr>
        <w:t>。</w:t>
      </w:r>
    </w:p>
    <w:p w14:paraId="6C06A2C0">
      <w:pPr>
        <w:keepNext w:val="0"/>
        <w:keepLines w:val="0"/>
        <w:pageBreakBefore w:val="0"/>
        <w:widowControl w:val="0"/>
        <w:kinsoku/>
        <w:wordWrap/>
        <w:overflowPunct/>
        <w:topLinePunct w:val="0"/>
        <w:autoSpaceDE/>
        <w:autoSpaceDN/>
        <w:bidi w:val="0"/>
        <w:rPr>
          <w:rFonts w:hint="eastAsia" w:ascii="仿宋" w:hAnsi="仿宋" w:eastAsia="仿宋" w:cs="仿宋"/>
          <w:color w:val="000000"/>
          <w:sz w:val="28"/>
          <w:szCs w:val="28"/>
          <w:highlight w:val="none"/>
        </w:rPr>
      </w:pPr>
    </w:p>
    <w:p w14:paraId="1C367324">
      <w:pPr>
        <w:pStyle w:val="14"/>
        <w:ind w:left="0" w:leftChars="0" w:right="1470"/>
        <w:rPr>
          <w:highlight w:val="none"/>
        </w:rPr>
      </w:pPr>
    </w:p>
    <w:p w14:paraId="244E2726">
      <w:pPr>
        <w:pStyle w:val="14"/>
        <w:ind w:left="0" w:leftChars="0" w:right="1470"/>
        <w:rPr>
          <w:rFonts w:hint="eastAsia" w:eastAsia="宋体"/>
          <w:highlight w:val="none"/>
          <w:lang w:eastAsia="zh-CN"/>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51B7">
    <w:pPr>
      <w:pStyle w:val="18"/>
      <w:jc w:val="center"/>
      <w:rPr>
        <w:rFonts w:hint="default" w:ascii="仿宋" w:hAnsi="仿宋" w:cs="仿宋"/>
      </w:rPr>
    </w:pPr>
    <w:r>
      <w:rPr>
        <w:rFonts w:ascii="仿宋" w:hAnsi="仿宋" w:cs="仿宋"/>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59264;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IagQrVAAAABgEAAA8AAAAAAAAAAQAgAAAAIgAAAGRycy9kb3ducmV2LnhtbFBLAQIUABQAAAAI&#10;AIdO4kBEMVDe8AEAANsDAAAOAAAAAAAAAAEAIAAAACQBAABkcnMvZTJvRG9jLnhtbFBLBQYAAAAA&#10;BgAGAFkBAACGBQ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4CA23">
    <w:pPr>
      <w:pStyle w:val="18"/>
      <w:jc w:val="center"/>
      <w:rPr>
        <w:rFonts w:hint="default" w:ascii="仿宋" w:hAnsi="仿宋" w:cs="仿宋"/>
      </w:rPr>
    </w:pPr>
    <w:r>
      <w:rPr>
        <w:rFonts w:ascii="仿宋" w:hAnsi="仿宋" w:cs="仿宋"/>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-53340</wp:posOffset>
              </wp:positionV>
              <wp:extent cx="6170295" cy="381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4.2pt;height:0.3pt;width:485.85pt;z-index:251664384;mso-width-relative:page;mso-height-relative:page;" filled="f" stroked="t" coordsize="21600,21600" o:gfxdata="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GoEK1QAAAAYBAAAPAAAAAAAAAAEAIAAAACIAAABkcnMvZG93bnJldi54bWxQSwECFAAUAAAA&#10;CACHTuJAi79U4/EBAADbAwAADgAAAAAAAAABACAAAAAkAQAAZHJzL2Uyb0RvYy54bWxQSwUGAAAA&#10;AAYABgBZAQAAhwUAAAAA&#10;">
              <v:fill on="f" focussize="0,0"/>
              <v:stroke color="#000000" joinstyle="round"/>
              <v:imagedata o:title=""/>
              <o:lock v:ext="edit" aspectratio="f"/>
            </v:line>
          </w:pict>
        </mc:Fallback>
      </mc:AlternateContent>
    </w:r>
    <w:r>
      <w:rPr>
        <w:rFonts w:ascii="仿宋" w:hAnsi="仿宋" w:cs="仿宋"/>
      </w:rPr>
      <w:t>西安欣华联建工程咨询有限公司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D582">
    <w:pPr>
      <w:pStyle w:val="18"/>
      <w:jc w:val="center"/>
      <w:rPr>
        <w:rFonts w:ascii="仿宋" w:hAnsi="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posOffset>2879725</wp:posOffset>
              </wp:positionH>
              <wp:positionV relativeFrom="paragraph">
                <wp:posOffset>190500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0D82E">
                          <w:pPr>
                            <w:pStyle w:val="18"/>
                            <w:rPr>
                              <w:rFonts w:hint="eastAsia" w:ascii="仿宋" w:hAnsi="仿宋" w:eastAsia="仿宋" w:cs="仿宋"/>
                            </w:rPr>
                          </w:pPr>
                          <w:r>
                            <w:rPr>
                              <w:rFonts w:hint="eastAsia" w:ascii="仿宋" w:hAnsi="仿宋" w:cs="仿宋"/>
                            </w:rPr>
                            <w:t xml:space="preserve">第 </w:t>
                          </w:r>
                          <w:r>
                            <w:rPr>
                              <w:rFonts w:hint="eastAsia" w:ascii="仿宋" w:hAnsi="仿宋" w:cs="仿宋"/>
                            </w:rPr>
                            <w:fldChar w:fldCharType="begin"/>
                          </w:r>
                          <w:r>
                            <w:rPr>
                              <w:rFonts w:hint="eastAsia" w:ascii="仿宋" w:hAnsi="仿宋" w:cs="仿宋"/>
                            </w:rPr>
                            <w:instrText xml:space="preserve"> PAGE  \* MERGEFORMAT </w:instrText>
                          </w:r>
                          <w:r>
                            <w:rPr>
                              <w:rFonts w:hint="eastAsia" w:ascii="仿宋" w:hAnsi="仿宋" w:cs="仿宋"/>
                            </w:rPr>
                            <w:fldChar w:fldCharType="separate"/>
                          </w:r>
                          <w:r>
                            <w:rPr>
                              <w:rFonts w:hint="eastAsia" w:ascii="仿宋" w:hAnsi="仿宋" w:cs="仿宋"/>
                            </w:rPr>
                            <w:t>1</w:t>
                          </w:r>
                          <w:r>
                            <w:rPr>
                              <w:rFonts w:hint="eastAsia" w:ascii="仿宋" w:hAnsi="仿宋" w:cs="仿宋"/>
                            </w:rPr>
                            <w:fldChar w:fldCharType="end"/>
                          </w:r>
                          <w:r>
                            <w:rPr>
                              <w:rFonts w:hint="eastAsia" w:ascii="仿宋" w:hAnsi="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75pt;margin-top:15pt;height:144pt;width:144pt;mso-position-horizontal-relative:margin;mso-wrap-style:none;z-index:251661312;mso-width-relative:page;mso-height-relative:page;" filled="f" stroked="f" coordsize="21600,21600" o:gfxdata="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2ulQE1gAAAAo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14:paraId="1DA0D82E">
                    <w:pPr>
                      <w:pStyle w:val="18"/>
                      <w:rPr>
                        <w:rFonts w:hint="eastAsia" w:ascii="仿宋" w:hAnsi="仿宋" w:eastAsia="仿宋" w:cs="仿宋"/>
                      </w:rPr>
                    </w:pPr>
                    <w:r>
                      <w:rPr>
                        <w:rFonts w:hint="eastAsia" w:ascii="仿宋" w:hAnsi="仿宋" w:cs="仿宋"/>
                      </w:rPr>
                      <w:t xml:space="preserve">第 </w:t>
                    </w:r>
                    <w:r>
                      <w:rPr>
                        <w:rFonts w:hint="eastAsia" w:ascii="仿宋" w:hAnsi="仿宋" w:cs="仿宋"/>
                      </w:rPr>
                      <w:fldChar w:fldCharType="begin"/>
                    </w:r>
                    <w:r>
                      <w:rPr>
                        <w:rFonts w:hint="eastAsia" w:ascii="仿宋" w:hAnsi="仿宋" w:cs="仿宋"/>
                      </w:rPr>
                      <w:instrText xml:space="preserve"> PAGE  \* MERGEFORMAT </w:instrText>
                    </w:r>
                    <w:r>
                      <w:rPr>
                        <w:rFonts w:hint="eastAsia" w:ascii="仿宋" w:hAnsi="仿宋" w:cs="仿宋"/>
                      </w:rPr>
                      <w:fldChar w:fldCharType="separate"/>
                    </w:r>
                    <w:r>
                      <w:rPr>
                        <w:rFonts w:hint="eastAsia" w:ascii="仿宋" w:hAnsi="仿宋" w:cs="仿宋"/>
                      </w:rPr>
                      <w:t>1</w:t>
                    </w:r>
                    <w:r>
                      <w:rPr>
                        <w:rFonts w:hint="eastAsia" w:ascii="仿宋" w:hAnsi="仿宋" w:cs="仿宋"/>
                      </w:rPr>
                      <w:fldChar w:fldCharType="end"/>
                    </w:r>
                    <w:r>
                      <w:rPr>
                        <w:rFonts w:hint="eastAsia" w:ascii="仿宋" w:hAnsi="仿宋" w:cs="仿宋"/>
                      </w:rPr>
                      <w:t xml:space="preserve"> 页</w:t>
                    </w:r>
                  </w:p>
                </w:txbxContent>
              </v:textbox>
            </v:shape>
          </w:pict>
        </mc:Fallback>
      </mc:AlternateContent>
    </w: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0288;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FK1znWAAAACAEAAA8AAAAAAAAAAQAgAAAAIgAAAGRycy9kb3du&#10;cmV2LnhtbFBLAQIUABQAAAAIAIdO4kCWoqQ+AQIAAPEDAAAOAAAAAAAAAAEAIAAAACUBAABkcnMv&#10;ZTJvRG9jLnhtbFBLBQYAAAAABgAGAFkBAACYBQ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2E70">
    <w:pPr>
      <w:pStyle w:val="18"/>
      <w:jc w:val="center"/>
      <w:rPr>
        <w:rFonts w:ascii="仿宋" w:hAnsi="仿宋" w:cs="仿宋"/>
      </w:rPr>
    </w:pPr>
    <w:r>
      <w:rPr>
        <w:sz w:val="18"/>
      </w:rPr>
      <mc:AlternateContent>
        <mc:Choice Requires="wps">
          <w:drawing>
            <wp:anchor distT="0" distB="0" distL="114300" distR="114300" simplePos="0" relativeHeight="251666432" behindDoc="0" locked="0" layoutInCell="1" allowOverlap="1">
              <wp:simplePos x="0" y="0"/>
              <wp:positionH relativeFrom="margin">
                <wp:posOffset>2934335</wp:posOffset>
              </wp:positionH>
              <wp:positionV relativeFrom="paragraph">
                <wp:posOffset>216535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0F143">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05pt;margin-top:17.05pt;height:144pt;width:144pt;mso-position-horizontal-relative:margin;mso-wrap-style:none;z-index:251666432;mso-width-relative:page;mso-height-relative:page;" filled="f" stroked="f" coordsize="21600,21600" o:gfxdata="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BHEWtYAAAAKAQAADwAAAAAAAAABACAAAAAiAAAAZHJzL2Rvd25yZXYueG1s&#10;UEsBAhQAFAAAAAgAh07iQFOJUQ0zAgAAYwQAAA4AAAAAAAAAAQAgAAAAJQEAAGRycy9lMm9Eb2Mu&#10;eG1sUEsFBgAAAAAGAAYAWQEAAMoFAAAAAA==&#10;">
              <v:fill on="f" focussize="0,0"/>
              <v:stroke on="f" weight="0.5pt"/>
              <v:imagedata o:title=""/>
              <o:lock v:ext="edit" aspectratio="f"/>
              <v:textbox inset="0mm,0mm,0mm,0mm" style="mso-fit-shape-to-text:t;">
                <w:txbxContent>
                  <w:p w14:paraId="3A60F143">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ascii="仿宋" w:hAnsi="仿宋" w:cs="仿宋"/>
      </w:rPr>
      <mc:AlternateContent>
        <mc:Choice Requires="wps">
          <w:drawing>
            <wp:anchor distT="0" distB="0" distL="114300" distR="114300" simplePos="0" relativeHeight="251665408" behindDoc="0" locked="0" layoutInCell="1" allowOverlap="1">
              <wp:simplePos x="0" y="0"/>
              <wp:positionH relativeFrom="column">
                <wp:posOffset>93980</wp:posOffset>
              </wp:positionH>
              <wp:positionV relativeFrom="paragraph">
                <wp:posOffset>-33655</wp:posOffset>
              </wp:positionV>
              <wp:extent cx="6001385" cy="190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600138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pt;margin-top:-2.65pt;height:0.15pt;width:472.55pt;z-index:251665408;mso-width-relative:page;mso-height-relative:page;" filled="f" stroked="t" coordsize="21600,21600" o:gfxdata="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1TRc1gAAAAgBAAAPAAAAAAAAAAEAIAAAACIAAABkcnMvZG93bnJldi54bWxQSwEC&#10;FAAUAAAACACHTuJAUrFusfYBAADpAwAADgAAAAAAAAABACAAAAAlAQAAZHJzL2Uyb0RvYy54bWxQ&#10;SwUGAAAAAAYABgBZAQAAjQU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6ECAC">
    <w:pPr>
      <w:pStyle w:val="18"/>
      <w:jc w:val="center"/>
      <w:rPr>
        <w:rFonts w:ascii="仿宋" w:hAnsi="仿宋" w:cs="仿宋"/>
      </w:rPr>
    </w:pPr>
    <w:r>
      <w:rPr>
        <w:sz w:val="18"/>
      </w:rPr>
      <mc:AlternateContent>
        <mc:Choice Requires="wps">
          <w:drawing>
            <wp:anchor distT="0" distB="0" distL="114300" distR="114300" simplePos="0" relativeHeight="251667456" behindDoc="0" locked="0" layoutInCell="1" allowOverlap="1">
              <wp:simplePos x="0" y="0"/>
              <wp:positionH relativeFrom="margin">
                <wp:posOffset>2853055</wp:posOffset>
              </wp:positionH>
              <wp:positionV relativeFrom="paragraph">
                <wp:posOffset>266700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D85B4">
                          <w:pPr>
                            <w:pStyle w:val="18"/>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5pt;margin-top:21pt;height:144pt;width:144pt;mso-position-horizontal-relative:margin;mso-wrap-style:none;z-index:251667456;mso-width-relative:page;mso-height-relative:page;" filled="f" stroked="f" coordsize="21600,21600" o:gfxdata="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7CyA/XAAAACgEAAA8AAAAAAAAAAQAgAAAAIgAAAGRycy9kb3ducmV2Lnht&#10;bFBLAQIUABQAAAAIAIdO4kBe2iTuMwIAAGMEAAAOAAAAAAAAAAEAIAAAACYBAABkcnMvZTJvRG9j&#10;LnhtbFBLBQYAAAAABgAGAFkBAADLBQAAAAA=&#10;">
              <v:fill on="f" focussize="0,0"/>
              <v:stroke on="f" weight="0.5pt"/>
              <v:imagedata o:title=""/>
              <o:lock v:ext="edit" aspectratio="f"/>
              <v:textbox inset="0mm,0mm,0mm,0mm" style="mso-fit-shape-to-text:t;">
                <w:txbxContent>
                  <w:p w14:paraId="259D85B4">
                    <w:pPr>
                      <w:pStyle w:val="18"/>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r>
      <w:rPr>
        <w:rFonts w:ascii="仿宋" w:hAnsi="仿宋" w:cs="仿宋"/>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-28575</wp:posOffset>
              </wp:positionV>
              <wp:extent cx="6108065" cy="381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35pt;margin-top:-2.25pt;height:0.3pt;width:480.95pt;z-index:251662336;mso-width-relative:page;mso-height-relative:page;" filled="f" stroked="t" coordsize="21600,21600" o:gfxdata="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Stc51gAAAAgBAAAPAAAAAAAAAAEAIAAAACIAAABkcnMvZG93bnJl&#10;di54bWxQSwECFAAUAAAACACHTuJAp/f+Yv8BAADxAwAADgAAAAAAAAABACAAAAAlAQAAZHJzL2Uy&#10;b0RvYy54bWxQSwUGAAAAAAYABgBZAQAAlgU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D07F0">
    <w:pPr>
      <w:pStyle w:val="18"/>
      <w:jc w:val="center"/>
      <w:rPr>
        <w:rFonts w:hint="default" w:ascii="仿宋" w:hAnsi="仿宋" w:cs="仿宋"/>
      </w:rPr>
    </w:pPr>
    <w:r>
      <w:rPr>
        <w:sz w:val="18"/>
      </w:rPr>
      <mc:AlternateContent>
        <mc:Choice Requires="wps">
          <w:drawing>
            <wp:anchor distT="0" distB="0" distL="114300" distR="114300" simplePos="0" relativeHeight="251668480" behindDoc="0" locked="0" layoutInCell="1" allowOverlap="1">
              <wp:simplePos x="0" y="0"/>
              <wp:positionH relativeFrom="margin">
                <wp:posOffset>2830830</wp:posOffset>
              </wp:positionH>
              <wp:positionV relativeFrom="paragraph">
                <wp:posOffset>222250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1BD61">
                          <w:pPr>
                            <w:pStyle w:val="18"/>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9pt;margin-top:17.5pt;height:144pt;width:144pt;mso-position-horizontal-relative:margin;mso-wrap-style:none;z-index:251668480;mso-width-relative:page;mso-height-relative:page;" filled="f" stroked="f" coordsize="21600,21600" o:gfxdata="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9/mDNYAAAAKAQAADwAAAAAAAAABACAAAAAiAAAAZHJzL2Rvd25yZXYueG1s&#10;UEsBAhQAFAAAAAgAh07iQBxyswEzAgAAYwQAAA4AAAAAAAAAAQAgAAAAJQEAAGRycy9lMm9Eb2Mu&#10;eG1sUEsFBgAAAAAGAAYAWQEAAMoFAAAAAA==&#10;">
              <v:fill on="f" focussize="0,0"/>
              <v:stroke on="f" weight="0.5pt"/>
              <v:imagedata o:title=""/>
              <o:lock v:ext="edit" aspectratio="f"/>
              <v:textbox inset="0mm,0mm,0mm,0mm" style="mso-fit-shape-to-text:t;">
                <w:txbxContent>
                  <w:p w14:paraId="7DC1BD61">
                    <w:pPr>
                      <w:pStyle w:val="18"/>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r>
      <w:rPr>
        <w:rFonts w:ascii="仿宋" w:hAnsi="仿宋" w:cs="仿宋"/>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-26670</wp:posOffset>
              </wp:positionV>
              <wp:extent cx="6170295"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7029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2.1pt;height:0.3pt;width:485.85pt;z-index:251663360;mso-width-relative:page;mso-height-relative:page;" filled="f" stroked="t" coordsize="21600,21600" o:gfxdata="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vh8h9QAAAAGAQAADwAAAAAAAAABACAAAAAiAAAAZHJzL2Rvd25yZXYueG1sUEsBAhQAFAAAAAgA&#10;h07iQOYXS1DwAQAA2wMAAA4AAAAAAAAAAQAgAAAAIwEAAGRycy9lMm9Eb2MueG1sUEsFBgAAAAAG&#10;AAYAWQEAAIUFAAAAAA==&#10;">
              <v:fill on="f" focussize="0,0"/>
              <v:stroke color="#000000" joinstyle="round"/>
              <v:imagedata o:title=""/>
              <o:lock v:ext="edit" aspectratio="f"/>
            </v:line>
          </w:pict>
        </mc:Fallback>
      </mc:AlternateContent>
    </w: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2701290</wp:posOffset>
              </wp:positionH>
              <wp:positionV relativeFrom="paragraph">
                <wp:posOffset>435023895</wp:posOffset>
              </wp:positionV>
              <wp:extent cx="6189345"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89345" cy="7620"/>
                      </a:xfrm>
                      <a:prstGeom prst="line">
                        <a:avLst/>
                      </a:prstGeom>
                      <a:ln w="9525" cap="flat" cmpd="sng">
                        <a:solidFill>
                          <a:schemeClr val="tx1"/>
                        </a:solidFill>
                        <a:prstDash val="solid"/>
                        <a:headEnd type="none" w="med" len="med"/>
                        <a:tailEnd type="none" w="med" len="med"/>
                      </a:ln>
                    </wps:spPr>
                    <wps:bodyPr/>
                  </wps:wsp>
                </a:graphicData>
              </a:graphic>
            </wp:anchor>
          </w:drawing>
        </mc:Choice>
        <mc:Fallback>
          <w:pict>
            <v:line id="_x0000_s1026" o:spid="_x0000_s1026" o:spt="20" style="position:absolute;left:0pt;margin-left:212.7pt;margin-top:34253.85pt;height:0.6pt;width:487.35pt;z-index:251660288;mso-width-relative:page;mso-height-relative:page;" filled="f" stroked="t" coordsize="21600,21600" o:gfxdata="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PUfu3AAAABABAAAPAAAAAAAAAAEAIAAAACIAAABkcnMvZG93bnJldi54bWxQSwEC&#10;FAAUAAAACACHTuJALlCdC/ABAADbAwAADgAAAAAAAAABACAAAAArAQAAZHJzL2Uyb0RvYy54bWxQ&#10;SwUGAAAAAAYABgBZAQAAjQUAAAAA&#10;">
              <v:fill on="f" focussize="0,0"/>
              <v:stroke color="#000000 [3213]" joinstyle="round"/>
              <v:imagedata o:title=""/>
              <o:lock v:ext="edit" aspectratio="f"/>
            </v:line>
          </w:pict>
        </mc:Fallback>
      </mc:AlternateContent>
    </w:r>
    <w:r>
      <w:rPr>
        <w:rFonts w:ascii="仿宋" w:hAnsi="仿宋" w:cs="仿宋"/>
      </w:rPr>
      <w:t>西安欣华联建工程咨询有限公司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4E1F">
    <w:pPr>
      <w:pStyle w:val="47"/>
      <w:keepNext w:val="0"/>
      <w:keepLines w:val="0"/>
      <w:pageBreakBefore w:val="0"/>
      <w:widowControl/>
      <w:kinsoku/>
      <w:wordWrap/>
      <w:overflowPunct/>
      <w:topLinePunct w:val="0"/>
      <w:autoSpaceDE/>
      <w:autoSpaceDN/>
      <w:bidi w:val="0"/>
      <w:snapToGrid/>
      <w:spacing w:before="0" w:after="0" w:line="360" w:lineRule="auto"/>
      <w:ind w:firstLine="0"/>
      <w:jc w:val="both"/>
      <w:textAlignment w:val="auto"/>
      <w:rPr>
        <w:rFonts w:hint="default" w:eastAsia="仿宋"/>
        <w:sz w:val="24"/>
        <w:szCs w:val="22"/>
        <w:lang w:val="en-US" w:eastAsia="zh-CN"/>
      </w:rPr>
    </w:pPr>
    <w:r>
      <w:rPr>
        <w:rFonts w:hint="eastAsia" w:ascii="仿宋" w:hAnsi="仿宋" w:eastAsia="仿宋" w:cs="仿宋"/>
        <w:sz w:val="16"/>
        <w:szCs w:val="16"/>
        <w:u w:val="single"/>
      </w:rPr>
      <w:t>项目名称</w:t>
    </w:r>
    <w:r>
      <w:rPr>
        <w:rFonts w:hint="eastAsia" w:ascii="仿宋" w:hAnsi="仿宋" w:eastAsia="仿宋" w:cs="仿宋"/>
        <w:sz w:val="16"/>
        <w:szCs w:val="16"/>
        <w:highlight w:val="none"/>
        <w:u w:val="single"/>
      </w:rPr>
      <w:t>：韩城市政务</w:t>
    </w:r>
    <w:r>
      <w:rPr>
        <w:rFonts w:hint="eastAsia" w:ascii="仿宋" w:hAnsi="仿宋" w:eastAsia="仿宋" w:cs="仿宋"/>
        <w:sz w:val="16"/>
        <w:szCs w:val="16"/>
        <w:highlight w:val="none"/>
        <w:u w:val="single"/>
        <w:lang w:eastAsia="zh-CN"/>
      </w:rPr>
      <w:t>大</w:t>
    </w:r>
    <w:r>
      <w:rPr>
        <w:rFonts w:hint="eastAsia" w:ascii="仿宋" w:hAnsi="仿宋" w:eastAsia="仿宋" w:cs="仿宋"/>
        <w:sz w:val="16"/>
        <w:szCs w:val="16"/>
        <w:highlight w:val="none"/>
        <w:u w:val="single"/>
      </w:rPr>
      <w:t>数据服务中心韩城市政务云资源管理服务采购项目</w:t>
    </w:r>
    <w:r>
      <w:rPr>
        <w:rFonts w:hint="eastAsia" w:ascii="仿宋" w:hAnsi="仿宋" w:eastAsia="仿宋" w:cs="仿宋"/>
        <w:sz w:val="16"/>
        <w:szCs w:val="16"/>
        <w:u w:val="single"/>
        <w:lang w:val="en-US" w:eastAsia="zh-CN"/>
      </w:rPr>
      <w:t xml:space="preserve">                           </w:t>
    </w:r>
    <w:r>
      <w:rPr>
        <w:rFonts w:hint="eastAsia" w:ascii="仿宋" w:hAnsi="仿宋" w:eastAsia="仿宋" w:cs="仿宋"/>
        <w:sz w:val="16"/>
        <w:szCs w:val="16"/>
        <w:u w:val="single"/>
      </w:rPr>
      <w:t xml:space="preserve">  项目编号：</w:t>
    </w:r>
    <w:r>
      <w:rPr>
        <w:rFonts w:hint="eastAsia" w:ascii="仿宋" w:hAnsi="仿宋" w:eastAsia="仿宋" w:cs="仿宋"/>
        <w:sz w:val="16"/>
        <w:szCs w:val="16"/>
        <w:u w:val="single"/>
        <w:lang w:eastAsia="zh-CN"/>
      </w:rPr>
      <w:t>XHLJZC-WN202</w:t>
    </w:r>
    <w:r>
      <w:rPr>
        <w:rFonts w:hint="eastAsia" w:ascii="仿宋" w:hAnsi="仿宋" w:eastAsia="仿宋" w:cs="仿宋"/>
        <w:sz w:val="16"/>
        <w:szCs w:val="16"/>
        <w:u w:val="single"/>
        <w:lang w:val="en-US" w:eastAsia="zh-CN"/>
      </w:rPr>
      <w:t>5-076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C2974"/>
    <w:multiLevelType w:val="singleLevel"/>
    <w:tmpl w:val="8E0C2974"/>
    <w:lvl w:ilvl="0" w:tentative="0">
      <w:start w:val="1"/>
      <w:numFmt w:val="decimal"/>
      <w:suff w:val="nothing"/>
      <w:lvlText w:val="（%1）"/>
      <w:lvlJc w:val="left"/>
    </w:lvl>
  </w:abstractNum>
  <w:abstractNum w:abstractNumId="1">
    <w:nsid w:val="A1F90381"/>
    <w:multiLevelType w:val="singleLevel"/>
    <w:tmpl w:val="A1F90381"/>
    <w:lvl w:ilvl="0" w:tentative="0">
      <w:start w:val="1"/>
      <w:numFmt w:val="decimal"/>
      <w:suff w:val="nothing"/>
      <w:lvlText w:val="（%1）"/>
      <w:lvlJc w:val="left"/>
    </w:lvl>
  </w:abstractNum>
  <w:abstractNum w:abstractNumId="2">
    <w:nsid w:val="DFC74EC8"/>
    <w:multiLevelType w:val="singleLevel"/>
    <w:tmpl w:val="DFC74EC8"/>
    <w:lvl w:ilvl="0" w:tentative="0">
      <w:start w:val="1"/>
      <w:numFmt w:val="decimal"/>
      <w:suff w:val="nothing"/>
      <w:lvlText w:val="%1、"/>
      <w:lvlJc w:val="left"/>
      <w:pPr>
        <w:ind w:left="68"/>
      </w:pPr>
    </w:lvl>
  </w:abstractNum>
  <w:abstractNum w:abstractNumId="3">
    <w:nsid w:val="E8AA69F8"/>
    <w:multiLevelType w:val="singleLevel"/>
    <w:tmpl w:val="E8AA69F8"/>
    <w:lvl w:ilvl="0" w:tentative="0">
      <w:start w:val="1"/>
      <w:numFmt w:val="decimal"/>
      <w:suff w:val="nothing"/>
      <w:lvlText w:val="%1、"/>
      <w:lvlJc w:val="left"/>
    </w:lvl>
  </w:abstractNum>
  <w:abstractNum w:abstractNumId="4">
    <w:nsid w:val="F701290B"/>
    <w:multiLevelType w:val="singleLevel"/>
    <w:tmpl w:val="F701290B"/>
    <w:lvl w:ilvl="0" w:tentative="0">
      <w:start w:val="1"/>
      <w:numFmt w:val="bullet"/>
      <w:pStyle w:val="8"/>
      <w:lvlText w:val=""/>
      <w:lvlJc w:val="left"/>
      <w:pPr>
        <w:tabs>
          <w:tab w:val="left" w:pos="360"/>
        </w:tabs>
        <w:ind w:left="360" w:hanging="360"/>
      </w:pPr>
      <w:rPr>
        <w:rFonts w:hint="default" w:ascii="Wingdings" w:hAnsi="Wingdings"/>
      </w:rPr>
    </w:lvl>
  </w:abstractNum>
  <w:abstractNum w:abstractNumId="5">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color w:val="000000"/>
        <w:spacing w:val="0"/>
        <w:kern w:val="0"/>
        <w:sz w:val="36"/>
        <w:szCs w:val="36"/>
        <w:vertAlign w:val="baseline"/>
      </w:rPr>
    </w:lvl>
    <w:lvl w:ilvl="2" w:tentative="0">
      <w:start w:val="1"/>
      <w:numFmt w:val="decimal"/>
      <w:suff w:val="nothing"/>
      <w:lvlText w:val="%1.%2.%3 "/>
      <w:lvlJc w:val="left"/>
      <w:pPr>
        <w:ind w:left="8930" w:firstLine="0"/>
      </w:pPr>
      <w:rPr>
        <w:rFonts w:hint="default" w:ascii="Book Antiqua" w:hAnsi="Book Antiqua" w:eastAsia="黑体" w:cs="Book Antiqua"/>
        <w:b w:val="0"/>
        <w:bCs/>
        <w:i w:val="0"/>
        <w:iCs w:val="0"/>
        <w:caps w:val="0"/>
        <w:strike w:val="0"/>
        <w:dstrike w:val="0"/>
        <w:snapToGrid w:val="0"/>
        <w:vanish w:val="0"/>
        <w:color w:val="000000"/>
        <w:kern w:val="0"/>
        <w:sz w:val="32"/>
        <w:szCs w:val="32"/>
        <w:vertAlign w:val="baseline"/>
      </w:rPr>
    </w:lvl>
    <w:lvl w:ilvl="3" w:tentative="0">
      <w:start w:val="1"/>
      <w:numFmt w:val="decimal"/>
      <w:suff w:val="nothing"/>
      <w:lvlText w:val="%1.%2.%3.%4 "/>
      <w:lvlJc w:val="left"/>
      <w:pPr>
        <w:ind w:left="567" w:firstLine="0"/>
      </w:pPr>
      <w:rPr>
        <w:rFonts w:hint="default" w:ascii="Book Antiqua" w:hAnsi="Book Antiqua" w:eastAsia="黑体" w:cs="Book Antiqua"/>
        <w:bCs/>
        <w:i w:val="0"/>
        <w:iCs w:val="0"/>
        <w:caps w:val="0"/>
        <w:strike w:val="0"/>
        <w:dstrike w:val="0"/>
        <w:vanish w:val="0"/>
        <w:color w:val="000000"/>
        <w:sz w:val="28"/>
        <w:szCs w:val="28"/>
        <w:vertAlign w:val="baseline"/>
      </w:rPr>
    </w:lvl>
    <w:lvl w:ilvl="4" w:tentative="0">
      <w:start w:val="1"/>
      <w:numFmt w:val="decimal"/>
      <w:pStyle w:val="6"/>
      <w:suff w:val="nothing"/>
      <w:lvlText w:val="%1.%2.%3.%4.%5 "/>
      <w:lvlJc w:val="left"/>
      <w:pPr>
        <w:ind w:left="0" w:firstLine="0"/>
      </w:pPr>
      <w:rPr>
        <w:rFonts w:hint="default" w:ascii="Book Antiqua" w:hAnsi="Book Antiqua" w:eastAsia="黑体" w:cs="Book Antiqua"/>
        <w:bCs/>
        <w:i w:val="0"/>
        <w:iCs w:val="0"/>
        <w:caps w:val="0"/>
        <w:strike w:val="0"/>
        <w:dstrike w:val="0"/>
        <w:vanish w:val="0"/>
        <w:color w:val="000000"/>
        <w:sz w:val="24"/>
        <w:szCs w:val="24"/>
        <w:vertAlign w:val="baseline"/>
      </w:rPr>
    </w:lvl>
    <w:lvl w:ilvl="5" w:tentative="0">
      <w:start w:val="1"/>
      <w:numFmt w:val="decimal"/>
      <w:lvlText w:val="步骤 %6"/>
      <w:lvlJc w:val="right"/>
      <w:pPr>
        <w:tabs>
          <w:tab w:val="left" w:pos="1701"/>
        </w:tabs>
        <w:ind w:left="1701" w:hanging="159"/>
      </w:pPr>
      <w:rPr>
        <w:rFonts w:hint="default" w:ascii="Book Antiqua" w:hAnsi="Book Antiqua" w:eastAsia="黑体" w:cs="Arial"/>
        <w:b w:val="0"/>
        <w:bCs/>
        <w:i w:val="0"/>
        <w:iCs w:val="0"/>
        <w:caps w:val="0"/>
        <w:strike w:val="0"/>
        <w:dstrike w:val="0"/>
        <w:vanish w:val="0"/>
        <w:color w:val="auto"/>
        <w:sz w:val="21"/>
        <w:szCs w:val="20"/>
        <w:vertAlign w:val="baseline"/>
      </w:rPr>
    </w:lvl>
    <w:lvl w:ilvl="6" w:tentative="0">
      <w:start w:val="1"/>
      <w:numFmt w:val="decimal"/>
      <w:lvlText w:val="%7."/>
      <w:lvlJc w:val="left"/>
      <w:pPr>
        <w:tabs>
          <w:tab w:val="left" w:pos="2126"/>
        </w:tabs>
        <w:ind w:left="2126" w:hanging="425"/>
      </w:pPr>
      <w:rPr>
        <w:rFonts w:hint="default" w:ascii="Times New Roman" w:hAnsi="Times New Roman" w:eastAsia="黑体" w:cs="Times New Roman"/>
        <w:b w:val="0"/>
        <w:bCs/>
        <w:i w:val="0"/>
        <w:iCs w:val="0"/>
        <w:color w:val="auto"/>
        <w:sz w:val="21"/>
        <w:szCs w:val="21"/>
      </w:rPr>
    </w:lvl>
    <w:lvl w:ilvl="7" w:tentative="0">
      <w:start w:val="1"/>
      <w:numFmt w:val="decimal"/>
      <w:lvlRestart w:val="1"/>
      <w:suff w:val="space"/>
      <w:lvlText w:val="图%1-%8"/>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8" w:tentative="0">
      <w:start w:val="1"/>
      <w:numFmt w:val="decimal"/>
      <w:lvlRestart w:val="1"/>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6">
    <w:nsid w:val="40A312F8"/>
    <w:multiLevelType w:val="multilevel"/>
    <w:tmpl w:val="40A312F8"/>
    <w:lvl w:ilvl="0" w:tentative="0">
      <w:start w:val="1"/>
      <w:numFmt w:val="chineseCounting"/>
      <w:lvlText w:val="%1."/>
      <w:lvlJc w:val="left"/>
      <w:pPr>
        <w:ind w:left="432" w:hanging="432"/>
      </w:pPr>
      <w:rPr>
        <w:rFonts w:hint="eastAsia" w:ascii="宋体" w:hAnsi="宋体" w:eastAsia="宋体" w:cs="宋体"/>
      </w:rPr>
    </w:lvl>
    <w:lvl w:ilvl="1" w:tentative="0">
      <w:start w:val="1"/>
      <w:numFmt w:val="decimal"/>
      <w:pStyle w:val="3"/>
      <w:lvlText w:val="%2."/>
      <w:lvlJc w:val="left"/>
      <w:pPr>
        <w:ind w:left="575" w:hanging="575"/>
      </w:pPr>
      <w:rPr>
        <w:rFonts w:hint="eastAsia" w:ascii="宋体" w:hAnsi="宋体" w:eastAsia="宋体" w:cs="宋体"/>
      </w:rPr>
    </w:lvl>
    <w:lvl w:ilvl="2" w:tentative="0">
      <w:start w:val="1"/>
      <w:numFmt w:val="decimal"/>
      <w:pStyle w:val="4"/>
      <w:lvlText w:val="%2.%3."/>
      <w:lvlJc w:val="left"/>
      <w:pPr>
        <w:ind w:left="800" w:hanging="720"/>
      </w:pPr>
      <w:rPr>
        <w:rFonts w:hint="eastAsia" w:ascii="宋体" w:hAnsi="宋体" w:eastAsia="宋体" w:cs="宋体"/>
      </w:rPr>
    </w:lvl>
    <w:lvl w:ilvl="3" w:tentative="0">
      <w:start w:val="1"/>
      <w:numFmt w:val="decimal"/>
      <w:lvlText w:val="%2.%3.%4."/>
      <w:lvlJc w:val="left"/>
      <w:pPr>
        <w:ind w:left="862" w:hanging="864"/>
      </w:pPr>
      <w:rPr>
        <w:rFonts w:hint="eastAsia" w:ascii="宋体" w:hAnsi="宋体" w:eastAsia="宋体" w:cs="宋体"/>
      </w:rPr>
    </w:lvl>
    <w:lvl w:ilvl="4" w:tentative="0">
      <w:start w:val="1"/>
      <w:numFmt w:val="decimal"/>
      <w:lvlText w:val="%2.%3.%4.%5."/>
      <w:lvlJc w:val="left"/>
      <w:pPr>
        <w:ind w:left="1008" w:hanging="1008"/>
      </w:pPr>
      <w:rPr>
        <w:rFonts w:hint="eastAsia" w:ascii="宋体" w:hAnsi="宋体" w:eastAsia="宋体" w:cs="宋体"/>
      </w:rPr>
    </w:lvl>
    <w:lvl w:ilvl="5" w:tentative="0">
      <w:start w:val="1"/>
      <w:numFmt w:val="decimal"/>
      <w:lvlText w:val="%2.%3.%4.%5.%6."/>
      <w:lvlJc w:val="left"/>
      <w:pPr>
        <w:ind w:left="1151" w:hanging="1151"/>
      </w:pPr>
      <w:rPr>
        <w:rFonts w:hint="eastAsia" w:ascii="宋体" w:hAnsi="宋体" w:eastAsia="宋体" w:cs="宋体"/>
      </w:rPr>
    </w:lvl>
    <w:lvl w:ilvl="6" w:tentative="0">
      <w:start w:val="1"/>
      <w:numFmt w:val="decimal"/>
      <w:lvlText w:val="%2.%3.%4.%5.%6.%7."/>
      <w:lvlJc w:val="left"/>
      <w:pPr>
        <w:ind w:left="1296" w:hanging="1296"/>
      </w:pPr>
      <w:rPr>
        <w:rFonts w:hint="eastAsia" w:ascii="宋体" w:hAnsi="宋体" w:eastAsia="宋体" w:cs="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7">
    <w:nsid w:val="45284EC1"/>
    <w:multiLevelType w:val="singleLevel"/>
    <w:tmpl w:val="45284EC1"/>
    <w:lvl w:ilvl="0" w:tentative="0">
      <w:start w:val="1"/>
      <w:numFmt w:val="chineseCounting"/>
      <w:suff w:val="nothing"/>
      <w:lvlText w:val="%1、"/>
      <w:lvlJc w:val="left"/>
      <w:rPr>
        <w:rFonts w:hint="eastAsia"/>
      </w:rPr>
    </w:lvl>
  </w:abstractNum>
  <w:abstractNum w:abstractNumId="8">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65"/>
      <w:isLgl/>
      <w:lvlText w:val="%1.%2"/>
      <w:lvlJc w:val="left"/>
      <w:pPr>
        <w:tabs>
          <w:tab w:val="left" w:pos="851"/>
        </w:tabs>
        <w:ind w:left="0" w:firstLine="0"/>
      </w:pPr>
    </w:lvl>
    <w:lvl w:ilvl="2" w:tentative="0">
      <w:start w:val="1"/>
      <w:numFmt w:val="decimal"/>
      <w:pStyle w:val="66"/>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9">
    <w:nsid w:val="626D3028"/>
    <w:multiLevelType w:val="multilevel"/>
    <w:tmpl w:val="626D3028"/>
    <w:lvl w:ilvl="0" w:tentative="0">
      <w:start w:val="1"/>
      <w:numFmt w:val="chineseCountingThousand"/>
      <w:suff w:val="nothing"/>
      <w:lvlText w:val="%1、"/>
      <w:lvlJc w:val="left"/>
      <w:pPr>
        <w:ind w:left="3827" w:firstLine="0"/>
      </w:pPr>
      <w:rPr>
        <w:rFonts w:hint="eastAsia"/>
        <w:lang w:val="en-US"/>
      </w:rPr>
    </w:lvl>
    <w:lvl w:ilvl="1" w:tentative="0">
      <w:start w:val="1"/>
      <w:numFmt w:val="decimal"/>
      <w:suff w:val="nothing"/>
      <w:lvlText w:val="%2、"/>
      <w:lvlJc w:val="left"/>
      <w:pPr>
        <w:ind w:left="0" w:firstLine="0"/>
      </w:pPr>
      <w:rPr>
        <w:rFonts w:hint="eastAsia"/>
      </w:rPr>
    </w:lvl>
    <w:lvl w:ilvl="2" w:tentative="0">
      <w:start w:val="1"/>
      <w:numFmt w:val="japaneseCounting"/>
      <w:suff w:val="space"/>
      <w:lvlText w:val="%3、"/>
      <w:lvlJc w:val="left"/>
      <w:pPr>
        <w:ind w:left="0" w:firstLine="0"/>
      </w:pPr>
      <w:rPr>
        <w:rFonts w:ascii="宋体" w:hAnsi="宋体" w:eastAsia="宋体" w:cs="宋体"/>
      </w:rPr>
    </w:lvl>
    <w:lvl w:ilvl="3" w:tentative="0">
      <w:start w:val="1"/>
      <w:numFmt w:val="decimal"/>
      <w:pStyle w:val="170"/>
      <w:suff w:val="space"/>
      <w:lvlText w:val="%2.%3.%4"/>
      <w:lvlJc w:val="left"/>
      <w:pPr>
        <w:ind w:left="0" w:firstLine="0"/>
      </w:pPr>
      <w:rPr>
        <w:rFonts w:hint="eastAsia"/>
      </w:rPr>
    </w:lvl>
    <w:lvl w:ilvl="4" w:tentative="0">
      <w:start w:val="1"/>
      <w:numFmt w:val="decimal"/>
      <w:suff w:val="space"/>
      <w:lvlText w:val="%2.%3.%4.%5"/>
      <w:lvlJc w:val="left"/>
      <w:pPr>
        <w:ind w:left="0" w:firstLine="0"/>
      </w:pPr>
      <w:rPr>
        <w:rFonts w:hint="eastAsia"/>
      </w:rPr>
    </w:lvl>
    <w:lvl w:ilvl="5" w:tentative="0">
      <w:start w:val="1"/>
      <w:numFmt w:val="decimal"/>
      <w:suff w:val="space"/>
      <w:lvlText w:val="%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
    <w:nsid w:val="7F76D9F4"/>
    <w:multiLevelType w:val="singleLevel"/>
    <w:tmpl w:val="7F76D9F4"/>
    <w:lvl w:ilvl="0" w:tentative="0">
      <w:start w:val="1"/>
      <w:numFmt w:val="decimal"/>
      <w:lvlText w:val="%1."/>
      <w:lvlJc w:val="left"/>
      <w:pPr>
        <w:tabs>
          <w:tab w:val="left" w:pos="312"/>
        </w:tabs>
      </w:pPr>
    </w:lvl>
  </w:abstractNum>
  <w:num w:numId="1">
    <w:abstractNumId w:val="6"/>
  </w:num>
  <w:num w:numId="2">
    <w:abstractNumId w:val="5"/>
  </w:num>
  <w:num w:numId="3">
    <w:abstractNumId w:val="4"/>
  </w:num>
  <w:num w:numId="4">
    <w:abstractNumId w:val="8"/>
  </w:num>
  <w:num w:numId="5">
    <w:abstractNumId w:val="9"/>
  </w:num>
  <w:num w:numId="6">
    <w:abstractNumId w:val="7"/>
  </w:num>
  <w:num w:numId="7">
    <w:abstractNumId w:val="10"/>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0NDAzOWQ0YWJiNGQ5NTdlMmUzZWI1ZGRkOTVkMDEifQ=="/>
  </w:docVars>
  <w:rsids>
    <w:rsidRoot w:val="33AC38C4"/>
    <w:rsid w:val="00125861"/>
    <w:rsid w:val="00177A77"/>
    <w:rsid w:val="001C66E0"/>
    <w:rsid w:val="002A00D3"/>
    <w:rsid w:val="00305807"/>
    <w:rsid w:val="00356A16"/>
    <w:rsid w:val="003F1F6D"/>
    <w:rsid w:val="005C138C"/>
    <w:rsid w:val="00621C19"/>
    <w:rsid w:val="00A30AAE"/>
    <w:rsid w:val="00D05FF6"/>
    <w:rsid w:val="00D17E27"/>
    <w:rsid w:val="016775C2"/>
    <w:rsid w:val="01C031A2"/>
    <w:rsid w:val="02125666"/>
    <w:rsid w:val="021D3BB1"/>
    <w:rsid w:val="02451C03"/>
    <w:rsid w:val="02810A7C"/>
    <w:rsid w:val="02C170CB"/>
    <w:rsid w:val="02CF7A3A"/>
    <w:rsid w:val="030E077B"/>
    <w:rsid w:val="03124FFC"/>
    <w:rsid w:val="03326067"/>
    <w:rsid w:val="037A095A"/>
    <w:rsid w:val="03895AEB"/>
    <w:rsid w:val="038D6E90"/>
    <w:rsid w:val="03B15486"/>
    <w:rsid w:val="03E0629E"/>
    <w:rsid w:val="04335F6A"/>
    <w:rsid w:val="04364B0E"/>
    <w:rsid w:val="046B5558"/>
    <w:rsid w:val="046F5689"/>
    <w:rsid w:val="047C5B7F"/>
    <w:rsid w:val="049E0E2B"/>
    <w:rsid w:val="04C17856"/>
    <w:rsid w:val="04C62F3B"/>
    <w:rsid w:val="04CE504D"/>
    <w:rsid w:val="04CE7094"/>
    <w:rsid w:val="04D052A8"/>
    <w:rsid w:val="04D07A99"/>
    <w:rsid w:val="050044AB"/>
    <w:rsid w:val="05942E92"/>
    <w:rsid w:val="05AD330E"/>
    <w:rsid w:val="05B514BE"/>
    <w:rsid w:val="06171836"/>
    <w:rsid w:val="06333633"/>
    <w:rsid w:val="0641082C"/>
    <w:rsid w:val="06832FA6"/>
    <w:rsid w:val="069A0A43"/>
    <w:rsid w:val="06C2598D"/>
    <w:rsid w:val="06E12F07"/>
    <w:rsid w:val="06E423FD"/>
    <w:rsid w:val="06E720CD"/>
    <w:rsid w:val="06FF117C"/>
    <w:rsid w:val="073843CD"/>
    <w:rsid w:val="074845D4"/>
    <w:rsid w:val="07817ED1"/>
    <w:rsid w:val="078D0A46"/>
    <w:rsid w:val="07AF47BC"/>
    <w:rsid w:val="07F45B4C"/>
    <w:rsid w:val="07FA6991"/>
    <w:rsid w:val="080C0DE8"/>
    <w:rsid w:val="082822EA"/>
    <w:rsid w:val="082F264E"/>
    <w:rsid w:val="083926E5"/>
    <w:rsid w:val="083A0B3E"/>
    <w:rsid w:val="08435176"/>
    <w:rsid w:val="086C1567"/>
    <w:rsid w:val="08857482"/>
    <w:rsid w:val="08A75568"/>
    <w:rsid w:val="08B53E4F"/>
    <w:rsid w:val="08B551C5"/>
    <w:rsid w:val="08D54A99"/>
    <w:rsid w:val="08F155F9"/>
    <w:rsid w:val="090B4355"/>
    <w:rsid w:val="0932487E"/>
    <w:rsid w:val="09842FE8"/>
    <w:rsid w:val="09976DD7"/>
    <w:rsid w:val="09CE6635"/>
    <w:rsid w:val="09EB05FC"/>
    <w:rsid w:val="09EB2C7F"/>
    <w:rsid w:val="09F5333D"/>
    <w:rsid w:val="0A4555E4"/>
    <w:rsid w:val="0A573F70"/>
    <w:rsid w:val="0A696248"/>
    <w:rsid w:val="0A9926DB"/>
    <w:rsid w:val="0AAFA58F"/>
    <w:rsid w:val="0AC84FF5"/>
    <w:rsid w:val="0AE20644"/>
    <w:rsid w:val="0B4B1C27"/>
    <w:rsid w:val="0B5859EC"/>
    <w:rsid w:val="0B6536C8"/>
    <w:rsid w:val="0B756CA4"/>
    <w:rsid w:val="0B997ABD"/>
    <w:rsid w:val="0B9A670B"/>
    <w:rsid w:val="0BD240F7"/>
    <w:rsid w:val="0BE605C9"/>
    <w:rsid w:val="0BEF517C"/>
    <w:rsid w:val="0C19404B"/>
    <w:rsid w:val="0C1A3FB2"/>
    <w:rsid w:val="0C210B2D"/>
    <w:rsid w:val="0C6F6D18"/>
    <w:rsid w:val="0C7B0574"/>
    <w:rsid w:val="0C7B131D"/>
    <w:rsid w:val="0C825B1D"/>
    <w:rsid w:val="0CAA5073"/>
    <w:rsid w:val="0CC37F8B"/>
    <w:rsid w:val="0CD13905"/>
    <w:rsid w:val="0CE67188"/>
    <w:rsid w:val="0D0758FB"/>
    <w:rsid w:val="0D693ECA"/>
    <w:rsid w:val="0D707DB3"/>
    <w:rsid w:val="0D797BC8"/>
    <w:rsid w:val="0D98030B"/>
    <w:rsid w:val="0DA20D97"/>
    <w:rsid w:val="0DA60ECE"/>
    <w:rsid w:val="0DAD0977"/>
    <w:rsid w:val="0DCF2C5E"/>
    <w:rsid w:val="0DD92C16"/>
    <w:rsid w:val="0E004658"/>
    <w:rsid w:val="0E271AA4"/>
    <w:rsid w:val="0F0B48C2"/>
    <w:rsid w:val="0F104295"/>
    <w:rsid w:val="0F404305"/>
    <w:rsid w:val="0F5A7624"/>
    <w:rsid w:val="0F652C69"/>
    <w:rsid w:val="0F9A79DB"/>
    <w:rsid w:val="0FC41115"/>
    <w:rsid w:val="0FF1173C"/>
    <w:rsid w:val="10195214"/>
    <w:rsid w:val="102F5835"/>
    <w:rsid w:val="103C6344"/>
    <w:rsid w:val="103D6409"/>
    <w:rsid w:val="10772168"/>
    <w:rsid w:val="108B10B0"/>
    <w:rsid w:val="10B714E3"/>
    <w:rsid w:val="11666D64"/>
    <w:rsid w:val="117D1C25"/>
    <w:rsid w:val="117E0F7D"/>
    <w:rsid w:val="11A0517D"/>
    <w:rsid w:val="11B31BB8"/>
    <w:rsid w:val="11BF1C0B"/>
    <w:rsid w:val="11D24E50"/>
    <w:rsid w:val="11D7042A"/>
    <w:rsid w:val="11EA6418"/>
    <w:rsid w:val="11FF222F"/>
    <w:rsid w:val="12316588"/>
    <w:rsid w:val="12370349"/>
    <w:rsid w:val="1256784C"/>
    <w:rsid w:val="126D2A4F"/>
    <w:rsid w:val="127001C5"/>
    <w:rsid w:val="12747D73"/>
    <w:rsid w:val="12861559"/>
    <w:rsid w:val="12965A4B"/>
    <w:rsid w:val="129B58F9"/>
    <w:rsid w:val="12B75F6D"/>
    <w:rsid w:val="12D45DCF"/>
    <w:rsid w:val="12DF61CE"/>
    <w:rsid w:val="12ED1816"/>
    <w:rsid w:val="13022C38"/>
    <w:rsid w:val="131018D8"/>
    <w:rsid w:val="132C233E"/>
    <w:rsid w:val="133D454B"/>
    <w:rsid w:val="133FE0D1"/>
    <w:rsid w:val="13412693"/>
    <w:rsid w:val="135DEC64"/>
    <w:rsid w:val="13670C33"/>
    <w:rsid w:val="13AB5CA8"/>
    <w:rsid w:val="13D04998"/>
    <w:rsid w:val="14081E2D"/>
    <w:rsid w:val="144959A5"/>
    <w:rsid w:val="14593607"/>
    <w:rsid w:val="148C4AAC"/>
    <w:rsid w:val="148F405C"/>
    <w:rsid w:val="14AD4931"/>
    <w:rsid w:val="14DD70DD"/>
    <w:rsid w:val="15225472"/>
    <w:rsid w:val="153674A4"/>
    <w:rsid w:val="156D60D7"/>
    <w:rsid w:val="15797624"/>
    <w:rsid w:val="157A515D"/>
    <w:rsid w:val="15B92641"/>
    <w:rsid w:val="15D12754"/>
    <w:rsid w:val="15ED33D9"/>
    <w:rsid w:val="163A1216"/>
    <w:rsid w:val="16465EFC"/>
    <w:rsid w:val="164715FF"/>
    <w:rsid w:val="16A42720"/>
    <w:rsid w:val="16D81F7F"/>
    <w:rsid w:val="17454B3B"/>
    <w:rsid w:val="178C7F6A"/>
    <w:rsid w:val="178E63E4"/>
    <w:rsid w:val="17B11C21"/>
    <w:rsid w:val="18063E8D"/>
    <w:rsid w:val="18161EDA"/>
    <w:rsid w:val="185B1FE2"/>
    <w:rsid w:val="18722EE9"/>
    <w:rsid w:val="18821758"/>
    <w:rsid w:val="189B2498"/>
    <w:rsid w:val="18B066FD"/>
    <w:rsid w:val="18B76B4E"/>
    <w:rsid w:val="18E66411"/>
    <w:rsid w:val="192A099B"/>
    <w:rsid w:val="192F5A09"/>
    <w:rsid w:val="19377D46"/>
    <w:rsid w:val="19390DD6"/>
    <w:rsid w:val="195833A8"/>
    <w:rsid w:val="19CD4D89"/>
    <w:rsid w:val="19CF1C75"/>
    <w:rsid w:val="19DD0D97"/>
    <w:rsid w:val="19FE3922"/>
    <w:rsid w:val="1A7B3880"/>
    <w:rsid w:val="1AD42CA8"/>
    <w:rsid w:val="1AE1170F"/>
    <w:rsid w:val="1AF328E2"/>
    <w:rsid w:val="1AF3324A"/>
    <w:rsid w:val="1AF52A73"/>
    <w:rsid w:val="1B2823B3"/>
    <w:rsid w:val="1B4C6E45"/>
    <w:rsid w:val="1B9F0845"/>
    <w:rsid w:val="1BA82DA5"/>
    <w:rsid w:val="1BDD6B0F"/>
    <w:rsid w:val="1BE774DC"/>
    <w:rsid w:val="1C0D58A7"/>
    <w:rsid w:val="1C161137"/>
    <w:rsid w:val="1C252021"/>
    <w:rsid w:val="1C4346E1"/>
    <w:rsid w:val="1C8A5169"/>
    <w:rsid w:val="1CA3724C"/>
    <w:rsid w:val="1CAD43F5"/>
    <w:rsid w:val="1CBD245A"/>
    <w:rsid w:val="1CD026E5"/>
    <w:rsid w:val="1D183933"/>
    <w:rsid w:val="1D37200B"/>
    <w:rsid w:val="1D607FF8"/>
    <w:rsid w:val="1D894463"/>
    <w:rsid w:val="1DAE63EC"/>
    <w:rsid w:val="1DE725CD"/>
    <w:rsid w:val="1DF080B2"/>
    <w:rsid w:val="1E1B36DB"/>
    <w:rsid w:val="1E220F0E"/>
    <w:rsid w:val="1E50465B"/>
    <w:rsid w:val="1EB124AC"/>
    <w:rsid w:val="1EC024D4"/>
    <w:rsid w:val="1F022AED"/>
    <w:rsid w:val="1F0DAAE0"/>
    <w:rsid w:val="1F27545C"/>
    <w:rsid w:val="1F800B2C"/>
    <w:rsid w:val="1FA807DA"/>
    <w:rsid w:val="1FC97167"/>
    <w:rsid w:val="1FD20E64"/>
    <w:rsid w:val="20051926"/>
    <w:rsid w:val="20120B0E"/>
    <w:rsid w:val="203647FC"/>
    <w:rsid w:val="20AC7F05"/>
    <w:rsid w:val="20B449AA"/>
    <w:rsid w:val="20FB1D7B"/>
    <w:rsid w:val="21123BCD"/>
    <w:rsid w:val="211516EB"/>
    <w:rsid w:val="21380D2B"/>
    <w:rsid w:val="21804DB8"/>
    <w:rsid w:val="21CB366A"/>
    <w:rsid w:val="21CD3DC1"/>
    <w:rsid w:val="21E74B5A"/>
    <w:rsid w:val="221E714B"/>
    <w:rsid w:val="225676E8"/>
    <w:rsid w:val="22A664AE"/>
    <w:rsid w:val="22D96755"/>
    <w:rsid w:val="22F02194"/>
    <w:rsid w:val="233A5D99"/>
    <w:rsid w:val="2355768F"/>
    <w:rsid w:val="23BE00B4"/>
    <w:rsid w:val="23C65C05"/>
    <w:rsid w:val="23CB1530"/>
    <w:rsid w:val="241857A2"/>
    <w:rsid w:val="24186728"/>
    <w:rsid w:val="241A1F97"/>
    <w:rsid w:val="24391FCC"/>
    <w:rsid w:val="243A09BA"/>
    <w:rsid w:val="244F50EB"/>
    <w:rsid w:val="245C416B"/>
    <w:rsid w:val="24665464"/>
    <w:rsid w:val="24A4303F"/>
    <w:rsid w:val="24A85F4F"/>
    <w:rsid w:val="24AF1021"/>
    <w:rsid w:val="25244A61"/>
    <w:rsid w:val="252C2672"/>
    <w:rsid w:val="253700EE"/>
    <w:rsid w:val="2552690B"/>
    <w:rsid w:val="25626093"/>
    <w:rsid w:val="257D4C7B"/>
    <w:rsid w:val="259B2DFF"/>
    <w:rsid w:val="25D364FB"/>
    <w:rsid w:val="25DC4787"/>
    <w:rsid w:val="261C2345"/>
    <w:rsid w:val="263673B2"/>
    <w:rsid w:val="26475F42"/>
    <w:rsid w:val="264F2CFF"/>
    <w:rsid w:val="268B0DAE"/>
    <w:rsid w:val="26A02BC0"/>
    <w:rsid w:val="274F0899"/>
    <w:rsid w:val="276F005E"/>
    <w:rsid w:val="278D12A3"/>
    <w:rsid w:val="2799560A"/>
    <w:rsid w:val="2811153F"/>
    <w:rsid w:val="28246CCB"/>
    <w:rsid w:val="286208D7"/>
    <w:rsid w:val="286A6ED2"/>
    <w:rsid w:val="28757F59"/>
    <w:rsid w:val="29080D00"/>
    <w:rsid w:val="290D0804"/>
    <w:rsid w:val="29236F71"/>
    <w:rsid w:val="29343186"/>
    <w:rsid w:val="296465DA"/>
    <w:rsid w:val="296E5EEC"/>
    <w:rsid w:val="29C553E2"/>
    <w:rsid w:val="29CA2459"/>
    <w:rsid w:val="29E637CA"/>
    <w:rsid w:val="2A03190E"/>
    <w:rsid w:val="2A443FBA"/>
    <w:rsid w:val="2A46754D"/>
    <w:rsid w:val="2A725283"/>
    <w:rsid w:val="2A853B8B"/>
    <w:rsid w:val="2A8C2A8A"/>
    <w:rsid w:val="2A8E16D9"/>
    <w:rsid w:val="2AB91A60"/>
    <w:rsid w:val="2ABE5B1A"/>
    <w:rsid w:val="2AC1125F"/>
    <w:rsid w:val="2AD748CF"/>
    <w:rsid w:val="2AE850A9"/>
    <w:rsid w:val="2B144BD4"/>
    <w:rsid w:val="2B17490F"/>
    <w:rsid w:val="2B7B0336"/>
    <w:rsid w:val="2BAE1743"/>
    <w:rsid w:val="2BD1FAB5"/>
    <w:rsid w:val="2C326C88"/>
    <w:rsid w:val="2C4C0E86"/>
    <w:rsid w:val="2C725028"/>
    <w:rsid w:val="2C864C64"/>
    <w:rsid w:val="2C8E0F3F"/>
    <w:rsid w:val="2CB5119F"/>
    <w:rsid w:val="2CD23AFF"/>
    <w:rsid w:val="2CFD76BC"/>
    <w:rsid w:val="2D006ED4"/>
    <w:rsid w:val="2D445CBE"/>
    <w:rsid w:val="2D5F320A"/>
    <w:rsid w:val="2D6F535B"/>
    <w:rsid w:val="2D76512E"/>
    <w:rsid w:val="2D9139BA"/>
    <w:rsid w:val="2D9E60D7"/>
    <w:rsid w:val="2E0C4DEE"/>
    <w:rsid w:val="2E0D2351"/>
    <w:rsid w:val="2E5346AA"/>
    <w:rsid w:val="2E6B5FB9"/>
    <w:rsid w:val="2E976DAE"/>
    <w:rsid w:val="2EBF0997"/>
    <w:rsid w:val="2EF97A69"/>
    <w:rsid w:val="2F375C5E"/>
    <w:rsid w:val="2F3D6450"/>
    <w:rsid w:val="2F3E6E42"/>
    <w:rsid w:val="2F66122A"/>
    <w:rsid w:val="2F78470D"/>
    <w:rsid w:val="2F9F3CF3"/>
    <w:rsid w:val="2FAA0D63"/>
    <w:rsid w:val="2FD83198"/>
    <w:rsid w:val="2FE6203B"/>
    <w:rsid w:val="2FEB069A"/>
    <w:rsid w:val="2FF275D2"/>
    <w:rsid w:val="2FFF00A2"/>
    <w:rsid w:val="300873BB"/>
    <w:rsid w:val="302D6332"/>
    <w:rsid w:val="303D1AEB"/>
    <w:rsid w:val="30502980"/>
    <w:rsid w:val="308423F5"/>
    <w:rsid w:val="30A17D94"/>
    <w:rsid w:val="30B579BF"/>
    <w:rsid w:val="30C45E54"/>
    <w:rsid w:val="30F05D12"/>
    <w:rsid w:val="30FE0FDD"/>
    <w:rsid w:val="30FF49EA"/>
    <w:rsid w:val="31191854"/>
    <w:rsid w:val="31603AAE"/>
    <w:rsid w:val="3185533B"/>
    <w:rsid w:val="319B4E07"/>
    <w:rsid w:val="320100F1"/>
    <w:rsid w:val="321B1917"/>
    <w:rsid w:val="329246FA"/>
    <w:rsid w:val="32952294"/>
    <w:rsid w:val="32B657F8"/>
    <w:rsid w:val="32DE11F7"/>
    <w:rsid w:val="33247082"/>
    <w:rsid w:val="336A6FAF"/>
    <w:rsid w:val="33775400"/>
    <w:rsid w:val="33AC38C4"/>
    <w:rsid w:val="33B57CD6"/>
    <w:rsid w:val="33C40F21"/>
    <w:rsid w:val="33E51D62"/>
    <w:rsid w:val="34012F1B"/>
    <w:rsid w:val="341944A9"/>
    <w:rsid w:val="3439793E"/>
    <w:rsid w:val="345D61A1"/>
    <w:rsid w:val="345D63A4"/>
    <w:rsid w:val="347B2CCE"/>
    <w:rsid w:val="349B1891"/>
    <w:rsid w:val="350B42B9"/>
    <w:rsid w:val="352B6A18"/>
    <w:rsid w:val="355A21C6"/>
    <w:rsid w:val="356B6A89"/>
    <w:rsid w:val="35DF344F"/>
    <w:rsid w:val="361909F0"/>
    <w:rsid w:val="36191901"/>
    <w:rsid w:val="36203BF5"/>
    <w:rsid w:val="36255C44"/>
    <w:rsid w:val="36285FDD"/>
    <w:rsid w:val="36382F77"/>
    <w:rsid w:val="366C6F37"/>
    <w:rsid w:val="36D3009B"/>
    <w:rsid w:val="36E03D93"/>
    <w:rsid w:val="36EA6E66"/>
    <w:rsid w:val="374101FF"/>
    <w:rsid w:val="37656976"/>
    <w:rsid w:val="37718D02"/>
    <w:rsid w:val="377B3BDF"/>
    <w:rsid w:val="3796E1D4"/>
    <w:rsid w:val="379C71E3"/>
    <w:rsid w:val="37B75FCB"/>
    <w:rsid w:val="37BD258A"/>
    <w:rsid w:val="37BF5A83"/>
    <w:rsid w:val="37DE5A4E"/>
    <w:rsid w:val="37DF05B3"/>
    <w:rsid w:val="380F07E5"/>
    <w:rsid w:val="38417D8A"/>
    <w:rsid w:val="384321A7"/>
    <w:rsid w:val="386D0B7F"/>
    <w:rsid w:val="389F0D88"/>
    <w:rsid w:val="38A66030"/>
    <w:rsid w:val="38AE30FC"/>
    <w:rsid w:val="38AF2F46"/>
    <w:rsid w:val="38FF472E"/>
    <w:rsid w:val="3942200C"/>
    <w:rsid w:val="39567866"/>
    <w:rsid w:val="39696C18"/>
    <w:rsid w:val="3972255F"/>
    <w:rsid w:val="39961511"/>
    <w:rsid w:val="399618B8"/>
    <w:rsid w:val="39B90520"/>
    <w:rsid w:val="39E15F5A"/>
    <w:rsid w:val="39FE7232"/>
    <w:rsid w:val="3A167A64"/>
    <w:rsid w:val="3A1C285D"/>
    <w:rsid w:val="3A21319F"/>
    <w:rsid w:val="3A383F90"/>
    <w:rsid w:val="3A4811BC"/>
    <w:rsid w:val="3AA233B0"/>
    <w:rsid w:val="3AC726B8"/>
    <w:rsid w:val="3AE30638"/>
    <w:rsid w:val="3AE60359"/>
    <w:rsid w:val="3B2918C2"/>
    <w:rsid w:val="3B464036"/>
    <w:rsid w:val="3B514788"/>
    <w:rsid w:val="3BC22A08"/>
    <w:rsid w:val="3BD648D2"/>
    <w:rsid w:val="3C0F6B8E"/>
    <w:rsid w:val="3C125738"/>
    <w:rsid w:val="3C21415B"/>
    <w:rsid w:val="3C281A27"/>
    <w:rsid w:val="3C7E15AD"/>
    <w:rsid w:val="3CBD429C"/>
    <w:rsid w:val="3CE6416F"/>
    <w:rsid w:val="3D2C23B6"/>
    <w:rsid w:val="3D6B67D2"/>
    <w:rsid w:val="3D8A6036"/>
    <w:rsid w:val="3DBE7E92"/>
    <w:rsid w:val="3DCB380D"/>
    <w:rsid w:val="3DCC58DF"/>
    <w:rsid w:val="3DCE22E0"/>
    <w:rsid w:val="3E3FABFC"/>
    <w:rsid w:val="3E49086C"/>
    <w:rsid w:val="3EE377F9"/>
    <w:rsid w:val="3EF5367D"/>
    <w:rsid w:val="3F395C5F"/>
    <w:rsid w:val="3F7352B7"/>
    <w:rsid w:val="3F7712FC"/>
    <w:rsid w:val="3F963307"/>
    <w:rsid w:val="3FED42B6"/>
    <w:rsid w:val="3FFE908D"/>
    <w:rsid w:val="3FFFBB81"/>
    <w:rsid w:val="401C0BE4"/>
    <w:rsid w:val="403E32E9"/>
    <w:rsid w:val="406B603B"/>
    <w:rsid w:val="407C4D82"/>
    <w:rsid w:val="40816CD3"/>
    <w:rsid w:val="408A49C4"/>
    <w:rsid w:val="408D2CE0"/>
    <w:rsid w:val="40A94E35"/>
    <w:rsid w:val="40E702D3"/>
    <w:rsid w:val="40F47DD2"/>
    <w:rsid w:val="413D2FBF"/>
    <w:rsid w:val="41500F3C"/>
    <w:rsid w:val="41730511"/>
    <w:rsid w:val="41FE62F5"/>
    <w:rsid w:val="420E2A45"/>
    <w:rsid w:val="42175DE6"/>
    <w:rsid w:val="42192CE3"/>
    <w:rsid w:val="42197AF1"/>
    <w:rsid w:val="42294680"/>
    <w:rsid w:val="42504AB8"/>
    <w:rsid w:val="4254669C"/>
    <w:rsid w:val="42B0369E"/>
    <w:rsid w:val="42E54BB0"/>
    <w:rsid w:val="42F97BDF"/>
    <w:rsid w:val="430A7413"/>
    <w:rsid w:val="43173315"/>
    <w:rsid w:val="434626F9"/>
    <w:rsid w:val="43635059"/>
    <w:rsid w:val="43EC18AA"/>
    <w:rsid w:val="43EE5D8E"/>
    <w:rsid w:val="440525B4"/>
    <w:rsid w:val="441D629E"/>
    <w:rsid w:val="44312C0E"/>
    <w:rsid w:val="44315157"/>
    <w:rsid w:val="443835DA"/>
    <w:rsid w:val="443A06AC"/>
    <w:rsid w:val="44402AF5"/>
    <w:rsid w:val="44420495"/>
    <w:rsid w:val="44440C23"/>
    <w:rsid w:val="44894F93"/>
    <w:rsid w:val="44972AB2"/>
    <w:rsid w:val="44E110EC"/>
    <w:rsid w:val="458324DC"/>
    <w:rsid w:val="458A7B18"/>
    <w:rsid w:val="45A135B8"/>
    <w:rsid w:val="45A879D2"/>
    <w:rsid w:val="45BC597B"/>
    <w:rsid w:val="46036683"/>
    <w:rsid w:val="4618037D"/>
    <w:rsid w:val="46695C48"/>
    <w:rsid w:val="46972647"/>
    <w:rsid w:val="469A6FE4"/>
    <w:rsid w:val="46C344C2"/>
    <w:rsid w:val="46C91677"/>
    <w:rsid w:val="46DE7DD9"/>
    <w:rsid w:val="47394B2F"/>
    <w:rsid w:val="479F3B90"/>
    <w:rsid w:val="47B37D20"/>
    <w:rsid w:val="47C02A7A"/>
    <w:rsid w:val="47D06A35"/>
    <w:rsid w:val="48527724"/>
    <w:rsid w:val="485F58BA"/>
    <w:rsid w:val="48917A25"/>
    <w:rsid w:val="48A73A31"/>
    <w:rsid w:val="48AB5C8A"/>
    <w:rsid w:val="48FE35AC"/>
    <w:rsid w:val="491311E3"/>
    <w:rsid w:val="492E4B02"/>
    <w:rsid w:val="494E3998"/>
    <w:rsid w:val="495A59A0"/>
    <w:rsid w:val="495F58AE"/>
    <w:rsid w:val="49963040"/>
    <w:rsid w:val="4A4D3308"/>
    <w:rsid w:val="4A781DF1"/>
    <w:rsid w:val="4A8D192B"/>
    <w:rsid w:val="4A8E1084"/>
    <w:rsid w:val="4A9A20BA"/>
    <w:rsid w:val="4AC72371"/>
    <w:rsid w:val="4AD539A4"/>
    <w:rsid w:val="4AFA296E"/>
    <w:rsid w:val="4B3317B5"/>
    <w:rsid w:val="4B4B7D18"/>
    <w:rsid w:val="4B656869"/>
    <w:rsid w:val="4B7440C2"/>
    <w:rsid w:val="4B7C065B"/>
    <w:rsid w:val="4B8B5559"/>
    <w:rsid w:val="4BAC0255"/>
    <w:rsid w:val="4BBF1C15"/>
    <w:rsid w:val="4BBF46C0"/>
    <w:rsid w:val="4BE71B31"/>
    <w:rsid w:val="4BF13283"/>
    <w:rsid w:val="4C10363E"/>
    <w:rsid w:val="4C2A466B"/>
    <w:rsid w:val="4C2B6930"/>
    <w:rsid w:val="4CB608EF"/>
    <w:rsid w:val="4CB80080"/>
    <w:rsid w:val="4CCA52F1"/>
    <w:rsid w:val="4CD96F48"/>
    <w:rsid w:val="4CF055EE"/>
    <w:rsid w:val="4CF45063"/>
    <w:rsid w:val="4D1214E6"/>
    <w:rsid w:val="4D6B7310"/>
    <w:rsid w:val="4D863560"/>
    <w:rsid w:val="4D924CCF"/>
    <w:rsid w:val="4D9D2EC2"/>
    <w:rsid w:val="4DA11DD8"/>
    <w:rsid w:val="4DAD7DED"/>
    <w:rsid w:val="4DC61AF2"/>
    <w:rsid w:val="4DC97003"/>
    <w:rsid w:val="4DDF2D40"/>
    <w:rsid w:val="4E0C4693"/>
    <w:rsid w:val="4E141781"/>
    <w:rsid w:val="4E353A96"/>
    <w:rsid w:val="4E6F45A6"/>
    <w:rsid w:val="4EB6729F"/>
    <w:rsid w:val="4EE3431C"/>
    <w:rsid w:val="4F1A21F2"/>
    <w:rsid w:val="4F2A03A3"/>
    <w:rsid w:val="4F6F16C0"/>
    <w:rsid w:val="4F9F29BD"/>
    <w:rsid w:val="4FC6772C"/>
    <w:rsid w:val="4FCF54F6"/>
    <w:rsid w:val="501C6CBB"/>
    <w:rsid w:val="502D6AE4"/>
    <w:rsid w:val="50A65E90"/>
    <w:rsid w:val="50B30A30"/>
    <w:rsid w:val="50CD548F"/>
    <w:rsid w:val="50D51569"/>
    <w:rsid w:val="512D2052"/>
    <w:rsid w:val="51477D68"/>
    <w:rsid w:val="51587FDA"/>
    <w:rsid w:val="516C3AFD"/>
    <w:rsid w:val="516C7DD6"/>
    <w:rsid w:val="51A11B6E"/>
    <w:rsid w:val="51B463C5"/>
    <w:rsid w:val="51DA4902"/>
    <w:rsid w:val="51FF1C32"/>
    <w:rsid w:val="520C1704"/>
    <w:rsid w:val="520F5A57"/>
    <w:rsid w:val="52224331"/>
    <w:rsid w:val="52805540"/>
    <w:rsid w:val="5284715E"/>
    <w:rsid w:val="52BE224F"/>
    <w:rsid w:val="52CF1307"/>
    <w:rsid w:val="52CF44B9"/>
    <w:rsid w:val="52D77C43"/>
    <w:rsid w:val="5304612E"/>
    <w:rsid w:val="530E4168"/>
    <w:rsid w:val="531347D3"/>
    <w:rsid w:val="53146793"/>
    <w:rsid w:val="532F3584"/>
    <w:rsid w:val="53346A12"/>
    <w:rsid w:val="53483599"/>
    <w:rsid w:val="53537745"/>
    <w:rsid w:val="535624E4"/>
    <w:rsid w:val="536410A5"/>
    <w:rsid w:val="541E1A5F"/>
    <w:rsid w:val="543F0CB3"/>
    <w:rsid w:val="545F361A"/>
    <w:rsid w:val="54777795"/>
    <w:rsid w:val="547ADDE8"/>
    <w:rsid w:val="54A22597"/>
    <w:rsid w:val="54CB2162"/>
    <w:rsid w:val="54E112D4"/>
    <w:rsid w:val="55260101"/>
    <w:rsid w:val="554B788A"/>
    <w:rsid w:val="554D7365"/>
    <w:rsid w:val="5579070C"/>
    <w:rsid w:val="558E78ED"/>
    <w:rsid w:val="55AC1D61"/>
    <w:rsid w:val="55B47996"/>
    <w:rsid w:val="55BA5512"/>
    <w:rsid w:val="55CA04A5"/>
    <w:rsid w:val="56122E61"/>
    <w:rsid w:val="564776D2"/>
    <w:rsid w:val="564D747D"/>
    <w:rsid w:val="56A45CFA"/>
    <w:rsid w:val="56AA6EF5"/>
    <w:rsid w:val="56C441E0"/>
    <w:rsid w:val="56E453BE"/>
    <w:rsid w:val="56EF17F2"/>
    <w:rsid w:val="5710200F"/>
    <w:rsid w:val="579865A4"/>
    <w:rsid w:val="57ACF636"/>
    <w:rsid w:val="57B32A0E"/>
    <w:rsid w:val="57D7497F"/>
    <w:rsid w:val="57DB135A"/>
    <w:rsid w:val="57DF0403"/>
    <w:rsid w:val="57E53AE8"/>
    <w:rsid w:val="57EE710F"/>
    <w:rsid w:val="581A4428"/>
    <w:rsid w:val="58526DEF"/>
    <w:rsid w:val="587B77BD"/>
    <w:rsid w:val="58934F0F"/>
    <w:rsid w:val="589D2963"/>
    <w:rsid w:val="58AB381A"/>
    <w:rsid w:val="58AC28C3"/>
    <w:rsid w:val="58B30533"/>
    <w:rsid w:val="58CB750A"/>
    <w:rsid w:val="58E06977"/>
    <w:rsid w:val="58E722DE"/>
    <w:rsid w:val="58FC29ED"/>
    <w:rsid w:val="5980650D"/>
    <w:rsid w:val="59CC52AE"/>
    <w:rsid w:val="59D40B47"/>
    <w:rsid w:val="59E06FAB"/>
    <w:rsid w:val="59EE244B"/>
    <w:rsid w:val="59F22AD8"/>
    <w:rsid w:val="5A12004C"/>
    <w:rsid w:val="5A236E98"/>
    <w:rsid w:val="5A2B266A"/>
    <w:rsid w:val="5A44164E"/>
    <w:rsid w:val="5A543D99"/>
    <w:rsid w:val="5A5E4C52"/>
    <w:rsid w:val="5A6058D2"/>
    <w:rsid w:val="5A6F20DD"/>
    <w:rsid w:val="5A9F56A6"/>
    <w:rsid w:val="5AE8174F"/>
    <w:rsid w:val="5AEE2378"/>
    <w:rsid w:val="5AFA5020"/>
    <w:rsid w:val="5B044F1C"/>
    <w:rsid w:val="5B37645A"/>
    <w:rsid w:val="5B55074A"/>
    <w:rsid w:val="5B57504B"/>
    <w:rsid w:val="5B711CD4"/>
    <w:rsid w:val="5B7855EB"/>
    <w:rsid w:val="5B950086"/>
    <w:rsid w:val="5BCB3845"/>
    <w:rsid w:val="5BD5113E"/>
    <w:rsid w:val="5BE6384E"/>
    <w:rsid w:val="5BF64864"/>
    <w:rsid w:val="5C2417CB"/>
    <w:rsid w:val="5C2C297C"/>
    <w:rsid w:val="5C4307BC"/>
    <w:rsid w:val="5CAE35A5"/>
    <w:rsid w:val="5CB9053C"/>
    <w:rsid w:val="5CBA411C"/>
    <w:rsid w:val="5CC55B20"/>
    <w:rsid w:val="5CD66177"/>
    <w:rsid w:val="5CE9729B"/>
    <w:rsid w:val="5D0651A6"/>
    <w:rsid w:val="5D5E4DB7"/>
    <w:rsid w:val="5D995DEF"/>
    <w:rsid w:val="5DB3513E"/>
    <w:rsid w:val="5DC170F4"/>
    <w:rsid w:val="5DCB13D2"/>
    <w:rsid w:val="5DCF6946"/>
    <w:rsid w:val="5DD25F5E"/>
    <w:rsid w:val="5DE828D3"/>
    <w:rsid w:val="5DEA7DC3"/>
    <w:rsid w:val="5DEC0485"/>
    <w:rsid w:val="5E1967BC"/>
    <w:rsid w:val="5E1A21F8"/>
    <w:rsid w:val="5E1B7C3C"/>
    <w:rsid w:val="5E5105EC"/>
    <w:rsid w:val="5E554C1E"/>
    <w:rsid w:val="5E5D506F"/>
    <w:rsid w:val="5E892C0A"/>
    <w:rsid w:val="5EC46585"/>
    <w:rsid w:val="5EC46E9C"/>
    <w:rsid w:val="5ECA5B63"/>
    <w:rsid w:val="5EE82966"/>
    <w:rsid w:val="5EF44289"/>
    <w:rsid w:val="5EFDEA00"/>
    <w:rsid w:val="5F131BD1"/>
    <w:rsid w:val="5F226AC0"/>
    <w:rsid w:val="5F4F0E5B"/>
    <w:rsid w:val="5F8E4ADB"/>
    <w:rsid w:val="5F9C5723"/>
    <w:rsid w:val="5F9D5229"/>
    <w:rsid w:val="5FB6394F"/>
    <w:rsid w:val="5FBF9369"/>
    <w:rsid w:val="5FD20EE7"/>
    <w:rsid w:val="5FFED22A"/>
    <w:rsid w:val="600663C8"/>
    <w:rsid w:val="601E082E"/>
    <w:rsid w:val="60611CC1"/>
    <w:rsid w:val="6071095D"/>
    <w:rsid w:val="60830691"/>
    <w:rsid w:val="60A71681"/>
    <w:rsid w:val="60CE4002"/>
    <w:rsid w:val="60EE1A26"/>
    <w:rsid w:val="612D4845"/>
    <w:rsid w:val="612E1B66"/>
    <w:rsid w:val="61701AC5"/>
    <w:rsid w:val="61730824"/>
    <w:rsid w:val="61920181"/>
    <w:rsid w:val="61A84853"/>
    <w:rsid w:val="61A94127"/>
    <w:rsid w:val="61AA0020"/>
    <w:rsid w:val="61B431F8"/>
    <w:rsid w:val="61DF21E1"/>
    <w:rsid w:val="62016730"/>
    <w:rsid w:val="6208534F"/>
    <w:rsid w:val="621C0D9D"/>
    <w:rsid w:val="625E50EB"/>
    <w:rsid w:val="627B7E9F"/>
    <w:rsid w:val="628E7151"/>
    <w:rsid w:val="62A86574"/>
    <w:rsid w:val="62BE2FF3"/>
    <w:rsid w:val="62C56F87"/>
    <w:rsid w:val="62CD613F"/>
    <w:rsid w:val="62CF1F70"/>
    <w:rsid w:val="62DD1F8C"/>
    <w:rsid w:val="62E5083A"/>
    <w:rsid w:val="62E62FCC"/>
    <w:rsid w:val="62F3141D"/>
    <w:rsid w:val="62FF6656"/>
    <w:rsid w:val="63B95F87"/>
    <w:rsid w:val="63D61E2D"/>
    <w:rsid w:val="63F773CC"/>
    <w:rsid w:val="640B2635"/>
    <w:rsid w:val="642F3031"/>
    <w:rsid w:val="643A741C"/>
    <w:rsid w:val="64577D85"/>
    <w:rsid w:val="647903A5"/>
    <w:rsid w:val="64B81FCE"/>
    <w:rsid w:val="64BD5EB2"/>
    <w:rsid w:val="64C4698B"/>
    <w:rsid w:val="64F977F6"/>
    <w:rsid w:val="652272FB"/>
    <w:rsid w:val="655F7541"/>
    <w:rsid w:val="65646CE3"/>
    <w:rsid w:val="65BE010D"/>
    <w:rsid w:val="65FFBE03"/>
    <w:rsid w:val="66195E4F"/>
    <w:rsid w:val="66200F59"/>
    <w:rsid w:val="66205B10"/>
    <w:rsid w:val="6639016F"/>
    <w:rsid w:val="66471A99"/>
    <w:rsid w:val="66591E7D"/>
    <w:rsid w:val="665C3E5E"/>
    <w:rsid w:val="66696848"/>
    <w:rsid w:val="66831596"/>
    <w:rsid w:val="66D10C23"/>
    <w:rsid w:val="66D432C5"/>
    <w:rsid w:val="671C645D"/>
    <w:rsid w:val="672577A4"/>
    <w:rsid w:val="67474B9A"/>
    <w:rsid w:val="67722252"/>
    <w:rsid w:val="67831661"/>
    <w:rsid w:val="67A01435"/>
    <w:rsid w:val="67F05B9A"/>
    <w:rsid w:val="67F3363E"/>
    <w:rsid w:val="683227BF"/>
    <w:rsid w:val="68374AD9"/>
    <w:rsid w:val="68625A60"/>
    <w:rsid w:val="6880351F"/>
    <w:rsid w:val="688356D2"/>
    <w:rsid w:val="689B28FB"/>
    <w:rsid w:val="68C1269E"/>
    <w:rsid w:val="68FB170C"/>
    <w:rsid w:val="690B2707"/>
    <w:rsid w:val="691E364C"/>
    <w:rsid w:val="69440852"/>
    <w:rsid w:val="695074F0"/>
    <w:rsid w:val="69A16757"/>
    <w:rsid w:val="69B71022"/>
    <w:rsid w:val="69BF82B0"/>
    <w:rsid w:val="69CC5F83"/>
    <w:rsid w:val="69D26857"/>
    <w:rsid w:val="69EE4C85"/>
    <w:rsid w:val="69F62F4A"/>
    <w:rsid w:val="69F85C4B"/>
    <w:rsid w:val="6A06480C"/>
    <w:rsid w:val="6A0E04C6"/>
    <w:rsid w:val="6A4E534E"/>
    <w:rsid w:val="6A5827AD"/>
    <w:rsid w:val="6A6E23B2"/>
    <w:rsid w:val="6AE61188"/>
    <w:rsid w:val="6AE70738"/>
    <w:rsid w:val="6AED6D06"/>
    <w:rsid w:val="6AF61231"/>
    <w:rsid w:val="6B3328D2"/>
    <w:rsid w:val="6B56531F"/>
    <w:rsid w:val="6B647ABE"/>
    <w:rsid w:val="6BAF67DE"/>
    <w:rsid w:val="6BCC7390"/>
    <w:rsid w:val="6BD04C1C"/>
    <w:rsid w:val="6C1A6FA4"/>
    <w:rsid w:val="6C2860BB"/>
    <w:rsid w:val="6C2B3B36"/>
    <w:rsid w:val="6C2E3BA6"/>
    <w:rsid w:val="6C3B3902"/>
    <w:rsid w:val="6C4312E5"/>
    <w:rsid w:val="6C496C32"/>
    <w:rsid w:val="6C526C75"/>
    <w:rsid w:val="6C553829"/>
    <w:rsid w:val="6C80423D"/>
    <w:rsid w:val="6C865790"/>
    <w:rsid w:val="6C894C5E"/>
    <w:rsid w:val="6C9436BB"/>
    <w:rsid w:val="6CAE77F3"/>
    <w:rsid w:val="6CCF0157"/>
    <w:rsid w:val="6CD05E9D"/>
    <w:rsid w:val="6CEA12BE"/>
    <w:rsid w:val="6CEE2283"/>
    <w:rsid w:val="6D0F1C2A"/>
    <w:rsid w:val="6D1763FC"/>
    <w:rsid w:val="6D2106FC"/>
    <w:rsid w:val="6D263819"/>
    <w:rsid w:val="6D9E6B0A"/>
    <w:rsid w:val="6DAB69A9"/>
    <w:rsid w:val="6DB84779"/>
    <w:rsid w:val="6DDD6884"/>
    <w:rsid w:val="6E1F4345"/>
    <w:rsid w:val="6E462E06"/>
    <w:rsid w:val="6E4753DE"/>
    <w:rsid w:val="6E6A2D9D"/>
    <w:rsid w:val="6E7F9DE8"/>
    <w:rsid w:val="6EA22A4F"/>
    <w:rsid w:val="6EBF7E0D"/>
    <w:rsid w:val="6ECB392F"/>
    <w:rsid w:val="6ED0600D"/>
    <w:rsid w:val="6EDA6084"/>
    <w:rsid w:val="6EE605B7"/>
    <w:rsid w:val="6EED3168"/>
    <w:rsid w:val="6F2221EA"/>
    <w:rsid w:val="6F6124E5"/>
    <w:rsid w:val="6F630851"/>
    <w:rsid w:val="6F895208"/>
    <w:rsid w:val="6F996B23"/>
    <w:rsid w:val="6FCF38F2"/>
    <w:rsid w:val="6FDC1A3B"/>
    <w:rsid w:val="6FFF31EB"/>
    <w:rsid w:val="6FFF5CCE"/>
    <w:rsid w:val="6FFFE769"/>
    <w:rsid w:val="701745B2"/>
    <w:rsid w:val="702E5D36"/>
    <w:rsid w:val="7036485C"/>
    <w:rsid w:val="704B7175"/>
    <w:rsid w:val="704D703F"/>
    <w:rsid w:val="70844E4F"/>
    <w:rsid w:val="709D754D"/>
    <w:rsid w:val="709F442B"/>
    <w:rsid w:val="70A83304"/>
    <w:rsid w:val="70B85ABD"/>
    <w:rsid w:val="70D70CB1"/>
    <w:rsid w:val="70DC1F64"/>
    <w:rsid w:val="7132025E"/>
    <w:rsid w:val="713E6AA6"/>
    <w:rsid w:val="714E6684"/>
    <w:rsid w:val="714F7EA1"/>
    <w:rsid w:val="715468C3"/>
    <w:rsid w:val="718A139B"/>
    <w:rsid w:val="71A05F1C"/>
    <w:rsid w:val="71FFA550"/>
    <w:rsid w:val="72002232"/>
    <w:rsid w:val="72060891"/>
    <w:rsid w:val="7217111C"/>
    <w:rsid w:val="722F2815"/>
    <w:rsid w:val="72356599"/>
    <w:rsid w:val="727B1415"/>
    <w:rsid w:val="72D3A908"/>
    <w:rsid w:val="72DC25AE"/>
    <w:rsid w:val="72F02F4D"/>
    <w:rsid w:val="731A724E"/>
    <w:rsid w:val="7326711B"/>
    <w:rsid w:val="732B6E6F"/>
    <w:rsid w:val="73337CF4"/>
    <w:rsid w:val="73357F10"/>
    <w:rsid w:val="73563865"/>
    <w:rsid w:val="735710F7"/>
    <w:rsid w:val="736C38A3"/>
    <w:rsid w:val="73A723E2"/>
    <w:rsid w:val="73C46132"/>
    <w:rsid w:val="73FA0E41"/>
    <w:rsid w:val="74017DE6"/>
    <w:rsid w:val="740622CB"/>
    <w:rsid w:val="74445970"/>
    <w:rsid w:val="74512B28"/>
    <w:rsid w:val="7467007F"/>
    <w:rsid w:val="748B16A9"/>
    <w:rsid w:val="74BF41CA"/>
    <w:rsid w:val="74DD759C"/>
    <w:rsid w:val="74E42F7B"/>
    <w:rsid w:val="74FC2155"/>
    <w:rsid w:val="751B8E05"/>
    <w:rsid w:val="75C8506C"/>
    <w:rsid w:val="75F83D8F"/>
    <w:rsid w:val="75FE70F2"/>
    <w:rsid w:val="76663335"/>
    <w:rsid w:val="766E7FC7"/>
    <w:rsid w:val="769C6556"/>
    <w:rsid w:val="76A73F43"/>
    <w:rsid w:val="76E97048"/>
    <w:rsid w:val="76FE56D4"/>
    <w:rsid w:val="7739189D"/>
    <w:rsid w:val="777F205E"/>
    <w:rsid w:val="777F533B"/>
    <w:rsid w:val="7792638A"/>
    <w:rsid w:val="77C55F12"/>
    <w:rsid w:val="77FFC2BD"/>
    <w:rsid w:val="7812483A"/>
    <w:rsid w:val="787349AA"/>
    <w:rsid w:val="787F1801"/>
    <w:rsid w:val="78A27DF6"/>
    <w:rsid w:val="78AD196E"/>
    <w:rsid w:val="78BB4F9B"/>
    <w:rsid w:val="78ED79E5"/>
    <w:rsid w:val="78FC150D"/>
    <w:rsid w:val="795E7133"/>
    <w:rsid w:val="796079BE"/>
    <w:rsid w:val="79684F72"/>
    <w:rsid w:val="79701CA2"/>
    <w:rsid w:val="79A61220"/>
    <w:rsid w:val="79AB41EE"/>
    <w:rsid w:val="79C637A4"/>
    <w:rsid w:val="79E461EC"/>
    <w:rsid w:val="7A147910"/>
    <w:rsid w:val="7A3727C0"/>
    <w:rsid w:val="7A7253C9"/>
    <w:rsid w:val="7A785DFA"/>
    <w:rsid w:val="7A9A52DD"/>
    <w:rsid w:val="7AAA19D8"/>
    <w:rsid w:val="7ABA0445"/>
    <w:rsid w:val="7AC92062"/>
    <w:rsid w:val="7ADE72BD"/>
    <w:rsid w:val="7AE676AE"/>
    <w:rsid w:val="7AF366E7"/>
    <w:rsid w:val="7AFEE583"/>
    <w:rsid w:val="7B166879"/>
    <w:rsid w:val="7B1B78A1"/>
    <w:rsid w:val="7B44077B"/>
    <w:rsid w:val="7B4D5BE4"/>
    <w:rsid w:val="7B5739AB"/>
    <w:rsid w:val="7B9C5383"/>
    <w:rsid w:val="7BA1607D"/>
    <w:rsid w:val="7BCB1412"/>
    <w:rsid w:val="7C07477E"/>
    <w:rsid w:val="7C0C1942"/>
    <w:rsid w:val="7C136915"/>
    <w:rsid w:val="7C154AF9"/>
    <w:rsid w:val="7C931E40"/>
    <w:rsid w:val="7CA05040"/>
    <w:rsid w:val="7CC145C3"/>
    <w:rsid w:val="7CC768D5"/>
    <w:rsid w:val="7CEB2A40"/>
    <w:rsid w:val="7CF2A5A3"/>
    <w:rsid w:val="7D6438CC"/>
    <w:rsid w:val="7D6D7EDB"/>
    <w:rsid w:val="7DAE78D2"/>
    <w:rsid w:val="7DBDCD16"/>
    <w:rsid w:val="7DD41378"/>
    <w:rsid w:val="7DD5AF31"/>
    <w:rsid w:val="7DE37223"/>
    <w:rsid w:val="7DF033B2"/>
    <w:rsid w:val="7E151294"/>
    <w:rsid w:val="7E2D0FFC"/>
    <w:rsid w:val="7E7A5B1D"/>
    <w:rsid w:val="7E9523FA"/>
    <w:rsid w:val="7E9E063E"/>
    <w:rsid w:val="7ED1040D"/>
    <w:rsid w:val="7ED77426"/>
    <w:rsid w:val="7EDDA295"/>
    <w:rsid w:val="7EDF8D06"/>
    <w:rsid w:val="7EED2EF4"/>
    <w:rsid w:val="7EFEB01E"/>
    <w:rsid w:val="7F110DF1"/>
    <w:rsid w:val="7F1B445E"/>
    <w:rsid w:val="7F1D0D52"/>
    <w:rsid w:val="7F1F41A0"/>
    <w:rsid w:val="7F665379"/>
    <w:rsid w:val="7F7522C7"/>
    <w:rsid w:val="7F841E3E"/>
    <w:rsid w:val="7F8566F0"/>
    <w:rsid w:val="7F896312"/>
    <w:rsid w:val="7FBE3F94"/>
    <w:rsid w:val="7FC74175"/>
    <w:rsid w:val="7FD74225"/>
    <w:rsid w:val="7FE146CD"/>
    <w:rsid w:val="7FEB4F7B"/>
    <w:rsid w:val="7FEB55F7"/>
    <w:rsid w:val="7FEE2211"/>
    <w:rsid w:val="7FF722A3"/>
    <w:rsid w:val="8B976BA8"/>
    <w:rsid w:val="90B9C246"/>
    <w:rsid w:val="96FDCF11"/>
    <w:rsid w:val="9EFF5701"/>
    <w:rsid w:val="9F7BD698"/>
    <w:rsid w:val="A3BE0444"/>
    <w:rsid w:val="ABD7599D"/>
    <w:rsid w:val="AD171B9B"/>
    <w:rsid w:val="AF7E18E0"/>
    <w:rsid w:val="B5BE4A04"/>
    <w:rsid w:val="B7DE9440"/>
    <w:rsid w:val="BCCD5070"/>
    <w:rsid w:val="BDF75A93"/>
    <w:rsid w:val="BFBCC9D2"/>
    <w:rsid w:val="BFFBA4BD"/>
    <w:rsid w:val="BFFC12AC"/>
    <w:rsid w:val="C9FE251D"/>
    <w:rsid w:val="CA7DFAFC"/>
    <w:rsid w:val="CAF75FC5"/>
    <w:rsid w:val="CFBEAFA9"/>
    <w:rsid w:val="D725B6D9"/>
    <w:rsid w:val="DA7B80D6"/>
    <w:rsid w:val="DAD7F82D"/>
    <w:rsid w:val="DBE3AA62"/>
    <w:rsid w:val="DBE9BEBD"/>
    <w:rsid w:val="DDF4F80D"/>
    <w:rsid w:val="DEDF51E0"/>
    <w:rsid w:val="DFBC940B"/>
    <w:rsid w:val="DFD34B49"/>
    <w:rsid w:val="DFDD840C"/>
    <w:rsid w:val="E9FF89D8"/>
    <w:rsid w:val="EA7F8BB7"/>
    <w:rsid w:val="ECBF8800"/>
    <w:rsid w:val="EDEFAC2B"/>
    <w:rsid w:val="EEE0F3F9"/>
    <w:rsid w:val="EF4624D8"/>
    <w:rsid w:val="EF971D6D"/>
    <w:rsid w:val="EFEF2925"/>
    <w:rsid w:val="EFFEC7A7"/>
    <w:rsid w:val="F3B38723"/>
    <w:rsid w:val="F3BFE871"/>
    <w:rsid w:val="F3CF5A0D"/>
    <w:rsid w:val="F4F2FF80"/>
    <w:rsid w:val="F52D528F"/>
    <w:rsid w:val="F6FE90D3"/>
    <w:rsid w:val="F6FF036C"/>
    <w:rsid w:val="F7B74A49"/>
    <w:rsid w:val="F7BE854D"/>
    <w:rsid w:val="F7BFB5C2"/>
    <w:rsid w:val="F7FFD3EF"/>
    <w:rsid w:val="F9CE4517"/>
    <w:rsid w:val="FB6F99F9"/>
    <w:rsid w:val="FD7CE7E6"/>
    <w:rsid w:val="FD9A2C7C"/>
    <w:rsid w:val="FDDB9414"/>
    <w:rsid w:val="FDFD76AE"/>
    <w:rsid w:val="FE4F1A9C"/>
    <w:rsid w:val="FEEFA889"/>
    <w:rsid w:val="FEFB7F59"/>
    <w:rsid w:val="FEFD7F2C"/>
    <w:rsid w:val="FF5C7891"/>
    <w:rsid w:val="FF658B9F"/>
    <w:rsid w:val="FF6BEA9F"/>
    <w:rsid w:val="FF6CC173"/>
    <w:rsid w:val="FFA65455"/>
    <w:rsid w:val="FFCE9B77"/>
    <w:rsid w:val="FFD75AC7"/>
    <w:rsid w:val="FFEF134A"/>
    <w:rsid w:val="FF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name="toc 2"/>
    <w:lsdException w:qFormat="1"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iPriority="99"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4"/>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numPr>
        <w:ilvl w:val="1"/>
        <w:numId w:val="1"/>
      </w:numPr>
      <w:spacing w:line="360" w:lineRule="auto"/>
      <w:ind w:left="0" w:firstLine="480"/>
      <w:outlineLvl w:val="1"/>
    </w:pPr>
    <w:rPr>
      <w:rFonts w:ascii="Arial" w:hAnsi="Arial"/>
      <w:b/>
      <w:sz w:val="30"/>
    </w:rPr>
  </w:style>
  <w:style w:type="paragraph" w:styleId="4">
    <w:name w:val="heading 3"/>
    <w:basedOn w:val="1"/>
    <w:next w:val="1"/>
    <w:qFormat/>
    <w:uiPriority w:val="0"/>
    <w:pPr>
      <w:keepNext/>
      <w:keepLines/>
      <w:numPr>
        <w:ilvl w:val="2"/>
        <w:numId w:val="1"/>
      </w:numPr>
      <w:adjustRightInd w:val="0"/>
      <w:spacing w:line="360" w:lineRule="auto"/>
      <w:ind w:left="0" w:firstLine="480"/>
      <w:outlineLvl w:val="2"/>
    </w:pPr>
    <w:rPr>
      <w:b/>
    </w:rPr>
  </w:style>
  <w:style w:type="paragraph" w:styleId="5">
    <w:name w:val="heading 4"/>
    <w:basedOn w:val="1"/>
    <w:next w:val="1"/>
    <w:qFormat/>
    <w:uiPriority w:val="0"/>
    <w:pPr>
      <w:keepNext/>
      <w:keepLines/>
      <w:spacing w:before="280" w:after="290" w:line="372" w:lineRule="auto"/>
      <w:outlineLvl w:val="3"/>
    </w:pPr>
    <w:rPr>
      <w:rFonts w:ascii="Arial" w:hAnsi="Arial" w:eastAsia="黑体" w:cs="Arial"/>
      <w:b/>
      <w:kern w:val="0"/>
      <w:sz w:val="28"/>
      <w:szCs w:val="28"/>
    </w:rPr>
  </w:style>
  <w:style w:type="paragraph" w:styleId="6">
    <w:name w:val="heading 5"/>
    <w:basedOn w:val="1"/>
    <w:next w:val="1"/>
    <w:qFormat/>
    <w:uiPriority w:val="0"/>
    <w:pPr>
      <w:keepNext/>
      <w:keepLines/>
      <w:numPr>
        <w:ilvl w:val="4"/>
        <w:numId w:val="2"/>
      </w:numPr>
      <w:outlineLvl w:val="4"/>
    </w:pPr>
    <w:rPr>
      <w:rFonts w:hint="eastAsia" w:ascii="Book Antiqua" w:hAnsi="Book Antiqua" w:eastAsia="黑体" w:cs="宋体"/>
      <w:kern w:val="0"/>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List Bullet"/>
    <w:basedOn w:val="1"/>
    <w:qFormat/>
    <w:uiPriority w:val="0"/>
    <w:pPr>
      <w:numPr>
        <w:ilvl w:val="0"/>
        <w:numId w:val="3"/>
      </w:numPr>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
    <w:unhideWhenUsed/>
    <w:qFormat/>
    <w:uiPriority w:val="0"/>
    <w:pPr>
      <w:spacing w:after="120"/>
    </w:pPr>
    <w:rPr>
      <w:rFonts w:hint="eastAsia" w:ascii="宋体" w:hAnsi="宋体" w:eastAsia="仿宋" w:cs="宋体"/>
      <w:kern w:val="0"/>
      <w:sz w:val="24"/>
      <w:szCs w:val="21"/>
    </w:rPr>
  </w:style>
  <w:style w:type="paragraph" w:styleId="13">
    <w:name w:val="Body Text Indent"/>
    <w:basedOn w:val="1"/>
    <w:unhideWhenUsed/>
    <w:qFormat/>
    <w:uiPriority w:val="0"/>
    <w:pPr>
      <w:adjustRightInd w:val="0"/>
      <w:spacing w:after="120" w:line="360" w:lineRule="auto"/>
      <w:ind w:left="420" w:leftChars="200"/>
    </w:pPr>
    <w:rPr>
      <w:rFonts w:hint="eastAsia" w:ascii="宋体" w:hAnsi="宋体" w:eastAsia="仿宋" w:cs="宋体"/>
      <w:kern w:val="0"/>
      <w:sz w:val="24"/>
      <w:szCs w:val="21"/>
    </w:rPr>
  </w:style>
  <w:style w:type="paragraph" w:styleId="14">
    <w:name w:val="Block Text"/>
    <w:basedOn w:val="1"/>
    <w:unhideWhenUsed/>
    <w:qFormat/>
    <w:uiPriority w:val="99"/>
    <w:pPr>
      <w:ind w:left="1440" w:leftChars="700" w:right="700" w:rightChars="700"/>
    </w:pPr>
  </w:style>
  <w:style w:type="paragraph" w:styleId="15">
    <w:name w:val="toc 3"/>
    <w:basedOn w:val="1"/>
    <w:next w:val="1"/>
    <w:unhideWhenUsed/>
    <w:qFormat/>
    <w:uiPriority w:val="39"/>
    <w:pPr>
      <w:ind w:left="840" w:leftChars="400"/>
    </w:pPr>
  </w:style>
  <w:style w:type="paragraph" w:styleId="16">
    <w:name w:val="Plain Text"/>
    <w:basedOn w:val="1"/>
    <w:qFormat/>
    <w:uiPriority w:val="99"/>
    <w:rPr>
      <w:rFonts w:ascii="宋体"/>
      <w:color w:val="000000"/>
      <w:szCs w:val="20"/>
      <w:u w:val="none" w:color="000000"/>
    </w:rPr>
  </w:style>
  <w:style w:type="paragraph" w:styleId="17">
    <w:name w:val="Body Text Indent 2"/>
    <w:basedOn w:val="1"/>
    <w:unhideWhenUsed/>
    <w:qFormat/>
    <w:uiPriority w:val="0"/>
    <w:pPr>
      <w:spacing w:after="120" w:afterLines="0" w:afterAutospacing="0" w:line="480" w:lineRule="auto"/>
      <w:ind w:left="420" w:leftChars="200"/>
    </w:pPr>
    <w:rPr>
      <w:rFonts w:hint="eastAsia" w:ascii="宋体" w:hAnsi="宋体" w:eastAsia="仿宋" w:cs="宋体"/>
      <w:kern w:val="0"/>
      <w:sz w:val="24"/>
      <w:szCs w:val="21"/>
    </w:rPr>
  </w:style>
  <w:style w:type="paragraph" w:styleId="18">
    <w:name w:val="footer"/>
    <w:basedOn w:val="1"/>
    <w:unhideWhenUsed/>
    <w:qFormat/>
    <w:uiPriority w:val="0"/>
    <w:pPr>
      <w:tabs>
        <w:tab w:val="center" w:pos="4153"/>
        <w:tab w:val="right" w:pos="8306"/>
      </w:tabs>
      <w:snapToGrid w:val="0"/>
      <w:jc w:val="left"/>
    </w:pPr>
    <w:rPr>
      <w:rFonts w:hint="eastAsia" w:ascii="宋体" w:hAnsi="宋体" w:eastAsia="仿宋" w:cs="宋体"/>
      <w:kern w:val="0"/>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qFormat/>
    <w:uiPriority w:val="39"/>
  </w:style>
  <w:style w:type="paragraph" w:styleId="21">
    <w:name w:val="toc 4"/>
    <w:basedOn w:val="1"/>
    <w:next w:val="1"/>
    <w:qFormat/>
    <w:uiPriority w:val="0"/>
    <w:pPr>
      <w:ind w:left="1260" w:leftChars="600"/>
    </w:pPr>
  </w:style>
  <w:style w:type="paragraph" w:styleId="22">
    <w:name w:val="Body Text Indent 3"/>
    <w:basedOn w:val="1"/>
    <w:unhideWhenUsed/>
    <w:qFormat/>
    <w:uiPriority w:val="0"/>
    <w:pPr>
      <w:spacing w:after="120" w:afterLines="0" w:afterAutospacing="0"/>
      <w:ind w:left="420" w:leftChars="200"/>
    </w:pPr>
    <w:rPr>
      <w:rFonts w:hint="eastAsia" w:ascii="宋体" w:hAnsi="宋体" w:eastAsia="仿宋" w:cs="宋体"/>
      <w:kern w:val="0"/>
      <w:sz w:val="16"/>
      <w:szCs w:val="16"/>
    </w:rPr>
  </w:style>
  <w:style w:type="paragraph" w:styleId="23">
    <w:name w:val="toc 2"/>
    <w:basedOn w:val="1"/>
    <w:next w:val="1"/>
    <w:semiHidden/>
    <w:qFormat/>
    <w:uiPriority w:val="0"/>
    <w:pPr>
      <w:ind w:left="420" w:leftChars="200"/>
    </w:pPr>
  </w:style>
  <w:style w:type="paragraph" w:styleId="24">
    <w:name w:val="toc 9"/>
    <w:basedOn w:val="1"/>
    <w:next w:val="1"/>
    <w:qFormat/>
    <w:uiPriority w:val="0"/>
    <w:pPr>
      <w:tabs>
        <w:tab w:val="left" w:pos="0"/>
      </w:tabs>
      <w:ind w:left="3360" w:leftChars="1600"/>
    </w:pPr>
  </w:style>
  <w:style w:type="paragraph" w:styleId="25">
    <w:name w:val="Body Text 2"/>
    <w:basedOn w:val="1"/>
    <w:qFormat/>
    <w:uiPriority w:val="0"/>
    <w:pPr>
      <w:adjustRightInd w:val="0"/>
      <w:snapToGrid w:val="0"/>
      <w:spacing w:line="480" w:lineRule="atLeast"/>
    </w:pPr>
    <w:rPr>
      <w:rFonts w:ascii="宋体" w:hAnsi="宋体"/>
      <w:sz w:val="28"/>
    </w:rPr>
  </w:style>
  <w:style w:type="paragraph" w:styleId="2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paragraph" w:styleId="27">
    <w:name w:val="Title"/>
    <w:basedOn w:val="1"/>
    <w:next w:val="1"/>
    <w:qFormat/>
    <w:uiPriority w:val="0"/>
    <w:pPr>
      <w:spacing w:before="240" w:after="60"/>
      <w:jc w:val="center"/>
      <w:outlineLvl w:val="0"/>
    </w:pPr>
    <w:rPr>
      <w:rFonts w:ascii="Cambria" w:hAnsi="Cambria"/>
      <w:b/>
      <w:bCs/>
      <w:szCs w:val="32"/>
    </w:rPr>
  </w:style>
  <w:style w:type="paragraph" w:styleId="28">
    <w:name w:val="annotation subject"/>
    <w:basedOn w:val="10"/>
    <w:next w:val="1"/>
    <w:qFormat/>
    <w:uiPriority w:val="0"/>
    <w:rPr>
      <w:b/>
      <w:bCs/>
    </w:rPr>
  </w:style>
  <w:style w:type="paragraph" w:styleId="29">
    <w:name w:val="Body Text First Indent"/>
    <w:basedOn w:val="12"/>
    <w:next w:val="30"/>
    <w:qFormat/>
    <w:uiPriority w:val="0"/>
    <w:pPr>
      <w:ind w:firstLine="420" w:firstLineChars="100"/>
    </w:pPr>
    <w:rPr>
      <w:rFonts w:ascii="Times New Roman" w:hAnsi="Times New Roman"/>
      <w:sz w:val="18"/>
      <w:szCs w:val="18"/>
    </w:rPr>
  </w:style>
  <w:style w:type="paragraph" w:styleId="30">
    <w:name w:val="Body Text First Indent 2"/>
    <w:basedOn w:val="13"/>
    <w:next w:val="1"/>
    <w:qFormat/>
    <w:uiPriority w:val="0"/>
    <w:pPr>
      <w:ind w:left="0" w:leftChars="0" w:firstLine="420"/>
    </w:pPr>
    <w:rPr>
      <w:szCs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rFonts w:ascii="Times New Roman" w:hAnsi="Times New Roman" w:eastAsia="宋体" w:cs="Times New Roman"/>
      <w:b/>
    </w:rPr>
  </w:style>
  <w:style w:type="character" w:styleId="35">
    <w:name w:val="FollowedHyperlink"/>
    <w:basedOn w:val="33"/>
    <w:qFormat/>
    <w:uiPriority w:val="0"/>
    <w:rPr>
      <w:color w:val="333333"/>
      <w:u w:val="none"/>
    </w:rPr>
  </w:style>
  <w:style w:type="character" w:styleId="36">
    <w:name w:val="Emphasis"/>
    <w:basedOn w:val="33"/>
    <w:qFormat/>
    <w:uiPriority w:val="0"/>
  </w:style>
  <w:style w:type="character" w:styleId="37">
    <w:name w:val="HTML Definition"/>
    <w:basedOn w:val="33"/>
    <w:qFormat/>
    <w:uiPriority w:val="0"/>
    <w:rPr>
      <w:i/>
      <w:iCs/>
    </w:rPr>
  </w:style>
  <w:style w:type="character" w:styleId="38">
    <w:name w:val="Hyperlink"/>
    <w:basedOn w:val="33"/>
    <w:unhideWhenUsed/>
    <w:qFormat/>
    <w:uiPriority w:val="99"/>
    <w:rPr>
      <w:rFonts w:hint="eastAsia" w:ascii="宋体" w:hAnsi="宋体" w:eastAsia="宋体" w:cs="宋体"/>
      <w:color w:val="000000"/>
      <w:sz w:val="14"/>
      <w:szCs w:val="14"/>
      <w:u w:val="none"/>
    </w:rPr>
  </w:style>
  <w:style w:type="character" w:styleId="39">
    <w:name w:val="HTML Code"/>
    <w:basedOn w:val="33"/>
    <w:qFormat/>
    <w:uiPriority w:val="0"/>
    <w:rPr>
      <w:rFonts w:hint="default" w:ascii="Consolas" w:hAnsi="Consolas" w:eastAsia="Consolas" w:cs="Consolas"/>
      <w:color w:val="C7254E"/>
      <w:sz w:val="21"/>
      <w:szCs w:val="21"/>
      <w:shd w:val="clear" w:color="auto" w:fill="F9F2F4"/>
    </w:rPr>
  </w:style>
  <w:style w:type="character" w:styleId="40">
    <w:name w:val="HTML Keyboard"/>
    <w:basedOn w:val="33"/>
    <w:qFormat/>
    <w:uiPriority w:val="0"/>
    <w:rPr>
      <w:rFonts w:ascii="Consolas" w:hAnsi="Consolas" w:eastAsia="Consolas" w:cs="Consolas"/>
      <w:color w:val="FFFFFF"/>
      <w:sz w:val="21"/>
      <w:szCs w:val="21"/>
      <w:shd w:val="clear" w:color="auto" w:fill="333333"/>
    </w:rPr>
  </w:style>
  <w:style w:type="character" w:styleId="41">
    <w:name w:val="HTML Sample"/>
    <w:basedOn w:val="33"/>
    <w:qFormat/>
    <w:uiPriority w:val="0"/>
    <w:rPr>
      <w:rFonts w:hint="default" w:ascii="Consolas" w:hAnsi="Consolas" w:eastAsia="Consolas" w:cs="Consolas"/>
      <w:sz w:val="21"/>
      <w:szCs w:val="21"/>
    </w:rPr>
  </w:style>
  <w:style w:type="character" w:customStyle="1" w:styleId="42">
    <w:name w:val="标题 1 字符"/>
    <w:link w:val="2"/>
    <w:qFormat/>
    <w:uiPriority w:val="99"/>
    <w:rPr>
      <w:rFonts w:hint="eastAsia" w:ascii="宋体" w:hAnsi="宋体" w:eastAsia="宋体" w:cs="宋体"/>
      <w:b/>
      <w:kern w:val="44"/>
      <w:sz w:val="48"/>
      <w:szCs w:val="48"/>
      <w:lang w:val="en-US" w:eastAsia="zh-CN" w:bidi="ar"/>
    </w:rPr>
  </w:style>
  <w:style w:type="paragraph" w:customStyle="1" w:styleId="43">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段"/>
    <w:next w:val="1"/>
    <w:qFormat/>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paragraph" w:customStyle="1" w:styleId="45">
    <w:name w:val="正文缩进1"/>
    <w:basedOn w:val="1"/>
    <w:qFormat/>
    <w:uiPriority w:val="0"/>
    <w:pPr>
      <w:ind w:firstLine="420" w:firstLineChars="200"/>
    </w:pPr>
  </w:style>
  <w:style w:type="paragraph" w:customStyle="1" w:styleId="46">
    <w:name w:val="BodyText"/>
    <w:basedOn w:val="1"/>
    <w:next w:val="1"/>
    <w:qFormat/>
    <w:uiPriority w:val="0"/>
    <w:pPr>
      <w:spacing w:after="120"/>
      <w:textAlignment w:val="baseline"/>
    </w:pPr>
    <w:rPr>
      <w:rFonts w:ascii="宋体" w:hAnsi="宋体" w:eastAsia="仿宋"/>
      <w:kern w:val="0"/>
      <w:sz w:val="24"/>
      <w:szCs w:val="21"/>
    </w:rPr>
  </w:style>
  <w:style w:type="paragraph" w:customStyle="1" w:styleId="47">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paragraph" w:customStyle="1" w:styleId="48">
    <w:name w:val="title11"/>
    <w:basedOn w:val="1"/>
    <w:qFormat/>
    <w:uiPriority w:val="0"/>
    <w:pPr>
      <w:spacing w:before="150" w:line="450" w:lineRule="atLeast"/>
      <w:jc w:val="left"/>
    </w:pPr>
    <w:rPr>
      <w:b/>
      <w:kern w:val="0"/>
      <w:sz w:val="24"/>
      <w:szCs w:val="24"/>
    </w:rPr>
  </w:style>
  <w:style w:type="paragraph" w:customStyle="1" w:styleId="4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50">
    <w:name w:val="目录"/>
    <w:basedOn w:val="1"/>
    <w:qFormat/>
    <w:uiPriority w:val="0"/>
    <w:pPr>
      <w:widowControl/>
      <w:jc w:val="center"/>
    </w:pPr>
    <w:rPr>
      <w:rFonts w:ascii="宋体"/>
      <w:b/>
      <w:kern w:val="0"/>
      <w:sz w:val="36"/>
    </w:rPr>
  </w:style>
  <w:style w:type="paragraph" w:customStyle="1" w:styleId="5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样式9 Char"/>
    <w:basedOn w:val="1"/>
    <w:qFormat/>
    <w:uiPriority w:val="0"/>
    <w:pPr>
      <w:widowControl/>
      <w:spacing w:line="440" w:lineRule="exact"/>
      <w:ind w:firstLine="200" w:firstLineChars="200"/>
      <w:jc w:val="left"/>
    </w:pPr>
    <w:rPr>
      <w:spacing w:val="6"/>
      <w:kern w:val="0"/>
      <w:sz w:val="24"/>
    </w:rPr>
  </w:style>
  <w:style w:type="character" w:customStyle="1" w:styleId="54">
    <w:name w:val="button"/>
    <w:basedOn w:val="33"/>
    <w:qFormat/>
    <w:uiPriority w:val="0"/>
  </w:style>
  <w:style w:type="character" w:customStyle="1" w:styleId="55">
    <w:name w:val="hover3"/>
    <w:basedOn w:val="33"/>
    <w:qFormat/>
    <w:uiPriority w:val="0"/>
    <w:rPr>
      <w:shd w:val="clear" w:color="auto" w:fill="EEEEEE"/>
    </w:rPr>
  </w:style>
  <w:style w:type="character" w:customStyle="1" w:styleId="56">
    <w:name w:val="old"/>
    <w:basedOn w:val="33"/>
    <w:qFormat/>
    <w:uiPriority w:val="0"/>
    <w:rPr>
      <w:color w:val="999999"/>
    </w:rPr>
  </w:style>
  <w:style w:type="character" w:customStyle="1" w:styleId="57">
    <w:name w:val="hour_am"/>
    <w:basedOn w:val="33"/>
    <w:qFormat/>
    <w:uiPriority w:val="0"/>
  </w:style>
  <w:style w:type="character" w:customStyle="1" w:styleId="58">
    <w:name w:val="hour_pm"/>
    <w:basedOn w:val="33"/>
    <w:qFormat/>
    <w:uiPriority w:val="0"/>
  </w:style>
  <w:style w:type="character" w:customStyle="1" w:styleId="59">
    <w:name w:val="glyphicon4"/>
    <w:basedOn w:val="33"/>
    <w:qFormat/>
    <w:uiPriority w:val="0"/>
  </w:style>
  <w:style w:type="character" w:customStyle="1" w:styleId="60">
    <w:name w:val="indent"/>
    <w:basedOn w:val="33"/>
    <w:qFormat/>
    <w:uiPriority w:val="0"/>
  </w:style>
  <w:style w:type="character" w:customStyle="1" w:styleId="61">
    <w:name w:val="tmpztreemove_arrow"/>
    <w:basedOn w:val="33"/>
    <w:qFormat/>
    <w:uiPriority w:val="0"/>
    <w:rPr>
      <w:shd w:val="clear" w:color="auto" w:fill="FFFFFF"/>
    </w:rPr>
  </w:style>
  <w:style w:type="character" w:customStyle="1" w:styleId="62">
    <w:name w:val="glyphicon"/>
    <w:basedOn w:val="33"/>
    <w:qFormat/>
    <w:uiPriority w:val="0"/>
  </w:style>
  <w:style w:type="character" w:customStyle="1" w:styleId="63">
    <w:name w:val="hover2"/>
    <w:basedOn w:val="33"/>
    <w:qFormat/>
    <w:uiPriority w:val="0"/>
    <w:rPr>
      <w:shd w:val="clear" w:color="auto" w:fill="EEEEEE"/>
    </w:rPr>
  </w:style>
  <w:style w:type="character" w:customStyle="1" w:styleId="64">
    <w:name w:val="hover"/>
    <w:basedOn w:val="33"/>
    <w:qFormat/>
    <w:uiPriority w:val="0"/>
    <w:rPr>
      <w:shd w:val="clear" w:color="auto" w:fill="EEEEEE"/>
    </w:rPr>
  </w:style>
  <w:style w:type="paragraph" w:customStyle="1" w:styleId="65">
    <w:name w:val="正文 1.1"/>
    <w:basedOn w:val="1"/>
    <w:next w:val="66"/>
    <w:qFormat/>
    <w:uiPriority w:val="0"/>
    <w:pPr>
      <w:numPr>
        <w:ilvl w:val="1"/>
        <w:numId w:val="4"/>
      </w:numPr>
      <w:adjustRightInd w:val="0"/>
      <w:spacing w:line="360" w:lineRule="auto"/>
      <w:outlineLvl w:val="1"/>
    </w:pPr>
    <w:rPr>
      <w:rFonts w:hint="eastAsia" w:ascii="仿宋" w:hAnsi="仿宋" w:eastAsia="仿宋"/>
      <w:b/>
      <w:kern w:val="0"/>
      <w:sz w:val="28"/>
      <w:szCs w:val="21"/>
    </w:rPr>
  </w:style>
  <w:style w:type="paragraph" w:customStyle="1" w:styleId="66">
    <w:name w:val="正文 1.1.1"/>
    <w:basedOn w:val="1"/>
    <w:next w:val="1"/>
    <w:qFormat/>
    <w:uiPriority w:val="0"/>
    <w:pPr>
      <w:numPr>
        <w:ilvl w:val="2"/>
        <w:numId w:val="4"/>
      </w:numPr>
      <w:adjustRightInd w:val="0"/>
      <w:spacing w:line="360" w:lineRule="auto"/>
      <w:outlineLvl w:val="2"/>
    </w:pPr>
    <w:rPr>
      <w:rFonts w:hint="eastAsia" w:ascii="宋体" w:hAnsi="宋体"/>
      <w:color w:val="FF0000"/>
      <w:kern w:val="0"/>
      <w:sz w:val="28"/>
      <w:szCs w:val="21"/>
    </w:rPr>
  </w:style>
  <w:style w:type="paragraph" w:styleId="67">
    <w:name w:val="List Paragraph"/>
    <w:basedOn w:val="1"/>
    <w:qFormat/>
    <w:uiPriority w:val="34"/>
    <w:pPr>
      <w:ind w:firstLine="420" w:firstLineChars="200"/>
    </w:pPr>
  </w:style>
  <w:style w:type="character" w:customStyle="1" w:styleId="68">
    <w:name w:val="font112"/>
    <w:basedOn w:val="33"/>
    <w:qFormat/>
    <w:uiPriority w:val="0"/>
    <w:rPr>
      <w:rFonts w:hint="eastAsia" w:ascii="宋体" w:hAnsi="宋体" w:eastAsia="宋体" w:cs="宋体"/>
      <w:color w:val="000000"/>
      <w:sz w:val="21"/>
      <w:szCs w:val="21"/>
      <w:u w:val="none"/>
    </w:rPr>
  </w:style>
  <w:style w:type="character" w:customStyle="1" w:styleId="69">
    <w:name w:val="nth-of-type(8)"/>
    <w:basedOn w:val="33"/>
    <w:qFormat/>
    <w:uiPriority w:val="0"/>
  </w:style>
  <w:style w:type="character" w:customStyle="1" w:styleId="70">
    <w:name w:val="nth-of-type(5)"/>
    <w:basedOn w:val="33"/>
    <w:qFormat/>
    <w:uiPriority w:val="0"/>
  </w:style>
  <w:style w:type="character" w:customStyle="1" w:styleId="71">
    <w:name w:val="nth-of-type(5)1"/>
    <w:basedOn w:val="33"/>
    <w:qFormat/>
    <w:uiPriority w:val="0"/>
  </w:style>
  <w:style w:type="character" w:customStyle="1" w:styleId="72">
    <w:name w:val="nth-of-type(5)2"/>
    <w:basedOn w:val="33"/>
    <w:qFormat/>
    <w:uiPriority w:val="0"/>
  </w:style>
  <w:style w:type="character" w:customStyle="1" w:styleId="73">
    <w:name w:val="nth-of-type(5)3"/>
    <w:basedOn w:val="33"/>
    <w:qFormat/>
    <w:uiPriority w:val="0"/>
  </w:style>
  <w:style w:type="character" w:customStyle="1" w:styleId="74">
    <w:name w:val="nth-of-type(5)4"/>
    <w:basedOn w:val="33"/>
    <w:qFormat/>
    <w:uiPriority w:val="0"/>
  </w:style>
  <w:style w:type="character" w:customStyle="1" w:styleId="75">
    <w:name w:val="nth-of-type(5)5"/>
    <w:basedOn w:val="33"/>
    <w:qFormat/>
    <w:uiPriority w:val="0"/>
    <w:rPr>
      <w:sz w:val="21"/>
      <w:szCs w:val="21"/>
    </w:rPr>
  </w:style>
  <w:style w:type="character" w:customStyle="1" w:styleId="76">
    <w:name w:val="nth-of-type(5)6"/>
    <w:basedOn w:val="33"/>
    <w:qFormat/>
    <w:uiPriority w:val="0"/>
  </w:style>
  <w:style w:type="character" w:customStyle="1" w:styleId="77">
    <w:name w:val="nth-of-type(4)"/>
    <w:basedOn w:val="33"/>
    <w:qFormat/>
    <w:uiPriority w:val="0"/>
  </w:style>
  <w:style w:type="character" w:customStyle="1" w:styleId="78">
    <w:name w:val="nth-of-type(1)"/>
    <w:basedOn w:val="33"/>
    <w:qFormat/>
    <w:uiPriority w:val="0"/>
  </w:style>
  <w:style w:type="character" w:customStyle="1" w:styleId="79">
    <w:name w:val="nth-of-type(1)1"/>
    <w:basedOn w:val="33"/>
    <w:qFormat/>
    <w:uiPriority w:val="0"/>
  </w:style>
  <w:style w:type="character" w:customStyle="1" w:styleId="80">
    <w:name w:val="nth-of-type(1)2"/>
    <w:basedOn w:val="33"/>
    <w:qFormat/>
    <w:uiPriority w:val="0"/>
    <w:rPr>
      <w:rFonts w:ascii="SourceHanSansCN-Regular" w:hAnsi="SourceHanSansCN-Regular" w:eastAsia="SourceHanSansCN-Regular" w:cs="SourceHanSansCN-Regular"/>
      <w:color w:val="FB560A"/>
      <w:sz w:val="21"/>
      <w:szCs w:val="21"/>
    </w:rPr>
  </w:style>
  <w:style w:type="character" w:customStyle="1" w:styleId="81">
    <w:name w:val="nth-of-type(1)3"/>
    <w:basedOn w:val="33"/>
    <w:qFormat/>
    <w:uiPriority w:val="0"/>
  </w:style>
  <w:style w:type="character" w:customStyle="1" w:styleId="82">
    <w:name w:val="nth-of-type(1)4"/>
    <w:basedOn w:val="33"/>
    <w:qFormat/>
    <w:uiPriority w:val="0"/>
  </w:style>
  <w:style w:type="character" w:customStyle="1" w:styleId="83">
    <w:name w:val="nth-of-type(1)5"/>
    <w:basedOn w:val="33"/>
    <w:qFormat/>
    <w:uiPriority w:val="0"/>
  </w:style>
  <w:style w:type="character" w:customStyle="1" w:styleId="84">
    <w:name w:val="nth-of-type(1)6"/>
    <w:basedOn w:val="33"/>
    <w:qFormat/>
    <w:uiPriority w:val="0"/>
  </w:style>
  <w:style w:type="character" w:customStyle="1" w:styleId="85">
    <w:name w:val="nth-of-type(1)7"/>
    <w:basedOn w:val="33"/>
    <w:qFormat/>
    <w:uiPriority w:val="0"/>
  </w:style>
  <w:style w:type="character" w:customStyle="1" w:styleId="86">
    <w:name w:val="nth-of-type(1)8"/>
    <w:basedOn w:val="33"/>
    <w:qFormat/>
    <w:uiPriority w:val="0"/>
  </w:style>
  <w:style w:type="character" w:customStyle="1" w:styleId="87">
    <w:name w:val="nth-of-type(1)9"/>
    <w:basedOn w:val="33"/>
    <w:qFormat/>
    <w:uiPriority w:val="0"/>
  </w:style>
  <w:style w:type="character" w:customStyle="1" w:styleId="88">
    <w:name w:val="nth-of-type(1)10"/>
    <w:basedOn w:val="33"/>
    <w:qFormat/>
    <w:uiPriority w:val="0"/>
  </w:style>
  <w:style w:type="character" w:customStyle="1" w:styleId="89">
    <w:name w:val="nth-of-type(1)11"/>
    <w:basedOn w:val="33"/>
    <w:qFormat/>
    <w:uiPriority w:val="0"/>
  </w:style>
  <w:style w:type="character" w:customStyle="1" w:styleId="90">
    <w:name w:val="nth-of-type(1)12"/>
    <w:basedOn w:val="33"/>
    <w:qFormat/>
    <w:uiPriority w:val="0"/>
  </w:style>
  <w:style w:type="character" w:customStyle="1" w:styleId="91">
    <w:name w:val="nth-of-type(1)13"/>
    <w:basedOn w:val="33"/>
    <w:qFormat/>
    <w:uiPriority w:val="0"/>
  </w:style>
  <w:style w:type="character" w:customStyle="1" w:styleId="92">
    <w:name w:val="nth-of-type(1)14"/>
    <w:basedOn w:val="33"/>
    <w:qFormat/>
    <w:uiPriority w:val="0"/>
  </w:style>
  <w:style w:type="character" w:customStyle="1" w:styleId="93">
    <w:name w:val="nth-of-type(1)15"/>
    <w:basedOn w:val="33"/>
    <w:qFormat/>
    <w:uiPriority w:val="0"/>
  </w:style>
  <w:style w:type="character" w:customStyle="1" w:styleId="94">
    <w:name w:val="nth-of-type(1)16"/>
    <w:basedOn w:val="33"/>
    <w:qFormat/>
    <w:uiPriority w:val="0"/>
  </w:style>
  <w:style w:type="character" w:customStyle="1" w:styleId="95">
    <w:name w:val="nth-of-type(1)17"/>
    <w:basedOn w:val="33"/>
    <w:qFormat/>
    <w:uiPriority w:val="0"/>
    <w:rPr>
      <w:sz w:val="21"/>
      <w:szCs w:val="21"/>
    </w:rPr>
  </w:style>
  <w:style w:type="character" w:customStyle="1" w:styleId="96">
    <w:name w:val="nth-of-type(1)18"/>
    <w:basedOn w:val="33"/>
    <w:qFormat/>
    <w:uiPriority w:val="0"/>
  </w:style>
  <w:style w:type="character" w:customStyle="1" w:styleId="97">
    <w:name w:val="nth-of-type(3)"/>
    <w:basedOn w:val="33"/>
    <w:qFormat/>
    <w:uiPriority w:val="0"/>
  </w:style>
  <w:style w:type="character" w:customStyle="1" w:styleId="98">
    <w:name w:val="nth-of-type(3)1"/>
    <w:basedOn w:val="33"/>
    <w:qFormat/>
    <w:uiPriority w:val="0"/>
  </w:style>
  <w:style w:type="character" w:customStyle="1" w:styleId="99">
    <w:name w:val="nth-of-type(3)2"/>
    <w:basedOn w:val="33"/>
    <w:qFormat/>
    <w:uiPriority w:val="0"/>
  </w:style>
  <w:style w:type="character" w:customStyle="1" w:styleId="100">
    <w:name w:val="nth-of-type(3)3"/>
    <w:basedOn w:val="33"/>
    <w:qFormat/>
    <w:uiPriority w:val="0"/>
  </w:style>
  <w:style w:type="character" w:customStyle="1" w:styleId="101">
    <w:name w:val="nth-of-type(3)4"/>
    <w:basedOn w:val="33"/>
    <w:qFormat/>
    <w:uiPriority w:val="0"/>
  </w:style>
  <w:style w:type="character" w:customStyle="1" w:styleId="102">
    <w:name w:val="nth-of-type(3)5"/>
    <w:basedOn w:val="33"/>
    <w:qFormat/>
    <w:uiPriority w:val="0"/>
  </w:style>
  <w:style w:type="character" w:customStyle="1" w:styleId="103">
    <w:name w:val="nth-of-type(3)6"/>
    <w:basedOn w:val="33"/>
    <w:qFormat/>
    <w:uiPriority w:val="0"/>
    <w:rPr>
      <w:sz w:val="21"/>
      <w:szCs w:val="21"/>
    </w:rPr>
  </w:style>
  <w:style w:type="character" w:customStyle="1" w:styleId="104">
    <w:name w:val="nth-of-type(3)7"/>
    <w:basedOn w:val="33"/>
    <w:qFormat/>
    <w:uiPriority w:val="0"/>
  </w:style>
  <w:style w:type="character" w:customStyle="1" w:styleId="105">
    <w:name w:val="nth-of-type(2)"/>
    <w:basedOn w:val="33"/>
    <w:qFormat/>
    <w:uiPriority w:val="0"/>
  </w:style>
  <w:style w:type="character" w:customStyle="1" w:styleId="106">
    <w:name w:val="nth-of-type(2)1"/>
    <w:basedOn w:val="33"/>
    <w:qFormat/>
    <w:uiPriority w:val="0"/>
  </w:style>
  <w:style w:type="character" w:customStyle="1" w:styleId="107">
    <w:name w:val="nth-of-type(2)2"/>
    <w:basedOn w:val="33"/>
    <w:qFormat/>
    <w:uiPriority w:val="0"/>
  </w:style>
  <w:style w:type="character" w:customStyle="1" w:styleId="108">
    <w:name w:val="nth-of-type(2)3"/>
    <w:basedOn w:val="33"/>
    <w:qFormat/>
    <w:uiPriority w:val="0"/>
  </w:style>
  <w:style w:type="character" w:customStyle="1" w:styleId="109">
    <w:name w:val="nth-of-type(2)4"/>
    <w:basedOn w:val="33"/>
    <w:qFormat/>
    <w:uiPriority w:val="0"/>
  </w:style>
  <w:style w:type="character" w:customStyle="1" w:styleId="110">
    <w:name w:val="nth-of-type(2)5"/>
    <w:basedOn w:val="33"/>
    <w:qFormat/>
    <w:uiPriority w:val="0"/>
  </w:style>
  <w:style w:type="character" w:customStyle="1" w:styleId="111">
    <w:name w:val="nth-of-type(2)6"/>
    <w:basedOn w:val="33"/>
    <w:qFormat/>
    <w:uiPriority w:val="0"/>
  </w:style>
  <w:style w:type="character" w:customStyle="1" w:styleId="112">
    <w:name w:val="nth-of-type(2)7"/>
    <w:basedOn w:val="33"/>
    <w:qFormat/>
    <w:uiPriority w:val="0"/>
  </w:style>
  <w:style w:type="character" w:customStyle="1" w:styleId="113">
    <w:name w:val="nth-of-type(2)8"/>
    <w:basedOn w:val="33"/>
    <w:qFormat/>
    <w:uiPriority w:val="0"/>
  </w:style>
  <w:style w:type="character" w:customStyle="1" w:styleId="114">
    <w:name w:val="nth-of-type(2)9"/>
    <w:basedOn w:val="33"/>
    <w:qFormat/>
    <w:uiPriority w:val="0"/>
  </w:style>
  <w:style w:type="character" w:customStyle="1" w:styleId="115">
    <w:name w:val="nth-of-type(2)10"/>
    <w:basedOn w:val="33"/>
    <w:qFormat/>
    <w:uiPriority w:val="0"/>
  </w:style>
  <w:style w:type="character" w:customStyle="1" w:styleId="116">
    <w:name w:val="nth-of-type(2)11"/>
    <w:basedOn w:val="33"/>
    <w:qFormat/>
    <w:uiPriority w:val="0"/>
  </w:style>
  <w:style w:type="character" w:customStyle="1" w:styleId="117">
    <w:name w:val="nth-of-type(2)12"/>
    <w:basedOn w:val="33"/>
    <w:qFormat/>
    <w:uiPriority w:val="0"/>
  </w:style>
  <w:style w:type="character" w:customStyle="1" w:styleId="118">
    <w:name w:val="nth-of-type(2)13"/>
    <w:basedOn w:val="33"/>
    <w:qFormat/>
    <w:uiPriority w:val="0"/>
    <w:rPr>
      <w:sz w:val="21"/>
      <w:szCs w:val="21"/>
    </w:rPr>
  </w:style>
  <w:style w:type="character" w:customStyle="1" w:styleId="119">
    <w:name w:val="nth-of-type(2)14"/>
    <w:basedOn w:val="33"/>
    <w:qFormat/>
    <w:uiPriority w:val="0"/>
  </w:style>
  <w:style w:type="character" w:customStyle="1" w:styleId="120">
    <w:name w:val="nth-of-type(9)"/>
    <w:basedOn w:val="33"/>
    <w:qFormat/>
    <w:uiPriority w:val="0"/>
  </w:style>
  <w:style w:type="character" w:customStyle="1" w:styleId="121">
    <w:name w:val="nth-child(1)"/>
    <w:basedOn w:val="33"/>
    <w:qFormat/>
    <w:uiPriority w:val="0"/>
  </w:style>
  <w:style w:type="character" w:customStyle="1" w:styleId="122">
    <w:name w:val="lineshow"/>
    <w:basedOn w:val="33"/>
    <w:qFormat/>
    <w:uiPriority w:val="0"/>
  </w:style>
  <w:style w:type="character" w:customStyle="1" w:styleId="123">
    <w:name w:val="lineshow1"/>
    <w:basedOn w:val="33"/>
    <w:qFormat/>
    <w:uiPriority w:val="0"/>
  </w:style>
  <w:style w:type="character" w:customStyle="1" w:styleId="124">
    <w:name w:val="titleshow"/>
    <w:basedOn w:val="33"/>
    <w:qFormat/>
    <w:uiPriority w:val="0"/>
    <w:rPr>
      <w:color w:val="3E464C"/>
    </w:rPr>
  </w:style>
  <w:style w:type="character" w:customStyle="1" w:styleId="125">
    <w:name w:val="first-child1"/>
    <w:basedOn w:val="33"/>
    <w:qFormat/>
    <w:uiPriority w:val="0"/>
  </w:style>
  <w:style w:type="character" w:customStyle="1" w:styleId="126">
    <w:name w:val="first-child2"/>
    <w:basedOn w:val="33"/>
    <w:qFormat/>
    <w:uiPriority w:val="0"/>
  </w:style>
  <w:style w:type="character" w:customStyle="1" w:styleId="127">
    <w:name w:val="first-child3"/>
    <w:basedOn w:val="33"/>
    <w:qFormat/>
    <w:uiPriority w:val="0"/>
  </w:style>
  <w:style w:type="character" w:customStyle="1" w:styleId="128">
    <w:name w:val="nth-of-type(7)"/>
    <w:basedOn w:val="33"/>
    <w:qFormat/>
    <w:uiPriority w:val="0"/>
  </w:style>
  <w:style w:type="character" w:customStyle="1" w:styleId="129">
    <w:name w:val="last-child1"/>
    <w:basedOn w:val="33"/>
    <w:qFormat/>
    <w:uiPriority w:val="0"/>
    <w:rPr>
      <w:color w:val="FFFFFF"/>
    </w:rPr>
  </w:style>
  <w:style w:type="character" w:customStyle="1" w:styleId="130">
    <w:name w:val="last-child2"/>
    <w:basedOn w:val="33"/>
    <w:qFormat/>
    <w:uiPriority w:val="0"/>
  </w:style>
  <w:style w:type="character" w:customStyle="1" w:styleId="131">
    <w:name w:val="last-child3"/>
    <w:basedOn w:val="33"/>
    <w:qFormat/>
    <w:uiPriority w:val="0"/>
  </w:style>
  <w:style w:type="character" w:customStyle="1" w:styleId="132">
    <w:name w:val="nth-child(2)"/>
    <w:basedOn w:val="33"/>
    <w:qFormat/>
    <w:uiPriority w:val="0"/>
  </w:style>
  <w:style w:type="character" w:customStyle="1" w:styleId="133">
    <w:name w:val="nth-child(3)"/>
    <w:basedOn w:val="33"/>
    <w:qFormat/>
    <w:uiPriority w:val="0"/>
  </w:style>
  <w:style w:type="character" w:customStyle="1" w:styleId="134">
    <w:name w:val="layui-laypage-curr"/>
    <w:basedOn w:val="33"/>
    <w:qFormat/>
    <w:uiPriority w:val="0"/>
  </w:style>
  <w:style w:type="character" w:customStyle="1" w:styleId="135">
    <w:name w:val="nth-of-type(6)"/>
    <w:basedOn w:val="33"/>
    <w:qFormat/>
    <w:uiPriority w:val="0"/>
  </w:style>
  <w:style w:type="character" w:customStyle="1" w:styleId="136">
    <w:name w:val="nth-of-type(6)1"/>
    <w:basedOn w:val="33"/>
    <w:qFormat/>
    <w:uiPriority w:val="0"/>
  </w:style>
  <w:style w:type="character" w:customStyle="1" w:styleId="137">
    <w:name w:val="nth-of-type(6)2"/>
    <w:basedOn w:val="33"/>
    <w:qFormat/>
    <w:uiPriority w:val="0"/>
    <w:rPr>
      <w:color w:val="0082DF"/>
    </w:rPr>
  </w:style>
  <w:style w:type="character" w:customStyle="1" w:styleId="138">
    <w:name w:val="nth-of-type(6)3"/>
    <w:basedOn w:val="33"/>
    <w:qFormat/>
    <w:uiPriority w:val="0"/>
  </w:style>
  <w:style w:type="character" w:customStyle="1" w:styleId="139">
    <w:name w:val="nth-of-type(6)4"/>
    <w:basedOn w:val="33"/>
    <w:qFormat/>
    <w:uiPriority w:val="0"/>
  </w:style>
  <w:style w:type="character" w:customStyle="1" w:styleId="140">
    <w:name w:val="nth-of-type(6)5"/>
    <w:basedOn w:val="33"/>
    <w:qFormat/>
    <w:uiPriority w:val="0"/>
  </w:style>
  <w:style w:type="character" w:customStyle="1" w:styleId="141">
    <w:name w:val="before"/>
    <w:basedOn w:val="33"/>
    <w:qFormat/>
    <w:uiPriority w:val="0"/>
    <w:rPr>
      <w:shd w:val="clear" w:fill="C20E0C"/>
    </w:rPr>
  </w:style>
  <w:style w:type="character" w:customStyle="1" w:styleId="142">
    <w:name w:val="hover23"/>
    <w:basedOn w:val="33"/>
    <w:qFormat/>
    <w:uiPriority w:val="0"/>
    <w:rPr>
      <w:color w:val="167AE0"/>
    </w:rPr>
  </w:style>
  <w:style w:type="character" w:customStyle="1" w:styleId="143">
    <w:name w:val="nth-of-type(10)"/>
    <w:basedOn w:val="33"/>
    <w:qFormat/>
    <w:uiPriority w:val="0"/>
  </w:style>
  <w:style w:type="character" w:customStyle="1" w:styleId="144">
    <w:name w:val="nth-of-type(4)1"/>
    <w:basedOn w:val="33"/>
    <w:qFormat/>
    <w:uiPriority w:val="0"/>
  </w:style>
  <w:style w:type="character" w:customStyle="1" w:styleId="145">
    <w:name w:val="nth-of-type(4)2"/>
    <w:basedOn w:val="33"/>
    <w:qFormat/>
    <w:uiPriority w:val="0"/>
  </w:style>
  <w:style w:type="character" w:customStyle="1" w:styleId="146">
    <w:name w:val="nth-of-type(4)3"/>
    <w:basedOn w:val="33"/>
    <w:qFormat/>
    <w:uiPriority w:val="0"/>
  </w:style>
  <w:style w:type="character" w:customStyle="1" w:styleId="147">
    <w:name w:val="nth-of-type(4)4"/>
    <w:basedOn w:val="33"/>
    <w:qFormat/>
    <w:uiPriority w:val="0"/>
  </w:style>
  <w:style w:type="character" w:customStyle="1" w:styleId="148">
    <w:name w:val="nth-of-type(4)5"/>
    <w:basedOn w:val="33"/>
    <w:qFormat/>
    <w:uiPriority w:val="0"/>
  </w:style>
  <w:style w:type="character" w:customStyle="1" w:styleId="149">
    <w:name w:val="nth-of-type(4)6"/>
    <w:basedOn w:val="33"/>
    <w:qFormat/>
    <w:uiPriority w:val="0"/>
  </w:style>
  <w:style w:type="character" w:customStyle="1" w:styleId="150">
    <w:name w:val="nth-of-type(4)7"/>
    <w:basedOn w:val="33"/>
    <w:qFormat/>
    <w:uiPriority w:val="0"/>
    <w:rPr>
      <w:sz w:val="21"/>
      <w:szCs w:val="21"/>
    </w:rPr>
  </w:style>
  <w:style w:type="character" w:customStyle="1" w:styleId="151">
    <w:name w:val="nth-of-type(4)8"/>
    <w:basedOn w:val="33"/>
    <w:qFormat/>
    <w:uiPriority w:val="0"/>
  </w:style>
  <w:style w:type="character" w:customStyle="1" w:styleId="152">
    <w:name w:val="layui-this4"/>
    <w:basedOn w:val="33"/>
    <w:qFormat/>
    <w:uiPriority w:val="0"/>
    <w:rPr>
      <w:bdr w:val="single" w:color="EEEEEE" w:sz="6" w:space="0"/>
      <w:shd w:val="clear" w:fill="FFFFFF"/>
    </w:rPr>
  </w:style>
  <w:style w:type="character" w:customStyle="1" w:styleId="153">
    <w:name w:val="first-child4"/>
    <w:basedOn w:val="33"/>
    <w:qFormat/>
    <w:uiPriority w:val="0"/>
  </w:style>
  <w:style w:type="character" w:customStyle="1" w:styleId="154">
    <w:name w:val="hover25"/>
    <w:basedOn w:val="33"/>
    <w:qFormat/>
    <w:uiPriority w:val="0"/>
    <w:rPr>
      <w:color w:val="167AE0"/>
    </w:rPr>
  </w:style>
  <w:style w:type="character" w:customStyle="1" w:styleId="155">
    <w:name w:val="before2"/>
    <w:basedOn w:val="33"/>
    <w:qFormat/>
    <w:uiPriority w:val="0"/>
    <w:rPr>
      <w:shd w:val="clear" w:fill="C20E0C"/>
    </w:rPr>
  </w:style>
  <w:style w:type="paragraph" w:customStyle="1" w:styleId="156">
    <w:name w:val="表格123"/>
    <w:basedOn w:val="1"/>
    <w:qFormat/>
    <w:uiPriority w:val="0"/>
    <w:pPr>
      <w:ind w:firstLine="0" w:firstLineChars="0"/>
      <w:jc w:val="left"/>
    </w:pPr>
    <w:rPr>
      <w:rFonts w:hint="eastAsia"/>
      <w:kern w:val="0"/>
      <w:szCs w:val="21"/>
    </w:rPr>
  </w:style>
  <w:style w:type="paragraph" w:customStyle="1" w:styleId="157">
    <w:name w:val="样式 首行缩进:  2 字符"/>
    <w:basedOn w:val="1"/>
    <w:qFormat/>
    <w:uiPriority w:val="0"/>
    <w:pPr>
      <w:ind w:firstLine="560"/>
    </w:pPr>
    <w:rPr>
      <w:rFonts w:eastAsia="仿宋_GB2312" w:cs="宋体"/>
      <w:sz w:val="24"/>
      <w:szCs w:val="20"/>
    </w:rPr>
  </w:style>
  <w:style w:type="paragraph" w:customStyle="1" w:styleId="1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9">
    <w:name w:val="方案正文"/>
    <w:basedOn w:val="1"/>
    <w:qFormat/>
    <w:uiPriority w:val="0"/>
    <w:pPr>
      <w:spacing w:line="312" w:lineRule="auto"/>
      <w:ind w:firstLine="200" w:firstLineChars="200"/>
    </w:pPr>
    <w:rPr>
      <w:rFonts w:ascii="@仿宋_GB2312" w:hAnsi="@仿宋_GB2312" w:cs="@仿宋_GB2312"/>
      <w:szCs w:val="24"/>
    </w:rPr>
  </w:style>
  <w:style w:type="paragraph" w:customStyle="1" w:styleId="160">
    <w:name w:val="段落正文"/>
    <w:basedOn w:val="1"/>
    <w:qFormat/>
    <w:uiPriority w:val="0"/>
    <w:pPr>
      <w:widowControl w:val="0"/>
      <w:ind w:firstLine="200"/>
    </w:pPr>
    <w:rPr>
      <w:lang w:eastAsia="en-US" w:bidi="en-US"/>
    </w:rPr>
  </w:style>
  <w:style w:type="character" w:customStyle="1" w:styleId="161">
    <w:name w:val="font21"/>
    <w:basedOn w:val="33"/>
    <w:qFormat/>
    <w:uiPriority w:val="0"/>
    <w:rPr>
      <w:rFonts w:hint="eastAsia" w:ascii="宋体" w:hAnsi="宋体" w:eastAsia="宋体" w:cs="宋体"/>
      <w:color w:val="000000"/>
      <w:sz w:val="20"/>
      <w:szCs w:val="20"/>
      <w:u w:val="none"/>
    </w:rPr>
  </w:style>
  <w:style w:type="character" w:customStyle="1" w:styleId="162">
    <w:name w:val="font11"/>
    <w:basedOn w:val="33"/>
    <w:qFormat/>
    <w:uiPriority w:val="0"/>
    <w:rPr>
      <w:rFonts w:hint="eastAsia" w:ascii="宋体" w:hAnsi="宋体" w:eastAsia="宋体" w:cs="宋体"/>
      <w:color w:val="000000"/>
      <w:sz w:val="20"/>
      <w:szCs w:val="20"/>
      <w:u w:val="none"/>
    </w:rPr>
  </w:style>
  <w:style w:type="paragraph" w:customStyle="1" w:styleId="163">
    <w:name w:val="Char"/>
    <w:basedOn w:val="1"/>
    <w:qFormat/>
    <w:uiPriority w:val="0"/>
    <w:pPr>
      <w:tabs>
        <w:tab w:val="left" w:pos="360"/>
      </w:tabs>
    </w:pPr>
    <w:rPr>
      <w:rFonts w:ascii="Calibri" w:hAnsi="Calibri"/>
      <w:sz w:val="24"/>
    </w:rPr>
  </w:style>
  <w:style w:type="paragraph" w:customStyle="1" w:styleId="164">
    <w:name w:val="表格文字"/>
    <w:basedOn w:val="1"/>
    <w:qFormat/>
    <w:uiPriority w:val="0"/>
    <w:pPr>
      <w:widowControl w:val="0"/>
      <w:adjustRightInd/>
      <w:snapToGrid/>
      <w:spacing w:before="25" w:after="25"/>
    </w:pPr>
    <w:rPr>
      <w:rFonts w:ascii="Times New Roman" w:hAnsi="Times New Roman" w:eastAsia="宋体"/>
      <w:bCs/>
      <w:spacing w:val="10"/>
      <w:sz w:val="24"/>
      <w:szCs w:val="20"/>
    </w:rPr>
  </w:style>
  <w:style w:type="character" w:customStyle="1" w:styleId="165">
    <w:name w:val="NormalCharacter"/>
    <w:qFormat/>
    <w:uiPriority w:val="0"/>
  </w:style>
  <w:style w:type="paragraph" w:customStyle="1" w:styleId="166">
    <w:name w:val="UserStyle_2"/>
    <w:basedOn w:val="1"/>
    <w:qFormat/>
    <w:uiPriority w:val="0"/>
    <w:pPr>
      <w:widowControl/>
      <w:jc w:val="both"/>
      <w:textAlignment w:val="baseline"/>
    </w:pPr>
    <w:rPr>
      <w:kern w:val="0"/>
      <w:sz w:val="21"/>
      <w:szCs w:val="21"/>
      <w:lang w:val="en-US" w:eastAsia="zh-CN" w:bidi="ar-SA"/>
    </w:rPr>
  </w:style>
  <w:style w:type="character" w:customStyle="1" w:styleId="167">
    <w:name w:val="font01"/>
    <w:basedOn w:val="33"/>
    <w:qFormat/>
    <w:uiPriority w:val="0"/>
    <w:rPr>
      <w:rFonts w:hint="eastAsia" w:ascii="宋体" w:hAnsi="宋体" w:eastAsia="宋体" w:cs="宋体"/>
      <w:color w:val="000000"/>
      <w:sz w:val="22"/>
      <w:szCs w:val="22"/>
      <w:u w:val="none"/>
    </w:rPr>
  </w:style>
  <w:style w:type="character" w:customStyle="1" w:styleId="168">
    <w:name w:val="font31"/>
    <w:basedOn w:val="33"/>
    <w:qFormat/>
    <w:uiPriority w:val="0"/>
    <w:rPr>
      <w:rFonts w:hint="eastAsia" w:ascii="宋体" w:hAnsi="宋体" w:eastAsia="宋体" w:cs="宋体"/>
      <w:color w:val="000000"/>
      <w:sz w:val="22"/>
      <w:szCs w:val="22"/>
      <w:u w:val="none"/>
    </w:rPr>
  </w:style>
  <w:style w:type="table" w:customStyle="1" w:styleId="169">
    <w:name w:val="Table Normal"/>
    <w:unhideWhenUsed/>
    <w:qFormat/>
    <w:uiPriority w:val="0"/>
    <w:tblPr>
      <w:tblCellMar>
        <w:top w:w="0" w:type="dxa"/>
        <w:left w:w="0" w:type="dxa"/>
        <w:bottom w:w="0" w:type="dxa"/>
        <w:right w:w="0" w:type="dxa"/>
      </w:tblCellMar>
    </w:tblPr>
  </w:style>
  <w:style w:type="paragraph" w:customStyle="1" w:styleId="170">
    <w:name w:val="技术4级"/>
    <w:basedOn w:val="1"/>
    <w:next w:val="1"/>
    <w:qFormat/>
    <w:uiPriority w:val="0"/>
    <w:pPr>
      <w:numPr>
        <w:ilvl w:val="3"/>
        <w:numId w:val="5"/>
      </w:numPr>
      <w:jc w:val="left"/>
      <w:outlineLvl w:val="3"/>
    </w:pPr>
    <w:rPr>
      <w:b/>
    </w:rPr>
  </w:style>
  <w:style w:type="paragraph" w:customStyle="1" w:styleId="171">
    <w:name w:val="null3"/>
    <w:hidden/>
    <w:qFormat/>
    <w:uiPriority w:val="0"/>
    <w:rPr>
      <w:rFonts w:hint="eastAsia" w:asciiTheme="minorHAnsi" w:hAnsiTheme="minorHAnsi" w:eastAsiaTheme="minorEastAsia" w:cstheme="minorBidi"/>
      <w:lang w:val="en-US" w:eastAsia="zh-Hans" w:bidi="ar-SA"/>
    </w:rPr>
  </w:style>
  <w:style w:type="paragraph" w:customStyle="1" w:styleId="172">
    <w:name w:val="Table Paragraph"/>
    <w:basedOn w:val="1"/>
    <w:qFormat/>
    <w:uiPriority w:val="1"/>
    <w:rPr>
      <w:rFonts w:ascii="宋体" w:hAnsi="宋体" w:cs="宋体"/>
      <w:lang w:val="zh-CN" w:bidi="zh-CN"/>
    </w:rPr>
  </w:style>
  <w:style w:type="paragraph" w:customStyle="1" w:styleId="173">
    <w:name w:val="Body Text Indent1"/>
    <w:basedOn w:val="1"/>
    <w:next w:val="1"/>
    <w:qFormat/>
    <w:uiPriority w:val="0"/>
    <w:pPr>
      <w:ind w:firstLine="420" w:firstLineChars="140"/>
    </w:pPr>
    <w:rPr>
      <w:szCs w:val="21"/>
    </w:rPr>
  </w:style>
  <w:style w:type="character" w:customStyle="1" w:styleId="174">
    <w:name w:val="标题 1 Char"/>
    <w:link w:val="2"/>
    <w:qFormat/>
    <w:uiPriority w:val="99"/>
    <w:rPr>
      <w:b/>
      <w:kern w:val="44"/>
      <w:sz w:val="44"/>
    </w:rPr>
  </w:style>
  <w:style w:type="paragraph" w:customStyle="1" w:styleId="175">
    <w:name w:val="Other|1"/>
    <w:basedOn w:val="1"/>
    <w:qFormat/>
    <w:uiPriority w:val="0"/>
    <w:pPr>
      <w:widowControl w:val="0"/>
      <w:spacing w:line="384" w:lineRule="auto"/>
      <w:ind w:firstLine="400"/>
      <w:jc w:val="both"/>
    </w:pPr>
    <w:rPr>
      <w:rFonts w:ascii="宋体" w:hAnsi="宋体" w:eastAsia="宋体" w:cs="宋体"/>
      <w:kern w:val="2"/>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9836</Words>
  <Characters>10652</Characters>
  <Lines>394</Lines>
  <Paragraphs>110</Paragraphs>
  <TotalTime>3</TotalTime>
  <ScaleCrop>false</ScaleCrop>
  <LinksUpToDate>false</LinksUpToDate>
  <CharactersWithSpaces>10747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2022-03-04T08:42:00Z</dcterms:created>
  <dc:creator>念</dc:creator>
  <cp:lastModifiedBy>小可爱</cp:lastModifiedBy>
  <cp:lastPrinted>2024-09-07T07:37:00Z</cp:lastPrinted>
  <dcterms:modified xsi:type="dcterms:W3CDTF">2025-07-21T01:52:20Z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FB53F6498207414C8A3C7FC5A84222CC_13</vt:lpwstr>
  </property>
  <property fmtid="{D5CDD505-2E9C-101B-9397-08002B2CF9AE}" pid="4" name="commondata">
    <vt:lpwstr>eyJoZGlkIjoiMjE0NDAzOWQ0YWJiNGQ5NTdlMmUzZWI1ZGRkOTVkMDEifQ==</vt:lpwstr>
  </property>
  <property fmtid="{D5CDD505-2E9C-101B-9397-08002B2CF9AE}" pid="5" name="KSOTemplateDocerSaveRecord">
    <vt:lpwstr>eyJoZGlkIjoiYTk2ZmM4ZDQ0NDE5MGY3OGNlMDJlNDgxZjdlZTEwNTgiLCJ1c2VySWQiOiIyNzM0MzcyNTIifQ==</vt:lpwstr>
  </property>
</Properties>
</file>