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综合楼监控更换升级项目</w:t>
      </w:r>
    </w:p>
    <w:p>
      <w:pPr>
        <w:pStyle w:val="null3"/>
        <w:jc w:val="center"/>
        <w:outlineLvl w:val="2"/>
      </w:pPr>
      <w:r>
        <w:rPr>
          <w:sz w:val="28"/>
          <w:b/>
        </w:rPr>
        <w:t>采购项目编号：</w:t>
      </w:r>
      <w:r>
        <w:rPr>
          <w:sz w:val="28"/>
          <w:b/>
        </w:rPr>
        <w:t>SDZC2024-314</w:t>
      </w:r>
      <w:r>
        <w:br/>
      </w:r>
      <w:r>
        <w:br/>
      </w:r>
      <w:r>
        <w:br/>
      </w:r>
    </w:p>
    <w:p>
      <w:pPr>
        <w:pStyle w:val="null3"/>
        <w:jc w:val="center"/>
        <w:outlineLvl w:val="2"/>
      </w:pPr>
      <w:r>
        <w:rPr>
          <w:sz w:val="28"/>
          <w:b/>
        </w:rPr>
        <w:t>西安市阎良区人民医院</w:t>
      </w:r>
    </w:p>
    <w:p>
      <w:pPr>
        <w:pStyle w:val="null3"/>
        <w:jc w:val="center"/>
        <w:outlineLvl w:val="2"/>
      </w:pPr>
      <w:r>
        <w:rPr>
          <w:sz w:val="28"/>
          <w:b/>
        </w:rPr>
        <w:t>陕西上德招标有限公司</w:t>
      </w:r>
      <w:r>
        <w:rPr>
          <w:sz w:val="28"/>
          <w:b/>
        </w:rPr>
        <w:t>共同编制</w:t>
      </w:r>
    </w:p>
    <w:p>
      <w:pPr>
        <w:pStyle w:val="null3"/>
        <w:jc w:val="center"/>
        <w:outlineLvl w:val="2"/>
      </w:pPr>
      <w:r>
        <w:rPr>
          <w:sz w:val="28"/>
          <w:b/>
        </w:rPr>
        <w:t>2024年12月19日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陕西上德招标有限公司</w:t>
      </w:r>
      <w:r>
        <w:rPr/>
        <w:t>（以下简称“代理机构”）受</w:t>
      </w:r>
      <w:r>
        <w:rPr/>
        <w:t>西安市阎良区人民医院</w:t>
      </w:r>
      <w:r>
        <w:rPr/>
        <w:t>委托，拟对</w:t>
      </w:r>
      <w:r>
        <w:rPr/>
        <w:t>综合楼监控更换升级项目</w:t>
      </w:r>
      <w:r>
        <w:rPr/>
        <w:t>采用竞争性磋商采购方式进行采购，兹邀请供应商参加本项目的竞争性磋商。</w:t>
      </w:r>
    </w:p>
    <w:p>
      <w:pPr>
        <w:pStyle w:val="null3"/>
        <w:outlineLvl w:val="2"/>
      </w:pPr>
      <w:r>
        <w:rPr>
          <w:sz w:val="28"/>
          <w:b/>
        </w:rPr>
        <w:t>一、项目编号：</w:t>
      </w:r>
      <w:r>
        <w:rPr>
          <w:sz w:val="28"/>
          <w:b/>
        </w:rPr>
        <w:t>SDZC2024-314</w:t>
      </w:r>
    </w:p>
    <w:p>
      <w:pPr>
        <w:pStyle w:val="null3"/>
        <w:outlineLvl w:val="2"/>
      </w:pPr>
      <w:r>
        <w:rPr>
          <w:sz w:val="28"/>
          <w:b/>
        </w:rPr>
        <w:t>二、项目名称：</w:t>
      </w:r>
      <w:r>
        <w:rPr>
          <w:sz w:val="28"/>
          <w:b/>
        </w:rPr>
        <w:t>综合楼监控更换升级项目</w:t>
      </w:r>
    </w:p>
    <w:p>
      <w:pPr>
        <w:pStyle w:val="null3"/>
        <w:outlineLvl w:val="2"/>
      </w:pPr>
      <w:r>
        <w:rPr>
          <w:sz w:val="28"/>
          <w:b/>
        </w:rPr>
        <w:t>三、磋商项目简介</w:t>
      </w:r>
    </w:p>
    <w:p>
      <w:pPr>
        <w:pStyle w:val="null3"/>
        <w:ind w:firstLine="480"/>
      </w:pPr>
      <w:r>
        <w:rPr/>
        <w:t>为了保障病人的生命财产和医护人员的个人人身安全，震慑和防范不法分子的扰乱、违法行为，构建独立的监控门禁网络，改善我院外网和监控门诊网络混用现状，提高我院网络安全和网络速度。</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采购包1（综合楼监控更换升级项目）：属于专门面向中小企业采购。</w:t>
      </w:r>
    </w:p>
    <w:p>
      <w:pPr>
        <w:pStyle w:val="null3"/>
        <w:ind w:firstLine="480"/>
      </w:pPr>
      <w:r>
        <w:rPr/>
        <w:t>（三）本项目的特定资格要求：</w:t>
      </w:r>
    </w:p>
    <w:p>
      <w:pPr>
        <w:pStyle w:val="null3"/>
      </w:pPr>
      <w:r>
        <w:rPr/>
        <w:t>采购包1：</w:t>
      </w:r>
    </w:p>
    <w:p>
      <w:pPr>
        <w:pStyle w:val="null3"/>
      </w:pPr>
      <w:r>
        <w:rPr/>
        <w:t>1、提供投标人合法注册的法人或其他组织的营业执照等证明文件或自然人的身份证明：提供投标人合法注册的法人或其他组织的营业执照等证明文件或自然人的身份证明；</w:t>
      </w:r>
    </w:p>
    <w:p>
      <w:pPr>
        <w:pStyle w:val="null3"/>
      </w:pPr>
      <w:r>
        <w:rPr/>
        <w:t>2、财务状况报告：财务状况报告：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p>
    <w:p>
      <w:pPr>
        <w:pStyle w:val="null3"/>
      </w:pPr>
      <w:r>
        <w:rPr/>
        <w:t>3、税收缴纳证明：税收缴纳证明：提供截止至开标时间前一年内任意一个月的缴纳凭据（增值税、企业所得税至少提供一种，依法免税的供应商应提供相关文件证明）；</w:t>
      </w:r>
    </w:p>
    <w:p>
      <w:pPr>
        <w:pStyle w:val="null3"/>
      </w:pPr>
      <w:r>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t>5、具有履行本合同所必需的设备和专业技术能力的说明及承诺：提供具有履行本合同所必需的设备和专业技术能力的说明及承诺（提供书面说明及承诺，加盖供应商公章）；</w:t>
      </w:r>
    </w:p>
    <w:p>
      <w:pPr>
        <w:pStyle w:val="null3"/>
      </w:pPr>
      <w:r>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投标文件格式）；</w:t>
      </w:r>
    </w:p>
    <w:p>
      <w:pPr>
        <w:pStyle w:val="null3"/>
      </w:pPr>
      <w:r>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投标截止日当天在“信用中国”网站和中国政府采购网站进行查询，截图留档；如网站无供应商信息的，供应商须提供相关证明资料或书面声明）；</w:t>
      </w:r>
    </w:p>
    <w:p>
      <w:pPr>
        <w:pStyle w:val="null3"/>
      </w:pPr>
      <w:r>
        <w:rPr/>
        <w:t>9、控股关系查询：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西安市阎良区人民医院</w:t>
      </w:r>
    </w:p>
    <w:p>
      <w:pPr>
        <w:pStyle w:val="null3"/>
      </w:pPr>
      <w:r>
        <w:rPr/>
        <w:t xml:space="preserve"> 地址： </w:t>
      </w:r>
      <w:r>
        <w:rPr/>
        <w:t>胜利街康复巷9号</w:t>
      </w:r>
    </w:p>
    <w:p>
      <w:pPr>
        <w:pStyle w:val="null3"/>
      </w:pPr>
      <w:r>
        <w:rPr/>
        <w:t xml:space="preserve"> 邮编： </w:t>
      </w:r>
      <w:r>
        <w:rPr/>
        <w:t>710089</w:t>
      </w:r>
    </w:p>
    <w:p>
      <w:pPr>
        <w:pStyle w:val="null3"/>
      </w:pPr>
      <w:r>
        <w:rPr/>
        <w:t xml:space="preserve"> 联系人： </w:t>
      </w:r>
      <w:r>
        <w:rPr/>
        <w:t>西安市阎良区人民医院经办</w:t>
      </w:r>
    </w:p>
    <w:p>
      <w:pPr>
        <w:pStyle w:val="null3"/>
      </w:pPr>
      <w:r>
        <w:rPr/>
        <w:t xml:space="preserve"> 联系电话： </w:t>
      </w:r>
      <w:r>
        <w:rPr/>
        <w:t>15191481641</w:t>
      </w:r>
    </w:p>
    <w:p>
      <w:pPr>
        <w:pStyle w:val="null3"/>
        <w:outlineLvl w:val="3"/>
      </w:pPr>
      <w:r>
        <w:rPr>
          <w:sz w:val="24"/>
          <w:b/>
        </w:rPr>
        <w:t>代理机构：</w:t>
      </w:r>
      <w:r>
        <w:rPr>
          <w:sz w:val="24"/>
          <w:b/>
        </w:rPr>
        <w:t>陕西上德招标有限公司</w:t>
      </w:r>
    </w:p>
    <w:p>
      <w:pPr>
        <w:pStyle w:val="null3"/>
      </w:pPr>
      <w:r>
        <w:rPr/>
        <w:t xml:space="preserve"> 地址： </w:t>
      </w:r>
      <w:r>
        <w:rPr/>
        <w:t>西安市经开区凤城八路正尚国际金融广场A座7层703（张家堡转盘东南角）</w:t>
      </w:r>
    </w:p>
    <w:p>
      <w:pPr>
        <w:pStyle w:val="null3"/>
      </w:pPr>
      <w:r>
        <w:rPr/>
        <w:t xml:space="preserve"> 邮编： </w:t>
      </w:r>
      <w:r>
        <w:rPr/>
        <w:t>710000</w:t>
      </w:r>
    </w:p>
    <w:p>
      <w:pPr>
        <w:pStyle w:val="null3"/>
      </w:pPr>
      <w:r>
        <w:rPr/>
        <w:t xml:space="preserve"> 联系人： </w:t>
      </w:r>
      <w:r>
        <w:rPr/>
        <w:t>郅龙（17号工位）、张爱君、魏蕾</w:t>
      </w:r>
    </w:p>
    <w:p>
      <w:pPr>
        <w:pStyle w:val="null3"/>
      </w:pPr>
      <w:r>
        <w:rPr/>
        <w:t xml:space="preserve"> 联系电话： </w:t>
      </w:r>
      <w:r>
        <w:rPr/>
        <w:t xml:space="preserve"> 029-89293231转8017</w:t>
      </w:r>
    </w:p>
    <w:p>
      <w:pPr>
        <w:pStyle w:val="null3"/>
        <w:outlineLvl w:val="3"/>
      </w:pPr>
      <w:r>
        <w:rPr>
          <w:sz w:val="24"/>
          <w:b/>
        </w:rPr>
        <w:t>采购监督机构：</w:t>
      </w:r>
      <w:r>
        <w:rPr>
          <w:sz w:val="24"/>
          <w:b/>
        </w:rPr>
        <w:t>西安市阎良区政府采购管理股</w:t>
      </w:r>
    </w:p>
    <w:p>
      <w:pPr>
        <w:pStyle w:val="null3"/>
        <w:ind w:firstLine="480"/>
      </w:pPr>
      <w:r>
        <w:rPr/>
        <w:t>联系人：</w:t>
      </w:r>
      <w:r>
        <w:rPr/>
        <w:t>郝智军</w:t>
      </w:r>
    </w:p>
    <w:p>
      <w:pPr>
        <w:pStyle w:val="null3"/>
        <w:ind w:firstLine="480"/>
      </w:pPr>
      <w:r>
        <w:rPr/>
        <w:t>联系电话：</w:t>
      </w:r>
      <w:r>
        <w:rPr/>
        <w:t>86204415</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采购包1：302,360.00元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1.开户行名称：陕西上德招标有限公司 2.开 户 行：西安银行股份有限公司文景路支行 3.账 号：707011510000013522 财务部联系方式：029-86673953、029-86518381、029-89299829、029-89293231 转8033 备注：投标人在汇款（招标代理服务费）时须注明项目编号+项目简称</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西安市阎良区人民医院</w:t>
      </w:r>
      <w:r>
        <w:rPr/>
        <w:t>和</w:t>
      </w:r>
      <w:r>
        <w:rPr/>
        <w:t>陕西上德招标有限公司</w:t>
      </w:r>
      <w:r>
        <w:rPr/>
        <w:t>享有。对磋商文件中供应商参加本次政府采购活动应当具备的条件，磋商项目技术、服务、商务及其他要求，评审细则及标准由</w:t>
      </w:r>
      <w:r>
        <w:rPr/>
        <w:t>西安市阎良区人民医院</w:t>
      </w:r>
      <w:r>
        <w:rPr/>
        <w:t>负责解释。除上述磋商文件内容，其他内容由</w:t>
      </w:r>
      <w:r>
        <w:rPr/>
        <w:t>陕西上德招标有限公司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西安市阎良区人民医院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陕西上德招标有限公司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医院请院内或院外专家，根据国家规范及合同要求范围，组织对项目进行验收。</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陕西上德招标有限公司</w:t>
      </w:r>
      <w:r>
        <w:rPr/>
        <w:t xml:space="preserve"> 负责答复；供应商对除采购需求外的采购文件的询问、质疑由</w:t>
      </w:r>
      <w:r>
        <w:rPr/>
        <w:t>陕西上德招标有限公司</w:t>
      </w:r>
      <w:r>
        <w:rPr/>
        <w:t xml:space="preserve"> 负责答复；供应商对采购过程、采购结果的询问、质疑由 </w:t>
      </w:r>
      <w:r>
        <w:rPr/>
        <w:t>陕西上德招标有限公司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联系人：郅龙（17号工位）</w:t>
      </w:r>
    </w:p>
    <w:p>
      <w:pPr>
        <w:pStyle w:val="null3"/>
      </w:pPr>
      <w:r>
        <w:rPr/>
        <w:t>联系电话：029-86673953、029-86518381、029-89299829、029-89293231转8017</w:t>
      </w:r>
    </w:p>
    <w:p>
      <w:pPr>
        <w:pStyle w:val="null3"/>
      </w:pPr>
      <w:r>
        <w:rPr/>
        <w:t>地址：西安市经开区凤城八路正尚国际金融广场A座7层703（张家堡转盘东南角）</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为了保障病人的生命财产和医护人员的个人人身安全，震慑和防范不法分子的扰乱、违法行为，构建独立的监控门禁网络，改善我院外网和监控门诊网络混用现状，提高我院网络安全和网络速度。</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302,360.00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302360</w:t>
            </w:r>
          </w:p>
        </w:tc>
        <w:tc>
          <w:tcPr>
            <w:tcW w:type="dxa" w:w="831"/>
          </w:tcPr>
          <w:p>
            <w:pPr>
              <w:pStyle w:val="null3"/>
              <w:jc w:val="right"/>
            </w:pPr>
            <w:r>
              <w:rPr/>
              <w:t>1.00</w:t>
            </w:r>
          </w:p>
        </w:tc>
        <w:tc>
          <w:tcPr>
            <w:tcW w:type="dxa" w:w="831"/>
          </w:tcPr>
          <w:p>
            <w:pPr>
              <w:pStyle w:val="null3"/>
              <w:jc w:val="right"/>
            </w:pPr>
            <w:r>
              <w:rPr/>
              <w:t>302,360.00</w:t>
            </w:r>
          </w:p>
        </w:tc>
        <w:tc>
          <w:tcPr>
            <w:tcW w:type="dxa" w:w="831"/>
          </w:tcPr>
          <w:p>
            <w:pPr>
              <w:pStyle w:val="null3"/>
            </w:pPr>
            <w:r>
              <w:rPr/>
              <w:t>个</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标的名称：302360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left="420"/>
              <w:jc w:val="both"/>
            </w:pPr>
            <w:r>
              <w:rPr/>
              <w:t>一、项目概况</w:t>
            </w:r>
          </w:p>
          <w:p>
            <w:pPr>
              <w:pStyle w:val="null3"/>
            </w:pPr>
            <w:r>
              <w:rPr/>
              <w:t>监控系统是各个单位安防的重要组成部分，医院综合大楼内监控系统是在大楼建设时由施工方配置安装的，建成于2017年年初，采用早期的模拟监控技术，现经过7年使用多半摄像头、录像机、编码器和显示屏已损坏，无法正常使用，严重影响多项工作顺利开展，需予以更换升级。</w:t>
            </w:r>
          </w:p>
          <w:p>
            <w:pPr>
              <w:pStyle w:val="null3"/>
            </w:pPr>
            <w:r>
              <w:rPr/>
              <w:t>相关情况如下：</w:t>
            </w:r>
          </w:p>
          <w:p>
            <w:pPr>
              <w:pStyle w:val="null3"/>
            </w:pPr>
            <w:r>
              <w:rPr/>
              <w:t>1、原模拟监控系统已损坏无法正常使用，且老旧机型已被淘汰，市场无法采购旧机型和相配套配件。</w:t>
            </w:r>
          </w:p>
          <w:p>
            <w:pPr>
              <w:pStyle w:val="null3"/>
            </w:pPr>
            <w:r>
              <w:rPr/>
              <w:t>2、市场现在主流产品是高清数字监控系统，它具有更高的安全性、稳定性和技术成熟度；国产优质品牌众多，价格经济实惠。</w:t>
            </w:r>
          </w:p>
          <w:p>
            <w:pPr>
              <w:pStyle w:val="null3"/>
            </w:pPr>
            <w:r>
              <w:rPr/>
              <w:t>3、智慧医院、平安医院建设需求。为了保障病人的生命财产和医护人员的个人人身安全，震慑和防范不法分子的扰乱、违法行为，在院内构建监控系统势在必行。必须构建一套数字化的联网监控。</w:t>
            </w:r>
          </w:p>
          <w:p>
            <w:pPr>
              <w:pStyle w:val="null3"/>
            </w:pPr>
            <w:r>
              <w:rPr/>
              <w:t>4、构建独立的监控门禁网络，改善我院外网和监控门诊网络混用现状，提高我院网络安全和网络速度。</w:t>
            </w:r>
          </w:p>
          <w:p>
            <w:pPr>
              <w:pStyle w:val="null3"/>
            </w:pPr>
            <w:r>
              <w:rPr/>
              <w:t>构建一套区别与业务内网和智慧服务外网的独立监控门禁网络，在医院重点的、人流量大的、隐蔽的、易发生纠纷的部位安装适合的监控摄像头，通过监控室的展示大屏及时发现不安全事件苗头，尽早处理，并保存资料；影像资料保存35天，方便追溯调查。</w:t>
            </w:r>
          </w:p>
          <w:p>
            <w:pPr>
              <w:pStyle w:val="null3"/>
              <w:numPr>
                <w:ilvl w:val="0"/>
                <w:numId w:val="1"/>
              </w:numPr>
            </w:pPr>
            <w:r>
              <w:rPr/>
              <w:t>服务内容</w:t>
            </w:r>
          </w:p>
          <w:p>
            <w:pPr>
              <w:pStyle w:val="null3"/>
            </w:pPr>
            <w:r>
              <w:rPr/>
              <w:t xml:space="preserve"> </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t>序号</w:t>
                  </w:r>
                </w:p>
              </w:tc>
              <w:tc>
                <w:tcPr>
                  <w:tcW w:type="dxa" w:w="511"/>
                </w:tcPr>
                <w:p>
                  <w:pPr>
                    <w:pStyle w:val="null3"/>
                  </w:pPr>
                  <w:r>
                    <w:rPr/>
                    <w:t>类别</w:t>
                  </w:r>
                </w:p>
              </w:tc>
              <w:tc>
                <w:tcPr>
                  <w:tcW w:type="dxa" w:w="511"/>
                </w:tcPr>
                <w:p>
                  <w:pPr>
                    <w:pStyle w:val="null3"/>
                  </w:pPr>
                  <w:r>
                    <w:rPr/>
                    <w:t>服务内容</w:t>
                  </w:r>
                </w:p>
              </w:tc>
              <w:tc>
                <w:tcPr>
                  <w:tcW w:type="dxa" w:w="511"/>
                </w:tcPr>
                <w:p>
                  <w:pPr>
                    <w:pStyle w:val="null3"/>
                  </w:pPr>
                  <w:r>
                    <w:rPr/>
                    <w:t>描述</w:t>
                  </w:r>
                </w:p>
              </w:tc>
              <w:tc>
                <w:tcPr>
                  <w:tcW w:type="dxa" w:w="511"/>
                </w:tcPr>
                <w:p>
                  <w:pPr>
                    <w:pStyle w:val="null3"/>
                  </w:pPr>
                  <w:r>
                    <w:rPr/>
                    <w:t>数量</w:t>
                  </w:r>
                </w:p>
              </w:tc>
            </w:tr>
            <w:tr>
              <w:tc>
                <w:tcPr>
                  <w:tcW w:type="dxa" w:w="511"/>
                </w:tcPr>
                <w:p>
                  <w:pPr>
                    <w:pStyle w:val="null3"/>
                  </w:pPr>
                  <w:r>
                    <w:rPr/>
                    <w:t>1</w:t>
                  </w:r>
                </w:p>
              </w:tc>
              <w:tc>
                <w:tcPr>
                  <w:tcW w:type="dxa" w:w="511"/>
                </w:tcPr>
                <w:p>
                  <w:pPr>
                    <w:pStyle w:val="null3"/>
                  </w:pPr>
                  <w:r>
                    <w:rPr/>
                    <w:t>综合大楼外监控系统更换升级</w:t>
                  </w:r>
                </w:p>
              </w:tc>
              <w:tc>
                <w:tcPr>
                  <w:tcW w:type="dxa" w:w="511"/>
                </w:tcPr>
                <w:p>
                  <w:pPr>
                    <w:pStyle w:val="null3"/>
                  </w:pPr>
                  <w:r>
                    <w:rPr/>
                    <w:t>室外红外线球机</w:t>
                  </w:r>
                </w:p>
              </w:tc>
              <w:tc>
                <w:tcPr>
                  <w:tcW w:type="dxa" w:w="511"/>
                </w:tcPr>
                <w:p>
                  <w:pPr>
                    <w:pStyle w:val="null3"/>
                  </w:pPr>
                  <w:r>
                    <w:rPr/>
                    <w:t>带云台可旋转，红外夜视≧100m，防尘防水。</w:t>
                  </w:r>
                </w:p>
                <w:p>
                  <w:pPr>
                    <w:pStyle w:val="null3"/>
                  </w:pPr>
                  <w:r>
                    <w:rPr/>
                    <w:t>分辨率≧400万像素；云台旋转水平360°，垂直≥90°；人形检测，100米红外补光；编码规则:主码流H.265/H.264(子码流H.265/H.264/MJPEG);支持TCP/IP、HTTP、DHCP、NTP、IPv6、UDP等网络协议，带100M网络接口；支持WEB端浏览管理。</w:t>
                  </w:r>
                </w:p>
              </w:tc>
              <w:tc>
                <w:tcPr>
                  <w:tcW w:type="dxa" w:w="511"/>
                </w:tcPr>
                <w:p>
                  <w:pPr>
                    <w:pStyle w:val="null3"/>
                  </w:pPr>
                  <w:r>
                    <w:rPr/>
                    <w:t>3台</w:t>
                  </w:r>
                </w:p>
              </w:tc>
            </w:tr>
            <w:tr>
              <w:tc>
                <w:tcPr>
                  <w:tcW w:type="dxa" w:w="511"/>
                </w:tcPr>
                <w:p>
                  <w:pPr>
                    <w:pStyle w:val="null3"/>
                  </w:pPr>
                  <w:r>
                    <w:rPr/>
                    <w:t>2</w:t>
                  </w:r>
                </w:p>
              </w:tc>
              <w:tc>
                <w:tcPr>
                  <w:tcW w:type="dxa" w:w="511"/>
                </w:tcPr>
                <w:p>
                  <w:pPr>
                    <w:pStyle w:val="null3"/>
                  </w:pPr>
                  <w:r>
                    <w:rPr/>
                    <w:t>综合大楼内监控系统更换升级</w:t>
                  </w:r>
                </w:p>
              </w:tc>
              <w:tc>
                <w:tcPr>
                  <w:tcW w:type="dxa" w:w="511"/>
                </w:tcPr>
                <w:p>
                  <w:pPr>
                    <w:pStyle w:val="null3"/>
                  </w:pPr>
                  <w:r>
                    <w:rPr/>
                    <w:t>室内半球机</w:t>
                  </w:r>
                </w:p>
              </w:tc>
              <w:tc>
                <w:tcPr>
                  <w:tcW w:type="dxa" w:w="511"/>
                </w:tcPr>
                <w:p>
                  <w:pPr>
                    <w:pStyle w:val="null3"/>
                  </w:pPr>
                  <w:r>
                    <w:rPr/>
                    <w:t>分辨率≥400万像素；旋转水平360°，垂直≥75°；60 MB系统内存、400 MB智能内存、2 GB eMMC存储。支持1路报警输入，1路报警输出（报警输出最大支持DC24 V，1 A或AC24 V，1 A），1路音频输入，1路音频输出，30米红外补光；编码规则:主码流H.265/H.264(子码流H.265/H.264/MJPEG);支持TCP/IP、HTTP、DHCP、NTP、IPv6、UDP等网络协议，带100M网络接口；支持WEB端浏览管理。</w:t>
                  </w:r>
                </w:p>
              </w:tc>
              <w:tc>
                <w:tcPr>
                  <w:tcW w:type="dxa" w:w="511"/>
                </w:tcPr>
                <w:p>
                  <w:pPr>
                    <w:pStyle w:val="null3"/>
                  </w:pPr>
                  <w:r>
                    <w:rPr/>
                    <w:t>110台</w:t>
                  </w:r>
                </w:p>
              </w:tc>
            </w:tr>
            <w:tr>
              <w:tc>
                <w:tcPr>
                  <w:tcW w:type="dxa" w:w="511"/>
                  <w:vMerge w:val="restart"/>
                </w:tcPr>
                <w:p>
                  <w:pPr>
                    <w:pStyle w:val="null3"/>
                  </w:pPr>
                  <w:r>
                    <w:rPr/>
                    <w:t>3</w:t>
                  </w:r>
                </w:p>
              </w:tc>
              <w:tc>
                <w:tcPr>
                  <w:tcW w:type="dxa" w:w="511"/>
                  <w:vMerge w:val="restart"/>
                </w:tcPr>
                <w:p>
                  <w:pPr>
                    <w:pStyle w:val="null3"/>
                  </w:pPr>
                  <w:r>
                    <w:rPr/>
                    <w:t>监控室设备更换</w:t>
                  </w:r>
                </w:p>
              </w:tc>
              <w:tc>
                <w:tcPr>
                  <w:tcW w:type="dxa" w:w="511"/>
                </w:tcPr>
                <w:p>
                  <w:pPr>
                    <w:pStyle w:val="null3"/>
                  </w:pPr>
                  <w:r>
                    <w:rPr/>
                    <w:t>24口千兆网络交换机</w:t>
                  </w:r>
                </w:p>
              </w:tc>
              <w:tc>
                <w:tcPr>
                  <w:tcW w:type="dxa" w:w="511"/>
                </w:tcPr>
                <w:p>
                  <w:pPr>
                    <w:pStyle w:val="null3"/>
                  </w:pPr>
                  <w:r>
                    <w:rPr/>
                    <w:t>用于每楼层监控摄像头接入网络，含2、3、5、6号楼的监控接入。</w:t>
                  </w:r>
                </w:p>
                <w:p>
                  <w:pPr>
                    <w:pStyle w:val="null3"/>
                  </w:pPr>
                  <w:r>
                    <w:rPr/>
                    <w:t>1、下行端口24个10/100/1000Base-T以太网端口，上行端口2个干兆SFP。</w:t>
                  </w:r>
                </w:p>
                <w:p>
                  <w:pPr>
                    <w:pStyle w:val="null3"/>
                  </w:pPr>
                  <w:r>
                    <w:rPr/>
                    <w:t>2、交换容量52Gbps,包转发率38.69Mpps.</w:t>
                  </w:r>
                </w:p>
                <w:p>
                  <w:pPr>
                    <w:pStyle w:val="null3"/>
                  </w:pPr>
                  <w:r>
                    <w:rPr/>
                    <w:t>3、MAC地址表8K MAC</w:t>
                  </w:r>
                </w:p>
              </w:tc>
              <w:tc>
                <w:tcPr>
                  <w:tcW w:type="dxa" w:w="511"/>
                </w:tcPr>
                <w:p>
                  <w:pPr>
                    <w:pStyle w:val="null3"/>
                  </w:pPr>
                  <w:r>
                    <w:rPr/>
                    <w:t>20台</w:t>
                  </w:r>
                </w:p>
              </w:tc>
            </w:tr>
            <w:tr>
              <w:tc>
                <w:tcPr>
                  <w:tcW w:type="dxa" w:w="511"/>
                  <w:vMerge/>
                </w:tcPr>
                <w:p/>
              </w:tc>
              <w:tc>
                <w:tcPr>
                  <w:tcW w:type="dxa" w:w="511"/>
                  <w:vMerge/>
                </w:tcPr>
                <w:p/>
              </w:tc>
              <w:tc>
                <w:tcPr>
                  <w:tcW w:type="dxa" w:w="511"/>
                </w:tcPr>
                <w:p>
                  <w:pPr>
                    <w:pStyle w:val="null3"/>
                  </w:pPr>
                  <w:r>
                    <w:rPr/>
                    <w:t>48口千兆网络交换机</w:t>
                  </w:r>
                </w:p>
              </w:tc>
              <w:tc>
                <w:tcPr>
                  <w:tcW w:type="dxa" w:w="511"/>
                </w:tcPr>
                <w:p>
                  <w:pPr>
                    <w:pStyle w:val="null3"/>
                  </w:pPr>
                  <w:r>
                    <w:rPr/>
                    <w:t>用于监控室设备和部分原有摄像头接入。</w:t>
                  </w:r>
                </w:p>
                <w:p>
                  <w:pPr>
                    <w:pStyle w:val="null3"/>
                  </w:pPr>
                  <w:r>
                    <w:rPr/>
                    <w:t>1、端口48个10/100/1000Base-T以太网端口4个干兆SFP</w:t>
                  </w:r>
                </w:p>
                <w:p>
                  <w:pPr>
                    <w:pStyle w:val="null3"/>
                  </w:pPr>
                  <w:r>
                    <w:rPr/>
                    <w:t>2、交换容量432Gbps/4.32Tbps，包转发率87/166Mpps。</w:t>
                  </w:r>
                </w:p>
                <w:p>
                  <w:pPr>
                    <w:pStyle w:val="null3"/>
                  </w:pPr>
                  <w:r>
                    <w:rPr/>
                    <w:t>3、MAC地址表16K。</w:t>
                  </w:r>
                </w:p>
              </w:tc>
              <w:tc>
                <w:tcPr>
                  <w:tcW w:type="dxa" w:w="511"/>
                </w:tcPr>
                <w:p>
                  <w:pPr>
                    <w:pStyle w:val="null3"/>
                  </w:pPr>
                  <w:r>
                    <w:rPr/>
                    <w:t>3台</w:t>
                  </w:r>
                </w:p>
              </w:tc>
            </w:tr>
            <w:tr>
              <w:tc>
                <w:tcPr>
                  <w:tcW w:type="dxa" w:w="511"/>
                  <w:vMerge/>
                </w:tcPr>
                <w:p/>
              </w:tc>
              <w:tc>
                <w:tcPr>
                  <w:tcW w:type="dxa" w:w="511"/>
                  <w:vMerge/>
                </w:tcPr>
                <w:p/>
              </w:tc>
              <w:tc>
                <w:tcPr>
                  <w:tcW w:type="dxa" w:w="511"/>
                </w:tcPr>
                <w:p>
                  <w:pPr>
                    <w:pStyle w:val="null3"/>
                  </w:pPr>
                  <w:r>
                    <w:rPr/>
                    <w:t>监控硬盘录像机</w:t>
                  </w:r>
                </w:p>
              </w:tc>
              <w:tc>
                <w:tcPr>
                  <w:tcW w:type="dxa" w:w="511"/>
                </w:tcPr>
                <w:p>
                  <w:pPr>
                    <w:pStyle w:val="null3"/>
                  </w:pPr>
                  <w:r>
                    <w:rPr/>
                    <w:t>对摄像头画面24小时录像存盘，可保存35天左右录像。</w:t>
                  </w:r>
                </w:p>
                <w:p>
                  <w:pPr>
                    <w:pStyle w:val="null3"/>
                  </w:pPr>
                  <w:r>
                    <w:rPr/>
                    <w:t>1、64路高清机型，单机硬盘存储容量≥80TB。</w:t>
                  </w:r>
                </w:p>
                <w:p>
                  <w:pPr>
                    <w:pStyle w:val="null3"/>
                  </w:pPr>
                  <w:r>
                    <w:rPr/>
                    <w:t>2、网络输入输出带宽≥256Mbps。</w:t>
                  </w:r>
                </w:p>
                <w:p>
                  <w:pPr>
                    <w:pStyle w:val="null3"/>
                  </w:pPr>
                  <w:r>
                    <w:rPr/>
                    <w:t>3、录像分辨率支持12MP/8MP/7MP/6MP/5MP/4MP/3MP/1080P/UXGA/720P/VGA等格式。</w:t>
                  </w:r>
                </w:p>
                <w:p>
                  <w:pPr>
                    <w:pStyle w:val="null3"/>
                  </w:pPr>
                  <w:r>
                    <w:rPr/>
                    <w:t xml:space="preserve">4、输出2路HDMI，1路VGA，支持HDMI1与VGA1同源，主辅口独立异源；输出分辨率≥1080P(1920x1080)/60HZ。 </w:t>
                  </w:r>
                </w:p>
                <w:p>
                  <w:pPr>
                    <w:pStyle w:val="null3"/>
                  </w:pPr>
                  <w:r>
                    <w:rPr/>
                    <w:t>5、视频解码格式支持H.265,H.264,SVAC,MPEG4,MJPEG,H.264+和H.265+等。16路1080p解码，16路同步回放。</w:t>
                  </w:r>
                </w:p>
                <w:p>
                  <w:pPr>
                    <w:pStyle w:val="null3"/>
                  </w:pPr>
                  <w:r>
                    <w:rPr/>
                    <w:t>6、音频解码格式支持G.711ulaw,6.711alaw,6.722,6.726,AAC,MP2L2,PCM，支持音频RCA接口输入和输出。</w:t>
                  </w:r>
                </w:p>
                <w:p>
                  <w:pPr>
                    <w:pStyle w:val="null3"/>
                  </w:pPr>
                  <w:r>
                    <w:rPr/>
                    <w:t>7、支持16个SATA接口(前置热插发)，支持单盘容量≥8TB.</w:t>
                  </w:r>
                </w:p>
                <w:p>
                  <w:pPr>
                    <w:pStyle w:val="null3"/>
                  </w:pPr>
                  <w:r>
                    <w:rPr/>
                    <w:t>8、网络RJ45接口≥2，支持IPV6, HTTPS, UPnP, SNMP, NTP, SADP, SMTP, NFS, ISCSI, PPPOE, DDNS等网络协议；远程连接数≥128。</w:t>
                  </w:r>
                </w:p>
              </w:tc>
              <w:tc>
                <w:tcPr>
                  <w:tcW w:type="dxa" w:w="511"/>
                </w:tcPr>
                <w:p>
                  <w:pPr>
                    <w:pStyle w:val="null3"/>
                  </w:pPr>
                  <w:r>
                    <w:rPr/>
                    <w:t>3台</w:t>
                  </w:r>
                </w:p>
              </w:tc>
            </w:tr>
            <w:tr>
              <w:tc>
                <w:tcPr>
                  <w:tcW w:type="dxa" w:w="511"/>
                  <w:vMerge/>
                </w:tcPr>
                <w:p/>
              </w:tc>
              <w:tc>
                <w:tcPr>
                  <w:tcW w:type="dxa" w:w="511"/>
                  <w:vMerge/>
                </w:tcPr>
                <w:p/>
              </w:tc>
              <w:tc>
                <w:tcPr>
                  <w:tcW w:type="dxa" w:w="511"/>
                </w:tcPr>
                <w:p>
                  <w:pPr>
                    <w:pStyle w:val="null3"/>
                  </w:pPr>
                  <w:r>
                    <w:rPr/>
                    <w:t>高清解码器</w:t>
                  </w:r>
                </w:p>
              </w:tc>
              <w:tc>
                <w:tcPr>
                  <w:tcW w:type="dxa" w:w="511"/>
                </w:tcPr>
                <w:p>
                  <w:pPr>
                    <w:pStyle w:val="null3"/>
                  </w:pPr>
                  <w:r>
                    <w:rPr/>
                    <w:t>1、输入1路VGA,1路DVI，支持分辨率1080P:1920x1080@50/60Hz和720P:1280x720@50V60 Hz。</w:t>
                  </w:r>
                </w:p>
                <w:p>
                  <w:pPr>
                    <w:pStyle w:val="null3"/>
                  </w:pPr>
                  <w:r>
                    <w:rPr/>
                    <w:t>2、输出8路HDML4路BNC，支持分辨率HDMI:1080p:1920x1080@60/50 Hz,720p:1280 x720@50 Hz/60 Hz</w:t>
                  </w:r>
                </w:p>
                <w:p>
                  <w:pPr>
                    <w:pStyle w:val="null3"/>
                  </w:pPr>
                  <w:r>
                    <w:rPr/>
                    <w:t>BNC:PAL制元:704x576,NTSC制式:704x480。</w:t>
                  </w:r>
                </w:p>
                <w:p>
                  <w:pPr>
                    <w:pStyle w:val="null3"/>
                  </w:pPr>
                  <w:r>
                    <w:rPr/>
                    <w:t>3、解码参数，最高2400W像素，≥64解码通道，支持1/2/4/6/8/9/12/16/25/36画面分割，支持4路2400W,或8路1200W,或16路800W,或24路500W,或40路300W,或64 路1080P 及以下分辨率同时实时解码。</w:t>
                  </w:r>
                </w:p>
                <w:p>
                  <w:pPr>
                    <w:pStyle w:val="null3"/>
                  </w:pPr>
                  <w:r>
                    <w:rPr/>
                    <w:t>4、网络接口，≥2个 RI45 10M/100M/1000Mbps 自活应以太网接口，≥2个光口 100base-FX/1000base-X，支持光电自活应。</w:t>
                  </w:r>
                </w:p>
                <w:p>
                  <w:pPr>
                    <w:pStyle w:val="null3"/>
                  </w:pPr>
                  <w:r>
                    <w:rPr/>
                    <w:t>音频接口，1个3.5mm音频输入接口，8个3.5mm接口独立音频输出，1个3.5mm语音对讲口，</w:t>
                  </w:r>
                </w:p>
                <w:p>
                  <w:pPr>
                    <w:pStyle w:val="null3"/>
                  </w:pPr>
                  <w:r>
                    <w:rPr/>
                    <w:t>报警输入输出口各自≥8个。</w:t>
                  </w:r>
                </w:p>
              </w:tc>
              <w:tc>
                <w:tcPr>
                  <w:tcW w:type="dxa" w:w="511"/>
                </w:tcPr>
                <w:p>
                  <w:pPr>
                    <w:pStyle w:val="null3"/>
                  </w:pPr>
                  <w:r>
                    <w:rPr/>
                    <w:t>2台</w:t>
                  </w:r>
                </w:p>
              </w:tc>
            </w:tr>
            <w:tr>
              <w:tc>
                <w:tcPr>
                  <w:tcW w:type="dxa" w:w="511"/>
                  <w:vMerge/>
                </w:tcPr>
                <w:p/>
              </w:tc>
              <w:tc>
                <w:tcPr>
                  <w:tcW w:type="dxa" w:w="511"/>
                  <w:vMerge/>
                </w:tcPr>
                <w:p/>
              </w:tc>
              <w:tc>
                <w:tcPr>
                  <w:tcW w:type="dxa" w:w="511"/>
                </w:tcPr>
                <w:p>
                  <w:pPr>
                    <w:pStyle w:val="null3"/>
                  </w:pPr>
                  <w:r>
                    <w:rPr/>
                    <w:t>显示器</w:t>
                  </w:r>
                </w:p>
              </w:tc>
              <w:tc>
                <w:tcPr>
                  <w:tcW w:type="dxa" w:w="511"/>
                </w:tcPr>
                <w:p>
                  <w:pPr>
                    <w:pStyle w:val="null3"/>
                  </w:pPr>
                  <w:r>
                    <w:rPr/>
                    <w:t>1、屏幕尺寸≥55英寸LED屏，</w:t>
                  </w:r>
                </w:p>
                <w:p>
                  <w:pPr>
                    <w:pStyle w:val="null3"/>
                  </w:pPr>
                  <w:r>
                    <w:rPr/>
                    <w:t>支持3840*2160@60Hz超高清显示</w:t>
                  </w:r>
                </w:p>
                <w:p>
                  <w:pPr>
                    <w:pStyle w:val="null3"/>
                  </w:pPr>
                  <w:r>
                    <w:rPr/>
                    <w:t>2、超高清4K分辨率，低蓝光护眼认证。</w:t>
                  </w:r>
                </w:p>
              </w:tc>
              <w:tc>
                <w:tcPr>
                  <w:tcW w:type="dxa" w:w="511"/>
                </w:tcPr>
                <w:p>
                  <w:pPr>
                    <w:pStyle w:val="null3"/>
                  </w:pPr>
                  <w:r>
                    <w:rPr/>
                    <w:t>9台</w:t>
                  </w:r>
                </w:p>
              </w:tc>
            </w:tr>
            <w:tr>
              <w:tc>
                <w:tcPr>
                  <w:tcW w:type="dxa" w:w="511"/>
                  <w:vMerge/>
                </w:tcPr>
                <w:p/>
              </w:tc>
              <w:tc>
                <w:tcPr>
                  <w:tcW w:type="dxa" w:w="511"/>
                  <w:vMerge/>
                </w:tcPr>
                <w:p/>
              </w:tc>
              <w:tc>
                <w:tcPr>
                  <w:tcW w:type="dxa" w:w="511"/>
                </w:tcPr>
                <w:p>
                  <w:pPr>
                    <w:pStyle w:val="null3"/>
                  </w:pPr>
                  <w:r>
                    <w:rPr/>
                    <w:t>管理电脑一体机</w:t>
                  </w:r>
                </w:p>
              </w:tc>
              <w:tc>
                <w:tcPr>
                  <w:tcW w:type="dxa" w:w="511"/>
                </w:tcPr>
                <w:p>
                  <w:pPr>
                    <w:pStyle w:val="null3"/>
                  </w:pPr>
                  <w:r>
                    <w:rPr/>
                    <w:t>用于监控室日常监控画面调整和调取导出。</w:t>
                  </w:r>
                </w:p>
                <w:p>
                  <w:pPr>
                    <w:pStyle w:val="null3"/>
                  </w:pPr>
                  <w:r>
                    <w:rPr/>
                    <w:t>CPU型号i5-1335U以上，核心数≥10核；内存≥16G；硬盘≥512G/SSD;显示器≥23.8英寸，分辨率≥1920*1080；USB接口数≥4,usb3.0；外观黑色。</w:t>
                  </w:r>
                </w:p>
              </w:tc>
              <w:tc>
                <w:tcPr>
                  <w:tcW w:type="dxa" w:w="511"/>
                </w:tcPr>
                <w:p>
                  <w:pPr>
                    <w:pStyle w:val="null3"/>
                  </w:pPr>
                  <w:r>
                    <w:rPr/>
                    <w:t>2台</w:t>
                  </w:r>
                </w:p>
              </w:tc>
            </w:tr>
            <w:tr>
              <w:tc>
                <w:tcPr>
                  <w:tcW w:type="dxa" w:w="511"/>
                  <w:vMerge/>
                </w:tcPr>
                <w:p/>
              </w:tc>
              <w:tc>
                <w:tcPr>
                  <w:tcW w:type="dxa" w:w="511"/>
                  <w:vMerge/>
                </w:tcPr>
                <w:p/>
              </w:tc>
              <w:tc>
                <w:tcPr>
                  <w:tcW w:type="dxa" w:w="511"/>
                </w:tcPr>
                <w:p>
                  <w:pPr>
                    <w:pStyle w:val="null3"/>
                  </w:pPr>
                  <w:r>
                    <w:rPr/>
                    <w:t>网络机柜</w:t>
                  </w:r>
                </w:p>
              </w:tc>
              <w:tc>
                <w:tcPr>
                  <w:tcW w:type="dxa" w:w="511"/>
                </w:tcPr>
                <w:p>
                  <w:pPr>
                    <w:pStyle w:val="null3"/>
                  </w:pPr>
                  <w:r>
                    <w:rPr/>
                    <w:t>监控室设备安装容纳。</w:t>
                  </w:r>
                </w:p>
                <w:p>
                  <w:pPr>
                    <w:pStyle w:val="null3"/>
                  </w:pPr>
                  <w:r>
                    <w:rPr/>
                    <w:t>根据显示屏安装完毕后剩余空间定制设备安装机柜。</w:t>
                  </w:r>
                </w:p>
              </w:tc>
              <w:tc>
                <w:tcPr>
                  <w:tcW w:type="dxa" w:w="511"/>
                </w:tcPr>
                <w:p>
                  <w:pPr>
                    <w:pStyle w:val="null3"/>
                  </w:pPr>
                  <w:r>
                    <w:rPr/>
                    <w:t>1批</w:t>
                  </w:r>
                </w:p>
              </w:tc>
            </w:tr>
            <w:tr>
              <w:tc>
                <w:tcPr>
                  <w:tcW w:type="dxa" w:w="511"/>
                </w:tcPr>
                <w:p>
                  <w:pPr>
                    <w:pStyle w:val="null3"/>
                  </w:pPr>
                  <w:r>
                    <w:rPr/>
                    <w:t>4</w:t>
                  </w:r>
                </w:p>
              </w:tc>
              <w:tc>
                <w:tcPr>
                  <w:tcW w:type="dxa" w:w="511"/>
                </w:tcPr>
                <w:p>
                  <w:pPr>
                    <w:pStyle w:val="null3"/>
                  </w:pPr>
                  <w:r>
                    <w:rPr/>
                    <w:t>后期维护</w:t>
                  </w:r>
                </w:p>
              </w:tc>
              <w:tc>
                <w:tcPr>
                  <w:tcW w:type="dxa" w:w="511"/>
                </w:tcPr>
                <w:p>
                  <w:pPr>
                    <w:pStyle w:val="null3"/>
                  </w:pPr>
                  <w:r>
                    <w:rPr/>
                    <w:t>系统</w:t>
                  </w:r>
                </w:p>
              </w:tc>
              <w:tc>
                <w:tcPr>
                  <w:tcW w:type="dxa" w:w="511"/>
                </w:tcPr>
                <w:p>
                  <w:pPr>
                    <w:pStyle w:val="null3"/>
                  </w:pPr>
                  <w:r>
                    <w:rPr/>
                    <w:t>每年进行一次设备的除尘，清理，扫净监控设备显露的尘土，对摄像机，防护罩等不见要卸下彻底吹风除尘，之后用无水酒精棉将各个镜头擦干净，调整清晰度，防止由于机器运转.静电等因素将尘土吸入监控设备机体内，确保机器正常运行。同时检查监控机房通风，散热，净尘，供电等设施。对安防监控系统设备的运行情况进行监控，分析运行情况，及时发现并排除故障，半年向医院提交一份系统运行状态及维保记录。根据监控系统经常出现的情况或者有可能出现的地方及时提出日常维护和日常使用建议。</w:t>
                  </w:r>
                </w:p>
              </w:tc>
              <w:tc>
                <w:tcPr>
                  <w:tcW w:type="dxa" w:w="511"/>
                </w:tcPr>
                <w:p>
                  <w:pPr>
                    <w:pStyle w:val="null3"/>
                  </w:pPr>
                  <w:r>
                    <w:rPr/>
                    <w:t xml:space="preserve"> </w:t>
                  </w:r>
                </w:p>
              </w:tc>
            </w:tr>
            <w:tr>
              <w:tc>
                <w:tcPr>
                  <w:tcW w:type="dxa" w:w="511"/>
                </w:tcPr>
                <w:p>
                  <w:pPr>
                    <w:pStyle w:val="null3"/>
                  </w:pPr>
                  <w:r>
                    <w:rPr/>
                    <w:t>5</w:t>
                  </w:r>
                </w:p>
              </w:tc>
              <w:tc>
                <w:tcPr>
                  <w:tcW w:type="dxa" w:w="511"/>
                </w:tcPr>
                <w:p>
                  <w:pPr>
                    <w:pStyle w:val="null3"/>
                  </w:pPr>
                  <w:r>
                    <w:rPr/>
                    <w:t>巡检服务</w:t>
                  </w:r>
                </w:p>
              </w:tc>
              <w:tc>
                <w:tcPr>
                  <w:tcW w:type="dxa" w:w="511"/>
                </w:tcPr>
                <w:p>
                  <w:pPr>
                    <w:pStyle w:val="null3"/>
                  </w:pPr>
                  <w:r>
                    <w:rPr/>
                    <w:t xml:space="preserve"> </w:t>
                  </w:r>
                </w:p>
              </w:tc>
              <w:tc>
                <w:tcPr>
                  <w:tcW w:type="dxa" w:w="511"/>
                </w:tcPr>
                <w:p>
                  <w:pPr>
                    <w:pStyle w:val="null3"/>
                  </w:pPr>
                  <w:r>
                    <w:rPr/>
                    <w:t>在故障响应时间内检查医院反映的问题，并按时维修或者提供备品备件排除故障，保证监控系统正常运行，医院正常使用。对容易老化的BNC街头，电源接头，电源等易造成信号丢失的配件每个季度一次进行全面检查，一旦发现老化现象应及时更换，焊接。根据安防监控系统各部分设备的使用说明，每两个季度检测其各项技术参数及监控系统传输线路质量，处理故障隐患，协助监控主管设定使用级别等各种数据，确保各部分设备各项功能良好，能够正常运行。</w:t>
                  </w:r>
                </w:p>
              </w:tc>
              <w:tc>
                <w:tcPr>
                  <w:tcW w:type="dxa" w:w="511"/>
                </w:tcPr>
                <w:p>
                  <w:pPr>
                    <w:pStyle w:val="null3"/>
                  </w:pPr>
                  <w:r>
                    <w:rPr/>
                    <w:t xml:space="preserve"> </w:t>
                  </w:r>
                </w:p>
              </w:tc>
            </w:tr>
          </w:tbl>
          <w:p>
            <w:pPr>
              <w:pStyle w:val="null3"/>
            </w:pPr>
            <w:r>
              <w:rPr/>
              <w:t xml:space="preserve"> </w:t>
            </w:r>
          </w:p>
          <w:p>
            <w:pPr>
              <w:pStyle w:val="null3"/>
            </w:pPr>
            <w:r>
              <w:rPr/>
              <w:t>三、服务要求</w:t>
            </w:r>
          </w:p>
          <w:p>
            <w:pPr>
              <w:pStyle w:val="null3"/>
            </w:pPr>
            <w:r>
              <w:rPr/>
              <w:t>1、监控24小时不间断监控，历史影像资料保存35天，方便追溯调查。</w:t>
            </w:r>
          </w:p>
          <w:p>
            <w:pPr>
              <w:pStyle w:val="null3"/>
            </w:pPr>
            <w:r>
              <w:rPr/>
              <w:t>2、实施周期不得超过60天。</w:t>
            </w:r>
          </w:p>
          <w:p>
            <w:pPr>
              <w:pStyle w:val="null3"/>
            </w:pPr>
            <w:r>
              <w:rPr/>
              <w:t>3、需要将医院综合楼周围其他楼栋的监控设备全部接入到本次采购的监控系统中。</w:t>
            </w:r>
          </w:p>
          <w:p>
            <w:pPr>
              <w:pStyle w:val="null3"/>
            </w:pPr>
            <w:r>
              <w:rPr/>
              <w:t>四、商务要求</w:t>
            </w:r>
          </w:p>
          <w:p>
            <w:pPr>
              <w:pStyle w:val="null3"/>
            </w:pPr>
            <w:r>
              <w:rPr/>
              <w:t>（一）服务期限</w:t>
            </w:r>
          </w:p>
          <w:p>
            <w:pPr>
              <w:pStyle w:val="null3"/>
            </w:pPr>
            <w:r>
              <w:rPr/>
              <w:t>1、进场时间：合同签订之日起1周内项目人员进场。</w:t>
            </w:r>
          </w:p>
          <w:p>
            <w:pPr>
              <w:pStyle w:val="null3"/>
            </w:pPr>
            <w:r>
              <w:rPr/>
              <w:t>2、进场地点:西安市阎良区人民医院</w:t>
            </w:r>
          </w:p>
          <w:p>
            <w:pPr>
              <w:pStyle w:val="null3"/>
            </w:pPr>
            <w:r>
              <w:rPr/>
              <w:t>3、质保期：项目验收起三年售后维保</w:t>
            </w:r>
          </w:p>
          <w:p>
            <w:pPr>
              <w:pStyle w:val="null3"/>
            </w:pPr>
            <w:r>
              <w:rPr/>
              <w:t>（二）款项结算</w:t>
            </w:r>
          </w:p>
          <w:p>
            <w:pPr>
              <w:pStyle w:val="null3"/>
            </w:pPr>
            <w:r>
              <w:rPr/>
              <w:t>1、合同签订后1个月内支付合同总价款的40%作为预付款。</w:t>
            </w:r>
          </w:p>
          <w:p>
            <w:pPr>
              <w:pStyle w:val="null3"/>
            </w:pPr>
            <w:r>
              <w:rPr/>
              <w:t>2、项目实施完工，达到医院各个使用科室满意，院领导及各科室负责人签字，医院盖章验收通过后，支付至总价款的90%。</w:t>
            </w:r>
          </w:p>
          <w:p>
            <w:pPr>
              <w:pStyle w:val="null3"/>
            </w:pPr>
            <w:r>
              <w:rPr/>
              <w:t>3、项目验收后一年后，系统正常运行，无其他问题，支付总价款剩余10%。</w:t>
            </w:r>
          </w:p>
          <w:p>
            <w:pPr>
              <w:pStyle w:val="null3"/>
            </w:pPr>
            <w:r>
              <w:rPr/>
              <w:t>五、其他</w:t>
            </w:r>
          </w:p>
          <w:p>
            <w:pPr>
              <w:pStyle w:val="null3"/>
            </w:pPr>
            <w:r>
              <w:rPr/>
              <w:t>（一）对服务商的业绩要求</w:t>
            </w:r>
          </w:p>
          <w:p>
            <w:pPr>
              <w:pStyle w:val="null3"/>
            </w:pPr>
            <w:r>
              <w:rPr/>
              <w:t>有相关资质及相关项目实施方案及经验。</w:t>
            </w:r>
          </w:p>
          <w:p>
            <w:pPr>
              <w:pStyle w:val="null3"/>
            </w:pPr>
            <w:r>
              <w:rPr/>
              <w:t>（二）进度要求</w:t>
            </w:r>
          </w:p>
          <w:p>
            <w:pPr>
              <w:pStyle w:val="null3"/>
            </w:pPr>
            <w:r>
              <w:rPr/>
              <w:t>合同签订之日起1周内项目人员进场，实施周期不得超过60天。</w:t>
            </w:r>
          </w:p>
          <w:p>
            <w:pPr>
              <w:pStyle w:val="null3"/>
            </w:pPr>
            <w:r>
              <w:rPr/>
              <w:t>（三）成果交付要求</w:t>
            </w:r>
          </w:p>
          <w:p>
            <w:pPr>
              <w:pStyle w:val="null3"/>
            </w:pPr>
            <w:r>
              <w:rPr/>
              <w:t>按照技术要求完成项目实施。</w:t>
            </w:r>
          </w:p>
          <w:p>
            <w:pPr>
              <w:pStyle w:val="null3"/>
            </w:pPr>
            <w:r>
              <w:rPr/>
              <w:t>（四）质量验收标准或规范</w:t>
            </w:r>
          </w:p>
          <w:p>
            <w:pPr>
              <w:pStyle w:val="null3"/>
            </w:pPr>
            <w:r>
              <w:rPr/>
              <w:t>医院请院内或院外专家，根据国家规范及合同要求范围，组织对项目进行验收。</w:t>
            </w:r>
          </w:p>
          <w:p>
            <w:pPr>
              <w:pStyle w:val="null3"/>
            </w:pPr>
            <w:r>
              <w:rPr/>
              <w:t>（五）违约责任</w:t>
            </w:r>
          </w:p>
          <w:p>
            <w:pPr>
              <w:pStyle w:val="null3"/>
            </w:pPr>
            <w:r>
              <w:rPr/>
              <w:t>1、乙方应按照合同规定的期限完成系统调试、安装、培训、维护、验收，每延迟一天应承担当期应付款 5‰的违约金，违约金累计不超过当期应付款10%。若违约金累计已达上限，乙方仍未履行，甲方有权解除合同。</w:t>
            </w:r>
          </w:p>
          <w:p>
            <w:pPr>
              <w:pStyle w:val="null3"/>
            </w:pPr>
            <w:r>
              <w:rPr/>
              <w:t xml:space="preserve">2、甲、乙双方中任何一方违反本合同第十二条保密条款的，应当向相对方支付合同总价款 1 %的违约金。 </w:t>
            </w:r>
          </w:p>
          <w:p>
            <w:pPr>
              <w:pStyle w:val="null3"/>
            </w:pPr>
            <w:r>
              <w:rPr/>
              <w:t xml:space="preserve">3、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 1 % 的违约金，违约金不足以弥补给甲方造成的损失的，乙方还应当承担补足责任。 </w:t>
            </w:r>
          </w:p>
          <w:p>
            <w:pPr>
              <w:pStyle w:val="null3"/>
            </w:pPr>
            <w:r>
              <w:rPr/>
              <w:t>4、合同成立后，在任何一方无实质违约的情况下，未经对方书面允许，任何一方不得单方撤销、中止、终止履行合同。</w:t>
            </w:r>
          </w:p>
          <w:p>
            <w:pPr>
              <w:pStyle w:val="null3"/>
            </w:pPr>
          </w:p>
        </w:tc>
      </w:tr>
    </w:tbl>
    <w:p>
      <w:pPr>
        <w:pStyle w:val="null3"/>
        <w:outlineLvl w:val="2"/>
      </w:pPr>
      <w:r>
        <w:rPr>
          <w:sz w:val="28"/>
          <w:b/>
        </w:rPr>
        <w:t>3.2.3人员配置要求</w:t>
      </w:r>
    </w:p>
    <w:p>
      <w:pPr>
        <w:pStyle w:val="null3"/>
      </w:pPr>
      <w:r>
        <w:rPr/>
        <w:t>采购包1：</w:t>
      </w:r>
    </w:p>
    <w:p>
      <w:pPr>
        <w:pStyle w:val="null3"/>
      </w:pPr>
      <w:r>
        <w:rPr/>
        <w:t>根据项目内容配备</w:t>
      </w:r>
    </w:p>
    <w:p>
      <w:pPr>
        <w:pStyle w:val="null3"/>
        <w:outlineLvl w:val="2"/>
      </w:pPr>
      <w:r>
        <w:rPr>
          <w:sz w:val="28"/>
          <w:b/>
        </w:rPr>
        <w:t>3.2.4设施设备要求</w:t>
      </w:r>
    </w:p>
    <w:p>
      <w:pPr>
        <w:pStyle w:val="null3"/>
      </w:pPr>
      <w:r>
        <w:rPr/>
        <w:t>采购包1：</w:t>
      </w:r>
    </w:p>
    <w:p>
      <w:pPr>
        <w:pStyle w:val="null3"/>
      </w:pPr>
      <w:r>
        <w:rPr/>
        <w:t>根据项目内容配备</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自合同签订之日起60日</w:t>
      </w:r>
    </w:p>
    <w:p>
      <w:pPr>
        <w:pStyle w:val="null3"/>
        <w:outlineLvl w:val="3"/>
      </w:pPr>
      <w:r>
        <w:rPr>
          <w:sz w:val="24"/>
          <w:b/>
        </w:rPr>
        <w:t>3.3.2服务地点</w:t>
      </w:r>
    </w:p>
    <w:p>
      <w:pPr>
        <w:pStyle w:val="null3"/>
      </w:pPr>
      <w:r>
        <w:rPr/>
        <w:t>采购包1：</w:t>
      </w:r>
    </w:p>
    <w:p>
      <w:pPr>
        <w:pStyle w:val="null3"/>
      </w:pPr>
      <w:r>
        <w:rPr/>
        <w:t>西安市阎良区人民医院</w:t>
      </w:r>
    </w:p>
    <w:p>
      <w:pPr>
        <w:pStyle w:val="null3"/>
        <w:outlineLvl w:val="3"/>
      </w:pPr>
      <w:r>
        <w:rPr>
          <w:sz w:val="24"/>
          <w:b/>
        </w:rPr>
        <w:t>3.3.3考核（验收）标准和方法</w:t>
      </w:r>
    </w:p>
    <w:p>
      <w:pPr>
        <w:pStyle w:val="null3"/>
      </w:pPr>
      <w:r>
        <w:rPr/>
        <w:t>采购包1：</w:t>
      </w:r>
    </w:p>
    <w:p>
      <w:pPr>
        <w:pStyle w:val="null3"/>
      </w:pPr>
      <w:r>
        <w:rPr/>
        <w:t>遵照国家有关规定和合同约定执行</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合同签订后支付合同总价款的40%作为预付款</w:t>
      </w:r>
      <w:r>
        <w:rPr/>
        <w:t xml:space="preserve"> ，达到付款条件起 </w:t>
      </w:r>
      <w:r>
        <w:rPr/>
        <w:t>30</w:t>
      </w:r>
      <w:r>
        <w:rPr/>
        <w:t xml:space="preserve"> 日内，支付合同总金额的 </w:t>
      </w:r>
      <w:r>
        <w:rPr/>
        <w:t>40.00</w:t>
      </w:r>
      <w:r>
        <w:rPr/>
        <w:t>%。</w:t>
      </w:r>
    </w:p>
    <w:p>
      <w:pPr>
        <w:pStyle w:val="null3"/>
      </w:pPr>
      <w:r>
        <w:rPr/>
        <w:t>采购包1：</w:t>
      </w:r>
      <w:r>
        <w:rPr/>
        <w:t xml:space="preserve"> 付款条件说明： </w:t>
      </w:r>
      <w:r>
        <w:rPr/>
        <w:t>项目服务完成，达到医院各个使用科室满意，院领导及各科室负责人签字，医院盖章验收通过后，支付至总价款的90%。</w:t>
      </w:r>
      <w:r>
        <w:rPr/>
        <w:t xml:space="preserve"> ，达到付款条件起 </w:t>
      </w:r>
      <w:r>
        <w:rPr/>
        <w:t>7</w:t>
      </w:r>
      <w:r>
        <w:rPr/>
        <w:t xml:space="preserve"> 日内，支付合同总金额的 </w:t>
      </w:r>
      <w:r>
        <w:rPr/>
        <w:t>50.00</w:t>
      </w:r>
      <w:r>
        <w:rPr/>
        <w:t>%。</w:t>
      </w:r>
    </w:p>
    <w:p>
      <w:pPr>
        <w:pStyle w:val="null3"/>
      </w:pPr>
      <w:r>
        <w:rPr/>
        <w:t>采购包1：</w:t>
      </w:r>
      <w:r>
        <w:rPr/>
        <w:t xml:space="preserve"> 付款条件说明： </w:t>
      </w:r>
      <w:r>
        <w:rPr/>
        <w:t>项目验收后一年后，系统正常运行，无其他问题，支付总价款剩余10%</w:t>
      </w:r>
      <w:r>
        <w:rPr/>
        <w:t xml:space="preserve"> ，达到付款条件起 </w:t>
      </w:r>
      <w:r>
        <w:rPr/>
        <w:t>7</w:t>
      </w:r>
      <w:r>
        <w:rPr/>
        <w:t xml:space="preserve"> 日内，支付合同总金额的 </w:t>
      </w:r>
      <w:r>
        <w:rPr/>
        <w:t>10.00</w:t>
      </w:r>
      <w:r>
        <w:rPr/>
        <w:t>%。</w:t>
      </w:r>
    </w:p>
    <w:p>
      <w:pPr>
        <w:pStyle w:val="null3"/>
        <w:outlineLvl w:val="3"/>
      </w:pPr>
      <w:r>
        <w:rPr>
          <w:sz w:val="24"/>
          <w:b/>
        </w:rPr>
        <w:t>3.3.6违约责任及解决争议的方法</w:t>
      </w:r>
    </w:p>
    <w:p>
      <w:pPr>
        <w:pStyle w:val="null3"/>
      </w:pPr>
      <w:r>
        <w:rPr/>
        <w:t>采购包1：</w:t>
      </w:r>
    </w:p>
    <w:p>
      <w:pPr>
        <w:pStyle w:val="null3"/>
      </w:pPr>
      <w:r>
        <w:rPr/>
        <w:t>1.按《中华人民共和国民法典》中的相关条款执行。 2.未按合同要求提供服务或服务质量不能满足技术要求，采购人有权终止合同，并对供方违约行为进行追究，同时按《中华人民共和国政府采购法》的有关规定进行处罚。 3、在执行本合同中发生的或与本合同有关的争端，双方应通过友好协商解决，经协商在15天内不能达成协议时，应提交西安仲裁委员会仲裁。 4、仲裁裁决应为最终决定，并对双方具有约束力。 5、除另有裁决外，仲裁费应由败诉方负担。 6、在仲裁期间，除正在进行仲裁部分外，合同其他部分继续执行。</w:t>
      </w:r>
    </w:p>
    <w:p>
      <w:pPr>
        <w:pStyle w:val="null3"/>
        <w:outlineLvl w:val="2"/>
      </w:pPr>
      <w:r>
        <w:rPr>
          <w:sz w:val="28"/>
          <w:b/>
        </w:rPr>
        <w:t>3.4其他要求</w:t>
      </w:r>
    </w:p>
    <w:p>
      <w:pPr>
        <w:pStyle w:val="null3"/>
      </w:pPr>
      <w:r>
        <w:rPr/>
        <w:t>成交人在领取成交通知书时提供一正两副纸质竞争性磋商响应文件及电子竞争性磋商响应文件一份（U盘或移动硬盘；电子响应文件为Word版本和PDF版本，PDF文件为签字、盖章的完整正本扫描件）。 装订：纸质竞争性磋商响应文件采用书籍（胶装）方式装订成册，与电子竞争性磋商响应文件一致的签字、盖章的完整版本。</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供应商需在项目电子化交易系统中按要求上传相应证明文件并进行电子签章。此项审查内容与特定资格条件中的第二项“财务状况报告”为同一审查内容。</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供应商需在项目电子化交易系统中按要求填写《投标函》完成承诺并进行电子签章。此项审查内容与特定资格条件中的第九项“控股关系查询”为同一审查内容。</w:t>
            </w:r>
          </w:p>
        </w:tc>
        <w:tc>
          <w:tcPr>
            <w:tcW w:type="dxa" w:w="1661"/>
          </w:tcPr>
          <w:p>
            <w:pPr>
              <w:pStyle w:val="null3"/>
            </w:pPr>
            <w:r>
              <w:rPr/>
              <w:t>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提供投标人合法注册的法人或其他组织的营业执照等证明文件或自然人的身份证明</w:t>
            </w:r>
          </w:p>
        </w:tc>
        <w:tc>
          <w:tcPr>
            <w:tcW w:type="dxa" w:w="3322"/>
          </w:tcPr>
          <w:p>
            <w:pPr>
              <w:pStyle w:val="null3"/>
            </w:pPr>
            <w:r>
              <w:rPr/>
              <w:t>提供投标人合法注册的法人或其他组织的营业执照等证明文件或自然人的身份证明；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财务状况报告：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税收缴纳证明：提供截止至开标时间前一年内任意一个月的缴纳凭据（增值税、企业所得税至少提供一种，依法免税的供应商应提供相关文件证明）；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具有履行本合同所必需的设备和专业技术能力的说明及承诺</w:t>
            </w:r>
          </w:p>
        </w:tc>
        <w:tc>
          <w:tcPr>
            <w:tcW w:type="dxa" w:w="3322"/>
          </w:tcPr>
          <w:p>
            <w:pPr>
              <w:pStyle w:val="null3"/>
            </w:pPr>
            <w:r>
              <w:rPr/>
              <w:t>提供具有履行本合同所必需的设备和专业技术能力的说明及承诺（提供书面说明及承诺，加盖供应商公章）；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参加政府采购活动前三年内在经营活动中没有重大违法记录的书面声明</w:t>
            </w:r>
          </w:p>
        </w:tc>
        <w:tc>
          <w:tcPr>
            <w:tcW w:type="dxa" w:w="3322"/>
          </w:tcPr>
          <w:p>
            <w:pPr>
              <w:pStyle w:val="null3"/>
            </w:pPr>
            <w:r>
              <w:rPr/>
              <w:t>提供参加政府采购活动前三年内在经营活动中没有重大违法记录的书面声明（提供书面声明，加盖供应商公章）；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法定代表人授权委托书</w:t>
            </w:r>
          </w:p>
        </w:tc>
        <w:tc>
          <w:tcPr>
            <w:tcW w:type="dxa" w:w="3322"/>
          </w:tcPr>
          <w:p>
            <w:pPr>
              <w:pStyle w:val="null3"/>
            </w:pPr>
            <w:r>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投标文件格式）；</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信用查询</w:t>
            </w:r>
          </w:p>
        </w:tc>
        <w:tc>
          <w:tcPr>
            <w:tcW w:type="dxa" w:w="3322"/>
          </w:tcPr>
          <w:p>
            <w:pPr>
              <w:pStyle w:val="null3"/>
            </w:pPr>
            <w:r>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投标截止日当天在“信用中国”网站和中国政府采购网站进行查询，截图留档；如网站无供应商信息的，供应商须提供相关证明资料或书面声明）；</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控股关系查询</w:t>
            </w:r>
          </w:p>
        </w:tc>
        <w:tc>
          <w:tcPr>
            <w:tcW w:type="dxa" w:w="3322"/>
          </w:tcPr>
          <w:p>
            <w:pPr>
              <w:pStyle w:val="null3"/>
            </w:pPr>
            <w:r>
              <w:rPr/>
              <w:t>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编制格式</w:t>
            </w:r>
          </w:p>
        </w:tc>
        <w:tc>
          <w:tcPr>
            <w:tcW w:type="dxa" w:w="3322"/>
          </w:tcPr>
          <w:p>
            <w:pPr>
              <w:pStyle w:val="null3"/>
            </w:pPr>
            <w:r>
              <w:rPr/>
              <w:t>除明确允许供应商可以自行编写的外，响应文件文件必须按照竞争性磋商文件给定的格式和要求编制</w:t>
            </w:r>
          </w:p>
        </w:tc>
        <w:tc>
          <w:tcPr>
            <w:tcW w:type="dxa" w:w="1661"/>
          </w:tcPr>
          <w:p>
            <w:pPr>
              <w:pStyle w:val="null3"/>
            </w:pPr>
            <w:r>
              <w:rPr/>
              <w:t>产品渠道 供应商参与政府采购活动的承诺函 中小企业声明函 业绩 商务应答表 技术指标响应情况 总体服务实施方案 服务内容及服务要求应答表 报价表 服务保障 拒绝政府采购领域商业贿赂承诺书 日常运维保障 响应文件封面 资格证明文件 备品备件计划 质量保证 培训方案 残疾人福利性单位声明函 拟派项目组人员 供应商有必要说明的其他事项 标的清单 响应函 监狱企业的证明文件</w:t>
            </w:r>
          </w:p>
        </w:tc>
      </w:tr>
      <w:tr>
        <w:tc>
          <w:tcPr>
            <w:tcW w:type="dxa" w:w="831"/>
          </w:tcPr>
          <w:p>
            <w:pPr>
              <w:pStyle w:val="null3"/>
            </w:pPr>
            <w:r>
              <w:rPr/>
              <w:t>3</w:t>
            </w:r>
          </w:p>
        </w:tc>
        <w:tc>
          <w:tcPr>
            <w:tcW w:type="dxa" w:w="2492"/>
          </w:tcPr>
          <w:p>
            <w:pPr>
              <w:pStyle w:val="null3"/>
            </w:pPr>
            <w:r>
              <w:rPr/>
              <w:t>签章</w:t>
            </w:r>
          </w:p>
        </w:tc>
        <w:tc>
          <w:tcPr>
            <w:tcW w:type="dxa" w:w="3322"/>
          </w:tcPr>
          <w:p>
            <w:pPr>
              <w:pStyle w:val="null3"/>
            </w:pPr>
            <w:r>
              <w:rPr/>
              <w:t>签章均符合文件要求，且无遗漏</w:t>
            </w:r>
          </w:p>
        </w:tc>
        <w:tc>
          <w:tcPr>
            <w:tcW w:type="dxa" w:w="1661"/>
          </w:tcPr>
          <w:p>
            <w:pPr>
              <w:pStyle w:val="null3"/>
            </w:pPr>
            <w:r>
              <w:rPr/>
              <w:t>产品渠道 供应商参与政府采购活动的承诺函 中小企业声明函 业绩 商务应答表 技术指标响应情况 总体服务实施方案 服务内容及服务要求应答表 报价表 服务保障 拒绝政府采购领域商业贿赂承诺书 日常运维保障 响应文件封面 资格证明文件 备品备件计划 质量保证 培训方案 残疾人福利性单位声明函 拟派项目组人员 供应商有必要说明的其他事项 标的清单 响应函 监狱企业的证明文件</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符合竞争性磋商文件的要求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报价</w:t>
            </w:r>
          </w:p>
        </w:tc>
        <w:tc>
          <w:tcPr>
            <w:tcW w:type="dxa" w:w="3322"/>
          </w:tcPr>
          <w:p>
            <w:pPr>
              <w:pStyle w:val="null3"/>
            </w:pPr>
            <w:r>
              <w:rPr/>
              <w:t>投标报价未超过采购预算</w:t>
            </w:r>
          </w:p>
        </w:tc>
        <w:tc>
          <w:tcPr>
            <w:tcW w:type="dxa" w:w="1661"/>
          </w:tcPr>
          <w:p>
            <w:pPr>
              <w:pStyle w:val="null3"/>
            </w:pPr>
            <w:r>
              <w:rPr/>
              <w:t>标的清单 报价表</w:t>
            </w:r>
          </w:p>
        </w:tc>
      </w:tr>
      <w:tr>
        <w:tc>
          <w:tcPr>
            <w:tcW w:type="dxa" w:w="831"/>
          </w:tcPr>
          <w:p>
            <w:pPr>
              <w:pStyle w:val="null3"/>
            </w:pPr>
            <w:r>
              <w:rPr/>
              <w:t>6</w:t>
            </w:r>
          </w:p>
        </w:tc>
        <w:tc>
          <w:tcPr>
            <w:tcW w:type="dxa" w:w="2492"/>
          </w:tcPr>
          <w:p>
            <w:pPr>
              <w:pStyle w:val="null3"/>
            </w:pPr>
            <w:r>
              <w:rPr/>
              <w:t>实质性条款响应</w:t>
            </w:r>
          </w:p>
        </w:tc>
        <w:tc>
          <w:tcPr>
            <w:tcW w:type="dxa" w:w="3322"/>
          </w:tcPr>
          <w:p>
            <w:pPr>
              <w:pStyle w:val="null3"/>
            </w:pPr>
            <w:r>
              <w:rPr/>
              <w:t>是否对磋商文件商务要求作出明确且实质性响应；是否对磋商文件技术要求作出明确响应，对不得偏离的要求是否作出实质性响应。</w:t>
            </w:r>
          </w:p>
        </w:tc>
        <w:tc>
          <w:tcPr>
            <w:tcW w:type="dxa" w:w="1661"/>
          </w:tcPr>
          <w:p>
            <w:pPr>
              <w:pStyle w:val="null3"/>
            </w:pPr>
            <w:r>
              <w:rPr/>
              <w:t>商务应答表 服务内容及服务要求应答表</w:t>
            </w:r>
          </w:p>
        </w:tc>
      </w:tr>
      <w:tr>
        <w:tc>
          <w:tcPr>
            <w:tcW w:type="dxa" w:w="831"/>
          </w:tcPr>
          <w:p>
            <w:pPr>
              <w:pStyle w:val="null3"/>
            </w:pPr>
            <w:r>
              <w:rPr/>
              <w:t>7</w:t>
            </w:r>
          </w:p>
        </w:tc>
        <w:tc>
          <w:tcPr>
            <w:tcW w:type="dxa" w:w="2492"/>
          </w:tcPr>
          <w:p>
            <w:pPr>
              <w:pStyle w:val="null3"/>
            </w:pPr>
            <w:r>
              <w:rPr/>
              <w:t>其他</w:t>
            </w:r>
          </w:p>
        </w:tc>
        <w:tc>
          <w:tcPr>
            <w:tcW w:type="dxa" w:w="3322"/>
          </w:tcPr>
          <w:p>
            <w:pPr>
              <w:pStyle w:val="null3"/>
            </w:pPr>
            <w:r>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t>产品渠道 供应商参与政府采购活动的承诺函 中小企业声明函 业绩 商务应答表 技术指标响应情况 总体服务实施方案 服务内容及服务要求应答表 报价表 服务保障 拒绝政府采购领域商业贿赂承诺书 日常运维保障 响应文件封面 资格证明文件 备品备件计划 质量保证 培训方案 残疾人福利性单位声明函 拟派项目组人员 供应商有必要说明的其他事项 标的清单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技术指标响应情况</w:t>
            </w:r>
          </w:p>
        </w:tc>
        <w:tc>
          <w:tcPr>
            <w:tcW w:type="dxa" w:w="2492"/>
          </w:tcPr>
          <w:p>
            <w:pPr>
              <w:pStyle w:val="null3"/>
            </w:pPr>
            <w:r>
              <w:rPr/>
              <w:t>根据供应商针对本项目拟投主要产品的技术指标响应情况进行评审，完全符合、响应竞争性磋商文件要求，没有负偏离的得20分。技术内容及要求每有负偏离一项的扣0.5分，扣完为止； 备注：技术参数须提供佐证材料，包括但不限于：经厂家确认的产品彩页、检测报告、官网截图等证明材料，佐证材料须包含产品的技术参数，如为外文版本，须附简体中文翻译相关文件并按要求编入响应文件中）</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技术指标响应情况</w:t>
            </w:r>
          </w:p>
        </w:tc>
      </w:tr>
      <w:tr>
        <w:tc>
          <w:tcPr>
            <w:tcW w:type="dxa" w:w="831"/>
            <w:vMerge/>
          </w:tcPr>
          <w:p/>
        </w:tc>
        <w:tc>
          <w:tcPr>
            <w:tcW w:type="dxa" w:w="1661"/>
          </w:tcPr>
          <w:p>
            <w:pPr>
              <w:pStyle w:val="null3"/>
            </w:pPr>
            <w:r>
              <w:rPr/>
              <w:t>总体服务实施方案1</w:t>
            </w:r>
          </w:p>
        </w:tc>
        <w:tc>
          <w:tcPr>
            <w:tcW w:type="dxa" w:w="2492"/>
          </w:tcPr>
          <w:p>
            <w:pPr>
              <w:pStyle w:val="null3"/>
            </w:pPr>
            <w:r>
              <w:rPr/>
              <w:t>项目的认识与理解： 根据供应商对采购人目前项目现状有充分的认识、分析与理解进行评审： 对采购人现状十分了解，分析方案贴切采购人现状，完全满足采购人实际需求的得5分； 对采购人现状相对了解，分析方案较贴近采购人现状，能够达到使用需求的得3分， 对采购人现状了解不透彻，分析部分偏离采购人现状的得2分； 未对采购人现状进行了解，分析完全偏离采购人现状的得1分； 未提供的得0分。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总体服务实施方案</w:t>
            </w:r>
          </w:p>
        </w:tc>
      </w:tr>
      <w:tr>
        <w:tc>
          <w:tcPr>
            <w:tcW w:type="dxa" w:w="831"/>
            <w:vMerge/>
          </w:tcPr>
          <w:p/>
        </w:tc>
        <w:tc>
          <w:tcPr>
            <w:tcW w:type="dxa" w:w="1661"/>
          </w:tcPr>
          <w:p>
            <w:pPr>
              <w:pStyle w:val="null3"/>
            </w:pPr>
            <w:r>
              <w:rPr/>
              <w:t>总体服务实施方案2</w:t>
            </w:r>
          </w:p>
        </w:tc>
        <w:tc>
          <w:tcPr>
            <w:tcW w:type="dxa" w:w="2492"/>
          </w:tcPr>
          <w:p>
            <w:pPr>
              <w:pStyle w:val="null3"/>
            </w:pPr>
            <w:r>
              <w:rPr/>
              <w:t>根据供应商对采购人目前项目现状提供的总体实施方案进行评审： ①总体服务思路符合本项目实际需求，具有可行性和科学性；内容完整全面、详细具体、流程规范，计10分； ②总体方案内容完整，流程规范，但内容体系条理不清晰，计8分； ③总体方案内容总体简单、流程无重点，计4分； ④总体方案只有粗略描述、无实质性内容，计1分； ⑤未提供相关内容的不计分。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总体服务实施方案</w:t>
            </w:r>
          </w:p>
        </w:tc>
      </w:tr>
      <w:tr>
        <w:tc>
          <w:tcPr>
            <w:tcW w:type="dxa" w:w="831"/>
            <w:vMerge/>
          </w:tcPr>
          <w:p/>
        </w:tc>
        <w:tc>
          <w:tcPr>
            <w:tcW w:type="dxa" w:w="1661"/>
          </w:tcPr>
          <w:p>
            <w:pPr>
              <w:pStyle w:val="null3"/>
            </w:pPr>
            <w:r>
              <w:rPr/>
              <w:t>备品备件计划</w:t>
            </w:r>
          </w:p>
        </w:tc>
        <w:tc>
          <w:tcPr>
            <w:tcW w:type="dxa" w:w="2492"/>
          </w:tcPr>
          <w:p>
            <w:pPr>
              <w:pStyle w:val="null3"/>
            </w:pPr>
            <w:r>
              <w:rPr/>
              <w:t>投标人针对本项目具有充足的备品备件计划。 ①产品及备品、配件货源渠道正常，有质量保证，确保无假货、水 货、翻新货，技术资料齐全，无产权纠纷的计5分； ②备品备件不齐全的，无清晰的配件货源渠道的计3分； ③未提供的不计分。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备品备件计划</w:t>
            </w:r>
          </w:p>
        </w:tc>
      </w:tr>
      <w:tr>
        <w:tc>
          <w:tcPr>
            <w:tcW w:type="dxa" w:w="831"/>
            <w:vMerge/>
          </w:tcPr>
          <w:p/>
        </w:tc>
        <w:tc>
          <w:tcPr>
            <w:tcW w:type="dxa" w:w="1661"/>
          </w:tcPr>
          <w:p>
            <w:pPr>
              <w:pStyle w:val="null3"/>
            </w:pPr>
            <w:r>
              <w:rPr/>
              <w:t>日常运维保障</w:t>
            </w:r>
          </w:p>
        </w:tc>
        <w:tc>
          <w:tcPr>
            <w:tcW w:type="dxa" w:w="2492"/>
          </w:tcPr>
          <w:p>
            <w:pPr>
              <w:pStyle w:val="null3"/>
            </w:pPr>
            <w:r>
              <w:rPr/>
              <w:t>根据供应商对本项目建设和日常运行保障提供具体实施方案进行评审： 内容全面、完善，实操性强，建设和日常运行保障方案完好的得5分； 内容相对全面，实操相对可行，建设和日常运行保障方案满足采购人实际需求的得3分； 内容不全面，实操无法满足采购人需求，缺项、漏项严重的得1分； 未提供的得0分。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日常运维保障</w:t>
            </w:r>
          </w:p>
        </w:tc>
      </w:tr>
      <w:tr>
        <w:tc>
          <w:tcPr>
            <w:tcW w:type="dxa" w:w="831"/>
            <w:vMerge/>
          </w:tcPr>
          <w:p/>
        </w:tc>
        <w:tc>
          <w:tcPr>
            <w:tcW w:type="dxa" w:w="1661"/>
          </w:tcPr>
          <w:p>
            <w:pPr>
              <w:pStyle w:val="null3"/>
            </w:pPr>
            <w:r>
              <w:rPr/>
              <w:t>产品渠道</w:t>
            </w:r>
          </w:p>
        </w:tc>
        <w:tc>
          <w:tcPr>
            <w:tcW w:type="dxa" w:w="2492"/>
          </w:tcPr>
          <w:p>
            <w:pPr>
              <w:pStyle w:val="null3"/>
            </w:pPr>
            <w:r>
              <w:rPr/>
              <w:t>能提供所投全部产品的合法来源渠道证明文件（包括但不限于产品制造商授权、销售协议、代理协议、原厂授权等）的计5分，不提供或提供不完整不计分。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产品渠道</w:t>
            </w:r>
          </w:p>
        </w:tc>
      </w:tr>
      <w:tr>
        <w:tc>
          <w:tcPr>
            <w:tcW w:type="dxa" w:w="831"/>
            <w:vMerge/>
          </w:tcPr>
          <w:p/>
        </w:tc>
        <w:tc>
          <w:tcPr>
            <w:tcW w:type="dxa" w:w="1661"/>
          </w:tcPr>
          <w:p>
            <w:pPr>
              <w:pStyle w:val="null3"/>
            </w:pPr>
            <w:r>
              <w:rPr/>
              <w:t>质量保证</w:t>
            </w:r>
          </w:p>
        </w:tc>
        <w:tc>
          <w:tcPr>
            <w:tcW w:type="dxa" w:w="2492"/>
          </w:tcPr>
          <w:p>
            <w:pPr>
              <w:pStyle w:val="null3"/>
            </w:pPr>
            <w:r>
              <w:rPr/>
              <w:t>所投产品制造厂家有可靠、完善的管理制度；产品质量承诺及保证措施；有足够的设计、工艺、加工、检验能力；所投产品符合国际、国内相关标准，有具体可行的质量保证承诺，保证使用单位能熟练操作维护和正常使用。 ①内容具体、完整、详细、全面的计10分； ②内容一项欠缺的或质量保证承诺内容不切合本项目实际情况的或不具备相关检验能力的或保证措施内容不具体的或条理不清晰的计8分； ③内容有两项欠缺或有框架，无实质性内容的或无产品质量承诺的计4分； ④内容有严重缺项的或只用简单话语概括的计1分； ⑤未提供相关内容的不计分。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质量保证</w:t>
            </w:r>
          </w:p>
        </w:tc>
      </w:tr>
      <w:tr>
        <w:tc>
          <w:tcPr>
            <w:tcW w:type="dxa" w:w="831"/>
            <w:vMerge/>
          </w:tcPr>
          <w:p/>
        </w:tc>
        <w:tc>
          <w:tcPr>
            <w:tcW w:type="dxa" w:w="1661"/>
          </w:tcPr>
          <w:p>
            <w:pPr>
              <w:pStyle w:val="null3"/>
            </w:pPr>
            <w:r>
              <w:rPr/>
              <w:t>服务保障</w:t>
            </w:r>
          </w:p>
        </w:tc>
        <w:tc>
          <w:tcPr>
            <w:tcW w:type="dxa" w:w="2492"/>
          </w:tcPr>
          <w:p>
            <w:pPr>
              <w:pStyle w:val="null3"/>
            </w:pPr>
            <w:r>
              <w:rPr/>
              <w:t>根据供应商针对本项目具有相应的服务保障，能够保证平台正常运转。针对设备发生不同类型故障后的到达现场时间、解决故障时间、补救措施方面的响应时间、维保期限有明确方案及承诺进行评审： 方案充实详细、有质量保证承诺，具体可行的得5分； 服务承诺内容有重点，但无服务保障措施的得3分； 服务承诺只有简单描述无实质性内容、无可行性的得1分； 未提供的得0分。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服务保障</w:t>
            </w:r>
          </w:p>
        </w:tc>
      </w:tr>
      <w:tr>
        <w:tc>
          <w:tcPr>
            <w:tcW w:type="dxa" w:w="831"/>
            <w:vMerge/>
          </w:tcPr>
          <w:p/>
        </w:tc>
        <w:tc>
          <w:tcPr>
            <w:tcW w:type="dxa" w:w="1661"/>
          </w:tcPr>
          <w:p>
            <w:pPr>
              <w:pStyle w:val="null3"/>
            </w:pPr>
            <w:r>
              <w:rPr/>
              <w:t>拟派项目组人员1</w:t>
            </w:r>
          </w:p>
        </w:tc>
        <w:tc>
          <w:tcPr>
            <w:tcW w:type="dxa" w:w="2492"/>
          </w:tcPr>
          <w:p>
            <w:pPr>
              <w:pStyle w:val="null3"/>
            </w:pPr>
            <w:r>
              <w:rPr/>
              <w:t>项目组织管理机构设置及人员分工安排合理、职责划分明确的计5分；管理机构设置简单或人员、分工不合理的或职责划分不明确的计3分；只有框架无实质性内容的或只有简单概述的或欠缺的计1分，未提供相关内容的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拟派项目组人员</w:t>
            </w:r>
          </w:p>
        </w:tc>
      </w:tr>
      <w:tr>
        <w:tc>
          <w:tcPr>
            <w:tcW w:type="dxa" w:w="831"/>
            <w:vMerge/>
          </w:tcPr>
          <w:p/>
        </w:tc>
        <w:tc>
          <w:tcPr>
            <w:tcW w:type="dxa" w:w="1661"/>
          </w:tcPr>
          <w:p>
            <w:pPr>
              <w:pStyle w:val="null3"/>
            </w:pPr>
            <w:r>
              <w:rPr/>
              <w:t>拟派项目组人员2</w:t>
            </w:r>
          </w:p>
        </w:tc>
        <w:tc>
          <w:tcPr>
            <w:tcW w:type="dxa" w:w="2492"/>
          </w:tcPr>
          <w:p>
            <w:pPr>
              <w:pStyle w:val="null3"/>
            </w:pPr>
            <w:r>
              <w:rPr/>
              <w:t>拟派项目负责人及项目组成人员资质优良，结合从业年限、工作经验及业绩等因素，资质优良，经验丰富的计5分；组成人员工作经验不足，从业年限及经验欠佳的计3分；无工作经验或只有项目负责人有工作经验或无相关工作经验的计1分，未提供相关内容的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拟派项目组人员</w:t>
            </w:r>
          </w:p>
        </w:tc>
      </w:tr>
      <w:tr>
        <w:tc>
          <w:tcPr>
            <w:tcW w:type="dxa" w:w="831"/>
            <w:vMerge/>
          </w:tcPr>
          <w:p/>
        </w:tc>
        <w:tc>
          <w:tcPr>
            <w:tcW w:type="dxa" w:w="1661"/>
          </w:tcPr>
          <w:p>
            <w:pPr>
              <w:pStyle w:val="null3"/>
            </w:pPr>
            <w:r>
              <w:rPr/>
              <w:t>培训方案</w:t>
            </w:r>
          </w:p>
        </w:tc>
        <w:tc>
          <w:tcPr>
            <w:tcW w:type="dxa" w:w="2492"/>
          </w:tcPr>
          <w:p>
            <w:pPr>
              <w:pStyle w:val="null3"/>
            </w:pPr>
            <w:r>
              <w:rPr/>
              <w:t>定期提供优质的服务培训，提供培训方式、时间、地点、人员、培训内容。 ①内容具体、完整、详细、全面的计5分； ②内容有1项缺项，计3分； ③内容有2项以上缺项，计1分； ④未提供培训方案及与培训方案有关内容的不计分。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业绩</w:t>
            </w:r>
          </w:p>
        </w:tc>
        <w:tc>
          <w:tcPr>
            <w:tcW w:type="dxa" w:w="2492"/>
          </w:tcPr>
          <w:p>
            <w:pPr>
              <w:pStyle w:val="null3"/>
            </w:pPr>
            <w:r>
              <w:rPr/>
              <w:t>近三年（2021年12月1日至磋商响应文件截止时间）供应商曾参与过类似服务项目的业绩的情况，须提供合同复印件等证明材料（所提供的合同可以不牵涉到金额等相关商业机密信息，但必须提供合同双方签署页及合同签署双方的完整信息进行评审）。每提供一个有效业绩证明材料得2分，最高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详见附件：服务内容及服务要求应答表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详见附件：资格证明文件</w:t>
      </w:r>
    </w:p>
    <w:p>
      <w:pPr>
        <w:pStyle w:val="null3"/>
        <w:ind w:firstLine="960"/>
      </w:pPr>
      <w:r>
        <w:rPr/>
        <w:t>详见附件：技术指标响应情况</w:t>
      </w:r>
    </w:p>
    <w:p>
      <w:pPr>
        <w:pStyle w:val="null3"/>
        <w:ind w:firstLine="960"/>
      </w:pPr>
      <w:r>
        <w:rPr/>
        <w:t>详见附件：总体服务实施方案</w:t>
      </w:r>
    </w:p>
    <w:p>
      <w:pPr>
        <w:pStyle w:val="null3"/>
        <w:ind w:firstLine="960"/>
      </w:pPr>
      <w:r>
        <w:rPr/>
        <w:t>详见附件：备品备件计划</w:t>
      </w:r>
    </w:p>
    <w:p>
      <w:pPr>
        <w:pStyle w:val="null3"/>
        <w:ind w:firstLine="960"/>
      </w:pPr>
      <w:r>
        <w:rPr/>
        <w:t>详见附件：日常运维保障</w:t>
      </w:r>
    </w:p>
    <w:p>
      <w:pPr>
        <w:pStyle w:val="null3"/>
        <w:ind w:firstLine="960"/>
      </w:pPr>
      <w:r>
        <w:rPr/>
        <w:t>详见附件：产品渠道</w:t>
      </w:r>
    </w:p>
    <w:p>
      <w:pPr>
        <w:pStyle w:val="null3"/>
        <w:ind w:firstLine="960"/>
      </w:pPr>
      <w:r>
        <w:rPr/>
        <w:t>详见附件：质量保证</w:t>
      </w:r>
    </w:p>
    <w:p>
      <w:pPr>
        <w:pStyle w:val="null3"/>
        <w:ind w:firstLine="960"/>
      </w:pPr>
      <w:r>
        <w:rPr/>
        <w:t>详见附件：服务保障</w:t>
      </w:r>
    </w:p>
    <w:p>
      <w:pPr>
        <w:pStyle w:val="null3"/>
        <w:ind w:firstLine="960"/>
      </w:pPr>
      <w:r>
        <w:rPr/>
        <w:t>详见附件：拟派项目组人员</w:t>
      </w:r>
    </w:p>
    <w:p>
      <w:pPr>
        <w:pStyle w:val="null3"/>
        <w:ind w:firstLine="960"/>
      </w:pPr>
      <w:r>
        <w:rPr/>
        <w:t>详见附件：培训方案</w:t>
      </w:r>
    </w:p>
    <w:p>
      <w:pPr>
        <w:pStyle w:val="null3"/>
        <w:ind w:firstLine="960"/>
      </w:pPr>
      <w:r>
        <w:rPr/>
        <w:t>详见附件：业绩</w:t>
      </w:r>
    </w:p>
    <w:p>
      <w:pPr>
        <w:pStyle w:val="null3"/>
        <w:ind w:firstLine="960"/>
      </w:pPr>
      <w:r>
        <w:rPr/>
        <w:t>详见附件：供应商有必要说明的其他事项</w:t>
      </w:r>
    </w:p>
    <w:p>
      <w:pPr>
        <w:pStyle w:val="null3"/>
        <w:ind w:firstLine="960"/>
      </w:pPr>
      <w:r>
        <w:rPr/>
        <w:t>详见附件：拒绝政府采购领域商业贿赂承诺书</w:t>
      </w:r>
    </w:p>
    <w:p>
      <w:pPr>
        <w:pStyle w:val="null3"/>
        <w:ind w:firstLine="960"/>
      </w:pPr>
      <w:r>
        <w:rPr/>
        <w:t>详见附件：供应商参与政府采购活动的承诺函</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