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5965DCC">
      <w:pPr>
        <w:shd w:val="clear" w:color="auto" w:fill="FFFFFF"/>
        <w:rPr>
          <w:b/>
          <w:sz w:val="24"/>
          <w:szCs w:val="24"/>
        </w:rPr>
      </w:pPr>
    </w:p>
    <w:p w14:paraId="5E9481CB">
      <w:pPr>
        <w:shd w:val="clear" w:color="auto" w:fill="FFFFFF"/>
        <w:jc w:val="center"/>
        <w:rPr>
          <w:b/>
          <w:sz w:val="24"/>
          <w:szCs w:val="24"/>
        </w:rPr>
      </w:pPr>
    </w:p>
    <w:p w14:paraId="3D963F4F">
      <w:pPr>
        <w:shd w:val="clear" w:color="auto" w:fill="FFFFFF"/>
        <w:jc w:val="center"/>
        <w:rPr>
          <w:b/>
          <w:sz w:val="24"/>
          <w:szCs w:val="24"/>
        </w:rPr>
      </w:pPr>
    </w:p>
    <w:p w14:paraId="7D95F395">
      <w:pPr>
        <w:shd w:val="clear" w:color="auto" w:fill="FFFFFF"/>
        <w:jc w:val="center"/>
        <w:rPr>
          <w:b/>
          <w:sz w:val="24"/>
          <w:szCs w:val="24"/>
        </w:rPr>
      </w:pPr>
    </w:p>
    <w:p w14:paraId="67E54CD1">
      <w:pPr>
        <w:pStyle w:val="9"/>
      </w:pPr>
    </w:p>
    <w:p w14:paraId="15F2C266"/>
    <w:p w14:paraId="43A467AC">
      <w:pPr>
        <w:shd w:val="clear" w:color="auto" w:fill="FFFFFF"/>
        <w:jc w:val="center"/>
        <w:rPr>
          <w:b/>
          <w:sz w:val="24"/>
          <w:szCs w:val="24"/>
        </w:rPr>
      </w:pPr>
    </w:p>
    <w:p w14:paraId="2AABFA94">
      <w:pPr>
        <w:shd w:val="clear" w:color="auto" w:fill="FFFFFF"/>
        <w:jc w:val="center"/>
        <w:rPr>
          <w:b/>
          <w:sz w:val="24"/>
          <w:szCs w:val="24"/>
        </w:rPr>
      </w:pPr>
    </w:p>
    <w:p w14:paraId="325832CA">
      <w:pPr>
        <w:shd w:val="clear" w:color="auto" w:fill="FFFFFF"/>
        <w:jc w:val="center"/>
        <w:rPr>
          <w:b/>
          <w:sz w:val="84"/>
          <w:szCs w:val="84"/>
        </w:rPr>
      </w:pPr>
      <w:r>
        <w:rPr>
          <w:b/>
          <w:sz w:val="84"/>
          <w:szCs w:val="84"/>
        </w:rPr>
        <w:t>竞争性磋商文件</w:t>
      </w:r>
    </w:p>
    <w:p w14:paraId="22255F6C">
      <w:pPr>
        <w:shd w:val="clear" w:color="auto" w:fill="FFFFFF"/>
        <w:jc w:val="center"/>
        <w:rPr>
          <w:b/>
          <w:sz w:val="24"/>
          <w:szCs w:val="24"/>
        </w:rPr>
      </w:pPr>
    </w:p>
    <w:p w14:paraId="2B7541A8">
      <w:pPr>
        <w:shd w:val="clear" w:color="auto" w:fill="FFFFFF"/>
        <w:jc w:val="center"/>
        <w:rPr>
          <w:b/>
          <w:sz w:val="24"/>
          <w:szCs w:val="24"/>
        </w:rPr>
      </w:pPr>
    </w:p>
    <w:p w14:paraId="2270579B">
      <w:pPr>
        <w:shd w:val="clear" w:color="auto" w:fill="FFFFFF"/>
        <w:jc w:val="center"/>
        <w:rPr>
          <w:b/>
          <w:sz w:val="24"/>
          <w:szCs w:val="24"/>
        </w:rPr>
      </w:pPr>
    </w:p>
    <w:p w14:paraId="7CB77C1F">
      <w:pPr>
        <w:shd w:val="clear" w:color="auto" w:fill="FFFFFF"/>
        <w:jc w:val="center"/>
        <w:rPr>
          <w:b/>
          <w:sz w:val="24"/>
          <w:szCs w:val="24"/>
        </w:rPr>
      </w:pPr>
    </w:p>
    <w:p w14:paraId="01C6C7E8">
      <w:pPr>
        <w:shd w:val="clear" w:color="auto" w:fill="FFFFFF"/>
        <w:jc w:val="center"/>
        <w:rPr>
          <w:b/>
          <w:sz w:val="24"/>
          <w:szCs w:val="24"/>
        </w:rPr>
      </w:pPr>
    </w:p>
    <w:p w14:paraId="4E252DA6">
      <w:pPr>
        <w:shd w:val="clear" w:color="auto" w:fill="FFFFFF"/>
        <w:jc w:val="center"/>
        <w:rPr>
          <w:b/>
          <w:sz w:val="24"/>
          <w:szCs w:val="24"/>
        </w:rPr>
      </w:pPr>
    </w:p>
    <w:p w14:paraId="284258BE">
      <w:pPr>
        <w:ind w:left="1968" w:leftChars="268" w:hanging="1405" w:hangingChars="500"/>
        <w:jc w:val="left"/>
        <w:rPr>
          <w:rFonts w:hint="eastAsia" w:eastAsia="宋体"/>
          <w:b/>
          <w:kern w:val="0"/>
          <w:sz w:val="28"/>
          <w:szCs w:val="28"/>
          <w:lang w:eastAsia="zh-CN"/>
        </w:rPr>
      </w:pPr>
      <w:r>
        <w:rPr>
          <w:b/>
          <w:kern w:val="0"/>
          <w:sz w:val="28"/>
          <w:szCs w:val="28"/>
        </w:rPr>
        <w:t>项目名称：</w:t>
      </w:r>
      <w:r>
        <w:rPr>
          <w:rFonts w:hint="eastAsia"/>
          <w:b/>
          <w:kern w:val="0"/>
          <w:sz w:val="28"/>
          <w:szCs w:val="28"/>
        </w:rPr>
        <w:t>西安市第八医院DRG管理平台服务采购项目</w:t>
      </w:r>
      <w:r>
        <w:rPr>
          <w:rFonts w:hint="eastAsia"/>
          <w:b/>
          <w:kern w:val="0"/>
          <w:sz w:val="28"/>
          <w:szCs w:val="28"/>
          <w:lang w:eastAsia="zh-CN"/>
        </w:rPr>
        <w:t>（</w:t>
      </w:r>
      <w:r>
        <w:rPr>
          <w:rFonts w:hint="eastAsia"/>
          <w:b/>
          <w:kern w:val="0"/>
          <w:sz w:val="28"/>
          <w:szCs w:val="28"/>
          <w:lang w:val="en-US" w:eastAsia="zh-CN"/>
        </w:rPr>
        <w:t>二次</w:t>
      </w:r>
      <w:r>
        <w:rPr>
          <w:rFonts w:hint="eastAsia"/>
          <w:b/>
          <w:kern w:val="0"/>
          <w:sz w:val="28"/>
          <w:szCs w:val="28"/>
          <w:lang w:eastAsia="zh-CN"/>
        </w:rPr>
        <w:t>）</w:t>
      </w:r>
    </w:p>
    <w:p w14:paraId="1C8D5BD6">
      <w:pPr>
        <w:pStyle w:val="9"/>
        <w:spacing w:after="0"/>
        <w:ind w:firstLine="562" w:firstLineChars="200"/>
        <w:rPr>
          <w:rFonts w:hint="default" w:eastAsia="宋体"/>
          <w:sz w:val="20"/>
          <w:szCs w:val="18"/>
          <w:lang w:val="en-US" w:eastAsia="zh-CN"/>
        </w:rPr>
      </w:pPr>
      <w:r>
        <w:rPr>
          <w:b/>
          <w:kern w:val="0"/>
          <w:sz w:val="28"/>
          <w:szCs w:val="28"/>
        </w:rPr>
        <w:t>项目编号：</w:t>
      </w:r>
      <w:r>
        <w:rPr>
          <w:rFonts w:hint="eastAsia"/>
          <w:b/>
          <w:kern w:val="0"/>
          <w:sz w:val="28"/>
          <w:szCs w:val="28"/>
        </w:rPr>
        <w:t>OTXA-</w:t>
      </w:r>
      <w:r>
        <w:rPr>
          <w:rFonts w:hint="eastAsia"/>
          <w:b/>
          <w:kern w:val="0"/>
          <w:sz w:val="28"/>
          <w:szCs w:val="28"/>
          <w:lang w:val="en-US" w:eastAsia="zh-CN"/>
        </w:rPr>
        <w:t>2410221415</w:t>
      </w:r>
    </w:p>
    <w:p w14:paraId="53C3AF55">
      <w:pPr>
        <w:ind w:firstLine="562" w:firstLineChars="200"/>
        <w:jc w:val="left"/>
        <w:rPr>
          <w:b/>
          <w:kern w:val="0"/>
          <w:sz w:val="28"/>
          <w:szCs w:val="28"/>
        </w:rPr>
      </w:pPr>
      <w:r>
        <w:rPr>
          <w:rFonts w:hint="eastAsia"/>
          <w:b/>
          <w:kern w:val="0"/>
          <w:sz w:val="28"/>
          <w:szCs w:val="28"/>
        </w:rPr>
        <w:t>采购内容：DRG管理平台</w:t>
      </w:r>
    </w:p>
    <w:p w14:paraId="3EFB11B9">
      <w:pPr>
        <w:shd w:val="clear" w:color="auto" w:fill="FFFFFF"/>
        <w:jc w:val="center"/>
        <w:rPr>
          <w:sz w:val="22"/>
          <w:szCs w:val="22"/>
        </w:rPr>
      </w:pPr>
    </w:p>
    <w:p w14:paraId="24DA0332">
      <w:pPr>
        <w:shd w:val="clear" w:color="auto" w:fill="FFFFFF"/>
        <w:rPr>
          <w:sz w:val="22"/>
          <w:szCs w:val="22"/>
        </w:rPr>
      </w:pPr>
    </w:p>
    <w:p w14:paraId="7FFBA0A4">
      <w:pPr>
        <w:shd w:val="clear" w:color="auto" w:fill="FFFFFF"/>
        <w:rPr>
          <w:sz w:val="22"/>
          <w:szCs w:val="22"/>
        </w:rPr>
      </w:pPr>
    </w:p>
    <w:p w14:paraId="43C36242">
      <w:pPr>
        <w:shd w:val="clear" w:color="auto" w:fill="FFFFFF"/>
        <w:rPr>
          <w:sz w:val="22"/>
          <w:szCs w:val="22"/>
        </w:rPr>
      </w:pPr>
    </w:p>
    <w:p w14:paraId="29872E5D">
      <w:pPr>
        <w:shd w:val="clear" w:color="auto" w:fill="FFFFFF"/>
        <w:rPr>
          <w:sz w:val="22"/>
          <w:szCs w:val="22"/>
        </w:rPr>
      </w:pPr>
    </w:p>
    <w:p w14:paraId="0B8A9AF1">
      <w:pPr>
        <w:shd w:val="clear" w:color="auto" w:fill="FFFFFF"/>
        <w:rPr>
          <w:sz w:val="22"/>
          <w:szCs w:val="22"/>
        </w:rPr>
      </w:pPr>
    </w:p>
    <w:p w14:paraId="13564231">
      <w:pPr>
        <w:shd w:val="clear" w:color="auto" w:fill="FFFFFF"/>
        <w:rPr>
          <w:sz w:val="22"/>
          <w:szCs w:val="22"/>
        </w:rPr>
      </w:pPr>
    </w:p>
    <w:p w14:paraId="4BAC4000">
      <w:pPr>
        <w:shd w:val="clear" w:color="auto" w:fill="FFFFFF"/>
        <w:rPr>
          <w:sz w:val="22"/>
          <w:szCs w:val="22"/>
        </w:rPr>
      </w:pPr>
    </w:p>
    <w:p w14:paraId="5EBBD606">
      <w:pPr>
        <w:shd w:val="clear" w:color="auto" w:fill="FFFFFF"/>
        <w:jc w:val="center"/>
        <w:rPr>
          <w:b/>
          <w:bCs/>
          <w:sz w:val="32"/>
          <w:szCs w:val="32"/>
        </w:rPr>
      </w:pPr>
      <w:r>
        <w:rPr>
          <w:b/>
          <w:bCs/>
          <w:sz w:val="32"/>
          <w:szCs w:val="32"/>
        </w:rPr>
        <w:t>东方（西安）国际招标有限公司</w:t>
      </w:r>
    </w:p>
    <w:p w14:paraId="693F7A61">
      <w:pPr>
        <w:shd w:val="clear" w:color="auto" w:fill="FFFFFF"/>
        <w:jc w:val="center"/>
        <w:rPr>
          <w:b/>
          <w:bCs/>
          <w:sz w:val="32"/>
          <w:szCs w:val="32"/>
        </w:rPr>
      </w:pPr>
    </w:p>
    <w:p w14:paraId="53D53DBF">
      <w:pPr>
        <w:shd w:val="clear" w:color="auto" w:fill="FFFFFF"/>
        <w:jc w:val="center"/>
        <w:rPr>
          <w:b/>
          <w:bCs/>
          <w:sz w:val="36"/>
          <w:szCs w:val="36"/>
        </w:rPr>
        <w:sectPr>
          <w:headerReference r:id="rId4" w:type="first"/>
          <w:headerReference r:id="rId3" w:type="default"/>
          <w:footerReference r:id="rId5" w:type="default"/>
          <w:footerReference r:id="rId6" w:type="even"/>
          <w:pgSz w:w="11906" w:h="16838"/>
          <w:pgMar w:top="1440" w:right="1800" w:bottom="1440" w:left="1800" w:header="851" w:footer="992" w:gutter="0"/>
          <w:pgNumType w:start="0"/>
          <w:cols w:space="720" w:num="1"/>
          <w:titlePg/>
          <w:docGrid w:type="lines" w:linePitch="312" w:charSpace="0"/>
        </w:sectPr>
      </w:pPr>
      <w:r>
        <w:rPr>
          <w:b/>
          <w:bCs/>
          <w:sz w:val="32"/>
          <w:szCs w:val="32"/>
        </w:rPr>
        <w:t>二〇二</w:t>
      </w:r>
      <w:r>
        <w:rPr>
          <w:rFonts w:hint="eastAsia"/>
          <w:b/>
          <w:bCs/>
          <w:sz w:val="32"/>
          <w:szCs w:val="32"/>
          <w:lang w:val="en-US" w:eastAsia="zh-CN"/>
        </w:rPr>
        <w:t>五</w:t>
      </w:r>
      <w:r>
        <w:rPr>
          <w:b/>
          <w:bCs/>
          <w:sz w:val="32"/>
          <w:szCs w:val="32"/>
        </w:rPr>
        <w:t>年</w:t>
      </w:r>
      <w:r>
        <w:rPr>
          <w:rFonts w:hint="eastAsia"/>
          <w:b/>
          <w:bCs/>
          <w:sz w:val="32"/>
          <w:szCs w:val="32"/>
          <w:lang w:val="en-US" w:eastAsia="zh-CN"/>
        </w:rPr>
        <w:t>三</w:t>
      </w:r>
      <w:r>
        <w:rPr>
          <w:b/>
          <w:bCs/>
          <w:sz w:val="32"/>
          <w:szCs w:val="32"/>
        </w:rPr>
        <w:t>月</w:t>
      </w:r>
    </w:p>
    <w:p w14:paraId="6CF36374">
      <w:pPr>
        <w:shd w:val="clear" w:color="auto" w:fill="FFFFFF"/>
        <w:jc w:val="center"/>
        <w:rPr>
          <w:b/>
          <w:bCs/>
          <w:sz w:val="36"/>
          <w:szCs w:val="36"/>
        </w:rPr>
      </w:pPr>
    </w:p>
    <w:p w14:paraId="60F3E256">
      <w:pPr>
        <w:shd w:val="clear" w:color="auto" w:fill="FFFFFF"/>
        <w:jc w:val="center"/>
        <w:rPr>
          <w:b/>
          <w:sz w:val="32"/>
          <w:szCs w:val="32"/>
        </w:rPr>
      </w:pPr>
      <w:r>
        <w:rPr>
          <w:b/>
          <w:sz w:val="32"/>
          <w:szCs w:val="32"/>
        </w:rPr>
        <w:t>目   录</w:t>
      </w:r>
    </w:p>
    <w:p w14:paraId="7B14FB32">
      <w:pPr>
        <w:shd w:val="clear" w:color="auto" w:fill="FFFFFF"/>
        <w:rPr>
          <w:sz w:val="32"/>
        </w:rPr>
      </w:pPr>
    </w:p>
    <w:p w14:paraId="126C93CB">
      <w:pPr>
        <w:shd w:val="clear" w:color="auto" w:fill="FFFFFF"/>
        <w:spacing w:line="800" w:lineRule="exact"/>
        <w:rPr>
          <w:sz w:val="32"/>
          <w:szCs w:val="32"/>
        </w:rPr>
      </w:pPr>
      <w:r>
        <w:rPr>
          <w:sz w:val="32"/>
          <w:szCs w:val="32"/>
        </w:rPr>
        <w:t xml:space="preserve">       </w:t>
      </w:r>
      <w:r>
        <w:rPr>
          <w:rFonts w:hint="eastAsia"/>
          <w:sz w:val="32"/>
          <w:szCs w:val="32"/>
        </w:rPr>
        <w:t xml:space="preserve"> </w:t>
      </w:r>
      <w:r>
        <w:rPr>
          <w:sz w:val="32"/>
          <w:szCs w:val="32"/>
        </w:rPr>
        <w:t>第一章 磋商邀请书</w:t>
      </w:r>
    </w:p>
    <w:p w14:paraId="57ED5FFC">
      <w:pPr>
        <w:shd w:val="clear" w:color="auto" w:fill="FFFFFF"/>
        <w:spacing w:line="800" w:lineRule="exact"/>
        <w:rPr>
          <w:sz w:val="32"/>
          <w:szCs w:val="32"/>
        </w:rPr>
      </w:pPr>
      <w:r>
        <w:rPr>
          <w:sz w:val="32"/>
          <w:szCs w:val="32"/>
        </w:rPr>
        <w:t xml:space="preserve">        第二章 磋商须知及前附表</w:t>
      </w:r>
    </w:p>
    <w:p w14:paraId="430893B0">
      <w:pPr>
        <w:shd w:val="clear" w:color="auto" w:fill="FFFFFF"/>
        <w:spacing w:line="800" w:lineRule="exact"/>
        <w:rPr>
          <w:sz w:val="32"/>
          <w:szCs w:val="32"/>
        </w:rPr>
      </w:pPr>
      <w:r>
        <w:rPr>
          <w:sz w:val="32"/>
          <w:szCs w:val="32"/>
        </w:rPr>
        <w:t xml:space="preserve">        第三章</w:t>
      </w:r>
      <w:r>
        <w:rPr>
          <w:rFonts w:hint="eastAsia"/>
          <w:sz w:val="32"/>
          <w:szCs w:val="32"/>
        </w:rPr>
        <w:t xml:space="preserve"> 合同通用条款</w:t>
      </w:r>
    </w:p>
    <w:p w14:paraId="56875E5A">
      <w:pPr>
        <w:shd w:val="clear" w:color="auto" w:fill="FFFFFF"/>
        <w:spacing w:line="800" w:lineRule="exact"/>
        <w:rPr>
          <w:sz w:val="32"/>
          <w:szCs w:val="32"/>
        </w:rPr>
      </w:pPr>
      <w:r>
        <w:rPr>
          <w:sz w:val="32"/>
          <w:szCs w:val="32"/>
        </w:rPr>
        <w:t xml:space="preserve">        第</w:t>
      </w:r>
      <w:r>
        <w:rPr>
          <w:rFonts w:hint="eastAsia"/>
          <w:sz w:val="32"/>
          <w:szCs w:val="32"/>
        </w:rPr>
        <w:t>四</w:t>
      </w:r>
      <w:r>
        <w:rPr>
          <w:sz w:val="32"/>
          <w:szCs w:val="32"/>
        </w:rPr>
        <w:t xml:space="preserve">章 </w:t>
      </w:r>
      <w:r>
        <w:rPr>
          <w:rFonts w:hint="eastAsia"/>
          <w:sz w:val="32"/>
          <w:szCs w:val="32"/>
        </w:rPr>
        <w:t>合同专用条款</w:t>
      </w:r>
    </w:p>
    <w:p w14:paraId="5F404CA8">
      <w:pPr>
        <w:shd w:val="clear" w:color="auto" w:fill="FFFFFF"/>
        <w:spacing w:line="800" w:lineRule="exact"/>
        <w:rPr>
          <w:sz w:val="32"/>
          <w:szCs w:val="32"/>
        </w:rPr>
      </w:pPr>
      <w:r>
        <w:rPr>
          <w:sz w:val="32"/>
          <w:szCs w:val="32"/>
        </w:rPr>
        <w:t xml:space="preserve">        第</w:t>
      </w:r>
      <w:r>
        <w:rPr>
          <w:rFonts w:hint="eastAsia"/>
          <w:sz w:val="32"/>
          <w:szCs w:val="32"/>
        </w:rPr>
        <w:t>五</w:t>
      </w:r>
      <w:r>
        <w:rPr>
          <w:sz w:val="32"/>
          <w:szCs w:val="32"/>
        </w:rPr>
        <w:t xml:space="preserve">章 </w:t>
      </w:r>
      <w:r>
        <w:rPr>
          <w:rFonts w:hint="eastAsia"/>
          <w:sz w:val="32"/>
          <w:szCs w:val="32"/>
        </w:rPr>
        <w:t>合同格式</w:t>
      </w:r>
    </w:p>
    <w:p w14:paraId="29636CC8">
      <w:pPr>
        <w:shd w:val="clear" w:color="auto" w:fill="FFFFFF"/>
        <w:spacing w:line="800" w:lineRule="exact"/>
        <w:rPr>
          <w:sz w:val="32"/>
          <w:szCs w:val="32"/>
        </w:rPr>
      </w:pPr>
      <w:r>
        <w:rPr>
          <w:sz w:val="32"/>
          <w:szCs w:val="32"/>
        </w:rPr>
        <w:t xml:space="preserve">        第六章</w:t>
      </w:r>
      <w:r>
        <w:rPr>
          <w:rFonts w:hint="eastAsia"/>
          <w:sz w:val="32"/>
          <w:szCs w:val="32"/>
        </w:rPr>
        <w:t xml:space="preserve"> 磋商响应文件格式</w:t>
      </w:r>
    </w:p>
    <w:p w14:paraId="10EC7F57">
      <w:pPr>
        <w:shd w:val="clear" w:color="auto" w:fill="FFFFFF"/>
        <w:spacing w:line="800" w:lineRule="exact"/>
        <w:ind w:firstLine="1280" w:firstLineChars="400"/>
        <w:rPr>
          <w:sz w:val="32"/>
          <w:szCs w:val="32"/>
        </w:rPr>
      </w:pPr>
      <w:r>
        <w:rPr>
          <w:sz w:val="32"/>
          <w:szCs w:val="32"/>
        </w:rPr>
        <w:t>第</w:t>
      </w:r>
      <w:r>
        <w:rPr>
          <w:rFonts w:hint="eastAsia"/>
          <w:sz w:val="32"/>
          <w:szCs w:val="32"/>
        </w:rPr>
        <w:t>七</w:t>
      </w:r>
      <w:r>
        <w:rPr>
          <w:sz w:val="32"/>
          <w:szCs w:val="32"/>
        </w:rPr>
        <w:t>章</w:t>
      </w:r>
      <w:r>
        <w:rPr>
          <w:rFonts w:hint="eastAsia"/>
          <w:sz w:val="32"/>
          <w:szCs w:val="32"/>
        </w:rPr>
        <w:t xml:space="preserve"> </w:t>
      </w:r>
      <w:r>
        <w:rPr>
          <w:sz w:val="32"/>
          <w:szCs w:val="32"/>
        </w:rPr>
        <w:t>采购内容及技术规范</w:t>
      </w:r>
    </w:p>
    <w:p w14:paraId="3496A22C">
      <w:pPr>
        <w:shd w:val="clear" w:color="auto" w:fill="FFFFFF"/>
        <w:spacing w:line="800" w:lineRule="exact"/>
        <w:ind w:firstLine="1280" w:firstLineChars="400"/>
        <w:rPr>
          <w:sz w:val="32"/>
          <w:szCs w:val="32"/>
        </w:rPr>
      </w:pPr>
      <w:r>
        <w:rPr>
          <w:rFonts w:hint="eastAsia"/>
          <w:sz w:val="32"/>
          <w:szCs w:val="32"/>
        </w:rPr>
        <w:t>第八章 评审方法</w:t>
      </w:r>
    </w:p>
    <w:p w14:paraId="2E5E4E8D">
      <w:pPr>
        <w:shd w:val="clear" w:color="auto" w:fill="FFFFFF"/>
        <w:spacing w:line="800" w:lineRule="exact"/>
        <w:rPr>
          <w:sz w:val="32"/>
        </w:rPr>
      </w:pPr>
    </w:p>
    <w:p w14:paraId="20C17E15">
      <w:pPr>
        <w:shd w:val="clear" w:color="auto" w:fill="FFFFFF"/>
        <w:jc w:val="center"/>
        <w:rPr>
          <w:b/>
          <w:sz w:val="44"/>
        </w:rPr>
      </w:pPr>
    </w:p>
    <w:p w14:paraId="7B5EC75D">
      <w:pPr>
        <w:shd w:val="clear" w:color="auto" w:fill="FFFFFF"/>
        <w:jc w:val="center"/>
        <w:rPr>
          <w:b/>
          <w:sz w:val="44"/>
        </w:rPr>
      </w:pPr>
    </w:p>
    <w:p w14:paraId="491B3F00">
      <w:pPr>
        <w:shd w:val="clear" w:color="auto" w:fill="FFFFFF"/>
        <w:spacing w:line="480" w:lineRule="auto"/>
        <w:jc w:val="center"/>
        <w:rPr>
          <w:b/>
          <w:sz w:val="32"/>
          <w:szCs w:val="32"/>
        </w:rPr>
      </w:pPr>
      <w:r>
        <w:rPr>
          <w:b/>
          <w:sz w:val="44"/>
        </w:rPr>
        <w:br w:type="page"/>
      </w:r>
      <w:r>
        <w:rPr>
          <w:b/>
          <w:sz w:val="32"/>
          <w:szCs w:val="32"/>
        </w:rPr>
        <w:t>第一章 磋商邀请书</w:t>
      </w:r>
    </w:p>
    <w:p w14:paraId="4CCFB926">
      <w:pPr>
        <w:spacing w:line="360" w:lineRule="auto"/>
        <w:jc w:val="left"/>
        <w:rPr>
          <w:b/>
          <w:sz w:val="24"/>
          <w:szCs w:val="24"/>
        </w:rPr>
      </w:pPr>
      <w:r>
        <w:rPr>
          <w:b/>
          <w:sz w:val="24"/>
          <w:szCs w:val="24"/>
        </w:rPr>
        <w:t>项目概况</w:t>
      </w:r>
    </w:p>
    <w:p w14:paraId="784EBD3C">
      <w:pPr>
        <w:spacing w:line="360" w:lineRule="auto"/>
        <w:ind w:firstLine="480" w:firstLineChars="200"/>
        <w:jc w:val="left"/>
        <w:rPr>
          <w:rFonts w:eastAsiaTheme="minorEastAsia"/>
          <w:sz w:val="24"/>
          <w:szCs w:val="24"/>
        </w:rPr>
      </w:pPr>
      <w:r>
        <w:rPr>
          <w:rFonts w:hint="eastAsia" w:eastAsiaTheme="minorEastAsia"/>
          <w:sz w:val="24"/>
          <w:szCs w:val="24"/>
        </w:rPr>
        <w:t>东方（西安）国际招标有限公司受西安市第八医院的委托，参照政府采购程序，对西安市第八医院DRG管理平台服务采购项目</w:t>
      </w:r>
      <w:r>
        <w:rPr>
          <w:rFonts w:hint="eastAsia" w:eastAsiaTheme="minorEastAsia"/>
          <w:sz w:val="24"/>
          <w:szCs w:val="24"/>
          <w:lang w:eastAsia="zh-CN"/>
        </w:rPr>
        <w:t>（</w:t>
      </w:r>
      <w:r>
        <w:rPr>
          <w:rFonts w:hint="eastAsia" w:eastAsiaTheme="minorEastAsia"/>
          <w:sz w:val="24"/>
          <w:szCs w:val="24"/>
          <w:lang w:val="en-US" w:eastAsia="zh-CN"/>
        </w:rPr>
        <w:t>二次</w:t>
      </w:r>
      <w:r>
        <w:rPr>
          <w:rFonts w:hint="eastAsia" w:eastAsiaTheme="minorEastAsia"/>
          <w:sz w:val="24"/>
          <w:szCs w:val="24"/>
          <w:lang w:eastAsia="zh-CN"/>
        </w:rPr>
        <w:t>）</w:t>
      </w:r>
      <w:r>
        <w:rPr>
          <w:rFonts w:hint="eastAsia" w:eastAsiaTheme="minorEastAsia"/>
          <w:sz w:val="24"/>
          <w:szCs w:val="24"/>
        </w:rPr>
        <w:t>进行竞争性磋商，欢迎符合资格条件的、有能力提供本项目所需货物和服务的供应商参加本次竞争性磋商。</w:t>
      </w:r>
    </w:p>
    <w:p w14:paraId="3461B9FD">
      <w:pPr>
        <w:spacing w:line="360" w:lineRule="auto"/>
        <w:jc w:val="left"/>
        <w:rPr>
          <w:b/>
          <w:sz w:val="24"/>
          <w:szCs w:val="24"/>
        </w:rPr>
      </w:pPr>
      <w:r>
        <w:rPr>
          <w:b/>
          <w:sz w:val="24"/>
          <w:szCs w:val="24"/>
        </w:rPr>
        <w:t>一、项目基本情况</w:t>
      </w:r>
    </w:p>
    <w:p w14:paraId="614C3BAC">
      <w:pPr>
        <w:spacing w:line="360" w:lineRule="auto"/>
        <w:ind w:firstLine="480" w:firstLineChars="200"/>
        <w:jc w:val="left"/>
        <w:rPr>
          <w:rFonts w:hint="eastAsia" w:eastAsiaTheme="minorEastAsia"/>
          <w:sz w:val="24"/>
          <w:szCs w:val="24"/>
          <w:lang w:eastAsia="zh-CN"/>
        </w:rPr>
      </w:pPr>
      <w:r>
        <w:rPr>
          <w:rFonts w:hint="eastAsia" w:eastAsiaTheme="minorEastAsia"/>
          <w:sz w:val="24"/>
          <w:szCs w:val="24"/>
        </w:rPr>
        <w:t>项目名称：西安市第八医院DRG管理平台服务采购项目</w:t>
      </w:r>
      <w:r>
        <w:rPr>
          <w:rFonts w:hint="eastAsia" w:eastAsiaTheme="minorEastAsia"/>
          <w:sz w:val="24"/>
          <w:szCs w:val="24"/>
          <w:lang w:eastAsia="zh-CN"/>
        </w:rPr>
        <w:t>（</w:t>
      </w:r>
      <w:r>
        <w:rPr>
          <w:rFonts w:hint="eastAsia" w:eastAsiaTheme="minorEastAsia"/>
          <w:sz w:val="24"/>
          <w:szCs w:val="24"/>
          <w:lang w:val="en-US" w:eastAsia="zh-CN"/>
        </w:rPr>
        <w:t>二次</w:t>
      </w:r>
      <w:r>
        <w:rPr>
          <w:rFonts w:hint="eastAsia" w:eastAsiaTheme="minorEastAsia"/>
          <w:sz w:val="24"/>
          <w:szCs w:val="24"/>
          <w:lang w:eastAsia="zh-CN"/>
        </w:rPr>
        <w:t>）</w:t>
      </w:r>
    </w:p>
    <w:p w14:paraId="5A2A8AE5">
      <w:pPr>
        <w:spacing w:line="360" w:lineRule="auto"/>
        <w:ind w:firstLine="480" w:firstLineChars="200"/>
        <w:jc w:val="left"/>
        <w:rPr>
          <w:rFonts w:hint="default" w:eastAsiaTheme="minorEastAsia"/>
          <w:sz w:val="24"/>
          <w:szCs w:val="24"/>
          <w:lang w:val="en-US" w:eastAsia="zh-CN"/>
        </w:rPr>
      </w:pPr>
      <w:r>
        <w:rPr>
          <w:rFonts w:hint="eastAsia" w:eastAsiaTheme="minorEastAsia"/>
          <w:sz w:val="24"/>
          <w:szCs w:val="24"/>
        </w:rPr>
        <w:t>项目编号：OTXA-</w:t>
      </w:r>
      <w:r>
        <w:rPr>
          <w:rFonts w:hint="eastAsia" w:eastAsiaTheme="minorEastAsia"/>
          <w:sz w:val="24"/>
          <w:szCs w:val="24"/>
          <w:lang w:val="en-US" w:eastAsia="zh-CN"/>
        </w:rPr>
        <w:t>2410221415</w:t>
      </w:r>
    </w:p>
    <w:p w14:paraId="2901476E">
      <w:pPr>
        <w:spacing w:line="360" w:lineRule="auto"/>
        <w:ind w:firstLine="480" w:firstLineChars="200"/>
        <w:jc w:val="left"/>
        <w:rPr>
          <w:rFonts w:eastAsiaTheme="minorEastAsia"/>
          <w:sz w:val="24"/>
          <w:szCs w:val="24"/>
        </w:rPr>
      </w:pPr>
      <w:r>
        <w:rPr>
          <w:rFonts w:hint="eastAsia" w:eastAsiaTheme="minorEastAsia"/>
          <w:sz w:val="24"/>
          <w:szCs w:val="24"/>
        </w:rPr>
        <w:t>采购方式：竞争性磋商</w:t>
      </w:r>
    </w:p>
    <w:p w14:paraId="394FEC04">
      <w:pPr>
        <w:spacing w:line="360" w:lineRule="auto"/>
        <w:ind w:firstLine="480" w:firstLineChars="200"/>
        <w:jc w:val="left"/>
        <w:rPr>
          <w:rFonts w:eastAsiaTheme="minorEastAsia"/>
          <w:sz w:val="24"/>
          <w:szCs w:val="24"/>
        </w:rPr>
      </w:pPr>
      <w:r>
        <w:rPr>
          <w:rFonts w:hint="eastAsia" w:eastAsiaTheme="minorEastAsia"/>
          <w:sz w:val="24"/>
          <w:szCs w:val="24"/>
        </w:rPr>
        <w:t>采购需求：DRG管理平台服务采购，具体内容详见竞争性磋商文件。</w:t>
      </w:r>
    </w:p>
    <w:p w14:paraId="35AE6954">
      <w:pPr>
        <w:spacing w:line="360" w:lineRule="auto"/>
        <w:ind w:firstLine="480" w:firstLineChars="200"/>
        <w:jc w:val="left"/>
        <w:rPr>
          <w:rFonts w:hint="eastAsia" w:eastAsiaTheme="minorEastAsia"/>
          <w:sz w:val="24"/>
          <w:szCs w:val="24"/>
          <w:highlight w:val="none"/>
          <w:lang w:eastAsia="zh-CN"/>
        </w:rPr>
      </w:pPr>
      <w:r>
        <w:rPr>
          <w:rFonts w:hint="eastAsia" w:eastAsiaTheme="minorEastAsia"/>
          <w:sz w:val="24"/>
          <w:szCs w:val="24"/>
          <w:highlight w:val="none"/>
        </w:rPr>
        <w:t>预算金额：人民币200,000.00元</w:t>
      </w:r>
      <w:r>
        <w:rPr>
          <w:rFonts w:hint="eastAsia" w:eastAsiaTheme="minorEastAsia"/>
          <w:sz w:val="24"/>
          <w:szCs w:val="24"/>
          <w:highlight w:val="none"/>
          <w:lang w:eastAsia="zh-CN"/>
        </w:rPr>
        <w:t>（</w:t>
      </w:r>
      <w:r>
        <w:rPr>
          <w:rFonts w:hint="eastAsia" w:eastAsiaTheme="minorEastAsia"/>
          <w:sz w:val="24"/>
          <w:szCs w:val="24"/>
          <w:highlight w:val="none"/>
          <w:lang w:val="en-US" w:eastAsia="zh-CN"/>
        </w:rPr>
        <w:t>最高限价190,000.00元</w:t>
      </w:r>
      <w:r>
        <w:rPr>
          <w:rFonts w:hint="eastAsia" w:eastAsiaTheme="minorEastAsia"/>
          <w:sz w:val="24"/>
          <w:szCs w:val="24"/>
          <w:highlight w:val="none"/>
          <w:lang w:eastAsia="zh-CN"/>
        </w:rPr>
        <w:t>）</w:t>
      </w:r>
    </w:p>
    <w:p w14:paraId="5963988D">
      <w:pPr>
        <w:spacing w:line="360" w:lineRule="auto"/>
        <w:ind w:firstLine="480" w:firstLineChars="200"/>
        <w:jc w:val="left"/>
        <w:rPr>
          <w:sz w:val="24"/>
          <w:szCs w:val="24"/>
          <w:highlight w:val="none"/>
        </w:rPr>
      </w:pPr>
      <w:r>
        <w:rPr>
          <w:sz w:val="24"/>
          <w:szCs w:val="24"/>
          <w:highlight w:val="none"/>
        </w:rPr>
        <w:t>合同履行期限：</w:t>
      </w:r>
      <w:r>
        <w:rPr>
          <w:rFonts w:hint="eastAsia"/>
          <w:sz w:val="24"/>
          <w:szCs w:val="24"/>
          <w:highlight w:val="none"/>
        </w:rPr>
        <w:t>合同</w:t>
      </w:r>
      <w:r>
        <w:rPr>
          <w:sz w:val="24"/>
          <w:szCs w:val="24"/>
          <w:highlight w:val="none"/>
        </w:rPr>
        <w:t>签订生效后</w:t>
      </w:r>
      <w:r>
        <w:rPr>
          <w:rFonts w:hint="eastAsia"/>
          <w:sz w:val="24"/>
          <w:szCs w:val="24"/>
          <w:highlight w:val="none"/>
        </w:rPr>
        <w:t>12个月</w:t>
      </w:r>
      <w:r>
        <w:rPr>
          <w:sz w:val="24"/>
          <w:szCs w:val="24"/>
          <w:highlight w:val="none"/>
        </w:rPr>
        <w:t>。</w:t>
      </w:r>
    </w:p>
    <w:p w14:paraId="7837C411">
      <w:pPr>
        <w:spacing w:line="360" w:lineRule="auto"/>
        <w:jc w:val="left"/>
        <w:rPr>
          <w:b/>
          <w:sz w:val="24"/>
          <w:szCs w:val="24"/>
          <w:highlight w:val="none"/>
        </w:rPr>
      </w:pPr>
      <w:r>
        <w:rPr>
          <w:b/>
          <w:sz w:val="24"/>
          <w:szCs w:val="24"/>
          <w:highlight w:val="none"/>
        </w:rPr>
        <w:t>二、申请人的资格要求</w:t>
      </w:r>
    </w:p>
    <w:p w14:paraId="31AC1267">
      <w:pPr>
        <w:spacing w:line="360" w:lineRule="auto"/>
        <w:ind w:firstLine="480" w:firstLineChars="200"/>
        <w:jc w:val="left"/>
        <w:rPr>
          <w:sz w:val="24"/>
          <w:szCs w:val="24"/>
          <w:highlight w:val="none"/>
        </w:rPr>
      </w:pPr>
      <w:r>
        <w:rPr>
          <w:sz w:val="24"/>
          <w:szCs w:val="24"/>
          <w:highlight w:val="none"/>
        </w:rPr>
        <w:t>申请人资格要求：</w:t>
      </w:r>
    </w:p>
    <w:p w14:paraId="4A015E53">
      <w:pPr>
        <w:spacing w:line="360" w:lineRule="auto"/>
        <w:ind w:firstLine="480" w:firstLineChars="200"/>
        <w:jc w:val="left"/>
        <w:rPr>
          <w:sz w:val="24"/>
          <w:szCs w:val="24"/>
          <w:highlight w:val="none"/>
        </w:rPr>
      </w:pPr>
      <w:r>
        <w:rPr>
          <w:sz w:val="24"/>
          <w:szCs w:val="24"/>
          <w:highlight w:val="none"/>
        </w:rPr>
        <w:t>1.满足《中华人民共和国政府采购法》第二十二条规定；</w:t>
      </w:r>
    </w:p>
    <w:p w14:paraId="3BF97783">
      <w:pPr>
        <w:spacing w:line="360" w:lineRule="auto"/>
        <w:ind w:firstLine="480" w:firstLineChars="200"/>
        <w:jc w:val="left"/>
        <w:rPr>
          <w:sz w:val="24"/>
          <w:szCs w:val="24"/>
          <w:highlight w:val="none"/>
        </w:rPr>
      </w:pPr>
      <w:r>
        <w:rPr>
          <w:sz w:val="24"/>
          <w:szCs w:val="24"/>
          <w:highlight w:val="none"/>
        </w:rPr>
        <w:t>2.落实政府采购政策需满足的资格要求：</w:t>
      </w:r>
      <w:r>
        <w:rPr>
          <w:rFonts w:hint="eastAsia"/>
          <w:sz w:val="24"/>
          <w:szCs w:val="24"/>
          <w:highlight w:val="none"/>
        </w:rPr>
        <w:t>本项目非专门面向中小企业；</w:t>
      </w:r>
    </w:p>
    <w:p w14:paraId="26A2BE0D">
      <w:pPr>
        <w:spacing w:line="360" w:lineRule="auto"/>
        <w:ind w:firstLine="480" w:firstLineChars="200"/>
        <w:jc w:val="left"/>
        <w:rPr>
          <w:sz w:val="24"/>
          <w:szCs w:val="24"/>
          <w:highlight w:val="none"/>
        </w:rPr>
      </w:pPr>
      <w:r>
        <w:rPr>
          <w:sz w:val="24"/>
          <w:szCs w:val="24"/>
          <w:highlight w:val="none"/>
        </w:rPr>
        <w:t>3.本项目的特定资格要求：</w:t>
      </w:r>
    </w:p>
    <w:p w14:paraId="3A03D1F8">
      <w:pPr>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textAlignment w:val="auto"/>
        <w:rPr>
          <w:rFonts w:cs="宋体" w:asciiTheme="majorEastAsia" w:hAnsiTheme="majorEastAsia" w:eastAsiaTheme="majorEastAsia"/>
          <w:bCs/>
          <w:sz w:val="24"/>
          <w:szCs w:val="24"/>
        </w:rPr>
      </w:pPr>
      <w:r>
        <w:rPr>
          <w:rFonts w:hint="eastAsia"/>
          <w:sz w:val="24"/>
          <w:szCs w:val="24"/>
          <w:lang w:val="en-US" w:eastAsia="zh-CN"/>
        </w:rPr>
        <w:t>3.1</w:t>
      </w:r>
      <w:r>
        <w:rPr>
          <w:rFonts w:hint="eastAsia" w:cs="宋体" w:asciiTheme="majorEastAsia" w:hAnsiTheme="majorEastAsia" w:eastAsiaTheme="majorEastAsia"/>
          <w:bCs/>
          <w:sz w:val="24"/>
          <w:szCs w:val="24"/>
          <w:lang w:val="en-US" w:eastAsia="zh-CN"/>
        </w:rPr>
        <w:t>供应商不存在西安市第八医</w:t>
      </w:r>
      <w:r>
        <w:rPr>
          <w:rFonts w:cs="宋体" w:asciiTheme="majorEastAsia" w:hAnsiTheme="majorEastAsia" w:eastAsiaTheme="majorEastAsia"/>
          <w:bCs/>
          <w:sz w:val="24"/>
          <w:szCs w:val="24"/>
        </w:rPr>
        <w:t>院职工及其配偶、直系亲属投资开办或在相关企业担任高管、独立董事等有重大利益关系职务的</w:t>
      </w:r>
      <w:r>
        <w:rPr>
          <w:rFonts w:hint="eastAsia" w:cs="宋体" w:asciiTheme="majorEastAsia" w:hAnsiTheme="majorEastAsia" w:eastAsiaTheme="majorEastAsia"/>
          <w:bCs/>
          <w:sz w:val="24"/>
          <w:szCs w:val="24"/>
          <w:lang w:val="en-US" w:eastAsia="zh-CN"/>
        </w:rPr>
        <w:t>情况。</w:t>
      </w:r>
      <w:r>
        <w:rPr>
          <w:rFonts w:hint="eastAsia" w:cs="宋体" w:asciiTheme="majorEastAsia" w:hAnsiTheme="majorEastAsia" w:eastAsiaTheme="majorEastAsia"/>
          <w:bCs/>
          <w:sz w:val="24"/>
          <w:szCs w:val="24"/>
          <w:lang w:eastAsia="zh-CN"/>
        </w:rPr>
        <w:t>（</w:t>
      </w:r>
      <w:r>
        <w:rPr>
          <w:rFonts w:hint="eastAsia" w:cs="宋体" w:asciiTheme="majorEastAsia" w:hAnsiTheme="majorEastAsia" w:eastAsiaTheme="majorEastAsia"/>
          <w:bCs/>
          <w:sz w:val="24"/>
          <w:szCs w:val="24"/>
          <w:lang w:val="en-US" w:eastAsia="zh-CN"/>
        </w:rPr>
        <w:t>提供声明函</w:t>
      </w:r>
      <w:r>
        <w:rPr>
          <w:rFonts w:hint="eastAsia" w:cs="宋体" w:asciiTheme="majorEastAsia" w:hAnsiTheme="majorEastAsia" w:eastAsiaTheme="majorEastAsia"/>
          <w:bCs/>
          <w:sz w:val="24"/>
          <w:szCs w:val="24"/>
          <w:lang w:eastAsia="zh-CN"/>
        </w:rPr>
        <w:t>）</w:t>
      </w:r>
      <w:r>
        <w:rPr>
          <w:rFonts w:cs="宋体" w:asciiTheme="majorEastAsia" w:hAnsiTheme="majorEastAsia" w:eastAsiaTheme="majorEastAsia"/>
          <w:bCs/>
          <w:sz w:val="24"/>
          <w:szCs w:val="24"/>
        </w:rPr>
        <w:t>；</w:t>
      </w:r>
    </w:p>
    <w:p w14:paraId="0AB7300A">
      <w:pPr>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textAlignment w:val="auto"/>
        <w:rPr>
          <w:rFonts w:hint="default" w:eastAsia="宋体"/>
          <w:sz w:val="24"/>
          <w:szCs w:val="24"/>
          <w:lang w:val="en-US" w:eastAsia="zh-CN"/>
        </w:rPr>
      </w:pPr>
      <w:r>
        <w:rPr>
          <w:rFonts w:hint="default" w:ascii="Times New Roman" w:hAnsi="Times New Roman" w:cs="Times New Roman" w:eastAsiaTheme="majorEastAsia"/>
          <w:bCs/>
          <w:sz w:val="24"/>
          <w:szCs w:val="24"/>
          <w:lang w:val="en-US" w:eastAsia="zh-CN"/>
        </w:rPr>
        <w:t>3.2</w:t>
      </w:r>
      <w:r>
        <w:rPr>
          <w:rFonts w:hint="eastAsia" w:cs="宋体" w:asciiTheme="majorEastAsia" w:hAnsiTheme="majorEastAsia" w:eastAsiaTheme="majorEastAsia"/>
          <w:bCs/>
          <w:sz w:val="24"/>
          <w:szCs w:val="24"/>
          <w:lang w:val="en-US" w:eastAsia="zh-CN"/>
        </w:rPr>
        <w:t>供应商与其他供应商无交叉控股股东、无交叉兼任高级管理人员及涉嫌联合围标、串标行为，无采购单位和招标代理机构职工在该单位兼职的情况，不向采购单位和代理机构相关人员输送利益等行贿行为，一旦中标必须坚守诚信、认真履约等（提供承诺函）；</w:t>
      </w:r>
    </w:p>
    <w:p w14:paraId="410821C4">
      <w:pPr>
        <w:spacing w:line="360" w:lineRule="auto"/>
        <w:ind w:firstLine="480" w:firstLineChars="200"/>
        <w:jc w:val="left"/>
      </w:pPr>
      <w:r>
        <w:rPr>
          <w:rFonts w:hint="eastAsia"/>
          <w:sz w:val="24"/>
          <w:szCs w:val="24"/>
        </w:rPr>
        <w:t>4.</w:t>
      </w:r>
      <w:r>
        <w:rPr>
          <w:sz w:val="24"/>
          <w:szCs w:val="24"/>
        </w:rPr>
        <w:t>不接受联合体</w:t>
      </w:r>
      <w:r>
        <w:rPr>
          <w:rFonts w:hint="eastAsia"/>
          <w:sz w:val="24"/>
          <w:szCs w:val="24"/>
        </w:rPr>
        <w:t>磋商。</w:t>
      </w:r>
    </w:p>
    <w:p w14:paraId="3AB15485">
      <w:pPr>
        <w:spacing w:line="360" w:lineRule="auto"/>
        <w:jc w:val="left"/>
        <w:rPr>
          <w:b/>
          <w:sz w:val="24"/>
          <w:szCs w:val="24"/>
        </w:rPr>
      </w:pPr>
      <w:r>
        <w:rPr>
          <w:b/>
          <w:sz w:val="24"/>
          <w:szCs w:val="24"/>
        </w:rPr>
        <w:t>三、获取采购文件</w:t>
      </w:r>
    </w:p>
    <w:p w14:paraId="168256FE">
      <w:pPr>
        <w:spacing w:line="360" w:lineRule="auto"/>
        <w:ind w:firstLine="480" w:firstLineChars="200"/>
        <w:jc w:val="left"/>
        <w:rPr>
          <w:sz w:val="24"/>
          <w:szCs w:val="24"/>
        </w:rPr>
      </w:pPr>
      <w:r>
        <w:rPr>
          <w:sz w:val="24"/>
          <w:szCs w:val="24"/>
        </w:rPr>
        <w:t>时</w:t>
      </w:r>
      <w:r>
        <w:rPr>
          <w:sz w:val="24"/>
          <w:szCs w:val="24"/>
          <w:highlight w:val="none"/>
        </w:rPr>
        <w:t>间：</w:t>
      </w:r>
      <w:r>
        <w:rPr>
          <w:rFonts w:hint="eastAsia"/>
          <w:sz w:val="24"/>
          <w:szCs w:val="24"/>
          <w:highlight w:val="none"/>
        </w:rPr>
        <w:t>202</w:t>
      </w:r>
      <w:r>
        <w:rPr>
          <w:rFonts w:hint="eastAsia"/>
          <w:sz w:val="24"/>
          <w:szCs w:val="24"/>
          <w:highlight w:val="none"/>
          <w:lang w:val="en-US" w:eastAsia="zh-CN"/>
        </w:rPr>
        <w:t>5</w:t>
      </w:r>
      <w:r>
        <w:rPr>
          <w:rFonts w:hint="eastAsia"/>
          <w:sz w:val="24"/>
          <w:szCs w:val="24"/>
          <w:highlight w:val="none"/>
        </w:rPr>
        <w:t>年</w:t>
      </w:r>
      <w:r>
        <w:rPr>
          <w:rFonts w:hint="eastAsia"/>
          <w:sz w:val="24"/>
          <w:szCs w:val="24"/>
          <w:highlight w:val="none"/>
          <w:lang w:val="en-US" w:eastAsia="zh-CN"/>
        </w:rPr>
        <w:t>4</w:t>
      </w:r>
      <w:r>
        <w:rPr>
          <w:rFonts w:hint="eastAsia"/>
          <w:sz w:val="24"/>
          <w:szCs w:val="24"/>
          <w:highlight w:val="none"/>
        </w:rPr>
        <w:t>月</w:t>
      </w:r>
      <w:r>
        <w:rPr>
          <w:rFonts w:hint="eastAsia"/>
          <w:sz w:val="24"/>
          <w:szCs w:val="24"/>
          <w:highlight w:val="none"/>
          <w:lang w:val="en-US" w:eastAsia="zh-CN"/>
        </w:rPr>
        <w:t>28</w:t>
      </w:r>
      <w:r>
        <w:rPr>
          <w:rFonts w:hint="eastAsia"/>
          <w:sz w:val="24"/>
          <w:szCs w:val="24"/>
          <w:highlight w:val="none"/>
        </w:rPr>
        <w:t>日至 202</w:t>
      </w:r>
      <w:r>
        <w:rPr>
          <w:rFonts w:hint="eastAsia"/>
          <w:sz w:val="24"/>
          <w:szCs w:val="24"/>
          <w:highlight w:val="none"/>
          <w:lang w:val="en-US" w:eastAsia="zh-CN"/>
        </w:rPr>
        <w:t>5</w:t>
      </w:r>
      <w:r>
        <w:rPr>
          <w:rFonts w:hint="eastAsia"/>
          <w:sz w:val="24"/>
          <w:szCs w:val="24"/>
          <w:highlight w:val="none"/>
        </w:rPr>
        <w:t>年</w:t>
      </w:r>
      <w:r>
        <w:rPr>
          <w:rFonts w:hint="eastAsia"/>
          <w:sz w:val="24"/>
          <w:szCs w:val="24"/>
          <w:highlight w:val="none"/>
          <w:lang w:val="en-US" w:eastAsia="zh-CN"/>
        </w:rPr>
        <w:t>5</w:t>
      </w:r>
      <w:r>
        <w:rPr>
          <w:rFonts w:hint="eastAsia"/>
          <w:sz w:val="24"/>
          <w:szCs w:val="24"/>
          <w:highlight w:val="none"/>
        </w:rPr>
        <w:t>月</w:t>
      </w:r>
      <w:r>
        <w:rPr>
          <w:rFonts w:hint="eastAsia"/>
          <w:sz w:val="24"/>
          <w:szCs w:val="24"/>
          <w:highlight w:val="none"/>
          <w:lang w:val="en-US" w:eastAsia="zh-CN"/>
        </w:rPr>
        <w:t>8</w:t>
      </w:r>
      <w:r>
        <w:rPr>
          <w:rFonts w:hint="eastAsia"/>
          <w:sz w:val="24"/>
          <w:szCs w:val="24"/>
          <w:highlight w:val="none"/>
        </w:rPr>
        <w:t>日</w:t>
      </w:r>
      <w:r>
        <w:rPr>
          <w:sz w:val="24"/>
          <w:szCs w:val="24"/>
          <w:highlight w:val="none"/>
        </w:rPr>
        <w:t>，每天</w:t>
      </w:r>
      <w:r>
        <w:rPr>
          <w:sz w:val="24"/>
          <w:szCs w:val="24"/>
        </w:rPr>
        <w:t>上午09：</w:t>
      </w:r>
      <w:r>
        <w:rPr>
          <w:rFonts w:hint="eastAsia"/>
          <w:sz w:val="24"/>
          <w:szCs w:val="24"/>
          <w:lang w:val="en-US" w:eastAsia="zh-CN"/>
        </w:rPr>
        <w:t>00</w:t>
      </w:r>
      <w:r>
        <w:rPr>
          <w:sz w:val="24"/>
          <w:szCs w:val="24"/>
        </w:rPr>
        <w:t>至</w:t>
      </w:r>
      <w:r>
        <w:rPr>
          <w:rFonts w:hint="eastAsia"/>
          <w:sz w:val="24"/>
          <w:szCs w:val="24"/>
          <w:lang w:val="en-US" w:eastAsia="zh-CN"/>
        </w:rPr>
        <w:t>12</w:t>
      </w:r>
      <w:r>
        <w:rPr>
          <w:sz w:val="24"/>
          <w:szCs w:val="24"/>
        </w:rPr>
        <w:t>:</w:t>
      </w:r>
      <w:r>
        <w:rPr>
          <w:rFonts w:hint="eastAsia"/>
          <w:sz w:val="24"/>
          <w:szCs w:val="24"/>
          <w:lang w:val="en-US" w:eastAsia="zh-CN"/>
        </w:rPr>
        <w:t>00</w:t>
      </w:r>
      <w:r>
        <w:rPr>
          <w:sz w:val="24"/>
          <w:szCs w:val="24"/>
        </w:rPr>
        <w:t>，下午1</w:t>
      </w:r>
      <w:r>
        <w:rPr>
          <w:rFonts w:hint="eastAsia"/>
          <w:sz w:val="24"/>
          <w:szCs w:val="24"/>
          <w:lang w:val="en-US" w:eastAsia="zh-CN"/>
        </w:rPr>
        <w:t>4</w:t>
      </w:r>
      <w:r>
        <w:rPr>
          <w:sz w:val="24"/>
          <w:szCs w:val="24"/>
        </w:rPr>
        <w:t>：</w:t>
      </w:r>
      <w:r>
        <w:rPr>
          <w:rFonts w:hint="eastAsia"/>
          <w:sz w:val="24"/>
          <w:szCs w:val="24"/>
          <w:lang w:val="en-US" w:eastAsia="zh-CN"/>
        </w:rPr>
        <w:t>00</w:t>
      </w:r>
      <w:r>
        <w:rPr>
          <w:sz w:val="24"/>
          <w:szCs w:val="24"/>
        </w:rPr>
        <w:t>至1</w:t>
      </w:r>
      <w:r>
        <w:rPr>
          <w:rFonts w:hint="eastAsia"/>
          <w:sz w:val="24"/>
          <w:szCs w:val="24"/>
          <w:lang w:val="en-US" w:eastAsia="zh-CN"/>
        </w:rPr>
        <w:t>7</w:t>
      </w:r>
      <w:r>
        <w:rPr>
          <w:sz w:val="24"/>
          <w:szCs w:val="24"/>
        </w:rPr>
        <w:t>：</w:t>
      </w:r>
      <w:r>
        <w:rPr>
          <w:rFonts w:hint="eastAsia"/>
          <w:sz w:val="24"/>
          <w:szCs w:val="24"/>
          <w:lang w:val="en-US" w:eastAsia="zh-CN"/>
        </w:rPr>
        <w:t>0</w:t>
      </w:r>
      <w:r>
        <w:rPr>
          <w:sz w:val="24"/>
          <w:szCs w:val="24"/>
        </w:rPr>
        <w:t>0（北京时间，法定节假日除外）</w:t>
      </w:r>
    </w:p>
    <w:p w14:paraId="769E1D08">
      <w:pPr>
        <w:spacing w:line="360" w:lineRule="auto"/>
        <w:ind w:firstLine="480" w:firstLineChars="200"/>
        <w:jc w:val="left"/>
        <w:rPr>
          <w:sz w:val="24"/>
          <w:szCs w:val="24"/>
        </w:rPr>
      </w:pPr>
      <w:r>
        <w:rPr>
          <w:sz w:val="24"/>
          <w:szCs w:val="24"/>
        </w:rPr>
        <w:t>地点：</w:t>
      </w:r>
      <w:r>
        <w:rPr>
          <w:rFonts w:hint="eastAsia" w:eastAsiaTheme="minorEastAsia"/>
          <w:sz w:val="24"/>
          <w:szCs w:val="24"/>
        </w:rPr>
        <w:t>西安市太白南路181号西部电子社区A座A区209标书发售室</w:t>
      </w:r>
    </w:p>
    <w:p w14:paraId="031543A8">
      <w:pPr>
        <w:spacing w:line="360" w:lineRule="auto"/>
        <w:ind w:firstLine="480" w:firstLineChars="200"/>
        <w:jc w:val="left"/>
        <w:rPr>
          <w:sz w:val="24"/>
          <w:szCs w:val="24"/>
        </w:rPr>
      </w:pPr>
      <w:r>
        <w:rPr>
          <w:sz w:val="24"/>
          <w:szCs w:val="24"/>
        </w:rPr>
        <w:t>方式：符合以上资格</w:t>
      </w:r>
      <w:r>
        <w:rPr>
          <w:sz w:val="24"/>
          <w:szCs w:val="24"/>
          <w:highlight w:val="none"/>
        </w:rPr>
        <w:t>条件的供应商，可于</w:t>
      </w:r>
      <w:r>
        <w:rPr>
          <w:rFonts w:hint="eastAsia"/>
          <w:sz w:val="24"/>
          <w:szCs w:val="24"/>
          <w:highlight w:val="none"/>
        </w:rPr>
        <w:t>202</w:t>
      </w:r>
      <w:r>
        <w:rPr>
          <w:rFonts w:hint="eastAsia"/>
          <w:sz w:val="24"/>
          <w:szCs w:val="24"/>
          <w:highlight w:val="none"/>
          <w:lang w:val="en-US" w:eastAsia="zh-CN"/>
        </w:rPr>
        <w:t>5</w:t>
      </w:r>
      <w:r>
        <w:rPr>
          <w:rFonts w:hint="eastAsia"/>
          <w:sz w:val="24"/>
          <w:szCs w:val="24"/>
          <w:highlight w:val="none"/>
        </w:rPr>
        <w:t>年</w:t>
      </w:r>
      <w:r>
        <w:rPr>
          <w:rFonts w:hint="eastAsia"/>
          <w:sz w:val="24"/>
          <w:szCs w:val="24"/>
          <w:highlight w:val="none"/>
          <w:lang w:val="en-US" w:eastAsia="zh-CN"/>
        </w:rPr>
        <w:t>4</w:t>
      </w:r>
      <w:r>
        <w:rPr>
          <w:rFonts w:hint="eastAsia"/>
          <w:sz w:val="24"/>
          <w:szCs w:val="24"/>
          <w:highlight w:val="none"/>
        </w:rPr>
        <w:t>月</w:t>
      </w:r>
      <w:r>
        <w:rPr>
          <w:rFonts w:hint="eastAsia"/>
          <w:sz w:val="24"/>
          <w:szCs w:val="24"/>
          <w:highlight w:val="none"/>
          <w:lang w:val="en-US" w:eastAsia="zh-CN"/>
        </w:rPr>
        <w:t>28</w:t>
      </w:r>
      <w:r>
        <w:rPr>
          <w:rFonts w:hint="eastAsia"/>
          <w:sz w:val="24"/>
          <w:szCs w:val="24"/>
          <w:highlight w:val="none"/>
        </w:rPr>
        <w:t>日至 202</w:t>
      </w:r>
      <w:r>
        <w:rPr>
          <w:rFonts w:hint="eastAsia"/>
          <w:sz w:val="24"/>
          <w:szCs w:val="24"/>
          <w:highlight w:val="none"/>
          <w:lang w:val="en-US" w:eastAsia="zh-CN"/>
        </w:rPr>
        <w:t>5</w:t>
      </w:r>
      <w:r>
        <w:rPr>
          <w:rFonts w:hint="eastAsia"/>
          <w:sz w:val="24"/>
          <w:szCs w:val="24"/>
          <w:highlight w:val="none"/>
        </w:rPr>
        <w:t>年</w:t>
      </w:r>
      <w:r>
        <w:rPr>
          <w:rFonts w:hint="eastAsia"/>
          <w:sz w:val="24"/>
          <w:szCs w:val="24"/>
          <w:highlight w:val="none"/>
          <w:lang w:val="en-US" w:eastAsia="zh-CN"/>
        </w:rPr>
        <w:t>5</w:t>
      </w:r>
      <w:r>
        <w:rPr>
          <w:rFonts w:hint="eastAsia"/>
          <w:sz w:val="24"/>
          <w:szCs w:val="24"/>
          <w:highlight w:val="none"/>
        </w:rPr>
        <w:t>月</w:t>
      </w:r>
      <w:r>
        <w:rPr>
          <w:rFonts w:hint="eastAsia"/>
          <w:sz w:val="24"/>
          <w:szCs w:val="24"/>
          <w:highlight w:val="none"/>
          <w:lang w:val="en-US" w:eastAsia="zh-CN"/>
        </w:rPr>
        <w:t>8</w:t>
      </w:r>
      <w:r>
        <w:rPr>
          <w:rFonts w:hint="eastAsia"/>
          <w:sz w:val="24"/>
          <w:szCs w:val="24"/>
          <w:highlight w:val="none"/>
        </w:rPr>
        <w:t>日</w:t>
      </w:r>
      <w:r>
        <w:rPr>
          <w:sz w:val="24"/>
          <w:szCs w:val="24"/>
          <w:highlight w:val="none"/>
        </w:rPr>
        <w:t>每</w:t>
      </w:r>
      <w:r>
        <w:rPr>
          <w:sz w:val="24"/>
          <w:szCs w:val="24"/>
        </w:rPr>
        <w:t>天9:</w:t>
      </w:r>
      <w:r>
        <w:rPr>
          <w:rFonts w:hint="eastAsia"/>
          <w:sz w:val="24"/>
          <w:szCs w:val="24"/>
          <w:lang w:val="en-US" w:eastAsia="zh-CN"/>
        </w:rPr>
        <w:t>0</w:t>
      </w:r>
      <w:r>
        <w:rPr>
          <w:sz w:val="24"/>
          <w:szCs w:val="24"/>
        </w:rPr>
        <w:t>0-1</w:t>
      </w:r>
      <w:r>
        <w:rPr>
          <w:rFonts w:hint="eastAsia"/>
          <w:sz w:val="24"/>
          <w:szCs w:val="24"/>
          <w:lang w:val="en-US" w:eastAsia="zh-CN"/>
        </w:rPr>
        <w:t>2</w:t>
      </w:r>
      <w:r>
        <w:rPr>
          <w:sz w:val="24"/>
          <w:szCs w:val="24"/>
        </w:rPr>
        <w:t>:</w:t>
      </w:r>
      <w:r>
        <w:rPr>
          <w:rFonts w:hint="eastAsia"/>
          <w:sz w:val="24"/>
          <w:szCs w:val="24"/>
          <w:lang w:val="en-US" w:eastAsia="zh-CN"/>
        </w:rPr>
        <w:t>00</w:t>
      </w:r>
      <w:r>
        <w:rPr>
          <w:sz w:val="24"/>
          <w:szCs w:val="24"/>
        </w:rPr>
        <w:t>时、1</w:t>
      </w:r>
      <w:r>
        <w:rPr>
          <w:rFonts w:hint="eastAsia"/>
          <w:sz w:val="24"/>
          <w:szCs w:val="24"/>
          <w:lang w:val="en-US" w:eastAsia="zh-CN"/>
        </w:rPr>
        <w:t>4</w:t>
      </w:r>
      <w:r>
        <w:rPr>
          <w:sz w:val="24"/>
          <w:szCs w:val="24"/>
        </w:rPr>
        <w:t>:</w:t>
      </w:r>
      <w:r>
        <w:rPr>
          <w:rFonts w:hint="eastAsia"/>
          <w:sz w:val="24"/>
          <w:szCs w:val="24"/>
          <w:lang w:val="en-US" w:eastAsia="zh-CN"/>
        </w:rPr>
        <w:t>00</w:t>
      </w:r>
      <w:r>
        <w:rPr>
          <w:sz w:val="24"/>
          <w:szCs w:val="24"/>
        </w:rPr>
        <w:t>-1</w:t>
      </w:r>
      <w:r>
        <w:rPr>
          <w:rFonts w:hint="eastAsia"/>
          <w:sz w:val="24"/>
          <w:szCs w:val="24"/>
          <w:lang w:val="en-US" w:eastAsia="zh-CN"/>
        </w:rPr>
        <w:t>7</w:t>
      </w:r>
      <w:r>
        <w:rPr>
          <w:sz w:val="24"/>
          <w:szCs w:val="24"/>
        </w:rPr>
        <w:t>:</w:t>
      </w:r>
      <w:r>
        <w:rPr>
          <w:rFonts w:hint="eastAsia"/>
          <w:sz w:val="24"/>
          <w:szCs w:val="24"/>
          <w:lang w:val="en-US" w:eastAsia="zh-CN"/>
        </w:rPr>
        <w:t>00</w:t>
      </w:r>
      <w:r>
        <w:rPr>
          <w:sz w:val="24"/>
          <w:szCs w:val="24"/>
        </w:rPr>
        <w:t>时止(法定节假日除外)在西安市太白南路181号西部电子社区A 座A区209标书发售室获取磋商文件。获取磋商文件需持单位介绍信、购买人身份证复印件，以上资料均需加盖公章。</w:t>
      </w:r>
    </w:p>
    <w:p w14:paraId="449B60D5">
      <w:pPr>
        <w:spacing w:line="360" w:lineRule="auto"/>
        <w:ind w:firstLine="480" w:firstLineChars="200"/>
        <w:jc w:val="left"/>
        <w:rPr>
          <w:sz w:val="24"/>
          <w:szCs w:val="24"/>
        </w:rPr>
      </w:pPr>
      <w:r>
        <w:rPr>
          <w:sz w:val="24"/>
          <w:szCs w:val="24"/>
        </w:rPr>
        <w:t>售价：</w:t>
      </w:r>
      <w:r>
        <w:rPr>
          <w:rFonts w:hint="eastAsia"/>
          <w:sz w:val="24"/>
          <w:szCs w:val="24"/>
        </w:rPr>
        <w:t>0元</w:t>
      </w:r>
    </w:p>
    <w:p w14:paraId="1931896B">
      <w:pPr>
        <w:spacing w:line="360" w:lineRule="auto"/>
        <w:jc w:val="left"/>
        <w:rPr>
          <w:b/>
          <w:sz w:val="24"/>
          <w:szCs w:val="24"/>
        </w:rPr>
      </w:pPr>
      <w:r>
        <w:rPr>
          <w:b/>
          <w:sz w:val="24"/>
          <w:szCs w:val="24"/>
        </w:rPr>
        <w:t>四、提交投标文件截止时间、开标时间和地点</w:t>
      </w:r>
    </w:p>
    <w:p w14:paraId="0860D98D">
      <w:pPr>
        <w:spacing w:line="360" w:lineRule="auto"/>
        <w:ind w:firstLine="480" w:firstLineChars="200"/>
        <w:jc w:val="left"/>
        <w:rPr>
          <w:sz w:val="24"/>
          <w:szCs w:val="24"/>
        </w:rPr>
      </w:pPr>
      <w:r>
        <w:rPr>
          <w:sz w:val="24"/>
          <w:szCs w:val="24"/>
          <w:highlight w:val="none"/>
        </w:rPr>
        <w:t>时间：202</w:t>
      </w:r>
      <w:r>
        <w:rPr>
          <w:rFonts w:hint="eastAsia"/>
          <w:sz w:val="24"/>
          <w:szCs w:val="24"/>
          <w:highlight w:val="none"/>
          <w:lang w:val="en-US" w:eastAsia="zh-CN"/>
        </w:rPr>
        <w:t>5</w:t>
      </w:r>
      <w:r>
        <w:rPr>
          <w:rFonts w:hint="eastAsia"/>
          <w:sz w:val="24"/>
          <w:szCs w:val="24"/>
          <w:highlight w:val="none"/>
        </w:rPr>
        <w:t>年</w:t>
      </w:r>
      <w:r>
        <w:rPr>
          <w:rFonts w:hint="eastAsia"/>
          <w:sz w:val="24"/>
          <w:szCs w:val="24"/>
          <w:highlight w:val="none"/>
          <w:lang w:val="en-US" w:eastAsia="zh-CN"/>
        </w:rPr>
        <w:t>5月13</w:t>
      </w:r>
      <w:r>
        <w:rPr>
          <w:rFonts w:hint="eastAsia"/>
          <w:sz w:val="24"/>
          <w:szCs w:val="24"/>
          <w:highlight w:val="none"/>
        </w:rPr>
        <w:t>日</w:t>
      </w:r>
      <w:r>
        <w:rPr>
          <w:rFonts w:hint="eastAsia"/>
          <w:sz w:val="24"/>
          <w:szCs w:val="24"/>
          <w:highlight w:val="none"/>
          <w:lang w:val="en-US" w:eastAsia="zh-CN"/>
        </w:rPr>
        <w:t>14</w:t>
      </w:r>
      <w:r>
        <w:rPr>
          <w:rFonts w:hint="eastAsia"/>
          <w:sz w:val="24"/>
          <w:szCs w:val="24"/>
          <w:highlight w:val="none"/>
        </w:rPr>
        <w:t>:</w:t>
      </w:r>
      <w:r>
        <w:rPr>
          <w:rFonts w:hint="eastAsia"/>
          <w:sz w:val="24"/>
          <w:szCs w:val="24"/>
        </w:rPr>
        <w:t>30:00（北京时间）</w:t>
      </w:r>
    </w:p>
    <w:p w14:paraId="38F2E66F">
      <w:pPr>
        <w:spacing w:line="360" w:lineRule="auto"/>
        <w:ind w:firstLine="480" w:firstLineChars="200"/>
        <w:jc w:val="left"/>
        <w:rPr>
          <w:sz w:val="24"/>
          <w:szCs w:val="24"/>
        </w:rPr>
      </w:pPr>
      <w:r>
        <w:rPr>
          <w:sz w:val="24"/>
          <w:szCs w:val="24"/>
        </w:rPr>
        <w:t>地点：西安市太白南路181号西部电子社区A座A区208-1会议室</w:t>
      </w:r>
    </w:p>
    <w:p w14:paraId="1D6B384F">
      <w:pPr>
        <w:spacing w:line="360" w:lineRule="auto"/>
        <w:jc w:val="left"/>
        <w:rPr>
          <w:b/>
          <w:sz w:val="24"/>
          <w:szCs w:val="24"/>
        </w:rPr>
      </w:pPr>
      <w:r>
        <w:rPr>
          <w:b/>
          <w:sz w:val="24"/>
          <w:szCs w:val="24"/>
        </w:rPr>
        <w:t>五、公告期限</w:t>
      </w:r>
    </w:p>
    <w:p w14:paraId="6A2617C4">
      <w:pPr>
        <w:spacing w:line="360" w:lineRule="auto"/>
        <w:ind w:firstLine="480" w:firstLineChars="200"/>
        <w:jc w:val="left"/>
        <w:rPr>
          <w:sz w:val="24"/>
          <w:szCs w:val="24"/>
        </w:rPr>
      </w:pPr>
      <w:r>
        <w:rPr>
          <w:sz w:val="24"/>
          <w:szCs w:val="24"/>
        </w:rPr>
        <w:t>自本公告发布之日起</w:t>
      </w:r>
      <w:r>
        <w:rPr>
          <w:rFonts w:hint="eastAsia"/>
          <w:sz w:val="24"/>
          <w:szCs w:val="24"/>
        </w:rPr>
        <w:t>3</w:t>
      </w:r>
      <w:r>
        <w:rPr>
          <w:sz w:val="24"/>
          <w:szCs w:val="24"/>
        </w:rPr>
        <w:t>个工作日</w:t>
      </w:r>
    </w:p>
    <w:p w14:paraId="6C02947A">
      <w:pPr>
        <w:spacing w:line="360" w:lineRule="auto"/>
        <w:jc w:val="left"/>
        <w:rPr>
          <w:b/>
          <w:sz w:val="24"/>
          <w:szCs w:val="24"/>
        </w:rPr>
      </w:pPr>
      <w:r>
        <w:rPr>
          <w:b/>
          <w:sz w:val="24"/>
          <w:szCs w:val="24"/>
        </w:rPr>
        <w:t>六、其他补充事宜</w:t>
      </w:r>
    </w:p>
    <w:p w14:paraId="1C796E5B">
      <w:pPr>
        <w:spacing w:line="360" w:lineRule="auto"/>
        <w:ind w:firstLine="480" w:firstLineChars="200"/>
        <w:jc w:val="left"/>
        <w:rPr>
          <w:sz w:val="24"/>
          <w:szCs w:val="24"/>
        </w:rPr>
      </w:pPr>
      <w:r>
        <w:rPr>
          <w:sz w:val="24"/>
          <w:szCs w:val="24"/>
        </w:rPr>
        <w:t>1.本项目采购活动执行下列政府采购政策（具体办法详见</w:t>
      </w:r>
      <w:r>
        <w:rPr>
          <w:rFonts w:hint="eastAsia"/>
          <w:sz w:val="24"/>
          <w:szCs w:val="24"/>
        </w:rPr>
        <w:t>磋商</w:t>
      </w:r>
      <w:r>
        <w:rPr>
          <w:sz w:val="24"/>
          <w:szCs w:val="24"/>
        </w:rPr>
        <w:t>文件）：</w:t>
      </w:r>
    </w:p>
    <w:p w14:paraId="4DFFF708">
      <w:pPr>
        <w:spacing w:line="360" w:lineRule="auto"/>
        <w:ind w:firstLine="480" w:firstLineChars="200"/>
        <w:jc w:val="left"/>
        <w:rPr>
          <w:sz w:val="24"/>
          <w:szCs w:val="24"/>
        </w:rPr>
      </w:pPr>
      <w:r>
        <w:rPr>
          <w:sz w:val="24"/>
          <w:szCs w:val="24"/>
        </w:rPr>
        <w:t>1.1《财政部 国家发展改革委关于印发〈节能产品政府采购实施意见〉的通知》（财库〔2004〕185号）；</w:t>
      </w:r>
    </w:p>
    <w:p w14:paraId="50D3E461">
      <w:pPr>
        <w:spacing w:line="360" w:lineRule="auto"/>
        <w:ind w:firstLine="480" w:firstLineChars="200"/>
        <w:jc w:val="left"/>
        <w:rPr>
          <w:sz w:val="24"/>
          <w:szCs w:val="24"/>
        </w:rPr>
      </w:pPr>
      <w:r>
        <w:rPr>
          <w:sz w:val="24"/>
          <w:szCs w:val="24"/>
        </w:rPr>
        <w:t>1.2《财政部环保总局关于环境标志产品政府采购实施的意见》（财库〔2006〕90号）；</w:t>
      </w:r>
    </w:p>
    <w:p w14:paraId="12C6D098">
      <w:pPr>
        <w:spacing w:line="360" w:lineRule="auto"/>
        <w:ind w:firstLine="480" w:firstLineChars="200"/>
        <w:jc w:val="left"/>
        <w:rPr>
          <w:sz w:val="24"/>
          <w:szCs w:val="24"/>
        </w:rPr>
      </w:pPr>
      <w:r>
        <w:rPr>
          <w:sz w:val="24"/>
          <w:szCs w:val="24"/>
        </w:rPr>
        <w:t>1.3《国务院办公厅关于建立政府强制采购节能产品制度的通知》（国办发〔2007〕51号）；</w:t>
      </w:r>
    </w:p>
    <w:p w14:paraId="31E14F45">
      <w:pPr>
        <w:spacing w:line="360" w:lineRule="auto"/>
        <w:ind w:firstLine="480" w:firstLineChars="200"/>
        <w:jc w:val="left"/>
        <w:rPr>
          <w:sz w:val="24"/>
          <w:szCs w:val="24"/>
        </w:rPr>
      </w:pPr>
      <w:r>
        <w:rPr>
          <w:sz w:val="24"/>
          <w:szCs w:val="24"/>
        </w:rPr>
        <w:t>1.4《政府采购促进中小企业发展管理办法》（财库〔2020〕46号）；</w:t>
      </w:r>
    </w:p>
    <w:p w14:paraId="3B1A9EC2">
      <w:pPr>
        <w:spacing w:line="360" w:lineRule="auto"/>
        <w:ind w:firstLine="480" w:firstLineChars="200"/>
        <w:jc w:val="left"/>
        <w:rPr>
          <w:sz w:val="24"/>
          <w:szCs w:val="24"/>
        </w:rPr>
      </w:pPr>
      <w:r>
        <w:rPr>
          <w:sz w:val="24"/>
          <w:szCs w:val="24"/>
        </w:rPr>
        <w:t>1.5《关于进一步加大政府采购支持中小企业力度的通知》（财库〔2022〕19号）；</w:t>
      </w:r>
    </w:p>
    <w:p w14:paraId="46D5C3F1">
      <w:pPr>
        <w:spacing w:line="360" w:lineRule="auto"/>
        <w:ind w:firstLine="480" w:firstLineChars="200"/>
        <w:jc w:val="left"/>
        <w:rPr>
          <w:sz w:val="24"/>
          <w:szCs w:val="24"/>
        </w:rPr>
      </w:pPr>
      <w:r>
        <w:rPr>
          <w:sz w:val="24"/>
          <w:szCs w:val="24"/>
        </w:rPr>
        <w:t>1.6《财政部司法部关于政府采购支持监狱企业发展有关问题的通知》（财库〔2014〕68号）；</w:t>
      </w:r>
    </w:p>
    <w:p w14:paraId="0F78AEC0">
      <w:pPr>
        <w:spacing w:line="360" w:lineRule="auto"/>
        <w:ind w:firstLine="480" w:firstLineChars="200"/>
        <w:jc w:val="left"/>
        <w:rPr>
          <w:sz w:val="24"/>
          <w:szCs w:val="24"/>
        </w:rPr>
      </w:pPr>
      <w:r>
        <w:rPr>
          <w:sz w:val="24"/>
          <w:szCs w:val="24"/>
        </w:rPr>
        <w:t>1.7《三部门联合发布关于促进残疾人就业政府采购政策的通知》（财库〔2017〕141号）；</w:t>
      </w:r>
    </w:p>
    <w:p w14:paraId="5A357D2F">
      <w:pPr>
        <w:spacing w:line="360" w:lineRule="auto"/>
        <w:ind w:firstLine="480" w:firstLineChars="200"/>
        <w:jc w:val="left"/>
        <w:rPr>
          <w:sz w:val="24"/>
          <w:szCs w:val="24"/>
        </w:rPr>
      </w:pPr>
      <w:r>
        <w:rPr>
          <w:sz w:val="24"/>
          <w:szCs w:val="24"/>
        </w:rPr>
        <w:t>1.8《财政部发展改革委生态环境部市场监管总局关于调整优化节能产品、环境标志产品政府采购执行机制的通知》（财库〔2019〕9号）;</w:t>
      </w:r>
    </w:p>
    <w:p w14:paraId="1155FB60">
      <w:pPr>
        <w:spacing w:line="360" w:lineRule="auto"/>
        <w:ind w:firstLine="480" w:firstLineChars="200"/>
        <w:jc w:val="left"/>
        <w:rPr>
          <w:sz w:val="24"/>
          <w:szCs w:val="24"/>
        </w:rPr>
      </w:pPr>
      <w:r>
        <w:rPr>
          <w:sz w:val="24"/>
          <w:szCs w:val="24"/>
        </w:rPr>
        <w:t>1.9《财政部国务院扶贫办关于运用政府采购政策支持脱贫攻坚的通知》（财库〔2019〕27号）。</w:t>
      </w:r>
    </w:p>
    <w:p w14:paraId="2385BD72">
      <w:pPr>
        <w:spacing w:line="360" w:lineRule="auto"/>
        <w:jc w:val="left"/>
        <w:rPr>
          <w:b/>
          <w:sz w:val="24"/>
          <w:szCs w:val="24"/>
        </w:rPr>
      </w:pPr>
      <w:r>
        <w:rPr>
          <w:b/>
          <w:sz w:val="24"/>
          <w:szCs w:val="24"/>
        </w:rPr>
        <w:t>七、对本次招标提出询问，请按以下方式联系</w:t>
      </w:r>
    </w:p>
    <w:p w14:paraId="7B2AA771">
      <w:pPr>
        <w:spacing w:line="360" w:lineRule="auto"/>
        <w:ind w:firstLine="480" w:firstLineChars="200"/>
        <w:jc w:val="left"/>
        <w:rPr>
          <w:sz w:val="24"/>
          <w:szCs w:val="24"/>
        </w:rPr>
      </w:pPr>
      <w:r>
        <w:rPr>
          <w:sz w:val="24"/>
          <w:szCs w:val="24"/>
        </w:rPr>
        <w:t>1、采购人信息</w:t>
      </w:r>
    </w:p>
    <w:p w14:paraId="4048ACBF">
      <w:pPr>
        <w:spacing w:line="360" w:lineRule="auto"/>
        <w:ind w:firstLine="480" w:firstLineChars="200"/>
        <w:jc w:val="left"/>
        <w:rPr>
          <w:sz w:val="24"/>
          <w:szCs w:val="24"/>
        </w:rPr>
      </w:pPr>
      <w:r>
        <w:rPr>
          <w:sz w:val="24"/>
          <w:szCs w:val="24"/>
        </w:rPr>
        <w:t>名称：</w:t>
      </w:r>
      <w:r>
        <w:rPr>
          <w:rFonts w:hint="eastAsia" w:eastAsiaTheme="minorEastAsia"/>
          <w:sz w:val="24"/>
          <w:szCs w:val="24"/>
        </w:rPr>
        <w:t>西安市第八医院</w:t>
      </w:r>
    </w:p>
    <w:p w14:paraId="552EE008">
      <w:pPr>
        <w:spacing w:line="360" w:lineRule="auto"/>
        <w:ind w:firstLine="480" w:firstLineChars="200"/>
        <w:jc w:val="left"/>
        <w:rPr>
          <w:sz w:val="24"/>
          <w:szCs w:val="24"/>
        </w:rPr>
      </w:pPr>
      <w:r>
        <w:rPr>
          <w:sz w:val="24"/>
          <w:szCs w:val="24"/>
        </w:rPr>
        <w:t>地址：</w:t>
      </w:r>
      <w:r>
        <w:rPr>
          <w:rFonts w:hint="eastAsia" w:cs="宋体"/>
          <w:sz w:val="24"/>
          <w:szCs w:val="24"/>
        </w:rPr>
        <w:t>丈八东路2号</w:t>
      </w:r>
    </w:p>
    <w:p w14:paraId="1C57CBFA">
      <w:pPr>
        <w:spacing w:line="360" w:lineRule="auto"/>
        <w:ind w:firstLine="480" w:firstLineChars="200"/>
        <w:jc w:val="left"/>
        <w:rPr>
          <w:sz w:val="24"/>
          <w:szCs w:val="24"/>
        </w:rPr>
      </w:pPr>
      <w:r>
        <w:rPr>
          <w:sz w:val="24"/>
          <w:szCs w:val="24"/>
        </w:rPr>
        <w:t>联系方式：</w:t>
      </w:r>
      <w:r>
        <w:rPr>
          <w:rFonts w:hint="eastAsia"/>
          <w:sz w:val="24"/>
          <w:szCs w:val="24"/>
        </w:rPr>
        <w:t>029-85222018</w:t>
      </w:r>
    </w:p>
    <w:p w14:paraId="187EB6E5">
      <w:pPr>
        <w:spacing w:line="360" w:lineRule="auto"/>
        <w:ind w:firstLine="480" w:firstLineChars="200"/>
        <w:jc w:val="left"/>
        <w:rPr>
          <w:sz w:val="24"/>
          <w:szCs w:val="24"/>
        </w:rPr>
      </w:pPr>
      <w:r>
        <w:rPr>
          <w:sz w:val="24"/>
          <w:szCs w:val="24"/>
        </w:rPr>
        <w:t>2、采购代理机构信息</w:t>
      </w:r>
    </w:p>
    <w:p w14:paraId="08147B7E">
      <w:pPr>
        <w:spacing w:line="360" w:lineRule="auto"/>
        <w:ind w:firstLine="480" w:firstLineChars="200"/>
        <w:jc w:val="left"/>
        <w:rPr>
          <w:sz w:val="24"/>
          <w:szCs w:val="24"/>
        </w:rPr>
      </w:pPr>
      <w:r>
        <w:rPr>
          <w:sz w:val="24"/>
          <w:szCs w:val="24"/>
        </w:rPr>
        <w:t>名称：东方（西安）国际招标有限公司</w:t>
      </w:r>
    </w:p>
    <w:p w14:paraId="05197DCD">
      <w:pPr>
        <w:spacing w:line="360" w:lineRule="auto"/>
        <w:ind w:firstLine="480" w:firstLineChars="200"/>
        <w:jc w:val="left"/>
        <w:rPr>
          <w:sz w:val="24"/>
          <w:szCs w:val="24"/>
        </w:rPr>
      </w:pPr>
      <w:r>
        <w:rPr>
          <w:sz w:val="24"/>
          <w:szCs w:val="24"/>
        </w:rPr>
        <w:t>地址：西安市太白南路181号西部电子社区A座A区208-1室</w:t>
      </w:r>
    </w:p>
    <w:p w14:paraId="4F48B575">
      <w:pPr>
        <w:spacing w:line="360" w:lineRule="auto"/>
        <w:ind w:firstLine="480" w:firstLineChars="200"/>
        <w:jc w:val="left"/>
        <w:rPr>
          <w:sz w:val="24"/>
          <w:szCs w:val="24"/>
        </w:rPr>
      </w:pPr>
      <w:r>
        <w:rPr>
          <w:sz w:val="24"/>
          <w:szCs w:val="24"/>
        </w:rPr>
        <w:t>联系方式：029-89585662</w:t>
      </w:r>
      <w:r>
        <w:rPr>
          <w:rFonts w:hint="eastAsia"/>
          <w:sz w:val="24"/>
          <w:szCs w:val="24"/>
        </w:rPr>
        <w:t>转807</w:t>
      </w:r>
    </w:p>
    <w:p w14:paraId="565B12B1">
      <w:pPr>
        <w:spacing w:line="360" w:lineRule="auto"/>
        <w:ind w:firstLine="480" w:firstLineChars="200"/>
        <w:jc w:val="left"/>
        <w:rPr>
          <w:sz w:val="24"/>
          <w:szCs w:val="24"/>
        </w:rPr>
      </w:pPr>
      <w:r>
        <w:rPr>
          <w:sz w:val="24"/>
          <w:szCs w:val="24"/>
        </w:rPr>
        <w:t>3、项目联系方式</w:t>
      </w:r>
      <w:bookmarkStart w:id="8" w:name="_GoBack"/>
      <w:bookmarkEnd w:id="8"/>
    </w:p>
    <w:p w14:paraId="45F64669">
      <w:pPr>
        <w:spacing w:line="360" w:lineRule="auto"/>
        <w:ind w:firstLine="480" w:firstLineChars="200"/>
        <w:jc w:val="left"/>
        <w:rPr>
          <w:sz w:val="24"/>
          <w:szCs w:val="24"/>
        </w:rPr>
      </w:pPr>
      <w:r>
        <w:rPr>
          <w:sz w:val="24"/>
          <w:szCs w:val="24"/>
        </w:rPr>
        <w:t>项目联系人：</w:t>
      </w:r>
      <w:r>
        <w:rPr>
          <w:rFonts w:hint="eastAsia"/>
          <w:sz w:val="24"/>
          <w:szCs w:val="24"/>
        </w:rPr>
        <w:t>孙翊轩、陈一凡</w:t>
      </w:r>
      <w:r>
        <w:rPr>
          <w:sz w:val="24"/>
          <w:szCs w:val="24"/>
        </w:rPr>
        <w:t>、张强</w:t>
      </w:r>
    </w:p>
    <w:p w14:paraId="5835D58F">
      <w:pPr>
        <w:spacing w:line="360" w:lineRule="auto"/>
        <w:ind w:firstLine="480" w:firstLineChars="200"/>
        <w:jc w:val="left"/>
        <w:rPr>
          <w:sz w:val="24"/>
          <w:szCs w:val="24"/>
        </w:rPr>
      </w:pPr>
      <w:r>
        <w:rPr>
          <w:sz w:val="24"/>
          <w:szCs w:val="24"/>
        </w:rPr>
        <w:t>联系方式：029-89585662</w:t>
      </w:r>
      <w:r>
        <w:rPr>
          <w:rFonts w:hint="eastAsia"/>
          <w:sz w:val="24"/>
          <w:szCs w:val="24"/>
        </w:rPr>
        <w:t>转806/807</w:t>
      </w:r>
    </w:p>
    <w:p w14:paraId="17AD3620">
      <w:pPr>
        <w:widowControl/>
        <w:spacing w:line="360" w:lineRule="auto"/>
        <w:jc w:val="center"/>
        <w:rPr>
          <w:b/>
          <w:sz w:val="32"/>
          <w:szCs w:val="32"/>
        </w:rPr>
      </w:pPr>
      <w:r>
        <w:rPr>
          <w:sz w:val="24"/>
        </w:rPr>
        <w:br w:type="page"/>
      </w:r>
      <w:r>
        <w:rPr>
          <w:b/>
          <w:sz w:val="32"/>
          <w:szCs w:val="32"/>
        </w:rPr>
        <w:t>第二章 磋商须知及前附表</w:t>
      </w:r>
    </w:p>
    <w:p w14:paraId="5F4FD942">
      <w:pPr>
        <w:shd w:val="clear" w:color="auto" w:fill="FFFFFF"/>
        <w:spacing w:line="360" w:lineRule="auto"/>
        <w:jc w:val="center"/>
        <w:rPr>
          <w:sz w:val="24"/>
          <w:szCs w:val="24"/>
        </w:rPr>
      </w:pPr>
      <w:r>
        <w:rPr>
          <w:sz w:val="24"/>
          <w:szCs w:val="24"/>
        </w:rPr>
        <w:t>磋商须知前附表</w:t>
      </w:r>
    </w:p>
    <w:p w14:paraId="52A6EF71">
      <w:pPr>
        <w:shd w:val="clear" w:color="auto" w:fill="FFFFFF"/>
        <w:spacing w:line="360" w:lineRule="auto"/>
        <w:rPr>
          <w:sz w:val="24"/>
        </w:rPr>
      </w:pPr>
      <w:r>
        <w:rPr>
          <w:sz w:val="24"/>
        </w:rPr>
        <w:t>（本表是对磋商须知的提示、补充和修改，如有矛盾，应以本表为准。）</w:t>
      </w:r>
    </w:p>
    <w:tbl>
      <w:tblPr>
        <w:tblStyle w:val="21"/>
        <w:tblW w:w="9360" w:type="dxa"/>
        <w:tblInd w:w="-332"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
      <w:tblGrid>
        <w:gridCol w:w="360"/>
        <w:gridCol w:w="840"/>
        <w:gridCol w:w="2279"/>
        <w:gridCol w:w="5528"/>
        <w:gridCol w:w="353"/>
      </w:tblGrid>
      <w:tr w14:paraId="64C917F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gridBefore w:val="1"/>
          <w:gridAfter w:val="1"/>
          <w:wBefore w:w="360" w:type="dxa"/>
          <w:wAfter w:w="353" w:type="dxa"/>
          <w:trHeight w:val="531" w:hRule="atLeast"/>
          <w:tblHeader/>
        </w:trPr>
        <w:tc>
          <w:tcPr>
            <w:tcW w:w="840" w:type="dxa"/>
          </w:tcPr>
          <w:p w14:paraId="14CECC5E">
            <w:pPr>
              <w:shd w:val="clear" w:color="auto" w:fill="FFFFFF"/>
              <w:spacing w:before="156" w:beforeLines="50" w:after="156" w:afterLines="50" w:line="360" w:lineRule="auto"/>
              <w:jc w:val="center"/>
              <w:rPr>
                <w:rFonts w:eastAsiaTheme="majorEastAsia"/>
                <w:b/>
                <w:sz w:val="24"/>
                <w:szCs w:val="24"/>
              </w:rPr>
            </w:pPr>
            <w:r>
              <w:rPr>
                <w:rFonts w:eastAsiaTheme="majorEastAsia"/>
                <w:b/>
                <w:sz w:val="24"/>
                <w:szCs w:val="24"/>
              </w:rPr>
              <w:t>条款号</w:t>
            </w:r>
          </w:p>
        </w:tc>
        <w:tc>
          <w:tcPr>
            <w:tcW w:w="2279" w:type="dxa"/>
          </w:tcPr>
          <w:p w14:paraId="3878D918">
            <w:pPr>
              <w:shd w:val="clear" w:color="auto" w:fill="FFFFFF"/>
              <w:spacing w:before="156" w:beforeLines="50" w:after="156" w:afterLines="50" w:line="360" w:lineRule="auto"/>
              <w:jc w:val="center"/>
              <w:rPr>
                <w:rFonts w:eastAsiaTheme="majorEastAsia"/>
                <w:b/>
                <w:sz w:val="24"/>
                <w:szCs w:val="24"/>
              </w:rPr>
            </w:pPr>
            <w:r>
              <w:rPr>
                <w:rFonts w:eastAsiaTheme="majorEastAsia"/>
                <w:b/>
                <w:sz w:val="24"/>
                <w:szCs w:val="24"/>
              </w:rPr>
              <w:t>条款内容提示</w:t>
            </w:r>
          </w:p>
        </w:tc>
        <w:tc>
          <w:tcPr>
            <w:tcW w:w="5528" w:type="dxa"/>
          </w:tcPr>
          <w:p w14:paraId="56DC7B9E">
            <w:pPr>
              <w:shd w:val="clear" w:color="auto" w:fill="FFFFFF"/>
              <w:spacing w:before="156" w:beforeLines="50" w:after="156" w:afterLines="50" w:line="360" w:lineRule="auto"/>
              <w:jc w:val="center"/>
              <w:rPr>
                <w:rFonts w:eastAsiaTheme="majorEastAsia"/>
                <w:b/>
                <w:sz w:val="24"/>
                <w:szCs w:val="24"/>
              </w:rPr>
            </w:pPr>
            <w:r>
              <w:rPr>
                <w:rFonts w:eastAsiaTheme="majorEastAsia"/>
                <w:b/>
                <w:sz w:val="24"/>
                <w:szCs w:val="24"/>
              </w:rPr>
              <w:t>编 列 内 容</w:t>
            </w:r>
          </w:p>
        </w:tc>
      </w:tr>
      <w:tr w14:paraId="2320858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gridBefore w:val="1"/>
          <w:gridAfter w:val="1"/>
          <w:wBefore w:w="360" w:type="dxa"/>
          <w:wAfter w:w="353" w:type="dxa"/>
          <w:trHeight w:val="1025" w:hRule="atLeast"/>
        </w:trPr>
        <w:tc>
          <w:tcPr>
            <w:tcW w:w="840" w:type="dxa"/>
            <w:vAlign w:val="center"/>
          </w:tcPr>
          <w:p w14:paraId="6CFB24D0">
            <w:pPr>
              <w:shd w:val="clear" w:color="auto" w:fill="FFFFFF"/>
              <w:spacing w:line="360" w:lineRule="auto"/>
              <w:jc w:val="center"/>
              <w:rPr>
                <w:rFonts w:eastAsiaTheme="majorEastAsia"/>
                <w:sz w:val="24"/>
                <w:szCs w:val="24"/>
              </w:rPr>
            </w:pPr>
            <w:r>
              <w:rPr>
                <w:rFonts w:eastAsiaTheme="majorEastAsia"/>
                <w:sz w:val="24"/>
                <w:szCs w:val="24"/>
              </w:rPr>
              <w:t>1.1</w:t>
            </w:r>
          </w:p>
        </w:tc>
        <w:tc>
          <w:tcPr>
            <w:tcW w:w="2279" w:type="dxa"/>
            <w:vAlign w:val="center"/>
          </w:tcPr>
          <w:p w14:paraId="3B4F2685">
            <w:pPr>
              <w:spacing w:line="360" w:lineRule="auto"/>
              <w:jc w:val="left"/>
              <w:rPr>
                <w:rFonts w:eastAsiaTheme="majorEastAsia"/>
                <w:sz w:val="24"/>
                <w:szCs w:val="24"/>
              </w:rPr>
            </w:pPr>
            <w:r>
              <w:rPr>
                <w:rFonts w:eastAsiaTheme="majorEastAsia"/>
                <w:sz w:val="24"/>
                <w:szCs w:val="24"/>
              </w:rPr>
              <w:t>采购人</w:t>
            </w:r>
          </w:p>
        </w:tc>
        <w:tc>
          <w:tcPr>
            <w:tcW w:w="5528" w:type="dxa"/>
            <w:vAlign w:val="center"/>
          </w:tcPr>
          <w:p w14:paraId="66691B4A">
            <w:pPr>
              <w:spacing w:line="360" w:lineRule="auto"/>
              <w:jc w:val="left"/>
              <w:rPr>
                <w:sz w:val="24"/>
                <w:szCs w:val="24"/>
              </w:rPr>
            </w:pPr>
            <w:r>
              <w:rPr>
                <w:rFonts w:hint="eastAsia"/>
                <w:sz w:val="24"/>
                <w:szCs w:val="24"/>
              </w:rPr>
              <w:t>名称：西安市第八医院</w:t>
            </w:r>
          </w:p>
          <w:p w14:paraId="17C263A3">
            <w:pPr>
              <w:spacing w:line="360" w:lineRule="auto"/>
              <w:jc w:val="left"/>
              <w:rPr>
                <w:sz w:val="24"/>
                <w:szCs w:val="24"/>
              </w:rPr>
            </w:pPr>
            <w:r>
              <w:rPr>
                <w:rFonts w:hint="eastAsia"/>
                <w:sz w:val="24"/>
                <w:szCs w:val="24"/>
              </w:rPr>
              <w:t>地址：丈八东路2号</w:t>
            </w:r>
          </w:p>
        </w:tc>
      </w:tr>
      <w:tr w14:paraId="1A711F2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gridBefore w:val="1"/>
          <w:gridAfter w:val="1"/>
          <w:wBefore w:w="360" w:type="dxa"/>
          <w:wAfter w:w="353" w:type="dxa"/>
          <w:trHeight w:val="510" w:hRule="atLeast"/>
        </w:trPr>
        <w:tc>
          <w:tcPr>
            <w:tcW w:w="840" w:type="dxa"/>
            <w:vAlign w:val="center"/>
          </w:tcPr>
          <w:p w14:paraId="194AE633">
            <w:pPr>
              <w:shd w:val="clear" w:color="auto" w:fill="FFFFFF"/>
              <w:spacing w:line="360" w:lineRule="auto"/>
              <w:jc w:val="center"/>
              <w:rPr>
                <w:rFonts w:eastAsiaTheme="majorEastAsia"/>
                <w:sz w:val="24"/>
                <w:szCs w:val="24"/>
              </w:rPr>
            </w:pPr>
            <w:r>
              <w:rPr>
                <w:rFonts w:eastAsiaTheme="majorEastAsia"/>
                <w:sz w:val="24"/>
                <w:szCs w:val="24"/>
              </w:rPr>
              <w:t>2.1</w:t>
            </w:r>
          </w:p>
        </w:tc>
        <w:tc>
          <w:tcPr>
            <w:tcW w:w="2279" w:type="dxa"/>
            <w:vAlign w:val="center"/>
          </w:tcPr>
          <w:p w14:paraId="05FBF7D1">
            <w:pPr>
              <w:spacing w:line="360" w:lineRule="auto"/>
              <w:jc w:val="left"/>
              <w:rPr>
                <w:rFonts w:eastAsiaTheme="majorEastAsia"/>
                <w:sz w:val="24"/>
                <w:szCs w:val="24"/>
              </w:rPr>
            </w:pPr>
            <w:r>
              <w:rPr>
                <w:rFonts w:eastAsiaTheme="majorEastAsia"/>
                <w:sz w:val="24"/>
                <w:szCs w:val="24"/>
              </w:rPr>
              <w:t>采购代理机构</w:t>
            </w:r>
          </w:p>
        </w:tc>
        <w:tc>
          <w:tcPr>
            <w:tcW w:w="5528" w:type="dxa"/>
            <w:vAlign w:val="center"/>
          </w:tcPr>
          <w:p w14:paraId="0FE63050">
            <w:pPr>
              <w:spacing w:line="360" w:lineRule="auto"/>
              <w:rPr>
                <w:kern w:val="0"/>
                <w:sz w:val="24"/>
                <w:szCs w:val="24"/>
              </w:rPr>
            </w:pPr>
            <w:r>
              <w:rPr>
                <w:rFonts w:eastAsiaTheme="majorEastAsia"/>
                <w:sz w:val="24"/>
                <w:szCs w:val="24"/>
              </w:rPr>
              <w:t>名称：</w:t>
            </w:r>
            <w:r>
              <w:rPr>
                <w:kern w:val="0"/>
                <w:sz w:val="24"/>
                <w:szCs w:val="24"/>
              </w:rPr>
              <w:t>东方(西安)国际招标有限公司</w:t>
            </w:r>
          </w:p>
          <w:p w14:paraId="2018FDAC">
            <w:pPr>
              <w:spacing w:line="360" w:lineRule="auto"/>
              <w:rPr>
                <w:rFonts w:eastAsiaTheme="majorEastAsia"/>
                <w:sz w:val="24"/>
                <w:szCs w:val="24"/>
              </w:rPr>
            </w:pPr>
            <w:r>
              <w:rPr>
                <w:rFonts w:eastAsiaTheme="majorEastAsia"/>
                <w:sz w:val="24"/>
                <w:szCs w:val="24"/>
              </w:rPr>
              <w:t>地址：</w:t>
            </w:r>
            <w:r>
              <w:rPr>
                <w:kern w:val="0"/>
                <w:sz w:val="24"/>
                <w:szCs w:val="24"/>
              </w:rPr>
              <w:t>西安市太白南路181号西部电子社区A座A区208-1室</w:t>
            </w:r>
          </w:p>
          <w:p w14:paraId="6A0C0E55">
            <w:pPr>
              <w:shd w:val="clear" w:color="auto" w:fill="FFFFFF"/>
              <w:spacing w:line="440" w:lineRule="exact"/>
              <w:rPr>
                <w:sz w:val="24"/>
                <w:szCs w:val="24"/>
              </w:rPr>
            </w:pPr>
            <w:r>
              <w:rPr>
                <w:rFonts w:eastAsiaTheme="majorEastAsia"/>
                <w:sz w:val="24"/>
                <w:szCs w:val="24"/>
              </w:rPr>
              <w:t>联系人：</w:t>
            </w:r>
            <w:r>
              <w:rPr>
                <w:rFonts w:hint="eastAsia"/>
                <w:sz w:val="24"/>
                <w:szCs w:val="24"/>
              </w:rPr>
              <w:t>孙翊轩</w:t>
            </w:r>
            <w:r>
              <w:rPr>
                <w:sz w:val="24"/>
                <w:szCs w:val="24"/>
              </w:rPr>
              <w:t>、</w:t>
            </w:r>
            <w:r>
              <w:rPr>
                <w:rFonts w:hint="eastAsia"/>
                <w:sz w:val="24"/>
                <w:szCs w:val="24"/>
              </w:rPr>
              <w:t>陈一凡</w:t>
            </w:r>
            <w:r>
              <w:rPr>
                <w:sz w:val="24"/>
                <w:szCs w:val="24"/>
              </w:rPr>
              <w:t>、张强</w:t>
            </w:r>
          </w:p>
          <w:p w14:paraId="37B91E4D">
            <w:pPr>
              <w:shd w:val="clear" w:color="auto" w:fill="FFFFFF"/>
              <w:spacing w:line="440" w:lineRule="exact"/>
              <w:rPr>
                <w:rFonts w:eastAsiaTheme="majorEastAsia"/>
                <w:sz w:val="24"/>
                <w:szCs w:val="24"/>
              </w:rPr>
            </w:pPr>
            <w:r>
              <w:rPr>
                <w:rFonts w:eastAsiaTheme="majorEastAsia"/>
                <w:sz w:val="24"/>
                <w:szCs w:val="24"/>
              </w:rPr>
              <w:t>电话</w:t>
            </w:r>
            <w:r>
              <w:rPr>
                <w:rFonts w:hint="eastAsia" w:eastAsiaTheme="majorEastAsia"/>
                <w:sz w:val="24"/>
                <w:szCs w:val="24"/>
              </w:rPr>
              <w:t>：029-89585662转806/807</w:t>
            </w:r>
          </w:p>
        </w:tc>
      </w:tr>
      <w:tr w14:paraId="13CE223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gridBefore w:val="1"/>
          <w:gridAfter w:val="1"/>
          <w:wBefore w:w="360" w:type="dxa"/>
          <w:wAfter w:w="353" w:type="dxa"/>
          <w:trHeight w:val="1146" w:hRule="atLeast"/>
        </w:trPr>
        <w:tc>
          <w:tcPr>
            <w:tcW w:w="840" w:type="dxa"/>
            <w:vMerge w:val="restart"/>
            <w:vAlign w:val="center"/>
          </w:tcPr>
          <w:p w14:paraId="445C09B9">
            <w:pPr>
              <w:shd w:val="clear" w:color="auto" w:fill="FFFFFF"/>
              <w:spacing w:line="360" w:lineRule="auto"/>
              <w:jc w:val="center"/>
              <w:rPr>
                <w:rFonts w:eastAsiaTheme="majorEastAsia"/>
                <w:sz w:val="24"/>
                <w:szCs w:val="24"/>
              </w:rPr>
            </w:pPr>
            <w:r>
              <w:rPr>
                <w:rFonts w:eastAsiaTheme="majorEastAsia"/>
                <w:sz w:val="24"/>
                <w:szCs w:val="24"/>
              </w:rPr>
              <w:t>2.2.1</w:t>
            </w:r>
          </w:p>
        </w:tc>
        <w:tc>
          <w:tcPr>
            <w:tcW w:w="2279" w:type="dxa"/>
            <w:tcBorders>
              <w:bottom w:val="single" w:color="auto" w:sz="4" w:space="0"/>
            </w:tcBorders>
            <w:vAlign w:val="center"/>
          </w:tcPr>
          <w:p w14:paraId="1E883914">
            <w:pPr>
              <w:shd w:val="clear" w:color="auto" w:fill="FFFFFF"/>
              <w:spacing w:line="360" w:lineRule="auto"/>
              <w:jc w:val="left"/>
              <w:rPr>
                <w:rFonts w:eastAsiaTheme="majorEastAsia"/>
                <w:sz w:val="24"/>
                <w:szCs w:val="24"/>
              </w:rPr>
            </w:pPr>
            <w:r>
              <w:rPr>
                <w:rFonts w:eastAsiaTheme="majorEastAsia"/>
                <w:sz w:val="24"/>
                <w:szCs w:val="24"/>
              </w:rPr>
              <w:t>中华人民共和国法律、行政法规规定的其他条件</w:t>
            </w:r>
          </w:p>
        </w:tc>
        <w:tc>
          <w:tcPr>
            <w:tcW w:w="5528" w:type="dxa"/>
            <w:tcBorders>
              <w:bottom w:val="single" w:color="auto" w:sz="4" w:space="0"/>
            </w:tcBorders>
            <w:vAlign w:val="center"/>
          </w:tcPr>
          <w:p w14:paraId="4214E4D3">
            <w:pPr>
              <w:shd w:val="clear" w:color="auto" w:fill="FFFFFF"/>
              <w:spacing w:line="360" w:lineRule="auto"/>
              <w:rPr>
                <w:rFonts w:eastAsiaTheme="majorEastAsia"/>
                <w:b/>
                <w:sz w:val="24"/>
                <w:szCs w:val="24"/>
              </w:rPr>
            </w:pPr>
            <w:r>
              <w:rPr>
                <w:kern w:val="0"/>
                <w:sz w:val="24"/>
                <w:szCs w:val="24"/>
              </w:rPr>
              <w:t>无。</w:t>
            </w:r>
          </w:p>
        </w:tc>
      </w:tr>
      <w:tr w14:paraId="2895DCB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gridBefore w:val="1"/>
          <w:gridAfter w:val="1"/>
          <w:wBefore w:w="360" w:type="dxa"/>
          <w:wAfter w:w="353" w:type="dxa"/>
          <w:trHeight w:val="572" w:hRule="atLeast"/>
        </w:trPr>
        <w:tc>
          <w:tcPr>
            <w:tcW w:w="840" w:type="dxa"/>
            <w:vMerge w:val="continue"/>
            <w:vAlign w:val="center"/>
          </w:tcPr>
          <w:p w14:paraId="5C069D33">
            <w:pPr>
              <w:shd w:val="clear" w:color="auto" w:fill="FFFFFF"/>
              <w:spacing w:line="360" w:lineRule="auto"/>
              <w:jc w:val="center"/>
              <w:rPr>
                <w:rFonts w:eastAsiaTheme="majorEastAsia"/>
                <w:sz w:val="24"/>
                <w:szCs w:val="24"/>
              </w:rPr>
            </w:pPr>
          </w:p>
        </w:tc>
        <w:tc>
          <w:tcPr>
            <w:tcW w:w="2279" w:type="dxa"/>
            <w:tcBorders>
              <w:top w:val="single" w:color="auto" w:sz="4" w:space="0"/>
            </w:tcBorders>
            <w:vAlign w:val="center"/>
          </w:tcPr>
          <w:p w14:paraId="1F992345">
            <w:pPr>
              <w:shd w:val="clear" w:color="auto" w:fill="FFFFFF"/>
              <w:spacing w:line="360" w:lineRule="auto"/>
              <w:jc w:val="left"/>
              <w:rPr>
                <w:rFonts w:eastAsiaTheme="majorEastAsia"/>
                <w:sz w:val="24"/>
                <w:szCs w:val="24"/>
              </w:rPr>
            </w:pPr>
            <w:r>
              <w:rPr>
                <w:rFonts w:eastAsiaTheme="majorEastAsia"/>
                <w:sz w:val="24"/>
                <w:szCs w:val="24"/>
              </w:rPr>
              <w:t>本项目特定条件</w:t>
            </w:r>
          </w:p>
        </w:tc>
        <w:tc>
          <w:tcPr>
            <w:tcW w:w="5528" w:type="dxa"/>
            <w:tcBorders>
              <w:top w:val="single" w:color="auto" w:sz="4" w:space="0"/>
            </w:tcBorders>
            <w:vAlign w:val="center"/>
          </w:tcPr>
          <w:p w14:paraId="2E9B1A04">
            <w:pPr>
              <w:spacing w:line="360" w:lineRule="auto"/>
              <w:jc w:val="left"/>
              <w:rPr>
                <w:sz w:val="24"/>
                <w:szCs w:val="24"/>
              </w:rPr>
            </w:pPr>
            <w:r>
              <w:rPr>
                <w:rFonts w:hint="eastAsia"/>
                <w:sz w:val="24"/>
                <w:szCs w:val="24"/>
              </w:rPr>
              <w:t>无</w:t>
            </w:r>
          </w:p>
        </w:tc>
      </w:tr>
      <w:tr w14:paraId="6643637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gridBefore w:val="1"/>
          <w:gridAfter w:val="1"/>
          <w:wBefore w:w="360" w:type="dxa"/>
          <w:wAfter w:w="353" w:type="dxa"/>
          <w:trHeight w:val="708" w:hRule="atLeast"/>
        </w:trPr>
        <w:tc>
          <w:tcPr>
            <w:tcW w:w="840" w:type="dxa"/>
            <w:vAlign w:val="center"/>
          </w:tcPr>
          <w:p w14:paraId="3CDC9B99">
            <w:pPr>
              <w:shd w:val="clear" w:color="auto" w:fill="FFFFFF"/>
              <w:spacing w:line="360" w:lineRule="auto"/>
              <w:jc w:val="center"/>
              <w:rPr>
                <w:rFonts w:eastAsiaTheme="majorEastAsia"/>
                <w:sz w:val="24"/>
                <w:szCs w:val="24"/>
              </w:rPr>
            </w:pPr>
            <w:r>
              <w:rPr>
                <w:rFonts w:eastAsiaTheme="majorEastAsia"/>
                <w:sz w:val="24"/>
                <w:szCs w:val="24"/>
              </w:rPr>
              <w:t>2.2.5</w:t>
            </w:r>
          </w:p>
        </w:tc>
        <w:tc>
          <w:tcPr>
            <w:tcW w:w="2279" w:type="dxa"/>
            <w:tcBorders>
              <w:top w:val="single" w:color="auto" w:sz="4" w:space="0"/>
            </w:tcBorders>
            <w:vAlign w:val="center"/>
          </w:tcPr>
          <w:p w14:paraId="3D0C0851">
            <w:pPr>
              <w:shd w:val="clear" w:color="auto" w:fill="FFFFFF"/>
              <w:spacing w:line="360" w:lineRule="auto"/>
              <w:jc w:val="left"/>
              <w:rPr>
                <w:rFonts w:eastAsiaTheme="majorEastAsia"/>
                <w:sz w:val="24"/>
                <w:szCs w:val="24"/>
              </w:rPr>
            </w:pPr>
            <w:r>
              <w:rPr>
                <w:rFonts w:eastAsiaTheme="majorEastAsia"/>
                <w:sz w:val="24"/>
                <w:szCs w:val="24"/>
              </w:rPr>
              <w:t>联合体磋商</w:t>
            </w:r>
          </w:p>
        </w:tc>
        <w:tc>
          <w:tcPr>
            <w:tcW w:w="5528" w:type="dxa"/>
            <w:tcBorders>
              <w:top w:val="single" w:color="auto" w:sz="4" w:space="0"/>
            </w:tcBorders>
            <w:vAlign w:val="center"/>
          </w:tcPr>
          <w:p w14:paraId="4C95FA59">
            <w:pPr>
              <w:pStyle w:val="90"/>
              <w:spacing w:line="360" w:lineRule="auto"/>
              <w:ind w:left="1" w:firstLine="0" w:firstLineChars="0"/>
              <w:rPr>
                <w:sz w:val="24"/>
                <w:szCs w:val="24"/>
              </w:rPr>
            </w:pPr>
            <w:r>
              <w:rPr>
                <w:sz w:val="24"/>
                <w:szCs w:val="24"/>
              </w:rPr>
              <w:t>本项目不接受联合体磋商。</w:t>
            </w:r>
          </w:p>
        </w:tc>
      </w:tr>
      <w:tr w14:paraId="0507CED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gridBefore w:val="1"/>
          <w:gridAfter w:val="1"/>
          <w:wBefore w:w="360" w:type="dxa"/>
          <w:wAfter w:w="353" w:type="dxa"/>
          <w:trHeight w:val="915" w:hRule="atLeast"/>
        </w:trPr>
        <w:tc>
          <w:tcPr>
            <w:tcW w:w="840" w:type="dxa"/>
            <w:vAlign w:val="center"/>
          </w:tcPr>
          <w:p w14:paraId="552E6489">
            <w:pPr>
              <w:shd w:val="clear" w:color="auto" w:fill="FFFFFF"/>
              <w:spacing w:line="360" w:lineRule="auto"/>
              <w:jc w:val="center"/>
              <w:rPr>
                <w:rFonts w:eastAsiaTheme="majorEastAsia"/>
                <w:sz w:val="24"/>
                <w:szCs w:val="24"/>
              </w:rPr>
            </w:pPr>
            <w:r>
              <w:rPr>
                <w:rFonts w:eastAsiaTheme="majorEastAsia"/>
                <w:sz w:val="24"/>
                <w:szCs w:val="24"/>
              </w:rPr>
              <w:t>3</w:t>
            </w:r>
          </w:p>
        </w:tc>
        <w:tc>
          <w:tcPr>
            <w:tcW w:w="2279" w:type="dxa"/>
            <w:tcBorders>
              <w:top w:val="single" w:color="auto" w:sz="4" w:space="0"/>
            </w:tcBorders>
            <w:vAlign w:val="center"/>
          </w:tcPr>
          <w:p w14:paraId="7C3906D4">
            <w:pPr>
              <w:shd w:val="clear" w:color="auto" w:fill="FFFFFF"/>
              <w:spacing w:line="360" w:lineRule="auto"/>
              <w:jc w:val="left"/>
              <w:rPr>
                <w:rFonts w:eastAsiaTheme="majorEastAsia"/>
                <w:sz w:val="24"/>
                <w:szCs w:val="24"/>
              </w:rPr>
            </w:pPr>
            <w:r>
              <w:rPr>
                <w:rFonts w:eastAsiaTheme="majorEastAsia"/>
                <w:sz w:val="24"/>
                <w:szCs w:val="24"/>
              </w:rPr>
              <w:t>供应商信用</w:t>
            </w:r>
          </w:p>
        </w:tc>
        <w:tc>
          <w:tcPr>
            <w:tcW w:w="5528" w:type="dxa"/>
            <w:tcBorders>
              <w:top w:val="single" w:color="auto" w:sz="4" w:space="0"/>
            </w:tcBorders>
            <w:vAlign w:val="center"/>
          </w:tcPr>
          <w:p w14:paraId="4A2A36C4">
            <w:pPr>
              <w:pStyle w:val="90"/>
              <w:numPr>
                <w:ilvl w:val="0"/>
                <w:numId w:val="1"/>
              </w:numPr>
              <w:spacing w:line="360" w:lineRule="auto"/>
              <w:ind w:left="1" w:leftChars="-12" w:hanging="26" w:hangingChars="11"/>
              <w:rPr>
                <w:sz w:val="24"/>
                <w:szCs w:val="24"/>
              </w:rPr>
            </w:pPr>
            <w:r>
              <w:rPr>
                <w:sz w:val="24"/>
                <w:szCs w:val="24"/>
              </w:rPr>
              <w:t>查询渠道：采购代理机构通过“信用中国”网站（www.creditchina.gov.vn）、中国政府采购网（www.ccgp.gov.vn）渠道查询相关主体信用记录；</w:t>
            </w:r>
          </w:p>
          <w:p w14:paraId="3141AC22">
            <w:pPr>
              <w:pStyle w:val="90"/>
              <w:numPr>
                <w:ilvl w:val="0"/>
                <w:numId w:val="1"/>
              </w:numPr>
              <w:spacing w:line="360" w:lineRule="auto"/>
              <w:ind w:left="1" w:leftChars="-12" w:hanging="26" w:hangingChars="11"/>
              <w:rPr>
                <w:sz w:val="24"/>
                <w:szCs w:val="24"/>
              </w:rPr>
            </w:pPr>
            <w:r>
              <w:rPr>
                <w:sz w:val="24"/>
                <w:szCs w:val="24"/>
              </w:rPr>
              <w:t>截止时点：竞争性磋商响应文件递交截止时间；</w:t>
            </w:r>
          </w:p>
          <w:p w14:paraId="01C59DC3">
            <w:pPr>
              <w:pStyle w:val="90"/>
              <w:numPr>
                <w:ilvl w:val="0"/>
                <w:numId w:val="1"/>
              </w:numPr>
              <w:spacing w:line="360" w:lineRule="auto"/>
              <w:ind w:left="1" w:leftChars="-12" w:hanging="26" w:hangingChars="11"/>
              <w:rPr>
                <w:sz w:val="24"/>
                <w:szCs w:val="24"/>
              </w:rPr>
            </w:pPr>
            <w:r>
              <w:rPr>
                <w:sz w:val="24"/>
                <w:szCs w:val="24"/>
              </w:rPr>
              <w:t>信用信息查询记录和证据留存的具体方式：网上查询结果打印；</w:t>
            </w:r>
          </w:p>
          <w:p w14:paraId="48516C43">
            <w:pPr>
              <w:pStyle w:val="90"/>
              <w:numPr>
                <w:ilvl w:val="0"/>
                <w:numId w:val="1"/>
              </w:numPr>
              <w:spacing w:line="360" w:lineRule="auto"/>
              <w:ind w:left="1" w:leftChars="-12" w:hanging="26" w:hangingChars="11"/>
              <w:rPr>
                <w:sz w:val="24"/>
                <w:szCs w:val="24"/>
              </w:rPr>
            </w:pPr>
            <w:r>
              <w:rPr>
                <w:sz w:val="24"/>
                <w:szCs w:val="24"/>
              </w:rPr>
              <w:t>信用信息的使用规则：凡在截止时点内，列入失信被执行人、重大税收违法案件当事人名单、政府采购严重违法失信行为记录名单的供应商，其磋商报价视为无效；联合体磋商响应时，联合体成员存在不良信用记录的，视同联合体存在不良信用记录，其磋商报价视为无效。</w:t>
            </w:r>
          </w:p>
        </w:tc>
      </w:tr>
      <w:tr w14:paraId="03A9AA6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gridBefore w:val="1"/>
          <w:gridAfter w:val="1"/>
          <w:wBefore w:w="360" w:type="dxa"/>
          <w:wAfter w:w="353" w:type="dxa"/>
          <w:trHeight w:val="510" w:hRule="atLeast"/>
        </w:trPr>
        <w:tc>
          <w:tcPr>
            <w:tcW w:w="840" w:type="dxa"/>
            <w:vAlign w:val="center"/>
          </w:tcPr>
          <w:p w14:paraId="47E82046">
            <w:pPr>
              <w:shd w:val="clear" w:color="auto" w:fill="FFFFFF"/>
              <w:spacing w:line="360" w:lineRule="auto"/>
              <w:jc w:val="center"/>
              <w:rPr>
                <w:rFonts w:eastAsiaTheme="majorEastAsia"/>
                <w:sz w:val="24"/>
                <w:szCs w:val="24"/>
              </w:rPr>
            </w:pPr>
            <w:r>
              <w:rPr>
                <w:rFonts w:eastAsiaTheme="majorEastAsia"/>
                <w:sz w:val="24"/>
                <w:szCs w:val="24"/>
              </w:rPr>
              <w:t>4.2.1</w:t>
            </w:r>
          </w:p>
        </w:tc>
        <w:tc>
          <w:tcPr>
            <w:tcW w:w="2279" w:type="dxa"/>
            <w:vAlign w:val="center"/>
          </w:tcPr>
          <w:p w14:paraId="210FE54A">
            <w:pPr>
              <w:shd w:val="clear" w:color="auto" w:fill="FFFFFF"/>
              <w:spacing w:line="360" w:lineRule="auto"/>
              <w:jc w:val="left"/>
              <w:rPr>
                <w:rFonts w:eastAsiaTheme="majorEastAsia"/>
                <w:sz w:val="24"/>
                <w:szCs w:val="24"/>
              </w:rPr>
            </w:pPr>
            <w:r>
              <w:rPr>
                <w:rFonts w:eastAsiaTheme="majorEastAsia"/>
                <w:sz w:val="24"/>
                <w:szCs w:val="24"/>
              </w:rPr>
              <w:t>踏勘</w:t>
            </w:r>
          </w:p>
        </w:tc>
        <w:tc>
          <w:tcPr>
            <w:tcW w:w="5528" w:type="dxa"/>
            <w:vAlign w:val="center"/>
          </w:tcPr>
          <w:p w14:paraId="0E5CD9F5">
            <w:pPr>
              <w:spacing w:line="360" w:lineRule="auto"/>
              <w:rPr>
                <w:sz w:val="24"/>
                <w:szCs w:val="24"/>
              </w:rPr>
            </w:pPr>
            <w:r>
              <w:rPr>
                <w:sz w:val="24"/>
                <w:szCs w:val="24"/>
              </w:rPr>
              <w:sym w:font="Wingdings 2" w:char="F052"/>
            </w:r>
            <w:r>
              <w:rPr>
                <w:sz w:val="24"/>
                <w:szCs w:val="24"/>
              </w:rPr>
              <w:t>不组织</w:t>
            </w:r>
          </w:p>
          <w:p w14:paraId="39B89632">
            <w:pPr>
              <w:spacing w:line="360" w:lineRule="auto"/>
              <w:rPr>
                <w:sz w:val="24"/>
                <w:szCs w:val="24"/>
              </w:rPr>
            </w:pPr>
            <w:r>
              <w:rPr>
                <w:sz w:val="32"/>
                <w:szCs w:val="24"/>
              </w:rPr>
              <w:t>□</w:t>
            </w:r>
            <w:r>
              <w:rPr>
                <w:sz w:val="24"/>
                <w:szCs w:val="24"/>
              </w:rPr>
              <w:t xml:space="preserve">组织 </w:t>
            </w:r>
          </w:p>
        </w:tc>
      </w:tr>
      <w:tr w14:paraId="5DAC0D1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gridBefore w:val="1"/>
          <w:gridAfter w:val="1"/>
          <w:wBefore w:w="360" w:type="dxa"/>
          <w:wAfter w:w="353" w:type="dxa"/>
          <w:trHeight w:val="510" w:hRule="atLeast"/>
        </w:trPr>
        <w:tc>
          <w:tcPr>
            <w:tcW w:w="840" w:type="dxa"/>
            <w:vAlign w:val="center"/>
          </w:tcPr>
          <w:p w14:paraId="2E69849E">
            <w:pPr>
              <w:shd w:val="clear" w:color="auto" w:fill="FFFFFF"/>
              <w:spacing w:line="360" w:lineRule="auto"/>
              <w:jc w:val="center"/>
              <w:rPr>
                <w:rFonts w:eastAsiaTheme="majorEastAsia"/>
                <w:sz w:val="24"/>
                <w:szCs w:val="24"/>
              </w:rPr>
            </w:pPr>
            <w:r>
              <w:rPr>
                <w:rFonts w:eastAsiaTheme="majorEastAsia"/>
                <w:sz w:val="24"/>
                <w:szCs w:val="24"/>
              </w:rPr>
              <w:t>7.2</w:t>
            </w:r>
          </w:p>
        </w:tc>
        <w:tc>
          <w:tcPr>
            <w:tcW w:w="2279" w:type="dxa"/>
            <w:vAlign w:val="center"/>
          </w:tcPr>
          <w:p w14:paraId="662BB847">
            <w:pPr>
              <w:shd w:val="clear" w:color="auto" w:fill="FFFFFF"/>
              <w:spacing w:line="360" w:lineRule="auto"/>
              <w:jc w:val="left"/>
              <w:rPr>
                <w:rFonts w:eastAsiaTheme="majorEastAsia"/>
                <w:sz w:val="24"/>
                <w:szCs w:val="24"/>
              </w:rPr>
            </w:pPr>
            <w:r>
              <w:rPr>
                <w:rFonts w:eastAsiaTheme="majorEastAsia"/>
                <w:sz w:val="24"/>
                <w:szCs w:val="24"/>
              </w:rPr>
              <w:t>供应商提出询问和质疑的时间</w:t>
            </w:r>
          </w:p>
        </w:tc>
        <w:tc>
          <w:tcPr>
            <w:tcW w:w="5528" w:type="dxa"/>
            <w:vAlign w:val="center"/>
          </w:tcPr>
          <w:p w14:paraId="5D939CF9">
            <w:pPr>
              <w:shd w:val="clear" w:color="auto" w:fill="FFFFFF"/>
              <w:spacing w:line="360" w:lineRule="auto"/>
              <w:rPr>
                <w:rFonts w:eastAsiaTheme="majorEastAsia"/>
                <w:sz w:val="24"/>
                <w:szCs w:val="24"/>
              </w:rPr>
            </w:pPr>
            <w:r>
              <w:rPr>
                <w:color w:val="000000"/>
                <w:sz w:val="24"/>
                <w:szCs w:val="24"/>
              </w:rPr>
              <w:t>已经购买磋商文件的供应商对磋商文件有询问和质疑的，应当在磋商响应截止日期二日（日历日）前一次性以书面形式向采购代理机构提出，在此之后提出的询问和质疑为无效询问和质疑，采购代理机构不予受理。</w:t>
            </w:r>
          </w:p>
        </w:tc>
      </w:tr>
      <w:tr w14:paraId="3047155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gridBefore w:val="1"/>
          <w:gridAfter w:val="1"/>
          <w:wBefore w:w="360" w:type="dxa"/>
          <w:wAfter w:w="353" w:type="dxa"/>
          <w:trHeight w:val="90" w:hRule="atLeast"/>
        </w:trPr>
        <w:tc>
          <w:tcPr>
            <w:tcW w:w="840" w:type="dxa"/>
            <w:vAlign w:val="center"/>
          </w:tcPr>
          <w:p w14:paraId="1F426334">
            <w:pPr>
              <w:shd w:val="clear" w:color="auto" w:fill="FFFFFF"/>
              <w:spacing w:line="360" w:lineRule="auto"/>
              <w:jc w:val="center"/>
              <w:rPr>
                <w:rFonts w:eastAsiaTheme="majorEastAsia"/>
                <w:sz w:val="24"/>
                <w:szCs w:val="24"/>
              </w:rPr>
            </w:pPr>
            <w:r>
              <w:rPr>
                <w:rFonts w:eastAsiaTheme="majorEastAsia"/>
                <w:sz w:val="24"/>
                <w:szCs w:val="24"/>
              </w:rPr>
              <w:t>7.3</w:t>
            </w:r>
          </w:p>
        </w:tc>
        <w:tc>
          <w:tcPr>
            <w:tcW w:w="2279" w:type="dxa"/>
            <w:vAlign w:val="center"/>
          </w:tcPr>
          <w:p w14:paraId="3C37BCB3">
            <w:pPr>
              <w:shd w:val="clear" w:color="auto" w:fill="FFFFFF"/>
              <w:spacing w:line="360" w:lineRule="auto"/>
              <w:rPr>
                <w:rFonts w:eastAsiaTheme="majorEastAsia"/>
                <w:sz w:val="24"/>
                <w:szCs w:val="24"/>
              </w:rPr>
            </w:pPr>
            <w:r>
              <w:rPr>
                <w:rFonts w:eastAsiaTheme="majorEastAsia"/>
                <w:sz w:val="24"/>
                <w:szCs w:val="24"/>
              </w:rPr>
              <w:t>采购代理机构答疑的时间</w:t>
            </w:r>
          </w:p>
        </w:tc>
        <w:tc>
          <w:tcPr>
            <w:tcW w:w="5528" w:type="dxa"/>
            <w:vAlign w:val="center"/>
          </w:tcPr>
          <w:p w14:paraId="4BFC9EBD">
            <w:pPr>
              <w:shd w:val="clear" w:color="auto" w:fill="FFFFFF"/>
              <w:spacing w:line="360" w:lineRule="auto"/>
              <w:rPr>
                <w:rFonts w:eastAsiaTheme="majorEastAsia"/>
                <w:sz w:val="24"/>
                <w:szCs w:val="24"/>
              </w:rPr>
            </w:pPr>
            <w:r>
              <w:rPr>
                <w:rFonts w:eastAsiaTheme="majorEastAsia"/>
                <w:sz w:val="24"/>
                <w:szCs w:val="24"/>
              </w:rPr>
              <w:t>对于在规定时间内收到的供应商依法提出的询问或者质疑，采购代理机构将按程序及时作出答复，若对磋商文件做出实质性变动，则按照相关规定延长磋商响应截止时间。</w:t>
            </w:r>
          </w:p>
        </w:tc>
      </w:tr>
      <w:tr w14:paraId="670896F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gridBefore w:val="1"/>
          <w:gridAfter w:val="1"/>
          <w:wBefore w:w="360" w:type="dxa"/>
          <w:wAfter w:w="353" w:type="dxa"/>
          <w:trHeight w:val="592" w:hRule="atLeast"/>
        </w:trPr>
        <w:tc>
          <w:tcPr>
            <w:tcW w:w="840" w:type="dxa"/>
            <w:vAlign w:val="center"/>
          </w:tcPr>
          <w:p w14:paraId="538FB1D1">
            <w:pPr>
              <w:shd w:val="clear" w:color="auto" w:fill="FFFFFF"/>
              <w:spacing w:line="360" w:lineRule="auto"/>
              <w:jc w:val="center"/>
              <w:rPr>
                <w:rFonts w:eastAsiaTheme="majorEastAsia"/>
                <w:sz w:val="24"/>
                <w:szCs w:val="24"/>
              </w:rPr>
            </w:pPr>
            <w:r>
              <w:rPr>
                <w:rFonts w:eastAsiaTheme="majorEastAsia"/>
                <w:sz w:val="24"/>
                <w:szCs w:val="24"/>
              </w:rPr>
              <w:t>7.4</w:t>
            </w:r>
          </w:p>
        </w:tc>
        <w:tc>
          <w:tcPr>
            <w:tcW w:w="2279" w:type="dxa"/>
            <w:vAlign w:val="center"/>
          </w:tcPr>
          <w:p w14:paraId="5C3C2799">
            <w:pPr>
              <w:shd w:val="clear" w:color="auto" w:fill="FFFFFF"/>
              <w:spacing w:line="360" w:lineRule="auto"/>
              <w:rPr>
                <w:rFonts w:eastAsiaTheme="majorEastAsia"/>
                <w:sz w:val="24"/>
                <w:szCs w:val="24"/>
              </w:rPr>
            </w:pPr>
            <w:r>
              <w:rPr>
                <w:rFonts w:eastAsiaTheme="majorEastAsia"/>
                <w:sz w:val="24"/>
                <w:szCs w:val="24"/>
              </w:rPr>
              <w:t>质疑内容要求</w:t>
            </w:r>
          </w:p>
        </w:tc>
        <w:tc>
          <w:tcPr>
            <w:tcW w:w="5528" w:type="dxa"/>
            <w:vAlign w:val="center"/>
          </w:tcPr>
          <w:p w14:paraId="4DC2CD7E">
            <w:pPr>
              <w:shd w:val="clear" w:color="auto" w:fill="FFFFFF"/>
              <w:spacing w:line="360" w:lineRule="auto"/>
              <w:rPr>
                <w:rFonts w:eastAsiaTheme="majorEastAsia"/>
                <w:sz w:val="24"/>
                <w:szCs w:val="24"/>
              </w:rPr>
            </w:pPr>
            <w:r>
              <w:rPr>
                <w:rFonts w:eastAsiaTheme="majorEastAsia"/>
                <w:sz w:val="24"/>
                <w:szCs w:val="24"/>
              </w:rPr>
              <w:t>供应商提出质疑应当有明确的请求和必要的证明材料。</w:t>
            </w:r>
          </w:p>
          <w:p w14:paraId="33282D01">
            <w:pPr>
              <w:shd w:val="clear" w:color="auto" w:fill="FFFFFF"/>
              <w:spacing w:line="360" w:lineRule="auto"/>
              <w:rPr>
                <w:rFonts w:eastAsiaTheme="majorEastAsia"/>
                <w:sz w:val="24"/>
                <w:szCs w:val="24"/>
              </w:rPr>
            </w:pPr>
            <w:r>
              <w:rPr>
                <w:rFonts w:eastAsiaTheme="majorEastAsia"/>
                <w:sz w:val="24"/>
                <w:szCs w:val="24"/>
              </w:rPr>
              <w:t>接收质疑函的方式：书面形式</w:t>
            </w:r>
          </w:p>
          <w:p w14:paraId="06EEE19E">
            <w:pPr>
              <w:shd w:val="clear" w:color="auto" w:fill="FFFFFF"/>
              <w:spacing w:line="360" w:lineRule="auto"/>
              <w:rPr>
                <w:rFonts w:eastAsiaTheme="majorEastAsia"/>
                <w:sz w:val="24"/>
                <w:szCs w:val="24"/>
              </w:rPr>
            </w:pPr>
            <w:r>
              <w:rPr>
                <w:rFonts w:eastAsiaTheme="majorEastAsia"/>
                <w:sz w:val="24"/>
                <w:szCs w:val="24"/>
              </w:rPr>
              <w:t>联系部门：</w:t>
            </w:r>
            <w:r>
              <w:rPr>
                <w:sz w:val="24"/>
              </w:rPr>
              <w:t>东方（西安）国际招标有限公司</w:t>
            </w:r>
          </w:p>
          <w:p w14:paraId="0773945A">
            <w:pPr>
              <w:shd w:val="clear" w:color="auto" w:fill="FFFFFF"/>
              <w:spacing w:line="360" w:lineRule="auto"/>
              <w:rPr>
                <w:sz w:val="24"/>
                <w:szCs w:val="24"/>
              </w:rPr>
            </w:pPr>
            <w:r>
              <w:rPr>
                <w:rFonts w:eastAsiaTheme="majorEastAsia"/>
                <w:sz w:val="24"/>
                <w:szCs w:val="24"/>
              </w:rPr>
              <w:t>联系电话：</w:t>
            </w:r>
            <w:r>
              <w:rPr>
                <w:kern w:val="0"/>
                <w:sz w:val="24"/>
                <w:szCs w:val="24"/>
              </w:rPr>
              <w:t>029-89585662</w:t>
            </w:r>
            <w:r>
              <w:rPr>
                <w:rFonts w:hint="eastAsia"/>
                <w:kern w:val="0"/>
                <w:sz w:val="24"/>
                <w:szCs w:val="24"/>
              </w:rPr>
              <w:t>-807</w:t>
            </w:r>
          </w:p>
          <w:p w14:paraId="31F42ED8">
            <w:pPr>
              <w:spacing w:line="360" w:lineRule="auto"/>
              <w:rPr>
                <w:rFonts w:eastAsiaTheme="majorEastAsia"/>
                <w:sz w:val="24"/>
                <w:szCs w:val="24"/>
              </w:rPr>
            </w:pPr>
            <w:r>
              <w:rPr>
                <w:rFonts w:eastAsiaTheme="majorEastAsia"/>
                <w:sz w:val="24"/>
                <w:szCs w:val="24"/>
              </w:rPr>
              <w:t>通讯地址：</w:t>
            </w:r>
            <w:r>
              <w:rPr>
                <w:kern w:val="0"/>
                <w:sz w:val="24"/>
                <w:szCs w:val="24"/>
              </w:rPr>
              <w:t>西安市太白南路181号西部电子社区A座A区208-1室</w:t>
            </w:r>
            <w:r>
              <w:rPr>
                <w:rFonts w:eastAsiaTheme="majorEastAsia"/>
                <w:sz w:val="24"/>
                <w:szCs w:val="24"/>
              </w:rPr>
              <w:t>。</w:t>
            </w:r>
          </w:p>
        </w:tc>
      </w:tr>
      <w:tr w14:paraId="3AADEC9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gridBefore w:val="1"/>
          <w:gridAfter w:val="1"/>
          <w:wBefore w:w="360" w:type="dxa"/>
          <w:wAfter w:w="353" w:type="dxa"/>
          <w:trHeight w:val="90" w:hRule="atLeast"/>
        </w:trPr>
        <w:tc>
          <w:tcPr>
            <w:tcW w:w="840" w:type="dxa"/>
            <w:vAlign w:val="center"/>
          </w:tcPr>
          <w:p w14:paraId="59E1761C">
            <w:pPr>
              <w:shd w:val="clear" w:color="auto" w:fill="FFFFFF"/>
              <w:spacing w:line="360" w:lineRule="auto"/>
              <w:jc w:val="center"/>
              <w:rPr>
                <w:rFonts w:eastAsiaTheme="majorEastAsia"/>
                <w:sz w:val="24"/>
                <w:szCs w:val="24"/>
              </w:rPr>
            </w:pPr>
            <w:r>
              <w:rPr>
                <w:rFonts w:eastAsiaTheme="majorEastAsia"/>
                <w:sz w:val="24"/>
                <w:szCs w:val="24"/>
              </w:rPr>
              <w:t>12.1</w:t>
            </w:r>
          </w:p>
        </w:tc>
        <w:tc>
          <w:tcPr>
            <w:tcW w:w="2279" w:type="dxa"/>
            <w:vAlign w:val="center"/>
          </w:tcPr>
          <w:p w14:paraId="33DAEE5D">
            <w:pPr>
              <w:shd w:val="clear" w:color="auto" w:fill="FFFFFF"/>
              <w:spacing w:line="360" w:lineRule="auto"/>
              <w:rPr>
                <w:rFonts w:eastAsiaTheme="majorEastAsia"/>
                <w:sz w:val="24"/>
                <w:szCs w:val="24"/>
                <w:highlight w:val="none"/>
              </w:rPr>
            </w:pPr>
            <w:r>
              <w:rPr>
                <w:rFonts w:eastAsiaTheme="majorEastAsia"/>
                <w:sz w:val="24"/>
                <w:szCs w:val="24"/>
                <w:highlight w:val="none"/>
              </w:rPr>
              <w:t>报价要求</w:t>
            </w:r>
          </w:p>
        </w:tc>
        <w:tc>
          <w:tcPr>
            <w:tcW w:w="5528" w:type="dxa"/>
            <w:vAlign w:val="center"/>
          </w:tcPr>
          <w:p w14:paraId="06811031">
            <w:pPr>
              <w:spacing w:line="440" w:lineRule="exact"/>
              <w:rPr>
                <w:rFonts w:eastAsiaTheme="majorEastAsia"/>
                <w:sz w:val="24"/>
                <w:szCs w:val="24"/>
                <w:highlight w:val="none"/>
              </w:rPr>
            </w:pPr>
            <w:r>
              <w:rPr>
                <w:rFonts w:eastAsiaTheme="majorEastAsia"/>
                <w:sz w:val="24"/>
                <w:szCs w:val="24"/>
                <w:highlight w:val="none"/>
              </w:rPr>
              <w:t>1、</w:t>
            </w:r>
            <w:r>
              <w:rPr>
                <w:rFonts w:hint="eastAsia" w:eastAsiaTheme="majorEastAsia"/>
                <w:sz w:val="24"/>
                <w:szCs w:val="24"/>
                <w:highlight w:val="none"/>
              </w:rPr>
              <w:t>报《磋商分项报价表》要求的各品目单价及单价合计价；</w:t>
            </w:r>
          </w:p>
          <w:p w14:paraId="14C44694">
            <w:pPr>
              <w:spacing w:line="440" w:lineRule="exact"/>
              <w:rPr>
                <w:sz w:val="24"/>
                <w:highlight w:val="none"/>
              </w:rPr>
            </w:pPr>
            <w:r>
              <w:rPr>
                <w:rFonts w:hint="eastAsia" w:eastAsiaTheme="majorEastAsia"/>
                <w:sz w:val="24"/>
                <w:szCs w:val="24"/>
                <w:highlight w:val="none"/>
              </w:rPr>
              <w:t>磋商报价：固定总价</w:t>
            </w:r>
            <w:r>
              <w:rPr>
                <w:sz w:val="24"/>
                <w:highlight w:val="none"/>
              </w:rPr>
              <w:t>（含软件、升级、维护、人员工资</w:t>
            </w:r>
            <w:r>
              <w:rPr>
                <w:rFonts w:hint="eastAsia"/>
                <w:sz w:val="24"/>
                <w:highlight w:val="none"/>
              </w:rPr>
              <w:t>，</w:t>
            </w:r>
            <w:r>
              <w:rPr>
                <w:sz w:val="24"/>
                <w:highlight w:val="none"/>
              </w:rPr>
              <w:t>使用的相关工具及材料、各项保险、服务费、税费等相关一切费用）。</w:t>
            </w:r>
          </w:p>
          <w:p w14:paraId="47BDC3BF">
            <w:pPr>
              <w:spacing w:line="440" w:lineRule="exact"/>
              <w:rPr>
                <w:sz w:val="24"/>
                <w:highlight w:val="none"/>
              </w:rPr>
            </w:pPr>
            <w:r>
              <w:rPr>
                <w:rFonts w:hint="eastAsia"/>
                <w:sz w:val="24"/>
                <w:highlight w:val="none"/>
              </w:rPr>
              <w:t>2、</w:t>
            </w:r>
            <w:r>
              <w:rPr>
                <w:sz w:val="24"/>
                <w:highlight w:val="none"/>
              </w:rPr>
              <w:t>无论</w:t>
            </w:r>
            <w:r>
              <w:rPr>
                <w:rFonts w:hint="eastAsia"/>
                <w:sz w:val="24"/>
                <w:highlight w:val="none"/>
              </w:rPr>
              <w:t>报价</w:t>
            </w:r>
            <w:r>
              <w:rPr>
                <w:sz w:val="24"/>
                <w:highlight w:val="none"/>
              </w:rPr>
              <w:t>明细表中是否列明，</w:t>
            </w:r>
            <w:r>
              <w:rPr>
                <w:rFonts w:hint="eastAsia"/>
                <w:sz w:val="24"/>
                <w:highlight w:val="none"/>
              </w:rPr>
              <w:t>供应商</w:t>
            </w:r>
            <w:r>
              <w:rPr>
                <w:sz w:val="24"/>
                <w:highlight w:val="none"/>
              </w:rPr>
              <w:t>在报价的权利和义务所需的全部费用已包含在报价中。合同价格不受市场价变化的影响。</w:t>
            </w:r>
          </w:p>
        </w:tc>
      </w:tr>
      <w:tr w14:paraId="3005313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gridBefore w:val="1"/>
          <w:gridAfter w:val="1"/>
          <w:wBefore w:w="360" w:type="dxa"/>
          <w:wAfter w:w="353" w:type="dxa"/>
          <w:trHeight w:val="450" w:hRule="atLeast"/>
        </w:trPr>
        <w:tc>
          <w:tcPr>
            <w:tcW w:w="840" w:type="dxa"/>
            <w:vAlign w:val="center"/>
          </w:tcPr>
          <w:p w14:paraId="28643D03">
            <w:pPr>
              <w:shd w:val="clear" w:color="auto" w:fill="FFFFFF"/>
              <w:spacing w:line="360" w:lineRule="auto"/>
              <w:jc w:val="center"/>
              <w:rPr>
                <w:rFonts w:eastAsiaTheme="majorEastAsia"/>
                <w:sz w:val="24"/>
                <w:szCs w:val="24"/>
              </w:rPr>
            </w:pPr>
            <w:r>
              <w:rPr>
                <w:rFonts w:eastAsiaTheme="majorEastAsia"/>
                <w:sz w:val="24"/>
                <w:szCs w:val="24"/>
              </w:rPr>
              <w:t>13.1</w:t>
            </w:r>
          </w:p>
        </w:tc>
        <w:tc>
          <w:tcPr>
            <w:tcW w:w="2279" w:type="dxa"/>
            <w:vAlign w:val="center"/>
          </w:tcPr>
          <w:p w14:paraId="5882E516">
            <w:pPr>
              <w:shd w:val="clear" w:color="auto" w:fill="FFFFFF"/>
              <w:spacing w:line="360" w:lineRule="auto"/>
              <w:rPr>
                <w:rFonts w:eastAsiaTheme="majorEastAsia"/>
                <w:sz w:val="24"/>
                <w:szCs w:val="24"/>
              </w:rPr>
            </w:pPr>
            <w:r>
              <w:rPr>
                <w:rFonts w:eastAsiaTheme="majorEastAsia"/>
                <w:sz w:val="24"/>
                <w:szCs w:val="24"/>
              </w:rPr>
              <w:t>资格证明文件</w:t>
            </w:r>
          </w:p>
        </w:tc>
        <w:tc>
          <w:tcPr>
            <w:tcW w:w="5528" w:type="dxa"/>
            <w:vAlign w:val="center"/>
          </w:tcPr>
          <w:p w14:paraId="74062526">
            <w:pPr>
              <w:spacing w:line="360" w:lineRule="auto"/>
              <w:jc w:val="left"/>
              <w:rPr>
                <w:sz w:val="24"/>
              </w:rPr>
            </w:pPr>
            <w:r>
              <w:rPr>
                <w:sz w:val="24"/>
              </w:rPr>
              <w:t>1.1、</w:t>
            </w:r>
            <w:r>
              <w:rPr>
                <w:kern w:val="0"/>
                <w:sz w:val="24"/>
              </w:rPr>
              <w:t>具有独立承担民事责任能力的法人、其他组织或自然人，并出具合法有效的营业执照或事业单位法人证书等国家规定的相关证明，自然人参与的提供其身份证明</w:t>
            </w:r>
            <w:r>
              <w:rPr>
                <w:sz w:val="24"/>
              </w:rPr>
              <w:t>；</w:t>
            </w:r>
          </w:p>
          <w:p w14:paraId="61392FB3">
            <w:pPr>
              <w:spacing w:line="360" w:lineRule="auto"/>
              <w:jc w:val="left"/>
              <w:rPr>
                <w:sz w:val="24"/>
              </w:rPr>
            </w:pPr>
            <w:r>
              <w:rPr>
                <w:sz w:val="24"/>
              </w:rPr>
              <w:t>1.2、</w:t>
            </w:r>
            <w:r>
              <w:rPr>
                <w:rFonts w:hint="eastAsia" w:cs="宋体" w:asciiTheme="majorEastAsia" w:hAnsiTheme="majorEastAsia" w:eastAsiaTheme="majorEastAsia"/>
                <w:bCs/>
                <w:sz w:val="24"/>
                <w:szCs w:val="24"/>
                <w:lang w:eastAsia="zh-Hans"/>
              </w:rPr>
              <w:t xml:space="preserve">授权委托书：非法定代表人参加投标的，须提供法定代表人授权委托书及被授权人身份证、被授权人在投标单位近3个月连续缴纳的社保证明；法定代表人参加投标时,须提供法定代表人身份证； </w:t>
            </w:r>
          </w:p>
          <w:p w14:paraId="30B9D144">
            <w:pPr>
              <w:spacing w:line="360" w:lineRule="auto"/>
              <w:jc w:val="left"/>
              <w:rPr>
                <w:sz w:val="24"/>
              </w:rPr>
            </w:pPr>
            <w:r>
              <w:rPr>
                <w:sz w:val="24"/>
              </w:rPr>
              <w:t>2、</w:t>
            </w:r>
            <w:r>
              <w:rPr>
                <w:sz w:val="24"/>
                <w:szCs w:val="24"/>
              </w:rPr>
              <w:t>提供供应商202</w:t>
            </w:r>
            <w:r>
              <w:rPr>
                <w:rFonts w:hint="eastAsia"/>
                <w:sz w:val="24"/>
                <w:szCs w:val="24"/>
                <w:lang w:val="en-US" w:eastAsia="zh-CN"/>
              </w:rPr>
              <w:t>3</w:t>
            </w:r>
            <w:r>
              <w:rPr>
                <w:sz w:val="24"/>
                <w:szCs w:val="24"/>
              </w:rPr>
              <w:t>年以来任</w:t>
            </w:r>
            <w:r>
              <w:rPr>
                <w:rFonts w:hint="eastAsia"/>
                <w:sz w:val="24"/>
                <w:szCs w:val="24"/>
              </w:rPr>
              <w:t>一</w:t>
            </w:r>
            <w:r>
              <w:rPr>
                <w:sz w:val="24"/>
                <w:szCs w:val="24"/>
              </w:rPr>
              <w:t>年度</w:t>
            </w:r>
            <w:r>
              <w:rPr>
                <w:sz w:val="24"/>
              </w:rPr>
              <w:t>经审计完整的财务报告；</w:t>
            </w:r>
            <w:r>
              <w:rPr>
                <w:rFonts w:hint="eastAsia" w:asciiTheme="minorEastAsia" w:hAnsiTheme="minorEastAsia" w:eastAsiaTheme="minorEastAsia"/>
                <w:color w:val="000000"/>
                <w:sz w:val="24"/>
              </w:rPr>
              <w:t>/或在开标时间前3个月内基本账户开户行开具的银行资信证明（须同时提供开户许可证或基本存款账户信息）；</w:t>
            </w:r>
            <w:r>
              <w:rPr>
                <w:sz w:val="24"/>
              </w:rPr>
              <w:t>/或财政部门认可的政府采购专业担保机构出具的磋商担保函（以上</w:t>
            </w:r>
            <w:r>
              <w:rPr>
                <w:rFonts w:hint="eastAsia"/>
                <w:sz w:val="24"/>
              </w:rPr>
              <w:t>三</w:t>
            </w:r>
            <w:r>
              <w:rPr>
                <w:sz w:val="24"/>
              </w:rPr>
              <w:t>种形式的资料提供任何一种即可）；</w:t>
            </w:r>
          </w:p>
          <w:p w14:paraId="31E37E0E">
            <w:pPr>
              <w:spacing w:line="360" w:lineRule="auto"/>
              <w:jc w:val="left"/>
              <w:rPr>
                <w:sz w:val="24"/>
                <w:szCs w:val="24"/>
              </w:rPr>
            </w:pPr>
            <w:r>
              <w:rPr>
                <w:sz w:val="24"/>
                <w:szCs w:val="24"/>
              </w:rPr>
              <w:t>3.1、依法缴纳税收的良好记录（提供截止至</w:t>
            </w:r>
            <w:r>
              <w:rPr>
                <w:sz w:val="24"/>
              </w:rPr>
              <w:t>磋商响应文件递交截止</w:t>
            </w:r>
            <w:r>
              <w:rPr>
                <w:sz w:val="24"/>
                <w:szCs w:val="24"/>
              </w:rPr>
              <w:t>时间12个月内任一月份的缴费凭据或完税证明，依法免税的单位应提供相关证明材料）；</w:t>
            </w:r>
          </w:p>
          <w:p w14:paraId="06177856">
            <w:pPr>
              <w:spacing w:line="360" w:lineRule="auto"/>
              <w:jc w:val="left"/>
              <w:rPr>
                <w:sz w:val="24"/>
                <w:szCs w:val="24"/>
              </w:rPr>
            </w:pPr>
            <w:r>
              <w:rPr>
                <w:sz w:val="24"/>
                <w:szCs w:val="24"/>
              </w:rPr>
              <w:t>3.2、依法缴纳社会保障资金的良好记录（提供截止至</w:t>
            </w:r>
            <w:r>
              <w:rPr>
                <w:sz w:val="24"/>
              </w:rPr>
              <w:t>磋商响应文件递交截止</w:t>
            </w:r>
            <w:r>
              <w:rPr>
                <w:sz w:val="24"/>
                <w:szCs w:val="24"/>
              </w:rPr>
              <w:t>时间12个月内任一月份的缴费凭据</w:t>
            </w:r>
            <w:r>
              <w:rPr>
                <w:kern w:val="0"/>
                <w:sz w:val="24"/>
              </w:rPr>
              <w:t>或社保机构开具的社会保险参保缴费情况证明</w:t>
            </w:r>
            <w:r>
              <w:rPr>
                <w:sz w:val="24"/>
                <w:szCs w:val="24"/>
              </w:rPr>
              <w:t>，依法不需要缴纳社会保障资金的单位应提供相关证明材料）；</w:t>
            </w:r>
          </w:p>
          <w:p w14:paraId="484C980D">
            <w:pPr>
              <w:spacing w:line="360" w:lineRule="auto"/>
              <w:jc w:val="left"/>
              <w:rPr>
                <w:sz w:val="24"/>
                <w:szCs w:val="24"/>
              </w:rPr>
            </w:pPr>
            <w:r>
              <w:rPr>
                <w:sz w:val="24"/>
                <w:szCs w:val="24"/>
              </w:rPr>
              <w:t>4、参加政府采购活动前3年内在经营活动中没有重大违法记录的书面声明（</w:t>
            </w:r>
            <w:r>
              <w:rPr>
                <w:b/>
                <w:sz w:val="24"/>
                <w:szCs w:val="24"/>
              </w:rPr>
              <w:t>原件</w:t>
            </w:r>
            <w:r>
              <w:rPr>
                <w:sz w:val="24"/>
                <w:szCs w:val="24"/>
              </w:rPr>
              <w:t>）；</w:t>
            </w:r>
          </w:p>
          <w:p w14:paraId="4A4A3A8D">
            <w:pPr>
              <w:spacing w:line="360" w:lineRule="auto"/>
              <w:rPr>
                <w:rFonts w:cs="宋体" w:asciiTheme="majorEastAsia" w:hAnsiTheme="majorEastAsia" w:eastAsiaTheme="majorEastAsia"/>
                <w:bCs/>
                <w:sz w:val="24"/>
                <w:szCs w:val="24"/>
              </w:rPr>
            </w:pPr>
            <w:r>
              <w:rPr>
                <w:rFonts w:hint="eastAsia" w:cs="宋体" w:asciiTheme="majorEastAsia" w:hAnsiTheme="majorEastAsia" w:eastAsiaTheme="majorEastAsia"/>
                <w:bCs/>
                <w:sz w:val="24"/>
                <w:szCs w:val="24"/>
              </w:rPr>
              <w:t>5、</w:t>
            </w:r>
            <w:r>
              <w:rPr>
                <w:rFonts w:hint="eastAsia" w:cs="宋体" w:asciiTheme="majorEastAsia" w:hAnsiTheme="majorEastAsia" w:eastAsiaTheme="majorEastAsia"/>
                <w:bCs/>
                <w:sz w:val="24"/>
                <w:szCs w:val="24"/>
                <w:lang w:val="en-US" w:eastAsia="zh-CN"/>
              </w:rPr>
              <w:t>供应商不存在西安市第八医</w:t>
            </w:r>
            <w:r>
              <w:rPr>
                <w:rFonts w:cs="宋体" w:asciiTheme="majorEastAsia" w:hAnsiTheme="majorEastAsia" w:eastAsiaTheme="majorEastAsia"/>
                <w:bCs/>
                <w:sz w:val="24"/>
                <w:szCs w:val="24"/>
              </w:rPr>
              <w:t>院职工及其配偶、直系亲属投资开办或在相关企业担任高管、独立董事等有重大利益关系职务的</w:t>
            </w:r>
            <w:r>
              <w:rPr>
                <w:rFonts w:hint="eastAsia" w:cs="宋体" w:asciiTheme="majorEastAsia" w:hAnsiTheme="majorEastAsia" w:eastAsiaTheme="majorEastAsia"/>
                <w:bCs/>
                <w:sz w:val="24"/>
                <w:szCs w:val="24"/>
                <w:lang w:val="en-US" w:eastAsia="zh-CN"/>
              </w:rPr>
              <w:t>情况</w:t>
            </w:r>
            <w:r>
              <w:rPr>
                <w:rFonts w:hint="eastAsia" w:cs="宋体" w:asciiTheme="majorEastAsia" w:hAnsiTheme="majorEastAsia" w:eastAsiaTheme="majorEastAsia"/>
                <w:bCs/>
                <w:sz w:val="24"/>
                <w:szCs w:val="24"/>
                <w:lang w:eastAsia="zh-CN"/>
              </w:rPr>
              <w:t>（</w:t>
            </w:r>
            <w:r>
              <w:rPr>
                <w:rFonts w:hint="eastAsia" w:cs="宋体" w:asciiTheme="majorEastAsia" w:hAnsiTheme="majorEastAsia" w:eastAsiaTheme="majorEastAsia"/>
                <w:bCs/>
                <w:sz w:val="24"/>
                <w:szCs w:val="24"/>
                <w:lang w:val="en-US" w:eastAsia="zh-CN"/>
              </w:rPr>
              <w:t>提供声明函</w:t>
            </w:r>
            <w:r>
              <w:rPr>
                <w:rFonts w:hint="eastAsia" w:cs="宋体" w:asciiTheme="majorEastAsia" w:hAnsiTheme="majorEastAsia" w:eastAsiaTheme="majorEastAsia"/>
                <w:bCs/>
                <w:sz w:val="24"/>
                <w:szCs w:val="24"/>
                <w:lang w:eastAsia="zh-CN"/>
              </w:rPr>
              <w:t>）</w:t>
            </w:r>
            <w:r>
              <w:rPr>
                <w:rFonts w:cs="宋体" w:asciiTheme="majorEastAsia" w:hAnsiTheme="majorEastAsia" w:eastAsiaTheme="majorEastAsia"/>
                <w:bCs/>
                <w:sz w:val="24"/>
                <w:szCs w:val="24"/>
              </w:rPr>
              <w:t>；</w:t>
            </w:r>
          </w:p>
          <w:p w14:paraId="1AAB6290">
            <w:pPr>
              <w:spacing w:line="360" w:lineRule="auto"/>
              <w:rPr>
                <w:sz w:val="24"/>
                <w:szCs w:val="24"/>
              </w:rPr>
            </w:pPr>
            <w:r>
              <w:rPr>
                <w:rFonts w:hint="eastAsia" w:cs="宋体" w:asciiTheme="majorEastAsia" w:hAnsiTheme="majorEastAsia" w:eastAsiaTheme="majorEastAsia"/>
                <w:bCs/>
                <w:sz w:val="24"/>
                <w:szCs w:val="24"/>
                <w:lang w:val="en-US" w:eastAsia="zh-CN"/>
              </w:rPr>
              <w:t>6、供应商与其他供应商无交叉控股股东、无交叉兼任高级管理人员及涉嫌联合围标、串标行为，无采购单位和招标代理机构职工在该单位兼职的情况，不向采购单位和代理机构相关人员输送利益等行贿行为，一旦中标必须坚守诚信、认真履约等（提供承诺函）；</w:t>
            </w:r>
          </w:p>
          <w:p w14:paraId="2E00D928">
            <w:pPr>
              <w:shd w:val="clear" w:color="auto" w:fill="FFFFFF"/>
              <w:spacing w:line="360" w:lineRule="auto"/>
              <w:rPr>
                <w:rFonts w:cs="宋体" w:asciiTheme="majorEastAsia" w:hAnsiTheme="majorEastAsia" w:eastAsiaTheme="majorEastAsia"/>
                <w:sz w:val="24"/>
                <w:szCs w:val="24"/>
              </w:rPr>
            </w:pPr>
            <w:r>
              <w:rPr>
                <w:rFonts w:hint="eastAsia" w:eastAsiaTheme="majorEastAsia"/>
                <w:sz w:val="24"/>
                <w:szCs w:val="24"/>
              </w:rPr>
              <w:t>5</w:t>
            </w:r>
            <w:r>
              <w:rPr>
                <w:rFonts w:hint="eastAsia"/>
                <w:sz w:val="24"/>
                <w:szCs w:val="24"/>
              </w:rPr>
              <w:t>、</w:t>
            </w:r>
            <w:r>
              <w:rPr>
                <w:rFonts w:hint="eastAsia" w:cs="宋体" w:asciiTheme="majorEastAsia" w:hAnsiTheme="majorEastAsia" w:eastAsiaTheme="majorEastAsia"/>
                <w:sz w:val="24"/>
                <w:szCs w:val="24"/>
              </w:rPr>
              <w:t>供应商信用信息</w:t>
            </w:r>
          </w:p>
          <w:p w14:paraId="24FB00E6">
            <w:pPr>
              <w:shd w:val="clear" w:color="auto" w:fill="FFFFFF"/>
              <w:spacing w:line="360" w:lineRule="auto"/>
              <w:rPr>
                <w:rFonts w:cs="宋体" w:asciiTheme="majorEastAsia" w:hAnsiTheme="majorEastAsia" w:eastAsiaTheme="majorEastAsia"/>
                <w:sz w:val="24"/>
                <w:szCs w:val="24"/>
              </w:rPr>
            </w:pPr>
            <w:r>
              <w:rPr>
                <w:rFonts w:hint="eastAsia" w:cs="宋体" w:asciiTheme="majorEastAsia" w:hAnsiTheme="majorEastAsia" w:eastAsiaTheme="majorEastAsia"/>
                <w:sz w:val="24"/>
                <w:szCs w:val="24"/>
              </w:rPr>
              <w:t xml:space="preserve">  5.1查询渠道：“信用中国”网站（www.creditchina.gov.vn）、中国政府采购网（</w:t>
            </w:r>
            <w:r>
              <w:fldChar w:fldCharType="begin"/>
            </w:r>
            <w:r>
              <w:instrText xml:space="preserve"> HYPERLINK "http://www.ccgp.gov.vn" </w:instrText>
            </w:r>
            <w:r>
              <w:fldChar w:fldCharType="separate"/>
            </w:r>
            <w:r>
              <w:rPr>
                <w:rFonts w:hint="eastAsia" w:cs="宋体" w:asciiTheme="majorEastAsia" w:hAnsiTheme="majorEastAsia" w:eastAsiaTheme="majorEastAsia"/>
                <w:sz w:val="24"/>
                <w:szCs w:val="24"/>
              </w:rPr>
              <w:t>www.ccgp.gov.vn</w:t>
            </w:r>
            <w:r>
              <w:rPr>
                <w:rFonts w:hint="eastAsia" w:cs="宋体" w:asciiTheme="majorEastAsia" w:hAnsiTheme="majorEastAsia" w:eastAsiaTheme="majorEastAsia"/>
                <w:sz w:val="24"/>
                <w:szCs w:val="24"/>
              </w:rPr>
              <w:fldChar w:fldCharType="end"/>
            </w:r>
            <w:r>
              <w:rPr>
                <w:rFonts w:hint="eastAsia" w:cs="宋体" w:asciiTheme="majorEastAsia" w:hAnsiTheme="majorEastAsia" w:eastAsiaTheme="majorEastAsia"/>
                <w:sz w:val="24"/>
                <w:szCs w:val="24"/>
              </w:rPr>
              <w:t>）；以现场查询为准。</w:t>
            </w:r>
          </w:p>
          <w:p w14:paraId="1B6EF19B">
            <w:pPr>
              <w:shd w:val="clear" w:color="auto" w:fill="FFFFFF"/>
              <w:spacing w:line="360" w:lineRule="auto"/>
              <w:ind w:firstLine="240" w:firstLineChars="100"/>
              <w:rPr>
                <w:rFonts w:cs="宋体" w:asciiTheme="majorEastAsia" w:hAnsiTheme="majorEastAsia" w:eastAsiaTheme="majorEastAsia"/>
                <w:sz w:val="24"/>
                <w:szCs w:val="24"/>
              </w:rPr>
            </w:pPr>
            <w:r>
              <w:rPr>
                <w:rFonts w:hint="eastAsia" w:cs="宋体" w:asciiTheme="majorEastAsia" w:hAnsiTheme="majorEastAsia" w:eastAsiaTheme="majorEastAsia"/>
                <w:sz w:val="24"/>
                <w:szCs w:val="24"/>
              </w:rPr>
              <w:t>5.2  截止时点：磋商截止时间；</w:t>
            </w:r>
          </w:p>
          <w:p w14:paraId="5D2EE120">
            <w:pPr>
              <w:shd w:val="clear" w:color="auto" w:fill="FFFFFF"/>
              <w:spacing w:line="360" w:lineRule="auto"/>
              <w:rPr>
                <w:rFonts w:cs="宋体" w:asciiTheme="majorEastAsia" w:hAnsiTheme="majorEastAsia" w:eastAsiaTheme="majorEastAsia"/>
                <w:sz w:val="24"/>
                <w:szCs w:val="24"/>
              </w:rPr>
            </w:pPr>
            <w:r>
              <w:rPr>
                <w:rFonts w:hint="eastAsia" w:cs="宋体" w:asciiTheme="majorEastAsia" w:hAnsiTheme="majorEastAsia" w:eastAsiaTheme="majorEastAsia"/>
                <w:sz w:val="24"/>
                <w:szCs w:val="24"/>
              </w:rPr>
              <w:t xml:space="preserve">  5.3  信用信息查询记录和证据留存的具体方式：网上查询结果打印。</w:t>
            </w:r>
          </w:p>
          <w:p w14:paraId="32434C7D">
            <w:pPr>
              <w:shd w:val="clear" w:color="auto" w:fill="FFFFFF"/>
              <w:spacing w:line="360" w:lineRule="auto"/>
              <w:rPr>
                <w:rFonts w:cs="宋体" w:asciiTheme="majorEastAsia" w:hAnsiTheme="majorEastAsia" w:eastAsiaTheme="majorEastAsia"/>
                <w:sz w:val="24"/>
                <w:szCs w:val="24"/>
              </w:rPr>
            </w:pPr>
            <w:r>
              <w:rPr>
                <w:rFonts w:hint="eastAsia" w:cs="宋体" w:asciiTheme="majorEastAsia" w:hAnsiTheme="majorEastAsia" w:eastAsiaTheme="majorEastAsia"/>
                <w:sz w:val="24"/>
                <w:szCs w:val="24"/>
              </w:rPr>
              <w:t xml:space="preserve"> </w:t>
            </w:r>
            <w:r>
              <w:rPr>
                <w:rFonts w:cs="宋体" w:asciiTheme="majorEastAsia" w:hAnsiTheme="majorEastAsia" w:eastAsiaTheme="majorEastAsia"/>
                <w:sz w:val="24"/>
                <w:szCs w:val="24"/>
              </w:rPr>
              <w:t xml:space="preserve"> </w:t>
            </w:r>
            <w:r>
              <w:rPr>
                <w:rFonts w:hint="eastAsia" w:cs="宋体" w:asciiTheme="majorEastAsia" w:hAnsiTheme="majorEastAsia" w:eastAsiaTheme="majorEastAsia"/>
                <w:sz w:val="24"/>
                <w:szCs w:val="24"/>
              </w:rPr>
              <w:t>5.4  信用信息的使用规则：凡在截止时点内，列入失信被执行人、重大税收违法案件当事人名单、政府采购严重违法失信行为记录名单的供应商，其磋商响应视为无效；联合体磋商时，联合体成员存在不良信用记录的，视同联合体存在不良信用记录，其磋商响应视为无效。</w:t>
            </w:r>
          </w:p>
          <w:p w14:paraId="36DCFDDC">
            <w:pPr>
              <w:spacing w:line="360" w:lineRule="auto"/>
              <w:rPr>
                <w:rFonts w:eastAsiaTheme="majorEastAsia"/>
                <w:b/>
                <w:sz w:val="24"/>
                <w:szCs w:val="24"/>
              </w:rPr>
            </w:pPr>
            <w:r>
              <w:rPr>
                <w:rFonts w:eastAsiaTheme="majorEastAsia"/>
                <w:b/>
                <w:sz w:val="24"/>
                <w:szCs w:val="24"/>
              </w:rPr>
              <w:t>注：1. 以上资格证明文件供应商必须完全提供，并装订在响应文件中。一项不合格即按照无效响应处理。</w:t>
            </w:r>
          </w:p>
          <w:p w14:paraId="15BE00E7">
            <w:pPr>
              <w:spacing w:line="360" w:lineRule="auto"/>
              <w:rPr>
                <w:rFonts w:eastAsiaTheme="majorEastAsia"/>
                <w:sz w:val="24"/>
                <w:szCs w:val="24"/>
              </w:rPr>
            </w:pPr>
            <w:r>
              <w:rPr>
                <w:rFonts w:eastAsiaTheme="majorEastAsia"/>
                <w:b/>
                <w:sz w:val="24"/>
                <w:szCs w:val="24"/>
              </w:rPr>
              <w:t>2.除注明原件外，均为复印件。</w:t>
            </w:r>
          </w:p>
        </w:tc>
      </w:tr>
      <w:tr w14:paraId="5C4381B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gridBefore w:val="1"/>
          <w:gridAfter w:val="1"/>
          <w:wBefore w:w="360" w:type="dxa"/>
          <w:wAfter w:w="353" w:type="dxa"/>
          <w:trHeight w:val="606" w:hRule="atLeast"/>
        </w:trPr>
        <w:tc>
          <w:tcPr>
            <w:tcW w:w="840" w:type="dxa"/>
            <w:vAlign w:val="center"/>
          </w:tcPr>
          <w:p w14:paraId="3ACD03EE">
            <w:pPr>
              <w:shd w:val="clear" w:color="auto" w:fill="FFFFFF"/>
              <w:spacing w:line="360" w:lineRule="auto"/>
              <w:jc w:val="center"/>
              <w:rPr>
                <w:rFonts w:eastAsiaTheme="majorEastAsia"/>
                <w:sz w:val="24"/>
                <w:szCs w:val="24"/>
              </w:rPr>
            </w:pPr>
            <w:r>
              <w:rPr>
                <w:rFonts w:eastAsiaTheme="majorEastAsia"/>
                <w:sz w:val="24"/>
                <w:szCs w:val="24"/>
              </w:rPr>
              <w:t>13.2</w:t>
            </w:r>
          </w:p>
        </w:tc>
        <w:tc>
          <w:tcPr>
            <w:tcW w:w="2279" w:type="dxa"/>
            <w:vAlign w:val="center"/>
          </w:tcPr>
          <w:p w14:paraId="7DDC4D59">
            <w:pPr>
              <w:shd w:val="clear" w:color="auto" w:fill="FFFFFF"/>
              <w:spacing w:line="360" w:lineRule="auto"/>
              <w:rPr>
                <w:rFonts w:eastAsiaTheme="majorEastAsia"/>
                <w:sz w:val="24"/>
                <w:szCs w:val="24"/>
              </w:rPr>
            </w:pPr>
            <w:r>
              <w:rPr>
                <w:rFonts w:eastAsiaTheme="majorEastAsia"/>
                <w:sz w:val="24"/>
                <w:szCs w:val="24"/>
              </w:rPr>
              <w:t>其他证明文件</w:t>
            </w:r>
          </w:p>
        </w:tc>
        <w:tc>
          <w:tcPr>
            <w:tcW w:w="5528" w:type="dxa"/>
            <w:vAlign w:val="center"/>
          </w:tcPr>
          <w:p w14:paraId="7C174B8A">
            <w:pPr>
              <w:pStyle w:val="90"/>
              <w:spacing w:line="360" w:lineRule="auto"/>
              <w:ind w:firstLine="0" w:firstLineChars="0"/>
              <w:rPr>
                <w:sz w:val="24"/>
                <w:szCs w:val="24"/>
              </w:rPr>
            </w:pPr>
            <w:r>
              <w:rPr>
                <w:rFonts w:eastAsiaTheme="majorEastAsia"/>
                <w:bCs/>
                <w:sz w:val="24"/>
                <w:szCs w:val="24"/>
              </w:rPr>
              <w:t>1、供应商</w:t>
            </w:r>
            <w:r>
              <w:rPr>
                <w:sz w:val="24"/>
                <w:szCs w:val="24"/>
              </w:rPr>
              <w:t>基本情况介绍（不限于质量体系认证、所获荣誉等）；</w:t>
            </w:r>
          </w:p>
          <w:p w14:paraId="1D86AA7D">
            <w:pPr>
              <w:shd w:val="clear" w:color="auto" w:fill="FFFFFF"/>
              <w:spacing w:line="360" w:lineRule="auto"/>
              <w:rPr>
                <w:rFonts w:eastAsiaTheme="minorEastAsia"/>
                <w:bCs/>
                <w:sz w:val="24"/>
                <w:szCs w:val="24"/>
              </w:rPr>
            </w:pPr>
            <w:r>
              <w:rPr>
                <w:sz w:val="24"/>
                <w:szCs w:val="24"/>
              </w:rPr>
              <w:t>2、</w:t>
            </w:r>
            <w:r>
              <w:rPr>
                <w:rFonts w:hint="eastAsia" w:eastAsiaTheme="minorEastAsia"/>
                <w:kern w:val="0"/>
                <w:sz w:val="24"/>
                <w:szCs w:val="24"/>
              </w:rPr>
              <w:t>供应商</w:t>
            </w:r>
            <w:r>
              <w:rPr>
                <w:rFonts w:eastAsiaTheme="minorEastAsia"/>
                <w:sz w:val="24"/>
                <w:szCs w:val="24"/>
              </w:rPr>
              <w:t>自</w:t>
            </w:r>
            <w:r>
              <w:rPr>
                <w:rFonts w:eastAsiaTheme="minorEastAsia"/>
                <w:sz w:val="24"/>
                <w:szCs w:val="24"/>
                <w:highlight w:val="none"/>
              </w:rPr>
              <w:t>20</w:t>
            </w:r>
            <w:r>
              <w:rPr>
                <w:rFonts w:hint="eastAsia" w:eastAsiaTheme="minorEastAsia"/>
                <w:sz w:val="24"/>
                <w:szCs w:val="24"/>
                <w:highlight w:val="none"/>
                <w:lang w:val="en-US" w:eastAsia="zh-CN"/>
              </w:rPr>
              <w:t>22</w:t>
            </w:r>
            <w:r>
              <w:rPr>
                <w:rFonts w:eastAsiaTheme="minorEastAsia"/>
                <w:sz w:val="24"/>
                <w:szCs w:val="24"/>
                <w:highlight w:val="none"/>
              </w:rPr>
              <w:t>年1</w:t>
            </w:r>
            <w:r>
              <w:rPr>
                <w:rFonts w:eastAsiaTheme="minorEastAsia"/>
                <w:sz w:val="24"/>
                <w:szCs w:val="24"/>
              </w:rPr>
              <w:t>月1日以来有承担</w:t>
            </w:r>
            <w:r>
              <w:rPr>
                <w:rFonts w:hint="eastAsia" w:eastAsiaTheme="minorEastAsia"/>
                <w:sz w:val="24"/>
                <w:szCs w:val="24"/>
              </w:rPr>
              <w:t>同类</w:t>
            </w:r>
            <w:r>
              <w:rPr>
                <w:rFonts w:eastAsiaTheme="minorEastAsia"/>
                <w:sz w:val="24"/>
                <w:szCs w:val="24"/>
              </w:rPr>
              <w:t>项目的</w:t>
            </w:r>
            <w:r>
              <w:rPr>
                <w:rFonts w:eastAsiaTheme="minorEastAsia"/>
                <w:bCs/>
                <w:sz w:val="24"/>
                <w:szCs w:val="24"/>
              </w:rPr>
              <w:t>成功实施案例，提供证明材料（以合同复印件为准）</w:t>
            </w:r>
          </w:p>
          <w:p w14:paraId="100690F9">
            <w:pPr>
              <w:shd w:val="clear" w:color="auto" w:fill="FFFFFF"/>
              <w:spacing w:line="360" w:lineRule="auto"/>
              <w:rPr>
                <w:rFonts w:eastAsiaTheme="majorEastAsia"/>
                <w:sz w:val="24"/>
                <w:szCs w:val="24"/>
              </w:rPr>
            </w:pPr>
            <w:r>
              <w:rPr>
                <w:rFonts w:eastAsiaTheme="majorEastAsia"/>
                <w:sz w:val="24"/>
                <w:szCs w:val="24"/>
              </w:rPr>
              <w:t>注：</w:t>
            </w:r>
            <w:r>
              <w:rPr>
                <w:rFonts w:eastAsiaTheme="majorEastAsia"/>
                <w:kern w:val="0"/>
                <w:sz w:val="24"/>
                <w:szCs w:val="24"/>
              </w:rPr>
              <w:t>以上证明文件除注明原件外，均为复印件</w:t>
            </w:r>
            <w:r>
              <w:rPr>
                <w:rFonts w:eastAsiaTheme="majorEastAsia"/>
                <w:sz w:val="24"/>
                <w:szCs w:val="24"/>
              </w:rPr>
              <w:t>，且装订于磋商响应文件中。</w:t>
            </w:r>
          </w:p>
        </w:tc>
      </w:tr>
      <w:tr w14:paraId="54E9ECA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gridBefore w:val="1"/>
          <w:gridAfter w:val="1"/>
          <w:wBefore w:w="360" w:type="dxa"/>
          <w:wAfter w:w="353" w:type="dxa"/>
          <w:trHeight w:val="1402" w:hRule="atLeast"/>
        </w:trPr>
        <w:tc>
          <w:tcPr>
            <w:tcW w:w="840" w:type="dxa"/>
            <w:vAlign w:val="center"/>
          </w:tcPr>
          <w:p w14:paraId="5CCCE4C0">
            <w:pPr>
              <w:shd w:val="clear" w:color="auto" w:fill="FFFFFF"/>
              <w:spacing w:line="360" w:lineRule="auto"/>
              <w:jc w:val="center"/>
              <w:rPr>
                <w:rFonts w:eastAsiaTheme="majorEastAsia"/>
                <w:sz w:val="24"/>
                <w:szCs w:val="24"/>
              </w:rPr>
            </w:pPr>
            <w:r>
              <w:rPr>
                <w:rFonts w:eastAsiaTheme="majorEastAsia"/>
                <w:sz w:val="24"/>
                <w:szCs w:val="24"/>
              </w:rPr>
              <w:t>13.3</w:t>
            </w:r>
          </w:p>
        </w:tc>
        <w:tc>
          <w:tcPr>
            <w:tcW w:w="2279" w:type="dxa"/>
            <w:vAlign w:val="center"/>
          </w:tcPr>
          <w:p w14:paraId="1F720317">
            <w:pPr>
              <w:shd w:val="clear" w:color="auto" w:fill="FFFFFF"/>
              <w:spacing w:line="360" w:lineRule="auto"/>
              <w:rPr>
                <w:rFonts w:eastAsiaTheme="majorEastAsia"/>
                <w:sz w:val="24"/>
                <w:szCs w:val="24"/>
              </w:rPr>
            </w:pPr>
            <w:r>
              <w:rPr>
                <w:rFonts w:eastAsiaTheme="majorEastAsia"/>
                <w:sz w:val="24"/>
                <w:szCs w:val="24"/>
              </w:rPr>
              <w:t>要求单独密封并与磋商响应文件一并提交的证明文件原件</w:t>
            </w:r>
          </w:p>
        </w:tc>
        <w:tc>
          <w:tcPr>
            <w:tcW w:w="5528" w:type="dxa"/>
            <w:vAlign w:val="center"/>
          </w:tcPr>
          <w:p w14:paraId="007045D0">
            <w:pPr>
              <w:spacing w:line="360" w:lineRule="auto"/>
              <w:rPr>
                <w:rFonts w:eastAsiaTheme="minorEastAsia"/>
                <w:sz w:val="24"/>
                <w:szCs w:val="24"/>
              </w:rPr>
            </w:pPr>
            <w:r>
              <w:rPr>
                <w:rFonts w:eastAsiaTheme="majorEastAsia"/>
                <w:bCs/>
                <w:sz w:val="24"/>
                <w:szCs w:val="24"/>
              </w:rPr>
              <w:t>无</w:t>
            </w:r>
          </w:p>
        </w:tc>
      </w:tr>
      <w:tr w14:paraId="1931D12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gridBefore w:val="1"/>
          <w:gridAfter w:val="1"/>
          <w:wBefore w:w="360" w:type="dxa"/>
          <w:wAfter w:w="353" w:type="dxa"/>
          <w:trHeight w:val="765" w:hRule="atLeast"/>
        </w:trPr>
        <w:tc>
          <w:tcPr>
            <w:tcW w:w="840" w:type="dxa"/>
            <w:vAlign w:val="center"/>
          </w:tcPr>
          <w:p w14:paraId="3FB2D196">
            <w:pPr>
              <w:shd w:val="clear" w:color="auto" w:fill="FFFFFF"/>
              <w:spacing w:line="360" w:lineRule="auto"/>
              <w:jc w:val="center"/>
              <w:rPr>
                <w:rFonts w:eastAsiaTheme="majorEastAsia"/>
                <w:sz w:val="24"/>
                <w:szCs w:val="24"/>
              </w:rPr>
            </w:pPr>
            <w:r>
              <w:rPr>
                <w:rFonts w:eastAsiaTheme="majorEastAsia"/>
                <w:sz w:val="24"/>
                <w:szCs w:val="24"/>
              </w:rPr>
              <w:t>14.2</w:t>
            </w:r>
          </w:p>
        </w:tc>
        <w:tc>
          <w:tcPr>
            <w:tcW w:w="2279" w:type="dxa"/>
            <w:vAlign w:val="center"/>
          </w:tcPr>
          <w:p w14:paraId="7F81D644">
            <w:pPr>
              <w:spacing w:line="360" w:lineRule="auto"/>
              <w:rPr>
                <w:rFonts w:eastAsiaTheme="majorEastAsia"/>
                <w:sz w:val="24"/>
                <w:szCs w:val="24"/>
              </w:rPr>
            </w:pPr>
            <w:r>
              <w:rPr>
                <w:rFonts w:eastAsiaTheme="majorEastAsia"/>
                <w:sz w:val="24"/>
                <w:szCs w:val="24"/>
              </w:rPr>
              <w:t>1）本次采购特别要求的合格性证明文件</w:t>
            </w:r>
          </w:p>
        </w:tc>
        <w:tc>
          <w:tcPr>
            <w:tcW w:w="5528" w:type="dxa"/>
            <w:vAlign w:val="center"/>
          </w:tcPr>
          <w:p w14:paraId="2CC55B38">
            <w:pPr>
              <w:shd w:val="clear" w:color="auto" w:fill="FFFFFF"/>
              <w:spacing w:line="360" w:lineRule="auto"/>
              <w:rPr>
                <w:rFonts w:eastAsiaTheme="majorEastAsia"/>
                <w:bCs/>
                <w:sz w:val="24"/>
                <w:szCs w:val="24"/>
              </w:rPr>
            </w:pPr>
            <w:r>
              <w:rPr>
                <w:sz w:val="24"/>
                <w:szCs w:val="24"/>
              </w:rPr>
              <w:t>无</w:t>
            </w:r>
          </w:p>
        </w:tc>
      </w:tr>
      <w:tr w14:paraId="4E4C750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gridBefore w:val="1"/>
          <w:gridAfter w:val="1"/>
          <w:wBefore w:w="360" w:type="dxa"/>
          <w:wAfter w:w="353" w:type="dxa"/>
          <w:trHeight w:val="592" w:hRule="atLeast"/>
        </w:trPr>
        <w:tc>
          <w:tcPr>
            <w:tcW w:w="840" w:type="dxa"/>
            <w:vAlign w:val="center"/>
          </w:tcPr>
          <w:p w14:paraId="2CF68EAB">
            <w:pPr>
              <w:shd w:val="clear" w:color="auto" w:fill="FFFFFF"/>
              <w:spacing w:line="360" w:lineRule="auto"/>
              <w:jc w:val="center"/>
              <w:rPr>
                <w:rFonts w:eastAsiaTheme="majorEastAsia"/>
                <w:sz w:val="24"/>
                <w:szCs w:val="24"/>
              </w:rPr>
            </w:pPr>
            <w:r>
              <w:rPr>
                <w:rFonts w:hint="eastAsia" w:eastAsiaTheme="majorEastAsia"/>
                <w:sz w:val="24"/>
                <w:szCs w:val="24"/>
              </w:rPr>
              <w:t>14.2</w:t>
            </w:r>
          </w:p>
        </w:tc>
        <w:tc>
          <w:tcPr>
            <w:tcW w:w="2279" w:type="dxa"/>
            <w:vAlign w:val="center"/>
          </w:tcPr>
          <w:p w14:paraId="25E8B3AF">
            <w:pPr>
              <w:spacing w:line="360" w:lineRule="auto"/>
              <w:rPr>
                <w:rFonts w:eastAsiaTheme="majorEastAsia"/>
                <w:sz w:val="24"/>
                <w:szCs w:val="24"/>
              </w:rPr>
            </w:pPr>
            <w:r>
              <w:rPr>
                <w:rFonts w:hint="eastAsia"/>
                <w:sz w:val="24"/>
                <w:szCs w:val="24"/>
              </w:rPr>
              <w:t>2）</w:t>
            </w:r>
            <w:r>
              <w:rPr>
                <w:sz w:val="24"/>
                <w:szCs w:val="24"/>
              </w:rPr>
              <w:t>样品、真机及演示要求</w:t>
            </w:r>
          </w:p>
        </w:tc>
        <w:tc>
          <w:tcPr>
            <w:tcW w:w="5528" w:type="dxa"/>
            <w:vAlign w:val="center"/>
          </w:tcPr>
          <w:p w14:paraId="535F6875">
            <w:pPr>
              <w:shd w:val="clear" w:color="auto" w:fill="FFFFFF"/>
              <w:spacing w:line="360" w:lineRule="auto"/>
              <w:rPr>
                <w:b/>
                <w:sz w:val="24"/>
                <w:szCs w:val="24"/>
              </w:rPr>
            </w:pPr>
            <w:r>
              <w:rPr>
                <w:rFonts w:hint="eastAsia"/>
                <w:sz w:val="24"/>
                <w:szCs w:val="24"/>
              </w:rPr>
              <w:t>无</w:t>
            </w:r>
          </w:p>
        </w:tc>
      </w:tr>
      <w:tr w14:paraId="2D90768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gridBefore w:val="1"/>
          <w:gridAfter w:val="1"/>
          <w:wBefore w:w="360" w:type="dxa"/>
          <w:wAfter w:w="353" w:type="dxa"/>
          <w:trHeight w:val="510" w:hRule="atLeast"/>
        </w:trPr>
        <w:tc>
          <w:tcPr>
            <w:tcW w:w="840" w:type="dxa"/>
            <w:vAlign w:val="center"/>
          </w:tcPr>
          <w:p w14:paraId="31DB38DC">
            <w:pPr>
              <w:shd w:val="clear" w:color="auto" w:fill="FFFFFF"/>
              <w:spacing w:line="360" w:lineRule="auto"/>
              <w:jc w:val="center"/>
              <w:rPr>
                <w:rFonts w:eastAsiaTheme="majorEastAsia"/>
                <w:sz w:val="24"/>
                <w:szCs w:val="24"/>
              </w:rPr>
            </w:pPr>
            <w:r>
              <w:rPr>
                <w:rFonts w:eastAsiaTheme="majorEastAsia"/>
                <w:sz w:val="24"/>
                <w:szCs w:val="24"/>
              </w:rPr>
              <w:t>15.1</w:t>
            </w:r>
          </w:p>
        </w:tc>
        <w:tc>
          <w:tcPr>
            <w:tcW w:w="2279" w:type="dxa"/>
            <w:vAlign w:val="center"/>
          </w:tcPr>
          <w:p w14:paraId="28EA23FF">
            <w:pPr>
              <w:shd w:val="clear" w:color="auto" w:fill="FFFFFF"/>
              <w:spacing w:line="360" w:lineRule="auto"/>
              <w:rPr>
                <w:rFonts w:eastAsiaTheme="majorEastAsia"/>
                <w:sz w:val="24"/>
                <w:szCs w:val="24"/>
              </w:rPr>
            </w:pPr>
            <w:r>
              <w:rPr>
                <w:rFonts w:eastAsiaTheme="majorEastAsia"/>
                <w:sz w:val="24"/>
                <w:szCs w:val="24"/>
              </w:rPr>
              <w:t>是否要求磋商保证金</w:t>
            </w:r>
          </w:p>
        </w:tc>
        <w:tc>
          <w:tcPr>
            <w:tcW w:w="5528" w:type="dxa"/>
            <w:vAlign w:val="center"/>
          </w:tcPr>
          <w:p w14:paraId="4A5018EB">
            <w:pPr>
              <w:shd w:val="clear" w:color="auto" w:fill="FFFFFF"/>
              <w:spacing w:line="360" w:lineRule="auto"/>
              <w:rPr>
                <w:rFonts w:eastAsiaTheme="majorEastAsia"/>
                <w:color w:val="FF0000"/>
                <w:sz w:val="24"/>
                <w:szCs w:val="24"/>
              </w:rPr>
            </w:pPr>
            <w:r>
              <w:rPr>
                <w:rFonts w:eastAsiaTheme="majorEastAsia"/>
                <w:sz w:val="24"/>
                <w:szCs w:val="24"/>
              </w:rPr>
              <w:t>本次磋商不要求提交磋商保证金。</w:t>
            </w:r>
          </w:p>
        </w:tc>
      </w:tr>
      <w:tr w14:paraId="7AF2F93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gridBefore w:val="1"/>
          <w:gridAfter w:val="1"/>
          <w:wBefore w:w="360" w:type="dxa"/>
          <w:wAfter w:w="353" w:type="dxa"/>
          <w:trHeight w:val="90" w:hRule="atLeast"/>
        </w:trPr>
        <w:tc>
          <w:tcPr>
            <w:tcW w:w="840" w:type="dxa"/>
            <w:vAlign w:val="center"/>
          </w:tcPr>
          <w:p w14:paraId="34319C91">
            <w:pPr>
              <w:shd w:val="clear" w:color="auto" w:fill="FFFFFF"/>
              <w:spacing w:line="360" w:lineRule="auto"/>
              <w:jc w:val="center"/>
              <w:rPr>
                <w:rFonts w:eastAsiaTheme="majorEastAsia"/>
                <w:sz w:val="24"/>
                <w:szCs w:val="24"/>
              </w:rPr>
            </w:pPr>
            <w:r>
              <w:rPr>
                <w:rFonts w:eastAsiaTheme="majorEastAsia"/>
                <w:sz w:val="24"/>
                <w:szCs w:val="24"/>
              </w:rPr>
              <w:t>16.1</w:t>
            </w:r>
          </w:p>
        </w:tc>
        <w:tc>
          <w:tcPr>
            <w:tcW w:w="2279" w:type="dxa"/>
            <w:vAlign w:val="center"/>
          </w:tcPr>
          <w:p w14:paraId="2537C4CC">
            <w:pPr>
              <w:shd w:val="clear" w:color="auto" w:fill="FFFFFF"/>
              <w:spacing w:line="360" w:lineRule="auto"/>
              <w:rPr>
                <w:rFonts w:eastAsiaTheme="majorEastAsia"/>
                <w:sz w:val="24"/>
                <w:szCs w:val="24"/>
              </w:rPr>
            </w:pPr>
            <w:r>
              <w:rPr>
                <w:rFonts w:eastAsiaTheme="majorEastAsia"/>
                <w:sz w:val="24"/>
                <w:szCs w:val="24"/>
              </w:rPr>
              <w:t>磋商报价有效期</w:t>
            </w:r>
          </w:p>
        </w:tc>
        <w:tc>
          <w:tcPr>
            <w:tcW w:w="5528" w:type="dxa"/>
            <w:vAlign w:val="center"/>
          </w:tcPr>
          <w:p w14:paraId="343DC75E">
            <w:pPr>
              <w:shd w:val="clear" w:color="auto" w:fill="FFFFFF"/>
              <w:spacing w:line="360" w:lineRule="auto"/>
              <w:rPr>
                <w:rFonts w:eastAsiaTheme="majorEastAsia"/>
                <w:sz w:val="24"/>
                <w:szCs w:val="24"/>
              </w:rPr>
            </w:pPr>
            <w:r>
              <w:rPr>
                <w:rFonts w:eastAsiaTheme="majorEastAsia"/>
                <w:sz w:val="24"/>
                <w:szCs w:val="24"/>
              </w:rPr>
              <w:t>磋商后90天。</w:t>
            </w:r>
          </w:p>
        </w:tc>
      </w:tr>
      <w:tr w14:paraId="536C874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gridBefore w:val="1"/>
          <w:gridAfter w:val="1"/>
          <w:wBefore w:w="360" w:type="dxa"/>
          <w:wAfter w:w="353" w:type="dxa"/>
          <w:trHeight w:val="510" w:hRule="atLeast"/>
        </w:trPr>
        <w:tc>
          <w:tcPr>
            <w:tcW w:w="840" w:type="dxa"/>
            <w:vAlign w:val="center"/>
          </w:tcPr>
          <w:p w14:paraId="44D465D2">
            <w:pPr>
              <w:shd w:val="clear" w:color="auto" w:fill="FFFFFF"/>
              <w:spacing w:line="360" w:lineRule="auto"/>
              <w:jc w:val="center"/>
              <w:rPr>
                <w:rFonts w:eastAsiaTheme="majorEastAsia"/>
                <w:sz w:val="24"/>
                <w:szCs w:val="24"/>
              </w:rPr>
            </w:pPr>
            <w:r>
              <w:rPr>
                <w:rFonts w:eastAsiaTheme="majorEastAsia"/>
                <w:sz w:val="24"/>
                <w:szCs w:val="24"/>
              </w:rPr>
              <w:t>17.1</w:t>
            </w:r>
          </w:p>
        </w:tc>
        <w:tc>
          <w:tcPr>
            <w:tcW w:w="2279" w:type="dxa"/>
            <w:vAlign w:val="center"/>
          </w:tcPr>
          <w:p w14:paraId="3F9F8279">
            <w:pPr>
              <w:shd w:val="clear" w:color="auto" w:fill="FFFFFF"/>
              <w:spacing w:line="360" w:lineRule="auto"/>
              <w:rPr>
                <w:rFonts w:eastAsiaTheme="majorEastAsia"/>
                <w:sz w:val="24"/>
                <w:szCs w:val="24"/>
              </w:rPr>
            </w:pPr>
            <w:r>
              <w:rPr>
                <w:rFonts w:eastAsiaTheme="majorEastAsia"/>
                <w:sz w:val="24"/>
                <w:szCs w:val="24"/>
              </w:rPr>
              <w:t>磋商响应文件份数</w:t>
            </w:r>
          </w:p>
        </w:tc>
        <w:tc>
          <w:tcPr>
            <w:tcW w:w="5528" w:type="dxa"/>
            <w:vAlign w:val="center"/>
          </w:tcPr>
          <w:p w14:paraId="450F6C7B">
            <w:pPr>
              <w:shd w:val="clear" w:color="auto" w:fill="FFFFFF"/>
              <w:spacing w:line="360" w:lineRule="auto"/>
              <w:rPr>
                <w:rFonts w:eastAsiaTheme="majorEastAsia"/>
                <w:sz w:val="24"/>
                <w:szCs w:val="24"/>
              </w:rPr>
            </w:pPr>
            <w:r>
              <w:rPr>
                <w:rFonts w:eastAsiaTheme="majorEastAsia"/>
                <w:sz w:val="24"/>
                <w:szCs w:val="24"/>
              </w:rPr>
              <w:t>正本一份，副本</w:t>
            </w:r>
            <w:r>
              <w:rPr>
                <w:rFonts w:hint="eastAsia" w:eastAsiaTheme="majorEastAsia"/>
                <w:sz w:val="24"/>
                <w:szCs w:val="24"/>
              </w:rPr>
              <w:t>二</w:t>
            </w:r>
            <w:r>
              <w:rPr>
                <w:rFonts w:eastAsiaTheme="majorEastAsia"/>
                <w:sz w:val="24"/>
                <w:szCs w:val="24"/>
              </w:rPr>
              <w:t>份。</w:t>
            </w:r>
          </w:p>
        </w:tc>
      </w:tr>
      <w:tr w14:paraId="2072F63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gridBefore w:val="1"/>
          <w:gridAfter w:val="1"/>
          <w:wBefore w:w="360" w:type="dxa"/>
          <w:wAfter w:w="353" w:type="dxa"/>
          <w:trHeight w:val="483" w:hRule="atLeast"/>
        </w:trPr>
        <w:tc>
          <w:tcPr>
            <w:tcW w:w="840" w:type="dxa"/>
            <w:vAlign w:val="center"/>
          </w:tcPr>
          <w:p w14:paraId="06BC71AA">
            <w:pPr>
              <w:shd w:val="clear" w:color="auto" w:fill="FFFFFF"/>
              <w:spacing w:line="360" w:lineRule="auto"/>
              <w:jc w:val="center"/>
              <w:rPr>
                <w:rFonts w:eastAsiaTheme="majorEastAsia"/>
                <w:sz w:val="24"/>
                <w:szCs w:val="24"/>
              </w:rPr>
            </w:pPr>
            <w:r>
              <w:rPr>
                <w:rFonts w:eastAsiaTheme="majorEastAsia"/>
                <w:sz w:val="24"/>
                <w:szCs w:val="24"/>
              </w:rPr>
              <w:t>17.2</w:t>
            </w:r>
          </w:p>
        </w:tc>
        <w:tc>
          <w:tcPr>
            <w:tcW w:w="2279" w:type="dxa"/>
            <w:vAlign w:val="center"/>
          </w:tcPr>
          <w:p w14:paraId="79CB3BF5">
            <w:pPr>
              <w:shd w:val="clear" w:color="auto" w:fill="FFFFFF"/>
              <w:spacing w:line="360" w:lineRule="auto"/>
              <w:rPr>
                <w:rFonts w:eastAsiaTheme="majorEastAsia"/>
                <w:sz w:val="24"/>
                <w:szCs w:val="24"/>
              </w:rPr>
            </w:pPr>
            <w:r>
              <w:rPr>
                <w:rFonts w:eastAsiaTheme="majorEastAsia"/>
                <w:sz w:val="24"/>
                <w:szCs w:val="24"/>
              </w:rPr>
              <w:t>电子版文件要求</w:t>
            </w:r>
          </w:p>
        </w:tc>
        <w:tc>
          <w:tcPr>
            <w:tcW w:w="5528" w:type="dxa"/>
            <w:vAlign w:val="center"/>
          </w:tcPr>
          <w:p w14:paraId="178D8CFB">
            <w:pPr>
              <w:shd w:val="clear" w:color="auto" w:fill="FFFFFF"/>
              <w:spacing w:line="360" w:lineRule="auto"/>
              <w:rPr>
                <w:rFonts w:eastAsiaTheme="majorEastAsia"/>
                <w:sz w:val="24"/>
                <w:szCs w:val="24"/>
              </w:rPr>
            </w:pPr>
            <w:r>
              <w:rPr>
                <w:rFonts w:eastAsiaTheme="majorEastAsia"/>
                <w:sz w:val="24"/>
                <w:szCs w:val="24"/>
              </w:rPr>
              <w:t>1、供应商须另行提供与纸质响应文件正本一致的PDF格式U盘，且盖章、签字处必须扫描并清晰可辨。</w:t>
            </w:r>
          </w:p>
          <w:p w14:paraId="15B83FCE">
            <w:pPr>
              <w:shd w:val="clear" w:color="auto" w:fill="FFFFFF"/>
              <w:spacing w:line="360" w:lineRule="auto"/>
              <w:rPr>
                <w:rFonts w:eastAsiaTheme="majorEastAsia"/>
                <w:sz w:val="24"/>
                <w:szCs w:val="24"/>
              </w:rPr>
            </w:pPr>
            <w:r>
              <w:rPr>
                <w:rFonts w:eastAsiaTheme="majorEastAsia"/>
                <w:sz w:val="24"/>
                <w:szCs w:val="24"/>
              </w:rPr>
              <w:t>2、供应商须保证响应文件的纸质文件与电子文档保持一致。</w:t>
            </w:r>
          </w:p>
          <w:p w14:paraId="128FB41E">
            <w:pPr>
              <w:shd w:val="clear" w:color="auto" w:fill="FFFFFF"/>
              <w:spacing w:line="360" w:lineRule="auto"/>
              <w:rPr>
                <w:rFonts w:eastAsiaTheme="majorEastAsia"/>
                <w:b/>
                <w:sz w:val="24"/>
                <w:szCs w:val="24"/>
              </w:rPr>
            </w:pPr>
            <w:r>
              <w:rPr>
                <w:rFonts w:eastAsiaTheme="majorEastAsia"/>
                <w:sz w:val="24"/>
                <w:szCs w:val="24"/>
              </w:rPr>
              <w:t>3、电子文档表面需标明采购项目编号、供应商名称等信息。</w:t>
            </w:r>
          </w:p>
        </w:tc>
      </w:tr>
      <w:tr w14:paraId="60FC576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gridBefore w:val="1"/>
          <w:gridAfter w:val="1"/>
          <w:wBefore w:w="360" w:type="dxa"/>
          <w:wAfter w:w="353" w:type="dxa"/>
          <w:trHeight w:val="450" w:hRule="atLeast"/>
        </w:trPr>
        <w:tc>
          <w:tcPr>
            <w:tcW w:w="840" w:type="dxa"/>
            <w:vAlign w:val="center"/>
          </w:tcPr>
          <w:p w14:paraId="7597918E">
            <w:pPr>
              <w:shd w:val="clear" w:color="auto" w:fill="FFFFFF"/>
              <w:spacing w:line="360" w:lineRule="auto"/>
              <w:jc w:val="center"/>
              <w:rPr>
                <w:rFonts w:eastAsiaTheme="majorEastAsia"/>
                <w:sz w:val="24"/>
                <w:szCs w:val="24"/>
              </w:rPr>
            </w:pPr>
            <w:r>
              <w:rPr>
                <w:rFonts w:eastAsiaTheme="majorEastAsia"/>
                <w:sz w:val="24"/>
                <w:szCs w:val="24"/>
              </w:rPr>
              <w:t>17.3</w:t>
            </w:r>
          </w:p>
        </w:tc>
        <w:tc>
          <w:tcPr>
            <w:tcW w:w="2279" w:type="dxa"/>
            <w:vAlign w:val="center"/>
          </w:tcPr>
          <w:p w14:paraId="2528ACFC">
            <w:pPr>
              <w:shd w:val="clear" w:color="auto" w:fill="FFFFFF"/>
              <w:spacing w:line="360" w:lineRule="auto"/>
              <w:rPr>
                <w:rFonts w:eastAsiaTheme="majorEastAsia"/>
                <w:sz w:val="24"/>
                <w:szCs w:val="24"/>
              </w:rPr>
            </w:pPr>
            <w:r>
              <w:rPr>
                <w:rFonts w:eastAsiaTheme="majorEastAsia"/>
                <w:sz w:val="24"/>
                <w:szCs w:val="24"/>
              </w:rPr>
              <w:t>法定代表人（单位负责人）授权书签字盖章要求</w:t>
            </w:r>
          </w:p>
        </w:tc>
        <w:tc>
          <w:tcPr>
            <w:tcW w:w="5528" w:type="dxa"/>
            <w:vAlign w:val="center"/>
          </w:tcPr>
          <w:p w14:paraId="7B1DE5B5">
            <w:pPr>
              <w:shd w:val="clear" w:color="auto" w:fill="FFFFFF"/>
              <w:spacing w:line="360" w:lineRule="auto"/>
              <w:ind w:left="1"/>
              <w:jc w:val="left"/>
              <w:rPr>
                <w:rFonts w:eastAsiaTheme="majorEastAsia"/>
                <w:sz w:val="24"/>
                <w:szCs w:val="24"/>
              </w:rPr>
            </w:pPr>
            <w:r>
              <w:rPr>
                <w:rFonts w:eastAsiaTheme="majorEastAsia"/>
                <w:sz w:val="24"/>
                <w:szCs w:val="24"/>
              </w:rPr>
              <w:t>所有要求法定代表人（单位负责人）签字（名）处，均须由签字（名）者本人用不褪色的蓝(黑)色墨水(汁)书写，也可以加盖法定代表人（单位负责人）名章代替签名。</w:t>
            </w:r>
          </w:p>
        </w:tc>
      </w:tr>
      <w:tr w14:paraId="30AFB48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gridBefore w:val="1"/>
          <w:gridAfter w:val="1"/>
          <w:wBefore w:w="360" w:type="dxa"/>
          <w:wAfter w:w="353" w:type="dxa"/>
          <w:trHeight w:val="2463" w:hRule="atLeast"/>
        </w:trPr>
        <w:tc>
          <w:tcPr>
            <w:tcW w:w="840" w:type="dxa"/>
            <w:vAlign w:val="center"/>
          </w:tcPr>
          <w:p w14:paraId="75AEA53C">
            <w:pPr>
              <w:shd w:val="clear" w:color="auto" w:fill="FFFFFF"/>
              <w:spacing w:line="360" w:lineRule="auto"/>
              <w:jc w:val="center"/>
              <w:rPr>
                <w:rFonts w:eastAsiaTheme="majorEastAsia"/>
                <w:sz w:val="24"/>
                <w:szCs w:val="24"/>
              </w:rPr>
            </w:pPr>
            <w:r>
              <w:rPr>
                <w:rFonts w:eastAsiaTheme="majorEastAsia"/>
                <w:sz w:val="24"/>
                <w:szCs w:val="24"/>
              </w:rPr>
              <w:t>18.1</w:t>
            </w:r>
          </w:p>
        </w:tc>
        <w:tc>
          <w:tcPr>
            <w:tcW w:w="2279" w:type="dxa"/>
            <w:vAlign w:val="center"/>
          </w:tcPr>
          <w:p w14:paraId="5437FA2D">
            <w:pPr>
              <w:shd w:val="clear" w:color="auto" w:fill="FFFFFF"/>
              <w:spacing w:line="360" w:lineRule="auto"/>
              <w:rPr>
                <w:rFonts w:eastAsiaTheme="majorEastAsia"/>
                <w:sz w:val="24"/>
                <w:szCs w:val="24"/>
              </w:rPr>
            </w:pPr>
            <w:r>
              <w:rPr>
                <w:rFonts w:eastAsiaTheme="majorEastAsia"/>
                <w:sz w:val="24"/>
                <w:szCs w:val="24"/>
              </w:rPr>
              <w:t>磋商响应文件装订及包装密封要求</w:t>
            </w:r>
          </w:p>
        </w:tc>
        <w:tc>
          <w:tcPr>
            <w:tcW w:w="5528" w:type="dxa"/>
            <w:vAlign w:val="center"/>
          </w:tcPr>
          <w:p w14:paraId="76065B0B">
            <w:pPr>
              <w:spacing w:line="360" w:lineRule="auto"/>
              <w:rPr>
                <w:rFonts w:eastAsiaTheme="minorEastAsia"/>
                <w:sz w:val="24"/>
                <w:szCs w:val="24"/>
              </w:rPr>
            </w:pPr>
            <w:r>
              <w:rPr>
                <w:rFonts w:eastAsiaTheme="minorEastAsia"/>
                <w:sz w:val="24"/>
                <w:szCs w:val="24"/>
              </w:rPr>
              <w:t>1、磋商响应文件正、副本应分别装订成册，装订应牢固、不易拆散和换页，不得采用活页装订。</w:t>
            </w:r>
          </w:p>
          <w:p w14:paraId="38FAC1F2">
            <w:pPr>
              <w:spacing w:line="360" w:lineRule="auto"/>
              <w:rPr>
                <w:rFonts w:eastAsiaTheme="minorEastAsia"/>
                <w:sz w:val="24"/>
                <w:szCs w:val="24"/>
              </w:rPr>
            </w:pPr>
            <w:r>
              <w:rPr>
                <w:rFonts w:eastAsiaTheme="minorEastAsia"/>
                <w:sz w:val="24"/>
                <w:szCs w:val="24"/>
              </w:rPr>
              <w:t>2、密封包装方式：</w:t>
            </w:r>
          </w:p>
          <w:p w14:paraId="49051564">
            <w:pPr>
              <w:spacing w:line="360" w:lineRule="auto"/>
              <w:rPr>
                <w:rFonts w:eastAsiaTheme="minorEastAsia"/>
                <w:sz w:val="24"/>
                <w:szCs w:val="24"/>
              </w:rPr>
            </w:pPr>
            <w:r>
              <w:rPr>
                <w:rFonts w:eastAsiaTheme="minorEastAsia"/>
                <w:sz w:val="24"/>
                <w:szCs w:val="24"/>
              </w:rPr>
              <w:t>（1）磋商响应文件正、副本各一包密封；</w:t>
            </w:r>
          </w:p>
          <w:p w14:paraId="02338BED">
            <w:pPr>
              <w:spacing w:line="360" w:lineRule="auto"/>
              <w:rPr>
                <w:rFonts w:eastAsiaTheme="minorEastAsia"/>
                <w:sz w:val="24"/>
                <w:szCs w:val="24"/>
              </w:rPr>
            </w:pPr>
            <w:r>
              <w:rPr>
                <w:rFonts w:eastAsiaTheme="minorEastAsia"/>
                <w:sz w:val="24"/>
                <w:szCs w:val="24"/>
              </w:rPr>
              <w:t>（2）电子版单独密封</w:t>
            </w:r>
            <w:r>
              <w:rPr>
                <w:rFonts w:hint="eastAsia" w:eastAsiaTheme="minorEastAsia"/>
                <w:sz w:val="24"/>
                <w:szCs w:val="24"/>
              </w:rPr>
              <w:t>。</w:t>
            </w:r>
          </w:p>
        </w:tc>
      </w:tr>
      <w:tr w14:paraId="4DB49E6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gridBefore w:val="1"/>
          <w:gridAfter w:val="1"/>
          <w:wBefore w:w="360" w:type="dxa"/>
          <w:wAfter w:w="353" w:type="dxa"/>
          <w:trHeight w:val="1603" w:hRule="atLeast"/>
        </w:trPr>
        <w:tc>
          <w:tcPr>
            <w:tcW w:w="840" w:type="dxa"/>
            <w:vAlign w:val="center"/>
          </w:tcPr>
          <w:p w14:paraId="7C779DCA">
            <w:pPr>
              <w:shd w:val="clear" w:color="auto" w:fill="FFFFFF"/>
              <w:spacing w:line="360" w:lineRule="auto"/>
              <w:jc w:val="center"/>
              <w:rPr>
                <w:rFonts w:eastAsiaTheme="majorEastAsia"/>
                <w:sz w:val="24"/>
                <w:szCs w:val="24"/>
              </w:rPr>
            </w:pPr>
            <w:r>
              <w:rPr>
                <w:rFonts w:eastAsiaTheme="majorEastAsia"/>
                <w:sz w:val="24"/>
                <w:szCs w:val="24"/>
              </w:rPr>
              <w:t>19.1</w:t>
            </w:r>
          </w:p>
        </w:tc>
        <w:tc>
          <w:tcPr>
            <w:tcW w:w="2279" w:type="dxa"/>
            <w:vAlign w:val="center"/>
          </w:tcPr>
          <w:p w14:paraId="58866EA7">
            <w:pPr>
              <w:shd w:val="clear" w:color="auto" w:fill="FFFFFF"/>
              <w:spacing w:line="360" w:lineRule="auto"/>
              <w:rPr>
                <w:rFonts w:eastAsiaTheme="majorEastAsia"/>
                <w:sz w:val="24"/>
                <w:szCs w:val="24"/>
              </w:rPr>
            </w:pPr>
            <w:r>
              <w:rPr>
                <w:rFonts w:eastAsiaTheme="majorEastAsia"/>
                <w:sz w:val="24"/>
                <w:szCs w:val="24"/>
              </w:rPr>
              <w:t>磋商响应文件递交的截止时间和磋商地点</w:t>
            </w:r>
          </w:p>
        </w:tc>
        <w:tc>
          <w:tcPr>
            <w:tcW w:w="5528" w:type="dxa"/>
            <w:vAlign w:val="center"/>
          </w:tcPr>
          <w:p w14:paraId="50C4FC28">
            <w:pPr>
              <w:shd w:val="clear" w:color="auto" w:fill="FFFFFF"/>
              <w:spacing w:line="360" w:lineRule="auto"/>
              <w:rPr>
                <w:rFonts w:eastAsiaTheme="majorEastAsia"/>
                <w:sz w:val="24"/>
                <w:szCs w:val="24"/>
                <w:highlight w:val="none"/>
              </w:rPr>
            </w:pPr>
            <w:r>
              <w:rPr>
                <w:rFonts w:eastAsiaTheme="majorEastAsia"/>
                <w:sz w:val="24"/>
                <w:szCs w:val="24"/>
                <w:highlight w:val="none"/>
              </w:rPr>
              <w:t>响应文件递交地址：</w:t>
            </w:r>
            <w:r>
              <w:rPr>
                <w:bCs/>
                <w:sz w:val="24"/>
                <w:szCs w:val="24"/>
                <w:highlight w:val="none"/>
              </w:rPr>
              <w:t>西安市太白南路181号西部电子社区A座A区208-1会议室</w:t>
            </w:r>
            <w:r>
              <w:rPr>
                <w:rFonts w:eastAsiaTheme="majorEastAsia"/>
                <w:sz w:val="24"/>
                <w:szCs w:val="24"/>
                <w:highlight w:val="none"/>
              </w:rPr>
              <w:t>；</w:t>
            </w:r>
          </w:p>
          <w:p w14:paraId="4CDB40F4">
            <w:pPr>
              <w:shd w:val="clear" w:color="auto" w:fill="FFFFFF"/>
              <w:spacing w:line="360" w:lineRule="auto"/>
              <w:rPr>
                <w:rFonts w:eastAsiaTheme="majorEastAsia"/>
                <w:sz w:val="24"/>
                <w:szCs w:val="24"/>
                <w:highlight w:val="none"/>
              </w:rPr>
            </w:pPr>
            <w:r>
              <w:rPr>
                <w:rFonts w:eastAsiaTheme="majorEastAsia"/>
                <w:sz w:val="24"/>
                <w:szCs w:val="24"/>
                <w:highlight w:val="none"/>
              </w:rPr>
              <w:t>响应文件递交截止时间：</w:t>
            </w:r>
            <w:r>
              <w:rPr>
                <w:rFonts w:hint="eastAsia" w:eastAsiaTheme="majorEastAsia"/>
                <w:sz w:val="24"/>
                <w:szCs w:val="24"/>
                <w:highlight w:val="none"/>
              </w:rPr>
              <w:t>2</w:t>
            </w:r>
            <w:r>
              <w:rPr>
                <w:rFonts w:hint="eastAsia"/>
                <w:sz w:val="24"/>
                <w:highlight w:val="none"/>
              </w:rPr>
              <w:t>02</w:t>
            </w:r>
            <w:r>
              <w:rPr>
                <w:rFonts w:hint="eastAsia"/>
                <w:sz w:val="24"/>
                <w:highlight w:val="none"/>
                <w:lang w:val="en-US" w:eastAsia="zh-CN"/>
              </w:rPr>
              <w:t>5</w:t>
            </w:r>
            <w:r>
              <w:rPr>
                <w:rFonts w:hint="eastAsia"/>
                <w:sz w:val="24"/>
                <w:highlight w:val="none"/>
              </w:rPr>
              <w:t>年</w:t>
            </w:r>
            <w:r>
              <w:rPr>
                <w:rFonts w:hint="eastAsia"/>
                <w:sz w:val="24"/>
                <w:highlight w:val="none"/>
                <w:lang w:val="en-US" w:eastAsia="zh-CN"/>
              </w:rPr>
              <w:t>5</w:t>
            </w:r>
            <w:r>
              <w:rPr>
                <w:rFonts w:hint="eastAsia"/>
                <w:sz w:val="24"/>
                <w:highlight w:val="none"/>
              </w:rPr>
              <w:t>月</w:t>
            </w:r>
            <w:r>
              <w:rPr>
                <w:rFonts w:hint="eastAsia"/>
                <w:sz w:val="24"/>
                <w:highlight w:val="none"/>
                <w:lang w:val="en-US" w:eastAsia="zh-CN"/>
              </w:rPr>
              <w:t>13</w:t>
            </w:r>
            <w:r>
              <w:rPr>
                <w:rFonts w:hint="eastAsia"/>
                <w:sz w:val="24"/>
                <w:highlight w:val="none"/>
              </w:rPr>
              <w:t>日</w:t>
            </w:r>
            <w:r>
              <w:rPr>
                <w:rFonts w:hint="eastAsia"/>
                <w:sz w:val="24"/>
                <w:highlight w:val="none"/>
                <w:lang w:val="en-US" w:eastAsia="zh-CN"/>
              </w:rPr>
              <w:t>14</w:t>
            </w:r>
            <w:r>
              <w:rPr>
                <w:rFonts w:hint="eastAsia"/>
                <w:sz w:val="24"/>
                <w:highlight w:val="none"/>
              </w:rPr>
              <w:t>:30:00（北京时间）</w:t>
            </w:r>
            <w:r>
              <w:rPr>
                <w:rFonts w:eastAsiaTheme="majorEastAsia"/>
                <w:sz w:val="24"/>
                <w:szCs w:val="24"/>
                <w:highlight w:val="none"/>
              </w:rPr>
              <w:t>；</w:t>
            </w:r>
          </w:p>
          <w:p w14:paraId="24FE56CF">
            <w:pPr>
              <w:shd w:val="clear" w:color="auto" w:fill="FFFFFF"/>
              <w:spacing w:line="360" w:lineRule="auto"/>
              <w:rPr>
                <w:rFonts w:eastAsiaTheme="majorEastAsia"/>
                <w:sz w:val="24"/>
                <w:szCs w:val="24"/>
                <w:highlight w:val="none"/>
              </w:rPr>
            </w:pPr>
            <w:r>
              <w:rPr>
                <w:rFonts w:eastAsiaTheme="majorEastAsia"/>
                <w:sz w:val="24"/>
                <w:szCs w:val="24"/>
                <w:highlight w:val="none"/>
              </w:rPr>
              <w:t>响应文件接收人：</w:t>
            </w:r>
            <w:r>
              <w:rPr>
                <w:sz w:val="24"/>
                <w:highlight w:val="none"/>
              </w:rPr>
              <w:t>东方（西安）国际招标有限公司</w:t>
            </w:r>
            <w:r>
              <w:rPr>
                <w:rFonts w:eastAsiaTheme="majorEastAsia"/>
                <w:sz w:val="24"/>
                <w:szCs w:val="24"/>
                <w:highlight w:val="none"/>
              </w:rPr>
              <w:t>。</w:t>
            </w:r>
          </w:p>
        </w:tc>
      </w:tr>
      <w:tr w14:paraId="3645A10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gridBefore w:val="1"/>
          <w:gridAfter w:val="1"/>
          <w:wBefore w:w="360" w:type="dxa"/>
          <w:wAfter w:w="353" w:type="dxa"/>
          <w:trHeight w:val="450" w:hRule="atLeast"/>
        </w:trPr>
        <w:tc>
          <w:tcPr>
            <w:tcW w:w="840" w:type="dxa"/>
            <w:vAlign w:val="center"/>
          </w:tcPr>
          <w:p w14:paraId="3BF76DBC">
            <w:pPr>
              <w:shd w:val="clear" w:color="auto" w:fill="FFFFFF"/>
              <w:spacing w:line="360" w:lineRule="auto"/>
              <w:jc w:val="center"/>
              <w:rPr>
                <w:rFonts w:eastAsiaTheme="majorEastAsia"/>
                <w:sz w:val="24"/>
                <w:szCs w:val="24"/>
              </w:rPr>
            </w:pPr>
            <w:r>
              <w:rPr>
                <w:rFonts w:eastAsiaTheme="majorEastAsia"/>
                <w:sz w:val="24"/>
                <w:szCs w:val="24"/>
              </w:rPr>
              <w:t>22.1</w:t>
            </w:r>
          </w:p>
        </w:tc>
        <w:tc>
          <w:tcPr>
            <w:tcW w:w="2279" w:type="dxa"/>
            <w:vAlign w:val="center"/>
          </w:tcPr>
          <w:p w14:paraId="525942BA">
            <w:pPr>
              <w:shd w:val="clear" w:color="auto" w:fill="FFFFFF"/>
              <w:spacing w:line="360" w:lineRule="auto"/>
              <w:rPr>
                <w:rFonts w:eastAsiaTheme="majorEastAsia"/>
                <w:sz w:val="24"/>
                <w:szCs w:val="24"/>
              </w:rPr>
            </w:pPr>
            <w:r>
              <w:rPr>
                <w:rFonts w:eastAsiaTheme="majorEastAsia"/>
                <w:sz w:val="24"/>
                <w:szCs w:val="24"/>
              </w:rPr>
              <w:t>磋商时间和地点</w:t>
            </w:r>
          </w:p>
        </w:tc>
        <w:tc>
          <w:tcPr>
            <w:tcW w:w="5528" w:type="dxa"/>
            <w:vAlign w:val="center"/>
          </w:tcPr>
          <w:p w14:paraId="6845804F">
            <w:pPr>
              <w:shd w:val="clear" w:color="auto" w:fill="FFFFFF"/>
              <w:spacing w:line="360" w:lineRule="auto"/>
              <w:rPr>
                <w:rFonts w:eastAsiaTheme="majorEastAsia"/>
                <w:sz w:val="24"/>
                <w:szCs w:val="24"/>
              </w:rPr>
            </w:pPr>
            <w:r>
              <w:rPr>
                <w:rFonts w:eastAsiaTheme="majorEastAsia"/>
                <w:sz w:val="24"/>
                <w:szCs w:val="24"/>
              </w:rPr>
              <w:t>磋商开始时间：同响应文件递交截止时间；</w:t>
            </w:r>
          </w:p>
          <w:p w14:paraId="247A7D64">
            <w:pPr>
              <w:shd w:val="clear" w:color="auto" w:fill="FFFFFF"/>
              <w:spacing w:line="360" w:lineRule="auto"/>
              <w:rPr>
                <w:rFonts w:eastAsiaTheme="majorEastAsia"/>
                <w:sz w:val="24"/>
                <w:szCs w:val="24"/>
              </w:rPr>
            </w:pPr>
            <w:r>
              <w:rPr>
                <w:rFonts w:eastAsiaTheme="majorEastAsia"/>
                <w:sz w:val="24"/>
                <w:szCs w:val="24"/>
              </w:rPr>
              <w:t>磋商地点：</w:t>
            </w:r>
            <w:r>
              <w:rPr>
                <w:bCs/>
                <w:sz w:val="24"/>
                <w:szCs w:val="24"/>
              </w:rPr>
              <w:t>西安市太白南路181号西部电子社区A座A区208-1会议室</w:t>
            </w:r>
            <w:r>
              <w:rPr>
                <w:rFonts w:eastAsiaTheme="majorEastAsia"/>
                <w:sz w:val="24"/>
                <w:szCs w:val="24"/>
              </w:rPr>
              <w:t>。</w:t>
            </w:r>
          </w:p>
        </w:tc>
      </w:tr>
      <w:tr w14:paraId="1DEC868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gridBefore w:val="1"/>
          <w:gridAfter w:val="1"/>
          <w:wBefore w:w="360" w:type="dxa"/>
          <w:wAfter w:w="353" w:type="dxa"/>
          <w:trHeight w:val="909" w:hRule="atLeast"/>
        </w:trPr>
        <w:tc>
          <w:tcPr>
            <w:tcW w:w="840" w:type="dxa"/>
            <w:vAlign w:val="center"/>
          </w:tcPr>
          <w:p w14:paraId="58021FE1">
            <w:pPr>
              <w:shd w:val="clear" w:color="auto" w:fill="FFFFFF"/>
              <w:spacing w:line="360" w:lineRule="auto"/>
              <w:jc w:val="center"/>
              <w:rPr>
                <w:rFonts w:eastAsiaTheme="majorEastAsia"/>
                <w:sz w:val="24"/>
                <w:szCs w:val="24"/>
              </w:rPr>
            </w:pPr>
            <w:r>
              <w:rPr>
                <w:rFonts w:eastAsiaTheme="majorEastAsia"/>
                <w:sz w:val="24"/>
                <w:szCs w:val="24"/>
              </w:rPr>
              <w:t>22.2</w:t>
            </w:r>
          </w:p>
        </w:tc>
        <w:tc>
          <w:tcPr>
            <w:tcW w:w="2279" w:type="dxa"/>
            <w:vAlign w:val="center"/>
          </w:tcPr>
          <w:p w14:paraId="76A14B38">
            <w:pPr>
              <w:shd w:val="clear" w:color="auto" w:fill="FFFFFF"/>
              <w:spacing w:line="360" w:lineRule="auto"/>
              <w:rPr>
                <w:rFonts w:eastAsiaTheme="majorEastAsia"/>
                <w:sz w:val="24"/>
                <w:szCs w:val="24"/>
              </w:rPr>
            </w:pPr>
            <w:r>
              <w:rPr>
                <w:rFonts w:eastAsiaTheme="majorEastAsia"/>
                <w:sz w:val="24"/>
                <w:szCs w:val="24"/>
              </w:rPr>
              <w:t>磋商报价次数、磋商程序和最终报价的产生原则</w:t>
            </w:r>
          </w:p>
        </w:tc>
        <w:tc>
          <w:tcPr>
            <w:tcW w:w="5528" w:type="dxa"/>
            <w:vAlign w:val="center"/>
          </w:tcPr>
          <w:p w14:paraId="605F9D85">
            <w:pPr>
              <w:shd w:val="clear" w:color="auto" w:fill="FFFFFF"/>
              <w:spacing w:line="360" w:lineRule="auto"/>
              <w:rPr>
                <w:rFonts w:eastAsiaTheme="majorEastAsia"/>
                <w:sz w:val="24"/>
                <w:szCs w:val="24"/>
              </w:rPr>
            </w:pPr>
            <w:r>
              <w:rPr>
                <w:rFonts w:eastAsiaTheme="majorEastAsia"/>
                <w:sz w:val="24"/>
                <w:szCs w:val="24"/>
              </w:rPr>
              <w:t>本次磋商采用二次报价。</w:t>
            </w:r>
          </w:p>
          <w:p w14:paraId="30DAE19A">
            <w:pPr>
              <w:shd w:val="clear" w:color="auto" w:fill="FFFFFF"/>
              <w:spacing w:line="360" w:lineRule="auto"/>
              <w:rPr>
                <w:rFonts w:eastAsiaTheme="majorEastAsia"/>
                <w:sz w:val="24"/>
                <w:szCs w:val="24"/>
              </w:rPr>
            </w:pPr>
            <w:r>
              <w:rPr>
                <w:rFonts w:eastAsiaTheme="majorEastAsia"/>
                <w:sz w:val="24"/>
                <w:szCs w:val="24"/>
              </w:rPr>
              <w:t>磋商程序为：</w:t>
            </w:r>
          </w:p>
          <w:p w14:paraId="4F1128F2">
            <w:pPr>
              <w:spacing w:line="360" w:lineRule="auto"/>
              <w:rPr>
                <w:rFonts w:eastAsiaTheme="majorEastAsia"/>
                <w:sz w:val="24"/>
                <w:szCs w:val="24"/>
              </w:rPr>
            </w:pPr>
            <w:r>
              <w:rPr>
                <w:rFonts w:eastAsiaTheme="majorEastAsia"/>
                <w:sz w:val="24"/>
                <w:szCs w:val="24"/>
              </w:rPr>
              <w:t>1、磋商小组对所有提交的响应文件进行评审；</w:t>
            </w:r>
          </w:p>
          <w:p w14:paraId="0D30B505">
            <w:pPr>
              <w:spacing w:line="360" w:lineRule="auto"/>
              <w:rPr>
                <w:rFonts w:eastAsiaTheme="majorEastAsia"/>
                <w:sz w:val="24"/>
                <w:szCs w:val="24"/>
              </w:rPr>
            </w:pPr>
            <w:r>
              <w:rPr>
                <w:rFonts w:eastAsiaTheme="majorEastAsia"/>
                <w:sz w:val="24"/>
                <w:szCs w:val="24"/>
              </w:rPr>
              <w:t>2、磋商小组所有成员集中与单一供应商分别进行磋商；</w:t>
            </w:r>
          </w:p>
          <w:p w14:paraId="50611A6F">
            <w:pPr>
              <w:spacing w:line="360" w:lineRule="auto"/>
              <w:rPr>
                <w:rFonts w:eastAsiaTheme="majorEastAsia"/>
                <w:sz w:val="24"/>
                <w:szCs w:val="24"/>
              </w:rPr>
            </w:pPr>
            <w:r>
              <w:rPr>
                <w:rFonts w:eastAsiaTheme="majorEastAsia"/>
                <w:sz w:val="24"/>
                <w:szCs w:val="24"/>
              </w:rPr>
              <w:t>3、供应商按照要求密封提交二次报价；</w:t>
            </w:r>
          </w:p>
          <w:p w14:paraId="4B452E89">
            <w:pPr>
              <w:spacing w:line="360" w:lineRule="auto"/>
              <w:rPr>
                <w:rFonts w:eastAsiaTheme="majorEastAsia"/>
                <w:sz w:val="24"/>
                <w:szCs w:val="24"/>
              </w:rPr>
            </w:pPr>
            <w:r>
              <w:rPr>
                <w:rFonts w:eastAsiaTheme="majorEastAsia"/>
                <w:sz w:val="24"/>
                <w:szCs w:val="24"/>
              </w:rPr>
              <w:t>4、磋商小组评审、推荐成交候选人。</w:t>
            </w:r>
          </w:p>
          <w:p w14:paraId="293100E1">
            <w:pPr>
              <w:spacing w:line="360" w:lineRule="auto"/>
              <w:rPr>
                <w:rFonts w:eastAsiaTheme="majorEastAsia"/>
                <w:sz w:val="24"/>
                <w:szCs w:val="24"/>
              </w:rPr>
            </w:pPr>
            <w:r>
              <w:rPr>
                <w:rFonts w:eastAsiaTheme="majorEastAsia"/>
                <w:sz w:val="24"/>
                <w:szCs w:val="24"/>
              </w:rPr>
              <w:t>在磋商过程中，磋商小组可以根据磋商文件和磋商情况实质性变动采购需求中的技术、服务要求以及合同草案条款，二次报价为最终报价。</w:t>
            </w:r>
          </w:p>
        </w:tc>
      </w:tr>
      <w:tr w14:paraId="05D1322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gridBefore w:val="1"/>
          <w:gridAfter w:val="1"/>
          <w:wBefore w:w="360" w:type="dxa"/>
          <w:wAfter w:w="353" w:type="dxa"/>
          <w:trHeight w:val="687" w:hRule="atLeast"/>
        </w:trPr>
        <w:tc>
          <w:tcPr>
            <w:tcW w:w="840" w:type="dxa"/>
            <w:vAlign w:val="center"/>
          </w:tcPr>
          <w:p w14:paraId="673A44DC">
            <w:pPr>
              <w:shd w:val="clear" w:color="auto" w:fill="FFFFFF"/>
              <w:spacing w:line="360" w:lineRule="auto"/>
              <w:jc w:val="center"/>
              <w:rPr>
                <w:rFonts w:eastAsiaTheme="majorEastAsia"/>
                <w:sz w:val="24"/>
                <w:szCs w:val="24"/>
              </w:rPr>
            </w:pPr>
            <w:r>
              <w:rPr>
                <w:rFonts w:eastAsiaTheme="majorEastAsia"/>
                <w:sz w:val="24"/>
                <w:szCs w:val="24"/>
              </w:rPr>
              <w:t>24.1</w:t>
            </w:r>
          </w:p>
        </w:tc>
        <w:tc>
          <w:tcPr>
            <w:tcW w:w="2279" w:type="dxa"/>
            <w:vAlign w:val="center"/>
          </w:tcPr>
          <w:p w14:paraId="60C32834">
            <w:pPr>
              <w:shd w:val="clear" w:color="auto" w:fill="FFFFFF"/>
              <w:spacing w:line="360" w:lineRule="auto"/>
              <w:rPr>
                <w:rFonts w:eastAsiaTheme="majorEastAsia"/>
                <w:sz w:val="24"/>
                <w:szCs w:val="24"/>
              </w:rPr>
            </w:pPr>
            <w:r>
              <w:rPr>
                <w:rFonts w:eastAsiaTheme="majorEastAsia"/>
                <w:sz w:val="24"/>
                <w:szCs w:val="24"/>
              </w:rPr>
              <w:t>成交候选人数量</w:t>
            </w:r>
          </w:p>
        </w:tc>
        <w:tc>
          <w:tcPr>
            <w:tcW w:w="5528" w:type="dxa"/>
            <w:vAlign w:val="center"/>
          </w:tcPr>
          <w:p w14:paraId="5058E732">
            <w:pPr>
              <w:shd w:val="clear" w:color="auto" w:fill="FFFFFF"/>
              <w:spacing w:line="360" w:lineRule="auto"/>
              <w:rPr>
                <w:rFonts w:eastAsiaTheme="majorEastAsia"/>
                <w:sz w:val="24"/>
                <w:szCs w:val="24"/>
              </w:rPr>
            </w:pPr>
            <w:r>
              <w:rPr>
                <w:rFonts w:eastAsiaTheme="majorEastAsia"/>
                <w:sz w:val="24"/>
                <w:szCs w:val="24"/>
              </w:rPr>
              <w:t>3</w:t>
            </w:r>
          </w:p>
        </w:tc>
      </w:tr>
      <w:tr w14:paraId="4BB6164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gridBefore w:val="1"/>
          <w:gridAfter w:val="1"/>
          <w:wBefore w:w="360" w:type="dxa"/>
          <w:wAfter w:w="353" w:type="dxa"/>
          <w:trHeight w:val="1224" w:hRule="atLeast"/>
        </w:trPr>
        <w:tc>
          <w:tcPr>
            <w:tcW w:w="840" w:type="dxa"/>
            <w:vAlign w:val="center"/>
          </w:tcPr>
          <w:p w14:paraId="102F5018">
            <w:pPr>
              <w:shd w:val="clear" w:color="auto" w:fill="FFFFFF"/>
              <w:spacing w:line="360" w:lineRule="auto"/>
              <w:jc w:val="center"/>
              <w:rPr>
                <w:rFonts w:eastAsiaTheme="majorEastAsia"/>
                <w:sz w:val="24"/>
                <w:szCs w:val="24"/>
              </w:rPr>
            </w:pPr>
            <w:r>
              <w:rPr>
                <w:rFonts w:hint="eastAsia" w:eastAsiaTheme="majorEastAsia"/>
                <w:sz w:val="24"/>
                <w:szCs w:val="24"/>
              </w:rPr>
              <w:t>29</w:t>
            </w:r>
          </w:p>
        </w:tc>
        <w:tc>
          <w:tcPr>
            <w:tcW w:w="2279" w:type="dxa"/>
            <w:vAlign w:val="center"/>
          </w:tcPr>
          <w:p w14:paraId="2787DC36">
            <w:pPr>
              <w:shd w:val="clear" w:color="auto" w:fill="FFFFFF"/>
              <w:spacing w:line="360" w:lineRule="auto"/>
              <w:rPr>
                <w:rFonts w:eastAsiaTheme="majorEastAsia"/>
                <w:sz w:val="24"/>
                <w:szCs w:val="24"/>
              </w:rPr>
            </w:pPr>
            <w:r>
              <w:rPr>
                <w:rFonts w:eastAsiaTheme="majorEastAsia"/>
                <w:sz w:val="24"/>
                <w:szCs w:val="24"/>
              </w:rPr>
              <w:t>项目所属行业</w:t>
            </w:r>
          </w:p>
        </w:tc>
        <w:tc>
          <w:tcPr>
            <w:tcW w:w="5528" w:type="dxa"/>
            <w:vAlign w:val="center"/>
          </w:tcPr>
          <w:p w14:paraId="473FF8D3">
            <w:pPr>
              <w:shd w:val="clear" w:color="auto" w:fill="FFFFFF"/>
              <w:spacing w:line="360" w:lineRule="auto"/>
              <w:rPr>
                <w:sz w:val="24"/>
              </w:rPr>
            </w:pPr>
            <w:r>
              <w:rPr>
                <w:spacing w:val="4"/>
                <w:sz w:val="24"/>
                <w:szCs w:val="24"/>
                <w:highlight w:val="none"/>
              </w:rPr>
              <w:t>属于《中小企业划型标准规定》中的</w:t>
            </w:r>
            <w:r>
              <w:rPr>
                <w:rFonts w:hint="eastAsia"/>
                <w:spacing w:val="4"/>
                <w:sz w:val="24"/>
                <w:szCs w:val="24"/>
                <w:highlight w:val="none"/>
              </w:rPr>
              <w:t>信息传输业。</w:t>
            </w:r>
          </w:p>
        </w:tc>
      </w:tr>
      <w:tr w14:paraId="1873A73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gridBefore w:val="1"/>
          <w:gridAfter w:val="1"/>
          <w:wBefore w:w="360" w:type="dxa"/>
          <w:wAfter w:w="353" w:type="dxa"/>
          <w:trHeight w:val="1224" w:hRule="atLeast"/>
        </w:trPr>
        <w:tc>
          <w:tcPr>
            <w:tcW w:w="840" w:type="dxa"/>
            <w:vAlign w:val="center"/>
          </w:tcPr>
          <w:p w14:paraId="0C71DA94">
            <w:pPr>
              <w:shd w:val="clear" w:color="auto" w:fill="FFFFFF"/>
              <w:spacing w:line="360" w:lineRule="auto"/>
              <w:jc w:val="center"/>
              <w:rPr>
                <w:rFonts w:eastAsiaTheme="majorEastAsia"/>
                <w:sz w:val="24"/>
                <w:szCs w:val="24"/>
              </w:rPr>
            </w:pPr>
            <w:r>
              <w:rPr>
                <w:rFonts w:eastAsiaTheme="majorEastAsia"/>
                <w:sz w:val="24"/>
                <w:szCs w:val="24"/>
              </w:rPr>
              <w:t>30</w:t>
            </w:r>
          </w:p>
        </w:tc>
        <w:tc>
          <w:tcPr>
            <w:tcW w:w="2279" w:type="dxa"/>
            <w:vAlign w:val="center"/>
          </w:tcPr>
          <w:p w14:paraId="5DEE05C1">
            <w:pPr>
              <w:shd w:val="clear" w:color="auto" w:fill="FFFFFF"/>
              <w:spacing w:line="360" w:lineRule="auto"/>
              <w:rPr>
                <w:rFonts w:eastAsiaTheme="majorEastAsia"/>
                <w:sz w:val="24"/>
                <w:szCs w:val="24"/>
              </w:rPr>
            </w:pPr>
            <w:r>
              <w:rPr>
                <w:rFonts w:eastAsiaTheme="majorEastAsia"/>
                <w:sz w:val="24"/>
                <w:szCs w:val="24"/>
              </w:rPr>
              <w:t>采购代理服务费</w:t>
            </w:r>
          </w:p>
        </w:tc>
        <w:tc>
          <w:tcPr>
            <w:tcW w:w="5528" w:type="dxa"/>
            <w:vAlign w:val="center"/>
          </w:tcPr>
          <w:p w14:paraId="67CDF184">
            <w:pPr>
              <w:shd w:val="clear" w:color="auto" w:fill="FFFFFF"/>
              <w:spacing w:line="360" w:lineRule="auto"/>
              <w:rPr>
                <w:rFonts w:cs="宋体" w:asciiTheme="majorEastAsia" w:hAnsiTheme="majorEastAsia" w:eastAsiaTheme="majorEastAsia"/>
                <w:sz w:val="24"/>
                <w:szCs w:val="24"/>
              </w:rPr>
            </w:pPr>
            <w:r>
              <w:rPr>
                <w:rFonts w:hint="eastAsia" w:cs="宋体" w:asciiTheme="majorEastAsia" w:hAnsiTheme="majorEastAsia" w:eastAsiaTheme="majorEastAsia"/>
                <w:sz w:val="24"/>
                <w:szCs w:val="24"/>
              </w:rPr>
              <w:t>确定中标人后3日内，由中标人向招标代理机构一次付清招标代理服务费。招标代理服务费的金额按照国家发展计划委员会计价格[2002]1980号文件的规定标准下浮20%计算。</w:t>
            </w:r>
          </w:p>
        </w:tc>
      </w:tr>
      <w:tr w14:paraId="776C18E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4" w:hRule="atLeast"/>
        </w:trPr>
        <w:tc>
          <w:tcPr>
            <w:tcW w:w="9360" w:type="dxa"/>
            <w:gridSpan w:val="5"/>
            <w:tcBorders>
              <w:top w:val="nil"/>
              <w:left w:val="nil"/>
              <w:bottom w:val="nil"/>
              <w:right w:val="nil"/>
            </w:tcBorders>
            <w:vAlign w:val="center"/>
          </w:tcPr>
          <w:p w14:paraId="5ECD9747">
            <w:pPr>
              <w:widowControl/>
              <w:spacing w:line="360" w:lineRule="auto"/>
              <w:jc w:val="left"/>
              <w:rPr>
                <w:kern w:val="0"/>
                <w:szCs w:val="21"/>
              </w:rPr>
            </w:pPr>
            <w:r>
              <w:br w:type="page"/>
            </w:r>
          </w:p>
        </w:tc>
      </w:tr>
    </w:tbl>
    <w:p w14:paraId="7F2D471E">
      <w:pPr>
        <w:shd w:val="clear" w:color="auto" w:fill="FFFFFF"/>
        <w:jc w:val="center"/>
        <w:rPr>
          <w:b/>
          <w:sz w:val="32"/>
          <w:szCs w:val="32"/>
        </w:rPr>
      </w:pPr>
      <w:r>
        <w:rPr>
          <w:b/>
          <w:sz w:val="36"/>
        </w:rPr>
        <w:br w:type="page"/>
      </w:r>
      <w:r>
        <w:rPr>
          <w:b/>
          <w:sz w:val="32"/>
          <w:szCs w:val="32"/>
        </w:rPr>
        <w:t>磋商须知</w:t>
      </w:r>
    </w:p>
    <w:p w14:paraId="32902D0A">
      <w:pPr>
        <w:shd w:val="clear" w:color="auto" w:fill="FFFFFF"/>
        <w:jc w:val="center"/>
        <w:rPr>
          <w:b/>
          <w:sz w:val="24"/>
          <w:szCs w:val="24"/>
        </w:rPr>
      </w:pPr>
      <w:r>
        <w:rPr>
          <w:b/>
          <w:sz w:val="24"/>
          <w:szCs w:val="24"/>
        </w:rPr>
        <w:t>一.总  则</w:t>
      </w:r>
    </w:p>
    <w:p w14:paraId="16C39065">
      <w:pPr>
        <w:shd w:val="clear" w:color="auto" w:fill="FFFFFF"/>
        <w:spacing w:line="360" w:lineRule="auto"/>
        <w:rPr>
          <w:b/>
          <w:sz w:val="24"/>
          <w:szCs w:val="24"/>
        </w:rPr>
      </w:pPr>
      <w:r>
        <w:rPr>
          <w:b/>
          <w:sz w:val="24"/>
          <w:szCs w:val="24"/>
        </w:rPr>
        <w:t>1.采购人和资金来源</w:t>
      </w:r>
    </w:p>
    <w:p w14:paraId="75EA659D">
      <w:pPr>
        <w:shd w:val="clear" w:color="auto" w:fill="FFFFFF"/>
        <w:spacing w:line="360" w:lineRule="auto"/>
        <w:ind w:firstLine="480" w:firstLineChars="200"/>
        <w:rPr>
          <w:sz w:val="24"/>
          <w:szCs w:val="24"/>
        </w:rPr>
      </w:pPr>
      <w:r>
        <w:rPr>
          <w:sz w:val="24"/>
          <w:szCs w:val="24"/>
        </w:rPr>
        <w:t>1.1采购人名称、地址见前附表。</w:t>
      </w:r>
    </w:p>
    <w:p w14:paraId="37441F44">
      <w:pPr>
        <w:shd w:val="clear" w:color="auto" w:fill="FFFFFF"/>
        <w:spacing w:line="360" w:lineRule="auto"/>
        <w:ind w:firstLine="480" w:firstLineChars="200"/>
        <w:rPr>
          <w:sz w:val="24"/>
          <w:szCs w:val="24"/>
        </w:rPr>
      </w:pPr>
      <w:r>
        <w:rPr>
          <w:sz w:val="24"/>
          <w:szCs w:val="24"/>
        </w:rPr>
        <w:t>1.2本次磋商采购所签订合同将使用财政性资金支付，资金已落实到位。</w:t>
      </w:r>
    </w:p>
    <w:p w14:paraId="67EE5620">
      <w:pPr>
        <w:shd w:val="clear" w:color="auto" w:fill="FFFFFF"/>
        <w:spacing w:line="360" w:lineRule="auto"/>
        <w:rPr>
          <w:b/>
          <w:sz w:val="24"/>
          <w:szCs w:val="24"/>
        </w:rPr>
      </w:pPr>
      <w:r>
        <w:rPr>
          <w:b/>
          <w:sz w:val="24"/>
          <w:szCs w:val="24"/>
        </w:rPr>
        <w:t>2.采购代理机构及合格的供应商</w:t>
      </w:r>
    </w:p>
    <w:p w14:paraId="4C14D8F2">
      <w:pPr>
        <w:shd w:val="clear" w:color="auto" w:fill="FFFFFF"/>
        <w:spacing w:line="360" w:lineRule="auto"/>
        <w:ind w:firstLine="480" w:firstLineChars="200"/>
        <w:rPr>
          <w:sz w:val="24"/>
          <w:szCs w:val="24"/>
        </w:rPr>
      </w:pPr>
      <w:r>
        <w:rPr>
          <w:sz w:val="24"/>
          <w:szCs w:val="24"/>
        </w:rPr>
        <w:t>2.1 采购代理机构</w:t>
      </w:r>
    </w:p>
    <w:p w14:paraId="3BD0C98E">
      <w:pPr>
        <w:shd w:val="clear" w:color="auto" w:fill="FFFFFF"/>
        <w:spacing w:line="360" w:lineRule="auto"/>
        <w:ind w:firstLine="480" w:firstLineChars="200"/>
        <w:rPr>
          <w:sz w:val="24"/>
          <w:szCs w:val="24"/>
        </w:rPr>
      </w:pPr>
      <w:r>
        <w:rPr>
          <w:sz w:val="24"/>
          <w:szCs w:val="24"/>
        </w:rPr>
        <w:t>组织本次磋商的采购代理机构为东方（西安）国际招标有限公司。</w:t>
      </w:r>
    </w:p>
    <w:p w14:paraId="40FA7E42">
      <w:pPr>
        <w:shd w:val="clear" w:color="auto" w:fill="FFFFFF"/>
        <w:spacing w:line="360" w:lineRule="auto"/>
        <w:ind w:firstLine="480" w:firstLineChars="200"/>
        <w:rPr>
          <w:sz w:val="24"/>
          <w:szCs w:val="24"/>
        </w:rPr>
      </w:pPr>
      <w:r>
        <w:rPr>
          <w:sz w:val="24"/>
          <w:szCs w:val="24"/>
        </w:rPr>
        <w:t>2.2合格的供应商：</w:t>
      </w:r>
    </w:p>
    <w:p w14:paraId="7E1D4382">
      <w:pPr>
        <w:shd w:val="clear" w:color="auto" w:fill="FFFFFF"/>
        <w:spacing w:line="360" w:lineRule="auto"/>
        <w:ind w:firstLine="480" w:firstLineChars="200"/>
        <w:rPr>
          <w:sz w:val="24"/>
          <w:szCs w:val="24"/>
        </w:rPr>
      </w:pPr>
      <w:r>
        <w:rPr>
          <w:sz w:val="24"/>
          <w:szCs w:val="24"/>
        </w:rPr>
        <w:t>2.2.1具备下列条件，方为合格的供应商</w:t>
      </w:r>
    </w:p>
    <w:p w14:paraId="11912E4D">
      <w:pPr>
        <w:shd w:val="clear" w:color="auto" w:fill="FFFFFF"/>
        <w:spacing w:line="360" w:lineRule="auto"/>
        <w:ind w:firstLine="480" w:firstLineChars="200"/>
        <w:rPr>
          <w:sz w:val="24"/>
          <w:szCs w:val="24"/>
        </w:rPr>
      </w:pPr>
      <w:r>
        <w:rPr>
          <w:sz w:val="24"/>
          <w:szCs w:val="24"/>
        </w:rPr>
        <w:t xml:space="preserve">    1）具有独立承担民事责任的能力；</w:t>
      </w:r>
    </w:p>
    <w:p w14:paraId="6D8347F0">
      <w:pPr>
        <w:shd w:val="clear" w:color="auto" w:fill="FFFFFF"/>
        <w:spacing w:line="360" w:lineRule="auto"/>
        <w:ind w:firstLine="480" w:firstLineChars="200"/>
        <w:rPr>
          <w:sz w:val="24"/>
          <w:szCs w:val="24"/>
        </w:rPr>
      </w:pPr>
      <w:r>
        <w:rPr>
          <w:sz w:val="24"/>
          <w:szCs w:val="24"/>
        </w:rPr>
        <w:t xml:space="preserve">    2）具有良好的商业信誉和健全的财务会计制度；</w:t>
      </w:r>
    </w:p>
    <w:p w14:paraId="119E43B8">
      <w:pPr>
        <w:shd w:val="clear" w:color="auto" w:fill="FFFFFF"/>
        <w:spacing w:line="360" w:lineRule="auto"/>
        <w:ind w:firstLine="480" w:firstLineChars="200"/>
        <w:rPr>
          <w:sz w:val="24"/>
          <w:szCs w:val="24"/>
        </w:rPr>
      </w:pPr>
      <w:r>
        <w:rPr>
          <w:sz w:val="24"/>
          <w:szCs w:val="24"/>
        </w:rPr>
        <w:t xml:space="preserve">    3）具有履行合同所必需的设备和专业技术能力；</w:t>
      </w:r>
    </w:p>
    <w:p w14:paraId="6CC8C616">
      <w:pPr>
        <w:shd w:val="clear" w:color="auto" w:fill="FFFFFF"/>
        <w:spacing w:line="360" w:lineRule="auto"/>
        <w:ind w:firstLine="480" w:firstLineChars="200"/>
        <w:rPr>
          <w:sz w:val="24"/>
          <w:szCs w:val="24"/>
        </w:rPr>
      </w:pPr>
      <w:r>
        <w:rPr>
          <w:sz w:val="24"/>
          <w:szCs w:val="24"/>
        </w:rPr>
        <w:t xml:space="preserve">    4）有依法缴纳税收和社会保障资金的良好纪录；</w:t>
      </w:r>
    </w:p>
    <w:p w14:paraId="05626B18">
      <w:pPr>
        <w:shd w:val="clear" w:color="auto" w:fill="FFFFFF"/>
        <w:spacing w:line="360" w:lineRule="auto"/>
        <w:ind w:firstLine="480" w:firstLineChars="200"/>
        <w:rPr>
          <w:sz w:val="24"/>
          <w:szCs w:val="24"/>
        </w:rPr>
      </w:pPr>
      <w:r>
        <w:rPr>
          <w:sz w:val="24"/>
          <w:szCs w:val="24"/>
        </w:rPr>
        <w:t xml:space="preserve">    5）参加政府采购活动前三年内，在经营活动中没有重大违法纪录；</w:t>
      </w:r>
    </w:p>
    <w:p w14:paraId="7A038F9E">
      <w:pPr>
        <w:shd w:val="clear" w:color="auto" w:fill="FFFFFF"/>
        <w:spacing w:line="360" w:lineRule="auto"/>
        <w:ind w:left="1439" w:leftChars="228" w:hanging="960" w:hangingChars="400"/>
        <w:rPr>
          <w:sz w:val="24"/>
          <w:szCs w:val="24"/>
        </w:rPr>
      </w:pPr>
      <w:r>
        <w:rPr>
          <w:sz w:val="24"/>
          <w:szCs w:val="24"/>
        </w:rPr>
        <w:t xml:space="preserve">    6）中华人民共和国法律、行政法规规定的其他条件（见供应商须知前附表）；</w:t>
      </w:r>
    </w:p>
    <w:p w14:paraId="28B619AC">
      <w:pPr>
        <w:shd w:val="clear" w:color="auto" w:fill="FFFFFF"/>
        <w:spacing w:line="360" w:lineRule="auto"/>
        <w:ind w:left="1439" w:leftChars="228" w:hanging="960" w:hangingChars="400"/>
        <w:rPr>
          <w:sz w:val="24"/>
          <w:szCs w:val="24"/>
        </w:rPr>
      </w:pPr>
      <w:r>
        <w:rPr>
          <w:sz w:val="24"/>
          <w:szCs w:val="24"/>
        </w:rPr>
        <w:t xml:space="preserve">    7）根据本次采购项目的特殊要求，规定的供应商特定条件（见供应商须知前附表）。</w:t>
      </w:r>
    </w:p>
    <w:p w14:paraId="086564A1">
      <w:pPr>
        <w:shd w:val="clear" w:color="auto" w:fill="FFFFFF"/>
        <w:spacing w:line="360" w:lineRule="auto"/>
        <w:ind w:firstLine="480" w:firstLineChars="200"/>
        <w:rPr>
          <w:sz w:val="24"/>
          <w:szCs w:val="24"/>
        </w:rPr>
      </w:pPr>
      <w:r>
        <w:rPr>
          <w:sz w:val="24"/>
          <w:szCs w:val="24"/>
        </w:rPr>
        <w:t>2.2.2参加本次磋商的供应商不得直接或间接地与采购单位（包括</w:t>
      </w:r>
      <w:r>
        <w:rPr>
          <w:sz w:val="24"/>
        </w:rPr>
        <w:t>东方（西安）国际招标有限公司</w:t>
      </w:r>
      <w:r>
        <w:rPr>
          <w:sz w:val="24"/>
          <w:szCs w:val="24"/>
        </w:rPr>
        <w:t>、采购人及用户）有任何关联，亦不得是采购单位的附属机构。如果供应商在磋商中隐瞒了上述关系，其磋商响应文件按照无效处理。</w:t>
      </w:r>
    </w:p>
    <w:p w14:paraId="73AEB39F">
      <w:pPr>
        <w:shd w:val="clear" w:color="auto" w:fill="FFFFFF"/>
        <w:spacing w:line="360" w:lineRule="auto"/>
        <w:ind w:firstLine="480" w:firstLineChars="200"/>
        <w:rPr>
          <w:sz w:val="24"/>
          <w:szCs w:val="24"/>
        </w:rPr>
      </w:pPr>
      <w:r>
        <w:rPr>
          <w:sz w:val="24"/>
          <w:szCs w:val="24"/>
        </w:rPr>
        <w:t>2.2.3单位负责人为同一人或者存在直接控股、管理关系的不同供应商，不得参加本项目同一合同项下的磋商。如果供应商在磋商中隐瞒了上述关系，其磋商响应文件按照无效处理。</w:t>
      </w:r>
    </w:p>
    <w:p w14:paraId="768B58F8">
      <w:pPr>
        <w:shd w:val="clear" w:color="auto" w:fill="FFFFFF"/>
        <w:spacing w:line="360" w:lineRule="auto"/>
        <w:ind w:firstLine="480" w:firstLineChars="200"/>
        <w:rPr>
          <w:sz w:val="24"/>
          <w:szCs w:val="24"/>
        </w:rPr>
      </w:pPr>
      <w:r>
        <w:rPr>
          <w:sz w:val="24"/>
          <w:szCs w:val="24"/>
        </w:rPr>
        <w:t>2.2.4为本采购项目提供整体设计、规范编制或者项目管理、监理、检测等服务的供应商，不得再参加本采购项目的磋商报价</w:t>
      </w:r>
      <w:r>
        <w:rPr>
          <w:color w:val="000000"/>
          <w:kern w:val="0"/>
          <w:sz w:val="29"/>
          <w:szCs w:val="29"/>
        </w:rPr>
        <w:t>。</w:t>
      </w:r>
      <w:r>
        <w:rPr>
          <w:sz w:val="24"/>
          <w:szCs w:val="24"/>
        </w:rPr>
        <w:t>如果供应商在磋商中隐瞒了上述事实，其磋商响应文件按照无效处理。</w:t>
      </w:r>
    </w:p>
    <w:p w14:paraId="574BFD4A">
      <w:pPr>
        <w:shd w:val="clear" w:color="auto" w:fill="FFFFFF"/>
        <w:spacing w:line="500" w:lineRule="exact"/>
        <w:ind w:firstLine="480" w:firstLineChars="200"/>
        <w:rPr>
          <w:sz w:val="24"/>
          <w:szCs w:val="24"/>
        </w:rPr>
      </w:pPr>
      <w:r>
        <w:rPr>
          <w:sz w:val="24"/>
          <w:szCs w:val="24"/>
        </w:rPr>
        <w:t>2.2.5两个以上的供应商可以组成一个联合体，以一个供应商的身份共同参加磋商报价。以联合体形式参加磋商报价的，联合体各方均应当具备政府采购法第二十二条第一款规定的条件。</w:t>
      </w:r>
    </w:p>
    <w:p w14:paraId="767349F2">
      <w:pPr>
        <w:shd w:val="clear" w:color="auto" w:fill="FFFFFF"/>
        <w:spacing w:line="360" w:lineRule="auto"/>
        <w:ind w:firstLine="480" w:firstLineChars="200"/>
        <w:rPr>
          <w:sz w:val="24"/>
          <w:szCs w:val="24"/>
        </w:rPr>
      </w:pPr>
      <w:r>
        <w:rPr>
          <w:sz w:val="24"/>
          <w:szCs w:val="24"/>
        </w:rPr>
        <w:t>联合体各方之间应当签订共同磋商报价协议，明确约定联合体各方承担的工作、合同份额和相应的责任，并将共同磋商报价协议附在响应文件中一并提交。</w:t>
      </w:r>
    </w:p>
    <w:p w14:paraId="466A742C">
      <w:pPr>
        <w:shd w:val="clear" w:color="auto" w:fill="FFFFFF"/>
        <w:spacing w:line="500" w:lineRule="exact"/>
        <w:ind w:firstLine="480" w:firstLineChars="200"/>
        <w:rPr>
          <w:sz w:val="24"/>
          <w:szCs w:val="24"/>
        </w:rPr>
      </w:pPr>
      <w:r>
        <w:rPr>
          <w:sz w:val="24"/>
          <w:szCs w:val="24"/>
        </w:rPr>
        <w:t>联合体中有同类资质的供应商按照联合体分工承担相同工作的，按照资质等级较低的供应商确定资质等级。</w:t>
      </w:r>
    </w:p>
    <w:p w14:paraId="3FE79EA6">
      <w:pPr>
        <w:shd w:val="clear" w:color="auto" w:fill="FFFFFF"/>
        <w:spacing w:line="360" w:lineRule="auto"/>
        <w:ind w:firstLine="480" w:firstLineChars="200"/>
        <w:rPr>
          <w:sz w:val="24"/>
          <w:szCs w:val="24"/>
        </w:rPr>
      </w:pPr>
      <w:r>
        <w:rPr>
          <w:sz w:val="24"/>
          <w:szCs w:val="24"/>
        </w:rPr>
        <w:t>以联合体形式参加磋商报价的，联合体各方不得再单独参加或者与其他供应商另外组成联合体参加同一合同项下的磋商报价，否则，其相关磋商报价均为无效。</w:t>
      </w:r>
    </w:p>
    <w:p w14:paraId="6F9F965E">
      <w:pPr>
        <w:shd w:val="clear" w:color="auto" w:fill="FFFFFF"/>
        <w:spacing w:line="500" w:lineRule="exact"/>
        <w:ind w:firstLine="480" w:firstLineChars="200"/>
        <w:rPr>
          <w:sz w:val="24"/>
          <w:szCs w:val="24"/>
        </w:rPr>
      </w:pPr>
      <w:r>
        <w:rPr>
          <w:sz w:val="24"/>
          <w:szCs w:val="24"/>
        </w:rPr>
        <w:t>2.2.6响应人不得直接或间接地与采购单位（包括</w:t>
      </w:r>
      <w:r>
        <w:rPr>
          <w:sz w:val="24"/>
        </w:rPr>
        <w:t>东方（西安）国际招标有限公司</w:t>
      </w:r>
      <w:r>
        <w:rPr>
          <w:sz w:val="24"/>
          <w:szCs w:val="24"/>
        </w:rPr>
        <w:t>、采购人及用户）有任何关联，亦不得是招标采购单位的附属机构。如果响应人在磋商报价中隐瞒了上述关系，则该磋商报价无效。</w:t>
      </w:r>
    </w:p>
    <w:p w14:paraId="1C75B2F8">
      <w:pPr>
        <w:shd w:val="clear" w:color="auto" w:fill="FFFFFF"/>
        <w:spacing w:line="360" w:lineRule="auto"/>
        <w:ind w:firstLine="480" w:firstLineChars="200"/>
        <w:rPr>
          <w:sz w:val="24"/>
          <w:szCs w:val="24"/>
        </w:rPr>
      </w:pPr>
      <w:r>
        <w:rPr>
          <w:sz w:val="24"/>
          <w:szCs w:val="24"/>
        </w:rPr>
        <w:t>2.2.7供应商必须在</w:t>
      </w:r>
      <w:r>
        <w:rPr>
          <w:sz w:val="24"/>
        </w:rPr>
        <w:t>东方（西安）国际招标有限公司</w:t>
      </w:r>
      <w:r>
        <w:rPr>
          <w:sz w:val="24"/>
          <w:szCs w:val="24"/>
        </w:rPr>
        <w:t>购买磋商文件，方可参加磋商。磋商文件售后不退。</w:t>
      </w:r>
    </w:p>
    <w:p w14:paraId="229DC5F2">
      <w:pPr>
        <w:shd w:val="clear" w:color="auto" w:fill="FFFFFF"/>
        <w:spacing w:line="360" w:lineRule="auto"/>
        <w:ind w:firstLine="480" w:firstLineChars="200"/>
        <w:rPr>
          <w:sz w:val="24"/>
          <w:szCs w:val="24"/>
        </w:rPr>
      </w:pPr>
      <w:r>
        <w:rPr>
          <w:sz w:val="24"/>
          <w:szCs w:val="24"/>
        </w:rPr>
        <w:t>2.2.8磋商费用自理。不论磋商的结果如何，供应商均应自行承担所有与参加磋商有关的费用。</w:t>
      </w:r>
    </w:p>
    <w:p w14:paraId="5D05C084">
      <w:pPr>
        <w:shd w:val="clear" w:color="auto" w:fill="FFFFFF"/>
        <w:spacing w:line="500" w:lineRule="exact"/>
        <w:rPr>
          <w:b/>
          <w:sz w:val="24"/>
          <w:szCs w:val="24"/>
        </w:rPr>
      </w:pPr>
      <w:r>
        <w:rPr>
          <w:b/>
          <w:sz w:val="24"/>
          <w:szCs w:val="24"/>
        </w:rPr>
        <w:t>3. 供应商信用记录查询及使用</w:t>
      </w:r>
    </w:p>
    <w:p w14:paraId="516BAFA8">
      <w:pPr>
        <w:shd w:val="clear" w:color="auto" w:fill="FFFFFF"/>
        <w:spacing w:line="500" w:lineRule="exact"/>
        <w:ind w:firstLine="480" w:firstLineChars="200"/>
        <w:rPr>
          <w:sz w:val="24"/>
          <w:szCs w:val="24"/>
        </w:rPr>
      </w:pPr>
      <w:r>
        <w:rPr>
          <w:kern w:val="0"/>
          <w:sz w:val="24"/>
          <w:szCs w:val="24"/>
        </w:rPr>
        <w:t>“信用中国”网站（www.creditchina.gov.cn）和“中国政府采购网”（ccgp.gov.cn）为</w:t>
      </w:r>
      <w:r>
        <w:rPr>
          <w:sz w:val="24"/>
          <w:szCs w:val="24"/>
        </w:rPr>
        <w:t>供应商</w:t>
      </w:r>
      <w:r>
        <w:rPr>
          <w:kern w:val="0"/>
          <w:sz w:val="24"/>
          <w:szCs w:val="24"/>
        </w:rPr>
        <w:t>信用信息查询渠道，如果</w:t>
      </w:r>
      <w:r>
        <w:rPr>
          <w:sz w:val="24"/>
          <w:szCs w:val="24"/>
        </w:rPr>
        <w:t>供应商</w:t>
      </w:r>
      <w:r>
        <w:rPr>
          <w:kern w:val="0"/>
          <w:sz w:val="24"/>
          <w:szCs w:val="24"/>
        </w:rPr>
        <w:t>被查实在磋商开始前已列入失信被执行人、重大税收违法案件当事人名单、政府采购严重违法失信行为记录名单，其响应为无效。采购代理机构将打印查询记录作为证据留存。</w:t>
      </w:r>
    </w:p>
    <w:p w14:paraId="44429F23">
      <w:pPr>
        <w:shd w:val="clear" w:color="auto" w:fill="FFFFFF"/>
        <w:spacing w:line="360" w:lineRule="auto"/>
        <w:rPr>
          <w:b/>
          <w:sz w:val="24"/>
          <w:szCs w:val="24"/>
        </w:rPr>
      </w:pPr>
      <w:r>
        <w:rPr>
          <w:b/>
          <w:sz w:val="24"/>
          <w:szCs w:val="24"/>
        </w:rPr>
        <w:t>4.磋商响应文件内容的真实性</w:t>
      </w:r>
    </w:p>
    <w:p w14:paraId="1BE36CE1">
      <w:pPr>
        <w:shd w:val="clear" w:color="auto" w:fill="FFFFFF"/>
        <w:spacing w:line="360" w:lineRule="auto"/>
        <w:ind w:firstLine="480" w:firstLineChars="200"/>
        <w:rPr>
          <w:sz w:val="24"/>
          <w:szCs w:val="24"/>
        </w:rPr>
      </w:pPr>
      <w:r>
        <w:rPr>
          <w:sz w:val="24"/>
          <w:szCs w:val="24"/>
        </w:rPr>
        <w:t>4.1供应商应保证其磋商响应文件中所提供的所有有关磋商的资料、信息是真实的，并且来源于合法的渠道。因磋商响应文件中所提供的有关磋商和报价的资料、信息不真实，或者其来源不合法而导致的所有法律责任，由供应商自行承担。</w:t>
      </w:r>
    </w:p>
    <w:p w14:paraId="550CE196">
      <w:pPr>
        <w:shd w:val="clear" w:color="auto" w:fill="FFFFFF"/>
        <w:spacing w:line="500" w:lineRule="exact"/>
        <w:ind w:firstLine="480" w:firstLineChars="200"/>
        <w:rPr>
          <w:b/>
          <w:sz w:val="24"/>
          <w:szCs w:val="24"/>
        </w:rPr>
      </w:pPr>
      <w:r>
        <w:rPr>
          <w:sz w:val="24"/>
          <w:szCs w:val="24"/>
        </w:rPr>
        <w:t>4.2</w:t>
      </w:r>
      <w:bookmarkStart w:id="0" w:name="_Toc144974507"/>
      <w:bookmarkStart w:id="1" w:name="_Toc247527563"/>
      <w:bookmarkStart w:id="2" w:name="_Toc152045539"/>
      <w:bookmarkStart w:id="3" w:name="_Toc247513962"/>
      <w:bookmarkStart w:id="4" w:name="_Toc300834959"/>
      <w:bookmarkStart w:id="5" w:name="_Toc152042315"/>
      <w:r>
        <w:rPr>
          <w:sz w:val="24"/>
          <w:szCs w:val="24"/>
        </w:rPr>
        <w:t>踏勘现场</w:t>
      </w:r>
      <w:bookmarkEnd w:id="0"/>
      <w:bookmarkEnd w:id="1"/>
      <w:bookmarkEnd w:id="2"/>
      <w:bookmarkEnd w:id="3"/>
      <w:bookmarkEnd w:id="4"/>
      <w:bookmarkEnd w:id="5"/>
    </w:p>
    <w:p w14:paraId="1702C6E4">
      <w:pPr>
        <w:shd w:val="clear" w:color="auto" w:fill="FFFFFF"/>
        <w:spacing w:line="360" w:lineRule="auto"/>
        <w:ind w:firstLine="480" w:firstLineChars="200"/>
        <w:rPr>
          <w:sz w:val="24"/>
          <w:szCs w:val="24"/>
        </w:rPr>
      </w:pPr>
      <w:r>
        <w:rPr>
          <w:sz w:val="24"/>
          <w:szCs w:val="24"/>
        </w:rPr>
        <w:t>4.2.1 供应商须知前附表规定组织踏勘现场的，采购人按供应商须知前附表规定的时间、地点组织供应商踏勘项目现场。供应商须知前附表规定不组织踏勘现场的，</w:t>
      </w:r>
      <w:r>
        <w:rPr>
          <w:sz w:val="24"/>
        </w:rPr>
        <w:t>各潜在供应商可自行踏勘现场。</w:t>
      </w:r>
    </w:p>
    <w:p w14:paraId="32A4BF96">
      <w:pPr>
        <w:shd w:val="clear" w:color="auto" w:fill="FFFFFF"/>
        <w:spacing w:line="360" w:lineRule="auto"/>
        <w:ind w:firstLine="480" w:firstLineChars="200"/>
        <w:rPr>
          <w:sz w:val="24"/>
          <w:szCs w:val="24"/>
        </w:rPr>
      </w:pPr>
      <w:r>
        <w:rPr>
          <w:sz w:val="24"/>
          <w:szCs w:val="24"/>
        </w:rPr>
        <w:t>4.2.2 供应商踏勘现场发生的费用自理。</w:t>
      </w:r>
    </w:p>
    <w:p w14:paraId="491A4A13">
      <w:pPr>
        <w:shd w:val="clear" w:color="auto" w:fill="FFFFFF"/>
        <w:spacing w:line="360" w:lineRule="auto"/>
        <w:ind w:firstLine="480" w:firstLineChars="200"/>
        <w:rPr>
          <w:sz w:val="24"/>
          <w:szCs w:val="24"/>
        </w:rPr>
      </w:pPr>
      <w:r>
        <w:rPr>
          <w:sz w:val="24"/>
          <w:szCs w:val="24"/>
        </w:rPr>
        <w:t>4.2.3 除采购人的原因外，供应商自行负责在踏勘现场中所发生的人员伤亡和财产损失。</w:t>
      </w:r>
    </w:p>
    <w:p w14:paraId="7FDE4A38">
      <w:pPr>
        <w:shd w:val="clear" w:color="auto" w:fill="FFFFFF"/>
        <w:spacing w:line="360" w:lineRule="auto"/>
        <w:ind w:firstLine="480" w:firstLineChars="200"/>
        <w:rPr>
          <w:sz w:val="24"/>
          <w:szCs w:val="24"/>
        </w:rPr>
      </w:pPr>
      <w:r>
        <w:rPr>
          <w:sz w:val="24"/>
          <w:szCs w:val="24"/>
        </w:rPr>
        <w:t>4.2.4 采购人在踏勘现场中介绍的工程场地和相关的周边环境情况，供供应商在编制磋商响应文件时参考，采购人不对供应商据此作出的判断和决策负责。</w:t>
      </w:r>
    </w:p>
    <w:p w14:paraId="462E8101">
      <w:pPr>
        <w:shd w:val="clear" w:color="auto" w:fill="FFFFFF"/>
        <w:spacing w:line="360" w:lineRule="auto"/>
        <w:rPr>
          <w:b/>
          <w:sz w:val="24"/>
          <w:szCs w:val="24"/>
        </w:rPr>
      </w:pPr>
      <w:r>
        <w:rPr>
          <w:b/>
          <w:sz w:val="24"/>
          <w:szCs w:val="24"/>
        </w:rPr>
        <w:t>5.磋商过程的监督和管理</w:t>
      </w:r>
    </w:p>
    <w:p w14:paraId="2B9FC486">
      <w:pPr>
        <w:shd w:val="clear" w:color="auto" w:fill="FFFFFF"/>
        <w:spacing w:line="360" w:lineRule="auto"/>
        <w:ind w:firstLine="480" w:firstLineChars="200"/>
        <w:rPr>
          <w:sz w:val="24"/>
          <w:szCs w:val="24"/>
        </w:rPr>
      </w:pPr>
      <w:r>
        <w:rPr>
          <w:sz w:val="24"/>
          <w:szCs w:val="24"/>
        </w:rPr>
        <w:t xml:space="preserve">5.1同级人民政府财政部门及有关部门依法履行对磋商过程的监督管理职责。   </w:t>
      </w:r>
    </w:p>
    <w:p w14:paraId="73FBC0BA">
      <w:pPr>
        <w:shd w:val="clear" w:color="auto" w:fill="FFFFFF"/>
        <w:spacing w:line="360" w:lineRule="auto"/>
        <w:ind w:firstLine="480" w:firstLineChars="200"/>
        <w:rPr>
          <w:sz w:val="24"/>
          <w:szCs w:val="24"/>
        </w:rPr>
      </w:pPr>
    </w:p>
    <w:p w14:paraId="2CC6F968">
      <w:pPr>
        <w:shd w:val="clear" w:color="auto" w:fill="FFFFFF"/>
        <w:spacing w:line="360" w:lineRule="auto"/>
        <w:ind w:firstLine="643" w:firstLineChars="200"/>
        <w:jc w:val="center"/>
        <w:rPr>
          <w:b/>
          <w:sz w:val="32"/>
          <w:szCs w:val="32"/>
        </w:rPr>
      </w:pPr>
      <w:r>
        <w:rPr>
          <w:b/>
          <w:sz w:val="32"/>
          <w:szCs w:val="32"/>
        </w:rPr>
        <w:t>二.磋商文件</w:t>
      </w:r>
    </w:p>
    <w:p w14:paraId="2A6738B1">
      <w:pPr>
        <w:shd w:val="clear" w:color="auto" w:fill="FFFFFF"/>
        <w:spacing w:line="360" w:lineRule="auto"/>
        <w:rPr>
          <w:b/>
          <w:sz w:val="24"/>
          <w:szCs w:val="24"/>
        </w:rPr>
      </w:pPr>
      <w:r>
        <w:rPr>
          <w:b/>
          <w:sz w:val="24"/>
          <w:szCs w:val="24"/>
        </w:rPr>
        <w:t>6.磋商文件构成　　</w:t>
      </w:r>
    </w:p>
    <w:p w14:paraId="0D15BFA6">
      <w:pPr>
        <w:shd w:val="clear" w:color="auto" w:fill="FFFFFF"/>
        <w:spacing w:line="360" w:lineRule="auto"/>
        <w:ind w:firstLine="480" w:firstLineChars="200"/>
        <w:rPr>
          <w:sz w:val="24"/>
          <w:szCs w:val="24"/>
        </w:rPr>
      </w:pPr>
      <w:r>
        <w:rPr>
          <w:sz w:val="24"/>
          <w:szCs w:val="24"/>
        </w:rPr>
        <w:t>6.1 磋商文件规定了要求提供的</w:t>
      </w:r>
      <w:r>
        <w:rPr>
          <w:rFonts w:hint="eastAsia"/>
          <w:sz w:val="24"/>
          <w:szCs w:val="24"/>
        </w:rPr>
        <w:t>工程、货物和/或服务</w:t>
      </w:r>
      <w:r>
        <w:rPr>
          <w:sz w:val="24"/>
          <w:szCs w:val="24"/>
        </w:rPr>
        <w:t>。磋商程序和合同条件在磋商文件中均有说明。磋商文件共八章，内容如下：</w:t>
      </w:r>
    </w:p>
    <w:p w14:paraId="6564AADA">
      <w:pPr>
        <w:shd w:val="clear" w:color="auto" w:fill="FFFFFF"/>
        <w:spacing w:line="360" w:lineRule="auto"/>
        <w:ind w:firstLine="480" w:firstLineChars="200"/>
        <w:rPr>
          <w:sz w:val="24"/>
          <w:szCs w:val="24"/>
        </w:rPr>
      </w:pPr>
      <w:r>
        <w:rPr>
          <w:sz w:val="24"/>
          <w:szCs w:val="24"/>
        </w:rPr>
        <w:t>第一章 磋商邀请书</w:t>
      </w:r>
    </w:p>
    <w:p w14:paraId="2755D5EF">
      <w:pPr>
        <w:shd w:val="clear" w:color="auto" w:fill="FFFFFF"/>
        <w:spacing w:line="360" w:lineRule="auto"/>
        <w:ind w:firstLine="480" w:firstLineChars="200"/>
        <w:rPr>
          <w:sz w:val="24"/>
          <w:szCs w:val="24"/>
        </w:rPr>
      </w:pPr>
      <w:r>
        <w:rPr>
          <w:sz w:val="24"/>
          <w:szCs w:val="24"/>
        </w:rPr>
        <w:t>第二章 磋商须知及前附表</w:t>
      </w:r>
    </w:p>
    <w:p w14:paraId="4D061CB2">
      <w:pPr>
        <w:shd w:val="clear" w:color="auto" w:fill="FFFFFF"/>
        <w:spacing w:line="360" w:lineRule="auto"/>
        <w:ind w:firstLine="480" w:firstLineChars="200"/>
        <w:rPr>
          <w:sz w:val="24"/>
          <w:szCs w:val="24"/>
        </w:rPr>
      </w:pPr>
      <w:r>
        <w:rPr>
          <w:sz w:val="24"/>
          <w:szCs w:val="24"/>
        </w:rPr>
        <w:t>第三章 合同通用条款</w:t>
      </w:r>
    </w:p>
    <w:p w14:paraId="43316506">
      <w:pPr>
        <w:shd w:val="clear" w:color="auto" w:fill="FFFFFF"/>
        <w:spacing w:line="360" w:lineRule="auto"/>
        <w:ind w:firstLine="480" w:firstLineChars="200"/>
        <w:rPr>
          <w:sz w:val="24"/>
          <w:szCs w:val="24"/>
        </w:rPr>
      </w:pPr>
      <w:r>
        <w:rPr>
          <w:sz w:val="24"/>
          <w:szCs w:val="24"/>
        </w:rPr>
        <w:t xml:space="preserve">第四章 合同专用条款       </w:t>
      </w:r>
    </w:p>
    <w:p w14:paraId="72CD138B">
      <w:pPr>
        <w:shd w:val="clear" w:color="auto" w:fill="FFFFFF"/>
        <w:spacing w:line="360" w:lineRule="auto"/>
        <w:ind w:firstLine="480" w:firstLineChars="200"/>
        <w:rPr>
          <w:sz w:val="24"/>
          <w:szCs w:val="24"/>
        </w:rPr>
      </w:pPr>
      <w:r>
        <w:rPr>
          <w:sz w:val="24"/>
          <w:szCs w:val="24"/>
        </w:rPr>
        <w:t>第五章 合同格式</w:t>
      </w:r>
    </w:p>
    <w:p w14:paraId="0AF56514">
      <w:pPr>
        <w:shd w:val="clear" w:color="auto" w:fill="FFFFFF"/>
        <w:spacing w:line="360" w:lineRule="auto"/>
        <w:ind w:firstLine="480" w:firstLineChars="200"/>
        <w:rPr>
          <w:sz w:val="24"/>
          <w:szCs w:val="24"/>
        </w:rPr>
      </w:pPr>
      <w:r>
        <w:rPr>
          <w:sz w:val="24"/>
          <w:szCs w:val="24"/>
        </w:rPr>
        <w:t>第六章 磋商响应文件格式</w:t>
      </w:r>
    </w:p>
    <w:p w14:paraId="20890E5B">
      <w:pPr>
        <w:shd w:val="clear" w:color="auto" w:fill="FFFFFF"/>
        <w:spacing w:line="360" w:lineRule="auto"/>
        <w:ind w:firstLine="480" w:firstLineChars="200"/>
        <w:rPr>
          <w:sz w:val="24"/>
          <w:szCs w:val="24"/>
        </w:rPr>
      </w:pPr>
      <w:r>
        <w:rPr>
          <w:sz w:val="24"/>
          <w:szCs w:val="24"/>
        </w:rPr>
        <w:t>第七章 磋商内容及技术规范</w:t>
      </w:r>
    </w:p>
    <w:p w14:paraId="37B0C01D">
      <w:pPr>
        <w:shd w:val="clear" w:color="auto" w:fill="FFFFFF"/>
        <w:spacing w:line="360" w:lineRule="auto"/>
        <w:ind w:firstLine="480" w:firstLineChars="200"/>
        <w:rPr>
          <w:sz w:val="24"/>
          <w:szCs w:val="24"/>
        </w:rPr>
      </w:pPr>
      <w:r>
        <w:rPr>
          <w:sz w:val="24"/>
          <w:szCs w:val="24"/>
        </w:rPr>
        <w:t>第八章 评审方法</w:t>
      </w:r>
    </w:p>
    <w:p w14:paraId="068BEC05">
      <w:pPr>
        <w:shd w:val="clear" w:color="auto" w:fill="FFFFFF"/>
        <w:spacing w:line="360" w:lineRule="auto"/>
        <w:ind w:firstLine="480" w:firstLineChars="200"/>
        <w:rPr>
          <w:sz w:val="24"/>
          <w:szCs w:val="24"/>
        </w:rPr>
      </w:pPr>
      <w:r>
        <w:rPr>
          <w:sz w:val="24"/>
          <w:szCs w:val="24"/>
        </w:rPr>
        <w:t>6.2供应商应认真阅读磋商文件中所有的事项、格式、条款和规范等要求。如果供应商没有按照磋商文件要求提交全部资料，或者磋商响应文件没有对磋商文件在各方面都做出实质性响应，由此带来的不利于供应商的评审结果，其风险由供应商承担。</w:t>
      </w:r>
    </w:p>
    <w:p w14:paraId="6A4E4674">
      <w:pPr>
        <w:shd w:val="clear" w:color="auto" w:fill="FFFFFF"/>
        <w:spacing w:line="360" w:lineRule="auto"/>
        <w:ind w:firstLine="480" w:firstLineChars="200"/>
        <w:rPr>
          <w:sz w:val="24"/>
          <w:szCs w:val="24"/>
        </w:rPr>
      </w:pPr>
      <w:r>
        <w:rPr>
          <w:sz w:val="24"/>
          <w:szCs w:val="24"/>
        </w:rPr>
        <w:t>6.3本磋商文件的解释权归东方（西安）国际招标有限公司。</w:t>
      </w:r>
    </w:p>
    <w:p w14:paraId="48BB7FE5">
      <w:pPr>
        <w:shd w:val="clear" w:color="auto" w:fill="FFFFFF"/>
        <w:spacing w:line="360" w:lineRule="auto"/>
        <w:rPr>
          <w:b/>
          <w:sz w:val="24"/>
          <w:szCs w:val="24"/>
        </w:rPr>
      </w:pPr>
      <w:r>
        <w:rPr>
          <w:b/>
          <w:sz w:val="24"/>
          <w:szCs w:val="24"/>
        </w:rPr>
        <w:t>7.磋商文件的澄清修改和质疑答复。</w:t>
      </w:r>
    </w:p>
    <w:p w14:paraId="634DC8AB">
      <w:pPr>
        <w:shd w:val="clear" w:color="auto" w:fill="FFFFFF"/>
        <w:spacing w:line="360" w:lineRule="auto"/>
        <w:ind w:firstLine="480" w:firstLineChars="200"/>
        <w:rPr>
          <w:sz w:val="24"/>
          <w:szCs w:val="24"/>
        </w:rPr>
      </w:pPr>
      <w:r>
        <w:rPr>
          <w:sz w:val="24"/>
          <w:szCs w:val="24"/>
        </w:rPr>
        <w:t>7.1磋商采购单位如果对已发出的磋商文件进行必要的澄清或者修改，将在磋商文件要求提交首次磋商响应文件截止时间5日前，以书面形式通知所有购买磋商文件的供应商，不足5日的，将顺延提交首次磋商响应文件截止时间。该澄清或者修改的内容作为磋商文件的组成部分。</w:t>
      </w:r>
    </w:p>
    <w:p w14:paraId="7AD41A7C">
      <w:pPr>
        <w:shd w:val="clear" w:color="auto" w:fill="FFFFFF"/>
        <w:spacing w:line="360" w:lineRule="auto"/>
        <w:ind w:firstLine="480" w:firstLineChars="200"/>
        <w:rPr>
          <w:sz w:val="24"/>
          <w:szCs w:val="24"/>
        </w:rPr>
      </w:pPr>
      <w:r>
        <w:rPr>
          <w:sz w:val="24"/>
          <w:szCs w:val="24"/>
        </w:rPr>
        <w:t>7.2 已经购买磋商文件的供应商对磋商文件有询问或者质疑的，应当在“磋商须知前附表”规定的时间内以书面形式向采购代理机构提出，在此之后提出的询问和质疑为无效询问和质疑，采购代理机构不予受理。</w:t>
      </w:r>
    </w:p>
    <w:p w14:paraId="5FC59B1F">
      <w:pPr>
        <w:shd w:val="clear" w:color="auto" w:fill="FFFFFF"/>
        <w:spacing w:line="360" w:lineRule="auto"/>
        <w:ind w:firstLine="480" w:firstLineChars="200"/>
        <w:rPr>
          <w:sz w:val="24"/>
          <w:szCs w:val="24"/>
        </w:rPr>
      </w:pPr>
      <w:r>
        <w:rPr>
          <w:sz w:val="24"/>
          <w:szCs w:val="24"/>
        </w:rPr>
        <w:t>7.3对于在规定时间内收到的供应商依法提出的询问或者质疑，采购代理机构将按程序及时作出答复，若对磋商文件做出实质性变动，则按照相关规定延长磋商响应截止时间。</w:t>
      </w:r>
    </w:p>
    <w:p w14:paraId="71B5C519">
      <w:pPr>
        <w:shd w:val="clear" w:color="auto" w:fill="FFFFFF"/>
        <w:spacing w:line="360" w:lineRule="auto"/>
        <w:ind w:firstLine="480" w:firstLineChars="200"/>
        <w:rPr>
          <w:sz w:val="24"/>
          <w:szCs w:val="24"/>
        </w:rPr>
      </w:pPr>
      <w:r>
        <w:rPr>
          <w:sz w:val="24"/>
          <w:szCs w:val="24"/>
        </w:rPr>
        <w:t>7.4供应商提出质疑应当有明确的请求和必要的证明材料。</w:t>
      </w:r>
    </w:p>
    <w:p w14:paraId="2C5B78FD">
      <w:pPr>
        <w:shd w:val="clear" w:color="auto" w:fill="FFFFFF"/>
        <w:spacing w:line="360" w:lineRule="auto"/>
        <w:rPr>
          <w:b/>
          <w:sz w:val="24"/>
          <w:szCs w:val="24"/>
        </w:rPr>
      </w:pPr>
      <w:r>
        <w:rPr>
          <w:b/>
          <w:sz w:val="24"/>
          <w:szCs w:val="24"/>
        </w:rPr>
        <w:t>8.磋商响应截止时间和磋商时间的延长</w:t>
      </w:r>
    </w:p>
    <w:p w14:paraId="6A62F46F">
      <w:pPr>
        <w:shd w:val="clear" w:color="auto" w:fill="FFFFFF"/>
        <w:spacing w:line="360" w:lineRule="auto"/>
        <w:ind w:firstLine="480" w:firstLineChars="200"/>
        <w:rPr>
          <w:sz w:val="24"/>
          <w:szCs w:val="24"/>
        </w:rPr>
      </w:pPr>
      <w:r>
        <w:rPr>
          <w:sz w:val="24"/>
          <w:szCs w:val="24"/>
        </w:rPr>
        <w:t>8.1在磋商响应截止时间2日前，采购代理机构可以视采购具体情况延长磋商截止时间和磋商时间，并以书面形式通知所有购买磋商文件的供应商。</w:t>
      </w:r>
    </w:p>
    <w:p w14:paraId="4131F7D9">
      <w:pPr>
        <w:shd w:val="clear" w:color="auto" w:fill="FFFFFF"/>
        <w:spacing w:line="360" w:lineRule="auto"/>
        <w:ind w:firstLine="480" w:firstLineChars="200"/>
        <w:rPr>
          <w:sz w:val="24"/>
          <w:szCs w:val="24"/>
        </w:rPr>
      </w:pPr>
    </w:p>
    <w:p w14:paraId="7E9532BF">
      <w:pPr>
        <w:shd w:val="clear" w:color="auto" w:fill="FFFFFF"/>
        <w:spacing w:line="360" w:lineRule="auto"/>
        <w:jc w:val="center"/>
        <w:rPr>
          <w:b/>
          <w:sz w:val="32"/>
          <w:szCs w:val="32"/>
        </w:rPr>
      </w:pPr>
      <w:r>
        <w:rPr>
          <w:b/>
          <w:sz w:val="32"/>
          <w:szCs w:val="32"/>
        </w:rPr>
        <w:t>三.磋商响应文件的编制</w:t>
      </w:r>
    </w:p>
    <w:p w14:paraId="35E45C0D">
      <w:pPr>
        <w:shd w:val="clear" w:color="auto" w:fill="FFFFFF"/>
        <w:spacing w:line="360" w:lineRule="auto"/>
        <w:rPr>
          <w:b/>
          <w:sz w:val="24"/>
          <w:szCs w:val="24"/>
        </w:rPr>
      </w:pPr>
      <w:r>
        <w:rPr>
          <w:b/>
          <w:sz w:val="24"/>
          <w:szCs w:val="24"/>
        </w:rPr>
        <w:t>9.磋商报价语言和磋商报价货币</w:t>
      </w:r>
    </w:p>
    <w:p w14:paraId="5A6041A1">
      <w:pPr>
        <w:shd w:val="clear" w:color="auto" w:fill="FFFFFF"/>
        <w:spacing w:line="360" w:lineRule="auto"/>
        <w:ind w:firstLine="480" w:firstLineChars="200"/>
        <w:rPr>
          <w:b/>
          <w:sz w:val="24"/>
          <w:szCs w:val="24"/>
        </w:rPr>
      </w:pPr>
      <w:r>
        <w:rPr>
          <w:sz w:val="24"/>
          <w:szCs w:val="24"/>
        </w:rPr>
        <w:t>9.1供应商提交的磋商响应文件以及供应商与采购代理机构就有关磋商报价的所有来往函电均应使用中文。对不同文字文本磋商响应文件的解释发生异议的，以中文文本为准。</w:t>
      </w:r>
    </w:p>
    <w:p w14:paraId="33E2FDA2">
      <w:pPr>
        <w:shd w:val="clear" w:color="auto" w:fill="FFFFFF"/>
        <w:spacing w:line="360" w:lineRule="auto"/>
        <w:ind w:firstLine="480" w:firstLineChars="200"/>
        <w:rPr>
          <w:sz w:val="24"/>
          <w:szCs w:val="24"/>
        </w:rPr>
      </w:pPr>
      <w:r>
        <w:rPr>
          <w:sz w:val="24"/>
          <w:szCs w:val="24"/>
        </w:rPr>
        <w:t>9.2磋商报价应以人民币报价。任何包含非人民币报价的磋商响应文件均按无效处理。</w:t>
      </w:r>
    </w:p>
    <w:p w14:paraId="6CA3154E">
      <w:pPr>
        <w:shd w:val="clear" w:color="auto" w:fill="FFFFFF"/>
        <w:spacing w:line="360" w:lineRule="auto"/>
        <w:rPr>
          <w:b/>
          <w:sz w:val="24"/>
          <w:szCs w:val="24"/>
        </w:rPr>
      </w:pPr>
      <w:r>
        <w:rPr>
          <w:b/>
          <w:sz w:val="24"/>
          <w:szCs w:val="24"/>
        </w:rPr>
        <w:t>10.磋商响应文件的构成</w:t>
      </w:r>
    </w:p>
    <w:p w14:paraId="00CB47C3">
      <w:pPr>
        <w:shd w:val="clear" w:color="auto" w:fill="FFFFFF"/>
        <w:spacing w:line="360" w:lineRule="auto"/>
        <w:ind w:firstLine="480" w:firstLineChars="200"/>
        <w:rPr>
          <w:sz w:val="24"/>
          <w:szCs w:val="24"/>
        </w:rPr>
      </w:pPr>
      <w:r>
        <w:rPr>
          <w:sz w:val="24"/>
          <w:szCs w:val="24"/>
        </w:rPr>
        <w:t>10.1 供应商提交的磋商响应文件应包括下列部分的内容：</w:t>
      </w:r>
    </w:p>
    <w:p w14:paraId="51EBAAF6">
      <w:pPr>
        <w:shd w:val="clear" w:color="auto" w:fill="FFFFFF"/>
        <w:spacing w:line="360" w:lineRule="auto"/>
        <w:ind w:firstLine="480" w:firstLineChars="200"/>
        <w:rPr>
          <w:sz w:val="24"/>
          <w:szCs w:val="24"/>
        </w:rPr>
      </w:pPr>
      <w:r>
        <w:rPr>
          <w:sz w:val="24"/>
          <w:szCs w:val="24"/>
        </w:rPr>
        <w:t>10.1.1按照磋商须知的要求和磋商响应文件规定格式填写的磋商响应书，磋商报价表，按要求格式出具的</w:t>
      </w:r>
      <w:r>
        <w:rPr>
          <w:sz w:val="24"/>
        </w:rPr>
        <w:t>法定代表人（单位负责人）授权书</w:t>
      </w:r>
      <w:r>
        <w:rPr>
          <w:sz w:val="24"/>
          <w:szCs w:val="24"/>
        </w:rPr>
        <w:t>。</w:t>
      </w:r>
    </w:p>
    <w:p w14:paraId="2FECFDAC">
      <w:pPr>
        <w:shd w:val="clear" w:color="auto" w:fill="FFFFFF"/>
        <w:spacing w:line="360" w:lineRule="auto"/>
        <w:ind w:firstLine="480" w:firstLineChars="200"/>
        <w:rPr>
          <w:sz w:val="24"/>
          <w:szCs w:val="24"/>
        </w:rPr>
      </w:pPr>
      <w:r>
        <w:rPr>
          <w:sz w:val="24"/>
          <w:szCs w:val="24"/>
        </w:rPr>
        <w:t>10.1.2按照磋商文件的要求编制的磋商报价方案说明书，内容应包括工程、设备和服务的详细说明、技术规格响应表、设备配置说明、供货一览表、彩色样本、使用说明书，质量保证和售后服务承诺等。</w:t>
      </w:r>
    </w:p>
    <w:p w14:paraId="2B4613AC">
      <w:pPr>
        <w:shd w:val="clear" w:color="auto" w:fill="FFFFFF"/>
        <w:spacing w:line="360" w:lineRule="auto"/>
        <w:ind w:firstLine="480" w:firstLineChars="200"/>
        <w:rPr>
          <w:sz w:val="24"/>
          <w:szCs w:val="24"/>
        </w:rPr>
      </w:pPr>
      <w:r>
        <w:rPr>
          <w:sz w:val="24"/>
          <w:szCs w:val="24"/>
        </w:rPr>
        <w:t>10.1.3按照磋商文件的要求提交的资格证明文件和其他证明文件；</w:t>
      </w:r>
    </w:p>
    <w:p w14:paraId="01865D94">
      <w:pPr>
        <w:shd w:val="clear" w:color="auto" w:fill="FFFFFF"/>
        <w:spacing w:line="360" w:lineRule="auto"/>
        <w:rPr>
          <w:b/>
          <w:sz w:val="24"/>
          <w:szCs w:val="24"/>
        </w:rPr>
      </w:pPr>
      <w:r>
        <w:rPr>
          <w:b/>
          <w:sz w:val="24"/>
          <w:szCs w:val="24"/>
        </w:rPr>
        <w:t>11.磋商响应文件格式</w:t>
      </w:r>
    </w:p>
    <w:p w14:paraId="6A3A87C9">
      <w:pPr>
        <w:shd w:val="clear" w:color="auto" w:fill="FFFFFF"/>
        <w:spacing w:line="360" w:lineRule="auto"/>
        <w:ind w:firstLine="480" w:firstLineChars="200"/>
        <w:rPr>
          <w:sz w:val="24"/>
          <w:szCs w:val="24"/>
        </w:rPr>
      </w:pPr>
      <w:r>
        <w:rPr>
          <w:sz w:val="24"/>
          <w:szCs w:val="24"/>
        </w:rPr>
        <w:t>11.1 供应商应按照磋商文件中“磋商响应文件格式”所提供的格式和要求制作磋商响应文件，明确表达磋商响应意愿，详细说明磋商响应方案和报价。</w:t>
      </w:r>
    </w:p>
    <w:p w14:paraId="41BB6311">
      <w:pPr>
        <w:shd w:val="clear" w:color="auto" w:fill="FFFFFF"/>
        <w:spacing w:line="360" w:lineRule="auto"/>
        <w:ind w:firstLine="480" w:firstLineChars="200"/>
        <w:rPr>
          <w:sz w:val="24"/>
          <w:szCs w:val="24"/>
        </w:rPr>
      </w:pPr>
      <w:r>
        <w:rPr>
          <w:sz w:val="24"/>
          <w:szCs w:val="24"/>
        </w:rPr>
        <w:t>11.2 供应商应完整地提供磋商文件要求的所有数据和资料。</w:t>
      </w:r>
    </w:p>
    <w:p w14:paraId="14597775">
      <w:pPr>
        <w:shd w:val="clear" w:color="auto" w:fill="FFFFFF"/>
        <w:spacing w:line="360" w:lineRule="auto"/>
        <w:rPr>
          <w:b/>
          <w:sz w:val="24"/>
          <w:szCs w:val="24"/>
        </w:rPr>
      </w:pPr>
      <w:r>
        <w:rPr>
          <w:b/>
          <w:sz w:val="24"/>
          <w:szCs w:val="24"/>
        </w:rPr>
        <w:t>12.磋商报价</w:t>
      </w:r>
    </w:p>
    <w:p w14:paraId="5764B0A6">
      <w:pPr>
        <w:shd w:val="clear" w:color="auto" w:fill="FFFFFF"/>
        <w:spacing w:line="360" w:lineRule="auto"/>
        <w:ind w:firstLine="480" w:firstLineChars="200"/>
        <w:rPr>
          <w:sz w:val="24"/>
          <w:szCs w:val="24"/>
        </w:rPr>
      </w:pPr>
      <w:r>
        <w:rPr>
          <w:sz w:val="24"/>
          <w:szCs w:val="24"/>
        </w:rPr>
        <w:t>12.1供应商应按照“磋商须知前附表”中规定的要求报价，按照磋商报价表的内容标明磋商报价的所有单项价格和总价。</w:t>
      </w:r>
    </w:p>
    <w:p w14:paraId="38FC885B">
      <w:pPr>
        <w:shd w:val="clear" w:color="auto" w:fill="FFFFFF"/>
        <w:spacing w:line="360" w:lineRule="auto"/>
        <w:ind w:firstLine="480" w:firstLineChars="200"/>
        <w:rPr>
          <w:sz w:val="24"/>
          <w:szCs w:val="24"/>
        </w:rPr>
      </w:pPr>
      <w:r>
        <w:rPr>
          <w:sz w:val="24"/>
          <w:szCs w:val="24"/>
        </w:rPr>
        <w:t>12.2最后磋商报价是供应商响应文件的有效组成部分。</w:t>
      </w:r>
    </w:p>
    <w:p w14:paraId="777E9A62">
      <w:pPr>
        <w:shd w:val="clear" w:color="auto" w:fill="FFFFFF"/>
        <w:spacing w:line="360" w:lineRule="auto"/>
        <w:rPr>
          <w:b/>
          <w:sz w:val="24"/>
          <w:szCs w:val="24"/>
        </w:rPr>
      </w:pPr>
      <w:r>
        <w:rPr>
          <w:b/>
          <w:sz w:val="24"/>
          <w:szCs w:val="24"/>
        </w:rPr>
        <w:t>13.证明供应商合格和实力的文件</w:t>
      </w:r>
    </w:p>
    <w:p w14:paraId="4A488967">
      <w:pPr>
        <w:shd w:val="clear" w:color="auto" w:fill="FFFFFF"/>
        <w:spacing w:line="360" w:lineRule="auto"/>
        <w:ind w:firstLine="480" w:firstLineChars="200"/>
        <w:rPr>
          <w:sz w:val="24"/>
          <w:szCs w:val="24"/>
        </w:rPr>
      </w:pPr>
      <w:r>
        <w:rPr>
          <w:sz w:val="24"/>
          <w:szCs w:val="24"/>
        </w:rPr>
        <w:t>13.1供应商应按照磋商文件“磋商须知前附表”的要求，在磋商响应文件中提交证明其资格合格的文件。如果资格证明文件不齐全或不合格的，其磋商响应文件按照无效处理。</w:t>
      </w:r>
    </w:p>
    <w:p w14:paraId="393A00F0">
      <w:pPr>
        <w:shd w:val="clear" w:color="auto" w:fill="FFFFFF"/>
        <w:spacing w:line="360" w:lineRule="auto"/>
        <w:ind w:firstLine="480" w:firstLineChars="200"/>
        <w:rPr>
          <w:sz w:val="24"/>
          <w:szCs w:val="24"/>
        </w:rPr>
      </w:pPr>
      <w:r>
        <w:rPr>
          <w:sz w:val="24"/>
          <w:szCs w:val="24"/>
        </w:rPr>
        <w:t>13.2供应商还应按照磋商文件“磋商须知前附表”的要求，提交其他的证明其实力、信誉、业绩等的证明文件。</w:t>
      </w:r>
    </w:p>
    <w:p w14:paraId="48F630DB">
      <w:pPr>
        <w:shd w:val="clear" w:color="auto" w:fill="FFFFFF"/>
        <w:spacing w:line="360" w:lineRule="auto"/>
        <w:ind w:firstLine="480" w:firstLineChars="200"/>
        <w:rPr>
          <w:sz w:val="24"/>
          <w:szCs w:val="24"/>
        </w:rPr>
      </w:pPr>
      <w:r>
        <w:rPr>
          <w:sz w:val="24"/>
          <w:szCs w:val="24"/>
        </w:rPr>
        <w:t>13.3如果“磋商须知前附表”有要求，供应商还应按照要求提交证明文件的原件。如果未能提供原件或者提供原件不全的，其磋商响应文件按照无效处理。</w:t>
      </w:r>
    </w:p>
    <w:p w14:paraId="002E773B">
      <w:pPr>
        <w:shd w:val="clear" w:color="auto" w:fill="FFFFFF"/>
        <w:spacing w:line="360" w:lineRule="auto"/>
        <w:ind w:firstLine="480" w:firstLineChars="200"/>
        <w:rPr>
          <w:sz w:val="24"/>
          <w:szCs w:val="24"/>
        </w:rPr>
      </w:pPr>
      <w:r>
        <w:rPr>
          <w:sz w:val="24"/>
          <w:szCs w:val="24"/>
        </w:rPr>
        <w:t>13.4如果供应商为代理商时，应按照磋商文件“磋商须知前附表”的要求，提供响应产品的合法来源渠道证明文件。</w:t>
      </w:r>
    </w:p>
    <w:p w14:paraId="7033609A">
      <w:pPr>
        <w:shd w:val="clear" w:color="auto" w:fill="FFFFFF"/>
        <w:spacing w:line="360" w:lineRule="auto"/>
        <w:rPr>
          <w:b/>
          <w:sz w:val="24"/>
          <w:szCs w:val="24"/>
        </w:rPr>
      </w:pPr>
      <w:r>
        <w:rPr>
          <w:b/>
          <w:sz w:val="24"/>
          <w:szCs w:val="24"/>
        </w:rPr>
        <w:t>14.证明工程、货物和/或服务的合格性和符合磋商文件规定的文件</w:t>
      </w:r>
    </w:p>
    <w:p w14:paraId="68EB30A1">
      <w:pPr>
        <w:shd w:val="clear" w:color="auto" w:fill="FFFFFF"/>
        <w:spacing w:line="360" w:lineRule="auto"/>
        <w:ind w:firstLine="480" w:firstLineChars="200"/>
        <w:rPr>
          <w:sz w:val="24"/>
          <w:szCs w:val="24"/>
        </w:rPr>
      </w:pPr>
      <w:r>
        <w:rPr>
          <w:sz w:val="24"/>
          <w:szCs w:val="24"/>
        </w:rPr>
        <w:t>14.1供应商应在磋商响应文件中提交工程、货物和</w:t>
      </w:r>
      <w:r>
        <w:rPr>
          <w:rFonts w:hint="eastAsia"/>
          <w:sz w:val="24"/>
          <w:szCs w:val="24"/>
        </w:rPr>
        <w:t>/或</w:t>
      </w:r>
      <w:r>
        <w:rPr>
          <w:sz w:val="24"/>
          <w:szCs w:val="24"/>
        </w:rPr>
        <w:t>服务满足磋商文件要求并符合国家法律法规、行业管理部门要求的其他强制性标准的证明文件。缺少证明文件或证明文件不合格的响应文件，与磋商文件要求有重大偏离的响应文件，不符合国家法律法规、行业管理部门要求的其他强制性标准的响应文件将按照无效处理。</w:t>
      </w:r>
    </w:p>
    <w:p w14:paraId="01350EA0">
      <w:pPr>
        <w:shd w:val="clear" w:color="auto" w:fill="FFFFFF"/>
        <w:spacing w:line="360" w:lineRule="auto"/>
        <w:ind w:firstLine="480" w:firstLineChars="200"/>
        <w:rPr>
          <w:sz w:val="24"/>
          <w:szCs w:val="24"/>
        </w:rPr>
      </w:pPr>
      <w:r>
        <w:rPr>
          <w:sz w:val="24"/>
          <w:szCs w:val="24"/>
        </w:rPr>
        <w:t>14.2上述证明文件可以是文字资料、图纸、图片和数据，它包括：</w:t>
      </w:r>
    </w:p>
    <w:p w14:paraId="437C01B1">
      <w:pPr>
        <w:shd w:val="clear" w:color="auto" w:fill="FFFFFF"/>
        <w:spacing w:line="360" w:lineRule="auto"/>
        <w:ind w:firstLine="480" w:firstLineChars="200"/>
        <w:rPr>
          <w:sz w:val="24"/>
          <w:szCs w:val="24"/>
        </w:rPr>
      </w:pPr>
      <w:r>
        <w:rPr>
          <w:sz w:val="24"/>
          <w:szCs w:val="24"/>
        </w:rPr>
        <w:t xml:space="preserve">  1) 本次采购特别要求的</w:t>
      </w:r>
      <w:r>
        <w:rPr>
          <w:rFonts w:hint="eastAsia"/>
          <w:sz w:val="24"/>
          <w:szCs w:val="24"/>
        </w:rPr>
        <w:t>工程、货物和/或服务</w:t>
      </w:r>
      <w:r>
        <w:rPr>
          <w:sz w:val="24"/>
          <w:szCs w:val="24"/>
        </w:rPr>
        <w:t>合格性证明文件（见“磋商须知前附表”）；</w:t>
      </w:r>
    </w:p>
    <w:p w14:paraId="47FAE090">
      <w:pPr>
        <w:shd w:val="clear" w:color="auto" w:fill="FFFFFF"/>
        <w:spacing w:line="500" w:lineRule="exact"/>
        <w:ind w:firstLine="720" w:firstLineChars="300"/>
        <w:rPr>
          <w:sz w:val="24"/>
          <w:szCs w:val="24"/>
        </w:rPr>
      </w:pPr>
      <w:r>
        <w:rPr>
          <w:sz w:val="24"/>
          <w:szCs w:val="24"/>
        </w:rPr>
        <w:t>2）样品、真机及演示要求（见“磋商须知前附表”）。</w:t>
      </w:r>
    </w:p>
    <w:p w14:paraId="295C58C4">
      <w:pPr>
        <w:shd w:val="clear" w:color="auto" w:fill="FFFFFF"/>
        <w:spacing w:line="500" w:lineRule="exact"/>
        <w:ind w:firstLine="720" w:firstLineChars="300"/>
        <w:rPr>
          <w:sz w:val="24"/>
          <w:szCs w:val="24"/>
        </w:rPr>
      </w:pPr>
      <w:r>
        <w:rPr>
          <w:sz w:val="24"/>
          <w:szCs w:val="24"/>
        </w:rPr>
        <w:t>3）</w:t>
      </w:r>
      <w:r>
        <w:rPr>
          <w:rFonts w:hint="eastAsia"/>
          <w:sz w:val="24"/>
          <w:szCs w:val="24"/>
        </w:rPr>
        <w:t>工程、货物和/或服务</w:t>
      </w:r>
      <w:r>
        <w:rPr>
          <w:sz w:val="24"/>
          <w:szCs w:val="24"/>
        </w:rPr>
        <w:t>主要技术指标和性能的详细说明；</w:t>
      </w:r>
    </w:p>
    <w:p w14:paraId="6612580E">
      <w:pPr>
        <w:shd w:val="clear" w:color="auto" w:fill="FFFFFF"/>
        <w:spacing w:line="500" w:lineRule="exact"/>
        <w:ind w:firstLine="720" w:firstLineChars="300"/>
        <w:rPr>
          <w:sz w:val="24"/>
          <w:szCs w:val="24"/>
        </w:rPr>
      </w:pPr>
      <w:r>
        <w:rPr>
          <w:sz w:val="24"/>
          <w:szCs w:val="24"/>
        </w:rPr>
        <w:t>4）国家法定检验机构出具的检验报告（见“磋商须知前附表”）；</w:t>
      </w:r>
    </w:p>
    <w:p w14:paraId="73B79EE8">
      <w:pPr>
        <w:shd w:val="clear" w:color="auto" w:fill="FFFFFF"/>
        <w:spacing w:line="500" w:lineRule="exact"/>
        <w:ind w:left="1289" w:leftChars="328" w:hanging="600" w:hangingChars="250"/>
        <w:rPr>
          <w:sz w:val="24"/>
          <w:szCs w:val="24"/>
        </w:rPr>
      </w:pPr>
      <w:r>
        <w:rPr>
          <w:sz w:val="24"/>
          <w:szCs w:val="24"/>
        </w:rPr>
        <w:t>5) 逐条对磋商文件提出的技术要求和商务要求进行应答，说明所提供的</w:t>
      </w:r>
      <w:r>
        <w:rPr>
          <w:rFonts w:hint="eastAsia"/>
          <w:sz w:val="24"/>
          <w:szCs w:val="24"/>
        </w:rPr>
        <w:t>工程、货物和/或服务</w:t>
      </w:r>
      <w:r>
        <w:rPr>
          <w:sz w:val="24"/>
          <w:szCs w:val="24"/>
        </w:rPr>
        <w:t>对磋商文件的技术和商务要求是否做出了实质性响应并提供支持文件；</w:t>
      </w:r>
    </w:p>
    <w:p w14:paraId="5CCD3991">
      <w:pPr>
        <w:shd w:val="clear" w:color="auto" w:fill="FFFFFF"/>
        <w:spacing w:line="360" w:lineRule="auto"/>
        <w:ind w:firstLine="720" w:firstLineChars="300"/>
        <w:rPr>
          <w:sz w:val="24"/>
          <w:szCs w:val="24"/>
        </w:rPr>
      </w:pPr>
      <w:r>
        <w:rPr>
          <w:sz w:val="24"/>
          <w:szCs w:val="24"/>
        </w:rPr>
        <w:t>6）设备配置、供货范围和服务内容的详细说明。</w:t>
      </w:r>
    </w:p>
    <w:p w14:paraId="24DB0EC6">
      <w:pPr>
        <w:shd w:val="clear" w:color="auto" w:fill="FFFFFF"/>
        <w:spacing w:line="360" w:lineRule="auto"/>
        <w:rPr>
          <w:b/>
          <w:sz w:val="24"/>
          <w:szCs w:val="24"/>
        </w:rPr>
      </w:pPr>
      <w:r>
        <w:rPr>
          <w:b/>
          <w:sz w:val="24"/>
          <w:szCs w:val="24"/>
        </w:rPr>
        <w:t>15.磋商保证金</w:t>
      </w:r>
    </w:p>
    <w:p w14:paraId="5B22198C">
      <w:pPr>
        <w:shd w:val="clear" w:color="auto" w:fill="FFFFFF"/>
        <w:spacing w:line="360" w:lineRule="auto"/>
        <w:ind w:firstLine="480" w:firstLineChars="200"/>
        <w:rPr>
          <w:sz w:val="24"/>
          <w:szCs w:val="24"/>
        </w:rPr>
      </w:pPr>
      <w:r>
        <w:rPr>
          <w:sz w:val="24"/>
          <w:szCs w:val="24"/>
        </w:rPr>
        <w:t>15.1如果磋商文件有要求，供应商应按照“磋商须知前附表”的要求向</w:t>
      </w:r>
      <w:r>
        <w:rPr>
          <w:sz w:val="24"/>
        </w:rPr>
        <w:t>东方（西安）国际招标有限公司</w:t>
      </w:r>
      <w:r>
        <w:rPr>
          <w:sz w:val="24"/>
          <w:szCs w:val="24"/>
        </w:rPr>
        <w:t>提交磋商保证金,其有效期与磋商报价有效期一致，并作为其磋商响应的一部分。</w:t>
      </w:r>
    </w:p>
    <w:p w14:paraId="6B6CFDE9">
      <w:pPr>
        <w:shd w:val="clear" w:color="auto" w:fill="FFFFFF"/>
        <w:spacing w:line="360" w:lineRule="auto"/>
        <w:ind w:firstLine="480" w:firstLineChars="200"/>
        <w:rPr>
          <w:sz w:val="24"/>
          <w:szCs w:val="24"/>
        </w:rPr>
      </w:pPr>
      <w:r>
        <w:rPr>
          <w:sz w:val="24"/>
          <w:szCs w:val="24"/>
        </w:rPr>
        <w:t xml:space="preserve">15.2磋商保证金的数额、形式、交纳办法和交纳时间见“磋商须知前附表”。   </w:t>
      </w:r>
    </w:p>
    <w:p w14:paraId="54102808">
      <w:pPr>
        <w:shd w:val="clear" w:color="auto" w:fill="FFFFFF"/>
        <w:spacing w:line="360" w:lineRule="auto"/>
        <w:ind w:firstLine="480" w:firstLineChars="200"/>
        <w:rPr>
          <w:sz w:val="24"/>
          <w:szCs w:val="24"/>
        </w:rPr>
      </w:pPr>
      <w:r>
        <w:rPr>
          <w:sz w:val="24"/>
          <w:szCs w:val="24"/>
        </w:rPr>
        <w:t>15.3磋商后经审查，未按照“磋商须知前附表”的要求交纳磋商保证金的、已交纳的磋商保证金金额不足的或有效期不足的，其磋商响应文件将按照无效处理。</w:t>
      </w:r>
    </w:p>
    <w:p w14:paraId="285A8D44">
      <w:pPr>
        <w:shd w:val="clear" w:color="auto" w:fill="FFFFFF"/>
        <w:spacing w:line="360" w:lineRule="auto"/>
        <w:ind w:firstLine="480" w:firstLineChars="200"/>
        <w:rPr>
          <w:sz w:val="24"/>
          <w:szCs w:val="24"/>
        </w:rPr>
      </w:pPr>
      <w:r>
        <w:rPr>
          <w:sz w:val="24"/>
          <w:szCs w:val="24"/>
        </w:rPr>
        <w:t>15.4未成交供应商的磋商保证金，在成交通知书发出后五个工作日内退还；成交供应商的磋商保证金，在采购合同签订并按规定交纳代理服务费后五个工作日内退还。</w:t>
      </w:r>
    </w:p>
    <w:p w14:paraId="75B33209">
      <w:pPr>
        <w:shd w:val="clear" w:color="auto" w:fill="FFFFFF"/>
        <w:spacing w:line="360" w:lineRule="auto"/>
        <w:ind w:firstLine="480" w:firstLineChars="200"/>
        <w:rPr>
          <w:sz w:val="24"/>
          <w:szCs w:val="24"/>
        </w:rPr>
      </w:pPr>
      <w:r>
        <w:rPr>
          <w:sz w:val="24"/>
          <w:szCs w:val="24"/>
        </w:rPr>
        <w:t xml:space="preserve">15.5有下列情形之一的，保证金不予退还： </w:t>
      </w:r>
    </w:p>
    <w:p w14:paraId="4F041DB2">
      <w:pPr>
        <w:shd w:val="clear" w:color="auto" w:fill="FFFFFF"/>
        <w:spacing w:line="360" w:lineRule="auto"/>
        <w:ind w:firstLine="480" w:firstLineChars="200"/>
        <w:rPr>
          <w:sz w:val="24"/>
          <w:szCs w:val="24"/>
        </w:rPr>
      </w:pPr>
      <w:r>
        <w:rPr>
          <w:sz w:val="24"/>
          <w:szCs w:val="24"/>
        </w:rPr>
        <w:t>15.5.1供应商在提交响应文件截止时间后撤回响应文件的；</w:t>
      </w:r>
    </w:p>
    <w:p w14:paraId="7D669539">
      <w:pPr>
        <w:shd w:val="clear" w:color="auto" w:fill="FFFFFF"/>
        <w:spacing w:line="360" w:lineRule="auto"/>
        <w:ind w:firstLine="480" w:firstLineChars="200"/>
        <w:rPr>
          <w:sz w:val="24"/>
          <w:szCs w:val="24"/>
        </w:rPr>
      </w:pPr>
      <w:r>
        <w:rPr>
          <w:sz w:val="24"/>
          <w:szCs w:val="24"/>
        </w:rPr>
        <w:t>15.5.2供应商在响应文件中提供虚假材料的；</w:t>
      </w:r>
    </w:p>
    <w:p w14:paraId="7E0C71FB">
      <w:pPr>
        <w:shd w:val="clear" w:color="auto" w:fill="FFFFFF"/>
        <w:spacing w:line="360" w:lineRule="auto"/>
        <w:ind w:left="1319" w:leftChars="228" w:hanging="840" w:hangingChars="350"/>
        <w:rPr>
          <w:sz w:val="24"/>
          <w:szCs w:val="24"/>
        </w:rPr>
      </w:pPr>
      <w:r>
        <w:rPr>
          <w:sz w:val="24"/>
          <w:szCs w:val="24"/>
        </w:rPr>
        <w:t>15.5.3除因不可抗力或磋商文件认可的情形以外，成交供应商不与采购人签订合同的；</w:t>
      </w:r>
    </w:p>
    <w:p w14:paraId="087E576C">
      <w:pPr>
        <w:shd w:val="clear" w:color="auto" w:fill="FFFFFF"/>
        <w:spacing w:line="360" w:lineRule="auto"/>
        <w:ind w:firstLine="480" w:firstLineChars="200"/>
        <w:rPr>
          <w:sz w:val="24"/>
          <w:szCs w:val="24"/>
        </w:rPr>
      </w:pPr>
      <w:r>
        <w:rPr>
          <w:sz w:val="24"/>
          <w:szCs w:val="24"/>
        </w:rPr>
        <w:t>15.5.4供应商与采购人、其他供应商或者采购代理机构恶意串通的；</w:t>
      </w:r>
    </w:p>
    <w:p w14:paraId="4375973B">
      <w:pPr>
        <w:shd w:val="clear" w:color="auto" w:fill="FFFFFF"/>
        <w:spacing w:line="360" w:lineRule="auto"/>
        <w:ind w:left="1319" w:leftChars="228" w:hanging="840" w:hangingChars="350"/>
        <w:rPr>
          <w:sz w:val="24"/>
          <w:szCs w:val="24"/>
        </w:rPr>
      </w:pPr>
      <w:r>
        <w:rPr>
          <w:sz w:val="24"/>
          <w:szCs w:val="24"/>
        </w:rPr>
        <w:t>15.5.5成交供应商未能按规定交纳代理服务费的。</w:t>
      </w:r>
    </w:p>
    <w:p w14:paraId="5611B98E">
      <w:pPr>
        <w:shd w:val="clear" w:color="auto" w:fill="FFFFFF"/>
        <w:spacing w:line="360" w:lineRule="auto"/>
        <w:rPr>
          <w:b/>
          <w:sz w:val="24"/>
          <w:szCs w:val="24"/>
        </w:rPr>
      </w:pPr>
      <w:r>
        <w:rPr>
          <w:b/>
          <w:sz w:val="24"/>
          <w:szCs w:val="24"/>
        </w:rPr>
        <w:t>16.磋商报价有效期</w:t>
      </w:r>
    </w:p>
    <w:p w14:paraId="733B1FA7">
      <w:pPr>
        <w:shd w:val="clear" w:color="auto" w:fill="FFFFFF"/>
        <w:spacing w:line="360" w:lineRule="auto"/>
        <w:ind w:firstLine="480" w:firstLineChars="200"/>
        <w:rPr>
          <w:sz w:val="24"/>
          <w:szCs w:val="24"/>
        </w:rPr>
      </w:pPr>
      <w:r>
        <w:rPr>
          <w:sz w:val="24"/>
          <w:szCs w:val="24"/>
        </w:rPr>
        <w:t>16.1磋商报价应在 “磋商须知前附表”中规定的磋商报价有效期内保持有效。磋商报价不满足规定有效期的，其磋商响应文件将按照无效处理。</w:t>
      </w:r>
    </w:p>
    <w:p w14:paraId="06B4AFCB">
      <w:pPr>
        <w:shd w:val="clear" w:color="auto" w:fill="FFFFFF"/>
        <w:spacing w:line="360" w:lineRule="auto"/>
        <w:rPr>
          <w:b/>
          <w:sz w:val="24"/>
          <w:szCs w:val="24"/>
        </w:rPr>
      </w:pPr>
      <w:r>
        <w:rPr>
          <w:b/>
          <w:sz w:val="24"/>
          <w:szCs w:val="24"/>
        </w:rPr>
        <w:t>17.磋商响应文件的式样和签署</w:t>
      </w:r>
    </w:p>
    <w:p w14:paraId="0582A475">
      <w:pPr>
        <w:shd w:val="clear" w:color="auto" w:fill="FFFFFF"/>
        <w:spacing w:line="360" w:lineRule="auto"/>
        <w:ind w:firstLine="480" w:firstLineChars="200"/>
        <w:rPr>
          <w:sz w:val="24"/>
          <w:szCs w:val="24"/>
        </w:rPr>
      </w:pPr>
      <w:r>
        <w:rPr>
          <w:sz w:val="24"/>
          <w:szCs w:val="24"/>
        </w:rPr>
        <w:t>17.1供应商应按照磋商须知的要求, 准备一份磋商响应文件正本和“磋商须知前附表”中规定数量的副本，副本可以是正本的复印件。每套磋商响应文件须清楚地标明“正本”或“副本”。如果发生正本与副本不一致的情况，以正本为准。</w:t>
      </w:r>
    </w:p>
    <w:p w14:paraId="745D10C5">
      <w:pPr>
        <w:shd w:val="clear" w:color="auto" w:fill="FFFFFF"/>
        <w:spacing w:line="360" w:lineRule="auto"/>
        <w:ind w:firstLine="480" w:firstLineChars="200"/>
        <w:rPr>
          <w:sz w:val="24"/>
          <w:szCs w:val="24"/>
        </w:rPr>
      </w:pPr>
      <w:r>
        <w:rPr>
          <w:sz w:val="24"/>
          <w:szCs w:val="24"/>
        </w:rPr>
        <w:t>17.2如果磋商文件有要求，还应按照“磋商须知前附表”的要求准备相应格式和载体的电子版文件。</w:t>
      </w:r>
    </w:p>
    <w:p w14:paraId="196DE83D">
      <w:pPr>
        <w:shd w:val="clear" w:color="auto" w:fill="FFFFFF"/>
        <w:spacing w:line="360" w:lineRule="auto"/>
        <w:ind w:firstLine="480" w:firstLineChars="200"/>
        <w:rPr>
          <w:sz w:val="24"/>
          <w:szCs w:val="24"/>
        </w:rPr>
      </w:pPr>
      <w:r>
        <w:rPr>
          <w:sz w:val="24"/>
          <w:szCs w:val="24"/>
        </w:rPr>
        <w:t>17.3磋商响应文件正本需打印或用不褪色的蓝(黑)色墨水(汁)书写,并由供应商</w:t>
      </w:r>
      <w:r>
        <w:rPr>
          <w:sz w:val="24"/>
        </w:rPr>
        <w:t>法定代表人（单位负责人）</w:t>
      </w:r>
      <w:r>
        <w:rPr>
          <w:sz w:val="24"/>
          <w:szCs w:val="24"/>
        </w:rPr>
        <w:t>或经</w:t>
      </w:r>
      <w:r>
        <w:rPr>
          <w:sz w:val="24"/>
        </w:rPr>
        <w:t>法定代表人（单位负责人）</w:t>
      </w:r>
      <w:r>
        <w:rPr>
          <w:sz w:val="24"/>
          <w:szCs w:val="24"/>
        </w:rPr>
        <w:t>正式授权的代表签字。授权代表须将按磋商文件规定的格式出具的“</w:t>
      </w:r>
      <w:r>
        <w:rPr>
          <w:sz w:val="24"/>
        </w:rPr>
        <w:t>法定代表人（单位负责人）授权书</w:t>
      </w:r>
      <w:r>
        <w:rPr>
          <w:sz w:val="24"/>
          <w:szCs w:val="24"/>
        </w:rPr>
        <w:t>”附在磋商响应文件中。</w:t>
      </w:r>
    </w:p>
    <w:p w14:paraId="76460BF2">
      <w:pPr>
        <w:shd w:val="clear" w:color="auto" w:fill="FFFFFF"/>
        <w:spacing w:line="360" w:lineRule="auto"/>
        <w:ind w:firstLine="480" w:firstLineChars="200"/>
        <w:rPr>
          <w:sz w:val="24"/>
          <w:szCs w:val="24"/>
        </w:rPr>
      </w:pPr>
      <w:r>
        <w:rPr>
          <w:sz w:val="24"/>
          <w:szCs w:val="24"/>
        </w:rPr>
        <w:t>17.4任何行间插字、涂改和增删，必须由磋商响应文件的签字人在旁边签字才有效。</w:t>
      </w:r>
    </w:p>
    <w:p w14:paraId="61A0883B">
      <w:pPr>
        <w:shd w:val="clear" w:color="auto" w:fill="FFFFFF"/>
        <w:spacing w:line="360" w:lineRule="auto"/>
        <w:ind w:firstLine="480" w:firstLineChars="200"/>
        <w:rPr>
          <w:sz w:val="24"/>
          <w:szCs w:val="24"/>
        </w:rPr>
      </w:pPr>
      <w:r>
        <w:rPr>
          <w:sz w:val="24"/>
          <w:szCs w:val="24"/>
        </w:rPr>
        <w:t>17.5因字迹潦草、表述不清或不按磋商文件格式编制的磋商响应文件，所引起的对供应商不利的后果，由供应商自行负责。</w:t>
      </w:r>
    </w:p>
    <w:p w14:paraId="571A6DF4">
      <w:pPr>
        <w:shd w:val="clear" w:color="auto" w:fill="FFFFFF"/>
        <w:spacing w:line="360" w:lineRule="auto"/>
        <w:ind w:firstLine="480" w:firstLineChars="200"/>
        <w:rPr>
          <w:sz w:val="24"/>
          <w:szCs w:val="24"/>
        </w:rPr>
      </w:pPr>
    </w:p>
    <w:p w14:paraId="716AE8BB">
      <w:pPr>
        <w:shd w:val="clear" w:color="auto" w:fill="FFFFFF"/>
        <w:spacing w:line="360" w:lineRule="auto"/>
        <w:jc w:val="center"/>
        <w:rPr>
          <w:b/>
          <w:sz w:val="32"/>
          <w:szCs w:val="32"/>
        </w:rPr>
      </w:pPr>
      <w:r>
        <w:rPr>
          <w:b/>
          <w:sz w:val="32"/>
          <w:szCs w:val="32"/>
        </w:rPr>
        <w:t>四.磋商响应文件的递交</w:t>
      </w:r>
    </w:p>
    <w:p w14:paraId="5A106401">
      <w:pPr>
        <w:shd w:val="clear" w:color="auto" w:fill="FFFFFF"/>
        <w:spacing w:line="360" w:lineRule="auto"/>
        <w:rPr>
          <w:b/>
          <w:sz w:val="24"/>
          <w:szCs w:val="24"/>
        </w:rPr>
      </w:pPr>
    </w:p>
    <w:p w14:paraId="641D788C">
      <w:pPr>
        <w:shd w:val="clear" w:color="auto" w:fill="FFFFFF"/>
        <w:spacing w:line="360" w:lineRule="auto"/>
        <w:rPr>
          <w:b/>
          <w:sz w:val="24"/>
          <w:szCs w:val="24"/>
        </w:rPr>
      </w:pPr>
      <w:r>
        <w:rPr>
          <w:b/>
          <w:sz w:val="24"/>
          <w:szCs w:val="24"/>
        </w:rPr>
        <w:t>18.磋商响应文件的装订、密封和标记</w:t>
      </w:r>
    </w:p>
    <w:p w14:paraId="4244825E">
      <w:pPr>
        <w:shd w:val="clear" w:color="auto" w:fill="FFFFFF"/>
        <w:spacing w:line="360" w:lineRule="auto"/>
        <w:ind w:firstLine="480" w:firstLineChars="200"/>
        <w:rPr>
          <w:sz w:val="24"/>
          <w:szCs w:val="24"/>
        </w:rPr>
      </w:pPr>
      <w:r>
        <w:rPr>
          <w:sz w:val="24"/>
          <w:szCs w:val="24"/>
        </w:rPr>
        <w:t>18.1</w:t>
      </w:r>
      <w:r>
        <w:rPr>
          <w:sz w:val="24"/>
        </w:rPr>
        <w:t>磋商响应文件的正本与副本应分别装订成册，并编制目录，具体装订和包装密封要求见本须知“磋商须知前附表”规定。</w:t>
      </w:r>
    </w:p>
    <w:p w14:paraId="40A5C771">
      <w:pPr>
        <w:shd w:val="clear" w:color="auto" w:fill="FFFFFF"/>
        <w:spacing w:line="360" w:lineRule="auto"/>
        <w:ind w:firstLine="480" w:firstLineChars="200"/>
        <w:rPr>
          <w:sz w:val="24"/>
          <w:szCs w:val="24"/>
        </w:rPr>
      </w:pPr>
      <w:r>
        <w:rPr>
          <w:sz w:val="24"/>
          <w:szCs w:val="24"/>
        </w:rPr>
        <w:t>18.2外层包装请按以下要求标记：</w:t>
      </w:r>
    </w:p>
    <w:p w14:paraId="5F76E8AA">
      <w:pPr>
        <w:shd w:val="clear" w:color="auto" w:fill="FFFFFF"/>
        <w:spacing w:line="360" w:lineRule="auto"/>
        <w:ind w:firstLine="480" w:firstLineChars="200"/>
        <w:rPr>
          <w:sz w:val="24"/>
          <w:szCs w:val="24"/>
        </w:rPr>
      </w:pPr>
      <w:r>
        <w:rPr>
          <w:sz w:val="24"/>
          <w:szCs w:val="24"/>
        </w:rPr>
        <w:t xml:space="preserve">    1) 供应商的全称；</w:t>
      </w:r>
    </w:p>
    <w:p w14:paraId="73062EF3">
      <w:pPr>
        <w:shd w:val="clear" w:color="auto" w:fill="FFFFFF"/>
        <w:spacing w:line="360" w:lineRule="auto"/>
        <w:ind w:firstLine="480" w:firstLineChars="200"/>
        <w:rPr>
          <w:sz w:val="24"/>
          <w:szCs w:val="24"/>
        </w:rPr>
      </w:pPr>
      <w:r>
        <w:rPr>
          <w:sz w:val="24"/>
          <w:szCs w:val="24"/>
        </w:rPr>
        <w:t xml:space="preserve">    2) 磋商报价项目名称、项目编号、包号</w:t>
      </w:r>
    </w:p>
    <w:p w14:paraId="20BE337F">
      <w:pPr>
        <w:shd w:val="clear" w:color="auto" w:fill="FFFFFF"/>
        <w:spacing w:line="360" w:lineRule="auto"/>
        <w:ind w:firstLine="480" w:firstLineChars="200"/>
        <w:rPr>
          <w:sz w:val="24"/>
          <w:szCs w:val="24"/>
        </w:rPr>
      </w:pPr>
      <w:r>
        <w:rPr>
          <w:sz w:val="24"/>
          <w:szCs w:val="24"/>
        </w:rPr>
        <w:t xml:space="preserve">    3）正本或副本及“请勿在＿＿＿＿＿(磋商时间)之前启封”。</w:t>
      </w:r>
    </w:p>
    <w:p w14:paraId="1E254626">
      <w:pPr>
        <w:shd w:val="clear" w:color="auto" w:fill="FFFFFF"/>
        <w:spacing w:line="360" w:lineRule="auto"/>
        <w:ind w:firstLine="480" w:firstLineChars="200"/>
        <w:rPr>
          <w:sz w:val="24"/>
          <w:szCs w:val="24"/>
        </w:rPr>
      </w:pPr>
      <w:r>
        <w:rPr>
          <w:sz w:val="24"/>
          <w:szCs w:val="24"/>
        </w:rPr>
        <w:t>18.3如果在“磋商须知前附表”中要求提供证明文件的原件，则证明文件的原件必须按照磋商须知前附表的规定进行封装和递交。</w:t>
      </w:r>
    </w:p>
    <w:p w14:paraId="2887CA31">
      <w:pPr>
        <w:shd w:val="clear" w:color="auto" w:fill="FFFFFF"/>
        <w:spacing w:line="360" w:lineRule="auto"/>
        <w:ind w:firstLine="480" w:firstLineChars="200"/>
        <w:rPr>
          <w:sz w:val="24"/>
          <w:szCs w:val="24"/>
        </w:rPr>
      </w:pPr>
      <w:r>
        <w:rPr>
          <w:sz w:val="24"/>
          <w:szCs w:val="24"/>
        </w:rPr>
        <w:t>18.4如果供应商未对磋商响应文件按上述要求进行完好密封，所引起的对供应商不利的后果，由供应商自行承担。</w:t>
      </w:r>
    </w:p>
    <w:p w14:paraId="109D211A">
      <w:pPr>
        <w:shd w:val="clear" w:color="auto" w:fill="FFFFFF"/>
        <w:spacing w:line="360" w:lineRule="auto"/>
        <w:rPr>
          <w:b/>
          <w:sz w:val="24"/>
          <w:szCs w:val="24"/>
        </w:rPr>
      </w:pPr>
      <w:r>
        <w:rPr>
          <w:b/>
          <w:sz w:val="24"/>
          <w:szCs w:val="24"/>
        </w:rPr>
        <w:t>19．磋商响应文件递交方式和磋商截止时间</w:t>
      </w:r>
    </w:p>
    <w:p w14:paraId="0A6E37C5">
      <w:pPr>
        <w:shd w:val="clear" w:color="auto" w:fill="FFFFFF"/>
        <w:spacing w:line="360" w:lineRule="auto"/>
        <w:ind w:firstLine="480" w:firstLineChars="200"/>
        <w:rPr>
          <w:sz w:val="24"/>
          <w:szCs w:val="24"/>
        </w:rPr>
      </w:pPr>
      <w:r>
        <w:rPr>
          <w:sz w:val="24"/>
          <w:szCs w:val="24"/>
        </w:rPr>
        <w:t>19.1供应商必须派出代表，在“磋商须知前附表”规定的磋商响应文件递交截止时间前，将全部磋商响应文件和磋商报价资料递交至磋商地点并签字确认。磋商地点见“磋商须知前附表”指明的地址或采购代理机构另行通知的地址。</w:t>
      </w:r>
    </w:p>
    <w:p w14:paraId="23EB2603">
      <w:pPr>
        <w:shd w:val="clear" w:color="auto" w:fill="FFFFFF"/>
        <w:spacing w:line="360" w:lineRule="auto"/>
        <w:ind w:firstLine="480" w:firstLineChars="200"/>
        <w:rPr>
          <w:sz w:val="24"/>
          <w:szCs w:val="24"/>
        </w:rPr>
      </w:pPr>
      <w:r>
        <w:rPr>
          <w:sz w:val="24"/>
          <w:szCs w:val="24"/>
        </w:rPr>
        <w:t>19.2 以邮寄方式递交磋商响应文件的，其磋商响应文件将按照无效处理。</w:t>
      </w:r>
    </w:p>
    <w:p w14:paraId="2A8FD5BA">
      <w:pPr>
        <w:shd w:val="clear" w:color="auto" w:fill="FFFFFF"/>
        <w:spacing w:line="360" w:lineRule="auto"/>
        <w:ind w:firstLine="480" w:firstLineChars="200"/>
        <w:rPr>
          <w:sz w:val="24"/>
          <w:szCs w:val="24"/>
        </w:rPr>
      </w:pPr>
      <w:r>
        <w:rPr>
          <w:sz w:val="24"/>
          <w:szCs w:val="24"/>
        </w:rPr>
        <w:t>19.3采购代理机构拒绝接收在规定的磋商响应文件递交截止时间后递交的磋商响应文件和磋商报价资料。</w:t>
      </w:r>
    </w:p>
    <w:p w14:paraId="3D6A4FE2">
      <w:pPr>
        <w:shd w:val="clear" w:color="auto" w:fill="FFFFFF"/>
        <w:spacing w:line="360" w:lineRule="auto"/>
        <w:rPr>
          <w:b/>
          <w:sz w:val="24"/>
          <w:szCs w:val="24"/>
        </w:rPr>
      </w:pPr>
      <w:r>
        <w:rPr>
          <w:b/>
          <w:sz w:val="24"/>
          <w:szCs w:val="24"/>
        </w:rPr>
        <w:t>20．磋商报价的修改与撤回</w:t>
      </w:r>
    </w:p>
    <w:p w14:paraId="72E216D2">
      <w:pPr>
        <w:shd w:val="clear" w:color="auto" w:fill="FFFFFF"/>
        <w:spacing w:line="360" w:lineRule="auto"/>
        <w:ind w:firstLine="480" w:firstLineChars="200"/>
        <w:rPr>
          <w:sz w:val="24"/>
          <w:szCs w:val="24"/>
        </w:rPr>
      </w:pPr>
      <w:r>
        <w:rPr>
          <w:sz w:val="24"/>
          <w:szCs w:val="24"/>
        </w:rPr>
        <w:t>20.1供应商在递交磋商响应文件后，可以修改或撤回其磋商响应文件，也可以提出价格变动声明，但供应商必须在规定的磋商响应文件递交截止时间之前将修改或撤回或变动价格的书面通知文件递交到采购代理机构。</w:t>
      </w:r>
    </w:p>
    <w:p w14:paraId="52725595">
      <w:pPr>
        <w:shd w:val="clear" w:color="auto" w:fill="FFFFFF"/>
        <w:spacing w:line="360" w:lineRule="auto"/>
        <w:ind w:firstLine="480" w:firstLineChars="200"/>
        <w:rPr>
          <w:sz w:val="24"/>
          <w:szCs w:val="24"/>
        </w:rPr>
      </w:pPr>
      <w:r>
        <w:rPr>
          <w:sz w:val="24"/>
          <w:szCs w:val="24"/>
        </w:rPr>
        <w:t>20.2 供应商的修改或撤回或变动价格的通知应按本须知第17条和18条的规定编制、密封、标记和递交。</w:t>
      </w:r>
    </w:p>
    <w:p w14:paraId="3315BE2D">
      <w:pPr>
        <w:shd w:val="clear" w:color="auto" w:fill="FFFFFF"/>
        <w:spacing w:line="360" w:lineRule="auto"/>
        <w:ind w:firstLine="480" w:firstLineChars="200"/>
        <w:rPr>
          <w:sz w:val="24"/>
          <w:szCs w:val="24"/>
        </w:rPr>
      </w:pPr>
      <w:r>
        <w:rPr>
          <w:sz w:val="24"/>
          <w:szCs w:val="24"/>
        </w:rPr>
        <w:t>20.3 在磋商响应文件递交截止时间之后，供应商不得对其磋商报价做任何修改或撤回。</w:t>
      </w:r>
    </w:p>
    <w:p w14:paraId="56674D5E">
      <w:pPr>
        <w:shd w:val="clear" w:color="auto" w:fill="FFFFFF"/>
        <w:spacing w:line="360" w:lineRule="auto"/>
        <w:ind w:firstLine="480" w:firstLineChars="200"/>
        <w:rPr>
          <w:sz w:val="24"/>
          <w:szCs w:val="24"/>
        </w:rPr>
      </w:pPr>
      <w:r>
        <w:rPr>
          <w:sz w:val="24"/>
          <w:szCs w:val="24"/>
        </w:rPr>
        <w:t>20.4在磋商结束之后，对于供应商正常经营活动必须的资质和证明文件原件（包括但不限于：营业执照、税务登记证、经营许可证、资质等级证书、成交通知书、经济合同等），经审查后予以退还。其他磋商响应文件和资料一律不予退还。</w:t>
      </w:r>
    </w:p>
    <w:p w14:paraId="0470972D">
      <w:pPr>
        <w:shd w:val="clear" w:color="auto" w:fill="FFFFFF"/>
        <w:spacing w:line="360" w:lineRule="auto"/>
        <w:ind w:firstLine="640" w:firstLineChars="200"/>
        <w:rPr>
          <w:sz w:val="32"/>
          <w:szCs w:val="32"/>
        </w:rPr>
      </w:pPr>
    </w:p>
    <w:p w14:paraId="11F71DFC">
      <w:pPr>
        <w:shd w:val="clear" w:color="auto" w:fill="FFFFFF"/>
        <w:spacing w:line="360" w:lineRule="auto"/>
        <w:ind w:firstLine="643" w:firstLineChars="200"/>
        <w:jc w:val="center"/>
        <w:rPr>
          <w:b/>
          <w:sz w:val="32"/>
          <w:szCs w:val="32"/>
        </w:rPr>
      </w:pPr>
      <w:r>
        <w:rPr>
          <w:b/>
          <w:sz w:val="32"/>
          <w:szCs w:val="32"/>
        </w:rPr>
        <w:t>五.磋商与评审</w:t>
      </w:r>
    </w:p>
    <w:p w14:paraId="0B8AAE7B">
      <w:pPr>
        <w:shd w:val="clear" w:color="auto" w:fill="FFFFFF"/>
        <w:spacing w:line="360" w:lineRule="auto"/>
        <w:rPr>
          <w:b/>
          <w:sz w:val="24"/>
          <w:szCs w:val="24"/>
        </w:rPr>
      </w:pPr>
      <w:r>
        <w:rPr>
          <w:b/>
          <w:sz w:val="24"/>
          <w:szCs w:val="24"/>
        </w:rPr>
        <w:t>21.磋商小组和磋商评审原则</w:t>
      </w:r>
    </w:p>
    <w:p w14:paraId="6B73D925">
      <w:pPr>
        <w:shd w:val="clear" w:color="auto" w:fill="FFFFFF"/>
        <w:spacing w:line="360" w:lineRule="auto"/>
        <w:ind w:firstLine="480" w:firstLineChars="200"/>
        <w:rPr>
          <w:sz w:val="24"/>
          <w:szCs w:val="24"/>
        </w:rPr>
      </w:pPr>
      <w:r>
        <w:rPr>
          <w:sz w:val="24"/>
          <w:szCs w:val="24"/>
        </w:rPr>
        <w:t>21.1按照《中华人民共和国政府采购法》、中华人民共和国2015年第658号国务院令--《中华人民共和国政府采购法实施条例》和中华人民共和国财政部财库[2014]214号《政府采购竞争性磋商采购方式管理暂行办法》的规定，采购机构将依法组建竞争性磋商小组，依法进行磋商和评审工作。</w:t>
      </w:r>
    </w:p>
    <w:p w14:paraId="3472766C">
      <w:pPr>
        <w:shd w:val="clear" w:color="auto" w:fill="FFFFFF"/>
        <w:spacing w:line="360" w:lineRule="auto"/>
        <w:ind w:firstLine="480" w:firstLineChars="200"/>
        <w:rPr>
          <w:sz w:val="24"/>
          <w:szCs w:val="24"/>
        </w:rPr>
      </w:pPr>
      <w:r>
        <w:rPr>
          <w:sz w:val="24"/>
          <w:szCs w:val="24"/>
        </w:rPr>
        <w:t>21.2磋商文件和报价人的响应文件是评审的依据。</w:t>
      </w:r>
    </w:p>
    <w:p w14:paraId="48F43590">
      <w:pPr>
        <w:shd w:val="clear" w:color="auto" w:fill="FFFFFF"/>
        <w:spacing w:line="360" w:lineRule="auto"/>
        <w:rPr>
          <w:b/>
          <w:sz w:val="24"/>
          <w:szCs w:val="24"/>
        </w:rPr>
      </w:pPr>
      <w:r>
        <w:rPr>
          <w:b/>
          <w:sz w:val="24"/>
          <w:szCs w:val="24"/>
        </w:rPr>
        <w:t>22.磋商及评审程序</w:t>
      </w:r>
    </w:p>
    <w:p w14:paraId="5A1FF091">
      <w:pPr>
        <w:shd w:val="clear" w:color="auto" w:fill="FFFFFF"/>
        <w:spacing w:line="360" w:lineRule="auto"/>
        <w:ind w:firstLine="480" w:firstLineChars="200"/>
        <w:rPr>
          <w:sz w:val="24"/>
          <w:szCs w:val="24"/>
        </w:rPr>
      </w:pPr>
      <w:r>
        <w:rPr>
          <w:sz w:val="24"/>
          <w:szCs w:val="24"/>
        </w:rPr>
        <w:t>22.1采购代理机构在规定的时间和地点组织磋商。</w:t>
      </w:r>
    </w:p>
    <w:p w14:paraId="68977D39">
      <w:pPr>
        <w:shd w:val="clear" w:color="auto" w:fill="FFFFFF"/>
        <w:spacing w:line="360" w:lineRule="auto"/>
        <w:ind w:left="2" w:firstLine="477" w:firstLineChars="199"/>
        <w:rPr>
          <w:sz w:val="24"/>
          <w:szCs w:val="24"/>
        </w:rPr>
      </w:pPr>
      <w:r>
        <w:rPr>
          <w:sz w:val="24"/>
          <w:szCs w:val="24"/>
        </w:rPr>
        <w:t>22.2本次磋商的报价次数、磋商程序和最终报价的产生原则见“磋商须知前附表”的规定。</w:t>
      </w:r>
    </w:p>
    <w:p w14:paraId="2AC1ECE1">
      <w:pPr>
        <w:shd w:val="clear" w:color="auto" w:fill="FFFFFF"/>
        <w:spacing w:line="360" w:lineRule="auto"/>
        <w:rPr>
          <w:sz w:val="24"/>
          <w:szCs w:val="24"/>
        </w:rPr>
      </w:pPr>
      <w:r>
        <w:rPr>
          <w:sz w:val="24"/>
          <w:szCs w:val="24"/>
        </w:rPr>
        <w:t xml:space="preserve">    22.3磋商开始后，</w:t>
      </w:r>
      <w:r>
        <w:rPr>
          <w:kern w:val="0"/>
          <w:sz w:val="24"/>
        </w:rPr>
        <w:t>磋商小组首先对响应文件进行评审，并根据磋商文件规定的程序、评定成交的标准等事项与实质性响应磋商文件要求的供应商进行磋商。未实质性响应磋商文件的响应文件按无效处理，磋商小组将告知有关供应商。</w:t>
      </w:r>
    </w:p>
    <w:p w14:paraId="2E53DC2A">
      <w:pPr>
        <w:shd w:val="clear" w:color="auto" w:fill="FFFFFF"/>
        <w:spacing w:line="360" w:lineRule="auto"/>
        <w:ind w:firstLine="480" w:firstLineChars="200"/>
        <w:rPr>
          <w:kern w:val="0"/>
          <w:sz w:val="24"/>
        </w:rPr>
      </w:pPr>
      <w:r>
        <w:rPr>
          <w:sz w:val="24"/>
          <w:szCs w:val="24"/>
        </w:rPr>
        <w:t>22.4</w:t>
      </w:r>
      <w:r>
        <w:rPr>
          <w:kern w:val="0"/>
          <w:sz w:val="24"/>
        </w:rPr>
        <w:t>磋商小组所有成员集中与单一供应商分别进行磋商，并给予所有参加磋商的供应商平等的磋商机会。</w:t>
      </w:r>
    </w:p>
    <w:p w14:paraId="56E27572">
      <w:pPr>
        <w:shd w:val="clear" w:color="auto" w:fill="FFFFFF"/>
        <w:spacing w:line="360" w:lineRule="auto"/>
        <w:ind w:firstLine="480" w:firstLineChars="200"/>
        <w:rPr>
          <w:sz w:val="24"/>
          <w:szCs w:val="24"/>
        </w:rPr>
      </w:pPr>
      <w:r>
        <w:rPr>
          <w:sz w:val="24"/>
          <w:szCs w:val="24"/>
        </w:rPr>
        <w:t>22.5在磋商过程中，磋商小组可以根据磋商文件和磋商情况实质性变动采购需求中的技术、服务要求以及合同草案条款。所有变动内容均是磋商文件的有效组成部分，磋商小组将以书面形式同时通知所有参加磋商的供应商。</w:t>
      </w:r>
    </w:p>
    <w:p w14:paraId="3D6BA819">
      <w:pPr>
        <w:shd w:val="clear" w:color="auto" w:fill="FFFFFF"/>
        <w:spacing w:line="360" w:lineRule="auto"/>
        <w:ind w:firstLine="480" w:firstLineChars="200"/>
        <w:rPr>
          <w:sz w:val="24"/>
          <w:szCs w:val="24"/>
        </w:rPr>
      </w:pPr>
      <w:r>
        <w:rPr>
          <w:sz w:val="24"/>
          <w:szCs w:val="24"/>
        </w:rPr>
        <w:t>22.6参加磋商的供应商应当按照磋商文件的变动情况和磋商小组的要求重新提交响应文件，并由其</w:t>
      </w:r>
      <w:r>
        <w:rPr>
          <w:sz w:val="24"/>
        </w:rPr>
        <w:t>法定代表人（单位负责人）</w:t>
      </w:r>
      <w:r>
        <w:rPr>
          <w:sz w:val="24"/>
          <w:szCs w:val="24"/>
        </w:rPr>
        <w:t>或授权代表签字或者加盖公章。由授权代表签字的，应当附</w:t>
      </w:r>
      <w:r>
        <w:rPr>
          <w:sz w:val="24"/>
        </w:rPr>
        <w:t>法定代表人（单位负责人）</w:t>
      </w:r>
      <w:r>
        <w:rPr>
          <w:sz w:val="24"/>
          <w:szCs w:val="24"/>
        </w:rPr>
        <w:t>授权书。供应商为自然人的，应当由本人签字并附身份证明。</w:t>
      </w:r>
    </w:p>
    <w:p w14:paraId="42000663">
      <w:pPr>
        <w:shd w:val="clear" w:color="auto" w:fill="FFFFFF"/>
        <w:spacing w:line="360" w:lineRule="auto"/>
        <w:ind w:firstLine="480" w:firstLineChars="200"/>
        <w:rPr>
          <w:sz w:val="24"/>
          <w:szCs w:val="24"/>
        </w:rPr>
      </w:pPr>
      <w:r>
        <w:rPr>
          <w:sz w:val="24"/>
          <w:szCs w:val="24"/>
        </w:rPr>
        <w:t>22.7磋商结束后，磋商小组要求所有继续参加磋商的供应商在规定时间内提交最后报价，最后报价是供应商响应文件的有效组成部分。</w:t>
      </w:r>
    </w:p>
    <w:p w14:paraId="35CB8980">
      <w:pPr>
        <w:shd w:val="clear" w:color="auto" w:fill="FFFFFF"/>
        <w:spacing w:line="360" w:lineRule="auto"/>
        <w:ind w:firstLine="480" w:firstLineChars="200"/>
        <w:rPr>
          <w:sz w:val="24"/>
          <w:szCs w:val="24"/>
        </w:rPr>
      </w:pPr>
      <w:r>
        <w:rPr>
          <w:sz w:val="24"/>
          <w:szCs w:val="24"/>
        </w:rPr>
        <w:t>22.8已提交响应文件的供应商，在提交最后报价之前，可以根据磋商情况退出磋商。采购机构将退还退出磋商的供应商的保证金。</w:t>
      </w:r>
    </w:p>
    <w:p w14:paraId="497CB573">
      <w:pPr>
        <w:shd w:val="clear" w:color="auto" w:fill="FFFFFF"/>
        <w:spacing w:line="360" w:lineRule="auto"/>
        <w:rPr>
          <w:b/>
          <w:sz w:val="24"/>
          <w:szCs w:val="24"/>
        </w:rPr>
      </w:pPr>
      <w:r>
        <w:rPr>
          <w:b/>
          <w:sz w:val="24"/>
          <w:szCs w:val="24"/>
        </w:rPr>
        <w:t>23．评审过程的保密</w:t>
      </w:r>
    </w:p>
    <w:p w14:paraId="7C7EF45C">
      <w:pPr>
        <w:shd w:val="clear" w:color="auto" w:fill="FFFFFF"/>
        <w:spacing w:line="360" w:lineRule="auto"/>
        <w:ind w:firstLine="480" w:firstLineChars="200"/>
        <w:rPr>
          <w:sz w:val="24"/>
          <w:szCs w:val="24"/>
        </w:rPr>
      </w:pPr>
      <w:r>
        <w:rPr>
          <w:sz w:val="24"/>
          <w:szCs w:val="24"/>
        </w:rPr>
        <w:t>23.1竞争性磋商小组成员和与评审活动有关的工作人员不得泄露有关磋商响应文件的评审和比较、成交候选人的推荐以及与评审有关的其他情况。</w:t>
      </w:r>
    </w:p>
    <w:p w14:paraId="67E92411">
      <w:pPr>
        <w:shd w:val="clear" w:color="auto" w:fill="FFFFFF"/>
        <w:spacing w:line="360" w:lineRule="auto"/>
        <w:ind w:firstLine="480" w:firstLineChars="200"/>
        <w:rPr>
          <w:sz w:val="24"/>
          <w:szCs w:val="24"/>
        </w:rPr>
      </w:pPr>
      <w:r>
        <w:rPr>
          <w:sz w:val="24"/>
          <w:szCs w:val="24"/>
        </w:rPr>
        <w:t>23.2在评审过程中，如果供应商试图在磋商响应文件的评审和比较、成交候选人的推荐以及与评审有关的其他方面，向磋商小组、采购人和采购代理机构施加任何影响，其磋商响应文件将按照无效处理。</w:t>
      </w:r>
    </w:p>
    <w:p w14:paraId="465C3072">
      <w:pPr>
        <w:shd w:val="clear" w:color="auto" w:fill="FFFFFF"/>
        <w:spacing w:line="360" w:lineRule="auto"/>
        <w:rPr>
          <w:b/>
          <w:sz w:val="24"/>
          <w:szCs w:val="24"/>
        </w:rPr>
      </w:pPr>
      <w:r>
        <w:rPr>
          <w:b/>
          <w:sz w:val="24"/>
          <w:szCs w:val="24"/>
        </w:rPr>
        <w:t>24．评审方法</w:t>
      </w:r>
    </w:p>
    <w:p w14:paraId="6C1417BB">
      <w:pPr>
        <w:shd w:val="clear" w:color="auto" w:fill="FFFFFF"/>
        <w:spacing w:line="360" w:lineRule="auto"/>
        <w:ind w:firstLine="480" w:firstLineChars="200"/>
        <w:rPr>
          <w:sz w:val="24"/>
          <w:szCs w:val="24"/>
        </w:rPr>
      </w:pPr>
      <w:r>
        <w:rPr>
          <w:sz w:val="24"/>
          <w:szCs w:val="24"/>
        </w:rPr>
        <w:t>24.1按照中华人民共和国财政部财库[2014]214号《政府采购竞争性磋商采购方式管理暂行办法》的规定，磋商小组根据综合评分情况，按照评审得分由高到低顺序推荐3名成交候选供应商。</w:t>
      </w:r>
    </w:p>
    <w:p w14:paraId="17D1B9E1">
      <w:pPr>
        <w:shd w:val="clear" w:color="auto" w:fill="FFFFFF"/>
        <w:spacing w:line="360" w:lineRule="auto"/>
        <w:jc w:val="center"/>
        <w:rPr>
          <w:b/>
          <w:sz w:val="30"/>
          <w:szCs w:val="30"/>
        </w:rPr>
      </w:pPr>
    </w:p>
    <w:p w14:paraId="50D548F9">
      <w:pPr>
        <w:shd w:val="clear" w:color="auto" w:fill="FFFFFF"/>
        <w:spacing w:line="360" w:lineRule="auto"/>
        <w:jc w:val="center"/>
        <w:rPr>
          <w:b/>
          <w:sz w:val="30"/>
          <w:szCs w:val="30"/>
        </w:rPr>
      </w:pPr>
      <w:r>
        <w:rPr>
          <w:b/>
          <w:sz w:val="30"/>
          <w:szCs w:val="30"/>
        </w:rPr>
        <w:t>六.确定成交供应商、成交通知与签约</w:t>
      </w:r>
    </w:p>
    <w:p w14:paraId="29ABF041">
      <w:pPr>
        <w:shd w:val="clear" w:color="auto" w:fill="FFFFFF"/>
        <w:spacing w:line="360" w:lineRule="auto"/>
        <w:rPr>
          <w:b/>
          <w:sz w:val="24"/>
          <w:szCs w:val="24"/>
        </w:rPr>
      </w:pPr>
      <w:r>
        <w:rPr>
          <w:b/>
          <w:sz w:val="24"/>
          <w:szCs w:val="24"/>
        </w:rPr>
        <w:t>25．确定成交供应商</w:t>
      </w:r>
    </w:p>
    <w:p w14:paraId="1DCA646D">
      <w:pPr>
        <w:shd w:val="clear" w:color="auto" w:fill="FFFFFF"/>
        <w:spacing w:line="360" w:lineRule="auto"/>
        <w:ind w:firstLine="480" w:firstLineChars="200"/>
        <w:rPr>
          <w:sz w:val="24"/>
          <w:szCs w:val="24"/>
        </w:rPr>
      </w:pPr>
      <w:r>
        <w:rPr>
          <w:sz w:val="24"/>
          <w:szCs w:val="24"/>
        </w:rPr>
        <w:t>25.1磋商小组根据评审方法的规定对供应商进行评审排序，推荐成交候选人，形成评审报告。评审报告由磋商小组成员签字确认。</w:t>
      </w:r>
    </w:p>
    <w:p w14:paraId="09D3AFB5">
      <w:pPr>
        <w:shd w:val="clear" w:color="auto" w:fill="FFFFFF"/>
        <w:spacing w:line="360" w:lineRule="auto"/>
        <w:ind w:firstLine="480" w:firstLineChars="200"/>
        <w:rPr>
          <w:kern w:val="0"/>
          <w:sz w:val="24"/>
        </w:rPr>
      </w:pPr>
      <w:r>
        <w:rPr>
          <w:sz w:val="24"/>
          <w:szCs w:val="24"/>
        </w:rPr>
        <w:t>25.2采购人</w:t>
      </w:r>
      <w:r>
        <w:rPr>
          <w:kern w:val="0"/>
          <w:sz w:val="24"/>
        </w:rPr>
        <w:t>从评审报告提出的成交候选人中，根据质量和服务均能满足磋商文件实质性响应要求的原则确定成交供应商。</w:t>
      </w:r>
    </w:p>
    <w:p w14:paraId="3D3AE478">
      <w:pPr>
        <w:shd w:val="clear" w:color="auto" w:fill="FFFFFF"/>
        <w:spacing w:line="360" w:lineRule="auto"/>
        <w:ind w:firstLine="360" w:firstLineChars="150"/>
        <w:rPr>
          <w:sz w:val="24"/>
          <w:szCs w:val="24"/>
        </w:rPr>
      </w:pPr>
      <w:r>
        <w:rPr>
          <w:sz w:val="24"/>
          <w:szCs w:val="24"/>
        </w:rPr>
        <w:t xml:space="preserve"> 25.3采购人也可以书面授权磋商小组直接确定成交供应商。</w:t>
      </w:r>
    </w:p>
    <w:p w14:paraId="70D1CE07">
      <w:pPr>
        <w:shd w:val="clear" w:color="auto" w:fill="FFFFFF"/>
        <w:spacing w:line="360" w:lineRule="auto"/>
        <w:ind w:firstLine="480" w:firstLineChars="200"/>
        <w:rPr>
          <w:sz w:val="24"/>
          <w:szCs w:val="24"/>
        </w:rPr>
      </w:pPr>
      <w:r>
        <w:rPr>
          <w:sz w:val="24"/>
          <w:szCs w:val="24"/>
        </w:rPr>
        <w:t>25.4成交供应商确定之后，成交结果将在财政部门指定的政府采购信息发布媒体上公告。</w:t>
      </w:r>
    </w:p>
    <w:p w14:paraId="549D5774">
      <w:pPr>
        <w:shd w:val="clear" w:color="auto" w:fill="FFFFFF"/>
        <w:spacing w:line="360" w:lineRule="auto"/>
        <w:ind w:firstLine="480" w:firstLineChars="200"/>
        <w:rPr>
          <w:sz w:val="24"/>
          <w:szCs w:val="24"/>
        </w:rPr>
      </w:pPr>
      <w:r>
        <w:rPr>
          <w:sz w:val="24"/>
          <w:szCs w:val="24"/>
        </w:rPr>
        <w:t>25.5供应商对成交公告有异议的，按照《中华人民共和国政府采购法》第五十二条之有关规定执行。提出质疑的供应商应当有明确的请求和必要的证明材料，应保证提出的质疑内容及相应证明材料的真实性及来源的合法性，并承担相应的法律责任。</w:t>
      </w:r>
    </w:p>
    <w:p w14:paraId="0423AA59">
      <w:pPr>
        <w:shd w:val="clear" w:color="auto" w:fill="FFFFFF"/>
        <w:spacing w:line="360" w:lineRule="auto"/>
        <w:ind w:firstLine="480" w:firstLineChars="200"/>
        <w:rPr>
          <w:sz w:val="24"/>
          <w:szCs w:val="24"/>
        </w:rPr>
      </w:pPr>
      <w:r>
        <w:rPr>
          <w:sz w:val="24"/>
          <w:szCs w:val="24"/>
        </w:rPr>
        <w:t>25.6成交供应商拒绝与采购人签订合同的，采购人可以按照评审报告推荐的成交供应商名单排序，确定下一候选人为成交供应商，也可以重新开展政府采购活动。</w:t>
      </w:r>
    </w:p>
    <w:p w14:paraId="3F2125BA">
      <w:pPr>
        <w:shd w:val="clear" w:color="auto" w:fill="FFFFFF"/>
        <w:spacing w:line="360" w:lineRule="auto"/>
        <w:rPr>
          <w:b/>
          <w:sz w:val="24"/>
          <w:szCs w:val="24"/>
        </w:rPr>
      </w:pPr>
      <w:r>
        <w:rPr>
          <w:b/>
          <w:sz w:val="24"/>
          <w:szCs w:val="24"/>
        </w:rPr>
        <w:t>26．成交通知</w:t>
      </w:r>
    </w:p>
    <w:p w14:paraId="61886A69">
      <w:pPr>
        <w:shd w:val="clear" w:color="auto" w:fill="FFFFFF"/>
        <w:spacing w:line="360" w:lineRule="auto"/>
        <w:ind w:firstLine="480" w:firstLineChars="200"/>
        <w:rPr>
          <w:sz w:val="24"/>
          <w:szCs w:val="24"/>
        </w:rPr>
      </w:pPr>
      <w:r>
        <w:rPr>
          <w:sz w:val="24"/>
          <w:szCs w:val="24"/>
        </w:rPr>
        <w:t>26.1成交供应商确定之后，</w:t>
      </w:r>
      <w:r>
        <w:rPr>
          <w:sz w:val="24"/>
        </w:rPr>
        <w:t>东方（西安）国际招标有限公司</w:t>
      </w:r>
      <w:r>
        <w:rPr>
          <w:sz w:val="24"/>
          <w:szCs w:val="24"/>
        </w:rPr>
        <w:t xml:space="preserve">将发出《成交通知书》。 </w:t>
      </w:r>
    </w:p>
    <w:p w14:paraId="5B98328C">
      <w:pPr>
        <w:shd w:val="clear" w:color="auto" w:fill="FFFFFF"/>
        <w:spacing w:line="360" w:lineRule="auto"/>
        <w:ind w:firstLine="480" w:firstLineChars="200"/>
        <w:rPr>
          <w:sz w:val="24"/>
          <w:szCs w:val="24"/>
        </w:rPr>
      </w:pPr>
      <w:r>
        <w:rPr>
          <w:sz w:val="24"/>
          <w:szCs w:val="24"/>
        </w:rPr>
        <w:t>26.2成交通知书对采购人和成交供应商具有同等法律效力。成交通知书发出之后，采购人改变成交结果，或者成交供应商放弃成交，应当承担相应的法律责任。</w:t>
      </w:r>
    </w:p>
    <w:p w14:paraId="55B2B58A">
      <w:pPr>
        <w:shd w:val="clear" w:color="auto" w:fill="FFFFFF"/>
        <w:spacing w:line="360" w:lineRule="auto"/>
        <w:ind w:firstLine="480" w:firstLineChars="200"/>
        <w:rPr>
          <w:sz w:val="24"/>
          <w:szCs w:val="24"/>
        </w:rPr>
      </w:pPr>
      <w:r>
        <w:rPr>
          <w:sz w:val="24"/>
          <w:szCs w:val="24"/>
        </w:rPr>
        <w:t>26.3 成交通知书发出后五个工作日内，</w:t>
      </w:r>
      <w:r>
        <w:rPr>
          <w:sz w:val="24"/>
        </w:rPr>
        <w:t>东方（西安）国际招标有限公司</w:t>
      </w:r>
      <w:r>
        <w:rPr>
          <w:sz w:val="24"/>
          <w:szCs w:val="24"/>
        </w:rPr>
        <w:t>将通知未成交的供应商，并退还其磋商保证金。</w:t>
      </w:r>
    </w:p>
    <w:p w14:paraId="02D5B625">
      <w:pPr>
        <w:shd w:val="clear" w:color="auto" w:fill="FFFFFF"/>
        <w:spacing w:line="360" w:lineRule="auto"/>
        <w:rPr>
          <w:b/>
          <w:sz w:val="24"/>
          <w:szCs w:val="24"/>
        </w:rPr>
      </w:pPr>
      <w:r>
        <w:rPr>
          <w:b/>
          <w:sz w:val="24"/>
          <w:szCs w:val="24"/>
        </w:rPr>
        <w:t>27. 成交合同的签订</w:t>
      </w:r>
    </w:p>
    <w:p w14:paraId="2BD9B74C">
      <w:pPr>
        <w:shd w:val="clear" w:color="auto" w:fill="FFFFFF"/>
        <w:spacing w:line="360" w:lineRule="auto"/>
        <w:ind w:firstLine="480" w:firstLineChars="200"/>
        <w:rPr>
          <w:sz w:val="24"/>
          <w:szCs w:val="24"/>
        </w:rPr>
      </w:pPr>
      <w:r>
        <w:rPr>
          <w:sz w:val="24"/>
          <w:szCs w:val="24"/>
        </w:rPr>
        <w:t>27.1采购人应当自成交通知书发出之日起三十日内，按照磋商文件和成交供应商的响应文件（包括磋商评审中形成的最后报价等补充文件），与成交供应商签订书面合同。</w:t>
      </w:r>
    </w:p>
    <w:p w14:paraId="4545DC5F">
      <w:pPr>
        <w:shd w:val="clear" w:color="auto" w:fill="FFFFFF"/>
        <w:spacing w:line="360" w:lineRule="auto"/>
        <w:ind w:firstLine="480" w:firstLineChars="200"/>
        <w:rPr>
          <w:sz w:val="24"/>
          <w:szCs w:val="24"/>
        </w:rPr>
      </w:pPr>
      <w:r>
        <w:rPr>
          <w:sz w:val="24"/>
          <w:szCs w:val="24"/>
        </w:rPr>
        <w:t>27.2采购人自政府采购合同签订之日起2个工作日内，将政府采购合同在省级以上人民政府财政部门指定的媒体上公告，但政府采购合同中涉及国家秘密、商业秘密的内容除外。</w:t>
      </w:r>
    </w:p>
    <w:p w14:paraId="5A49E4FD">
      <w:pPr>
        <w:shd w:val="clear" w:color="auto" w:fill="FFFFFF"/>
        <w:spacing w:line="360" w:lineRule="auto"/>
        <w:rPr>
          <w:b/>
          <w:sz w:val="24"/>
          <w:szCs w:val="24"/>
        </w:rPr>
      </w:pPr>
      <w:r>
        <w:rPr>
          <w:b/>
          <w:sz w:val="24"/>
          <w:szCs w:val="24"/>
        </w:rPr>
        <w:t>28．成交合同的履约验收</w:t>
      </w:r>
    </w:p>
    <w:p w14:paraId="7158B3AA">
      <w:pPr>
        <w:shd w:val="clear" w:color="auto" w:fill="FFFFFF"/>
        <w:spacing w:line="360" w:lineRule="auto"/>
        <w:ind w:firstLine="480" w:firstLineChars="200"/>
        <w:rPr>
          <w:sz w:val="24"/>
          <w:szCs w:val="24"/>
        </w:rPr>
      </w:pPr>
      <w:r>
        <w:rPr>
          <w:sz w:val="24"/>
          <w:szCs w:val="24"/>
        </w:rPr>
        <w:t>28.1采购人按照政府采购合同规定的技术、服务、安全标准组织对供应商履约情况进行验收，并出具验收书。验收书应当包括每一项技术、服务、安全标准的履约情况。</w:t>
      </w:r>
    </w:p>
    <w:p w14:paraId="7E78AD09">
      <w:pPr>
        <w:shd w:val="clear" w:color="auto" w:fill="FFFFFF"/>
        <w:spacing w:line="360" w:lineRule="auto"/>
        <w:rPr>
          <w:b/>
          <w:sz w:val="24"/>
          <w:szCs w:val="24"/>
        </w:rPr>
      </w:pPr>
      <w:r>
        <w:rPr>
          <w:b/>
          <w:sz w:val="24"/>
          <w:szCs w:val="24"/>
        </w:rPr>
        <w:t>29.其他</w:t>
      </w:r>
    </w:p>
    <w:p w14:paraId="054D2143">
      <w:pPr>
        <w:shd w:val="clear" w:color="auto" w:fill="FFFFFF"/>
        <w:spacing w:line="360" w:lineRule="auto"/>
        <w:ind w:firstLine="480" w:firstLineChars="200"/>
        <w:rPr>
          <w:sz w:val="24"/>
          <w:szCs w:val="24"/>
        </w:rPr>
      </w:pPr>
      <w:r>
        <w:rPr>
          <w:sz w:val="24"/>
          <w:szCs w:val="24"/>
        </w:rPr>
        <w:t>29.1磋商开始后，出现下列情形之一的，采购代理机构将终止竞争性磋商采购活动，发布项目终止公告并说明原因，重新开展采购活动：</w:t>
      </w:r>
    </w:p>
    <w:p w14:paraId="2CE5DC57">
      <w:pPr>
        <w:shd w:val="clear" w:color="auto" w:fill="FFFFFF"/>
        <w:spacing w:line="360" w:lineRule="auto"/>
        <w:ind w:firstLine="480" w:firstLineChars="200"/>
        <w:rPr>
          <w:sz w:val="24"/>
          <w:szCs w:val="24"/>
        </w:rPr>
      </w:pPr>
      <w:r>
        <w:rPr>
          <w:sz w:val="24"/>
          <w:szCs w:val="24"/>
        </w:rPr>
        <w:t>（一）因情况变化，不再符合规定的竞争性磋商采购方式适用情形的；</w:t>
      </w:r>
    </w:p>
    <w:p w14:paraId="083B4940">
      <w:pPr>
        <w:shd w:val="clear" w:color="auto" w:fill="FFFFFF"/>
        <w:spacing w:line="360" w:lineRule="auto"/>
        <w:ind w:firstLine="480" w:firstLineChars="200"/>
        <w:rPr>
          <w:sz w:val="24"/>
          <w:szCs w:val="24"/>
        </w:rPr>
      </w:pPr>
      <w:r>
        <w:rPr>
          <w:sz w:val="24"/>
          <w:szCs w:val="24"/>
        </w:rPr>
        <w:t>（二）出现影响采购公正的违法、违规行为的；</w:t>
      </w:r>
    </w:p>
    <w:p w14:paraId="0117BEC6">
      <w:pPr>
        <w:shd w:val="clear" w:color="auto" w:fill="FFFFFF"/>
        <w:spacing w:line="360" w:lineRule="auto"/>
        <w:ind w:firstLine="480" w:firstLineChars="200"/>
        <w:rPr>
          <w:sz w:val="24"/>
          <w:szCs w:val="24"/>
        </w:rPr>
      </w:pPr>
      <w:r>
        <w:rPr>
          <w:sz w:val="24"/>
          <w:szCs w:val="24"/>
        </w:rPr>
        <w:t>（三）在采购过程中符合要求的供应商不足3家的 ；</w:t>
      </w:r>
    </w:p>
    <w:p w14:paraId="5F8DE7BB">
      <w:pPr>
        <w:shd w:val="clear" w:color="auto" w:fill="FFFFFF"/>
        <w:spacing w:line="360" w:lineRule="auto"/>
        <w:ind w:firstLine="480" w:firstLineChars="200"/>
        <w:rPr>
          <w:sz w:val="24"/>
          <w:szCs w:val="24"/>
        </w:rPr>
      </w:pPr>
      <w:r>
        <w:rPr>
          <w:sz w:val="24"/>
          <w:szCs w:val="24"/>
        </w:rPr>
        <w:t>（四）报价未超过采购预算的供应商不足3家的。</w:t>
      </w:r>
    </w:p>
    <w:p w14:paraId="483D029E">
      <w:pPr>
        <w:shd w:val="clear" w:color="auto" w:fill="FFFFFF"/>
        <w:spacing w:line="360" w:lineRule="auto"/>
        <w:ind w:left="1199" w:leftChars="228" w:hanging="720" w:hangingChars="300"/>
        <w:rPr>
          <w:sz w:val="24"/>
          <w:szCs w:val="24"/>
        </w:rPr>
      </w:pPr>
      <w:r>
        <w:rPr>
          <w:sz w:val="24"/>
          <w:szCs w:val="24"/>
        </w:rPr>
        <w:t>29.2 提交最后报价的供应商为2家时，可以继续进行磋商的情形：</w:t>
      </w:r>
    </w:p>
    <w:p w14:paraId="73F3FC87">
      <w:pPr>
        <w:shd w:val="clear" w:color="auto" w:fill="FFFFFF"/>
        <w:spacing w:line="360" w:lineRule="auto"/>
        <w:ind w:left="1198" w:leftChars="285" w:hanging="600" w:hangingChars="250"/>
        <w:rPr>
          <w:sz w:val="24"/>
          <w:szCs w:val="24"/>
        </w:rPr>
      </w:pPr>
      <w:r>
        <w:rPr>
          <w:sz w:val="24"/>
          <w:szCs w:val="24"/>
        </w:rPr>
        <w:t>（一）市场竞争不充分的科研项目，以及需要扶持的科技成果转化项目；</w:t>
      </w:r>
    </w:p>
    <w:p w14:paraId="39604F4D">
      <w:pPr>
        <w:shd w:val="clear" w:color="auto" w:fill="FFFFFF"/>
        <w:spacing w:line="360" w:lineRule="auto"/>
        <w:ind w:left="1198" w:leftChars="285" w:hanging="600" w:hangingChars="250"/>
        <w:rPr>
          <w:sz w:val="24"/>
          <w:szCs w:val="24"/>
        </w:rPr>
      </w:pPr>
      <w:r>
        <w:rPr>
          <w:sz w:val="24"/>
          <w:szCs w:val="24"/>
        </w:rPr>
        <w:t>（二）政府购买服务项目（含政府和社会资本项目）。</w:t>
      </w:r>
    </w:p>
    <w:p w14:paraId="47E0092D">
      <w:pPr>
        <w:shd w:val="clear" w:color="auto" w:fill="FFFFFF"/>
        <w:spacing w:line="360" w:lineRule="auto"/>
        <w:ind w:firstLine="480" w:firstLineChars="200"/>
        <w:rPr>
          <w:sz w:val="24"/>
          <w:szCs w:val="24"/>
        </w:rPr>
      </w:pPr>
      <w:r>
        <w:rPr>
          <w:sz w:val="24"/>
          <w:szCs w:val="24"/>
        </w:rPr>
        <w:t>29.3磋商报价产品符合财库［2004］185号文件精神，进入节能产品政府采购清单（有效期内）的；符合财库[2006]90号文件精神，进入环境标志产品政府采购清单（有效期内）的；符合财库[2019]27号文件精神，进入832个国家级贫困县域内（有效期内）的，提供证明文件，在评审方法中享受评审价格优惠折扣(详见评审方法)。供应商属于（财库[20</w:t>
      </w:r>
      <w:r>
        <w:rPr>
          <w:rFonts w:hint="eastAsia"/>
          <w:sz w:val="24"/>
          <w:szCs w:val="24"/>
        </w:rPr>
        <w:t>20</w:t>
      </w:r>
      <w:r>
        <w:rPr>
          <w:sz w:val="24"/>
          <w:szCs w:val="24"/>
        </w:rPr>
        <w:t>]</w:t>
      </w:r>
      <w:r>
        <w:rPr>
          <w:rFonts w:hint="eastAsia"/>
          <w:sz w:val="24"/>
          <w:szCs w:val="24"/>
        </w:rPr>
        <w:t>46</w:t>
      </w:r>
      <w:r>
        <w:rPr>
          <w:sz w:val="24"/>
          <w:szCs w:val="24"/>
        </w:rPr>
        <w:t>号及</w:t>
      </w:r>
      <w:r>
        <w:rPr>
          <w:sz w:val="24"/>
        </w:rPr>
        <w:t>财</w:t>
      </w:r>
      <w:r>
        <w:rPr>
          <w:sz w:val="24"/>
          <w:szCs w:val="24"/>
        </w:rPr>
        <w:t>库[2022]19号）文件规定的小微企业的，提供中小企业声明函和相关证明文件，在评审方法中享受评审价格优惠折扣 (详见评审方法)。磋商报价单位属于（财库[2014]68号）文件规定的监狱企业的，提供由省级以上监狱管理局、</w:t>
      </w:r>
      <w:r>
        <w:rPr>
          <w:spacing w:val="4"/>
          <w:sz w:val="24"/>
        </w:rPr>
        <w:t>戒毒管理局（含新疆生产建设兵团）</w:t>
      </w:r>
      <w:r>
        <w:rPr>
          <w:sz w:val="24"/>
          <w:szCs w:val="24"/>
        </w:rPr>
        <w:t>出具的属于监狱企业的证明文件，视同小微企业，在评审方法中享受评审价格优惠折扣 (详见评审方法)。供应商属于（财库[2019]27号）文件规定的物业公司的，提供相关证明文件，在评审方法中享受评审价格优惠折扣 (详见评审方法)。</w:t>
      </w:r>
    </w:p>
    <w:p w14:paraId="102FB774">
      <w:pPr>
        <w:shd w:val="clear" w:color="auto" w:fill="FFFFFF"/>
        <w:spacing w:line="360" w:lineRule="auto"/>
        <w:rPr>
          <w:b/>
          <w:sz w:val="24"/>
          <w:szCs w:val="24"/>
        </w:rPr>
      </w:pPr>
      <w:r>
        <w:rPr>
          <w:b/>
          <w:sz w:val="24"/>
          <w:szCs w:val="24"/>
        </w:rPr>
        <w:t>30．采购代理服务费</w:t>
      </w:r>
    </w:p>
    <w:p w14:paraId="4C46D2E0">
      <w:pPr>
        <w:shd w:val="clear" w:color="auto" w:fill="FFFFFF"/>
        <w:spacing w:line="360" w:lineRule="auto"/>
        <w:ind w:firstLine="480" w:firstLineChars="200"/>
        <w:rPr>
          <w:sz w:val="24"/>
          <w:szCs w:val="24"/>
        </w:rPr>
      </w:pPr>
      <w:r>
        <w:rPr>
          <w:sz w:val="24"/>
          <w:szCs w:val="24"/>
        </w:rPr>
        <w:t>30.1成交单位应在收到成交通知书3日内，向</w:t>
      </w:r>
      <w:r>
        <w:rPr>
          <w:sz w:val="24"/>
        </w:rPr>
        <w:t>东方（西安）国际招标有限公司</w:t>
      </w:r>
      <w:r>
        <w:rPr>
          <w:sz w:val="24"/>
          <w:szCs w:val="24"/>
        </w:rPr>
        <w:t>一次性支付采购代理服务费。</w:t>
      </w:r>
    </w:p>
    <w:p w14:paraId="2987E52A">
      <w:pPr>
        <w:shd w:val="clear" w:color="auto" w:fill="FFFFFF"/>
        <w:spacing w:line="360" w:lineRule="auto"/>
        <w:ind w:firstLine="480" w:firstLineChars="200"/>
        <w:rPr>
          <w:sz w:val="24"/>
          <w:szCs w:val="24"/>
        </w:rPr>
      </w:pPr>
      <w:r>
        <w:rPr>
          <w:sz w:val="24"/>
          <w:szCs w:val="24"/>
        </w:rPr>
        <w:t>30.2采购代理服务费的金额详见磋商须知前附表。</w:t>
      </w:r>
    </w:p>
    <w:p w14:paraId="523D0621">
      <w:pPr>
        <w:shd w:val="clear" w:color="auto" w:fill="FFFFFF"/>
        <w:spacing w:line="360" w:lineRule="auto"/>
        <w:rPr>
          <w:b/>
          <w:sz w:val="30"/>
          <w:szCs w:val="30"/>
        </w:rPr>
      </w:pPr>
      <w:r>
        <w:rPr>
          <w:sz w:val="24"/>
          <w:szCs w:val="24"/>
        </w:rPr>
        <w:br w:type="page"/>
      </w:r>
    </w:p>
    <w:p w14:paraId="764BA0E5">
      <w:pPr>
        <w:spacing w:before="156" w:beforeLines="50" w:after="156" w:afterLines="50" w:line="460" w:lineRule="exact"/>
        <w:jc w:val="center"/>
        <w:rPr>
          <w:b/>
          <w:sz w:val="32"/>
          <w:szCs w:val="32"/>
        </w:rPr>
      </w:pPr>
      <w:r>
        <w:rPr>
          <w:b/>
          <w:sz w:val="32"/>
          <w:szCs w:val="32"/>
        </w:rPr>
        <w:t>第三章合同通用条款</w:t>
      </w:r>
    </w:p>
    <w:p w14:paraId="6B8879F7">
      <w:pPr>
        <w:spacing w:line="360" w:lineRule="auto"/>
        <w:jc w:val="left"/>
        <w:rPr>
          <w:b/>
          <w:sz w:val="24"/>
        </w:rPr>
      </w:pPr>
      <w:r>
        <w:rPr>
          <w:b/>
          <w:sz w:val="24"/>
        </w:rPr>
        <w:t>1.定义</w:t>
      </w:r>
    </w:p>
    <w:p w14:paraId="37FD2FF4">
      <w:pPr>
        <w:spacing w:line="360" w:lineRule="auto"/>
        <w:ind w:left="420"/>
        <w:jc w:val="left"/>
      </w:pPr>
      <w:r>
        <w:rPr>
          <w:sz w:val="24"/>
        </w:rPr>
        <w:t>本合同下列术语应解释为</w:t>
      </w:r>
      <w:r>
        <w:t>：</w:t>
      </w:r>
    </w:p>
    <w:p w14:paraId="529A06A1">
      <w:pPr>
        <w:spacing w:line="360" w:lineRule="auto"/>
        <w:ind w:left="420"/>
        <w:rPr>
          <w:sz w:val="24"/>
        </w:rPr>
      </w:pPr>
      <w:r>
        <w:rPr>
          <w:sz w:val="24"/>
        </w:rPr>
        <w:t>1）“合同”系指买方和卖方双方签署的、合同格式中载明的买卖双方所达成的协议,包括所有的附件、附录和上述文件所提到的构成合同的所有文件。</w:t>
      </w:r>
    </w:p>
    <w:p w14:paraId="03F4D6A0">
      <w:pPr>
        <w:spacing w:line="360" w:lineRule="auto"/>
        <w:ind w:left="420"/>
        <w:rPr>
          <w:sz w:val="24"/>
        </w:rPr>
      </w:pPr>
      <w:r>
        <w:rPr>
          <w:sz w:val="24"/>
        </w:rPr>
        <w:t>2）“合同价”系指根据本合同规定，卖方在正确地完全履行合同义务后买方应支付给卖方的价款。</w:t>
      </w:r>
    </w:p>
    <w:p w14:paraId="0F2056C3">
      <w:pPr>
        <w:spacing w:line="360" w:lineRule="auto"/>
        <w:ind w:left="420"/>
        <w:rPr>
          <w:sz w:val="24"/>
        </w:rPr>
      </w:pPr>
      <w:r>
        <w:rPr>
          <w:sz w:val="24"/>
        </w:rPr>
        <w:t>3）“工程”系指卖方根据合同规定，须向买方提供的一切</w:t>
      </w:r>
      <w:r>
        <w:rPr>
          <w:rFonts w:hint="eastAsia"/>
          <w:sz w:val="24"/>
        </w:rPr>
        <w:t>工程、货物和/或服务</w:t>
      </w:r>
      <w:r>
        <w:rPr>
          <w:sz w:val="24"/>
        </w:rPr>
        <w:t>内容和其它材料。</w:t>
      </w:r>
    </w:p>
    <w:p w14:paraId="7580A98D">
      <w:pPr>
        <w:spacing w:line="360" w:lineRule="auto"/>
        <w:ind w:left="420"/>
        <w:rPr>
          <w:sz w:val="24"/>
        </w:rPr>
      </w:pPr>
      <w:r>
        <w:rPr>
          <w:sz w:val="24"/>
        </w:rPr>
        <w:t>4）“合同条款”系指本合同条款。</w:t>
      </w:r>
    </w:p>
    <w:p w14:paraId="204AF8E8">
      <w:pPr>
        <w:spacing w:line="360" w:lineRule="auto"/>
        <w:ind w:left="420"/>
        <w:rPr>
          <w:sz w:val="24"/>
        </w:rPr>
      </w:pPr>
      <w:r>
        <w:rPr>
          <w:sz w:val="24"/>
        </w:rPr>
        <w:t>5）“买方”系指在合同条款资料表中指明的购买</w:t>
      </w:r>
      <w:r>
        <w:rPr>
          <w:rFonts w:hint="eastAsia"/>
          <w:sz w:val="24"/>
        </w:rPr>
        <w:t>工程、货物和/或服务</w:t>
      </w:r>
      <w:r>
        <w:rPr>
          <w:sz w:val="24"/>
        </w:rPr>
        <w:t>的单位。</w:t>
      </w:r>
    </w:p>
    <w:p w14:paraId="2D429BDF">
      <w:pPr>
        <w:spacing w:line="360" w:lineRule="auto"/>
        <w:ind w:left="420"/>
        <w:rPr>
          <w:sz w:val="24"/>
        </w:rPr>
      </w:pPr>
      <w:r>
        <w:rPr>
          <w:sz w:val="24"/>
        </w:rPr>
        <w:t>6）“卖方”系指签署本合同，提供本合同项下</w:t>
      </w:r>
      <w:r>
        <w:rPr>
          <w:rFonts w:hint="eastAsia"/>
          <w:sz w:val="24"/>
        </w:rPr>
        <w:t>工程、货物和/或服务</w:t>
      </w:r>
      <w:r>
        <w:rPr>
          <w:sz w:val="24"/>
        </w:rPr>
        <w:t>的单位。</w:t>
      </w:r>
    </w:p>
    <w:p w14:paraId="258D700C">
      <w:pPr>
        <w:spacing w:line="360" w:lineRule="auto"/>
        <w:ind w:left="420"/>
        <w:rPr>
          <w:sz w:val="24"/>
        </w:rPr>
      </w:pPr>
      <w:r>
        <w:rPr>
          <w:sz w:val="24"/>
        </w:rPr>
        <w:t>7）“项目现场”系指本合同(包括附件)指明的工程范围或地点。</w:t>
      </w:r>
    </w:p>
    <w:p w14:paraId="05E18419">
      <w:pPr>
        <w:spacing w:line="360" w:lineRule="auto"/>
        <w:ind w:left="420"/>
      </w:pPr>
      <w:r>
        <w:rPr>
          <w:sz w:val="24"/>
        </w:rPr>
        <w:t>8）“天”指日历天数。</w:t>
      </w:r>
    </w:p>
    <w:p w14:paraId="599D6536">
      <w:pPr>
        <w:spacing w:line="360" w:lineRule="auto"/>
        <w:rPr>
          <w:b/>
          <w:sz w:val="24"/>
        </w:rPr>
      </w:pPr>
      <w:r>
        <w:rPr>
          <w:b/>
          <w:sz w:val="24"/>
        </w:rPr>
        <w:t>2.服务标准</w:t>
      </w:r>
    </w:p>
    <w:p w14:paraId="6B51DC80">
      <w:pPr>
        <w:spacing w:line="360" w:lineRule="auto"/>
        <w:ind w:firstLine="480" w:firstLineChars="200"/>
        <w:rPr>
          <w:sz w:val="24"/>
        </w:rPr>
      </w:pPr>
      <w:r>
        <w:rPr>
          <w:sz w:val="24"/>
        </w:rPr>
        <w:t>2.1卖方提供的</w:t>
      </w:r>
      <w:r>
        <w:rPr>
          <w:rFonts w:hint="eastAsia"/>
          <w:sz w:val="24"/>
        </w:rPr>
        <w:t>工程、货物和/或服务</w:t>
      </w:r>
      <w:r>
        <w:rPr>
          <w:sz w:val="24"/>
        </w:rPr>
        <w:t>水平应与本合同所指明的</w:t>
      </w:r>
      <w:r>
        <w:rPr>
          <w:rFonts w:hint="eastAsia"/>
          <w:sz w:val="24"/>
        </w:rPr>
        <w:t>工程、货物和/或服务</w:t>
      </w:r>
      <w:r>
        <w:rPr>
          <w:sz w:val="24"/>
        </w:rPr>
        <w:t>水平(包括合同附件)相一致。</w:t>
      </w:r>
    </w:p>
    <w:p w14:paraId="7264B805">
      <w:pPr>
        <w:spacing w:line="360" w:lineRule="auto"/>
        <w:ind w:firstLine="480" w:firstLineChars="200"/>
        <w:rPr>
          <w:sz w:val="24"/>
        </w:rPr>
      </w:pPr>
      <w:r>
        <w:rPr>
          <w:sz w:val="24"/>
        </w:rPr>
        <w:t>2.2 除服务标准另有规定外,计量单位应该使用公制。</w:t>
      </w:r>
    </w:p>
    <w:p w14:paraId="33176A82">
      <w:pPr>
        <w:spacing w:line="360" w:lineRule="auto"/>
        <w:rPr>
          <w:b/>
          <w:sz w:val="24"/>
        </w:rPr>
      </w:pPr>
      <w:r>
        <w:rPr>
          <w:b/>
          <w:sz w:val="24"/>
        </w:rPr>
        <w:t>3.专利权</w:t>
      </w:r>
    </w:p>
    <w:p w14:paraId="7CEFE4B7">
      <w:pPr>
        <w:spacing w:line="360" w:lineRule="auto"/>
        <w:rPr>
          <w:sz w:val="24"/>
        </w:rPr>
      </w:pPr>
      <w:r>
        <w:rPr>
          <w:sz w:val="24"/>
        </w:rPr>
        <w:t>卖方应保证买方在服务期间及之后免受第三方提出侵犯其专利权、商标权或工业设计权的起诉。</w:t>
      </w:r>
    </w:p>
    <w:p w14:paraId="79BBE54D">
      <w:pPr>
        <w:spacing w:line="360" w:lineRule="auto"/>
        <w:rPr>
          <w:b/>
          <w:sz w:val="24"/>
        </w:rPr>
      </w:pPr>
      <w:r>
        <w:rPr>
          <w:b/>
          <w:sz w:val="24"/>
        </w:rPr>
        <w:t>4.服务期（完工期）</w:t>
      </w:r>
    </w:p>
    <w:p w14:paraId="4C2AC957">
      <w:pPr>
        <w:spacing w:line="360" w:lineRule="auto"/>
        <w:ind w:left="420"/>
        <w:rPr>
          <w:sz w:val="24"/>
        </w:rPr>
      </w:pPr>
      <w:r>
        <w:rPr>
          <w:sz w:val="24"/>
        </w:rPr>
        <w:t>见合同专用条款。</w:t>
      </w:r>
    </w:p>
    <w:p w14:paraId="14999DFA">
      <w:pPr>
        <w:spacing w:line="360" w:lineRule="auto"/>
        <w:rPr>
          <w:b/>
          <w:sz w:val="24"/>
        </w:rPr>
      </w:pPr>
      <w:r>
        <w:rPr>
          <w:b/>
          <w:sz w:val="24"/>
        </w:rPr>
        <w:t>5.付款</w:t>
      </w:r>
    </w:p>
    <w:p w14:paraId="4B22BBA7">
      <w:pPr>
        <w:spacing w:line="360" w:lineRule="auto"/>
        <w:ind w:left="420"/>
        <w:rPr>
          <w:sz w:val="24"/>
        </w:rPr>
      </w:pPr>
      <w:r>
        <w:rPr>
          <w:sz w:val="24"/>
        </w:rPr>
        <w:t>5.1本合同以人民币付款。</w:t>
      </w:r>
    </w:p>
    <w:p w14:paraId="0C14D91E">
      <w:pPr>
        <w:spacing w:line="360" w:lineRule="auto"/>
        <w:ind w:left="420"/>
        <w:rPr>
          <w:sz w:val="24"/>
        </w:rPr>
      </w:pPr>
      <w:r>
        <w:rPr>
          <w:sz w:val="24"/>
        </w:rPr>
        <w:t>5.2付款计划见合同专用条款。</w:t>
      </w:r>
    </w:p>
    <w:p w14:paraId="66BEBEC2">
      <w:pPr>
        <w:pStyle w:val="9"/>
        <w:rPr>
          <w:rFonts w:hint="default" w:eastAsia="宋体"/>
          <w:lang w:val="en-US" w:eastAsia="zh-CN"/>
        </w:rPr>
      </w:pPr>
      <w:r>
        <w:rPr>
          <w:rFonts w:hint="eastAsia"/>
          <w:sz w:val="24"/>
          <w:lang w:val="en-US" w:eastAsia="zh-CN"/>
        </w:rPr>
        <w:t xml:space="preserve">   5.3  合同约定价格为含税价格，包含合同内所需一切费用，价格一次性包死，不受市场价格变动影响。</w:t>
      </w:r>
    </w:p>
    <w:p w14:paraId="7F7D32AD">
      <w:pPr>
        <w:widowControl/>
        <w:jc w:val="left"/>
        <w:rPr>
          <w:b/>
          <w:sz w:val="24"/>
        </w:rPr>
      </w:pPr>
      <w:r>
        <w:rPr>
          <w:b/>
          <w:sz w:val="24"/>
        </w:rPr>
        <w:t>6.伴随服务</w:t>
      </w:r>
    </w:p>
    <w:p w14:paraId="5B53198C">
      <w:pPr>
        <w:spacing w:line="360" w:lineRule="auto"/>
        <w:ind w:left="420"/>
        <w:rPr>
          <w:sz w:val="24"/>
        </w:rPr>
      </w:pPr>
      <w:r>
        <w:rPr>
          <w:sz w:val="24"/>
        </w:rPr>
        <w:t>6.1对于合同附件中有要求的服务内容，卖方还应提供买方在双方商定的一定期限内对所提供服务实施监督、核查的便利。</w:t>
      </w:r>
    </w:p>
    <w:p w14:paraId="3478D1BF">
      <w:pPr>
        <w:spacing w:line="360" w:lineRule="auto"/>
        <w:ind w:left="420"/>
        <w:rPr>
          <w:sz w:val="24"/>
        </w:rPr>
      </w:pPr>
      <w:r>
        <w:rPr>
          <w:sz w:val="24"/>
        </w:rPr>
        <w:t>6.2伴随服务的费用已含在合同价中，不单独进行支付。</w:t>
      </w:r>
    </w:p>
    <w:p w14:paraId="353AB732">
      <w:pPr>
        <w:spacing w:line="360" w:lineRule="auto"/>
        <w:rPr>
          <w:b/>
          <w:sz w:val="24"/>
        </w:rPr>
      </w:pPr>
      <w:r>
        <w:rPr>
          <w:b/>
          <w:sz w:val="24"/>
        </w:rPr>
        <w:t>7.质量保证及索赔</w:t>
      </w:r>
    </w:p>
    <w:p w14:paraId="4C296742">
      <w:pPr>
        <w:spacing w:line="360" w:lineRule="auto"/>
        <w:ind w:left="420"/>
        <w:rPr>
          <w:sz w:val="24"/>
        </w:rPr>
      </w:pPr>
      <w:r>
        <w:rPr>
          <w:sz w:val="24"/>
        </w:rPr>
        <w:t>7.1卖方应保证所提供工程、货物或服务的内容、实施的效果完全符合合同规定的要求(包括合同附件)。</w:t>
      </w:r>
    </w:p>
    <w:p w14:paraId="361E74B3">
      <w:pPr>
        <w:spacing w:line="360" w:lineRule="auto"/>
        <w:ind w:left="420"/>
        <w:rPr>
          <w:sz w:val="24"/>
        </w:rPr>
      </w:pPr>
      <w:r>
        <w:rPr>
          <w:sz w:val="24"/>
        </w:rPr>
        <w:t>7.2服务期内</w:t>
      </w:r>
      <w:r>
        <w:rPr>
          <w:rFonts w:hint="eastAsia"/>
          <w:sz w:val="24"/>
        </w:rPr>
        <w:t>工程、货物和/或服务</w:t>
      </w:r>
      <w:r>
        <w:rPr>
          <w:sz w:val="24"/>
        </w:rPr>
        <w:t>内容等指标与合同有任何一项不符，买方应尽快以书面形式向卖方提出索赔。</w:t>
      </w:r>
    </w:p>
    <w:p w14:paraId="4D3AC466">
      <w:pPr>
        <w:spacing w:line="360" w:lineRule="auto"/>
        <w:ind w:left="420"/>
        <w:rPr>
          <w:sz w:val="24"/>
        </w:rPr>
      </w:pPr>
      <w:r>
        <w:rPr>
          <w:sz w:val="24"/>
        </w:rPr>
        <w:t>7.3卖方在收到买方的通知后，应及时免费对</w:t>
      </w:r>
      <w:r>
        <w:rPr>
          <w:rFonts w:hint="eastAsia"/>
          <w:sz w:val="24"/>
        </w:rPr>
        <w:t>工程、货物和/或服务</w:t>
      </w:r>
      <w:r>
        <w:rPr>
          <w:sz w:val="24"/>
        </w:rPr>
        <w:t>内容及实施效果的不足或偏差进行补正。具体响应时限见专用合同条款</w:t>
      </w:r>
      <w:r>
        <w:rPr>
          <w:rFonts w:hint="eastAsia"/>
          <w:sz w:val="24"/>
          <w:lang w:eastAsia="zh-CN"/>
        </w:rPr>
        <w:t>，</w:t>
      </w:r>
      <w:r>
        <w:rPr>
          <w:rFonts w:hint="eastAsia"/>
          <w:sz w:val="24"/>
          <w:lang w:val="en-US" w:eastAsia="zh-CN"/>
        </w:rPr>
        <w:t>若卖方未在相应时限内做出相应，买方有权寻求第三方，买方损失由卖方承担</w:t>
      </w:r>
      <w:r>
        <w:rPr>
          <w:sz w:val="24"/>
        </w:rPr>
        <w:t>。</w:t>
      </w:r>
    </w:p>
    <w:p w14:paraId="4F9E6E32">
      <w:pPr>
        <w:spacing w:line="360" w:lineRule="auto"/>
        <w:ind w:left="420"/>
        <w:rPr>
          <w:sz w:val="24"/>
        </w:rPr>
      </w:pPr>
      <w:r>
        <w:rPr>
          <w:sz w:val="24"/>
        </w:rPr>
        <w:t>7.4如果卖方在收到通知后，没有在上述专用合同条款中规定的时限内及时补正，买方可采取必要的补救措施，但其风险和费用将由卖方承担，买方根据合同规定对卖方行使的其它权力不受影响。买方亦可从货款和卖方履约保证金中扣回索赔金额。</w:t>
      </w:r>
    </w:p>
    <w:p w14:paraId="7F058FD3">
      <w:pPr>
        <w:spacing w:line="360" w:lineRule="auto"/>
        <w:rPr>
          <w:b/>
          <w:sz w:val="24"/>
        </w:rPr>
      </w:pPr>
      <w:r>
        <w:rPr>
          <w:b/>
          <w:sz w:val="24"/>
        </w:rPr>
        <w:t>8.检验和验收</w:t>
      </w:r>
    </w:p>
    <w:p w14:paraId="659434B3">
      <w:pPr>
        <w:spacing w:line="360" w:lineRule="auto"/>
        <w:ind w:left="420"/>
        <w:rPr>
          <w:sz w:val="24"/>
        </w:rPr>
      </w:pPr>
      <w:r>
        <w:rPr>
          <w:sz w:val="24"/>
        </w:rPr>
        <w:t>8.1卖方应对</w:t>
      </w:r>
      <w:r>
        <w:rPr>
          <w:rFonts w:hint="eastAsia"/>
          <w:sz w:val="24"/>
        </w:rPr>
        <w:t>工程、货物和/或服务</w:t>
      </w:r>
      <w:r>
        <w:rPr>
          <w:sz w:val="24"/>
        </w:rPr>
        <w:t>的内容、实施的效果等进行准确而全面的检验，并出具有效记录。</w:t>
      </w:r>
    </w:p>
    <w:p w14:paraId="7D11F364">
      <w:pPr>
        <w:spacing w:line="360" w:lineRule="auto"/>
        <w:ind w:left="420"/>
        <w:rPr>
          <w:sz w:val="24"/>
        </w:rPr>
      </w:pPr>
      <w:r>
        <w:rPr>
          <w:sz w:val="24"/>
        </w:rPr>
        <w:t>8.2买方定期会根据合同规定的标准、要求出具验收书或意见书。</w:t>
      </w:r>
    </w:p>
    <w:p w14:paraId="58750BA1">
      <w:pPr>
        <w:spacing w:line="360" w:lineRule="auto"/>
        <w:rPr>
          <w:b/>
          <w:sz w:val="24"/>
        </w:rPr>
      </w:pPr>
      <w:r>
        <w:rPr>
          <w:b/>
          <w:sz w:val="24"/>
        </w:rPr>
        <w:t>9.卖方履约延误</w:t>
      </w:r>
    </w:p>
    <w:p w14:paraId="29E4EDD0">
      <w:pPr>
        <w:spacing w:line="360" w:lineRule="auto"/>
        <w:ind w:left="420"/>
        <w:rPr>
          <w:sz w:val="24"/>
        </w:rPr>
      </w:pPr>
      <w:r>
        <w:rPr>
          <w:sz w:val="24"/>
        </w:rPr>
        <w:t>9.1如卖方事先未征得买方同意并得到买方的谅解而单方面延迟施工时间，将按违约终止合同</w:t>
      </w:r>
      <w:r>
        <w:rPr>
          <w:rFonts w:hint="eastAsia"/>
          <w:sz w:val="24"/>
          <w:lang w:eastAsia="zh-CN"/>
        </w:rPr>
        <w:t>，</w:t>
      </w:r>
      <w:r>
        <w:rPr>
          <w:rFonts w:hint="eastAsia"/>
          <w:sz w:val="24"/>
          <w:lang w:val="en-US" w:eastAsia="zh-CN"/>
        </w:rPr>
        <w:t>并赔偿买方因此产生的一切损失</w:t>
      </w:r>
      <w:r>
        <w:rPr>
          <w:sz w:val="24"/>
        </w:rPr>
        <w:t>。</w:t>
      </w:r>
    </w:p>
    <w:p w14:paraId="524E3195">
      <w:pPr>
        <w:spacing w:line="360" w:lineRule="auto"/>
        <w:ind w:left="420"/>
        <w:rPr>
          <w:sz w:val="24"/>
        </w:rPr>
      </w:pPr>
      <w:r>
        <w:rPr>
          <w:sz w:val="24"/>
        </w:rPr>
        <w:t>9.2在履行合同过程中，如果卖方遇到可能妨碍提供工程、货物或服务的情况，应及时以书面形式将拖延的事实,可能拖延的期限和理由通知买方。买方在收到卖方通知后，应尽快对情况进行评价，并确定是否通过修改进度计划，酌情延长施工时间或对卖方加收误期赔偿金。误期赔偿金以每周0.5%计。</w:t>
      </w:r>
    </w:p>
    <w:p w14:paraId="21F58937">
      <w:pPr>
        <w:spacing w:line="360" w:lineRule="auto"/>
        <w:rPr>
          <w:b/>
          <w:sz w:val="24"/>
        </w:rPr>
      </w:pPr>
      <w:r>
        <w:rPr>
          <w:b/>
          <w:sz w:val="24"/>
        </w:rPr>
        <w:t>10.违约终止合同</w:t>
      </w:r>
    </w:p>
    <w:p w14:paraId="19255662">
      <w:pPr>
        <w:spacing w:line="360" w:lineRule="auto"/>
        <w:ind w:left="420"/>
        <w:rPr>
          <w:sz w:val="24"/>
        </w:rPr>
      </w:pPr>
      <w:r>
        <w:rPr>
          <w:sz w:val="24"/>
        </w:rPr>
        <w:t>在卖方违约的情况下，买方有权终止合同，并依法向卖方进行索赔。</w:t>
      </w:r>
    </w:p>
    <w:p w14:paraId="69E20712">
      <w:pPr>
        <w:spacing w:line="360" w:lineRule="auto"/>
        <w:rPr>
          <w:b/>
          <w:sz w:val="24"/>
        </w:rPr>
      </w:pPr>
      <w:r>
        <w:rPr>
          <w:b/>
          <w:sz w:val="24"/>
        </w:rPr>
        <w:t>11.适用法律</w:t>
      </w:r>
    </w:p>
    <w:p w14:paraId="36E3A438">
      <w:pPr>
        <w:spacing w:line="360" w:lineRule="auto"/>
        <w:ind w:left="420"/>
        <w:rPr>
          <w:sz w:val="24"/>
        </w:rPr>
      </w:pPr>
      <w:r>
        <w:rPr>
          <w:sz w:val="24"/>
        </w:rPr>
        <w:t>本合同应按照中华人民共和国的现行法律进行解释。</w:t>
      </w:r>
    </w:p>
    <w:p w14:paraId="5DA9434A">
      <w:pPr>
        <w:spacing w:line="360" w:lineRule="auto"/>
        <w:rPr>
          <w:b/>
          <w:sz w:val="24"/>
        </w:rPr>
      </w:pPr>
      <w:r>
        <w:rPr>
          <w:b/>
          <w:sz w:val="24"/>
        </w:rPr>
        <w:t>12.合同生效及其它</w:t>
      </w:r>
    </w:p>
    <w:p w14:paraId="385C6732">
      <w:pPr>
        <w:spacing w:line="360" w:lineRule="auto"/>
        <w:ind w:left="420"/>
        <w:rPr>
          <w:color w:val="000000"/>
          <w:sz w:val="24"/>
        </w:rPr>
      </w:pPr>
      <w:r>
        <w:rPr>
          <w:sz w:val="24"/>
        </w:rPr>
        <w:t>12.1</w:t>
      </w:r>
      <w:r>
        <w:rPr>
          <w:color w:val="000000"/>
          <w:sz w:val="24"/>
        </w:rPr>
        <w:t>本合同经双方签字盖章后合同生效。</w:t>
      </w:r>
    </w:p>
    <w:p w14:paraId="6357AB39">
      <w:pPr>
        <w:spacing w:line="360" w:lineRule="auto"/>
        <w:ind w:left="420"/>
        <w:rPr>
          <w:sz w:val="24"/>
        </w:rPr>
      </w:pPr>
      <w:r>
        <w:rPr>
          <w:sz w:val="24"/>
        </w:rPr>
        <w:t>12.2</w:t>
      </w:r>
      <w:r>
        <w:rPr>
          <w:rFonts w:hint="eastAsia"/>
          <w:sz w:val="24"/>
        </w:rPr>
        <w:t>本合同一式陆份，均以中文书写；甲方执肆份，乙方执二份。</w:t>
      </w:r>
    </w:p>
    <w:p w14:paraId="2C873162">
      <w:pPr>
        <w:spacing w:line="360" w:lineRule="auto"/>
        <w:ind w:left="420"/>
        <w:rPr>
          <w:sz w:val="24"/>
        </w:rPr>
      </w:pPr>
      <w:r>
        <w:rPr>
          <w:sz w:val="24"/>
        </w:rPr>
        <w:t>12.3本合同在执行过程中，若有异议，双方可进行协商解决；如协商不能解决，应在买方所在地人民法院进行裁决。</w:t>
      </w:r>
    </w:p>
    <w:p w14:paraId="2B3F68BB">
      <w:pPr>
        <w:spacing w:line="360" w:lineRule="auto"/>
        <w:rPr>
          <w:b/>
          <w:sz w:val="24"/>
        </w:rPr>
      </w:pPr>
      <w:r>
        <w:rPr>
          <w:b/>
          <w:sz w:val="24"/>
        </w:rPr>
        <w:t>13.合同修改</w:t>
      </w:r>
    </w:p>
    <w:p w14:paraId="4D5B833A">
      <w:pPr>
        <w:spacing w:line="360" w:lineRule="auto"/>
        <w:ind w:left="420"/>
        <w:rPr>
          <w:sz w:val="24"/>
        </w:rPr>
      </w:pPr>
      <w:r>
        <w:rPr>
          <w:sz w:val="24"/>
        </w:rPr>
        <w:t>本合同在执行过程中，如提出修改，由甲、乙双方签署书面修改协议，并成为本合同不可分割的一部分。除此之外，本合同的条件不得有任何变化或修改。</w:t>
      </w:r>
    </w:p>
    <w:p w14:paraId="6946E66A">
      <w:pPr>
        <w:spacing w:line="360" w:lineRule="auto"/>
        <w:rPr>
          <w:b/>
          <w:sz w:val="24"/>
        </w:rPr>
      </w:pPr>
      <w:r>
        <w:rPr>
          <w:b/>
          <w:sz w:val="24"/>
        </w:rPr>
        <w:t>14.合同附件</w:t>
      </w:r>
    </w:p>
    <w:p w14:paraId="5EE76743">
      <w:pPr>
        <w:widowControl/>
        <w:jc w:val="left"/>
        <w:rPr>
          <w:rFonts w:eastAsiaTheme="majorEastAsia"/>
          <w:b/>
          <w:sz w:val="32"/>
          <w:szCs w:val="32"/>
        </w:rPr>
      </w:pPr>
      <w:r>
        <w:rPr>
          <w:sz w:val="24"/>
        </w:rPr>
        <w:t>本合同所有附件是本合同不可分割的部分,与主合同具有同等法律效力。</w:t>
      </w:r>
      <w:r>
        <w:rPr>
          <w:rFonts w:eastAsiaTheme="majorEastAsia"/>
          <w:b/>
          <w:sz w:val="32"/>
          <w:szCs w:val="32"/>
        </w:rPr>
        <w:br w:type="page"/>
      </w:r>
    </w:p>
    <w:p w14:paraId="367732B8">
      <w:pPr>
        <w:spacing w:line="360" w:lineRule="auto"/>
        <w:jc w:val="center"/>
        <w:rPr>
          <w:rFonts w:eastAsiaTheme="majorEastAsia"/>
          <w:b/>
          <w:sz w:val="32"/>
          <w:szCs w:val="32"/>
        </w:rPr>
      </w:pPr>
      <w:r>
        <w:rPr>
          <w:rFonts w:eastAsiaTheme="majorEastAsia"/>
          <w:b/>
          <w:sz w:val="32"/>
          <w:szCs w:val="32"/>
        </w:rPr>
        <w:t>第四章合同专用条款</w:t>
      </w:r>
    </w:p>
    <w:p w14:paraId="129DC7D4">
      <w:pPr>
        <w:spacing w:line="360" w:lineRule="auto"/>
        <w:ind w:firstLine="240" w:firstLineChars="100"/>
        <w:rPr>
          <w:rFonts w:eastAsiaTheme="majorEastAsia"/>
          <w:b/>
          <w:sz w:val="32"/>
          <w:szCs w:val="32"/>
        </w:rPr>
      </w:pPr>
      <w:r>
        <w:rPr>
          <w:rFonts w:eastAsiaTheme="majorEastAsia"/>
          <w:sz w:val="24"/>
          <w:szCs w:val="24"/>
        </w:rPr>
        <w:t>本表是对《合同通用条款》的具体补充和修改，如有矛盾，应以本表为准。</w:t>
      </w:r>
    </w:p>
    <w:tbl>
      <w:tblPr>
        <w:tblStyle w:val="21"/>
        <w:tblW w:w="9048"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28" w:type="dxa"/>
          <w:bottom w:w="0" w:type="dxa"/>
          <w:right w:w="28" w:type="dxa"/>
        </w:tblCellMar>
      </w:tblPr>
      <w:tblGrid>
        <w:gridCol w:w="1839"/>
        <w:gridCol w:w="7209"/>
      </w:tblGrid>
      <w:tr w14:paraId="3A36D8C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00" w:hRule="atLeast"/>
          <w:jc w:val="center"/>
        </w:trPr>
        <w:tc>
          <w:tcPr>
            <w:tcW w:w="1839" w:type="dxa"/>
            <w:vAlign w:val="center"/>
          </w:tcPr>
          <w:p w14:paraId="57A44A7B">
            <w:pPr>
              <w:spacing w:line="360" w:lineRule="auto"/>
              <w:jc w:val="center"/>
              <w:rPr>
                <w:rFonts w:eastAsiaTheme="majorEastAsia"/>
                <w:sz w:val="24"/>
                <w:szCs w:val="24"/>
              </w:rPr>
            </w:pPr>
            <w:r>
              <w:rPr>
                <w:rFonts w:eastAsiaTheme="majorEastAsia"/>
                <w:sz w:val="24"/>
                <w:szCs w:val="24"/>
              </w:rPr>
              <w:t>条款号</w:t>
            </w:r>
          </w:p>
        </w:tc>
        <w:tc>
          <w:tcPr>
            <w:tcW w:w="7209" w:type="dxa"/>
            <w:vAlign w:val="center"/>
          </w:tcPr>
          <w:p w14:paraId="7DD4A653">
            <w:pPr>
              <w:spacing w:line="360" w:lineRule="auto"/>
              <w:jc w:val="center"/>
              <w:rPr>
                <w:rFonts w:eastAsiaTheme="majorEastAsia"/>
                <w:sz w:val="24"/>
                <w:szCs w:val="24"/>
              </w:rPr>
            </w:pPr>
            <w:r>
              <w:rPr>
                <w:rFonts w:eastAsiaTheme="majorEastAsia"/>
                <w:sz w:val="24"/>
                <w:szCs w:val="24"/>
              </w:rPr>
              <w:t>内容</w:t>
            </w:r>
          </w:p>
        </w:tc>
      </w:tr>
      <w:tr w14:paraId="57E3AE8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1061" w:hRule="atLeast"/>
          <w:jc w:val="center"/>
        </w:trPr>
        <w:tc>
          <w:tcPr>
            <w:tcW w:w="1839" w:type="dxa"/>
            <w:vAlign w:val="center"/>
          </w:tcPr>
          <w:p w14:paraId="79715641">
            <w:pPr>
              <w:spacing w:line="360" w:lineRule="auto"/>
              <w:jc w:val="center"/>
              <w:rPr>
                <w:rFonts w:eastAsiaTheme="majorEastAsia"/>
                <w:sz w:val="24"/>
                <w:szCs w:val="24"/>
              </w:rPr>
            </w:pPr>
            <w:r>
              <w:rPr>
                <w:rFonts w:eastAsiaTheme="majorEastAsia"/>
                <w:sz w:val="24"/>
                <w:szCs w:val="24"/>
              </w:rPr>
              <w:t>1</w:t>
            </w:r>
            <w:r>
              <w:rPr>
                <w:rFonts w:hint="eastAsia" w:eastAsiaTheme="majorEastAsia"/>
                <w:sz w:val="24"/>
                <w:szCs w:val="24"/>
              </w:rPr>
              <w:t>-</w:t>
            </w:r>
            <w:r>
              <w:rPr>
                <w:rFonts w:eastAsiaTheme="majorEastAsia"/>
                <w:sz w:val="24"/>
                <w:szCs w:val="24"/>
              </w:rPr>
              <w:t>5）</w:t>
            </w:r>
          </w:p>
        </w:tc>
        <w:tc>
          <w:tcPr>
            <w:tcW w:w="7209" w:type="dxa"/>
            <w:vAlign w:val="center"/>
          </w:tcPr>
          <w:p w14:paraId="2433EA8E">
            <w:pPr>
              <w:widowControl/>
              <w:spacing w:line="440" w:lineRule="exact"/>
              <w:jc w:val="left"/>
              <w:rPr>
                <w:rFonts w:eastAsiaTheme="majorEastAsia"/>
                <w:sz w:val="24"/>
                <w:szCs w:val="24"/>
              </w:rPr>
            </w:pPr>
            <w:r>
              <w:rPr>
                <w:rFonts w:eastAsiaTheme="majorEastAsia"/>
                <w:sz w:val="24"/>
                <w:szCs w:val="24"/>
              </w:rPr>
              <w:t>买方名称</w:t>
            </w:r>
            <w:r>
              <w:rPr>
                <w:rFonts w:hint="eastAsia" w:eastAsiaTheme="majorEastAsia"/>
                <w:sz w:val="24"/>
                <w:szCs w:val="24"/>
              </w:rPr>
              <w:t>：西安市第八医院</w:t>
            </w:r>
          </w:p>
          <w:p w14:paraId="334923A5">
            <w:pPr>
              <w:widowControl/>
              <w:spacing w:line="440" w:lineRule="exact"/>
              <w:jc w:val="left"/>
              <w:rPr>
                <w:sz w:val="24"/>
                <w:szCs w:val="24"/>
              </w:rPr>
            </w:pPr>
            <w:r>
              <w:rPr>
                <w:rFonts w:hint="eastAsia" w:eastAsiaTheme="majorEastAsia"/>
                <w:sz w:val="24"/>
                <w:szCs w:val="24"/>
              </w:rPr>
              <w:t>地址：丈八东路2号</w:t>
            </w:r>
          </w:p>
        </w:tc>
      </w:tr>
      <w:tr w14:paraId="6B34481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29" w:hRule="atLeast"/>
          <w:jc w:val="center"/>
        </w:trPr>
        <w:tc>
          <w:tcPr>
            <w:tcW w:w="1839" w:type="dxa"/>
            <w:vAlign w:val="center"/>
          </w:tcPr>
          <w:p w14:paraId="105C3F58">
            <w:pPr>
              <w:spacing w:line="360" w:lineRule="auto"/>
              <w:jc w:val="center"/>
              <w:rPr>
                <w:rFonts w:eastAsiaTheme="majorEastAsia"/>
                <w:sz w:val="24"/>
                <w:szCs w:val="24"/>
              </w:rPr>
            </w:pPr>
            <w:r>
              <w:rPr>
                <w:rFonts w:eastAsiaTheme="majorEastAsia"/>
                <w:sz w:val="24"/>
                <w:szCs w:val="24"/>
              </w:rPr>
              <w:t>1</w:t>
            </w:r>
            <w:r>
              <w:rPr>
                <w:rFonts w:hint="eastAsia" w:eastAsiaTheme="majorEastAsia"/>
                <w:sz w:val="24"/>
                <w:szCs w:val="24"/>
              </w:rPr>
              <w:t>-</w:t>
            </w:r>
            <w:r>
              <w:rPr>
                <w:rFonts w:eastAsiaTheme="majorEastAsia"/>
                <w:sz w:val="24"/>
                <w:szCs w:val="24"/>
              </w:rPr>
              <w:t>6）</w:t>
            </w:r>
          </w:p>
        </w:tc>
        <w:tc>
          <w:tcPr>
            <w:tcW w:w="7209" w:type="dxa"/>
            <w:vAlign w:val="center"/>
          </w:tcPr>
          <w:p w14:paraId="67EFE045">
            <w:pPr>
              <w:spacing w:line="360" w:lineRule="auto"/>
              <w:rPr>
                <w:rFonts w:eastAsiaTheme="majorEastAsia"/>
                <w:sz w:val="24"/>
                <w:szCs w:val="24"/>
              </w:rPr>
            </w:pPr>
            <w:r>
              <w:rPr>
                <w:rFonts w:eastAsiaTheme="majorEastAsia"/>
                <w:sz w:val="24"/>
                <w:szCs w:val="24"/>
              </w:rPr>
              <w:t>卖方：成交供应商</w:t>
            </w:r>
          </w:p>
        </w:tc>
      </w:tr>
      <w:tr w14:paraId="38A4604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917" w:hRule="atLeast"/>
          <w:jc w:val="center"/>
        </w:trPr>
        <w:tc>
          <w:tcPr>
            <w:tcW w:w="1839" w:type="dxa"/>
            <w:vAlign w:val="center"/>
          </w:tcPr>
          <w:p w14:paraId="0573027E">
            <w:pPr>
              <w:spacing w:line="360" w:lineRule="auto"/>
              <w:jc w:val="center"/>
              <w:rPr>
                <w:rFonts w:eastAsiaTheme="majorEastAsia"/>
                <w:sz w:val="24"/>
                <w:szCs w:val="24"/>
              </w:rPr>
            </w:pPr>
            <w:r>
              <w:rPr>
                <w:rFonts w:eastAsiaTheme="majorEastAsia"/>
                <w:sz w:val="24"/>
                <w:szCs w:val="24"/>
              </w:rPr>
              <w:t>4</w:t>
            </w:r>
          </w:p>
        </w:tc>
        <w:tc>
          <w:tcPr>
            <w:tcW w:w="7209" w:type="dxa"/>
            <w:vAlign w:val="center"/>
          </w:tcPr>
          <w:p w14:paraId="25223308">
            <w:pPr>
              <w:spacing w:line="360" w:lineRule="auto"/>
              <w:rPr>
                <w:rFonts w:eastAsiaTheme="majorEastAsia"/>
                <w:sz w:val="24"/>
                <w:szCs w:val="24"/>
              </w:rPr>
            </w:pPr>
            <w:r>
              <w:rPr>
                <w:rFonts w:hint="eastAsia" w:eastAsiaTheme="majorEastAsia"/>
                <w:sz w:val="24"/>
                <w:szCs w:val="24"/>
              </w:rPr>
              <w:t>项目</w:t>
            </w:r>
            <w:r>
              <w:rPr>
                <w:rFonts w:eastAsiaTheme="majorEastAsia"/>
                <w:sz w:val="24"/>
                <w:szCs w:val="24"/>
              </w:rPr>
              <w:t>地点：</w:t>
            </w:r>
            <w:r>
              <w:rPr>
                <w:rFonts w:hint="eastAsia"/>
                <w:sz w:val="24"/>
                <w:szCs w:val="24"/>
              </w:rPr>
              <w:t>买方</w:t>
            </w:r>
            <w:r>
              <w:rPr>
                <w:sz w:val="24"/>
                <w:szCs w:val="24"/>
              </w:rPr>
              <w:t>指定地点</w:t>
            </w:r>
            <w:r>
              <w:rPr>
                <w:rFonts w:eastAsiaTheme="majorEastAsia"/>
                <w:sz w:val="24"/>
                <w:szCs w:val="24"/>
              </w:rPr>
              <w:t>。</w:t>
            </w:r>
          </w:p>
          <w:p w14:paraId="7CD56607">
            <w:pPr>
              <w:spacing w:line="360" w:lineRule="auto"/>
              <w:rPr>
                <w:rFonts w:eastAsiaTheme="majorEastAsia"/>
                <w:sz w:val="24"/>
                <w:szCs w:val="24"/>
              </w:rPr>
            </w:pPr>
            <w:r>
              <w:rPr>
                <w:rFonts w:hint="eastAsia" w:eastAsiaTheme="majorEastAsia"/>
                <w:sz w:val="24"/>
                <w:szCs w:val="24"/>
              </w:rPr>
              <w:t>服务</w:t>
            </w:r>
            <w:r>
              <w:rPr>
                <w:rFonts w:eastAsiaTheme="majorEastAsia"/>
                <w:sz w:val="24"/>
                <w:szCs w:val="24"/>
              </w:rPr>
              <w:t>期：</w:t>
            </w:r>
            <w:r>
              <w:rPr>
                <w:rFonts w:hint="eastAsia" w:eastAsiaTheme="majorEastAsia"/>
                <w:sz w:val="24"/>
                <w:szCs w:val="24"/>
                <w:highlight w:val="none"/>
              </w:rPr>
              <w:t>自合同签订之日起1年</w:t>
            </w:r>
            <w:r>
              <w:rPr>
                <w:rFonts w:hint="eastAsia"/>
                <w:sz w:val="24"/>
                <w:szCs w:val="24"/>
                <w:highlight w:val="none"/>
              </w:rPr>
              <w:t>。</w:t>
            </w:r>
          </w:p>
        </w:tc>
      </w:tr>
      <w:tr w14:paraId="75729D1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1532" w:hRule="atLeast"/>
          <w:jc w:val="center"/>
        </w:trPr>
        <w:tc>
          <w:tcPr>
            <w:tcW w:w="1839" w:type="dxa"/>
            <w:vAlign w:val="center"/>
          </w:tcPr>
          <w:p w14:paraId="1BC1E0CD">
            <w:pPr>
              <w:spacing w:line="360" w:lineRule="auto"/>
              <w:jc w:val="center"/>
              <w:rPr>
                <w:sz w:val="24"/>
                <w:szCs w:val="24"/>
              </w:rPr>
            </w:pPr>
            <w:r>
              <w:rPr>
                <w:sz w:val="24"/>
                <w:szCs w:val="24"/>
              </w:rPr>
              <w:t>5.2</w:t>
            </w:r>
          </w:p>
        </w:tc>
        <w:tc>
          <w:tcPr>
            <w:tcW w:w="7209" w:type="dxa"/>
            <w:vAlign w:val="center"/>
          </w:tcPr>
          <w:p w14:paraId="2DD86919">
            <w:pPr>
              <w:spacing w:line="360" w:lineRule="auto"/>
              <w:rPr>
                <w:sz w:val="24"/>
                <w:szCs w:val="24"/>
                <w:highlight w:val="none"/>
              </w:rPr>
            </w:pPr>
            <w:r>
              <w:rPr>
                <w:sz w:val="24"/>
                <w:szCs w:val="24"/>
                <w:highlight w:val="none"/>
              </w:rPr>
              <w:t>付款计划：</w:t>
            </w:r>
          </w:p>
          <w:p w14:paraId="456282EB">
            <w:pPr>
              <w:tabs>
                <w:tab w:val="left" w:pos="360"/>
              </w:tabs>
              <w:spacing w:line="360" w:lineRule="auto"/>
              <w:rPr>
                <w:sz w:val="24"/>
                <w:szCs w:val="24"/>
                <w:highlight w:val="none"/>
              </w:rPr>
            </w:pPr>
            <w:r>
              <w:rPr>
                <w:rFonts w:hint="eastAsia"/>
                <w:sz w:val="24"/>
                <w:szCs w:val="24"/>
                <w:highlight w:val="none"/>
              </w:rPr>
              <w:t>1、合同签订之日起10个工作日付合同总的80%款项，服务到期</w:t>
            </w:r>
            <w:r>
              <w:rPr>
                <w:rFonts w:hint="eastAsia"/>
                <w:sz w:val="24"/>
                <w:szCs w:val="24"/>
                <w:highlight w:val="none"/>
                <w:lang w:val="en-US" w:eastAsia="zh-CN"/>
              </w:rPr>
              <w:t>验收合格</w:t>
            </w:r>
            <w:r>
              <w:rPr>
                <w:rFonts w:hint="eastAsia"/>
                <w:sz w:val="24"/>
                <w:szCs w:val="24"/>
                <w:highlight w:val="none"/>
              </w:rPr>
              <w:t>后付合同剩余20%款项。</w:t>
            </w:r>
          </w:p>
          <w:p w14:paraId="517B1C4F">
            <w:pPr>
              <w:tabs>
                <w:tab w:val="left" w:pos="360"/>
              </w:tabs>
              <w:spacing w:line="360" w:lineRule="auto"/>
              <w:rPr>
                <w:rFonts w:hint="default" w:eastAsia="宋体"/>
                <w:sz w:val="24"/>
                <w:szCs w:val="24"/>
                <w:highlight w:val="none"/>
                <w:lang w:val="en-US" w:eastAsia="zh-CN"/>
              </w:rPr>
            </w:pPr>
            <w:r>
              <w:rPr>
                <w:sz w:val="24"/>
                <w:szCs w:val="24"/>
                <w:highlight w:val="none"/>
              </w:rPr>
              <w:t>2</w:t>
            </w:r>
            <w:r>
              <w:rPr>
                <w:rFonts w:hint="eastAsia"/>
                <w:sz w:val="24"/>
                <w:szCs w:val="24"/>
                <w:highlight w:val="none"/>
              </w:rPr>
              <w:t>、付款方式：</w:t>
            </w:r>
            <w:r>
              <w:rPr>
                <w:rFonts w:hint="eastAsia"/>
                <w:sz w:val="24"/>
                <w:szCs w:val="24"/>
                <w:highlight w:val="none"/>
                <w:lang w:val="en-US" w:eastAsia="zh-CN"/>
              </w:rPr>
              <w:t>向卖方指定</w:t>
            </w:r>
            <w:r>
              <w:rPr>
                <w:rFonts w:hint="eastAsia"/>
                <w:sz w:val="24"/>
                <w:szCs w:val="24"/>
                <w:highlight w:val="none"/>
              </w:rPr>
              <w:t>银行</w:t>
            </w:r>
            <w:r>
              <w:rPr>
                <w:rFonts w:hint="eastAsia"/>
                <w:sz w:val="24"/>
                <w:szCs w:val="24"/>
                <w:highlight w:val="none"/>
                <w:lang w:val="en-US" w:eastAsia="zh-CN"/>
              </w:rPr>
              <w:t>账户</w:t>
            </w:r>
            <w:r>
              <w:rPr>
                <w:rFonts w:hint="eastAsia"/>
                <w:sz w:val="24"/>
                <w:szCs w:val="24"/>
                <w:highlight w:val="none"/>
              </w:rPr>
              <w:t>转账</w:t>
            </w:r>
            <w:r>
              <w:rPr>
                <w:rFonts w:hint="eastAsia"/>
                <w:sz w:val="24"/>
                <w:szCs w:val="24"/>
                <w:highlight w:val="none"/>
                <w:lang w:eastAsia="zh-CN"/>
              </w:rPr>
              <w:t>，</w:t>
            </w:r>
            <w:r>
              <w:rPr>
                <w:rFonts w:hint="eastAsia"/>
                <w:sz w:val="24"/>
                <w:szCs w:val="24"/>
                <w:highlight w:val="none"/>
                <w:lang w:val="en-US" w:eastAsia="zh-CN"/>
              </w:rPr>
              <w:t>卖方如需修改账户，应提前10个工作日以书面形式告知买方。</w:t>
            </w:r>
          </w:p>
          <w:p w14:paraId="220FCE63">
            <w:pPr>
              <w:pStyle w:val="9"/>
              <w:spacing w:after="0" w:line="360" w:lineRule="auto"/>
              <w:rPr>
                <w:rFonts w:hint="default" w:eastAsia="宋体"/>
                <w:highlight w:val="none"/>
                <w:lang w:val="en-US" w:eastAsia="zh-CN"/>
              </w:rPr>
            </w:pPr>
            <w:r>
              <w:rPr>
                <w:rFonts w:hint="eastAsia"/>
                <w:sz w:val="24"/>
                <w:szCs w:val="24"/>
                <w:highlight w:val="none"/>
              </w:rPr>
              <w:t>3、结算方式：成交方持成交通知书、供货合同、符合甲方要求的发票（按合同总价值开甲方）、验收单、履约保函，到甲方办理资金结算。</w:t>
            </w:r>
            <w:r>
              <w:rPr>
                <w:rFonts w:hint="eastAsia"/>
                <w:sz w:val="24"/>
                <w:szCs w:val="24"/>
                <w:highlight w:val="none"/>
                <w:lang w:val="en-US" w:eastAsia="zh-CN"/>
              </w:rPr>
              <w:t>若成交方提供内容不符合甲方要求或未按时提供，甲方有权延期付款且不负任何责任。</w:t>
            </w:r>
          </w:p>
        </w:tc>
      </w:tr>
      <w:tr w14:paraId="40809A3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1532" w:hRule="atLeast"/>
          <w:jc w:val="center"/>
        </w:trPr>
        <w:tc>
          <w:tcPr>
            <w:tcW w:w="1839" w:type="dxa"/>
            <w:vAlign w:val="center"/>
          </w:tcPr>
          <w:p w14:paraId="16E0C990">
            <w:pPr>
              <w:spacing w:line="360" w:lineRule="auto"/>
              <w:jc w:val="center"/>
              <w:rPr>
                <w:sz w:val="24"/>
                <w:szCs w:val="24"/>
                <w:highlight w:val="none"/>
              </w:rPr>
            </w:pPr>
            <w:r>
              <w:rPr>
                <w:rFonts w:hint="eastAsia"/>
                <w:sz w:val="24"/>
                <w:szCs w:val="24"/>
                <w:highlight w:val="none"/>
              </w:rPr>
              <w:t>7.3</w:t>
            </w:r>
          </w:p>
        </w:tc>
        <w:tc>
          <w:tcPr>
            <w:tcW w:w="7209" w:type="dxa"/>
            <w:vAlign w:val="center"/>
          </w:tcPr>
          <w:p w14:paraId="5AC81FFE">
            <w:pPr>
              <w:tabs>
                <w:tab w:val="left" w:pos="360"/>
              </w:tabs>
              <w:spacing w:line="360" w:lineRule="auto"/>
              <w:rPr>
                <w:sz w:val="24"/>
                <w:szCs w:val="24"/>
                <w:highlight w:val="none"/>
              </w:rPr>
            </w:pPr>
            <w:r>
              <w:rPr>
                <w:rFonts w:hint="eastAsia"/>
                <w:sz w:val="24"/>
                <w:szCs w:val="24"/>
                <w:highlight w:val="none"/>
              </w:rPr>
              <w:t>1、远程运维服务：在运维服务期内，</w:t>
            </w:r>
            <w:r>
              <w:rPr>
                <w:rFonts w:hint="eastAsia"/>
                <w:sz w:val="24"/>
                <w:szCs w:val="24"/>
                <w:highlight w:val="none"/>
                <w:lang w:val="en-US" w:eastAsia="zh-CN"/>
              </w:rPr>
              <w:t>24小时</w:t>
            </w:r>
            <w:r>
              <w:rPr>
                <w:rFonts w:hint="eastAsia"/>
                <w:sz w:val="24"/>
                <w:szCs w:val="24"/>
                <w:highlight w:val="none"/>
              </w:rPr>
              <w:t>提供运维工程师远程支持服务以及400客户服务电话支持。</w:t>
            </w:r>
          </w:p>
          <w:p w14:paraId="31207993">
            <w:pPr>
              <w:tabs>
                <w:tab w:val="left" w:pos="360"/>
              </w:tabs>
              <w:spacing w:line="360" w:lineRule="auto"/>
              <w:rPr>
                <w:sz w:val="24"/>
                <w:szCs w:val="24"/>
                <w:highlight w:val="none"/>
              </w:rPr>
            </w:pPr>
            <w:r>
              <w:rPr>
                <w:rFonts w:hint="eastAsia"/>
                <w:sz w:val="24"/>
                <w:szCs w:val="24"/>
                <w:highlight w:val="none"/>
              </w:rPr>
              <w:t>2、巡检服务：在运维服务期内，</w:t>
            </w:r>
            <w:r>
              <w:rPr>
                <w:rFonts w:hint="eastAsia"/>
                <w:sz w:val="24"/>
                <w:szCs w:val="24"/>
                <w:highlight w:val="none"/>
                <w:lang w:val="en-US" w:eastAsia="zh-CN"/>
              </w:rPr>
              <w:t>每月提供</w:t>
            </w:r>
            <w:r>
              <w:rPr>
                <w:rFonts w:hint="eastAsia"/>
                <w:sz w:val="24"/>
                <w:szCs w:val="24"/>
                <w:highlight w:val="none"/>
              </w:rPr>
              <w:t>巡检服务，及时发现系统运行中出现的隐患，减少系统发生故障的概率，保障系统的稳定运行。</w:t>
            </w:r>
          </w:p>
          <w:p w14:paraId="1042AEA3">
            <w:pPr>
              <w:tabs>
                <w:tab w:val="left" w:pos="360"/>
              </w:tabs>
              <w:spacing w:line="360" w:lineRule="auto"/>
              <w:rPr>
                <w:sz w:val="24"/>
                <w:szCs w:val="24"/>
                <w:highlight w:val="none"/>
              </w:rPr>
            </w:pPr>
            <w:r>
              <w:rPr>
                <w:rFonts w:hint="eastAsia"/>
                <w:sz w:val="24"/>
                <w:szCs w:val="24"/>
                <w:highlight w:val="none"/>
              </w:rPr>
              <w:t>3、系统优化服务：在运维服务期内，不定期提供系统优化服务。</w:t>
            </w:r>
          </w:p>
        </w:tc>
      </w:tr>
      <w:tr w14:paraId="4EA8E80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1146" w:hRule="atLeast"/>
          <w:jc w:val="center"/>
        </w:trPr>
        <w:tc>
          <w:tcPr>
            <w:tcW w:w="1839" w:type="dxa"/>
            <w:vAlign w:val="center"/>
          </w:tcPr>
          <w:p w14:paraId="0BDC2269">
            <w:pPr>
              <w:jc w:val="center"/>
              <w:rPr>
                <w:sz w:val="24"/>
                <w:szCs w:val="24"/>
              </w:rPr>
            </w:pPr>
            <w:r>
              <w:rPr>
                <w:sz w:val="24"/>
                <w:szCs w:val="24"/>
              </w:rPr>
              <w:t>8</w:t>
            </w:r>
          </w:p>
        </w:tc>
        <w:tc>
          <w:tcPr>
            <w:tcW w:w="7209" w:type="dxa"/>
            <w:vAlign w:val="center"/>
          </w:tcPr>
          <w:p w14:paraId="52D1FC13">
            <w:pPr>
              <w:spacing w:line="360" w:lineRule="auto"/>
              <w:jc w:val="left"/>
              <w:rPr>
                <w:sz w:val="24"/>
                <w:szCs w:val="24"/>
                <w:highlight w:val="none"/>
              </w:rPr>
            </w:pPr>
            <w:r>
              <w:rPr>
                <w:rFonts w:eastAsiaTheme="majorEastAsia"/>
                <w:sz w:val="24"/>
                <w:szCs w:val="24"/>
                <w:highlight w:val="none"/>
              </w:rPr>
              <w:t>验收方式及验收依据：</w:t>
            </w:r>
            <w:r>
              <w:rPr>
                <w:rFonts w:hint="eastAsia" w:eastAsiaTheme="majorEastAsia"/>
                <w:sz w:val="24"/>
                <w:szCs w:val="24"/>
                <w:highlight w:val="none"/>
              </w:rPr>
              <w:t>国家相关标准，若国家无相关标准，以行业标准为准。</w:t>
            </w:r>
          </w:p>
        </w:tc>
      </w:tr>
    </w:tbl>
    <w:p w14:paraId="01616623">
      <w:pPr>
        <w:shd w:val="clear" w:color="auto" w:fill="FFFFFF"/>
        <w:spacing w:line="360" w:lineRule="auto"/>
        <w:ind w:firstLine="170" w:firstLineChars="47"/>
        <w:jc w:val="center"/>
        <w:rPr>
          <w:b/>
          <w:sz w:val="36"/>
          <w:szCs w:val="36"/>
        </w:rPr>
      </w:pPr>
      <w:r>
        <w:rPr>
          <w:b/>
          <w:sz w:val="36"/>
          <w:szCs w:val="36"/>
        </w:rPr>
        <w:br w:type="page"/>
      </w:r>
      <w:r>
        <w:rPr>
          <w:b/>
          <w:sz w:val="32"/>
          <w:szCs w:val="32"/>
        </w:rPr>
        <w:t>第五章合同格式</w:t>
      </w:r>
    </w:p>
    <w:p w14:paraId="552B09B2">
      <w:pPr>
        <w:rPr>
          <w:b/>
          <w:sz w:val="44"/>
          <w:szCs w:val="44"/>
        </w:rPr>
      </w:pPr>
    </w:p>
    <w:p w14:paraId="7FE77CA2">
      <w:pPr>
        <w:rPr>
          <w:sz w:val="24"/>
          <w:szCs w:val="24"/>
        </w:rPr>
      </w:pPr>
      <w:r>
        <w:rPr>
          <w:rFonts w:eastAsiaTheme="minorEastAsia"/>
          <w:sz w:val="24"/>
          <w:szCs w:val="24"/>
        </w:rPr>
        <w:t>1.合同封面格式</w:t>
      </w:r>
    </w:p>
    <w:tbl>
      <w:tblPr>
        <w:tblStyle w:val="21"/>
        <w:tblW w:w="8295" w:type="dxa"/>
        <w:tblInd w:w="0" w:type="dxa"/>
        <w:tblLayout w:type="fixed"/>
        <w:tblCellMar>
          <w:top w:w="0" w:type="dxa"/>
          <w:left w:w="0" w:type="dxa"/>
          <w:bottom w:w="0" w:type="dxa"/>
          <w:right w:w="0" w:type="dxa"/>
        </w:tblCellMar>
      </w:tblPr>
      <w:tblGrid>
        <w:gridCol w:w="2548"/>
        <w:gridCol w:w="5747"/>
      </w:tblGrid>
      <w:tr w14:paraId="0C991CB6">
        <w:tblPrEx>
          <w:tblCellMar>
            <w:top w:w="0" w:type="dxa"/>
            <w:left w:w="0" w:type="dxa"/>
            <w:bottom w:w="0" w:type="dxa"/>
            <w:right w:w="0" w:type="dxa"/>
          </w:tblCellMar>
        </w:tblPrEx>
        <w:trPr>
          <w:trHeight w:val="529" w:hRule="atLeast"/>
        </w:trPr>
        <w:tc>
          <w:tcPr>
            <w:tcW w:w="8295" w:type="dxa"/>
            <w:gridSpan w:val="2"/>
            <w:tcBorders>
              <w:top w:val="nil"/>
              <w:left w:val="nil"/>
              <w:bottom w:val="nil"/>
              <w:right w:val="nil"/>
            </w:tcBorders>
            <w:tcMar>
              <w:top w:w="15" w:type="dxa"/>
              <w:left w:w="15" w:type="dxa"/>
              <w:bottom w:w="0" w:type="dxa"/>
              <w:right w:w="15" w:type="dxa"/>
            </w:tcMar>
            <w:vAlign w:val="bottom"/>
          </w:tcPr>
          <w:p w14:paraId="1878D930">
            <w:pPr>
              <w:spacing w:before="156" w:beforeLines="50" w:after="156" w:afterLines="50" w:line="360" w:lineRule="auto"/>
              <w:ind w:firstLine="6023" w:firstLineChars="2500"/>
              <w:rPr>
                <w:rFonts w:eastAsiaTheme="minorEastAsia"/>
                <w:b/>
                <w:bCs/>
                <w:sz w:val="24"/>
                <w:szCs w:val="24"/>
              </w:rPr>
            </w:pPr>
            <w:r>
              <w:rPr>
                <w:rFonts w:eastAsiaTheme="minorEastAsia"/>
                <w:b/>
                <w:bCs/>
                <w:sz w:val="24"/>
                <w:szCs w:val="24"/>
              </w:rPr>
              <w:t>项目</w:t>
            </w:r>
          </w:p>
        </w:tc>
      </w:tr>
      <w:tr w14:paraId="3A83691A">
        <w:tblPrEx>
          <w:tblCellMar>
            <w:top w:w="0" w:type="dxa"/>
            <w:left w:w="0" w:type="dxa"/>
            <w:bottom w:w="0" w:type="dxa"/>
            <w:right w:w="0" w:type="dxa"/>
          </w:tblCellMar>
        </w:tblPrEx>
        <w:trPr>
          <w:trHeight w:val="518" w:hRule="atLeast"/>
        </w:trPr>
        <w:tc>
          <w:tcPr>
            <w:tcW w:w="8295" w:type="dxa"/>
            <w:gridSpan w:val="2"/>
            <w:tcBorders>
              <w:top w:val="nil"/>
              <w:left w:val="nil"/>
              <w:bottom w:val="nil"/>
              <w:right w:val="nil"/>
            </w:tcBorders>
            <w:tcMar>
              <w:top w:w="15" w:type="dxa"/>
              <w:left w:w="15" w:type="dxa"/>
              <w:bottom w:w="0" w:type="dxa"/>
              <w:right w:w="15" w:type="dxa"/>
            </w:tcMar>
            <w:vAlign w:val="bottom"/>
          </w:tcPr>
          <w:p w14:paraId="2C9D1904">
            <w:pPr>
              <w:spacing w:before="156" w:beforeLines="50" w:after="156" w:afterLines="50" w:line="360" w:lineRule="auto"/>
              <w:jc w:val="center"/>
              <w:rPr>
                <w:rFonts w:eastAsiaTheme="minorEastAsia"/>
                <w:b/>
                <w:bCs/>
                <w:sz w:val="24"/>
                <w:szCs w:val="24"/>
              </w:rPr>
            </w:pPr>
            <w:r>
              <w:rPr>
                <w:rFonts w:eastAsiaTheme="minorEastAsia"/>
                <w:b/>
                <w:bCs/>
                <w:sz w:val="24"/>
                <w:szCs w:val="24"/>
              </w:rPr>
              <w:t>合同</w:t>
            </w:r>
          </w:p>
        </w:tc>
      </w:tr>
      <w:tr w14:paraId="1C161EC0">
        <w:tblPrEx>
          <w:tblCellMar>
            <w:top w:w="0" w:type="dxa"/>
            <w:left w:w="0" w:type="dxa"/>
            <w:bottom w:w="0" w:type="dxa"/>
            <w:right w:w="0" w:type="dxa"/>
          </w:tblCellMar>
        </w:tblPrEx>
        <w:trPr>
          <w:trHeight w:val="390" w:hRule="atLeast"/>
        </w:trPr>
        <w:tc>
          <w:tcPr>
            <w:tcW w:w="2548" w:type="dxa"/>
            <w:tcBorders>
              <w:top w:val="nil"/>
              <w:left w:val="nil"/>
              <w:bottom w:val="nil"/>
              <w:right w:val="nil"/>
            </w:tcBorders>
            <w:tcMar>
              <w:top w:w="15" w:type="dxa"/>
              <w:left w:w="15" w:type="dxa"/>
              <w:bottom w:w="0" w:type="dxa"/>
              <w:right w:w="15" w:type="dxa"/>
            </w:tcMar>
            <w:vAlign w:val="bottom"/>
          </w:tcPr>
          <w:p w14:paraId="5E6C8961">
            <w:pPr>
              <w:spacing w:before="156" w:beforeLines="50" w:after="156" w:afterLines="50" w:line="360" w:lineRule="auto"/>
              <w:rPr>
                <w:rFonts w:eastAsiaTheme="minorEastAsia"/>
                <w:sz w:val="24"/>
                <w:szCs w:val="24"/>
              </w:rPr>
            </w:pPr>
            <w:r>
              <w:rPr>
                <w:rFonts w:eastAsiaTheme="minorEastAsia"/>
                <w:sz w:val="24"/>
                <w:szCs w:val="24"/>
              </w:rPr>
              <w:t>合同号：</w:t>
            </w:r>
          </w:p>
        </w:tc>
        <w:tc>
          <w:tcPr>
            <w:tcW w:w="5747" w:type="dxa"/>
            <w:tcBorders>
              <w:top w:val="nil"/>
              <w:left w:val="nil"/>
              <w:bottom w:val="nil"/>
              <w:right w:val="nil"/>
            </w:tcBorders>
            <w:tcMar>
              <w:top w:w="15" w:type="dxa"/>
              <w:left w:w="15" w:type="dxa"/>
              <w:bottom w:w="0" w:type="dxa"/>
              <w:right w:w="15" w:type="dxa"/>
            </w:tcMar>
            <w:vAlign w:val="bottom"/>
          </w:tcPr>
          <w:p w14:paraId="5BCD8FFE">
            <w:pPr>
              <w:spacing w:before="156" w:beforeLines="50" w:after="156" w:afterLines="50" w:line="360" w:lineRule="auto"/>
              <w:rPr>
                <w:rFonts w:eastAsiaTheme="minorEastAsia"/>
                <w:sz w:val="24"/>
                <w:szCs w:val="24"/>
              </w:rPr>
            </w:pPr>
          </w:p>
        </w:tc>
      </w:tr>
      <w:tr w14:paraId="6232A090">
        <w:tblPrEx>
          <w:tblCellMar>
            <w:top w:w="0" w:type="dxa"/>
            <w:left w:w="0" w:type="dxa"/>
            <w:bottom w:w="0" w:type="dxa"/>
            <w:right w:w="0" w:type="dxa"/>
          </w:tblCellMar>
        </w:tblPrEx>
        <w:trPr>
          <w:trHeight w:val="390" w:hRule="atLeast"/>
        </w:trPr>
        <w:tc>
          <w:tcPr>
            <w:tcW w:w="2548" w:type="dxa"/>
            <w:tcBorders>
              <w:top w:val="nil"/>
              <w:left w:val="nil"/>
              <w:bottom w:val="nil"/>
              <w:right w:val="nil"/>
            </w:tcBorders>
            <w:tcMar>
              <w:top w:w="15" w:type="dxa"/>
              <w:left w:w="15" w:type="dxa"/>
              <w:bottom w:w="0" w:type="dxa"/>
              <w:right w:w="15" w:type="dxa"/>
            </w:tcMar>
            <w:vAlign w:val="bottom"/>
          </w:tcPr>
          <w:p w14:paraId="1D633D5E">
            <w:pPr>
              <w:spacing w:before="156" w:beforeLines="50" w:after="156" w:afterLines="50" w:line="360" w:lineRule="auto"/>
              <w:rPr>
                <w:rFonts w:eastAsiaTheme="minorEastAsia"/>
                <w:sz w:val="24"/>
                <w:szCs w:val="24"/>
              </w:rPr>
            </w:pPr>
            <w:r>
              <w:rPr>
                <w:rFonts w:eastAsiaTheme="minorEastAsia"/>
                <w:sz w:val="24"/>
                <w:szCs w:val="24"/>
              </w:rPr>
              <w:t>合同签订日期：</w:t>
            </w:r>
          </w:p>
        </w:tc>
        <w:tc>
          <w:tcPr>
            <w:tcW w:w="5747" w:type="dxa"/>
            <w:tcBorders>
              <w:top w:val="nil"/>
              <w:left w:val="nil"/>
              <w:bottom w:val="nil"/>
              <w:right w:val="nil"/>
            </w:tcBorders>
            <w:tcMar>
              <w:top w:w="15" w:type="dxa"/>
              <w:left w:w="15" w:type="dxa"/>
              <w:bottom w:w="0" w:type="dxa"/>
              <w:right w:w="15" w:type="dxa"/>
            </w:tcMar>
            <w:vAlign w:val="bottom"/>
          </w:tcPr>
          <w:p w14:paraId="33FC5A53">
            <w:pPr>
              <w:spacing w:before="156" w:beforeLines="50" w:after="156" w:afterLines="50" w:line="360" w:lineRule="auto"/>
              <w:rPr>
                <w:rFonts w:eastAsiaTheme="minorEastAsia"/>
                <w:sz w:val="24"/>
                <w:szCs w:val="24"/>
              </w:rPr>
            </w:pPr>
            <w:r>
              <w:rPr>
                <w:rFonts w:eastAsiaTheme="minorEastAsia"/>
                <w:sz w:val="24"/>
                <w:szCs w:val="24"/>
              </w:rPr>
              <w:t>202</w:t>
            </w:r>
            <w:r>
              <w:rPr>
                <w:rFonts w:hint="eastAsia" w:eastAsiaTheme="minorEastAsia"/>
                <w:sz w:val="24"/>
                <w:szCs w:val="24"/>
                <w:lang w:val="en-US" w:eastAsia="zh-CN"/>
              </w:rPr>
              <w:t>5</w:t>
            </w:r>
            <w:r>
              <w:rPr>
                <w:rFonts w:eastAsiaTheme="minorEastAsia"/>
                <w:sz w:val="24"/>
                <w:szCs w:val="24"/>
              </w:rPr>
              <w:t>年</w:t>
            </w:r>
            <w:r>
              <w:rPr>
                <w:rFonts w:hint="eastAsia" w:eastAsiaTheme="minorEastAsia"/>
                <w:sz w:val="24"/>
                <w:szCs w:val="24"/>
              </w:rPr>
              <w:t xml:space="preserve">  </w:t>
            </w:r>
            <w:r>
              <w:rPr>
                <w:rFonts w:eastAsiaTheme="minorEastAsia"/>
                <w:sz w:val="24"/>
                <w:szCs w:val="24"/>
              </w:rPr>
              <w:t>月</w:t>
            </w:r>
            <w:r>
              <w:rPr>
                <w:rFonts w:hint="eastAsia" w:eastAsiaTheme="minorEastAsia"/>
                <w:sz w:val="24"/>
                <w:szCs w:val="24"/>
              </w:rPr>
              <w:t xml:space="preserve">  </w:t>
            </w:r>
            <w:r>
              <w:rPr>
                <w:rFonts w:eastAsiaTheme="minorEastAsia"/>
                <w:sz w:val="24"/>
                <w:szCs w:val="24"/>
              </w:rPr>
              <w:t>日</w:t>
            </w:r>
          </w:p>
        </w:tc>
      </w:tr>
      <w:tr w14:paraId="131760B5">
        <w:tblPrEx>
          <w:tblCellMar>
            <w:top w:w="0" w:type="dxa"/>
            <w:left w:w="0" w:type="dxa"/>
            <w:bottom w:w="0" w:type="dxa"/>
            <w:right w:w="0" w:type="dxa"/>
          </w:tblCellMar>
        </w:tblPrEx>
        <w:trPr>
          <w:trHeight w:val="390" w:hRule="atLeast"/>
        </w:trPr>
        <w:tc>
          <w:tcPr>
            <w:tcW w:w="2548" w:type="dxa"/>
            <w:tcBorders>
              <w:top w:val="nil"/>
              <w:left w:val="nil"/>
              <w:bottom w:val="nil"/>
              <w:right w:val="nil"/>
            </w:tcBorders>
            <w:tcMar>
              <w:top w:w="15" w:type="dxa"/>
              <w:left w:w="15" w:type="dxa"/>
              <w:bottom w:w="0" w:type="dxa"/>
              <w:right w:w="15" w:type="dxa"/>
            </w:tcMar>
            <w:vAlign w:val="bottom"/>
          </w:tcPr>
          <w:p w14:paraId="247072ED">
            <w:pPr>
              <w:spacing w:before="156" w:beforeLines="50" w:after="156" w:afterLines="50" w:line="360" w:lineRule="auto"/>
              <w:rPr>
                <w:rFonts w:eastAsiaTheme="minorEastAsia"/>
                <w:sz w:val="24"/>
                <w:szCs w:val="24"/>
              </w:rPr>
            </w:pPr>
            <w:r>
              <w:rPr>
                <w:rFonts w:eastAsiaTheme="minorEastAsia"/>
                <w:sz w:val="24"/>
                <w:szCs w:val="24"/>
              </w:rPr>
              <w:t>签字地点：</w:t>
            </w:r>
          </w:p>
        </w:tc>
        <w:tc>
          <w:tcPr>
            <w:tcW w:w="5747" w:type="dxa"/>
            <w:tcBorders>
              <w:top w:val="nil"/>
              <w:left w:val="nil"/>
              <w:bottom w:val="nil"/>
              <w:right w:val="nil"/>
            </w:tcBorders>
            <w:tcMar>
              <w:top w:w="15" w:type="dxa"/>
              <w:left w:w="15" w:type="dxa"/>
              <w:bottom w:w="0" w:type="dxa"/>
              <w:right w:w="15" w:type="dxa"/>
            </w:tcMar>
            <w:vAlign w:val="bottom"/>
          </w:tcPr>
          <w:p w14:paraId="6073F16E">
            <w:pPr>
              <w:spacing w:before="156" w:beforeLines="50" w:after="156" w:afterLines="50" w:line="360" w:lineRule="auto"/>
              <w:rPr>
                <w:rFonts w:eastAsiaTheme="minorEastAsia"/>
                <w:sz w:val="24"/>
                <w:szCs w:val="24"/>
              </w:rPr>
            </w:pPr>
            <w:r>
              <w:rPr>
                <w:rFonts w:eastAsiaTheme="minorEastAsia"/>
                <w:sz w:val="24"/>
                <w:szCs w:val="24"/>
              </w:rPr>
              <w:t>陕西省</w:t>
            </w:r>
            <w:r>
              <w:rPr>
                <w:rFonts w:hint="eastAsia" w:eastAsiaTheme="minorEastAsia"/>
                <w:sz w:val="24"/>
                <w:szCs w:val="24"/>
              </w:rPr>
              <w:t>西安市</w:t>
            </w:r>
          </w:p>
        </w:tc>
      </w:tr>
      <w:tr w14:paraId="6F5AA9EE">
        <w:tblPrEx>
          <w:tblCellMar>
            <w:top w:w="0" w:type="dxa"/>
            <w:left w:w="0" w:type="dxa"/>
            <w:bottom w:w="0" w:type="dxa"/>
            <w:right w:w="0" w:type="dxa"/>
          </w:tblCellMar>
        </w:tblPrEx>
        <w:trPr>
          <w:trHeight w:val="390" w:hRule="atLeast"/>
        </w:trPr>
        <w:tc>
          <w:tcPr>
            <w:tcW w:w="2548" w:type="dxa"/>
            <w:tcBorders>
              <w:top w:val="nil"/>
              <w:left w:val="nil"/>
              <w:bottom w:val="nil"/>
              <w:right w:val="nil"/>
            </w:tcBorders>
            <w:tcMar>
              <w:top w:w="15" w:type="dxa"/>
              <w:left w:w="15" w:type="dxa"/>
              <w:bottom w:w="0" w:type="dxa"/>
              <w:right w:w="15" w:type="dxa"/>
            </w:tcMar>
            <w:vAlign w:val="bottom"/>
          </w:tcPr>
          <w:p w14:paraId="1E3CBF4F">
            <w:pPr>
              <w:spacing w:before="156" w:beforeLines="50" w:after="156" w:afterLines="50" w:line="360" w:lineRule="auto"/>
              <w:rPr>
                <w:rFonts w:eastAsiaTheme="minorEastAsia"/>
                <w:sz w:val="24"/>
                <w:szCs w:val="24"/>
              </w:rPr>
            </w:pPr>
          </w:p>
        </w:tc>
        <w:tc>
          <w:tcPr>
            <w:tcW w:w="5747" w:type="dxa"/>
            <w:tcBorders>
              <w:top w:val="nil"/>
              <w:left w:val="nil"/>
              <w:bottom w:val="nil"/>
              <w:right w:val="nil"/>
            </w:tcBorders>
            <w:tcMar>
              <w:top w:w="15" w:type="dxa"/>
              <w:left w:w="15" w:type="dxa"/>
              <w:bottom w:w="0" w:type="dxa"/>
              <w:right w:w="15" w:type="dxa"/>
            </w:tcMar>
            <w:vAlign w:val="bottom"/>
          </w:tcPr>
          <w:p w14:paraId="782B7F81">
            <w:pPr>
              <w:spacing w:before="156" w:beforeLines="50" w:after="156" w:afterLines="50" w:line="360" w:lineRule="auto"/>
              <w:rPr>
                <w:rFonts w:eastAsiaTheme="minorEastAsia"/>
                <w:sz w:val="24"/>
                <w:szCs w:val="24"/>
              </w:rPr>
            </w:pPr>
          </w:p>
        </w:tc>
      </w:tr>
      <w:tr w14:paraId="726D4A3D">
        <w:tblPrEx>
          <w:tblCellMar>
            <w:top w:w="0" w:type="dxa"/>
            <w:left w:w="0" w:type="dxa"/>
            <w:bottom w:w="0" w:type="dxa"/>
            <w:right w:w="0" w:type="dxa"/>
          </w:tblCellMar>
        </w:tblPrEx>
        <w:trPr>
          <w:trHeight w:val="390" w:hRule="atLeast"/>
        </w:trPr>
        <w:tc>
          <w:tcPr>
            <w:tcW w:w="2548" w:type="dxa"/>
            <w:tcBorders>
              <w:top w:val="nil"/>
              <w:left w:val="nil"/>
              <w:bottom w:val="nil"/>
              <w:right w:val="nil"/>
            </w:tcBorders>
            <w:tcMar>
              <w:top w:w="15" w:type="dxa"/>
              <w:left w:w="15" w:type="dxa"/>
              <w:bottom w:w="0" w:type="dxa"/>
              <w:right w:w="15" w:type="dxa"/>
            </w:tcMar>
            <w:vAlign w:val="bottom"/>
          </w:tcPr>
          <w:p w14:paraId="26D63FCA">
            <w:pPr>
              <w:spacing w:before="156" w:beforeLines="50" w:after="156" w:afterLines="50" w:line="360" w:lineRule="auto"/>
              <w:rPr>
                <w:rFonts w:eastAsiaTheme="minorEastAsia"/>
                <w:sz w:val="24"/>
                <w:szCs w:val="24"/>
              </w:rPr>
            </w:pPr>
            <w:r>
              <w:rPr>
                <w:rFonts w:eastAsiaTheme="minorEastAsia"/>
                <w:sz w:val="24"/>
                <w:szCs w:val="24"/>
              </w:rPr>
              <w:t>甲方：</w:t>
            </w:r>
          </w:p>
        </w:tc>
        <w:tc>
          <w:tcPr>
            <w:tcW w:w="5747" w:type="dxa"/>
            <w:tcBorders>
              <w:top w:val="nil"/>
              <w:left w:val="nil"/>
              <w:bottom w:val="nil"/>
              <w:right w:val="nil"/>
            </w:tcBorders>
            <w:tcMar>
              <w:top w:w="15" w:type="dxa"/>
              <w:left w:w="15" w:type="dxa"/>
              <w:bottom w:w="0" w:type="dxa"/>
              <w:right w:w="15" w:type="dxa"/>
            </w:tcMar>
            <w:vAlign w:val="bottom"/>
          </w:tcPr>
          <w:p w14:paraId="303387CB">
            <w:pPr>
              <w:spacing w:before="156" w:beforeLines="50" w:after="156" w:afterLines="50" w:line="360" w:lineRule="auto"/>
              <w:rPr>
                <w:rFonts w:eastAsiaTheme="minorEastAsia"/>
                <w:sz w:val="24"/>
                <w:szCs w:val="24"/>
              </w:rPr>
            </w:pPr>
          </w:p>
        </w:tc>
      </w:tr>
      <w:tr w14:paraId="3343943F">
        <w:tblPrEx>
          <w:tblCellMar>
            <w:top w:w="0" w:type="dxa"/>
            <w:left w:w="0" w:type="dxa"/>
            <w:bottom w:w="0" w:type="dxa"/>
            <w:right w:w="0" w:type="dxa"/>
          </w:tblCellMar>
        </w:tblPrEx>
        <w:trPr>
          <w:trHeight w:val="390" w:hRule="atLeast"/>
        </w:trPr>
        <w:tc>
          <w:tcPr>
            <w:tcW w:w="2548" w:type="dxa"/>
            <w:tcBorders>
              <w:top w:val="nil"/>
              <w:left w:val="nil"/>
              <w:bottom w:val="nil"/>
              <w:right w:val="nil"/>
            </w:tcBorders>
            <w:tcMar>
              <w:top w:w="15" w:type="dxa"/>
              <w:left w:w="15" w:type="dxa"/>
              <w:bottom w:w="0" w:type="dxa"/>
              <w:right w:w="15" w:type="dxa"/>
            </w:tcMar>
            <w:vAlign w:val="bottom"/>
          </w:tcPr>
          <w:p w14:paraId="0D540DE1">
            <w:pPr>
              <w:spacing w:before="156" w:beforeLines="50" w:after="156" w:afterLines="50" w:line="360" w:lineRule="auto"/>
              <w:rPr>
                <w:rFonts w:eastAsiaTheme="minorEastAsia"/>
                <w:sz w:val="24"/>
                <w:szCs w:val="24"/>
              </w:rPr>
            </w:pPr>
            <w:r>
              <w:rPr>
                <w:rFonts w:eastAsiaTheme="minorEastAsia"/>
                <w:sz w:val="24"/>
                <w:szCs w:val="24"/>
              </w:rPr>
              <w:t>地址：</w:t>
            </w:r>
          </w:p>
        </w:tc>
        <w:tc>
          <w:tcPr>
            <w:tcW w:w="5747" w:type="dxa"/>
            <w:tcBorders>
              <w:top w:val="nil"/>
              <w:left w:val="nil"/>
              <w:bottom w:val="nil"/>
              <w:right w:val="nil"/>
            </w:tcBorders>
            <w:tcMar>
              <w:top w:w="15" w:type="dxa"/>
              <w:left w:w="15" w:type="dxa"/>
              <w:bottom w:w="0" w:type="dxa"/>
              <w:right w:w="15" w:type="dxa"/>
            </w:tcMar>
            <w:vAlign w:val="bottom"/>
          </w:tcPr>
          <w:p w14:paraId="0BBEC074">
            <w:pPr>
              <w:spacing w:before="156" w:beforeLines="50" w:after="156" w:afterLines="50" w:line="360" w:lineRule="auto"/>
              <w:rPr>
                <w:rFonts w:eastAsiaTheme="minorEastAsia"/>
                <w:sz w:val="24"/>
                <w:szCs w:val="24"/>
              </w:rPr>
            </w:pPr>
          </w:p>
        </w:tc>
      </w:tr>
      <w:tr w14:paraId="6194E229">
        <w:tblPrEx>
          <w:tblCellMar>
            <w:top w:w="0" w:type="dxa"/>
            <w:left w:w="0" w:type="dxa"/>
            <w:bottom w:w="0" w:type="dxa"/>
            <w:right w:w="0" w:type="dxa"/>
          </w:tblCellMar>
        </w:tblPrEx>
        <w:trPr>
          <w:trHeight w:val="390" w:hRule="atLeast"/>
        </w:trPr>
        <w:tc>
          <w:tcPr>
            <w:tcW w:w="2548" w:type="dxa"/>
            <w:tcBorders>
              <w:top w:val="nil"/>
              <w:left w:val="nil"/>
              <w:bottom w:val="nil"/>
              <w:right w:val="nil"/>
            </w:tcBorders>
            <w:tcMar>
              <w:top w:w="15" w:type="dxa"/>
              <w:left w:w="15" w:type="dxa"/>
              <w:bottom w:w="0" w:type="dxa"/>
              <w:right w:w="15" w:type="dxa"/>
            </w:tcMar>
            <w:vAlign w:val="bottom"/>
          </w:tcPr>
          <w:p w14:paraId="04332C40">
            <w:pPr>
              <w:spacing w:before="156" w:beforeLines="50" w:after="156" w:afterLines="50" w:line="360" w:lineRule="auto"/>
              <w:rPr>
                <w:rFonts w:eastAsiaTheme="minorEastAsia"/>
                <w:sz w:val="24"/>
                <w:szCs w:val="24"/>
              </w:rPr>
            </w:pPr>
            <w:r>
              <w:rPr>
                <w:rFonts w:eastAsiaTheme="minorEastAsia"/>
                <w:sz w:val="24"/>
                <w:szCs w:val="24"/>
              </w:rPr>
              <w:t>邮编：</w:t>
            </w:r>
          </w:p>
        </w:tc>
        <w:tc>
          <w:tcPr>
            <w:tcW w:w="5747" w:type="dxa"/>
            <w:tcBorders>
              <w:top w:val="nil"/>
              <w:left w:val="nil"/>
              <w:bottom w:val="nil"/>
              <w:right w:val="nil"/>
            </w:tcBorders>
            <w:tcMar>
              <w:top w:w="15" w:type="dxa"/>
              <w:left w:w="15" w:type="dxa"/>
              <w:bottom w:w="0" w:type="dxa"/>
              <w:right w:w="15" w:type="dxa"/>
            </w:tcMar>
            <w:vAlign w:val="bottom"/>
          </w:tcPr>
          <w:p w14:paraId="11B84720">
            <w:pPr>
              <w:spacing w:before="156" w:beforeLines="50" w:after="156" w:afterLines="50" w:line="360" w:lineRule="auto"/>
              <w:rPr>
                <w:rFonts w:eastAsiaTheme="minorEastAsia"/>
                <w:sz w:val="24"/>
                <w:szCs w:val="24"/>
              </w:rPr>
            </w:pPr>
          </w:p>
        </w:tc>
      </w:tr>
      <w:tr w14:paraId="04897F9A">
        <w:tblPrEx>
          <w:tblCellMar>
            <w:top w:w="0" w:type="dxa"/>
            <w:left w:w="0" w:type="dxa"/>
            <w:bottom w:w="0" w:type="dxa"/>
            <w:right w:w="0" w:type="dxa"/>
          </w:tblCellMar>
        </w:tblPrEx>
        <w:trPr>
          <w:trHeight w:val="390" w:hRule="atLeast"/>
        </w:trPr>
        <w:tc>
          <w:tcPr>
            <w:tcW w:w="2548" w:type="dxa"/>
            <w:tcBorders>
              <w:top w:val="nil"/>
              <w:left w:val="nil"/>
              <w:bottom w:val="nil"/>
              <w:right w:val="nil"/>
            </w:tcBorders>
            <w:tcMar>
              <w:top w:w="15" w:type="dxa"/>
              <w:left w:w="15" w:type="dxa"/>
              <w:bottom w:w="0" w:type="dxa"/>
              <w:right w:w="15" w:type="dxa"/>
            </w:tcMar>
            <w:vAlign w:val="bottom"/>
          </w:tcPr>
          <w:p w14:paraId="3E47CE8F">
            <w:pPr>
              <w:spacing w:before="156" w:beforeLines="50" w:after="156" w:afterLines="50" w:line="360" w:lineRule="auto"/>
              <w:rPr>
                <w:rFonts w:eastAsiaTheme="minorEastAsia"/>
                <w:sz w:val="24"/>
                <w:szCs w:val="24"/>
              </w:rPr>
            </w:pPr>
            <w:r>
              <w:rPr>
                <w:rFonts w:eastAsiaTheme="minorEastAsia"/>
                <w:sz w:val="24"/>
                <w:szCs w:val="24"/>
              </w:rPr>
              <w:t>电话：</w:t>
            </w:r>
          </w:p>
        </w:tc>
        <w:tc>
          <w:tcPr>
            <w:tcW w:w="5747" w:type="dxa"/>
            <w:tcBorders>
              <w:top w:val="nil"/>
              <w:left w:val="nil"/>
              <w:bottom w:val="nil"/>
              <w:right w:val="nil"/>
            </w:tcBorders>
            <w:tcMar>
              <w:top w:w="15" w:type="dxa"/>
              <w:left w:w="15" w:type="dxa"/>
              <w:bottom w:w="0" w:type="dxa"/>
              <w:right w:w="15" w:type="dxa"/>
            </w:tcMar>
            <w:vAlign w:val="bottom"/>
          </w:tcPr>
          <w:p w14:paraId="127A1A30">
            <w:pPr>
              <w:spacing w:before="156" w:beforeLines="50" w:after="156" w:afterLines="50" w:line="360" w:lineRule="auto"/>
              <w:rPr>
                <w:rFonts w:eastAsiaTheme="minorEastAsia"/>
                <w:sz w:val="24"/>
                <w:szCs w:val="24"/>
              </w:rPr>
            </w:pPr>
          </w:p>
        </w:tc>
      </w:tr>
      <w:tr w14:paraId="67AAA925">
        <w:tblPrEx>
          <w:tblCellMar>
            <w:top w:w="0" w:type="dxa"/>
            <w:left w:w="0" w:type="dxa"/>
            <w:bottom w:w="0" w:type="dxa"/>
            <w:right w:w="0" w:type="dxa"/>
          </w:tblCellMar>
        </w:tblPrEx>
        <w:trPr>
          <w:trHeight w:val="390" w:hRule="atLeast"/>
        </w:trPr>
        <w:tc>
          <w:tcPr>
            <w:tcW w:w="2548" w:type="dxa"/>
            <w:tcBorders>
              <w:top w:val="nil"/>
              <w:left w:val="nil"/>
              <w:bottom w:val="nil"/>
              <w:right w:val="nil"/>
            </w:tcBorders>
            <w:tcMar>
              <w:top w:w="15" w:type="dxa"/>
              <w:left w:w="15" w:type="dxa"/>
              <w:bottom w:w="0" w:type="dxa"/>
              <w:right w:w="15" w:type="dxa"/>
            </w:tcMar>
            <w:vAlign w:val="bottom"/>
          </w:tcPr>
          <w:p w14:paraId="1C91DF18">
            <w:pPr>
              <w:spacing w:before="156" w:beforeLines="50" w:after="156" w:afterLines="50" w:line="360" w:lineRule="auto"/>
              <w:rPr>
                <w:rFonts w:eastAsiaTheme="minorEastAsia"/>
                <w:sz w:val="24"/>
                <w:szCs w:val="24"/>
              </w:rPr>
            </w:pPr>
            <w:r>
              <w:rPr>
                <w:rFonts w:eastAsiaTheme="minorEastAsia"/>
                <w:sz w:val="24"/>
                <w:szCs w:val="24"/>
              </w:rPr>
              <w:t>传真：</w:t>
            </w:r>
          </w:p>
        </w:tc>
        <w:tc>
          <w:tcPr>
            <w:tcW w:w="5747" w:type="dxa"/>
            <w:tcBorders>
              <w:top w:val="nil"/>
              <w:left w:val="nil"/>
              <w:bottom w:val="nil"/>
              <w:right w:val="nil"/>
            </w:tcBorders>
            <w:tcMar>
              <w:top w:w="15" w:type="dxa"/>
              <w:left w:w="15" w:type="dxa"/>
              <w:bottom w:w="0" w:type="dxa"/>
              <w:right w:w="15" w:type="dxa"/>
            </w:tcMar>
            <w:vAlign w:val="bottom"/>
          </w:tcPr>
          <w:p w14:paraId="0635F622">
            <w:pPr>
              <w:spacing w:before="156" w:beforeLines="50" w:after="156" w:afterLines="50" w:line="360" w:lineRule="auto"/>
              <w:rPr>
                <w:rFonts w:eastAsiaTheme="minorEastAsia"/>
                <w:sz w:val="24"/>
                <w:szCs w:val="24"/>
              </w:rPr>
            </w:pPr>
          </w:p>
        </w:tc>
      </w:tr>
      <w:tr w14:paraId="2CCDC0A8">
        <w:tblPrEx>
          <w:tblCellMar>
            <w:top w:w="0" w:type="dxa"/>
            <w:left w:w="0" w:type="dxa"/>
            <w:bottom w:w="0" w:type="dxa"/>
            <w:right w:w="0" w:type="dxa"/>
          </w:tblCellMar>
        </w:tblPrEx>
        <w:trPr>
          <w:trHeight w:val="390" w:hRule="atLeast"/>
        </w:trPr>
        <w:tc>
          <w:tcPr>
            <w:tcW w:w="2548" w:type="dxa"/>
            <w:tcBorders>
              <w:top w:val="nil"/>
              <w:left w:val="nil"/>
              <w:bottom w:val="nil"/>
              <w:right w:val="nil"/>
            </w:tcBorders>
            <w:tcMar>
              <w:top w:w="15" w:type="dxa"/>
              <w:left w:w="15" w:type="dxa"/>
              <w:bottom w:w="0" w:type="dxa"/>
              <w:right w:w="15" w:type="dxa"/>
            </w:tcMar>
            <w:vAlign w:val="bottom"/>
          </w:tcPr>
          <w:p w14:paraId="5968593B">
            <w:pPr>
              <w:spacing w:before="156" w:beforeLines="50" w:after="156" w:afterLines="50" w:line="360" w:lineRule="auto"/>
              <w:rPr>
                <w:rFonts w:eastAsiaTheme="minorEastAsia"/>
                <w:sz w:val="24"/>
                <w:szCs w:val="24"/>
              </w:rPr>
            </w:pPr>
            <w:r>
              <w:rPr>
                <w:rFonts w:eastAsiaTheme="minorEastAsia"/>
                <w:sz w:val="24"/>
                <w:szCs w:val="24"/>
              </w:rPr>
              <w:t>联系人：</w:t>
            </w:r>
          </w:p>
        </w:tc>
        <w:tc>
          <w:tcPr>
            <w:tcW w:w="5747" w:type="dxa"/>
            <w:tcBorders>
              <w:top w:val="nil"/>
              <w:left w:val="nil"/>
              <w:bottom w:val="nil"/>
              <w:right w:val="nil"/>
            </w:tcBorders>
            <w:tcMar>
              <w:top w:w="15" w:type="dxa"/>
              <w:left w:w="15" w:type="dxa"/>
              <w:bottom w:w="0" w:type="dxa"/>
              <w:right w:w="15" w:type="dxa"/>
            </w:tcMar>
            <w:vAlign w:val="bottom"/>
          </w:tcPr>
          <w:p w14:paraId="6C77A01B">
            <w:pPr>
              <w:spacing w:before="156" w:beforeLines="50" w:after="156" w:afterLines="50" w:line="360" w:lineRule="auto"/>
              <w:rPr>
                <w:rFonts w:eastAsiaTheme="minorEastAsia"/>
                <w:sz w:val="24"/>
                <w:szCs w:val="24"/>
              </w:rPr>
            </w:pPr>
          </w:p>
        </w:tc>
      </w:tr>
      <w:tr w14:paraId="20DD3109">
        <w:tblPrEx>
          <w:tblCellMar>
            <w:top w:w="0" w:type="dxa"/>
            <w:left w:w="0" w:type="dxa"/>
            <w:bottom w:w="0" w:type="dxa"/>
            <w:right w:w="0" w:type="dxa"/>
          </w:tblCellMar>
        </w:tblPrEx>
        <w:trPr>
          <w:trHeight w:val="390" w:hRule="atLeast"/>
        </w:trPr>
        <w:tc>
          <w:tcPr>
            <w:tcW w:w="2548" w:type="dxa"/>
            <w:tcBorders>
              <w:top w:val="nil"/>
              <w:left w:val="nil"/>
              <w:bottom w:val="nil"/>
              <w:right w:val="nil"/>
            </w:tcBorders>
            <w:tcMar>
              <w:top w:w="15" w:type="dxa"/>
              <w:left w:w="15" w:type="dxa"/>
              <w:bottom w:w="0" w:type="dxa"/>
              <w:right w:w="15" w:type="dxa"/>
            </w:tcMar>
            <w:vAlign w:val="bottom"/>
          </w:tcPr>
          <w:p w14:paraId="075EC995">
            <w:pPr>
              <w:spacing w:before="156" w:beforeLines="50" w:after="156" w:afterLines="50" w:line="360" w:lineRule="auto"/>
              <w:rPr>
                <w:rFonts w:eastAsiaTheme="minorEastAsia"/>
                <w:sz w:val="24"/>
                <w:szCs w:val="24"/>
              </w:rPr>
            </w:pPr>
            <w:r>
              <w:rPr>
                <w:rFonts w:eastAsiaTheme="minorEastAsia"/>
                <w:sz w:val="24"/>
                <w:szCs w:val="24"/>
              </w:rPr>
              <w:t>开户银行：</w:t>
            </w:r>
          </w:p>
        </w:tc>
        <w:tc>
          <w:tcPr>
            <w:tcW w:w="5747" w:type="dxa"/>
            <w:tcBorders>
              <w:top w:val="nil"/>
              <w:left w:val="nil"/>
              <w:bottom w:val="nil"/>
              <w:right w:val="nil"/>
            </w:tcBorders>
            <w:tcMar>
              <w:top w:w="15" w:type="dxa"/>
              <w:left w:w="15" w:type="dxa"/>
              <w:bottom w:w="0" w:type="dxa"/>
              <w:right w:w="15" w:type="dxa"/>
            </w:tcMar>
            <w:vAlign w:val="bottom"/>
          </w:tcPr>
          <w:p w14:paraId="380977F3">
            <w:pPr>
              <w:spacing w:before="156" w:beforeLines="50" w:after="156" w:afterLines="50" w:line="360" w:lineRule="auto"/>
              <w:rPr>
                <w:rFonts w:eastAsiaTheme="minorEastAsia"/>
                <w:sz w:val="24"/>
                <w:szCs w:val="24"/>
              </w:rPr>
            </w:pPr>
          </w:p>
        </w:tc>
      </w:tr>
      <w:tr w14:paraId="73AA6082">
        <w:tblPrEx>
          <w:tblCellMar>
            <w:top w:w="0" w:type="dxa"/>
            <w:left w:w="0" w:type="dxa"/>
            <w:bottom w:w="0" w:type="dxa"/>
            <w:right w:w="0" w:type="dxa"/>
          </w:tblCellMar>
        </w:tblPrEx>
        <w:trPr>
          <w:trHeight w:val="390" w:hRule="atLeast"/>
        </w:trPr>
        <w:tc>
          <w:tcPr>
            <w:tcW w:w="2548" w:type="dxa"/>
            <w:tcBorders>
              <w:top w:val="nil"/>
              <w:left w:val="nil"/>
              <w:bottom w:val="nil"/>
              <w:right w:val="nil"/>
            </w:tcBorders>
            <w:tcMar>
              <w:top w:w="15" w:type="dxa"/>
              <w:left w:w="15" w:type="dxa"/>
              <w:bottom w:w="0" w:type="dxa"/>
              <w:right w:w="15" w:type="dxa"/>
            </w:tcMar>
            <w:vAlign w:val="bottom"/>
          </w:tcPr>
          <w:p w14:paraId="4FFB5D83">
            <w:pPr>
              <w:spacing w:before="156" w:beforeLines="50" w:after="156" w:afterLines="50" w:line="360" w:lineRule="auto"/>
              <w:rPr>
                <w:rFonts w:eastAsiaTheme="minorEastAsia"/>
                <w:sz w:val="24"/>
                <w:szCs w:val="24"/>
              </w:rPr>
            </w:pPr>
            <w:r>
              <w:rPr>
                <w:rFonts w:eastAsiaTheme="minorEastAsia"/>
                <w:sz w:val="24"/>
                <w:szCs w:val="24"/>
              </w:rPr>
              <w:t>帐号：</w:t>
            </w:r>
          </w:p>
        </w:tc>
        <w:tc>
          <w:tcPr>
            <w:tcW w:w="5747" w:type="dxa"/>
            <w:tcBorders>
              <w:top w:val="nil"/>
              <w:left w:val="nil"/>
              <w:bottom w:val="nil"/>
              <w:right w:val="nil"/>
            </w:tcBorders>
            <w:tcMar>
              <w:top w:w="15" w:type="dxa"/>
              <w:left w:w="15" w:type="dxa"/>
              <w:bottom w:w="0" w:type="dxa"/>
              <w:right w:w="15" w:type="dxa"/>
            </w:tcMar>
            <w:vAlign w:val="bottom"/>
          </w:tcPr>
          <w:p w14:paraId="3387FE69">
            <w:pPr>
              <w:spacing w:before="156" w:beforeLines="50" w:after="156" w:afterLines="50" w:line="360" w:lineRule="auto"/>
              <w:rPr>
                <w:rFonts w:eastAsiaTheme="minorEastAsia"/>
                <w:sz w:val="24"/>
                <w:szCs w:val="24"/>
              </w:rPr>
            </w:pPr>
          </w:p>
        </w:tc>
      </w:tr>
    </w:tbl>
    <w:p w14:paraId="0477B60E">
      <w:r>
        <w:br w:type="page"/>
      </w:r>
    </w:p>
    <w:tbl>
      <w:tblPr>
        <w:tblStyle w:val="21"/>
        <w:tblW w:w="8295" w:type="dxa"/>
        <w:tblInd w:w="0" w:type="dxa"/>
        <w:tblLayout w:type="fixed"/>
        <w:tblCellMar>
          <w:top w:w="0" w:type="dxa"/>
          <w:left w:w="0" w:type="dxa"/>
          <w:bottom w:w="0" w:type="dxa"/>
          <w:right w:w="0" w:type="dxa"/>
        </w:tblCellMar>
      </w:tblPr>
      <w:tblGrid>
        <w:gridCol w:w="2548"/>
        <w:gridCol w:w="5747"/>
      </w:tblGrid>
      <w:tr w14:paraId="23EAC7C5">
        <w:tblPrEx>
          <w:tblCellMar>
            <w:top w:w="0" w:type="dxa"/>
            <w:left w:w="0" w:type="dxa"/>
            <w:bottom w:w="0" w:type="dxa"/>
            <w:right w:w="0" w:type="dxa"/>
          </w:tblCellMar>
        </w:tblPrEx>
        <w:trPr>
          <w:trHeight w:val="390" w:hRule="atLeast"/>
        </w:trPr>
        <w:tc>
          <w:tcPr>
            <w:tcW w:w="2548" w:type="dxa"/>
            <w:tcBorders>
              <w:top w:val="nil"/>
              <w:left w:val="nil"/>
              <w:bottom w:val="nil"/>
              <w:right w:val="nil"/>
            </w:tcBorders>
            <w:tcMar>
              <w:top w:w="15" w:type="dxa"/>
              <w:left w:w="15" w:type="dxa"/>
              <w:bottom w:w="0" w:type="dxa"/>
              <w:right w:w="15" w:type="dxa"/>
            </w:tcMar>
            <w:vAlign w:val="bottom"/>
          </w:tcPr>
          <w:p w14:paraId="5B5507E9">
            <w:pPr>
              <w:spacing w:before="156" w:beforeLines="50" w:after="156" w:afterLines="50" w:line="360" w:lineRule="auto"/>
              <w:rPr>
                <w:rFonts w:eastAsiaTheme="minorEastAsia"/>
                <w:sz w:val="24"/>
                <w:szCs w:val="24"/>
              </w:rPr>
            </w:pPr>
            <w:r>
              <w:rPr>
                <w:rFonts w:eastAsiaTheme="minorEastAsia"/>
                <w:sz w:val="24"/>
                <w:szCs w:val="24"/>
              </w:rPr>
              <w:t>乙方：</w:t>
            </w:r>
          </w:p>
        </w:tc>
        <w:tc>
          <w:tcPr>
            <w:tcW w:w="5747" w:type="dxa"/>
            <w:tcBorders>
              <w:top w:val="nil"/>
              <w:left w:val="nil"/>
              <w:bottom w:val="nil"/>
              <w:right w:val="nil"/>
            </w:tcBorders>
            <w:tcMar>
              <w:top w:w="15" w:type="dxa"/>
              <w:left w:w="15" w:type="dxa"/>
              <w:bottom w:w="0" w:type="dxa"/>
              <w:right w:w="15" w:type="dxa"/>
            </w:tcMar>
            <w:vAlign w:val="bottom"/>
          </w:tcPr>
          <w:p w14:paraId="1784377A">
            <w:pPr>
              <w:spacing w:before="156" w:beforeLines="50" w:after="156" w:afterLines="50" w:line="360" w:lineRule="auto"/>
              <w:rPr>
                <w:rFonts w:eastAsiaTheme="minorEastAsia"/>
                <w:sz w:val="24"/>
                <w:szCs w:val="24"/>
              </w:rPr>
            </w:pPr>
          </w:p>
        </w:tc>
      </w:tr>
      <w:tr w14:paraId="4EE16415">
        <w:tblPrEx>
          <w:tblCellMar>
            <w:top w:w="0" w:type="dxa"/>
            <w:left w:w="0" w:type="dxa"/>
            <w:bottom w:w="0" w:type="dxa"/>
            <w:right w:w="0" w:type="dxa"/>
          </w:tblCellMar>
        </w:tblPrEx>
        <w:trPr>
          <w:trHeight w:val="390" w:hRule="atLeast"/>
        </w:trPr>
        <w:tc>
          <w:tcPr>
            <w:tcW w:w="2548" w:type="dxa"/>
            <w:tcBorders>
              <w:top w:val="nil"/>
              <w:left w:val="nil"/>
              <w:bottom w:val="nil"/>
              <w:right w:val="nil"/>
            </w:tcBorders>
            <w:tcMar>
              <w:top w:w="15" w:type="dxa"/>
              <w:left w:w="15" w:type="dxa"/>
              <w:bottom w:w="0" w:type="dxa"/>
              <w:right w:w="15" w:type="dxa"/>
            </w:tcMar>
            <w:vAlign w:val="bottom"/>
          </w:tcPr>
          <w:p w14:paraId="0ABEA30C">
            <w:pPr>
              <w:spacing w:before="156" w:beforeLines="50" w:after="156" w:afterLines="50" w:line="360" w:lineRule="auto"/>
              <w:rPr>
                <w:rFonts w:eastAsiaTheme="minorEastAsia"/>
                <w:sz w:val="24"/>
                <w:szCs w:val="24"/>
              </w:rPr>
            </w:pPr>
            <w:r>
              <w:rPr>
                <w:rFonts w:eastAsiaTheme="minorEastAsia"/>
                <w:sz w:val="24"/>
                <w:szCs w:val="24"/>
              </w:rPr>
              <w:t>地址：</w:t>
            </w:r>
          </w:p>
        </w:tc>
        <w:tc>
          <w:tcPr>
            <w:tcW w:w="5747" w:type="dxa"/>
            <w:tcBorders>
              <w:top w:val="nil"/>
              <w:left w:val="nil"/>
              <w:bottom w:val="nil"/>
              <w:right w:val="nil"/>
            </w:tcBorders>
            <w:tcMar>
              <w:top w:w="15" w:type="dxa"/>
              <w:left w:w="15" w:type="dxa"/>
              <w:bottom w:w="0" w:type="dxa"/>
              <w:right w:w="15" w:type="dxa"/>
            </w:tcMar>
            <w:vAlign w:val="bottom"/>
          </w:tcPr>
          <w:p w14:paraId="4B5A1B2C">
            <w:pPr>
              <w:spacing w:before="156" w:beforeLines="50" w:after="156" w:afterLines="50" w:line="360" w:lineRule="auto"/>
              <w:rPr>
                <w:rFonts w:eastAsiaTheme="minorEastAsia"/>
                <w:sz w:val="24"/>
                <w:szCs w:val="24"/>
              </w:rPr>
            </w:pPr>
          </w:p>
        </w:tc>
      </w:tr>
      <w:tr w14:paraId="3F3E824F">
        <w:tblPrEx>
          <w:tblCellMar>
            <w:top w:w="0" w:type="dxa"/>
            <w:left w:w="0" w:type="dxa"/>
            <w:bottom w:w="0" w:type="dxa"/>
            <w:right w:w="0" w:type="dxa"/>
          </w:tblCellMar>
        </w:tblPrEx>
        <w:trPr>
          <w:trHeight w:val="390" w:hRule="atLeast"/>
        </w:trPr>
        <w:tc>
          <w:tcPr>
            <w:tcW w:w="2548" w:type="dxa"/>
            <w:tcBorders>
              <w:top w:val="nil"/>
              <w:left w:val="nil"/>
              <w:bottom w:val="nil"/>
              <w:right w:val="nil"/>
            </w:tcBorders>
            <w:tcMar>
              <w:top w:w="15" w:type="dxa"/>
              <w:left w:w="15" w:type="dxa"/>
              <w:bottom w:w="0" w:type="dxa"/>
              <w:right w:w="15" w:type="dxa"/>
            </w:tcMar>
            <w:vAlign w:val="bottom"/>
          </w:tcPr>
          <w:p w14:paraId="20404ACD">
            <w:pPr>
              <w:spacing w:before="156" w:beforeLines="50" w:after="156" w:afterLines="50" w:line="360" w:lineRule="auto"/>
              <w:rPr>
                <w:rFonts w:eastAsiaTheme="minorEastAsia"/>
                <w:sz w:val="24"/>
                <w:szCs w:val="24"/>
              </w:rPr>
            </w:pPr>
            <w:r>
              <w:rPr>
                <w:rFonts w:eastAsiaTheme="minorEastAsia"/>
                <w:sz w:val="24"/>
                <w:szCs w:val="24"/>
              </w:rPr>
              <w:t>邮编：</w:t>
            </w:r>
          </w:p>
        </w:tc>
        <w:tc>
          <w:tcPr>
            <w:tcW w:w="5747" w:type="dxa"/>
            <w:tcBorders>
              <w:top w:val="nil"/>
              <w:left w:val="nil"/>
              <w:bottom w:val="nil"/>
              <w:right w:val="nil"/>
            </w:tcBorders>
            <w:tcMar>
              <w:top w:w="15" w:type="dxa"/>
              <w:left w:w="15" w:type="dxa"/>
              <w:bottom w:w="0" w:type="dxa"/>
              <w:right w:w="15" w:type="dxa"/>
            </w:tcMar>
            <w:vAlign w:val="bottom"/>
          </w:tcPr>
          <w:p w14:paraId="2C6D85E7">
            <w:pPr>
              <w:spacing w:before="156" w:beforeLines="50" w:after="156" w:afterLines="50" w:line="360" w:lineRule="auto"/>
              <w:rPr>
                <w:rFonts w:eastAsiaTheme="minorEastAsia"/>
                <w:sz w:val="24"/>
                <w:szCs w:val="24"/>
              </w:rPr>
            </w:pPr>
          </w:p>
        </w:tc>
      </w:tr>
      <w:tr w14:paraId="70F0B321">
        <w:tblPrEx>
          <w:tblCellMar>
            <w:top w:w="0" w:type="dxa"/>
            <w:left w:w="0" w:type="dxa"/>
            <w:bottom w:w="0" w:type="dxa"/>
            <w:right w:w="0" w:type="dxa"/>
          </w:tblCellMar>
        </w:tblPrEx>
        <w:trPr>
          <w:trHeight w:val="390" w:hRule="atLeast"/>
        </w:trPr>
        <w:tc>
          <w:tcPr>
            <w:tcW w:w="2548" w:type="dxa"/>
            <w:tcBorders>
              <w:top w:val="nil"/>
              <w:left w:val="nil"/>
              <w:bottom w:val="nil"/>
              <w:right w:val="nil"/>
            </w:tcBorders>
            <w:tcMar>
              <w:top w:w="15" w:type="dxa"/>
              <w:left w:w="15" w:type="dxa"/>
              <w:bottom w:w="0" w:type="dxa"/>
              <w:right w:w="15" w:type="dxa"/>
            </w:tcMar>
            <w:vAlign w:val="bottom"/>
          </w:tcPr>
          <w:p w14:paraId="0666E0E7">
            <w:pPr>
              <w:spacing w:before="156" w:beforeLines="50" w:after="156" w:afterLines="50" w:line="360" w:lineRule="auto"/>
              <w:rPr>
                <w:rFonts w:eastAsiaTheme="minorEastAsia"/>
                <w:sz w:val="24"/>
                <w:szCs w:val="24"/>
              </w:rPr>
            </w:pPr>
            <w:r>
              <w:rPr>
                <w:rFonts w:eastAsiaTheme="minorEastAsia"/>
                <w:sz w:val="24"/>
                <w:szCs w:val="24"/>
              </w:rPr>
              <w:t>电话：</w:t>
            </w:r>
          </w:p>
        </w:tc>
        <w:tc>
          <w:tcPr>
            <w:tcW w:w="5747" w:type="dxa"/>
            <w:tcBorders>
              <w:top w:val="nil"/>
              <w:left w:val="nil"/>
              <w:bottom w:val="nil"/>
              <w:right w:val="nil"/>
            </w:tcBorders>
            <w:tcMar>
              <w:top w:w="15" w:type="dxa"/>
              <w:left w:w="15" w:type="dxa"/>
              <w:bottom w:w="0" w:type="dxa"/>
              <w:right w:w="15" w:type="dxa"/>
            </w:tcMar>
            <w:vAlign w:val="bottom"/>
          </w:tcPr>
          <w:p w14:paraId="59009E3D">
            <w:pPr>
              <w:spacing w:before="156" w:beforeLines="50" w:after="156" w:afterLines="50" w:line="360" w:lineRule="auto"/>
              <w:rPr>
                <w:rFonts w:eastAsiaTheme="minorEastAsia"/>
                <w:sz w:val="24"/>
                <w:szCs w:val="24"/>
              </w:rPr>
            </w:pPr>
          </w:p>
        </w:tc>
      </w:tr>
      <w:tr w14:paraId="39C3435A">
        <w:tblPrEx>
          <w:tblCellMar>
            <w:top w:w="0" w:type="dxa"/>
            <w:left w:w="0" w:type="dxa"/>
            <w:bottom w:w="0" w:type="dxa"/>
            <w:right w:w="0" w:type="dxa"/>
          </w:tblCellMar>
        </w:tblPrEx>
        <w:trPr>
          <w:trHeight w:val="390" w:hRule="atLeast"/>
        </w:trPr>
        <w:tc>
          <w:tcPr>
            <w:tcW w:w="2548" w:type="dxa"/>
            <w:tcBorders>
              <w:top w:val="nil"/>
              <w:left w:val="nil"/>
              <w:bottom w:val="nil"/>
              <w:right w:val="nil"/>
            </w:tcBorders>
            <w:tcMar>
              <w:top w:w="15" w:type="dxa"/>
              <w:left w:w="15" w:type="dxa"/>
              <w:bottom w:w="0" w:type="dxa"/>
              <w:right w:w="15" w:type="dxa"/>
            </w:tcMar>
            <w:vAlign w:val="bottom"/>
          </w:tcPr>
          <w:p w14:paraId="54ACA1AC">
            <w:pPr>
              <w:spacing w:before="156" w:beforeLines="50" w:after="156" w:afterLines="50" w:line="360" w:lineRule="auto"/>
              <w:rPr>
                <w:rFonts w:eastAsiaTheme="minorEastAsia"/>
                <w:sz w:val="24"/>
                <w:szCs w:val="24"/>
              </w:rPr>
            </w:pPr>
            <w:r>
              <w:rPr>
                <w:rFonts w:eastAsiaTheme="minorEastAsia"/>
                <w:sz w:val="24"/>
                <w:szCs w:val="24"/>
              </w:rPr>
              <w:t>传真：</w:t>
            </w:r>
          </w:p>
        </w:tc>
        <w:tc>
          <w:tcPr>
            <w:tcW w:w="5747" w:type="dxa"/>
            <w:tcBorders>
              <w:top w:val="nil"/>
              <w:left w:val="nil"/>
              <w:bottom w:val="nil"/>
              <w:right w:val="nil"/>
            </w:tcBorders>
            <w:tcMar>
              <w:top w:w="15" w:type="dxa"/>
              <w:left w:w="15" w:type="dxa"/>
              <w:bottom w:w="0" w:type="dxa"/>
              <w:right w:w="15" w:type="dxa"/>
            </w:tcMar>
            <w:vAlign w:val="bottom"/>
          </w:tcPr>
          <w:p w14:paraId="6B5CC804">
            <w:pPr>
              <w:spacing w:before="156" w:beforeLines="50" w:after="156" w:afterLines="50" w:line="360" w:lineRule="auto"/>
              <w:rPr>
                <w:rFonts w:eastAsiaTheme="minorEastAsia"/>
                <w:sz w:val="24"/>
                <w:szCs w:val="24"/>
              </w:rPr>
            </w:pPr>
          </w:p>
        </w:tc>
      </w:tr>
      <w:tr w14:paraId="122E8ACA">
        <w:tblPrEx>
          <w:tblCellMar>
            <w:top w:w="0" w:type="dxa"/>
            <w:left w:w="0" w:type="dxa"/>
            <w:bottom w:w="0" w:type="dxa"/>
            <w:right w:w="0" w:type="dxa"/>
          </w:tblCellMar>
        </w:tblPrEx>
        <w:trPr>
          <w:trHeight w:val="390" w:hRule="atLeast"/>
        </w:trPr>
        <w:tc>
          <w:tcPr>
            <w:tcW w:w="2548" w:type="dxa"/>
            <w:tcBorders>
              <w:top w:val="nil"/>
              <w:left w:val="nil"/>
              <w:bottom w:val="nil"/>
              <w:right w:val="nil"/>
            </w:tcBorders>
            <w:tcMar>
              <w:top w:w="15" w:type="dxa"/>
              <w:left w:w="15" w:type="dxa"/>
              <w:bottom w:w="0" w:type="dxa"/>
              <w:right w:w="15" w:type="dxa"/>
            </w:tcMar>
            <w:vAlign w:val="bottom"/>
          </w:tcPr>
          <w:p w14:paraId="2C1C4C44">
            <w:pPr>
              <w:spacing w:before="156" w:beforeLines="50" w:after="156" w:afterLines="50" w:line="360" w:lineRule="auto"/>
              <w:rPr>
                <w:rFonts w:eastAsiaTheme="minorEastAsia"/>
                <w:sz w:val="24"/>
                <w:szCs w:val="24"/>
              </w:rPr>
            </w:pPr>
            <w:r>
              <w:rPr>
                <w:rFonts w:eastAsiaTheme="minorEastAsia"/>
                <w:sz w:val="24"/>
                <w:szCs w:val="24"/>
              </w:rPr>
              <w:t>联系人：</w:t>
            </w:r>
          </w:p>
        </w:tc>
        <w:tc>
          <w:tcPr>
            <w:tcW w:w="5747" w:type="dxa"/>
            <w:tcBorders>
              <w:top w:val="nil"/>
              <w:left w:val="nil"/>
              <w:bottom w:val="nil"/>
              <w:right w:val="nil"/>
            </w:tcBorders>
            <w:tcMar>
              <w:top w:w="15" w:type="dxa"/>
              <w:left w:w="15" w:type="dxa"/>
              <w:bottom w:w="0" w:type="dxa"/>
              <w:right w:w="15" w:type="dxa"/>
            </w:tcMar>
            <w:vAlign w:val="bottom"/>
          </w:tcPr>
          <w:p w14:paraId="042624C7">
            <w:pPr>
              <w:spacing w:before="156" w:beforeLines="50" w:after="156" w:afterLines="50" w:line="360" w:lineRule="auto"/>
              <w:rPr>
                <w:rFonts w:eastAsiaTheme="minorEastAsia"/>
                <w:sz w:val="24"/>
                <w:szCs w:val="24"/>
              </w:rPr>
            </w:pPr>
          </w:p>
        </w:tc>
      </w:tr>
      <w:tr w14:paraId="382E6FFA">
        <w:tblPrEx>
          <w:tblCellMar>
            <w:top w:w="0" w:type="dxa"/>
            <w:left w:w="0" w:type="dxa"/>
            <w:bottom w:w="0" w:type="dxa"/>
            <w:right w:w="0" w:type="dxa"/>
          </w:tblCellMar>
        </w:tblPrEx>
        <w:trPr>
          <w:trHeight w:val="390" w:hRule="atLeast"/>
        </w:trPr>
        <w:tc>
          <w:tcPr>
            <w:tcW w:w="2548" w:type="dxa"/>
            <w:tcBorders>
              <w:top w:val="nil"/>
              <w:left w:val="nil"/>
              <w:bottom w:val="nil"/>
              <w:right w:val="nil"/>
            </w:tcBorders>
            <w:tcMar>
              <w:top w:w="15" w:type="dxa"/>
              <w:left w:w="15" w:type="dxa"/>
              <w:bottom w:w="0" w:type="dxa"/>
              <w:right w:w="15" w:type="dxa"/>
            </w:tcMar>
            <w:vAlign w:val="bottom"/>
          </w:tcPr>
          <w:p w14:paraId="54FE7D12">
            <w:pPr>
              <w:spacing w:before="156" w:beforeLines="50" w:after="156" w:afterLines="50" w:line="360" w:lineRule="auto"/>
              <w:rPr>
                <w:rFonts w:eastAsiaTheme="minorEastAsia"/>
                <w:sz w:val="24"/>
                <w:szCs w:val="24"/>
              </w:rPr>
            </w:pPr>
            <w:r>
              <w:rPr>
                <w:rFonts w:eastAsiaTheme="minorEastAsia"/>
                <w:sz w:val="24"/>
                <w:szCs w:val="24"/>
              </w:rPr>
              <w:t>开户银行：</w:t>
            </w:r>
          </w:p>
        </w:tc>
        <w:tc>
          <w:tcPr>
            <w:tcW w:w="5747" w:type="dxa"/>
            <w:tcBorders>
              <w:top w:val="nil"/>
              <w:left w:val="nil"/>
              <w:bottom w:val="nil"/>
              <w:right w:val="nil"/>
            </w:tcBorders>
            <w:tcMar>
              <w:top w:w="15" w:type="dxa"/>
              <w:left w:w="15" w:type="dxa"/>
              <w:bottom w:w="0" w:type="dxa"/>
              <w:right w:w="15" w:type="dxa"/>
            </w:tcMar>
            <w:vAlign w:val="bottom"/>
          </w:tcPr>
          <w:p w14:paraId="1F0F27C1">
            <w:pPr>
              <w:spacing w:before="156" w:beforeLines="50" w:after="156" w:afterLines="50" w:line="360" w:lineRule="auto"/>
              <w:rPr>
                <w:rFonts w:eastAsiaTheme="minorEastAsia"/>
                <w:sz w:val="24"/>
                <w:szCs w:val="24"/>
              </w:rPr>
            </w:pPr>
          </w:p>
        </w:tc>
      </w:tr>
      <w:tr w14:paraId="06FA4095">
        <w:tblPrEx>
          <w:tblCellMar>
            <w:top w:w="0" w:type="dxa"/>
            <w:left w:w="0" w:type="dxa"/>
            <w:bottom w:w="0" w:type="dxa"/>
            <w:right w:w="0" w:type="dxa"/>
          </w:tblCellMar>
        </w:tblPrEx>
        <w:trPr>
          <w:trHeight w:val="390" w:hRule="atLeast"/>
        </w:trPr>
        <w:tc>
          <w:tcPr>
            <w:tcW w:w="2548" w:type="dxa"/>
            <w:tcBorders>
              <w:top w:val="nil"/>
              <w:left w:val="nil"/>
              <w:bottom w:val="nil"/>
              <w:right w:val="nil"/>
            </w:tcBorders>
            <w:tcMar>
              <w:top w:w="15" w:type="dxa"/>
              <w:left w:w="15" w:type="dxa"/>
              <w:bottom w:w="0" w:type="dxa"/>
              <w:right w:w="15" w:type="dxa"/>
            </w:tcMar>
            <w:vAlign w:val="bottom"/>
          </w:tcPr>
          <w:p w14:paraId="32E3B23B">
            <w:pPr>
              <w:spacing w:before="156" w:beforeLines="50" w:after="156" w:afterLines="50" w:line="360" w:lineRule="auto"/>
              <w:rPr>
                <w:rFonts w:eastAsiaTheme="minorEastAsia"/>
                <w:sz w:val="24"/>
                <w:szCs w:val="24"/>
              </w:rPr>
            </w:pPr>
            <w:r>
              <w:rPr>
                <w:rFonts w:eastAsiaTheme="minorEastAsia"/>
                <w:sz w:val="24"/>
                <w:szCs w:val="24"/>
              </w:rPr>
              <w:t>帐号：</w:t>
            </w:r>
          </w:p>
        </w:tc>
        <w:tc>
          <w:tcPr>
            <w:tcW w:w="5747" w:type="dxa"/>
            <w:tcBorders>
              <w:top w:val="nil"/>
              <w:left w:val="nil"/>
              <w:bottom w:val="nil"/>
              <w:right w:val="nil"/>
            </w:tcBorders>
            <w:tcMar>
              <w:top w:w="15" w:type="dxa"/>
              <w:left w:w="15" w:type="dxa"/>
              <w:bottom w:w="0" w:type="dxa"/>
              <w:right w:w="15" w:type="dxa"/>
            </w:tcMar>
            <w:vAlign w:val="bottom"/>
          </w:tcPr>
          <w:p w14:paraId="48AD3582">
            <w:pPr>
              <w:spacing w:before="156" w:beforeLines="50" w:after="156" w:afterLines="50" w:line="360" w:lineRule="auto"/>
              <w:rPr>
                <w:rFonts w:eastAsiaTheme="minorEastAsia"/>
                <w:sz w:val="24"/>
                <w:szCs w:val="24"/>
              </w:rPr>
            </w:pPr>
          </w:p>
        </w:tc>
      </w:tr>
      <w:tr w14:paraId="613978EE">
        <w:tblPrEx>
          <w:tblCellMar>
            <w:top w:w="0" w:type="dxa"/>
            <w:left w:w="0" w:type="dxa"/>
            <w:bottom w:w="0" w:type="dxa"/>
            <w:right w:w="0" w:type="dxa"/>
          </w:tblCellMar>
        </w:tblPrEx>
        <w:trPr>
          <w:trHeight w:val="787" w:hRule="atLeast"/>
        </w:trPr>
        <w:tc>
          <w:tcPr>
            <w:tcW w:w="8295" w:type="dxa"/>
            <w:gridSpan w:val="2"/>
            <w:tcBorders>
              <w:top w:val="nil"/>
              <w:left w:val="nil"/>
              <w:bottom w:val="nil"/>
              <w:right w:val="nil"/>
            </w:tcBorders>
            <w:tcMar>
              <w:top w:w="15" w:type="dxa"/>
              <w:left w:w="15" w:type="dxa"/>
              <w:bottom w:w="0" w:type="dxa"/>
              <w:right w:w="15" w:type="dxa"/>
            </w:tcMar>
            <w:vAlign w:val="bottom"/>
          </w:tcPr>
          <w:p w14:paraId="018CFED3">
            <w:pPr>
              <w:spacing w:before="156" w:beforeLines="50" w:after="156" w:afterLines="50" w:line="360" w:lineRule="auto"/>
              <w:rPr>
                <w:rFonts w:eastAsiaTheme="minorEastAsia"/>
                <w:sz w:val="24"/>
                <w:szCs w:val="24"/>
              </w:rPr>
            </w:pPr>
            <w:r>
              <w:rPr>
                <w:rFonts w:eastAsiaTheme="minorEastAsia"/>
                <w:sz w:val="24"/>
                <w:szCs w:val="24"/>
              </w:rPr>
              <w:t>本合同依据政府采购“                ”项目竞争性磋商（项目编号）的结果而签订。</w:t>
            </w:r>
          </w:p>
        </w:tc>
      </w:tr>
    </w:tbl>
    <w:p w14:paraId="270E9C16">
      <w:pPr>
        <w:spacing w:before="156" w:beforeLines="50" w:after="156" w:afterLines="50" w:line="460" w:lineRule="exact"/>
        <w:jc w:val="center"/>
        <w:rPr>
          <w:b/>
          <w:sz w:val="36"/>
          <w:szCs w:val="36"/>
        </w:rPr>
      </w:pPr>
    </w:p>
    <w:p w14:paraId="7C2E8F4F">
      <w:pPr>
        <w:spacing w:before="156" w:beforeLines="50" w:after="156" w:afterLines="50" w:line="360" w:lineRule="auto"/>
        <w:rPr>
          <w:sz w:val="24"/>
          <w:szCs w:val="24"/>
        </w:rPr>
      </w:pPr>
      <w:r>
        <w:rPr>
          <w:b/>
          <w:sz w:val="36"/>
          <w:szCs w:val="36"/>
        </w:rPr>
        <w:br w:type="page"/>
      </w:r>
      <w:r>
        <w:rPr>
          <w:sz w:val="24"/>
          <w:szCs w:val="24"/>
        </w:rPr>
        <w:t>2.合同协议书格式</w:t>
      </w:r>
    </w:p>
    <w:p w14:paraId="06BB9E4E">
      <w:pPr>
        <w:spacing w:after="156" w:afterLines="50" w:line="360" w:lineRule="auto"/>
        <w:ind w:firstLine="480" w:firstLineChars="200"/>
        <w:rPr>
          <w:sz w:val="24"/>
          <w:szCs w:val="24"/>
        </w:rPr>
      </w:pPr>
      <w:r>
        <w:rPr>
          <w:sz w:val="24"/>
          <w:szCs w:val="24"/>
        </w:rPr>
        <w:t>本合同于年月日由</w:t>
      </w:r>
      <w:r>
        <w:rPr>
          <w:sz w:val="24"/>
          <w:szCs w:val="24"/>
          <w:u w:val="single"/>
        </w:rPr>
        <w:t>（买方名称）</w:t>
      </w:r>
      <w:r>
        <w:rPr>
          <w:sz w:val="24"/>
          <w:szCs w:val="24"/>
        </w:rPr>
        <w:t>（以下简称“买方”）和</w:t>
      </w:r>
      <w:r>
        <w:rPr>
          <w:sz w:val="24"/>
          <w:szCs w:val="24"/>
          <w:u w:val="single"/>
        </w:rPr>
        <w:t>（卖方名称）</w:t>
      </w:r>
      <w:r>
        <w:rPr>
          <w:sz w:val="24"/>
          <w:szCs w:val="24"/>
        </w:rPr>
        <w:t>（以下简称“卖方”）按下述条款和条件签署。</w:t>
      </w:r>
    </w:p>
    <w:p w14:paraId="3273C644">
      <w:pPr>
        <w:numPr>
          <w:ilvl w:val="2"/>
          <w:numId w:val="2"/>
        </w:numPr>
        <w:tabs>
          <w:tab w:val="left" w:pos="720"/>
          <w:tab w:val="clear" w:pos="1200"/>
        </w:tabs>
        <w:spacing w:after="156" w:afterLines="50" w:line="360" w:lineRule="auto"/>
        <w:ind w:left="720"/>
        <w:rPr>
          <w:sz w:val="24"/>
          <w:szCs w:val="24"/>
        </w:rPr>
      </w:pPr>
      <w:r>
        <w:rPr>
          <w:sz w:val="24"/>
          <w:szCs w:val="24"/>
        </w:rPr>
        <w:t>本合同中的词语和术语的含义与合同条款中定义的相同。</w:t>
      </w:r>
    </w:p>
    <w:p w14:paraId="14BB5CD1">
      <w:pPr>
        <w:numPr>
          <w:ilvl w:val="2"/>
          <w:numId w:val="2"/>
        </w:numPr>
        <w:tabs>
          <w:tab w:val="left" w:pos="720"/>
          <w:tab w:val="clear" w:pos="1200"/>
        </w:tabs>
        <w:spacing w:after="156" w:afterLines="50" w:line="360" w:lineRule="auto"/>
        <w:ind w:left="720"/>
        <w:rPr>
          <w:sz w:val="24"/>
          <w:szCs w:val="24"/>
        </w:rPr>
      </w:pPr>
      <w:r>
        <w:rPr>
          <w:sz w:val="24"/>
          <w:szCs w:val="24"/>
        </w:rPr>
        <w:t>下列文件是本合同的组成部分，并与本合同一起阅读和解释：</w:t>
      </w:r>
    </w:p>
    <w:p w14:paraId="26768DC1">
      <w:pPr>
        <w:numPr>
          <w:ilvl w:val="0"/>
          <w:numId w:val="3"/>
        </w:numPr>
        <w:tabs>
          <w:tab w:val="left" w:pos="1080"/>
          <w:tab w:val="clear" w:pos="1680"/>
        </w:tabs>
        <w:spacing w:after="156" w:afterLines="50" w:line="360" w:lineRule="auto"/>
        <w:ind w:left="1080" w:hanging="360"/>
        <w:rPr>
          <w:sz w:val="24"/>
          <w:szCs w:val="24"/>
        </w:rPr>
      </w:pPr>
      <w:r>
        <w:rPr>
          <w:sz w:val="24"/>
          <w:szCs w:val="24"/>
        </w:rPr>
        <w:t>合同附件，如：</w:t>
      </w:r>
    </w:p>
    <w:p w14:paraId="3CCE71D0">
      <w:pPr>
        <w:numPr>
          <w:ilvl w:val="1"/>
          <w:numId w:val="4"/>
        </w:numPr>
        <w:spacing w:after="156" w:afterLines="50" w:line="360" w:lineRule="auto"/>
        <w:rPr>
          <w:sz w:val="24"/>
          <w:szCs w:val="24"/>
        </w:rPr>
      </w:pPr>
      <w:r>
        <w:rPr>
          <w:sz w:val="24"/>
          <w:szCs w:val="24"/>
        </w:rPr>
        <w:t>供货内容及价格</w:t>
      </w:r>
    </w:p>
    <w:p w14:paraId="768645C9">
      <w:pPr>
        <w:numPr>
          <w:ilvl w:val="1"/>
          <w:numId w:val="4"/>
        </w:numPr>
        <w:spacing w:after="156" w:afterLines="50" w:line="360" w:lineRule="auto"/>
        <w:rPr>
          <w:sz w:val="24"/>
          <w:szCs w:val="24"/>
        </w:rPr>
      </w:pPr>
      <w:r>
        <w:rPr>
          <w:sz w:val="24"/>
          <w:szCs w:val="24"/>
        </w:rPr>
        <w:t>技术规格</w:t>
      </w:r>
    </w:p>
    <w:p w14:paraId="1541B516">
      <w:pPr>
        <w:numPr>
          <w:ilvl w:val="1"/>
          <w:numId w:val="4"/>
        </w:numPr>
        <w:spacing w:after="156" w:afterLines="50" w:line="360" w:lineRule="auto"/>
        <w:rPr>
          <w:sz w:val="24"/>
          <w:szCs w:val="24"/>
        </w:rPr>
      </w:pPr>
      <w:r>
        <w:rPr>
          <w:sz w:val="24"/>
          <w:szCs w:val="24"/>
        </w:rPr>
        <w:t>交货清单</w:t>
      </w:r>
    </w:p>
    <w:p w14:paraId="1E6AA0FC">
      <w:pPr>
        <w:numPr>
          <w:ilvl w:val="1"/>
          <w:numId w:val="4"/>
        </w:numPr>
        <w:spacing w:after="156" w:afterLines="50" w:line="360" w:lineRule="auto"/>
        <w:rPr>
          <w:sz w:val="24"/>
          <w:szCs w:val="24"/>
        </w:rPr>
      </w:pPr>
      <w:r>
        <w:rPr>
          <w:sz w:val="24"/>
          <w:szCs w:val="24"/>
        </w:rPr>
        <w:t>交货批次及时间的详细说明</w:t>
      </w:r>
    </w:p>
    <w:p w14:paraId="7F53488B">
      <w:pPr>
        <w:numPr>
          <w:ilvl w:val="0"/>
          <w:numId w:val="3"/>
        </w:numPr>
        <w:tabs>
          <w:tab w:val="left" w:pos="1080"/>
          <w:tab w:val="clear" w:pos="1680"/>
        </w:tabs>
        <w:spacing w:after="156" w:afterLines="50" w:line="360" w:lineRule="auto"/>
        <w:ind w:left="1080" w:hanging="360"/>
        <w:rPr>
          <w:sz w:val="24"/>
          <w:szCs w:val="24"/>
        </w:rPr>
      </w:pPr>
      <w:r>
        <w:rPr>
          <w:sz w:val="24"/>
          <w:szCs w:val="24"/>
        </w:rPr>
        <w:t>合同专用条款</w:t>
      </w:r>
    </w:p>
    <w:p w14:paraId="43543F20">
      <w:pPr>
        <w:numPr>
          <w:ilvl w:val="0"/>
          <w:numId w:val="3"/>
        </w:numPr>
        <w:tabs>
          <w:tab w:val="left" w:pos="1080"/>
          <w:tab w:val="clear" w:pos="1680"/>
        </w:tabs>
        <w:spacing w:after="156" w:afterLines="50" w:line="360" w:lineRule="auto"/>
        <w:ind w:left="1080" w:hanging="360"/>
        <w:rPr>
          <w:sz w:val="24"/>
          <w:szCs w:val="24"/>
        </w:rPr>
      </w:pPr>
      <w:r>
        <w:rPr>
          <w:sz w:val="24"/>
          <w:szCs w:val="24"/>
        </w:rPr>
        <w:t>合同通用条款</w:t>
      </w:r>
    </w:p>
    <w:p w14:paraId="5A4F5CFB">
      <w:pPr>
        <w:numPr>
          <w:ilvl w:val="0"/>
          <w:numId w:val="3"/>
        </w:numPr>
        <w:tabs>
          <w:tab w:val="left" w:pos="1080"/>
          <w:tab w:val="clear" w:pos="1680"/>
        </w:tabs>
        <w:spacing w:after="156" w:afterLines="50" w:line="360" w:lineRule="auto"/>
        <w:ind w:left="1080" w:hanging="360"/>
        <w:rPr>
          <w:sz w:val="24"/>
          <w:szCs w:val="24"/>
        </w:rPr>
      </w:pPr>
      <w:r>
        <w:rPr>
          <w:sz w:val="24"/>
          <w:szCs w:val="24"/>
        </w:rPr>
        <w:t>成交通知书</w:t>
      </w:r>
    </w:p>
    <w:p w14:paraId="23640FEE">
      <w:pPr>
        <w:numPr>
          <w:ilvl w:val="0"/>
          <w:numId w:val="3"/>
        </w:numPr>
        <w:tabs>
          <w:tab w:val="left" w:pos="1080"/>
          <w:tab w:val="clear" w:pos="1680"/>
        </w:tabs>
        <w:spacing w:after="156" w:afterLines="50" w:line="360" w:lineRule="auto"/>
        <w:ind w:left="1080" w:hanging="360"/>
        <w:rPr>
          <w:sz w:val="24"/>
          <w:szCs w:val="24"/>
        </w:rPr>
      </w:pPr>
      <w:r>
        <w:rPr>
          <w:sz w:val="24"/>
          <w:szCs w:val="24"/>
        </w:rPr>
        <w:t>磋商响应文件</w:t>
      </w:r>
    </w:p>
    <w:p w14:paraId="4869356E">
      <w:pPr>
        <w:numPr>
          <w:ilvl w:val="0"/>
          <w:numId w:val="3"/>
        </w:numPr>
        <w:tabs>
          <w:tab w:val="left" w:pos="1080"/>
          <w:tab w:val="clear" w:pos="1680"/>
        </w:tabs>
        <w:spacing w:after="156" w:afterLines="50" w:line="360" w:lineRule="auto"/>
        <w:ind w:left="1080" w:hanging="360"/>
        <w:rPr>
          <w:sz w:val="24"/>
          <w:szCs w:val="24"/>
        </w:rPr>
      </w:pPr>
      <w:r>
        <w:rPr>
          <w:sz w:val="24"/>
          <w:szCs w:val="24"/>
        </w:rPr>
        <w:t>磋商文件</w:t>
      </w:r>
    </w:p>
    <w:p w14:paraId="4458127C">
      <w:pPr>
        <w:spacing w:after="156" w:afterLines="50" w:line="360" w:lineRule="auto"/>
        <w:ind w:left="720"/>
        <w:rPr>
          <w:sz w:val="24"/>
          <w:szCs w:val="24"/>
        </w:rPr>
      </w:pPr>
      <w:r>
        <w:rPr>
          <w:sz w:val="24"/>
          <w:szCs w:val="24"/>
        </w:rPr>
        <w:t>上述文件如有冲突，以排列序号小的优先。</w:t>
      </w:r>
    </w:p>
    <w:p w14:paraId="26E934B0">
      <w:pPr>
        <w:numPr>
          <w:ilvl w:val="2"/>
          <w:numId w:val="2"/>
        </w:numPr>
        <w:spacing w:after="156" w:afterLines="50" w:line="360" w:lineRule="auto"/>
        <w:rPr>
          <w:sz w:val="24"/>
          <w:szCs w:val="24"/>
        </w:rPr>
      </w:pPr>
      <w:r>
        <w:rPr>
          <w:sz w:val="24"/>
          <w:szCs w:val="24"/>
        </w:rPr>
        <w:t>卖方在此保证全部按照合同的规定向买方提供</w:t>
      </w:r>
      <w:r>
        <w:rPr>
          <w:rFonts w:hint="eastAsia"/>
          <w:sz w:val="24"/>
          <w:szCs w:val="24"/>
        </w:rPr>
        <w:t>工程、货物和/或服务</w:t>
      </w:r>
      <w:r>
        <w:rPr>
          <w:sz w:val="24"/>
          <w:szCs w:val="24"/>
        </w:rPr>
        <w:t>，并修补缺陷，买方将按照本合同价款向卖方进行支付。</w:t>
      </w:r>
    </w:p>
    <w:p w14:paraId="64004B22">
      <w:pPr>
        <w:numPr>
          <w:ilvl w:val="2"/>
          <w:numId w:val="2"/>
        </w:numPr>
        <w:tabs>
          <w:tab w:val="left" w:pos="720"/>
          <w:tab w:val="clear" w:pos="1200"/>
        </w:tabs>
        <w:spacing w:after="156" w:afterLines="50" w:line="360" w:lineRule="auto"/>
        <w:ind w:left="720"/>
        <w:rPr>
          <w:sz w:val="24"/>
          <w:szCs w:val="24"/>
        </w:rPr>
      </w:pPr>
      <w:r>
        <w:rPr>
          <w:sz w:val="24"/>
          <w:szCs w:val="24"/>
        </w:rPr>
        <w:t>本合同正本一式二份，副本一式四份，均以中文书写，在双方代表签字盖章后生效。</w:t>
      </w:r>
    </w:p>
    <w:tbl>
      <w:tblPr>
        <w:tblStyle w:val="21"/>
        <w:tblW w:w="0" w:type="auto"/>
        <w:tblInd w:w="0" w:type="dxa"/>
        <w:tblLayout w:type="autofit"/>
        <w:tblCellMar>
          <w:top w:w="0" w:type="dxa"/>
          <w:left w:w="108" w:type="dxa"/>
          <w:bottom w:w="0" w:type="dxa"/>
          <w:right w:w="108" w:type="dxa"/>
        </w:tblCellMar>
      </w:tblPr>
      <w:tblGrid>
        <w:gridCol w:w="4261"/>
        <w:gridCol w:w="4261"/>
      </w:tblGrid>
      <w:tr w14:paraId="63F0B440">
        <w:tblPrEx>
          <w:tblCellMar>
            <w:top w:w="0" w:type="dxa"/>
            <w:left w:w="108" w:type="dxa"/>
            <w:bottom w:w="0" w:type="dxa"/>
            <w:right w:w="108" w:type="dxa"/>
          </w:tblCellMar>
        </w:tblPrEx>
        <w:trPr>
          <w:trHeight w:val="3727" w:hRule="atLeast"/>
        </w:trPr>
        <w:tc>
          <w:tcPr>
            <w:tcW w:w="4261" w:type="dxa"/>
          </w:tcPr>
          <w:p w14:paraId="77E02853">
            <w:pPr>
              <w:spacing w:after="156" w:afterLines="50" w:line="360" w:lineRule="auto"/>
              <w:rPr>
                <w:sz w:val="24"/>
                <w:u w:val="single"/>
              </w:rPr>
            </w:pPr>
            <w:r>
              <w:rPr>
                <w:sz w:val="24"/>
              </w:rPr>
              <w:t>买方名称</w:t>
            </w:r>
          </w:p>
          <w:p w14:paraId="309314FE">
            <w:pPr>
              <w:spacing w:after="156" w:afterLines="50" w:line="360" w:lineRule="auto"/>
              <w:rPr>
                <w:sz w:val="24"/>
              </w:rPr>
            </w:pPr>
            <w:r>
              <w:rPr>
                <w:sz w:val="24"/>
              </w:rPr>
              <w:t>买方代表姓名</w:t>
            </w:r>
          </w:p>
          <w:p w14:paraId="77076EE6">
            <w:pPr>
              <w:spacing w:after="156" w:afterLines="50" w:line="360" w:lineRule="auto"/>
              <w:rPr>
                <w:sz w:val="24"/>
                <w:u w:val="single"/>
              </w:rPr>
            </w:pPr>
            <w:r>
              <w:rPr>
                <w:sz w:val="24"/>
              </w:rPr>
              <w:t>买方代表签字</w:t>
            </w:r>
          </w:p>
          <w:p w14:paraId="72886FF8">
            <w:pPr>
              <w:spacing w:after="156" w:afterLines="50" w:line="360" w:lineRule="auto"/>
              <w:rPr>
                <w:sz w:val="24"/>
              </w:rPr>
            </w:pPr>
            <w:r>
              <w:rPr>
                <w:sz w:val="24"/>
              </w:rPr>
              <w:t>签字日期</w:t>
            </w:r>
          </w:p>
          <w:p w14:paraId="340A4C61">
            <w:pPr>
              <w:spacing w:after="156" w:afterLines="50" w:line="360" w:lineRule="auto"/>
              <w:rPr>
                <w:sz w:val="24"/>
              </w:rPr>
            </w:pPr>
            <w:r>
              <w:rPr>
                <w:sz w:val="24"/>
              </w:rPr>
              <w:t>买方公章（或合同章）</w:t>
            </w:r>
          </w:p>
        </w:tc>
        <w:tc>
          <w:tcPr>
            <w:tcW w:w="4261" w:type="dxa"/>
          </w:tcPr>
          <w:p w14:paraId="17B84C19">
            <w:pPr>
              <w:spacing w:after="156" w:afterLines="50" w:line="360" w:lineRule="auto"/>
              <w:rPr>
                <w:sz w:val="24"/>
                <w:u w:val="single"/>
              </w:rPr>
            </w:pPr>
            <w:r>
              <w:rPr>
                <w:sz w:val="24"/>
              </w:rPr>
              <w:t>卖方名称</w:t>
            </w:r>
          </w:p>
          <w:p w14:paraId="4EA49991">
            <w:pPr>
              <w:spacing w:after="156" w:afterLines="50" w:line="360" w:lineRule="auto"/>
              <w:rPr>
                <w:sz w:val="24"/>
              </w:rPr>
            </w:pPr>
            <w:r>
              <w:rPr>
                <w:sz w:val="24"/>
              </w:rPr>
              <w:t>卖方代表姓名</w:t>
            </w:r>
          </w:p>
          <w:p w14:paraId="1B6BE923">
            <w:pPr>
              <w:spacing w:after="156" w:afterLines="50" w:line="360" w:lineRule="auto"/>
              <w:rPr>
                <w:sz w:val="24"/>
                <w:u w:val="single"/>
              </w:rPr>
            </w:pPr>
            <w:r>
              <w:rPr>
                <w:sz w:val="24"/>
              </w:rPr>
              <w:t>卖方代表签字</w:t>
            </w:r>
          </w:p>
          <w:p w14:paraId="6300B7B0">
            <w:pPr>
              <w:spacing w:after="156" w:afterLines="50" w:line="360" w:lineRule="auto"/>
              <w:rPr>
                <w:sz w:val="24"/>
              </w:rPr>
            </w:pPr>
            <w:r>
              <w:rPr>
                <w:sz w:val="24"/>
              </w:rPr>
              <w:t>签字日期</w:t>
            </w:r>
          </w:p>
          <w:p w14:paraId="27F10090">
            <w:pPr>
              <w:spacing w:after="156" w:afterLines="50" w:line="360" w:lineRule="auto"/>
              <w:rPr>
                <w:sz w:val="24"/>
              </w:rPr>
            </w:pPr>
            <w:r>
              <w:rPr>
                <w:sz w:val="24"/>
              </w:rPr>
              <w:t>卖方公章（或合同章）</w:t>
            </w:r>
          </w:p>
        </w:tc>
      </w:tr>
    </w:tbl>
    <w:p w14:paraId="2084C24B">
      <w:pPr>
        <w:spacing w:before="156" w:beforeLines="50" w:after="156" w:afterLines="50" w:line="460" w:lineRule="exact"/>
        <w:rPr>
          <w:szCs w:val="21"/>
        </w:rPr>
      </w:pPr>
    </w:p>
    <w:p w14:paraId="2A160110">
      <w:pPr>
        <w:pStyle w:val="2"/>
        <w:snapToGrid w:val="0"/>
        <w:spacing w:line="360" w:lineRule="auto"/>
        <w:jc w:val="both"/>
        <w:rPr>
          <w:b/>
          <w:sz w:val="44"/>
          <w:szCs w:val="44"/>
        </w:rPr>
      </w:pPr>
      <w:r>
        <w:rPr>
          <w:b/>
          <w:sz w:val="36"/>
          <w:szCs w:val="36"/>
        </w:rPr>
        <w:br w:type="page"/>
      </w:r>
    </w:p>
    <w:p w14:paraId="7BCB424E">
      <w:pPr>
        <w:shd w:val="clear" w:color="auto" w:fill="FFFFFF"/>
        <w:spacing w:line="360" w:lineRule="auto"/>
        <w:ind w:firstLine="208" w:firstLineChars="47"/>
        <w:jc w:val="center"/>
        <w:rPr>
          <w:rFonts w:eastAsiaTheme="majorEastAsia"/>
          <w:sz w:val="24"/>
          <w:szCs w:val="24"/>
        </w:rPr>
      </w:pPr>
      <w:r>
        <w:rPr>
          <w:b/>
          <w:sz w:val="44"/>
          <w:szCs w:val="44"/>
        </w:rPr>
        <w:t>第</w:t>
      </w:r>
      <w:r>
        <w:rPr>
          <w:rFonts w:hint="eastAsia"/>
          <w:b/>
          <w:sz w:val="44"/>
          <w:szCs w:val="44"/>
        </w:rPr>
        <w:t>六</w:t>
      </w:r>
      <w:r>
        <w:rPr>
          <w:b/>
          <w:sz w:val="44"/>
          <w:szCs w:val="44"/>
        </w:rPr>
        <w:t>章 磋商响应文件格式</w:t>
      </w:r>
    </w:p>
    <w:p w14:paraId="3A8FA814">
      <w:pPr>
        <w:shd w:val="clear" w:color="auto" w:fill="FFFFFF"/>
        <w:jc w:val="center"/>
        <w:rPr>
          <w:b/>
          <w:sz w:val="44"/>
          <w:szCs w:val="44"/>
        </w:rPr>
      </w:pPr>
      <w:r>
        <w:rPr>
          <w:b/>
          <w:sz w:val="44"/>
          <w:szCs w:val="44"/>
        </w:rPr>
        <w:br w:type="page"/>
      </w:r>
    </w:p>
    <w:p w14:paraId="7C030D8C">
      <w:pPr>
        <w:shd w:val="clear" w:color="auto" w:fill="FFFFFF"/>
        <w:jc w:val="center"/>
        <w:rPr>
          <w:b/>
          <w:sz w:val="44"/>
          <w:szCs w:val="44"/>
        </w:rPr>
      </w:pPr>
    </w:p>
    <w:p w14:paraId="7D825376">
      <w:pPr>
        <w:shd w:val="clear" w:color="auto" w:fill="FFFFFF"/>
        <w:jc w:val="center"/>
        <w:rPr>
          <w:b/>
          <w:sz w:val="44"/>
          <w:szCs w:val="44"/>
        </w:rPr>
      </w:pPr>
    </w:p>
    <w:p w14:paraId="142CDF28">
      <w:pPr>
        <w:shd w:val="clear" w:color="auto" w:fill="FFFFFF"/>
        <w:jc w:val="center"/>
        <w:rPr>
          <w:b/>
          <w:sz w:val="36"/>
          <w:szCs w:val="36"/>
        </w:rPr>
      </w:pPr>
    </w:p>
    <w:p w14:paraId="2603A281">
      <w:pPr>
        <w:shd w:val="clear" w:color="auto" w:fill="FFFFFF"/>
        <w:jc w:val="center"/>
        <w:rPr>
          <w:b/>
          <w:sz w:val="44"/>
          <w:szCs w:val="44"/>
        </w:rPr>
      </w:pPr>
    </w:p>
    <w:p w14:paraId="24059F74">
      <w:pPr>
        <w:shd w:val="clear" w:color="auto" w:fill="FFFFFF"/>
        <w:jc w:val="center"/>
        <w:rPr>
          <w:b/>
          <w:sz w:val="36"/>
          <w:szCs w:val="36"/>
        </w:rPr>
      </w:pPr>
    </w:p>
    <w:p w14:paraId="5DFB77D7">
      <w:pPr>
        <w:shd w:val="clear" w:color="auto" w:fill="FFFFFF"/>
        <w:jc w:val="center"/>
        <w:rPr>
          <w:b/>
          <w:sz w:val="72"/>
          <w:szCs w:val="72"/>
        </w:rPr>
      </w:pPr>
      <w:r>
        <w:rPr>
          <w:b/>
          <w:sz w:val="72"/>
          <w:szCs w:val="72"/>
        </w:rPr>
        <w:t>磋商响应文件</w:t>
      </w:r>
    </w:p>
    <w:p w14:paraId="190B6E98">
      <w:pPr>
        <w:shd w:val="clear" w:color="auto" w:fill="FFFFFF"/>
        <w:jc w:val="center"/>
        <w:rPr>
          <w:b/>
          <w:sz w:val="36"/>
          <w:szCs w:val="36"/>
        </w:rPr>
      </w:pPr>
    </w:p>
    <w:p w14:paraId="34E36F4A">
      <w:pPr>
        <w:shd w:val="clear" w:color="auto" w:fill="FFFFFF"/>
        <w:jc w:val="center"/>
        <w:rPr>
          <w:b/>
          <w:sz w:val="36"/>
          <w:szCs w:val="36"/>
        </w:rPr>
      </w:pPr>
    </w:p>
    <w:p w14:paraId="19B275B1">
      <w:pPr>
        <w:shd w:val="clear" w:color="auto" w:fill="FFFFFF"/>
        <w:jc w:val="center"/>
        <w:rPr>
          <w:b/>
          <w:sz w:val="36"/>
          <w:szCs w:val="36"/>
        </w:rPr>
      </w:pPr>
    </w:p>
    <w:p w14:paraId="653C22C5">
      <w:pPr>
        <w:shd w:val="clear" w:color="auto" w:fill="FFFFFF"/>
        <w:jc w:val="center"/>
        <w:rPr>
          <w:sz w:val="36"/>
          <w:szCs w:val="36"/>
        </w:rPr>
      </w:pPr>
    </w:p>
    <w:p w14:paraId="179E39CE">
      <w:pPr>
        <w:shd w:val="clear" w:color="auto" w:fill="FFFFFF"/>
        <w:tabs>
          <w:tab w:val="left" w:pos="2628"/>
        </w:tabs>
        <w:spacing w:line="360" w:lineRule="auto"/>
        <w:ind w:left="2492" w:leftChars="401" w:hanging="1650" w:hangingChars="550"/>
        <w:jc w:val="left"/>
        <w:rPr>
          <w:sz w:val="30"/>
          <w:szCs w:val="30"/>
        </w:rPr>
      </w:pPr>
      <w:r>
        <w:rPr>
          <w:sz w:val="30"/>
          <w:szCs w:val="30"/>
        </w:rPr>
        <w:t>项目名称：</w:t>
      </w:r>
      <w:r>
        <w:rPr>
          <w:sz w:val="30"/>
          <w:szCs w:val="30"/>
        </w:rPr>
        <w:tab/>
      </w:r>
    </w:p>
    <w:p w14:paraId="1F859F2B">
      <w:pPr>
        <w:shd w:val="clear" w:color="auto" w:fill="FFFFFF"/>
        <w:tabs>
          <w:tab w:val="left" w:pos="2628"/>
        </w:tabs>
        <w:spacing w:line="360" w:lineRule="auto"/>
        <w:ind w:left="843"/>
        <w:jc w:val="left"/>
        <w:rPr>
          <w:sz w:val="30"/>
          <w:szCs w:val="30"/>
        </w:rPr>
      </w:pPr>
      <w:r>
        <w:rPr>
          <w:sz w:val="30"/>
          <w:szCs w:val="30"/>
        </w:rPr>
        <w:t>项目编号：</w:t>
      </w:r>
    </w:p>
    <w:p w14:paraId="44B36CE7">
      <w:pPr>
        <w:shd w:val="clear" w:color="auto" w:fill="FFFFFF"/>
        <w:tabs>
          <w:tab w:val="left" w:pos="2628"/>
        </w:tabs>
        <w:spacing w:line="360" w:lineRule="auto"/>
        <w:ind w:left="2492" w:leftChars="401" w:hanging="1650" w:hangingChars="550"/>
        <w:jc w:val="left"/>
      </w:pPr>
      <w:r>
        <w:rPr>
          <w:rFonts w:hint="eastAsia"/>
          <w:sz w:val="30"/>
          <w:szCs w:val="30"/>
        </w:rPr>
        <w:t xml:space="preserve">包    号： </w:t>
      </w:r>
    </w:p>
    <w:p w14:paraId="6EB33151">
      <w:pPr>
        <w:shd w:val="clear" w:color="auto" w:fill="FFFFFF"/>
        <w:spacing w:line="360" w:lineRule="auto"/>
        <w:ind w:left="1080"/>
        <w:rPr>
          <w:b/>
          <w:bCs/>
          <w:sz w:val="28"/>
          <w:szCs w:val="28"/>
        </w:rPr>
      </w:pPr>
    </w:p>
    <w:p w14:paraId="00BBAB89">
      <w:pPr>
        <w:shd w:val="clear" w:color="auto" w:fill="FFFFFF"/>
        <w:jc w:val="center"/>
        <w:rPr>
          <w:sz w:val="44"/>
          <w:szCs w:val="44"/>
        </w:rPr>
      </w:pPr>
    </w:p>
    <w:p w14:paraId="011D5619">
      <w:pPr>
        <w:shd w:val="clear" w:color="auto" w:fill="FFFFFF"/>
        <w:jc w:val="center"/>
        <w:rPr>
          <w:sz w:val="44"/>
          <w:szCs w:val="44"/>
        </w:rPr>
      </w:pPr>
    </w:p>
    <w:p w14:paraId="407776EC">
      <w:pPr>
        <w:shd w:val="clear" w:color="auto" w:fill="FFFFFF"/>
        <w:jc w:val="center"/>
        <w:rPr>
          <w:sz w:val="44"/>
          <w:szCs w:val="44"/>
        </w:rPr>
      </w:pPr>
    </w:p>
    <w:p w14:paraId="3561244F">
      <w:pPr>
        <w:shd w:val="clear" w:color="auto" w:fill="FFFFFF"/>
        <w:jc w:val="center"/>
        <w:rPr>
          <w:b/>
          <w:sz w:val="30"/>
          <w:szCs w:val="30"/>
        </w:rPr>
      </w:pPr>
      <w:r>
        <w:rPr>
          <w:b/>
          <w:sz w:val="30"/>
          <w:szCs w:val="30"/>
        </w:rPr>
        <w:t>供应商名称：</w:t>
      </w:r>
      <w:r>
        <w:rPr>
          <w:rFonts w:hint="eastAsia"/>
          <w:b/>
          <w:sz w:val="30"/>
          <w:szCs w:val="30"/>
          <w:u w:val="single"/>
        </w:rPr>
        <w:t xml:space="preserve">                 </w:t>
      </w:r>
      <w:r>
        <w:rPr>
          <w:b/>
          <w:sz w:val="30"/>
          <w:szCs w:val="30"/>
        </w:rPr>
        <w:t>（公章）</w:t>
      </w:r>
    </w:p>
    <w:p w14:paraId="1F7B966F">
      <w:pPr>
        <w:shd w:val="clear" w:color="auto" w:fill="FFFFFF"/>
        <w:rPr>
          <w:b/>
          <w:sz w:val="30"/>
          <w:szCs w:val="30"/>
        </w:rPr>
      </w:pPr>
    </w:p>
    <w:p w14:paraId="0DAA5EDF">
      <w:pPr>
        <w:shd w:val="clear" w:color="auto" w:fill="FFFFFF"/>
        <w:ind w:firstLine="2548" w:firstLineChars="846"/>
        <w:rPr>
          <w:b/>
          <w:sz w:val="30"/>
          <w:szCs w:val="30"/>
        </w:rPr>
      </w:pPr>
      <w:r>
        <w:rPr>
          <w:b/>
          <w:sz w:val="30"/>
          <w:szCs w:val="30"/>
        </w:rPr>
        <w:t xml:space="preserve">日期： </w:t>
      </w:r>
      <w:r>
        <w:rPr>
          <w:rFonts w:hint="eastAsia"/>
          <w:b/>
          <w:sz w:val="30"/>
          <w:szCs w:val="30"/>
          <w:u w:val="single"/>
        </w:rPr>
        <w:t xml:space="preserve">    </w:t>
      </w:r>
      <w:r>
        <w:rPr>
          <w:b/>
          <w:sz w:val="30"/>
          <w:szCs w:val="30"/>
        </w:rPr>
        <w:t>年</w:t>
      </w:r>
      <w:r>
        <w:rPr>
          <w:rFonts w:hint="eastAsia"/>
          <w:b/>
          <w:sz w:val="30"/>
          <w:szCs w:val="30"/>
          <w:u w:val="single"/>
        </w:rPr>
        <w:t xml:space="preserve">   </w:t>
      </w:r>
      <w:r>
        <w:rPr>
          <w:b/>
          <w:sz w:val="30"/>
          <w:szCs w:val="30"/>
        </w:rPr>
        <w:t>月</w:t>
      </w:r>
      <w:r>
        <w:rPr>
          <w:rFonts w:hint="eastAsia"/>
          <w:b/>
          <w:sz w:val="30"/>
          <w:szCs w:val="30"/>
          <w:u w:val="single"/>
        </w:rPr>
        <w:t xml:space="preserve">   </w:t>
      </w:r>
      <w:r>
        <w:rPr>
          <w:b/>
          <w:sz w:val="30"/>
          <w:szCs w:val="30"/>
        </w:rPr>
        <w:t>日</w:t>
      </w:r>
    </w:p>
    <w:p w14:paraId="0D6B7BA6">
      <w:pPr>
        <w:shd w:val="clear" w:color="auto" w:fill="FFFFFF"/>
        <w:spacing w:line="360" w:lineRule="auto"/>
        <w:ind w:left="1524"/>
        <w:rPr>
          <w:sz w:val="24"/>
          <w:szCs w:val="24"/>
        </w:rPr>
      </w:pPr>
    </w:p>
    <w:p w14:paraId="53F5063C">
      <w:pPr>
        <w:shd w:val="clear" w:color="auto" w:fill="FFFFFF"/>
        <w:spacing w:line="500" w:lineRule="exact"/>
        <w:jc w:val="center"/>
        <w:rPr>
          <w:b/>
          <w:bCs/>
          <w:spacing w:val="4"/>
          <w:sz w:val="30"/>
          <w:szCs w:val="30"/>
        </w:rPr>
      </w:pPr>
    </w:p>
    <w:p w14:paraId="3A587642">
      <w:pPr>
        <w:shd w:val="clear" w:color="auto" w:fill="FFFFFF"/>
        <w:spacing w:line="500" w:lineRule="exact"/>
        <w:jc w:val="center"/>
        <w:rPr>
          <w:b/>
          <w:bCs/>
          <w:spacing w:val="4"/>
          <w:sz w:val="24"/>
          <w:szCs w:val="24"/>
        </w:rPr>
      </w:pPr>
      <w:r>
        <w:rPr>
          <w:b/>
          <w:bCs/>
          <w:spacing w:val="4"/>
          <w:sz w:val="36"/>
          <w:szCs w:val="36"/>
        </w:rPr>
        <w:br w:type="page"/>
      </w:r>
      <w:r>
        <w:rPr>
          <w:b/>
          <w:bCs/>
          <w:spacing w:val="4"/>
          <w:sz w:val="24"/>
          <w:szCs w:val="24"/>
        </w:rPr>
        <w:t>目 录</w:t>
      </w:r>
    </w:p>
    <w:p w14:paraId="34494995">
      <w:pPr>
        <w:shd w:val="clear" w:color="auto" w:fill="FFFFFF"/>
        <w:spacing w:line="500" w:lineRule="exact"/>
        <w:jc w:val="center"/>
        <w:rPr>
          <w:b/>
          <w:bCs/>
          <w:spacing w:val="4"/>
          <w:sz w:val="24"/>
          <w:szCs w:val="24"/>
        </w:rPr>
      </w:pPr>
    </w:p>
    <w:p w14:paraId="16BA53A8">
      <w:pPr>
        <w:shd w:val="clear" w:color="auto" w:fill="FFFFFF"/>
        <w:spacing w:line="480" w:lineRule="auto"/>
        <w:ind w:firstLine="1240" w:firstLineChars="500"/>
        <w:rPr>
          <w:spacing w:val="4"/>
          <w:sz w:val="24"/>
          <w:szCs w:val="24"/>
        </w:rPr>
      </w:pPr>
      <w:r>
        <w:rPr>
          <w:spacing w:val="4"/>
          <w:sz w:val="24"/>
          <w:szCs w:val="24"/>
        </w:rPr>
        <w:t>一、磋商响应书</w:t>
      </w:r>
    </w:p>
    <w:p w14:paraId="52A9E557">
      <w:pPr>
        <w:shd w:val="clear" w:color="auto" w:fill="FFFFFF"/>
        <w:spacing w:line="480" w:lineRule="auto"/>
        <w:ind w:firstLine="1240" w:firstLineChars="500"/>
        <w:rPr>
          <w:spacing w:val="4"/>
          <w:sz w:val="24"/>
          <w:szCs w:val="24"/>
        </w:rPr>
      </w:pPr>
      <w:r>
        <w:rPr>
          <w:spacing w:val="4"/>
          <w:sz w:val="24"/>
          <w:szCs w:val="24"/>
        </w:rPr>
        <w:t>二、磋商报价表</w:t>
      </w:r>
    </w:p>
    <w:p w14:paraId="1890CE7B">
      <w:pPr>
        <w:shd w:val="clear" w:color="auto" w:fill="FFFFFF"/>
        <w:spacing w:line="480" w:lineRule="auto"/>
        <w:ind w:firstLine="1240" w:firstLineChars="500"/>
        <w:rPr>
          <w:spacing w:val="4"/>
          <w:sz w:val="24"/>
          <w:szCs w:val="24"/>
        </w:rPr>
      </w:pPr>
      <w:r>
        <w:rPr>
          <w:spacing w:val="4"/>
          <w:sz w:val="24"/>
          <w:szCs w:val="24"/>
        </w:rPr>
        <w:t>三、</w:t>
      </w:r>
      <w:r>
        <w:rPr>
          <w:sz w:val="24"/>
          <w:szCs w:val="24"/>
        </w:rPr>
        <w:t>法定代表人授权书（</w:t>
      </w:r>
      <w:r>
        <w:rPr>
          <w:b/>
          <w:sz w:val="24"/>
          <w:szCs w:val="24"/>
        </w:rPr>
        <w:t>原件</w:t>
      </w:r>
      <w:r>
        <w:rPr>
          <w:sz w:val="24"/>
          <w:szCs w:val="24"/>
        </w:rPr>
        <w:t>）</w:t>
      </w:r>
    </w:p>
    <w:p w14:paraId="7E008DF0">
      <w:pPr>
        <w:shd w:val="clear" w:color="auto" w:fill="FFFFFF"/>
        <w:spacing w:line="480" w:lineRule="auto"/>
        <w:ind w:firstLine="1240" w:firstLineChars="500"/>
        <w:rPr>
          <w:sz w:val="24"/>
          <w:szCs w:val="24"/>
        </w:rPr>
      </w:pPr>
      <w:r>
        <w:rPr>
          <w:spacing w:val="4"/>
          <w:sz w:val="24"/>
          <w:szCs w:val="24"/>
        </w:rPr>
        <w:t>四、陕西省政府采购供应商拒绝政府采购领域商业贿赂承诺书</w:t>
      </w:r>
    </w:p>
    <w:p w14:paraId="76207326">
      <w:pPr>
        <w:shd w:val="clear" w:color="auto" w:fill="FFFFFF"/>
        <w:spacing w:line="480" w:lineRule="auto"/>
        <w:ind w:firstLine="1240" w:firstLineChars="500"/>
        <w:rPr>
          <w:spacing w:val="4"/>
          <w:sz w:val="24"/>
          <w:szCs w:val="24"/>
        </w:rPr>
      </w:pPr>
      <w:r>
        <w:rPr>
          <w:spacing w:val="4"/>
          <w:sz w:val="24"/>
          <w:szCs w:val="24"/>
        </w:rPr>
        <w:t>五、资格证明文件</w:t>
      </w:r>
    </w:p>
    <w:p w14:paraId="7689C79B">
      <w:pPr>
        <w:shd w:val="clear" w:color="auto" w:fill="FFFFFF"/>
        <w:spacing w:line="480" w:lineRule="auto"/>
        <w:ind w:firstLine="1240" w:firstLineChars="500"/>
        <w:rPr>
          <w:spacing w:val="4"/>
          <w:sz w:val="24"/>
          <w:szCs w:val="24"/>
        </w:rPr>
      </w:pPr>
      <w:r>
        <w:rPr>
          <w:spacing w:val="4"/>
          <w:sz w:val="24"/>
          <w:szCs w:val="24"/>
        </w:rPr>
        <w:t>六、磋商保证金</w:t>
      </w:r>
    </w:p>
    <w:p w14:paraId="65AD2FA2">
      <w:pPr>
        <w:shd w:val="clear" w:color="auto" w:fill="FFFFFF"/>
        <w:spacing w:line="480" w:lineRule="auto"/>
        <w:ind w:firstLine="1240" w:firstLineChars="500"/>
        <w:rPr>
          <w:spacing w:val="4"/>
          <w:sz w:val="24"/>
          <w:szCs w:val="24"/>
        </w:rPr>
      </w:pPr>
      <w:r>
        <w:rPr>
          <w:spacing w:val="4"/>
          <w:sz w:val="24"/>
          <w:szCs w:val="24"/>
        </w:rPr>
        <w:t>七、磋商方案说明书</w:t>
      </w:r>
    </w:p>
    <w:p w14:paraId="405E4CC0">
      <w:pPr>
        <w:shd w:val="clear" w:color="auto" w:fill="FFFFFF"/>
        <w:spacing w:line="480" w:lineRule="auto"/>
        <w:ind w:firstLine="1240" w:firstLineChars="500"/>
        <w:rPr>
          <w:spacing w:val="4"/>
          <w:sz w:val="24"/>
          <w:szCs w:val="24"/>
        </w:rPr>
      </w:pPr>
      <w:r>
        <w:rPr>
          <w:spacing w:val="4"/>
          <w:sz w:val="24"/>
          <w:szCs w:val="24"/>
        </w:rPr>
        <w:t>八、供应商认为必要的其他资料</w:t>
      </w:r>
    </w:p>
    <w:p w14:paraId="5B3B87ED">
      <w:pPr>
        <w:shd w:val="clear" w:color="auto" w:fill="FFFFFF"/>
        <w:spacing w:line="440" w:lineRule="exact"/>
        <w:jc w:val="center"/>
        <w:rPr>
          <w:spacing w:val="4"/>
          <w:sz w:val="32"/>
          <w:szCs w:val="32"/>
        </w:rPr>
      </w:pPr>
      <w:r>
        <w:rPr>
          <w:sz w:val="28"/>
        </w:rPr>
        <w:br w:type="page"/>
      </w:r>
      <w:r>
        <w:rPr>
          <w:b/>
          <w:spacing w:val="4"/>
          <w:sz w:val="32"/>
          <w:szCs w:val="32"/>
        </w:rPr>
        <w:t>一、磋商响应书</w:t>
      </w:r>
    </w:p>
    <w:p w14:paraId="44DEFC1D">
      <w:pPr>
        <w:shd w:val="clear" w:color="auto" w:fill="FFFFFF"/>
        <w:spacing w:line="440" w:lineRule="exact"/>
        <w:jc w:val="left"/>
        <w:rPr>
          <w:spacing w:val="4"/>
          <w:sz w:val="24"/>
        </w:rPr>
      </w:pPr>
    </w:p>
    <w:p w14:paraId="311EDB21">
      <w:pPr>
        <w:shd w:val="clear" w:color="auto" w:fill="FFFFFF"/>
        <w:spacing w:line="440" w:lineRule="exact"/>
        <w:rPr>
          <w:spacing w:val="4"/>
          <w:sz w:val="24"/>
        </w:rPr>
      </w:pPr>
      <w:r>
        <w:rPr>
          <w:spacing w:val="4"/>
          <w:sz w:val="24"/>
        </w:rPr>
        <w:t>致：</w:t>
      </w:r>
      <w:r>
        <w:rPr>
          <w:kern w:val="0"/>
          <w:sz w:val="24"/>
          <w:szCs w:val="24"/>
        </w:rPr>
        <w:t>东方（西安）国际招标有限公司</w:t>
      </w:r>
    </w:p>
    <w:p w14:paraId="41525244">
      <w:pPr>
        <w:shd w:val="clear" w:color="auto" w:fill="FFFFFF"/>
        <w:spacing w:line="440" w:lineRule="exact"/>
        <w:ind w:firstLine="496" w:firstLineChars="200"/>
        <w:rPr>
          <w:spacing w:val="4"/>
          <w:sz w:val="24"/>
        </w:rPr>
      </w:pPr>
      <w:r>
        <w:rPr>
          <w:spacing w:val="4"/>
          <w:sz w:val="24"/>
        </w:rPr>
        <w:t>根据贵方为</w:t>
      </w:r>
      <w:r>
        <w:rPr>
          <w:spacing w:val="4"/>
          <w:sz w:val="24"/>
          <w:u w:val="single"/>
        </w:rPr>
        <w:t>（项目名称）</w:t>
      </w:r>
      <w:r>
        <w:rPr>
          <w:spacing w:val="4"/>
          <w:sz w:val="24"/>
        </w:rPr>
        <w:t>项目</w:t>
      </w:r>
      <w:r>
        <w:rPr>
          <w:rFonts w:hint="eastAsia"/>
          <w:spacing w:val="4"/>
          <w:sz w:val="24"/>
        </w:rPr>
        <w:t>工程、货物和/或服务</w:t>
      </w:r>
      <w:r>
        <w:rPr>
          <w:spacing w:val="4"/>
          <w:sz w:val="24"/>
        </w:rPr>
        <w:t>采购的竞争性磋商邀请</w:t>
      </w:r>
      <w:r>
        <w:rPr>
          <w:spacing w:val="4"/>
          <w:sz w:val="24"/>
          <w:u w:val="single"/>
        </w:rPr>
        <w:t>(项目编号</w:t>
      </w:r>
      <w:r>
        <w:rPr>
          <w:rFonts w:hint="eastAsia"/>
          <w:spacing w:val="4"/>
          <w:sz w:val="24"/>
          <w:u w:val="single"/>
        </w:rPr>
        <w:t>、</w:t>
      </w:r>
      <w:r>
        <w:rPr>
          <w:spacing w:val="4"/>
          <w:sz w:val="24"/>
          <w:u w:val="single"/>
        </w:rPr>
        <w:t>包号)</w:t>
      </w:r>
      <w:r>
        <w:rPr>
          <w:spacing w:val="4"/>
          <w:sz w:val="24"/>
        </w:rPr>
        <w:t>，签字代表</w:t>
      </w:r>
      <w:r>
        <w:rPr>
          <w:spacing w:val="4"/>
          <w:sz w:val="24"/>
          <w:u w:val="single"/>
        </w:rPr>
        <w:t>（姓名、职务）</w:t>
      </w:r>
      <w:r>
        <w:rPr>
          <w:spacing w:val="4"/>
          <w:sz w:val="24"/>
        </w:rPr>
        <w:t>经正式授权并代表供应商</w:t>
      </w:r>
      <w:r>
        <w:rPr>
          <w:spacing w:val="4"/>
          <w:sz w:val="24"/>
          <w:u w:val="single"/>
        </w:rPr>
        <w:t>(供应商名称、地址)</w:t>
      </w:r>
      <w:r>
        <w:rPr>
          <w:spacing w:val="4"/>
          <w:sz w:val="24"/>
        </w:rPr>
        <w:t xml:space="preserve"> 提交下述响应文件正本一份及副本</w:t>
      </w:r>
      <w:r>
        <w:rPr>
          <w:spacing w:val="4"/>
          <w:sz w:val="24"/>
          <w:u w:val="single"/>
        </w:rPr>
        <w:t>（  ）</w:t>
      </w:r>
      <w:r>
        <w:rPr>
          <w:spacing w:val="4"/>
          <w:sz w:val="24"/>
        </w:rPr>
        <w:t>份，并提交磋商保证金，金额为</w:t>
      </w:r>
      <w:r>
        <w:rPr>
          <w:spacing w:val="4"/>
          <w:sz w:val="24"/>
          <w:u w:val="single"/>
        </w:rPr>
        <w:t>（  ）</w:t>
      </w:r>
      <w:r>
        <w:rPr>
          <w:spacing w:val="4"/>
          <w:sz w:val="24"/>
        </w:rPr>
        <w:t>。</w:t>
      </w:r>
    </w:p>
    <w:p w14:paraId="170C5369">
      <w:pPr>
        <w:shd w:val="clear" w:color="auto" w:fill="FFFFFF"/>
        <w:spacing w:line="440" w:lineRule="exact"/>
        <w:ind w:left="549" w:leftChars="251" w:hanging="22" w:hangingChars="9"/>
        <w:rPr>
          <w:spacing w:val="4"/>
          <w:sz w:val="24"/>
        </w:rPr>
      </w:pPr>
      <w:r>
        <w:rPr>
          <w:spacing w:val="4"/>
          <w:sz w:val="24"/>
        </w:rPr>
        <w:t>我方承诺如下：</w:t>
      </w:r>
    </w:p>
    <w:p w14:paraId="482C9DC9">
      <w:pPr>
        <w:numPr>
          <w:ilvl w:val="0"/>
          <w:numId w:val="5"/>
        </w:numPr>
        <w:shd w:val="clear" w:color="auto" w:fill="FFFFFF"/>
        <w:tabs>
          <w:tab w:val="left" w:pos="2160"/>
        </w:tabs>
        <w:spacing w:line="440" w:lineRule="exact"/>
        <w:ind w:left="0" w:firstLine="0"/>
        <w:rPr>
          <w:spacing w:val="4"/>
          <w:sz w:val="24"/>
        </w:rPr>
      </w:pPr>
      <w:r>
        <w:rPr>
          <w:spacing w:val="4"/>
          <w:sz w:val="24"/>
        </w:rPr>
        <w:t>如果成交，我们根据磋商文件的规定，履行合同的责任和义务。</w:t>
      </w:r>
    </w:p>
    <w:p w14:paraId="69EE59EF">
      <w:pPr>
        <w:numPr>
          <w:ilvl w:val="0"/>
          <w:numId w:val="5"/>
        </w:numPr>
        <w:shd w:val="clear" w:color="auto" w:fill="FFFFFF"/>
        <w:tabs>
          <w:tab w:val="left" w:pos="2160"/>
        </w:tabs>
        <w:spacing w:line="440" w:lineRule="exact"/>
        <w:ind w:left="0" w:firstLine="0"/>
        <w:rPr>
          <w:spacing w:val="4"/>
          <w:sz w:val="24"/>
        </w:rPr>
      </w:pPr>
      <w:r>
        <w:rPr>
          <w:spacing w:val="4"/>
          <w:sz w:val="24"/>
        </w:rPr>
        <w:t>我们已详细阅读和审核全部磋商文件（含修改部分，如有的话），及有关附件，我们知道必须放弃提出含糊不清或误解的问题的权利。</w:t>
      </w:r>
    </w:p>
    <w:p w14:paraId="28E54EBE">
      <w:pPr>
        <w:numPr>
          <w:ilvl w:val="0"/>
          <w:numId w:val="5"/>
        </w:numPr>
        <w:shd w:val="clear" w:color="auto" w:fill="FFFFFF"/>
        <w:tabs>
          <w:tab w:val="left" w:pos="2160"/>
        </w:tabs>
        <w:spacing w:line="440" w:lineRule="exact"/>
        <w:ind w:left="0" w:firstLine="0"/>
        <w:rPr>
          <w:spacing w:val="4"/>
          <w:sz w:val="24"/>
        </w:rPr>
      </w:pPr>
      <w:r>
        <w:rPr>
          <w:spacing w:val="4"/>
          <w:sz w:val="24"/>
        </w:rPr>
        <w:t>我们同意在磋商报价有效期内（自磋商之日起</w:t>
      </w:r>
      <w:r>
        <w:rPr>
          <w:spacing w:val="4"/>
          <w:sz w:val="24"/>
          <w:u w:val="single"/>
        </w:rPr>
        <w:t xml:space="preserve"> （ 90 ）</w:t>
      </w:r>
      <w:r>
        <w:rPr>
          <w:spacing w:val="4"/>
          <w:sz w:val="24"/>
        </w:rPr>
        <w:t>天内），本磋商响应书对我方具有约束力。</w:t>
      </w:r>
    </w:p>
    <w:p w14:paraId="45B30452">
      <w:pPr>
        <w:numPr>
          <w:ilvl w:val="0"/>
          <w:numId w:val="5"/>
        </w:numPr>
        <w:shd w:val="clear" w:color="auto" w:fill="FFFFFF"/>
        <w:tabs>
          <w:tab w:val="left" w:pos="2160"/>
        </w:tabs>
        <w:spacing w:line="440" w:lineRule="exact"/>
        <w:ind w:left="0" w:firstLine="0"/>
        <w:rPr>
          <w:spacing w:val="4"/>
          <w:sz w:val="24"/>
        </w:rPr>
      </w:pPr>
      <w:r>
        <w:rPr>
          <w:spacing w:val="4"/>
          <w:sz w:val="24"/>
        </w:rPr>
        <w:t>如果在磋商中，我方出现了“磋商须知”中第</w:t>
      </w:r>
      <w:r>
        <w:rPr>
          <w:sz w:val="24"/>
          <w:szCs w:val="24"/>
        </w:rPr>
        <w:t>15.5条</w:t>
      </w:r>
      <w:r>
        <w:rPr>
          <w:spacing w:val="4"/>
          <w:sz w:val="24"/>
        </w:rPr>
        <w:t>规定的不予退还保证金的情形，我们的磋商保证金贵方不予退还。</w:t>
      </w:r>
    </w:p>
    <w:p w14:paraId="49466AC8">
      <w:pPr>
        <w:numPr>
          <w:ilvl w:val="0"/>
          <w:numId w:val="5"/>
        </w:numPr>
        <w:shd w:val="clear" w:color="auto" w:fill="FFFFFF"/>
        <w:tabs>
          <w:tab w:val="left" w:pos="2160"/>
        </w:tabs>
        <w:spacing w:line="440" w:lineRule="exact"/>
        <w:ind w:left="0" w:firstLine="0"/>
        <w:rPr>
          <w:spacing w:val="4"/>
          <w:sz w:val="24"/>
        </w:rPr>
      </w:pPr>
      <w:r>
        <w:rPr>
          <w:spacing w:val="4"/>
          <w:sz w:val="24"/>
        </w:rPr>
        <w:t xml:space="preserve">同意提供贵方可能另外要求的与本磋商报价有关的任何证据和资料。 </w:t>
      </w:r>
    </w:p>
    <w:p w14:paraId="0073DDBE">
      <w:pPr>
        <w:numPr>
          <w:ilvl w:val="0"/>
          <w:numId w:val="5"/>
        </w:numPr>
        <w:shd w:val="clear" w:color="auto" w:fill="FFFFFF"/>
        <w:tabs>
          <w:tab w:val="left" w:pos="2160"/>
        </w:tabs>
        <w:spacing w:line="440" w:lineRule="exact"/>
        <w:ind w:left="0" w:firstLine="0"/>
        <w:rPr>
          <w:spacing w:val="4"/>
          <w:sz w:val="24"/>
        </w:rPr>
      </w:pPr>
      <w:r>
        <w:rPr>
          <w:spacing w:val="4"/>
          <w:sz w:val="24"/>
        </w:rPr>
        <w:t>我们同意，如果成交，向东方（西安）国际招标有限公司交纳采购代理服务费。</w:t>
      </w:r>
    </w:p>
    <w:p w14:paraId="3C7D9C01">
      <w:pPr>
        <w:numPr>
          <w:ilvl w:val="0"/>
          <w:numId w:val="5"/>
        </w:numPr>
        <w:shd w:val="clear" w:color="auto" w:fill="FFFFFF"/>
        <w:tabs>
          <w:tab w:val="left" w:pos="2160"/>
        </w:tabs>
        <w:spacing w:line="440" w:lineRule="exact"/>
        <w:ind w:left="0" w:firstLine="0"/>
        <w:rPr>
          <w:spacing w:val="4"/>
          <w:sz w:val="24"/>
        </w:rPr>
      </w:pPr>
      <w:r>
        <w:rPr>
          <w:spacing w:val="4"/>
          <w:sz w:val="24"/>
        </w:rPr>
        <w:t>与本磋商响应有关的一切正式信函请寄：</w:t>
      </w:r>
    </w:p>
    <w:p w14:paraId="7DFEA305">
      <w:pPr>
        <w:shd w:val="clear" w:color="auto" w:fill="FFFFFF"/>
        <w:spacing w:line="440" w:lineRule="exact"/>
        <w:ind w:firstLine="496" w:firstLineChars="200"/>
        <w:rPr>
          <w:spacing w:val="4"/>
          <w:sz w:val="24"/>
        </w:rPr>
      </w:pPr>
      <w:r>
        <w:rPr>
          <w:spacing w:val="4"/>
          <w:sz w:val="24"/>
        </w:rPr>
        <w:t>地址：                          邮政编码：</w:t>
      </w:r>
    </w:p>
    <w:p w14:paraId="6CDC8E09">
      <w:pPr>
        <w:shd w:val="clear" w:color="auto" w:fill="FFFFFF"/>
        <w:spacing w:line="440" w:lineRule="exact"/>
        <w:ind w:firstLine="496" w:firstLineChars="200"/>
        <w:rPr>
          <w:spacing w:val="4"/>
          <w:sz w:val="24"/>
        </w:rPr>
      </w:pPr>
      <w:r>
        <w:rPr>
          <w:spacing w:val="4"/>
          <w:sz w:val="24"/>
        </w:rPr>
        <w:t>电话/传真：                     电子邮件：</w:t>
      </w:r>
    </w:p>
    <w:p w14:paraId="654FBF7B">
      <w:pPr>
        <w:shd w:val="clear" w:color="auto" w:fill="FFFFFF"/>
        <w:spacing w:line="440" w:lineRule="exact"/>
        <w:rPr>
          <w:spacing w:val="4"/>
          <w:sz w:val="24"/>
        </w:rPr>
      </w:pPr>
    </w:p>
    <w:p w14:paraId="07223643">
      <w:pPr>
        <w:shd w:val="clear" w:color="auto" w:fill="FFFFFF"/>
        <w:spacing w:line="440" w:lineRule="exact"/>
        <w:rPr>
          <w:spacing w:val="4"/>
          <w:sz w:val="24"/>
        </w:rPr>
      </w:pPr>
    </w:p>
    <w:p w14:paraId="423D96F0">
      <w:pPr>
        <w:shd w:val="clear" w:color="auto" w:fill="FFFFFF"/>
        <w:spacing w:line="440" w:lineRule="exact"/>
        <w:rPr>
          <w:spacing w:val="4"/>
          <w:sz w:val="24"/>
        </w:rPr>
      </w:pPr>
      <w:r>
        <w:rPr>
          <w:spacing w:val="4"/>
          <w:sz w:val="24"/>
        </w:rPr>
        <w:t>供应商名称（公章）：</w:t>
      </w:r>
    </w:p>
    <w:p w14:paraId="5A3360A8">
      <w:pPr>
        <w:shd w:val="clear" w:color="auto" w:fill="FFFFFF"/>
        <w:spacing w:line="440" w:lineRule="exact"/>
        <w:rPr>
          <w:spacing w:val="4"/>
          <w:sz w:val="24"/>
        </w:rPr>
      </w:pPr>
    </w:p>
    <w:p w14:paraId="1F0FB218">
      <w:pPr>
        <w:shd w:val="clear" w:color="auto" w:fill="FFFFFF"/>
        <w:spacing w:line="440" w:lineRule="exact"/>
        <w:rPr>
          <w:spacing w:val="4"/>
          <w:sz w:val="24"/>
        </w:rPr>
      </w:pPr>
      <w:r>
        <w:rPr>
          <w:spacing w:val="4"/>
          <w:sz w:val="24"/>
        </w:rPr>
        <w:t>授权代表人签字或盖章：</w:t>
      </w:r>
    </w:p>
    <w:p w14:paraId="598E9FC7">
      <w:pPr>
        <w:shd w:val="clear" w:color="auto" w:fill="FFFFFF"/>
        <w:spacing w:line="440" w:lineRule="exact"/>
        <w:rPr>
          <w:spacing w:val="4"/>
          <w:sz w:val="24"/>
        </w:rPr>
      </w:pPr>
    </w:p>
    <w:p w14:paraId="77F130C6">
      <w:pPr>
        <w:shd w:val="clear" w:color="auto" w:fill="FFFFFF"/>
        <w:spacing w:line="440" w:lineRule="exact"/>
        <w:rPr>
          <w:spacing w:val="4"/>
          <w:sz w:val="24"/>
        </w:rPr>
      </w:pPr>
      <w:r>
        <w:rPr>
          <w:spacing w:val="4"/>
          <w:sz w:val="24"/>
        </w:rPr>
        <w:t>日期：</w:t>
      </w:r>
    </w:p>
    <w:p w14:paraId="44FDC546">
      <w:pPr>
        <w:pStyle w:val="90"/>
        <w:numPr>
          <w:ilvl w:val="0"/>
          <w:numId w:val="2"/>
        </w:numPr>
        <w:shd w:val="clear" w:color="auto" w:fill="FFFFFF"/>
        <w:spacing w:line="440" w:lineRule="exact"/>
        <w:ind w:firstLineChars="0"/>
        <w:jc w:val="center"/>
        <w:rPr>
          <w:b/>
          <w:sz w:val="32"/>
          <w:szCs w:val="32"/>
        </w:rPr>
      </w:pPr>
      <w:r>
        <w:rPr>
          <w:b/>
          <w:sz w:val="28"/>
        </w:rPr>
        <w:br w:type="page"/>
      </w:r>
      <w:r>
        <w:rPr>
          <w:b/>
          <w:sz w:val="32"/>
          <w:szCs w:val="32"/>
        </w:rPr>
        <w:t>磋商报价表</w:t>
      </w:r>
    </w:p>
    <w:p w14:paraId="28755A30">
      <w:pPr>
        <w:pStyle w:val="90"/>
        <w:shd w:val="clear" w:color="auto" w:fill="FFFFFF"/>
        <w:spacing w:line="440" w:lineRule="exact"/>
        <w:ind w:left="420" w:firstLine="0" w:firstLineChars="0"/>
        <w:rPr>
          <w:b/>
          <w:sz w:val="32"/>
          <w:szCs w:val="32"/>
        </w:rPr>
      </w:pPr>
    </w:p>
    <w:p w14:paraId="2E0BE38B">
      <w:pPr>
        <w:shd w:val="clear" w:color="auto" w:fill="FFFFFF"/>
        <w:jc w:val="center"/>
        <w:rPr>
          <w:b/>
          <w:sz w:val="24"/>
          <w:szCs w:val="24"/>
        </w:rPr>
      </w:pPr>
      <w:r>
        <w:rPr>
          <w:b/>
          <w:sz w:val="24"/>
          <w:szCs w:val="24"/>
        </w:rPr>
        <w:t>2.1磋商报价一览表（第一次）</w:t>
      </w:r>
    </w:p>
    <w:p w14:paraId="54DA774B">
      <w:pPr>
        <w:shd w:val="clear" w:color="auto" w:fill="FFFFFF"/>
        <w:rPr>
          <w:sz w:val="24"/>
          <w:szCs w:val="24"/>
        </w:rPr>
      </w:pPr>
    </w:p>
    <w:p w14:paraId="5C9B62B4">
      <w:pPr>
        <w:shd w:val="clear" w:color="auto" w:fill="FFFFFF"/>
        <w:rPr>
          <w:sz w:val="24"/>
          <w:szCs w:val="24"/>
        </w:rPr>
      </w:pPr>
      <w:r>
        <w:rPr>
          <w:sz w:val="24"/>
          <w:szCs w:val="24"/>
        </w:rPr>
        <w:t>供应商名称：                          项目编号：</w:t>
      </w:r>
      <w:r>
        <w:rPr>
          <w:rFonts w:hint="eastAsia"/>
          <w:sz w:val="24"/>
          <w:szCs w:val="24"/>
        </w:rPr>
        <w:t xml:space="preserve">        包号：</w:t>
      </w:r>
    </w:p>
    <w:tbl>
      <w:tblPr>
        <w:tblStyle w:val="21"/>
        <w:tblW w:w="5594" w:type="pct"/>
        <w:tblInd w:w="-681" w:type="dxa"/>
        <w:tblLayout w:type="autofit"/>
        <w:tblCellMar>
          <w:top w:w="0" w:type="dxa"/>
          <w:left w:w="28" w:type="dxa"/>
          <w:bottom w:w="0" w:type="dxa"/>
          <w:right w:w="28" w:type="dxa"/>
        </w:tblCellMar>
      </w:tblPr>
      <w:tblGrid>
        <w:gridCol w:w="2328"/>
        <w:gridCol w:w="1160"/>
        <w:gridCol w:w="1472"/>
        <w:gridCol w:w="1368"/>
        <w:gridCol w:w="1164"/>
        <w:gridCol w:w="1156"/>
        <w:gridCol w:w="707"/>
      </w:tblGrid>
      <w:tr w14:paraId="2A11A80D">
        <w:tblPrEx>
          <w:tblCellMar>
            <w:top w:w="0" w:type="dxa"/>
            <w:left w:w="28" w:type="dxa"/>
            <w:bottom w:w="0" w:type="dxa"/>
            <w:right w:w="28" w:type="dxa"/>
          </w:tblCellMar>
        </w:tblPrEx>
        <w:trPr>
          <w:trHeight w:val="444" w:hRule="atLeast"/>
        </w:trPr>
        <w:tc>
          <w:tcPr>
            <w:tcW w:w="1244" w:type="pct"/>
            <w:tcBorders>
              <w:top w:val="single" w:color="auto" w:sz="6" w:space="0"/>
              <w:left w:val="single" w:color="auto" w:sz="6" w:space="0"/>
              <w:bottom w:val="single" w:color="auto" w:sz="6" w:space="0"/>
              <w:right w:val="single" w:color="auto" w:sz="6" w:space="0"/>
            </w:tcBorders>
            <w:vAlign w:val="center"/>
          </w:tcPr>
          <w:p w14:paraId="2C39A676">
            <w:pPr>
              <w:spacing w:line="0" w:lineRule="atLeast"/>
              <w:jc w:val="center"/>
              <w:rPr>
                <w:b/>
                <w:sz w:val="24"/>
                <w:szCs w:val="24"/>
              </w:rPr>
            </w:pPr>
            <w:r>
              <w:rPr>
                <w:b/>
                <w:sz w:val="24"/>
                <w:szCs w:val="24"/>
              </w:rPr>
              <w:t>1</w:t>
            </w:r>
          </w:p>
        </w:tc>
        <w:tc>
          <w:tcPr>
            <w:tcW w:w="620" w:type="pct"/>
            <w:tcBorders>
              <w:top w:val="single" w:color="auto" w:sz="6" w:space="0"/>
              <w:left w:val="single" w:color="auto" w:sz="6" w:space="0"/>
              <w:bottom w:val="single" w:color="auto" w:sz="6" w:space="0"/>
              <w:right w:val="single" w:color="auto" w:sz="6" w:space="0"/>
            </w:tcBorders>
            <w:vAlign w:val="center"/>
          </w:tcPr>
          <w:p w14:paraId="7FE4E032">
            <w:pPr>
              <w:spacing w:line="0" w:lineRule="atLeast"/>
              <w:jc w:val="center"/>
              <w:rPr>
                <w:b/>
                <w:sz w:val="24"/>
                <w:szCs w:val="24"/>
              </w:rPr>
            </w:pPr>
            <w:r>
              <w:rPr>
                <w:rFonts w:hint="eastAsia"/>
                <w:b/>
                <w:sz w:val="24"/>
                <w:szCs w:val="24"/>
              </w:rPr>
              <w:t>2</w:t>
            </w:r>
          </w:p>
        </w:tc>
        <w:tc>
          <w:tcPr>
            <w:tcW w:w="787" w:type="pct"/>
            <w:tcBorders>
              <w:top w:val="single" w:color="auto" w:sz="6" w:space="0"/>
              <w:left w:val="single" w:color="auto" w:sz="6" w:space="0"/>
              <w:bottom w:val="single" w:color="auto" w:sz="6" w:space="0"/>
              <w:right w:val="single" w:color="auto" w:sz="6" w:space="0"/>
            </w:tcBorders>
            <w:vAlign w:val="center"/>
          </w:tcPr>
          <w:p w14:paraId="703A3A40">
            <w:pPr>
              <w:spacing w:line="0" w:lineRule="atLeast"/>
              <w:jc w:val="center"/>
              <w:rPr>
                <w:b/>
                <w:sz w:val="24"/>
                <w:szCs w:val="24"/>
              </w:rPr>
            </w:pPr>
            <w:r>
              <w:rPr>
                <w:rFonts w:hint="eastAsia"/>
                <w:b/>
                <w:sz w:val="24"/>
                <w:szCs w:val="24"/>
              </w:rPr>
              <w:t>3</w:t>
            </w:r>
          </w:p>
        </w:tc>
        <w:tc>
          <w:tcPr>
            <w:tcW w:w="731" w:type="pct"/>
            <w:tcBorders>
              <w:top w:val="single" w:color="auto" w:sz="6" w:space="0"/>
              <w:left w:val="single" w:color="auto" w:sz="6" w:space="0"/>
              <w:bottom w:val="single" w:color="auto" w:sz="6" w:space="0"/>
              <w:right w:val="single" w:color="auto" w:sz="6" w:space="0"/>
            </w:tcBorders>
            <w:vAlign w:val="center"/>
          </w:tcPr>
          <w:p w14:paraId="515A36D8">
            <w:pPr>
              <w:spacing w:line="0" w:lineRule="atLeast"/>
              <w:jc w:val="center"/>
              <w:rPr>
                <w:b/>
                <w:sz w:val="24"/>
                <w:szCs w:val="24"/>
              </w:rPr>
            </w:pPr>
            <w:r>
              <w:rPr>
                <w:rFonts w:hint="eastAsia"/>
                <w:b/>
                <w:sz w:val="24"/>
                <w:szCs w:val="24"/>
              </w:rPr>
              <w:t>4</w:t>
            </w:r>
          </w:p>
        </w:tc>
        <w:tc>
          <w:tcPr>
            <w:tcW w:w="622" w:type="pct"/>
            <w:tcBorders>
              <w:top w:val="single" w:color="auto" w:sz="6" w:space="0"/>
              <w:left w:val="single" w:color="auto" w:sz="6" w:space="0"/>
              <w:bottom w:val="single" w:color="auto" w:sz="6" w:space="0"/>
              <w:right w:val="single" w:color="auto" w:sz="6" w:space="0"/>
            </w:tcBorders>
            <w:vAlign w:val="center"/>
          </w:tcPr>
          <w:p w14:paraId="0BC3EC60">
            <w:pPr>
              <w:spacing w:line="0" w:lineRule="atLeast"/>
              <w:jc w:val="center"/>
              <w:rPr>
                <w:b/>
                <w:sz w:val="24"/>
                <w:szCs w:val="24"/>
              </w:rPr>
            </w:pPr>
            <w:r>
              <w:rPr>
                <w:rFonts w:hint="eastAsia"/>
                <w:b/>
                <w:sz w:val="24"/>
                <w:szCs w:val="24"/>
              </w:rPr>
              <w:t>5</w:t>
            </w:r>
          </w:p>
        </w:tc>
        <w:tc>
          <w:tcPr>
            <w:tcW w:w="618" w:type="pct"/>
            <w:tcBorders>
              <w:top w:val="single" w:color="auto" w:sz="6" w:space="0"/>
              <w:left w:val="single" w:color="auto" w:sz="6" w:space="0"/>
              <w:bottom w:val="single" w:color="auto" w:sz="6" w:space="0"/>
              <w:right w:val="single" w:color="auto" w:sz="6" w:space="0"/>
            </w:tcBorders>
            <w:vAlign w:val="center"/>
          </w:tcPr>
          <w:p w14:paraId="6DCBE78D">
            <w:pPr>
              <w:spacing w:line="0" w:lineRule="atLeast"/>
              <w:jc w:val="center"/>
              <w:rPr>
                <w:b/>
                <w:sz w:val="24"/>
                <w:szCs w:val="24"/>
              </w:rPr>
            </w:pPr>
            <w:r>
              <w:rPr>
                <w:rFonts w:hint="eastAsia"/>
                <w:b/>
                <w:sz w:val="24"/>
                <w:szCs w:val="24"/>
              </w:rPr>
              <w:t>6</w:t>
            </w:r>
          </w:p>
        </w:tc>
        <w:tc>
          <w:tcPr>
            <w:tcW w:w="378" w:type="pct"/>
            <w:tcBorders>
              <w:top w:val="single" w:color="auto" w:sz="6" w:space="0"/>
              <w:left w:val="single" w:color="auto" w:sz="6" w:space="0"/>
              <w:bottom w:val="single" w:color="auto" w:sz="6" w:space="0"/>
              <w:right w:val="single" w:color="auto" w:sz="6" w:space="0"/>
            </w:tcBorders>
            <w:vAlign w:val="center"/>
          </w:tcPr>
          <w:p w14:paraId="6098B4E8">
            <w:pPr>
              <w:spacing w:line="0" w:lineRule="atLeast"/>
              <w:jc w:val="center"/>
              <w:rPr>
                <w:b/>
                <w:sz w:val="24"/>
                <w:szCs w:val="24"/>
              </w:rPr>
            </w:pPr>
            <w:r>
              <w:rPr>
                <w:rFonts w:hint="eastAsia"/>
                <w:b/>
                <w:sz w:val="24"/>
                <w:szCs w:val="24"/>
              </w:rPr>
              <w:t>7</w:t>
            </w:r>
          </w:p>
        </w:tc>
      </w:tr>
      <w:tr w14:paraId="1F4FAF05">
        <w:tblPrEx>
          <w:tblCellMar>
            <w:top w:w="0" w:type="dxa"/>
            <w:left w:w="28" w:type="dxa"/>
            <w:bottom w:w="0" w:type="dxa"/>
            <w:right w:w="28" w:type="dxa"/>
          </w:tblCellMar>
        </w:tblPrEx>
        <w:trPr>
          <w:trHeight w:val="1378" w:hRule="atLeast"/>
        </w:trPr>
        <w:tc>
          <w:tcPr>
            <w:tcW w:w="1244" w:type="pct"/>
            <w:tcBorders>
              <w:top w:val="single" w:color="auto" w:sz="6" w:space="0"/>
              <w:left w:val="single" w:color="auto" w:sz="6" w:space="0"/>
              <w:bottom w:val="single" w:color="auto" w:sz="6" w:space="0"/>
              <w:right w:val="single" w:color="auto" w:sz="6" w:space="0"/>
            </w:tcBorders>
            <w:vAlign w:val="center"/>
          </w:tcPr>
          <w:p w14:paraId="4184D8D1">
            <w:pPr>
              <w:spacing w:after="120"/>
              <w:jc w:val="center"/>
              <w:rPr>
                <w:sz w:val="24"/>
                <w:szCs w:val="24"/>
              </w:rPr>
            </w:pPr>
            <w:r>
              <w:rPr>
                <w:sz w:val="24"/>
                <w:szCs w:val="24"/>
              </w:rPr>
              <w:t>项目名称</w:t>
            </w:r>
          </w:p>
        </w:tc>
        <w:tc>
          <w:tcPr>
            <w:tcW w:w="620" w:type="pct"/>
            <w:tcBorders>
              <w:top w:val="single" w:color="auto" w:sz="6" w:space="0"/>
              <w:left w:val="single" w:color="auto" w:sz="6" w:space="0"/>
              <w:bottom w:val="single" w:color="auto" w:sz="6" w:space="0"/>
              <w:right w:val="single" w:color="auto" w:sz="6" w:space="0"/>
            </w:tcBorders>
            <w:vAlign w:val="center"/>
          </w:tcPr>
          <w:p w14:paraId="159ACA25">
            <w:pPr>
              <w:spacing w:after="120"/>
              <w:jc w:val="center"/>
              <w:rPr>
                <w:sz w:val="24"/>
                <w:szCs w:val="24"/>
              </w:rPr>
            </w:pPr>
            <w:r>
              <w:rPr>
                <w:rFonts w:hint="eastAsia"/>
                <w:sz w:val="24"/>
                <w:szCs w:val="24"/>
              </w:rPr>
              <w:t>服务内容</w:t>
            </w:r>
          </w:p>
        </w:tc>
        <w:tc>
          <w:tcPr>
            <w:tcW w:w="1472" w:type="dxa"/>
            <w:tcBorders>
              <w:top w:val="single" w:color="auto" w:sz="6" w:space="0"/>
              <w:left w:val="single" w:color="auto" w:sz="6" w:space="0"/>
              <w:bottom w:val="single" w:color="auto" w:sz="6" w:space="0"/>
              <w:right w:val="single" w:color="auto" w:sz="6" w:space="0"/>
            </w:tcBorders>
            <w:vAlign w:val="center"/>
          </w:tcPr>
          <w:p w14:paraId="02CB10C9">
            <w:pPr>
              <w:spacing w:after="120"/>
              <w:jc w:val="center"/>
              <w:rPr>
                <w:rFonts w:ascii="宋体" w:hAnsi="宋体"/>
                <w:b/>
                <w:sz w:val="24"/>
                <w:szCs w:val="24"/>
              </w:rPr>
            </w:pPr>
            <w:r>
              <w:rPr>
                <w:rFonts w:hint="eastAsia" w:ascii="宋体" w:hAnsi="宋体"/>
                <w:sz w:val="24"/>
                <w:szCs w:val="24"/>
              </w:rPr>
              <w:t>磋商报价</w:t>
            </w:r>
          </w:p>
          <w:p w14:paraId="4CB1DD1A">
            <w:pPr>
              <w:spacing w:after="120"/>
              <w:jc w:val="center"/>
              <w:rPr>
                <w:rFonts w:ascii="宋体" w:hAnsi="宋体"/>
                <w:b/>
                <w:sz w:val="24"/>
                <w:szCs w:val="24"/>
              </w:rPr>
            </w:pPr>
            <w:r>
              <w:rPr>
                <w:rFonts w:hint="eastAsia" w:ascii="宋体" w:hAnsi="宋体"/>
                <w:sz w:val="24"/>
                <w:szCs w:val="24"/>
              </w:rPr>
              <w:t>（人民币元）</w:t>
            </w:r>
          </w:p>
        </w:tc>
        <w:tc>
          <w:tcPr>
            <w:tcW w:w="1368" w:type="dxa"/>
            <w:tcBorders>
              <w:top w:val="single" w:color="auto" w:sz="6" w:space="0"/>
              <w:left w:val="single" w:color="auto" w:sz="6" w:space="0"/>
              <w:bottom w:val="single" w:color="auto" w:sz="6" w:space="0"/>
              <w:right w:val="single" w:color="auto" w:sz="6" w:space="0"/>
            </w:tcBorders>
            <w:vAlign w:val="center"/>
          </w:tcPr>
          <w:p w14:paraId="00588AB0">
            <w:pPr>
              <w:spacing w:after="120"/>
              <w:jc w:val="center"/>
              <w:rPr>
                <w:bCs/>
                <w:sz w:val="24"/>
                <w:szCs w:val="24"/>
              </w:rPr>
            </w:pPr>
            <w:r>
              <w:rPr>
                <w:rFonts w:hint="eastAsia"/>
                <w:sz w:val="24"/>
                <w:szCs w:val="24"/>
              </w:rPr>
              <w:t>服务</w:t>
            </w:r>
            <w:r>
              <w:rPr>
                <w:sz w:val="24"/>
                <w:szCs w:val="24"/>
              </w:rPr>
              <w:t>期</w:t>
            </w:r>
          </w:p>
        </w:tc>
        <w:tc>
          <w:tcPr>
            <w:tcW w:w="622" w:type="pct"/>
            <w:tcBorders>
              <w:top w:val="single" w:color="auto" w:sz="6" w:space="0"/>
              <w:left w:val="single" w:color="auto" w:sz="6" w:space="0"/>
              <w:bottom w:val="single" w:color="auto" w:sz="6" w:space="0"/>
              <w:right w:val="single" w:color="auto" w:sz="6" w:space="0"/>
            </w:tcBorders>
            <w:vAlign w:val="center"/>
          </w:tcPr>
          <w:p w14:paraId="10A074B8">
            <w:pPr>
              <w:spacing w:after="120"/>
              <w:jc w:val="center"/>
              <w:rPr>
                <w:bCs/>
                <w:sz w:val="24"/>
                <w:szCs w:val="24"/>
              </w:rPr>
            </w:pPr>
            <w:r>
              <w:rPr>
                <w:rFonts w:hint="eastAsia"/>
                <w:sz w:val="24"/>
                <w:szCs w:val="24"/>
              </w:rPr>
              <w:t>服务</w:t>
            </w:r>
            <w:r>
              <w:rPr>
                <w:sz w:val="24"/>
                <w:szCs w:val="24"/>
              </w:rPr>
              <w:t>地点</w:t>
            </w:r>
          </w:p>
        </w:tc>
        <w:tc>
          <w:tcPr>
            <w:tcW w:w="618" w:type="pct"/>
            <w:tcBorders>
              <w:top w:val="single" w:color="auto" w:sz="6" w:space="0"/>
              <w:left w:val="single" w:color="auto" w:sz="6" w:space="0"/>
              <w:bottom w:val="single" w:color="auto" w:sz="6" w:space="0"/>
              <w:right w:val="single" w:color="auto" w:sz="6" w:space="0"/>
            </w:tcBorders>
            <w:vAlign w:val="center"/>
          </w:tcPr>
          <w:p w14:paraId="5F32D1A6">
            <w:pPr>
              <w:spacing w:after="120"/>
              <w:jc w:val="center"/>
              <w:rPr>
                <w:bCs/>
                <w:sz w:val="24"/>
                <w:szCs w:val="24"/>
              </w:rPr>
            </w:pPr>
            <w:r>
              <w:rPr>
                <w:bCs/>
                <w:sz w:val="24"/>
                <w:szCs w:val="24"/>
              </w:rPr>
              <w:t>磋商</w:t>
            </w:r>
          </w:p>
          <w:p w14:paraId="07BB1762">
            <w:pPr>
              <w:spacing w:after="120"/>
              <w:jc w:val="center"/>
              <w:rPr>
                <w:bCs/>
                <w:sz w:val="24"/>
                <w:szCs w:val="24"/>
              </w:rPr>
            </w:pPr>
            <w:r>
              <w:rPr>
                <w:bCs/>
                <w:sz w:val="24"/>
                <w:szCs w:val="24"/>
              </w:rPr>
              <w:t>保证金</w:t>
            </w:r>
          </w:p>
          <w:p w14:paraId="0DED9F7C">
            <w:pPr>
              <w:spacing w:after="120"/>
              <w:jc w:val="center"/>
              <w:rPr>
                <w:bCs/>
                <w:sz w:val="24"/>
                <w:szCs w:val="24"/>
              </w:rPr>
            </w:pPr>
            <w:r>
              <w:rPr>
                <w:bCs/>
                <w:sz w:val="24"/>
                <w:szCs w:val="24"/>
              </w:rPr>
              <w:t>（有/无）</w:t>
            </w:r>
          </w:p>
        </w:tc>
        <w:tc>
          <w:tcPr>
            <w:tcW w:w="378" w:type="pct"/>
            <w:tcBorders>
              <w:top w:val="single" w:color="auto" w:sz="6" w:space="0"/>
              <w:left w:val="single" w:color="auto" w:sz="6" w:space="0"/>
              <w:bottom w:val="single" w:color="auto" w:sz="6" w:space="0"/>
              <w:right w:val="single" w:color="auto" w:sz="6" w:space="0"/>
            </w:tcBorders>
            <w:vAlign w:val="center"/>
          </w:tcPr>
          <w:p w14:paraId="16A90995">
            <w:pPr>
              <w:spacing w:after="120"/>
              <w:jc w:val="center"/>
              <w:rPr>
                <w:bCs/>
                <w:sz w:val="24"/>
                <w:szCs w:val="24"/>
              </w:rPr>
            </w:pPr>
            <w:r>
              <w:rPr>
                <w:bCs/>
                <w:sz w:val="24"/>
                <w:szCs w:val="24"/>
              </w:rPr>
              <w:t>备注</w:t>
            </w:r>
          </w:p>
        </w:tc>
      </w:tr>
      <w:tr w14:paraId="20C0FE5F">
        <w:tblPrEx>
          <w:tblCellMar>
            <w:top w:w="0" w:type="dxa"/>
            <w:left w:w="28" w:type="dxa"/>
            <w:bottom w:w="0" w:type="dxa"/>
            <w:right w:w="28" w:type="dxa"/>
          </w:tblCellMar>
        </w:tblPrEx>
        <w:trPr>
          <w:trHeight w:val="2025" w:hRule="atLeast"/>
        </w:trPr>
        <w:tc>
          <w:tcPr>
            <w:tcW w:w="1244" w:type="pct"/>
            <w:tcBorders>
              <w:top w:val="single" w:color="auto" w:sz="6" w:space="0"/>
              <w:left w:val="single" w:color="auto" w:sz="6" w:space="0"/>
              <w:bottom w:val="single" w:color="auto" w:sz="4" w:space="0"/>
              <w:right w:val="single" w:color="auto" w:sz="6" w:space="0"/>
            </w:tcBorders>
            <w:vAlign w:val="center"/>
          </w:tcPr>
          <w:p w14:paraId="59214F73">
            <w:pPr>
              <w:jc w:val="center"/>
              <w:rPr>
                <w:sz w:val="24"/>
                <w:szCs w:val="24"/>
              </w:rPr>
            </w:pPr>
          </w:p>
        </w:tc>
        <w:tc>
          <w:tcPr>
            <w:tcW w:w="620" w:type="pct"/>
            <w:tcBorders>
              <w:top w:val="single" w:color="auto" w:sz="6" w:space="0"/>
              <w:left w:val="single" w:color="auto" w:sz="6" w:space="0"/>
              <w:bottom w:val="single" w:color="auto" w:sz="4" w:space="0"/>
              <w:right w:val="single" w:color="auto" w:sz="6" w:space="0"/>
            </w:tcBorders>
          </w:tcPr>
          <w:p w14:paraId="0F620193">
            <w:pPr>
              <w:jc w:val="center"/>
              <w:rPr>
                <w:sz w:val="24"/>
                <w:szCs w:val="24"/>
              </w:rPr>
            </w:pPr>
          </w:p>
        </w:tc>
        <w:tc>
          <w:tcPr>
            <w:tcW w:w="787" w:type="pct"/>
            <w:tcBorders>
              <w:top w:val="single" w:color="auto" w:sz="6" w:space="0"/>
              <w:left w:val="single" w:color="auto" w:sz="6" w:space="0"/>
              <w:bottom w:val="single" w:color="auto" w:sz="4" w:space="0"/>
              <w:right w:val="single" w:color="auto" w:sz="6" w:space="0"/>
            </w:tcBorders>
          </w:tcPr>
          <w:p w14:paraId="5C868D8E">
            <w:pPr>
              <w:jc w:val="center"/>
              <w:rPr>
                <w:sz w:val="24"/>
                <w:szCs w:val="24"/>
              </w:rPr>
            </w:pPr>
          </w:p>
        </w:tc>
        <w:tc>
          <w:tcPr>
            <w:tcW w:w="731" w:type="pct"/>
            <w:tcBorders>
              <w:top w:val="single" w:color="auto" w:sz="6" w:space="0"/>
              <w:left w:val="single" w:color="auto" w:sz="6" w:space="0"/>
              <w:bottom w:val="single" w:color="auto" w:sz="4" w:space="0"/>
              <w:right w:val="single" w:color="auto" w:sz="6" w:space="0"/>
            </w:tcBorders>
            <w:vAlign w:val="center"/>
          </w:tcPr>
          <w:p w14:paraId="2D8965F7">
            <w:pPr>
              <w:jc w:val="center"/>
              <w:rPr>
                <w:sz w:val="24"/>
                <w:szCs w:val="24"/>
              </w:rPr>
            </w:pPr>
          </w:p>
        </w:tc>
        <w:tc>
          <w:tcPr>
            <w:tcW w:w="622" w:type="pct"/>
            <w:tcBorders>
              <w:top w:val="single" w:color="auto" w:sz="6" w:space="0"/>
              <w:left w:val="single" w:color="auto" w:sz="6" w:space="0"/>
              <w:bottom w:val="single" w:color="auto" w:sz="4" w:space="0"/>
              <w:right w:val="single" w:color="auto" w:sz="6" w:space="0"/>
            </w:tcBorders>
            <w:vAlign w:val="center"/>
          </w:tcPr>
          <w:p w14:paraId="2F84B0AC">
            <w:pPr>
              <w:jc w:val="center"/>
              <w:rPr>
                <w:sz w:val="24"/>
                <w:szCs w:val="24"/>
              </w:rPr>
            </w:pPr>
          </w:p>
        </w:tc>
        <w:tc>
          <w:tcPr>
            <w:tcW w:w="618" w:type="pct"/>
            <w:tcBorders>
              <w:top w:val="single" w:color="auto" w:sz="6" w:space="0"/>
              <w:left w:val="single" w:color="auto" w:sz="6" w:space="0"/>
              <w:bottom w:val="single" w:color="auto" w:sz="4" w:space="0"/>
              <w:right w:val="single" w:color="auto" w:sz="6" w:space="0"/>
            </w:tcBorders>
            <w:vAlign w:val="center"/>
          </w:tcPr>
          <w:p w14:paraId="62EBD380">
            <w:pPr>
              <w:jc w:val="center"/>
              <w:rPr>
                <w:sz w:val="24"/>
                <w:szCs w:val="24"/>
              </w:rPr>
            </w:pPr>
          </w:p>
        </w:tc>
        <w:tc>
          <w:tcPr>
            <w:tcW w:w="378" w:type="pct"/>
            <w:tcBorders>
              <w:top w:val="single" w:color="auto" w:sz="6" w:space="0"/>
              <w:left w:val="single" w:color="auto" w:sz="6" w:space="0"/>
              <w:bottom w:val="single" w:color="auto" w:sz="4" w:space="0"/>
              <w:right w:val="single" w:color="auto" w:sz="6" w:space="0"/>
            </w:tcBorders>
            <w:vAlign w:val="center"/>
          </w:tcPr>
          <w:p w14:paraId="68337690">
            <w:pPr>
              <w:jc w:val="center"/>
              <w:rPr>
                <w:sz w:val="24"/>
                <w:szCs w:val="24"/>
              </w:rPr>
            </w:pPr>
          </w:p>
        </w:tc>
      </w:tr>
      <w:tr w14:paraId="3FF54BEC">
        <w:tblPrEx>
          <w:tblCellMar>
            <w:top w:w="0" w:type="dxa"/>
            <w:left w:w="28" w:type="dxa"/>
            <w:bottom w:w="0" w:type="dxa"/>
            <w:right w:w="28" w:type="dxa"/>
          </w:tblCellMar>
        </w:tblPrEx>
        <w:trPr>
          <w:trHeight w:val="936" w:hRule="atLeast"/>
        </w:trPr>
        <w:tc>
          <w:tcPr>
            <w:tcW w:w="1864" w:type="pct"/>
            <w:gridSpan w:val="2"/>
            <w:tcBorders>
              <w:top w:val="single" w:color="auto" w:sz="6" w:space="0"/>
              <w:left w:val="single" w:color="auto" w:sz="6" w:space="0"/>
              <w:bottom w:val="single" w:color="auto" w:sz="4" w:space="0"/>
              <w:right w:val="single" w:color="auto" w:sz="6" w:space="0"/>
            </w:tcBorders>
            <w:vAlign w:val="center"/>
          </w:tcPr>
          <w:p w14:paraId="1FE4D3E8">
            <w:pPr>
              <w:ind w:firstLine="360" w:firstLineChars="150"/>
              <w:rPr>
                <w:sz w:val="24"/>
                <w:szCs w:val="24"/>
              </w:rPr>
            </w:pPr>
            <w:r>
              <w:rPr>
                <w:sz w:val="24"/>
                <w:szCs w:val="24"/>
              </w:rPr>
              <w:t>磋商总价</w:t>
            </w:r>
          </w:p>
        </w:tc>
        <w:tc>
          <w:tcPr>
            <w:tcW w:w="3136" w:type="pct"/>
            <w:gridSpan w:val="5"/>
            <w:tcBorders>
              <w:top w:val="single" w:color="auto" w:sz="6" w:space="0"/>
              <w:left w:val="single" w:color="auto" w:sz="6" w:space="0"/>
              <w:bottom w:val="single" w:color="auto" w:sz="4" w:space="0"/>
              <w:right w:val="single" w:color="auto" w:sz="6" w:space="0"/>
            </w:tcBorders>
          </w:tcPr>
          <w:p w14:paraId="4F759B31">
            <w:pPr>
              <w:ind w:firstLine="360" w:firstLineChars="150"/>
              <w:rPr>
                <w:sz w:val="24"/>
                <w:szCs w:val="24"/>
              </w:rPr>
            </w:pPr>
          </w:p>
          <w:p w14:paraId="1FB71CC4">
            <w:pPr>
              <w:ind w:firstLine="360" w:firstLineChars="150"/>
              <w:rPr>
                <w:sz w:val="24"/>
                <w:szCs w:val="24"/>
              </w:rPr>
            </w:pPr>
            <w:r>
              <w:rPr>
                <w:sz w:val="24"/>
                <w:szCs w:val="24"/>
              </w:rPr>
              <w:t>小写金额：</w:t>
            </w:r>
          </w:p>
          <w:p w14:paraId="5AC439B2">
            <w:pPr>
              <w:ind w:firstLine="360" w:firstLineChars="150"/>
              <w:rPr>
                <w:sz w:val="24"/>
                <w:szCs w:val="24"/>
              </w:rPr>
            </w:pPr>
          </w:p>
          <w:p w14:paraId="7A2F0366">
            <w:pPr>
              <w:ind w:firstLine="360" w:firstLineChars="150"/>
              <w:rPr>
                <w:sz w:val="24"/>
                <w:szCs w:val="24"/>
              </w:rPr>
            </w:pPr>
            <w:r>
              <w:rPr>
                <w:sz w:val="24"/>
                <w:szCs w:val="24"/>
              </w:rPr>
              <w:t>大写金额：</w:t>
            </w:r>
          </w:p>
          <w:p w14:paraId="34AD1B95">
            <w:pPr>
              <w:ind w:firstLine="360" w:firstLineChars="150"/>
              <w:rPr>
                <w:sz w:val="24"/>
                <w:szCs w:val="24"/>
              </w:rPr>
            </w:pPr>
          </w:p>
        </w:tc>
      </w:tr>
    </w:tbl>
    <w:p w14:paraId="2EE18E78">
      <w:pPr>
        <w:shd w:val="clear" w:color="auto" w:fill="FFFFFF"/>
        <w:rPr>
          <w:sz w:val="24"/>
          <w:szCs w:val="24"/>
          <w:u w:val="single"/>
        </w:rPr>
      </w:pPr>
    </w:p>
    <w:p w14:paraId="3ECB0C95">
      <w:pPr>
        <w:shd w:val="clear" w:color="auto" w:fill="FFFFFF"/>
        <w:rPr>
          <w:sz w:val="24"/>
          <w:szCs w:val="24"/>
        </w:rPr>
      </w:pPr>
      <w:r>
        <w:rPr>
          <w:rFonts w:hint="eastAsia"/>
          <w:sz w:val="24"/>
          <w:szCs w:val="24"/>
        </w:rPr>
        <w:t>注：“</w:t>
      </w:r>
      <w:r>
        <w:rPr>
          <w:rFonts w:hint="eastAsia" w:ascii="宋体" w:hAnsi="宋体"/>
          <w:sz w:val="24"/>
          <w:szCs w:val="24"/>
        </w:rPr>
        <w:t>投标报价</w:t>
      </w:r>
      <w:r>
        <w:rPr>
          <w:rFonts w:hint="eastAsia"/>
          <w:sz w:val="24"/>
          <w:szCs w:val="24"/>
        </w:rPr>
        <w:t>”为2.2磋商分项报价表中各品目单价报价的合计金额。</w:t>
      </w:r>
    </w:p>
    <w:p w14:paraId="3BA610EE">
      <w:pPr>
        <w:shd w:val="clear" w:color="auto" w:fill="FFFFFF"/>
        <w:rPr>
          <w:sz w:val="24"/>
          <w:szCs w:val="24"/>
        </w:rPr>
      </w:pPr>
    </w:p>
    <w:p w14:paraId="5C60FFE5">
      <w:pPr>
        <w:shd w:val="clear" w:color="auto" w:fill="FFFFFF"/>
        <w:rPr>
          <w:sz w:val="24"/>
          <w:szCs w:val="24"/>
        </w:rPr>
      </w:pPr>
    </w:p>
    <w:p w14:paraId="4F8CA60A">
      <w:pPr>
        <w:pStyle w:val="9"/>
      </w:pPr>
    </w:p>
    <w:p w14:paraId="18C42C61">
      <w:pPr>
        <w:shd w:val="clear" w:color="auto" w:fill="FFFFFF"/>
        <w:rPr>
          <w:sz w:val="24"/>
          <w:szCs w:val="24"/>
        </w:rPr>
      </w:pPr>
      <w:r>
        <w:rPr>
          <w:sz w:val="24"/>
          <w:szCs w:val="24"/>
        </w:rPr>
        <w:t>授权代表人签字</w:t>
      </w:r>
      <w:r>
        <w:rPr>
          <w:spacing w:val="4"/>
          <w:sz w:val="24"/>
        </w:rPr>
        <w:t>或盖章</w:t>
      </w:r>
      <w:r>
        <w:rPr>
          <w:sz w:val="24"/>
          <w:szCs w:val="24"/>
        </w:rPr>
        <w:t>：</w:t>
      </w:r>
    </w:p>
    <w:p w14:paraId="5CBB8DE9">
      <w:pPr>
        <w:shd w:val="clear" w:color="auto" w:fill="FFFFFF"/>
        <w:tabs>
          <w:tab w:val="left" w:pos="3045"/>
        </w:tabs>
        <w:rPr>
          <w:sz w:val="24"/>
          <w:szCs w:val="24"/>
        </w:rPr>
      </w:pPr>
    </w:p>
    <w:p w14:paraId="7AD5DB21">
      <w:pPr>
        <w:shd w:val="clear" w:color="auto" w:fill="FFFFFF"/>
        <w:rPr>
          <w:sz w:val="24"/>
          <w:szCs w:val="24"/>
        </w:rPr>
      </w:pPr>
    </w:p>
    <w:p w14:paraId="6EC0EAFF">
      <w:pPr>
        <w:shd w:val="clear" w:color="auto" w:fill="FFFFFF"/>
        <w:rPr>
          <w:sz w:val="24"/>
          <w:szCs w:val="24"/>
        </w:rPr>
      </w:pPr>
      <w:r>
        <w:rPr>
          <w:sz w:val="24"/>
          <w:szCs w:val="24"/>
        </w:rPr>
        <w:t>公章：</w:t>
      </w:r>
    </w:p>
    <w:p w14:paraId="3E8ECC09">
      <w:pPr>
        <w:shd w:val="clear" w:color="auto" w:fill="FFFFFF"/>
        <w:rPr>
          <w:sz w:val="24"/>
          <w:szCs w:val="24"/>
        </w:rPr>
      </w:pPr>
    </w:p>
    <w:p w14:paraId="32F39A41">
      <w:pPr>
        <w:shd w:val="clear" w:color="auto" w:fill="FFFFFF"/>
        <w:rPr>
          <w:sz w:val="24"/>
          <w:szCs w:val="24"/>
        </w:rPr>
      </w:pPr>
    </w:p>
    <w:p w14:paraId="64D74FA8">
      <w:pPr>
        <w:shd w:val="clear" w:color="auto" w:fill="FFFFFF"/>
        <w:rPr>
          <w:sz w:val="24"/>
          <w:szCs w:val="24"/>
        </w:rPr>
      </w:pPr>
    </w:p>
    <w:p w14:paraId="032F1D42">
      <w:pPr>
        <w:shd w:val="clear" w:color="auto" w:fill="FFFFFF"/>
        <w:rPr>
          <w:sz w:val="24"/>
          <w:szCs w:val="24"/>
        </w:rPr>
      </w:pPr>
    </w:p>
    <w:p w14:paraId="08D179BC">
      <w:pPr>
        <w:shd w:val="clear" w:color="auto" w:fill="FFFFFF"/>
        <w:rPr>
          <w:sz w:val="24"/>
          <w:szCs w:val="24"/>
        </w:rPr>
      </w:pPr>
    </w:p>
    <w:p w14:paraId="00F0E3EF">
      <w:pPr>
        <w:shd w:val="clear" w:color="auto" w:fill="FFFFFF"/>
        <w:rPr>
          <w:sz w:val="24"/>
          <w:szCs w:val="24"/>
        </w:rPr>
      </w:pPr>
    </w:p>
    <w:p w14:paraId="70BA2471">
      <w:pPr>
        <w:shd w:val="clear" w:color="auto" w:fill="FFFFFF"/>
        <w:rPr>
          <w:sz w:val="24"/>
          <w:szCs w:val="24"/>
        </w:rPr>
      </w:pPr>
    </w:p>
    <w:p w14:paraId="02A5ED4F">
      <w:pPr>
        <w:shd w:val="clear" w:color="auto" w:fill="FFFFFF"/>
        <w:rPr>
          <w:sz w:val="24"/>
          <w:szCs w:val="24"/>
        </w:rPr>
      </w:pPr>
    </w:p>
    <w:p w14:paraId="5DA47233">
      <w:pPr>
        <w:shd w:val="clear" w:color="auto" w:fill="FFFFFF"/>
        <w:rPr>
          <w:sz w:val="24"/>
          <w:szCs w:val="24"/>
        </w:rPr>
      </w:pPr>
    </w:p>
    <w:p w14:paraId="18F0DF44">
      <w:pPr>
        <w:rPr>
          <w:b/>
          <w:spacing w:val="4"/>
          <w:sz w:val="32"/>
          <w:szCs w:val="32"/>
        </w:rPr>
        <w:sectPr>
          <w:footerReference r:id="rId7" w:type="default"/>
          <w:pgSz w:w="11906" w:h="16838"/>
          <w:pgMar w:top="1440" w:right="1800" w:bottom="1440" w:left="1800" w:header="851" w:footer="992" w:gutter="0"/>
          <w:cols w:space="720" w:num="1"/>
          <w:docGrid w:type="lines" w:linePitch="312" w:charSpace="0"/>
        </w:sectPr>
      </w:pPr>
      <w:r>
        <w:rPr>
          <w:b/>
          <w:spacing w:val="4"/>
          <w:sz w:val="32"/>
          <w:szCs w:val="32"/>
        </w:rPr>
        <w:br w:type="page"/>
      </w:r>
    </w:p>
    <w:p w14:paraId="025D71D8">
      <w:pPr>
        <w:pStyle w:val="9"/>
      </w:pPr>
    </w:p>
    <w:p w14:paraId="2708A45E">
      <w:pPr>
        <w:jc w:val="center"/>
      </w:pPr>
      <w:r>
        <w:rPr>
          <w:b/>
          <w:sz w:val="24"/>
          <w:szCs w:val="24"/>
        </w:rPr>
        <w:t>2.</w:t>
      </w:r>
      <w:r>
        <w:rPr>
          <w:rFonts w:hint="eastAsia"/>
          <w:b/>
          <w:sz w:val="24"/>
          <w:szCs w:val="24"/>
        </w:rPr>
        <w:t>2</w:t>
      </w:r>
      <w:r>
        <w:rPr>
          <w:b/>
          <w:sz w:val="24"/>
          <w:szCs w:val="24"/>
        </w:rPr>
        <w:t>磋商</w:t>
      </w:r>
      <w:r>
        <w:rPr>
          <w:rFonts w:hint="eastAsia"/>
          <w:b/>
          <w:sz w:val="24"/>
          <w:szCs w:val="24"/>
        </w:rPr>
        <w:t>分项</w:t>
      </w:r>
      <w:r>
        <w:rPr>
          <w:b/>
          <w:sz w:val="24"/>
          <w:szCs w:val="24"/>
        </w:rPr>
        <w:t>报价表</w:t>
      </w:r>
    </w:p>
    <w:p w14:paraId="0C281E01">
      <w:pPr>
        <w:pStyle w:val="9"/>
      </w:pPr>
    </w:p>
    <w:p w14:paraId="7697F4A1">
      <w:pPr>
        <w:rPr>
          <w:rFonts w:ascii="宋体" w:hAnsi="宋体" w:cs="宋体"/>
          <w:b/>
          <w:sz w:val="30"/>
          <w:szCs w:val="30"/>
        </w:rPr>
      </w:pPr>
      <w:r>
        <w:rPr>
          <w:rFonts w:hint="eastAsia" w:ascii="宋体" w:hAnsi="宋体" w:cs="宋体"/>
          <w:sz w:val="24"/>
          <w:szCs w:val="24"/>
        </w:rPr>
        <w:t>供应商名称：</w:t>
      </w:r>
      <w:r>
        <w:rPr>
          <w:rFonts w:hint="eastAsia" w:ascii="宋体" w:hAnsi="宋体" w:cs="宋体"/>
          <w:sz w:val="24"/>
          <w:szCs w:val="24"/>
          <w:u w:val="single"/>
        </w:rPr>
        <w:t xml:space="preserve">                 </w:t>
      </w:r>
      <w:r>
        <w:rPr>
          <w:rFonts w:hint="eastAsia" w:ascii="宋体" w:hAnsi="宋体" w:cs="宋体"/>
          <w:sz w:val="24"/>
          <w:szCs w:val="24"/>
        </w:rPr>
        <w:t xml:space="preserve">  项目编号：</w:t>
      </w:r>
      <w:r>
        <w:rPr>
          <w:rFonts w:hint="eastAsia" w:ascii="宋体" w:hAnsi="宋体" w:cs="宋体"/>
          <w:sz w:val="24"/>
          <w:szCs w:val="24"/>
          <w:u w:val="single"/>
        </w:rPr>
        <w:t xml:space="preserve">                  </w:t>
      </w:r>
      <w:r>
        <w:rPr>
          <w:rFonts w:hint="eastAsia" w:ascii="宋体" w:hAnsi="宋体" w:cs="宋体"/>
          <w:sz w:val="24"/>
          <w:szCs w:val="24"/>
        </w:rPr>
        <w:t xml:space="preserve">                                    </w:t>
      </w:r>
    </w:p>
    <w:tbl>
      <w:tblPr>
        <w:tblStyle w:val="21"/>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52"/>
        <w:gridCol w:w="3520"/>
        <w:gridCol w:w="2044"/>
        <w:gridCol w:w="2206"/>
      </w:tblGrid>
      <w:tr w14:paraId="34E604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9" w:hRule="atLeast"/>
          <w:jc w:val="center"/>
        </w:trPr>
        <w:tc>
          <w:tcPr>
            <w:tcW w:w="752" w:type="dxa"/>
            <w:tcBorders>
              <w:top w:val="single" w:color="auto" w:sz="12" w:space="0"/>
              <w:left w:val="single" w:color="auto" w:sz="12" w:space="0"/>
            </w:tcBorders>
            <w:vAlign w:val="center"/>
          </w:tcPr>
          <w:p w14:paraId="7366823B">
            <w:pPr>
              <w:shd w:val="clear" w:color="auto" w:fill="FFFFFF"/>
              <w:jc w:val="center"/>
              <w:rPr>
                <w:rFonts w:ascii="宋体" w:hAnsi="宋体" w:cs="宋体"/>
                <w:sz w:val="24"/>
                <w:szCs w:val="24"/>
              </w:rPr>
            </w:pPr>
            <w:r>
              <w:rPr>
                <w:rFonts w:hint="eastAsia" w:ascii="宋体" w:hAnsi="宋体" w:cs="宋体"/>
                <w:sz w:val="24"/>
                <w:szCs w:val="24"/>
              </w:rPr>
              <w:t>序号</w:t>
            </w:r>
          </w:p>
        </w:tc>
        <w:tc>
          <w:tcPr>
            <w:tcW w:w="3520" w:type="dxa"/>
            <w:tcBorders>
              <w:top w:val="single" w:color="auto" w:sz="12" w:space="0"/>
            </w:tcBorders>
            <w:vAlign w:val="center"/>
          </w:tcPr>
          <w:p w14:paraId="27E01EEE">
            <w:pPr>
              <w:shd w:val="clear" w:color="auto" w:fill="FFFFFF"/>
              <w:jc w:val="center"/>
              <w:rPr>
                <w:rFonts w:ascii="宋体" w:hAnsi="宋体" w:cs="宋体"/>
                <w:sz w:val="24"/>
                <w:szCs w:val="24"/>
              </w:rPr>
            </w:pPr>
            <w:r>
              <w:rPr>
                <w:rFonts w:hint="eastAsia" w:ascii="宋体" w:hAnsi="宋体" w:cs="宋体"/>
                <w:sz w:val="24"/>
                <w:szCs w:val="24"/>
              </w:rPr>
              <w:t>内容</w:t>
            </w:r>
          </w:p>
        </w:tc>
        <w:tc>
          <w:tcPr>
            <w:tcW w:w="2044" w:type="dxa"/>
            <w:tcBorders>
              <w:top w:val="single" w:color="auto" w:sz="12" w:space="0"/>
            </w:tcBorders>
            <w:vAlign w:val="center"/>
          </w:tcPr>
          <w:p w14:paraId="2A12C1C3">
            <w:pPr>
              <w:shd w:val="clear" w:color="auto" w:fill="FFFFFF"/>
              <w:jc w:val="center"/>
              <w:rPr>
                <w:rFonts w:ascii="宋体" w:hAnsi="宋体" w:cs="宋体"/>
                <w:sz w:val="24"/>
                <w:szCs w:val="24"/>
              </w:rPr>
            </w:pPr>
            <w:r>
              <w:rPr>
                <w:rFonts w:hint="eastAsia" w:ascii="宋体" w:hAnsi="宋体" w:cs="宋体"/>
                <w:sz w:val="24"/>
                <w:szCs w:val="24"/>
              </w:rPr>
              <w:t>价格</w:t>
            </w:r>
          </w:p>
        </w:tc>
        <w:tc>
          <w:tcPr>
            <w:tcW w:w="2206" w:type="dxa"/>
            <w:tcBorders>
              <w:top w:val="single" w:color="auto" w:sz="12" w:space="0"/>
              <w:right w:val="single" w:color="auto" w:sz="12" w:space="0"/>
            </w:tcBorders>
            <w:vAlign w:val="center"/>
          </w:tcPr>
          <w:p w14:paraId="3CBD1990">
            <w:pPr>
              <w:shd w:val="clear" w:color="auto" w:fill="FFFFFF"/>
              <w:jc w:val="center"/>
              <w:rPr>
                <w:rFonts w:ascii="宋体" w:hAnsi="宋体" w:cs="宋体"/>
                <w:sz w:val="24"/>
                <w:szCs w:val="24"/>
              </w:rPr>
            </w:pPr>
            <w:r>
              <w:rPr>
                <w:rFonts w:hint="eastAsia" w:ascii="宋体" w:hAnsi="宋体" w:cs="宋体"/>
                <w:sz w:val="24"/>
                <w:szCs w:val="24"/>
              </w:rPr>
              <w:t>备注</w:t>
            </w:r>
          </w:p>
        </w:tc>
      </w:tr>
      <w:tr w14:paraId="7CD346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0" w:hRule="atLeast"/>
          <w:jc w:val="center"/>
        </w:trPr>
        <w:tc>
          <w:tcPr>
            <w:tcW w:w="752" w:type="dxa"/>
            <w:tcBorders>
              <w:left w:val="single" w:color="auto" w:sz="12" w:space="0"/>
            </w:tcBorders>
            <w:vAlign w:val="center"/>
          </w:tcPr>
          <w:p w14:paraId="029AEC16">
            <w:pPr>
              <w:shd w:val="clear" w:color="auto" w:fill="FFFFFF"/>
              <w:jc w:val="center"/>
              <w:rPr>
                <w:rFonts w:ascii="宋体" w:hAnsi="宋体" w:cs="宋体"/>
                <w:sz w:val="24"/>
                <w:szCs w:val="24"/>
              </w:rPr>
            </w:pPr>
            <w:r>
              <w:rPr>
                <w:rFonts w:hint="eastAsia" w:ascii="宋体" w:hAnsi="宋体" w:cs="宋体"/>
                <w:sz w:val="24"/>
                <w:szCs w:val="24"/>
              </w:rPr>
              <w:t>1</w:t>
            </w:r>
          </w:p>
        </w:tc>
        <w:tc>
          <w:tcPr>
            <w:tcW w:w="3520" w:type="dxa"/>
            <w:vAlign w:val="center"/>
          </w:tcPr>
          <w:p w14:paraId="1B6ADF66">
            <w:pPr>
              <w:shd w:val="clear" w:color="auto" w:fill="FFFFFF"/>
              <w:jc w:val="center"/>
              <w:rPr>
                <w:rFonts w:ascii="宋体" w:hAnsi="宋体" w:cs="宋体"/>
                <w:sz w:val="24"/>
                <w:szCs w:val="24"/>
              </w:rPr>
            </w:pPr>
            <w:r>
              <w:rPr>
                <w:rFonts w:hint="eastAsia" w:ascii="宋体" w:hAnsi="宋体" w:cs="宋体"/>
                <w:sz w:val="24"/>
                <w:szCs w:val="24"/>
              </w:rPr>
              <w:t>（自拟）</w:t>
            </w:r>
          </w:p>
        </w:tc>
        <w:tc>
          <w:tcPr>
            <w:tcW w:w="2044" w:type="dxa"/>
            <w:vAlign w:val="center"/>
          </w:tcPr>
          <w:p w14:paraId="248EFFFD">
            <w:pPr>
              <w:shd w:val="clear" w:color="auto" w:fill="FFFFFF"/>
              <w:jc w:val="center"/>
              <w:rPr>
                <w:rFonts w:ascii="宋体" w:hAnsi="宋体" w:cs="宋体"/>
                <w:sz w:val="24"/>
                <w:szCs w:val="24"/>
              </w:rPr>
            </w:pPr>
          </w:p>
        </w:tc>
        <w:tc>
          <w:tcPr>
            <w:tcW w:w="2206" w:type="dxa"/>
            <w:tcBorders>
              <w:right w:val="single" w:color="auto" w:sz="12" w:space="0"/>
            </w:tcBorders>
            <w:vAlign w:val="center"/>
          </w:tcPr>
          <w:p w14:paraId="4267BF5E">
            <w:pPr>
              <w:shd w:val="clear" w:color="auto" w:fill="FFFFFF"/>
              <w:jc w:val="center"/>
              <w:rPr>
                <w:rFonts w:ascii="宋体" w:hAnsi="宋体" w:cs="宋体"/>
                <w:sz w:val="24"/>
                <w:szCs w:val="24"/>
              </w:rPr>
            </w:pPr>
          </w:p>
        </w:tc>
      </w:tr>
      <w:tr w14:paraId="3D86F6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0" w:hRule="atLeast"/>
          <w:jc w:val="center"/>
        </w:trPr>
        <w:tc>
          <w:tcPr>
            <w:tcW w:w="752" w:type="dxa"/>
            <w:tcBorders>
              <w:left w:val="single" w:color="auto" w:sz="12" w:space="0"/>
            </w:tcBorders>
            <w:vAlign w:val="center"/>
          </w:tcPr>
          <w:p w14:paraId="0A9F135C">
            <w:pPr>
              <w:shd w:val="clear" w:color="auto" w:fill="FFFFFF"/>
              <w:jc w:val="center"/>
              <w:rPr>
                <w:rFonts w:ascii="宋体" w:hAnsi="宋体" w:cs="宋体"/>
                <w:sz w:val="24"/>
                <w:szCs w:val="24"/>
              </w:rPr>
            </w:pPr>
            <w:r>
              <w:rPr>
                <w:rFonts w:hint="eastAsia" w:ascii="宋体" w:hAnsi="宋体" w:cs="宋体"/>
                <w:sz w:val="24"/>
                <w:szCs w:val="24"/>
              </w:rPr>
              <w:t>2</w:t>
            </w:r>
          </w:p>
        </w:tc>
        <w:tc>
          <w:tcPr>
            <w:tcW w:w="3520" w:type="dxa"/>
            <w:vAlign w:val="center"/>
          </w:tcPr>
          <w:p w14:paraId="494A3200">
            <w:pPr>
              <w:shd w:val="clear" w:color="auto" w:fill="FFFFFF"/>
              <w:jc w:val="center"/>
              <w:rPr>
                <w:rFonts w:ascii="宋体" w:hAnsi="宋体" w:cs="宋体"/>
                <w:sz w:val="24"/>
                <w:szCs w:val="24"/>
              </w:rPr>
            </w:pPr>
            <w:r>
              <w:rPr>
                <w:rFonts w:hint="eastAsia" w:ascii="宋体" w:hAnsi="宋体" w:cs="宋体"/>
                <w:sz w:val="24"/>
                <w:szCs w:val="24"/>
              </w:rPr>
              <w:t>…</w:t>
            </w:r>
          </w:p>
        </w:tc>
        <w:tc>
          <w:tcPr>
            <w:tcW w:w="2044" w:type="dxa"/>
            <w:vAlign w:val="center"/>
          </w:tcPr>
          <w:p w14:paraId="5499F48C">
            <w:pPr>
              <w:shd w:val="clear" w:color="auto" w:fill="FFFFFF"/>
              <w:jc w:val="center"/>
              <w:rPr>
                <w:rFonts w:ascii="宋体" w:hAnsi="宋体" w:cs="宋体"/>
                <w:sz w:val="24"/>
                <w:szCs w:val="24"/>
              </w:rPr>
            </w:pPr>
          </w:p>
        </w:tc>
        <w:tc>
          <w:tcPr>
            <w:tcW w:w="2206" w:type="dxa"/>
            <w:tcBorders>
              <w:right w:val="single" w:color="auto" w:sz="12" w:space="0"/>
            </w:tcBorders>
            <w:vAlign w:val="center"/>
          </w:tcPr>
          <w:p w14:paraId="16C858C1">
            <w:pPr>
              <w:shd w:val="clear" w:color="auto" w:fill="FFFFFF"/>
              <w:jc w:val="center"/>
              <w:rPr>
                <w:rFonts w:ascii="宋体" w:hAnsi="宋体" w:cs="宋体"/>
                <w:sz w:val="24"/>
                <w:szCs w:val="24"/>
              </w:rPr>
            </w:pPr>
          </w:p>
        </w:tc>
      </w:tr>
      <w:tr w14:paraId="7B6F1A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0" w:hRule="atLeast"/>
          <w:jc w:val="center"/>
        </w:trPr>
        <w:tc>
          <w:tcPr>
            <w:tcW w:w="752" w:type="dxa"/>
            <w:tcBorders>
              <w:left w:val="single" w:color="auto" w:sz="12" w:space="0"/>
            </w:tcBorders>
            <w:vAlign w:val="center"/>
          </w:tcPr>
          <w:p w14:paraId="3DFA866A">
            <w:pPr>
              <w:shd w:val="clear" w:color="auto" w:fill="FFFFFF"/>
              <w:jc w:val="center"/>
              <w:rPr>
                <w:rFonts w:ascii="宋体" w:hAnsi="宋体" w:cs="宋体"/>
                <w:sz w:val="24"/>
                <w:szCs w:val="24"/>
              </w:rPr>
            </w:pPr>
            <w:r>
              <w:rPr>
                <w:rFonts w:hint="eastAsia" w:ascii="宋体" w:hAnsi="宋体" w:cs="宋体"/>
                <w:sz w:val="24"/>
                <w:szCs w:val="24"/>
              </w:rPr>
              <w:t>3</w:t>
            </w:r>
          </w:p>
        </w:tc>
        <w:tc>
          <w:tcPr>
            <w:tcW w:w="3520" w:type="dxa"/>
            <w:vAlign w:val="center"/>
          </w:tcPr>
          <w:p w14:paraId="4D9F2D14">
            <w:pPr>
              <w:shd w:val="clear" w:color="auto" w:fill="FFFFFF"/>
              <w:jc w:val="center"/>
              <w:rPr>
                <w:rFonts w:ascii="宋体" w:hAnsi="宋体" w:cs="宋体"/>
                <w:sz w:val="24"/>
                <w:szCs w:val="24"/>
              </w:rPr>
            </w:pPr>
            <w:r>
              <w:rPr>
                <w:rFonts w:hint="eastAsia" w:ascii="宋体" w:hAnsi="宋体" w:cs="宋体"/>
                <w:sz w:val="24"/>
                <w:szCs w:val="24"/>
              </w:rPr>
              <w:t>…</w:t>
            </w:r>
          </w:p>
        </w:tc>
        <w:tc>
          <w:tcPr>
            <w:tcW w:w="2044" w:type="dxa"/>
            <w:vAlign w:val="center"/>
          </w:tcPr>
          <w:p w14:paraId="02983E6A">
            <w:pPr>
              <w:shd w:val="clear" w:color="auto" w:fill="FFFFFF"/>
              <w:jc w:val="center"/>
              <w:rPr>
                <w:rFonts w:ascii="宋体" w:hAnsi="宋体" w:cs="宋体"/>
                <w:sz w:val="24"/>
                <w:szCs w:val="24"/>
              </w:rPr>
            </w:pPr>
          </w:p>
        </w:tc>
        <w:tc>
          <w:tcPr>
            <w:tcW w:w="2206" w:type="dxa"/>
            <w:tcBorders>
              <w:right w:val="single" w:color="auto" w:sz="12" w:space="0"/>
            </w:tcBorders>
          </w:tcPr>
          <w:p w14:paraId="671ABA36">
            <w:pPr>
              <w:shd w:val="clear" w:color="auto" w:fill="FFFFFF"/>
              <w:jc w:val="center"/>
              <w:rPr>
                <w:rFonts w:ascii="宋体" w:hAnsi="宋体" w:cs="宋体"/>
                <w:sz w:val="24"/>
                <w:szCs w:val="24"/>
              </w:rPr>
            </w:pPr>
          </w:p>
        </w:tc>
      </w:tr>
      <w:tr w14:paraId="5EFABE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0" w:hRule="atLeast"/>
          <w:jc w:val="center"/>
        </w:trPr>
        <w:tc>
          <w:tcPr>
            <w:tcW w:w="752" w:type="dxa"/>
            <w:tcBorders>
              <w:left w:val="single" w:color="auto" w:sz="12" w:space="0"/>
            </w:tcBorders>
            <w:vAlign w:val="center"/>
          </w:tcPr>
          <w:p w14:paraId="66FDED04">
            <w:pPr>
              <w:shd w:val="clear" w:color="auto" w:fill="FFFFFF"/>
              <w:jc w:val="center"/>
              <w:rPr>
                <w:rFonts w:ascii="宋体" w:hAnsi="宋体" w:cs="宋体"/>
                <w:sz w:val="24"/>
                <w:szCs w:val="24"/>
              </w:rPr>
            </w:pPr>
            <w:r>
              <w:rPr>
                <w:rFonts w:hint="eastAsia" w:ascii="宋体" w:hAnsi="宋体" w:cs="宋体"/>
                <w:sz w:val="24"/>
                <w:szCs w:val="24"/>
              </w:rPr>
              <w:t>4</w:t>
            </w:r>
          </w:p>
        </w:tc>
        <w:tc>
          <w:tcPr>
            <w:tcW w:w="3520" w:type="dxa"/>
            <w:vAlign w:val="center"/>
          </w:tcPr>
          <w:p w14:paraId="0664970D">
            <w:pPr>
              <w:shd w:val="clear" w:color="auto" w:fill="FFFFFF"/>
              <w:jc w:val="center"/>
              <w:rPr>
                <w:rFonts w:ascii="宋体" w:hAnsi="宋体" w:cs="宋体"/>
                <w:sz w:val="24"/>
                <w:szCs w:val="24"/>
              </w:rPr>
            </w:pPr>
            <w:r>
              <w:rPr>
                <w:rFonts w:hint="eastAsia" w:ascii="宋体" w:hAnsi="宋体" w:cs="宋体"/>
                <w:sz w:val="24"/>
                <w:szCs w:val="24"/>
              </w:rPr>
              <w:t>…</w:t>
            </w:r>
          </w:p>
        </w:tc>
        <w:tc>
          <w:tcPr>
            <w:tcW w:w="2044" w:type="dxa"/>
            <w:vAlign w:val="center"/>
          </w:tcPr>
          <w:p w14:paraId="689F1BED">
            <w:pPr>
              <w:shd w:val="clear" w:color="auto" w:fill="FFFFFF"/>
              <w:jc w:val="center"/>
              <w:rPr>
                <w:rFonts w:ascii="宋体" w:hAnsi="宋体" w:cs="宋体"/>
                <w:sz w:val="24"/>
                <w:szCs w:val="24"/>
              </w:rPr>
            </w:pPr>
          </w:p>
        </w:tc>
        <w:tc>
          <w:tcPr>
            <w:tcW w:w="2206" w:type="dxa"/>
            <w:tcBorders>
              <w:right w:val="single" w:color="auto" w:sz="12" w:space="0"/>
            </w:tcBorders>
          </w:tcPr>
          <w:p w14:paraId="3436222D">
            <w:pPr>
              <w:shd w:val="clear" w:color="auto" w:fill="FFFFFF"/>
              <w:jc w:val="center"/>
              <w:rPr>
                <w:rFonts w:ascii="宋体" w:hAnsi="宋体" w:cs="宋体"/>
                <w:sz w:val="24"/>
                <w:szCs w:val="24"/>
              </w:rPr>
            </w:pPr>
          </w:p>
        </w:tc>
      </w:tr>
      <w:tr w14:paraId="31067A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0" w:hRule="atLeast"/>
          <w:jc w:val="center"/>
        </w:trPr>
        <w:tc>
          <w:tcPr>
            <w:tcW w:w="752" w:type="dxa"/>
            <w:tcBorders>
              <w:left w:val="single" w:color="auto" w:sz="12" w:space="0"/>
            </w:tcBorders>
            <w:vAlign w:val="center"/>
          </w:tcPr>
          <w:p w14:paraId="19D2F19E">
            <w:pPr>
              <w:shd w:val="clear" w:color="auto" w:fill="FFFFFF"/>
              <w:jc w:val="center"/>
              <w:rPr>
                <w:rFonts w:ascii="宋体" w:hAnsi="宋体" w:cs="宋体"/>
                <w:sz w:val="24"/>
                <w:szCs w:val="24"/>
              </w:rPr>
            </w:pPr>
            <w:r>
              <w:rPr>
                <w:rFonts w:hint="eastAsia" w:ascii="宋体" w:hAnsi="宋体" w:cs="宋体"/>
                <w:sz w:val="24"/>
                <w:szCs w:val="24"/>
              </w:rPr>
              <w:t>5</w:t>
            </w:r>
          </w:p>
        </w:tc>
        <w:tc>
          <w:tcPr>
            <w:tcW w:w="3520" w:type="dxa"/>
            <w:vAlign w:val="center"/>
          </w:tcPr>
          <w:p w14:paraId="1A314042">
            <w:pPr>
              <w:shd w:val="clear" w:color="auto" w:fill="FFFFFF"/>
              <w:jc w:val="center"/>
              <w:rPr>
                <w:rFonts w:ascii="宋体" w:hAnsi="宋体" w:cs="宋体"/>
                <w:sz w:val="24"/>
                <w:szCs w:val="24"/>
              </w:rPr>
            </w:pPr>
            <w:r>
              <w:rPr>
                <w:rFonts w:hint="eastAsia" w:ascii="宋体" w:hAnsi="宋体" w:cs="宋体"/>
                <w:sz w:val="24"/>
                <w:szCs w:val="24"/>
              </w:rPr>
              <w:t>…</w:t>
            </w:r>
          </w:p>
        </w:tc>
        <w:tc>
          <w:tcPr>
            <w:tcW w:w="2044" w:type="dxa"/>
            <w:vAlign w:val="center"/>
          </w:tcPr>
          <w:p w14:paraId="40FA059C">
            <w:pPr>
              <w:shd w:val="clear" w:color="auto" w:fill="FFFFFF"/>
              <w:jc w:val="center"/>
              <w:rPr>
                <w:rFonts w:ascii="宋体" w:hAnsi="宋体" w:cs="宋体"/>
                <w:sz w:val="24"/>
                <w:szCs w:val="24"/>
              </w:rPr>
            </w:pPr>
          </w:p>
        </w:tc>
        <w:tc>
          <w:tcPr>
            <w:tcW w:w="2206" w:type="dxa"/>
            <w:tcBorders>
              <w:right w:val="single" w:color="auto" w:sz="12" w:space="0"/>
            </w:tcBorders>
          </w:tcPr>
          <w:p w14:paraId="12F1614D">
            <w:pPr>
              <w:shd w:val="clear" w:color="auto" w:fill="FFFFFF"/>
              <w:jc w:val="center"/>
              <w:rPr>
                <w:rFonts w:ascii="宋体" w:hAnsi="宋体" w:cs="宋体"/>
                <w:sz w:val="24"/>
                <w:szCs w:val="24"/>
              </w:rPr>
            </w:pPr>
          </w:p>
        </w:tc>
      </w:tr>
      <w:tr w14:paraId="59855C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0" w:hRule="atLeast"/>
          <w:jc w:val="center"/>
        </w:trPr>
        <w:tc>
          <w:tcPr>
            <w:tcW w:w="752" w:type="dxa"/>
            <w:tcBorders>
              <w:left w:val="single" w:color="auto" w:sz="12" w:space="0"/>
            </w:tcBorders>
            <w:vAlign w:val="center"/>
          </w:tcPr>
          <w:p w14:paraId="2CC230FD">
            <w:pPr>
              <w:shd w:val="clear" w:color="auto" w:fill="FFFFFF"/>
              <w:jc w:val="center"/>
              <w:rPr>
                <w:rFonts w:ascii="宋体" w:hAnsi="宋体" w:cs="宋体"/>
                <w:sz w:val="24"/>
                <w:szCs w:val="24"/>
              </w:rPr>
            </w:pPr>
            <w:r>
              <w:rPr>
                <w:rFonts w:hint="eastAsia" w:ascii="宋体" w:hAnsi="宋体" w:cs="宋体"/>
                <w:sz w:val="24"/>
                <w:szCs w:val="24"/>
              </w:rPr>
              <w:t>6</w:t>
            </w:r>
          </w:p>
        </w:tc>
        <w:tc>
          <w:tcPr>
            <w:tcW w:w="3520" w:type="dxa"/>
            <w:vAlign w:val="center"/>
          </w:tcPr>
          <w:p w14:paraId="447BBC6B">
            <w:pPr>
              <w:shd w:val="clear" w:color="auto" w:fill="FFFFFF"/>
              <w:jc w:val="center"/>
              <w:rPr>
                <w:rFonts w:ascii="宋体" w:hAnsi="宋体" w:cs="宋体"/>
                <w:sz w:val="24"/>
                <w:szCs w:val="24"/>
              </w:rPr>
            </w:pPr>
            <w:r>
              <w:rPr>
                <w:rFonts w:hint="eastAsia" w:ascii="宋体" w:hAnsi="宋体" w:cs="宋体"/>
                <w:sz w:val="24"/>
                <w:szCs w:val="24"/>
              </w:rPr>
              <w:t>…</w:t>
            </w:r>
          </w:p>
        </w:tc>
        <w:tc>
          <w:tcPr>
            <w:tcW w:w="2044" w:type="dxa"/>
            <w:vAlign w:val="center"/>
          </w:tcPr>
          <w:p w14:paraId="653AAFD8">
            <w:pPr>
              <w:spacing w:after="120"/>
              <w:rPr>
                <w:rFonts w:ascii="宋体" w:hAnsi="宋体" w:cs="宋体"/>
                <w:sz w:val="24"/>
                <w:szCs w:val="24"/>
              </w:rPr>
            </w:pPr>
          </w:p>
        </w:tc>
        <w:tc>
          <w:tcPr>
            <w:tcW w:w="2206" w:type="dxa"/>
            <w:tcBorders>
              <w:right w:val="single" w:color="auto" w:sz="12" w:space="0"/>
            </w:tcBorders>
          </w:tcPr>
          <w:p w14:paraId="4C78FCD6">
            <w:pPr>
              <w:spacing w:line="360" w:lineRule="auto"/>
              <w:rPr>
                <w:rFonts w:ascii="宋体" w:hAnsi="宋体" w:cs="宋体"/>
                <w:sz w:val="24"/>
                <w:szCs w:val="24"/>
              </w:rPr>
            </w:pPr>
          </w:p>
        </w:tc>
      </w:tr>
      <w:tr w14:paraId="5A9B5F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0" w:hRule="atLeast"/>
          <w:jc w:val="center"/>
        </w:trPr>
        <w:tc>
          <w:tcPr>
            <w:tcW w:w="752" w:type="dxa"/>
            <w:tcBorders>
              <w:left w:val="single" w:color="auto" w:sz="12" w:space="0"/>
            </w:tcBorders>
            <w:vAlign w:val="center"/>
          </w:tcPr>
          <w:p w14:paraId="3A961C47">
            <w:pPr>
              <w:shd w:val="clear" w:color="auto" w:fill="FFFFFF"/>
              <w:jc w:val="center"/>
              <w:rPr>
                <w:rFonts w:hint="eastAsia" w:ascii="宋体" w:hAnsi="宋体" w:eastAsia="宋体" w:cs="宋体"/>
                <w:sz w:val="24"/>
                <w:szCs w:val="24"/>
                <w:lang w:eastAsia="zh-CN"/>
              </w:rPr>
            </w:pPr>
            <w:r>
              <w:rPr>
                <w:rFonts w:hint="eastAsia" w:ascii="宋体" w:hAnsi="宋体" w:cs="宋体"/>
                <w:sz w:val="24"/>
                <w:szCs w:val="24"/>
                <w:lang w:val="en-US" w:eastAsia="zh-CN"/>
              </w:rPr>
              <w:t>7</w:t>
            </w:r>
          </w:p>
        </w:tc>
        <w:tc>
          <w:tcPr>
            <w:tcW w:w="3520" w:type="dxa"/>
            <w:vAlign w:val="center"/>
          </w:tcPr>
          <w:p w14:paraId="6CDAC45E">
            <w:pPr>
              <w:shd w:val="clear" w:color="auto" w:fill="FFFFFF"/>
              <w:jc w:val="center"/>
              <w:rPr>
                <w:rFonts w:ascii="宋体" w:hAnsi="宋体" w:cs="宋体"/>
                <w:sz w:val="24"/>
                <w:szCs w:val="24"/>
              </w:rPr>
            </w:pPr>
            <w:r>
              <w:rPr>
                <w:rFonts w:hint="eastAsia" w:ascii="宋体" w:hAnsi="宋体" w:cs="宋体"/>
                <w:sz w:val="24"/>
                <w:szCs w:val="24"/>
              </w:rPr>
              <w:t>其他</w:t>
            </w:r>
          </w:p>
        </w:tc>
        <w:tc>
          <w:tcPr>
            <w:tcW w:w="2044" w:type="dxa"/>
            <w:vAlign w:val="center"/>
          </w:tcPr>
          <w:p w14:paraId="56E9C6B0">
            <w:pPr>
              <w:spacing w:after="120"/>
              <w:rPr>
                <w:rFonts w:ascii="宋体" w:hAnsi="宋体" w:cs="宋体"/>
                <w:sz w:val="24"/>
                <w:szCs w:val="24"/>
              </w:rPr>
            </w:pPr>
          </w:p>
        </w:tc>
        <w:tc>
          <w:tcPr>
            <w:tcW w:w="2206" w:type="dxa"/>
            <w:tcBorders>
              <w:right w:val="single" w:color="auto" w:sz="12" w:space="0"/>
            </w:tcBorders>
          </w:tcPr>
          <w:p w14:paraId="4BAC4DE0">
            <w:pPr>
              <w:spacing w:line="360" w:lineRule="auto"/>
              <w:rPr>
                <w:rFonts w:ascii="宋体" w:hAnsi="宋体" w:cs="宋体"/>
                <w:sz w:val="24"/>
                <w:szCs w:val="24"/>
              </w:rPr>
            </w:pPr>
          </w:p>
        </w:tc>
      </w:tr>
      <w:tr w14:paraId="76C6DB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0" w:hRule="atLeast"/>
          <w:jc w:val="center"/>
        </w:trPr>
        <w:tc>
          <w:tcPr>
            <w:tcW w:w="752" w:type="dxa"/>
            <w:tcBorders>
              <w:left w:val="single" w:color="auto" w:sz="12" w:space="0"/>
              <w:bottom w:val="single" w:color="auto" w:sz="12" w:space="0"/>
            </w:tcBorders>
            <w:vAlign w:val="center"/>
          </w:tcPr>
          <w:p w14:paraId="3BEB1346">
            <w:pPr>
              <w:shd w:val="clear" w:color="auto" w:fill="FFFFFF"/>
              <w:jc w:val="center"/>
              <w:rPr>
                <w:rFonts w:ascii="宋体" w:hAnsi="宋体" w:cs="宋体"/>
                <w:sz w:val="24"/>
                <w:szCs w:val="24"/>
              </w:rPr>
            </w:pPr>
          </w:p>
        </w:tc>
        <w:tc>
          <w:tcPr>
            <w:tcW w:w="3520" w:type="dxa"/>
            <w:tcBorders>
              <w:bottom w:val="single" w:color="auto" w:sz="12" w:space="0"/>
            </w:tcBorders>
            <w:vAlign w:val="center"/>
          </w:tcPr>
          <w:p w14:paraId="3C968084">
            <w:pPr>
              <w:shd w:val="clear" w:color="auto" w:fill="FFFFFF"/>
              <w:jc w:val="center"/>
              <w:rPr>
                <w:rFonts w:ascii="宋体" w:hAnsi="宋体" w:cs="宋体"/>
                <w:sz w:val="24"/>
                <w:szCs w:val="24"/>
              </w:rPr>
            </w:pPr>
            <w:r>
              <w:rPr>
                <w:rFonts w:hint="eastAsia" w:ascii="宋体" w:hAnsi="宋体" w:cs="宋体"/>
                <w:sz w:val="24"/>
                <w:szCs w:val="24"/>
              </w:rPr>
              <w:t>合计</w:t>
            </w:r>
          </w:p>
        </w:tc>
        <w:tc>
          <w:tcPr>
            <w:tcW w:w="2044" w:type="dxa"/>
            <w:tcBorders>
              <w:bottom w:val="single" w:color="auto" w:sz="12" w:space="0"/>
            </w:tcBorders>
            <w:vAlign w:val="center"/>
          </w:tcPr>
          <w:p w14:paraId="5F18A9D6">
            <w:pPr>
              <w:spacing w:after="120"/>
              <w:rPr>
                <w:rFonts w:ascii="宋体" w:hAnsi="宋体" w:cs="宋体"/>
                <w:sz w:val="24"/>
                <w:szCs w:val="24"/>
              </w:rPr>
            </w:pPr>
          </w:p>
        </w:tc>
        <w:tc>
          <w:tcPr>
            <w:tcW w:w="2206" w:type="dxa"/>
            <w:tcBorders>
              <w:bottom w:val="single" w:color="auto" w:sz="12" w:space="0"/>
              <w:right w:val="single" w:color="auto" w:sz="12" w:space="0"/>
            </w:tcBorders>
            <w:vAlign w:val="center"/>
          </w:tcPr>
          <w:p w14:paraId="48A99CB5">
            <w:pPr>
              <w:spacing w:after="120"/>
              <w:rPr>
                <w:rFonts w:ascii="宋体" w:hAnsi="宋体" w:cs="宋体"/>
                <w:sz w:val="24"/>
                <w:szCs w:val="24"/>
              </w:rPr>
            </w:pPr>
          </w:p>
        </w:tc>
      </w:tr>
    </w:tbl>
    <w:p w14:paraId="663BA84A">
      <w:pPr>
        <w:spacing w:line="360" w:lineRule="auto"/>
        <w:rPr>
          <w:rFonts w:ascii="宋体" w:hAnsi="宋体" w:cs="宋体"/>
          <w:b/>
          <w:sz w:val="36"/>
          <w:szCs w:val="36"/>
        </w:rPr>
      </w:pPr>
    </w:p>
    <w:p w14:paraId="0A7F2987">
      <w:pPr>
        <w:spacing w:line="360" w:lineRule="auto"/>
        <w:rPr>
          <w:rFonts w:ascii="宋体" w:hAnsi="宋体" w:cs="宋体"/>
          <w:sz w:val="24"/>
          <w:szCs w:val="24"/>
        </w:rPr>
      </w:pPr>
      <w:r>
        <w:rPr>
          <w:rFonts w:hint="eastAsia" w:ascii="宋体" w:hAnsi="宋体" w:cs="宋体"/>
          <w:sz w:val="24"/>
          <w:szCs w:val="24"/>
        </w:rPr>
        <w:t>授权代表人签字</w:t>
      </w:r>
      <w:r>
        <w:rPr>
          <w:rFonts w:hint="eastAsia" w:ascii="宋体" w:hAnsi="宋体" w:cs="宋体"/>
          <w:spacing w:val="4"/>
          <w:sz w:val="24"/>
        </w:rPr>
        <w:t>或盖章</w:t>
      </w:r>
      <w:r>
        <w:rPr>
          <w:rFonts w:hint="eastAsia" w:ascii="宋体" w:hAnsi="宋体" w:cs="宋体"/>
          <w:sz w:val="24"/>
          <w:szCs w:val="24"/>
        </w:rPr>
        <w:t>：</w:t>
      </w:r>
    </w:p>
    <w:p w14:paraId="247692F1">
      <w:pPr>
        <w:tabs>
          <w:tab w:val="left" w:pos="3045"/>
        </w:tabs>
        <w:spacing w:line="360" w:lineRule="auto"/>
        <w:rPr>
          <w:rFonts w:ascii="宋体" w:hAnsi="宋体" w:cs="宋体"/>
          <w:sz w:val="24"/>
          <w:szCs w:val="24"/>
        </w:rPr>
      </w:pPr>
    </w:p>
    <w:p w14:paraId="15F44830">
      <w:pPr>
        <w:spacing w:line="360" w:lineRule="auto"/>
        <w:rPr>
          <w:rFonts w:ascii="宋体" w:hAnsi="宋体" w:cs="宋体"/>
          <w:sz w:val="24"/>
          <w:szCs w:val="24"/>
        </w:rPr>
      </w:pPr>
    </w:p>
    <w:p w14:paraId="4916A44A">
      <w:pPr>
        <w:spacing w:line="360" w:lineRule="auto"/>
        <w:rPr>
          <w:rFonts w:ascii="宋体" w:hAnsi="宋体" w:cs="宋体"/>
          <w:sz w:val="24"/>
          <w:szCs w:val="24"/>
        </w:rPr>
      </w:pPr>
      <w:r>
        <w:rPr>
          <w:rFonts w:hint="eastAsia" w:ascii="宋体" w:hAnsi="宋体" w:cs="宋体"/>
          <w:sz w:val="24"/>
          <w:szCs w:val="24"/>
        </w:rPr>
        <w:t>公章：</w:t>
      </w:r>
    </w:p>
    <w:p w14:paraId="5F6417E7">
      <w:pPr>
        <w:spacing w:line="360" w:lineRule="auto"/>
        <w:rPr>
          <w:rFonts w:ascii="宋体" w:hAnsi="宋体" w:cs="宋体"/>
          <w:sz w:val="24"/>
          <w:szCs w:val="24"/>
        </w:rPr>
      </w:pPr>
    </w:p>
    <w:p w14:paraId="38385DB2">
      <w:pPr>
        <w:spacing w:line="440" w:lineRule="exact"/>
        <w:jc w:val="both"/>
      </w:pPr>
      <w:r>
        <w:rPr>
          <w:rFonts w:hint="eastAsia" w:ascii="宋体" w:hAnsi="宋体" w:cs="宋体"/>
          <w:spacing w:val="4"/>
          <w:sz w:val="24"/>
        </w:rPr>
        <w:t xml:space="preserve"> </w:t>
      </w:r>
    </w:p>
    <w:p w14:paraId="7DA8D625">
      <w:pPr>
        <w:sectPr>
          <w:type w:val="continuous"/>
          <w:pgSz w:w="11906" w:h="16838"/>
          <w:pgMar w:top="1440" w:right="1800" w:bottom="1440" w:left="1800" w:header="851" w:footer="992" w:gutter="0"/>
          <w:cols w:space="720" w:num="1"/>
          <w:docGrid w:type="lines" w:linePitch="312" w:charSpace="0"/>
        </w:sectPr>
      </w:pPr>
    </w:p>
    <w:p w14:paraId="658FFC02"/>
    <w:p w14:paraId="731342EF">
      <w:pPr>
        <w:numPr>
          <w:ilvl w:val="0"/>
          <w:numId w:val="2"/>
        </w:numPr>
        <w:shd w:val="clear" w:color="auto" w:fill="FFFFFF"/>
        <w:spacing w:line="440" w:lineRule="exact"/>
        <w:jc w:val="center"/>
        <w:rPr>
          <w:b/>
          <w:spacing w:val="4"/>
          <w:sz w:val="32"/>
          <w:szCs w:val="32"/>
        </w:rPr>
      </w:pPr>
      <w:r>
        <w:rPr>
          <w:b/>
          <w:spacing w:val="4"/>
          <w:sz w:val="32"/>
          <w:szCs w:val="32"/>
        </w:rPr>
        <w:t>法定代表人授权书</w:t>
      </w:r>
    </w:p>
    <w:p w14:paraId="4FDF0928">
      <w:pPr>
        <w:shd w:val="clear" w:color="auto" w:fill="FFFFFF"/>
        <w:spacing w:line="440" w:lineRule="exact"/>
        <w:ind w:left="-359" w:leftChars="-171" w:firstLine="498" w:firstLineChars="200"/>
        <w:jc w:val="center"/>
        <w:rPr>
          <w:b/>
          <w:bCs/>
          <w:color w:val="000000"/>
          <w:spacing w:val="4"/>
          <w:sz w:val="24"/>
          <w:szCs w:val="32"/>
        </w:rPr>
      </w:pPr>
    </w:p>
    <w:p w14:paraId="27A4D14B">
      <w:pPr>
        <w:shd w:val="clear" w:color="auto" w:fill="FFFFFF"/>
        <w:spacing w:line="440" w:lineRule="exact"/>
        <w:jc w:val="left"/>
        <w:rPr>
          <w:color w:val="000000"/>
          <w:spacing w:val="4"/>
          <w:sz w:val="24"/>
          <w:szCs w:val="30"/>
        </w:rPr>
      </w:pPr>
      <w:r>
        <w:rPr>
          <w:color w:val="000000"/>
          <w:spacing w:val="4"/>
          <w:sz w:val="24"/>
          <w:szCs w:val="30"/>
        </w:rPr>
        <w:t>致：</w:t>
      </w:r>
      <w:r>
        <w:rPr>
          <w:kern w:val="0"/>
          <w:sz w:val="24"/>
          <w:szCs w:val="24"/>
        </w:rPr>
        <w:t>东方（西安）国际招标有限公司</w:t>
      </w:r>
    </w:p>
    <w:p w14:paraId="346BB977">
      <w:pPr>
        <w:shd w:val="clear" w:color="auto" w:fill="FFFFFF"/>
        <w:spacing w:line="440" w:lineRule="exact"/>
        <w:ind w:firstLine="496" w:firstLineChars="200"/>
        <w:jc w:val="left"/>
        <w:rPr>
          <w:color w:val="000000"/>
          <w:spacing w:val="4"/>
          <w:sz w:val="24"/>
          <w:szCs w:val="30"/>
        </w:rPr>
      </w:pPr>
      <w:r>
        <w:rPr>
          <w:color w:val="000000"/>
          <w:spacing w:val="4"/>
          <w:sz w:val="24"/>
          <w:szCs w:val="30"/>
          <w:u w:val="single"/>
        </w:rPr>
        <w:t xml:space="preserve">(供应商名称) </w:t>
      </w:r>
      <w:r>
        <w:rPr>
          <w:color w:val="000000"/>
          <w:spacing w:val="4"/>
          <w:sz w:val="24"/>
          <w:szCs w:val="30"/>
        </w:rPr>
        <w:t>按中华人民共和国法律于</w:t>
      </w:r>
      <w:r>
        <w:rPr>
          <w:color w:val="000000"/>
          <w:spacing w:val="4"/>
          <w:sz w:val="24"/>
          <w:szCs w:val="30"/>
          <w:u w:val="single"/>
        </w:rPr>
        <w:t>（     年   月   日）</w:t>
      </w:r>
      <w:r>
        <w:rPr>
          <w:color w:val="000000"/>
          <w:spacing w:val="4"/>
          <w:sz w:val="24"/>
          <w:szCs w:val="30"/>
        </w:rPr>
        <w:t>成立。</w:t>
      </w:r>
      <w:r>
        <w:rPr>
          <w:color w:val="000000"/>
          <w:spacing w:val="4"/>
          <w:sz w:val="24"/>
          <w:szCs w:val="30"/>
          <w:u w:val="single"/>
        </w:rPr>
        <w:t>(法定代表人姓名)</w:t>
      </w:r>
      <w:r>
        <w:rPr>
          <w:color w:val="000000"/>
          <w:spacing w:val="4"/>
          <w:sz w:val="24"/>
          <w:szCs w:val="30"/>
        </w:rPr>
        <w:t>特授权</w:t>
      </w:r>
      <w:r>
        <w:rPr>
          <w:color w:val="000000"/>
          <w:spacing w:val="4"/>
          <w:sz w:val="24"/>
          <w:szCs w:val="30"/>
          <w:u w:val="single"/>
        </w:rPr>
        <w:t>（被授权人姓名）</w:t>
      </w:r>
      <w:r>
        <w:rPr>
          <w:color w:val="000000"/>
          <w:spacing w:val="4"/>
          <w:sz w:val="24"/>
          <w:szCs w:val="30"/>
        </w:rPr>
        <w:t>代表我公司全权办理针对本次政府采购</w:t>
      </w:r>
      <w:r>
        <w:rPr>
          <w:color w:val="000000"/>
          <w:spacing w:val="4"/>
          <w:sz w:val="24"/>
          <w:szCs w:val="30"/>
          <w:u w:val="single"/>
        </w:rPr>
        <w:t>（磋商项目名称和项目编号）</w:t>
      </w:r>
      <w:r>
        <w:rPr>
          <w:color w:val="000000"/>
          <w:spacing w:val="4"/>
          <w:sz w:val="24"/>
          <w:szCs w:val="30"/>
        </w:rPr>
        <w:t>项目的磋商、签约等具体工作，并签署全部有关的文件、协议及合同。</w:t>
      </w:r>
    </w:p>
    <w:p w14:paraId="339AFA12">
      <w:pPr>
        <w:shd w:val="clear" w:color="auto" w:fill="FFFFFF"/>
        <w:spacing w:line="440" w:lineRule="exact"/>
        <w:ind w:firstLine="496" w:firstLineChars="200"/>
        <w:jc w:val="left"/>
        <w:rPr>
          <w:color w:val="000000"/>
          <w:spacing w:val="4"/>
          <w:sz w:val="24"/>
          <w:szCs w:val="30"/>
        </w:rPr>
      </w:pPr>
      <w:r>
        <w:rPr>
          <w:color w:val="000000"/>
          <w:spacing w:val="4"/>
          <w:sz w:val="24"/>
          <w:szCs w:val="30"/>
        </w:rPr>
        <w:t>我公司对被授权人的签名负全部责任。</w:t>
      </w:r>
    </w:p>
    <w:p w14:paraId="300EDB1B">
      <w:pPr>
        <w:shd w:val="clear" w:color="auto" w:fill="FFFFFF"/>
        <w:spacing w:line="440" w:lineRule="exact"/>
        <w:ind w:firstLine="496" w:firstLineChars="200"/>
        <w:jc w:val="left"/>
        <w:rPr>
          <w:color w:val="000000"/>
          <w:spacing w:val="4"/>
          <w:sz w:val="24"/>
          <w:szCs w:val="30"/>
        </w:rPr>
      </w:pPr>
      <w:r>
        <w:rPr>
          <w:color w:val="000000"/>
          <w:spacing w:val="4"/>
          <w:sz w:val="24"/>
          <w:szCs w:val="30"/>
        </w:rPr>
        <w:t>本授权书于</w:t>
      </w:r>
      <w:r>
        <w:rPr>
          <w:color w:val="000000"/>
          <w:spacing w:val="4"/>
          <w:sz w:val="24"/>
          <w:szCs w:val="30"/>
          <w:u w:val="single"/>
        </w:rPr>
        <w:t xml:space="preserve">      年   月   </w:t>
      </w:r>
      <w:r>
        <w:rPr>
          <w:color w:val="000000"/>
          <w:spacing w:val="4"/>
          <w:sz w:val="24"/>
          <w:szCs w:val="30"/>
        </w:rPr>
        <w:t>日签字生效，特此证明。</w:t>
      </w:r>
    </w:p>
    <w:p w14:paraId="3A529DEC">
      <w:pPr>
        <w:shd w:val="clear" w:color="auto" w:fill="FFFFFF"/>
        <w:spacing w:line="440" w:lineRule="exact"/>
        <w:ind w:firstLine="496" w:firstLineChars="200"/>
        <w:jc w:val="left"/>
        <w:rPr>
          <w:color w:val="000000"/>
          <w:spacing w:val="4"/>
          <w:sz w:val="24"/>
          <w:szCs w:val="30"/>
        </w:rPr>
      </w:pPr>
    </w:p>
    <w:tbl>
      <w:tblPr>
        <w:tblStyle w:val="21"/>
        <w:tblW w:w="7889" w:type="dxa"/>
        <w:tblInd w:w="633" w:type="dxa"/>
        <w:tblLayout w:type="fixed"/>
        <w:tblCellMar>
          <w:top w:w="0" w:type="dxa"/>
          <w:left w:w="108" w:type="dxa"/>
          <w:bottom w:w="0" w:type="dxa"/>
          <w:right w:w="108" w:type="dxa"/>
        </w:tblCellMar>
      </w:tblPr>
      <w:tblGrid>
        <w:gridCol w:w="4045"/>
        <w:gridCol w:w="3844"/>
      </w:tblGrid>
      <w:tr w14:paraId="7FF7849F">
        <w:tblPrEx>
          <w:tblCellMar>
            <w:top w:w="0" w:type="dxa"/>
            <w:left w:w="108" w:type="dxa"/>
            <w:bottom w:w="0" w:type="dxa"/>
            <w:right w:w="108" w:type="dxa"/>
          </w:tblCellMar>
        </w:tblPrEx>
        <w:trPr>
          <w:trHeight w:val="600" w:hRule="atLeast"/>
        </w:trPr>
        <w:tc>
          <w:tcPr>
            <w:tcW w:w="4045" w:type="dxa"/>
          </w:tcPr>
          <w:p w14:paraId="1CB79D7A">
            <w:pPr>
              <w:shd w:val="clear" w:color="auto" w:fill="FFFFFF"/>
              <w:spacing w:line="440" w:lineRule="exact"/>
              <w:jc w:val="left"/>
              <w:rPr>
                <w:spacing w:val="4"/>
                <w:sz w:val="24"/>
              </w:rPr>
            </w:pPr>
            <w:r>
              <w:rPr>
                <w:spacing w:val="4"/>
                <w:sz w:val="24"/>
              </w:rPr>
              <w:t>被授权人签字或盖章：</w:t>
            </w:r>
          </w:p>
        </w:tc>
        <w:tc>
          <w:tcPr>
            <w:tcW w:w="3844" w:type="dxa"/>
          </w:tcPr>
          <w:p w14:paraId="41577987">
            <w:pPr>
              <w:shd w:val="clear" w:color="auto" w:fill="FFFFFF"/>
              <w:spacing w:line="440" w:lineRule="exact"/>
              <w:jc w:val="left"/>
              <w:rPr>
                <w:spacing w:val="4"/>
                <w:sz w:val="24"/>
              </w:rPr>
            </w:pPr>
            <w:r>
              <w:rPr>
                <w:sz w:val="24"/>
              </w:rPr>
              <w:t>法定代表人</w:t>
            </w:r>
            <w:r>
              <w:rPr>
                <w:spacing w:val="4"/>
                <w:sz w:val="24"/>
              </w:rPr>
              <w:t>签字</w:t>
            </w:r>
            <w:r>
              <w:rPr>
                <w:rFonts w:eastAsiaTheme="minorEastAsia"/>
                <w:spacing w:val="4"/>
                <w:sz w:val="24"/>
              </w:rPr>
              <w:t>或盖章</w:t>
            </w:r>
            <w:r>
              <w:rPr>
                <w:spacing w:val="4"/>
                <w:sz w:val="24"/>
              </w:rPr>
              <w:t>：</w:t>
            </w:r>
          </w:p>
        </w:tc>
      </w:tr>
      <w:tr w14:paraId="70F41532">
        <w:tblPrEx>
          <w:tblCellMar>
            <w:top w:w="0" w:type="dxa"/>
            <w:left w:w="108" w:type="dxa"/>
            <w:bottom w:w="0" w:type="dxa"/>
            <w:right w:w="108" w:type="dxa"/>
          </w:tblCellMar>
        </w:tblPrEx>
        <w:trPr>
          <w:trHeight w:val="600" w:hRule="atLeast"/>
        </w:trPr>
        <w:tc>
          <w:tcPr>
            <w:tcW w:w="4045" w:type="dxa"/>
          </w:tcPr>
          <w:p w14:paraId="18A556A1">
            <w:pPr>
              <w:shd w:val="clear" w:color="auto" w:fill="FFFFFF"/>
              <w:spacing w:line="440" w:lineRule="exact"/>
              <w:jc w:val="left"/>
              <w:rPr>
                <w:spacing w:val="4"/>
                <w:sz w:val="24"/>
              </w:rPr>
            </w:pPr>
            <w:r>
              <w:rPr>
                <w:spacing w:val="4"/>
                <w:sz w:val="24"/>
              </w:rPr>
              <w:t>职务：</w:t>
            </w:r>
          </w:p>
        </w:tc>
        <w:tc>
          <w:tcPr>
            <w:tcW w:w="3844" w:type="dxa"/>
          </w:tcPr>
          <w:p w14:paraId="031D664E">
            <w:pPr>
              <w:shd w:val="clear" w:color="auto" w:fill="FFFFFF"/>
              <w:spacing w:line="440" w:lineRule="exact"/>
              <w:jc w:val="left"/>
              <w:rPr>
                <w:spacing w:val="4"/>
                <w:sz w:val="24"/>
              </w:rPr>
            </w:pPr>
            <w:r>
              <w:rPr>
                <w:spacing w:val="4"/>
                <w:sz w:val="24"/>
              </w:rPr>
              <w:t>职务：</w:t>
            </w:r>
          </w:p>
        </w:tc>
      </w:tr>
      <w:tr w14:paraId="2F8BC4F2">
        <w:tblPrEx>
          <w:tblCellMar>
            <w:top w:w="0" w:type="dxa"/>
            <w:left w:w="108" w:type="dxa"/>
            <w:bottom w:w="0" w:type="dxa"/>
            <w:right w:w="108" w:type="dxa"/>
          </w:tblCellMar>
        </w:tblPrEx>
        <w:trPr>
          <w:trHeight w:val="600" w:hRule="atLeast"/>
        </w:trPr>
        <w:tc>
          <w:tcPr>
            <w:tcW w:w="4045" w:type="dxa"/>
          </w:tcPr>
          <w:p w14:paraId="37390BED">
            <w:pPr>
              <w:shd w:val="clear" w:color="auto" w:fill="FFFFFF"/>
              <w:spacing w:line="440" w:lineRule="exact"/>
              <w:jc w:val="left"/>
              <w:rPr>
                <w:spacing w:val="4"/>
                <w:sz w:val="24"/>
              </w:rPr>
            </w:pPr>
            <w:r>
              <w:rPr>
                <w:spacing w:val="4"/>
                <w:sz w:val="24"/>
              </w:rPr>
              <w:t>所在部门：</w:t>
            </w:r>
          </w:p>
        </w:tc>
        <w:tc>
          <w:tcPr>
            <w:tcW w:w="3844" w:type="dxa"/>
          </w:tcPr>
          <w:p w14:paraId="1FFEF59C">
            <w:pPr>
              <w:shd w:val="clear" w:color="auto" w:fill="FFFFFF"/>
              <w:spacing w:line="440" w:lineRule="exact"/>
              <w:jc w:val="left"/>
              <w:rPr>
                <w:spacing w:val="4"/>
                <w:sz w:val="24"/>
              </w:rPr>
            </w:pPr>
          </w:p>
        </w:tc>
      </w:tr>
    </w:tbl>
    <w:p w14:paraId="7C26AB83">
      <w:pPr>
        <w:shd w:val="clear" w:color="auto" w:fill="FFFFFF"/>
        <w:spacing w:line="440" w:lineRule="exact"/>
        <w:ind w:firstLine="496" w:firstLineChars="200"/>
        <w:jc w:val="left"/>
        <w:rPr>
          <w:spacing w:val="4"/>
          <w:sz w:val="24"/>
        </w:rPr>
      </w:pPr>
    </w:p>
    <w:p w14:paraId="0FA4C48C">
      <w:pPr>
        <w:shd w:val="clear" w:color="auto" w:fill="FFFFFF"/>
        <w:spacing w:line="440" w:lineRule="exact"/>
        <w:ind w:firstLine="510"/>
        <w:rPr>
          <w:color w:val="000000"/>
          <w:spacing w:val="4"/>
          <w:sz w:val="24"/>
          <w:szCs w:val="30"/>
        </w:rPr>
      </w:pPr>
      <w:r>
        <w:rPr>
          <w:color w:val="000000"/>
          <w:spacing w:val="4"/>
          <w:sz w:val="24"/>
          <w:szCs w:val="30"/>
        </w:rPr>
        <w:t>附：</w:t>
      </w:r>
      <w:r>
        <w:rPr>
          <w:sz w:val="24"/>
        </w:rPr>
        <w:t>法定代表人</w:t>
      </w:r>
      <w:r>
        <w:rPr>
          <w:color w:val="000000"/>
          <w:spacing w:val="4"/>
          <w:sz w:val="24"/>
          <w:szCs w:val="30"/>
        </w:rPr>
        <w:t>、被授权人身份证复印件</w:t>
      </w:r>
    </w:p>
    <w:p w14:paraId="018014FF">
      <w:pPr>
        <w:shd w:val="clear" w:color="auto" w:fill="FFFFFF"/>
        <w:spacing w:line="440" w:lineRule="exact"/>
        <w:ind w:firstLine="510"/>
        <w:rPr>
          <w:color w:val="000000"/>
          <w:spacing w:val="4"/>
          <w:sz w:val="24"/>
          <w:szCs w:val="30"/>
        </w:rPr>
      </w:pPr>
    </w:p>
    <w:p w14:paraId="110327DD">
      <w:pPr>
        <w:shd w:val="clear" w:color="auto" w:fill="FFFFFF"/>
        <w:spacing w:line="440" w:lineRule="exact"/>
        <w:ind w:firstLine="510"/>
        <w:rPr>
          <w:color w:val="000000"/>
          <w:spacing w:val="4"/>
          <w:sz w:val="24"/>
          <w:szCs w:val="30"/>
        </w:rPr>
      </w:pPr>
    </w:p>
    <w:p w14:paraId="66CFEACE">
      <w:pPr>
        <w:shd w:val="clear" w:color="auto" w:fill="FFFFFF"/>
        <w:spacing w:line="440" w:lineRule="exact"/>
        <w:ind w:firstLine="510"/>
        <w:rPr>
          <w:color w:val="000000"/>
          <w:spacing w:val="4"/>
          <w:sz w:val="24"/>
          <w:szCs w:val="30"/>
        </w:rPr>
      </w:pPr>
    </w:p>
    <w:p w14:paraId="63252A15">
      <w:pPr>
        <w:shd w:val="clear" w:color="auto" w:fill="FFFFFF"/>
        <w:spacing w:line="440" w:lineRule="exact"/>
        <w:ind w:firstLine="510"/>
        <w:rPr>
          <w:color w:val="000000"/>
          <w:spacing w:val="4"/>
          <w:sz w:val="24"/>
          <w:szCs w:val="30"/>
        </w:rPr>
      </w:pPr>
    </w:p>
    <w:p w14:paraId="7BB62ACC">
      <w:pPr>
        <w:shd w:val="clear" w:color="auto" w:fill="FFFFFF"/>
        <w:spacing w:line="440" w:lineRule="exact"/>
        <w:ind w:firstLine="510"/>
        <w:rPr>
          <w:color w:val="000000"/>
          <w:spacing w:val="4"/>
          <w:sz w:val="24"/>
          <w:szCs w:val="30"/>
        </w:rPr>
      </w:pPr>
    </w:p>
    <w:p w14:paraId="11523667">
      <w:pPr>
        <w:shd w:val="clear" w:color="auto" w:fill="FFFFFF"/>
        <w:spacing w:line="440" w:lineRule="exact"/>
        <w:ind w:firstLine="510"/>
        <w:rPr>
          <w:color w:val="000000"/>
          <w:spacing w:val="4"/>
          <w:sz w:val="24"/>
          <w:szCs w:val="30"/>
        </w:rPr>
      </w:pPr>
    </w:p>
    <w:p w14:paraId="02D375E2">
      <w:pPr>
        <w:shd w:val="clear" w:color="auto" w:fill="FFFFFF"/>
        <w:spacing w:line="440" w:lineRule="exact"/>
        <w:ind w:firstLine="372" w:firstLineChars="150"/>
        <w:rPr>
          <w:spacing w:val="4"/>
          <w:sz w:val="24"/>
        </w:rPr>
      </w:pPr>
      <w:r>
        <w:rPr>
          <w:spacing w:val="4"/>
          <w:sz w:val="24"/>
        </w:rPr>
        <w:t>供应商名称：</w:t>
      </w:r>
    </w:p>
    <w:p w14:paraId="30FFBB8F">
      <w:pPr>
        <w:shd w:val="clear" w:color="auto" w:fill="FFFFFF"/>
        <w:spacing w:line="440" w:lineRule="exact"/>
        <w:ind w:firstLine="372" w:firstLineChars="150"/>
        <w:rPr>
          <w:spacing w:val="4"/>
          <w:sz w:val="24"/>
        </w:rPr>
      </w:pPr>
    </w:p>
    <w:p w14:paraId="6821F654">
      <w:pPr>
        <w:shd w:val="clear" w:color="auto" w:fill="FFFFFF"/>
        <w:spacing w:line="440" w:lineRule="exact"/>
        <w:ind w:firstLine="372" w:firstLineChars="150"/>
        <w:rPr>
          <w:spacing w:val="4"/>
          <w:sz w:val="24"/>
        </w:rPr>
      </w:pPr>
      <w:r>
        <w:rPr>
          <w:spacing w:val="4"/>
          <w:sz w:val="24"/>
        </w:rPr>
        <w:t>公章：</w:t>
      </w:r>
    </w:p>
    <w:p w14:paraId="37FB1DEE">
      <w:pPr>
        <w:shd w:val="clear" w:color="auto" w:fill="FFFFFF"/>
        <w:spacing w:line="440" w:lineRule="exact"/>
        <w:ind w:firstLine="5250"/>
        <w:rPr>
          <w:color w:val="000000"/>
          <w:spacing w:val="4"/>
          <w:sz w:val="24"/>
          <w:szCs w:val="30"/>
        </w:rPr>
      </w:pPr>
    </w:p>
    <w:p w14:paraId="2E96B235">
      <w:pPr>
        <w:shd w:val="clear" w:color="auto" w:fill="FFFFFF"/>
        <w:spacing w:line="440" w:lineRule="exact"/>
        <w:rPr>
          <w:color w:val="000000"/>
          <w:spacing w:val="4"/>
          <w:sz w:val="24"/>
          <w:szCs w:val="30"/>
          <w:u w:val="single"/>
        </w:rPr>
      </w:pPr>
    </w:p>
    <w:p w14:paraId="69E59140">
      <w:pPr>
        <w:shd w:val="clear" w:color="auto" w:fill="FFFFFF"/>
        <w:jc w:val="center"/>
        <w:rPr>
          <w:b/>
          <w:sz w:val="32"/>
          <w:szCs w:val="32"/>
        </w:rPr>
      </w:pPr>
      <w:r>
        <w:rPr>
          <w:b/>
          <w:sz w:val="36"/>
          <w:szCs w:val="36"/>
        </w:rPr>
        <w:br w:type="page"/>
      </w:r>
      <w:r>
        <w:rPr>
          <w:b/>
          <w:sz w:val="32"/>
          <w:szCs w:val="32"/>
        </w:rPr>
        <w:t>四、陕西省政府采购供应商</w:t>
      </w:r>
    </w:p>
    <w:p w14:paraId="1D96A38A">
      <w:pPr>
        <w:shd w:val="clear" w:color="auto" w:fill="FFFFFF"/>
        <w:jc w:val="center"/>
        <w:rPr>
          <w:b/>
          <w:sz w:val="32"/>
          <w:szCs w:val="32"/>
        </w:rPr>
      </w:pPr>
      <w:r>
        <w:rPr>
          <w:b/>
          <w:sz w:val="32"/>
          <w:szCs w:val="32"/>
        </w:rPr>
        <w:t>拒绝政府采购领域商业贿赂承诺书</w:t>
      </w:r>
    </w:p>
    <w:p w14:paraId="6D0B28A0">
      <w:pPr>
        <w:widowControl/>
        <w:shd w:val="clear" w:color="auto" w:fill="FFFFFF"/>
        <w:spacing w:line="408" w:lineRule="auto"/>
        <w:ind w:left="239" w:leftChars="114" w:firstLine="470" w:firstLineChars="196"/>
        <w:jc w:val="left"/>
        <w:rPr>
          <w:kern w:val="0"/>
          <w:sz w:val="24"/>
        </w:rPr>
      </w:pPr>
    </w:p>
    <w:p w14:paraId="1610F7A9">
      <w:pPr>
        <w:widowControl/>
        <w:shd w:val="clear" w:color="auto" w:fill="FFFFFF"/>
        <w:spacing w:line="408" w:lineRule="auto"/>
        <w:ind w:left="239" w:leftChars="114" w:firstLine="470" w:firstLineChars="196"/>
        <w:jc w:val="left"/>
        <w:rPr>
          <w:kern w:val="0"/>
          <w:sz w:val="24"/>
        </w:rPr>
      </w:pPr>
      <w:r>
        <w:rPr>
          <w:kern w:val="0"/>
          <w:sz w:val="24"/>
        </w:rPr>
        <w:t>为响应党中央、国务院关于治理政府采购领域商业贿赂行为的号召，我公司在此庄严承诺：</w:t>
      </w:r>
      <w:r>
        <w:rPr>
          <w:kern w:val="0"/>
          <w:sz w:val="24"/>
        </w:rPr>
        <w:br w:type="textWrapping"/>
      </w:r>
      <w:r>
        <w:rPr>
          <w:kern w:val="0"/>
          <w:sz w:val="24"/>
        </w:rPr>
        <w:t>1、在参与政府采购活动中遵纪守法、诚信经营、公平竞标。</w:t>
      </w:r>
      <w:r>
        <w:rPr>
          <w:kern w:val="0"/>
          <w:sz w:val="24"/>
        </w:rPr>
        <w:br w:type="textWrapping"/>
      </w:r>
      <w:r>
        <w:rPr>
          <w:kern w:val="0"/>
          <w:sz w:val="24"/>
        </w:rPr>
        <w:t>2、不向政府采购人、采购代理机构和政府采购评审专家进行任何形式的商业贿赂以谋取交易机会。</w:t>
      </w:r>
      <w:r>
        <w:rPr>
          <w:kern w:val="0"/>
          <w:sz w:val="24"/>
        </w:rPr>
        <w:br w:type="textWrapping"/>
      </w:r>
      <w:r>
        <w:rPr>
          <w:kern w:val="0"/>
          <w:sz w:val="24"/>
        </w:rPr>
        <w:t>3、不向政府采购代理机构和采购人提供虚假资质文件或采用虚假响应方式参与政府采购市场竞争并谋取成交、成交。</w:t>
      </w:r>
      <w:r>
        <w:rPr>
          <w:kern w:val="0"/>
          <w:sz w:val="24"/>
        </w:rPr>
        <w:br w:type="textWrapping"/>
      </w:r>
      <w:r>
        <w:rPr>
          <w:kern w:val="0"/>
          <w:sz w:val="24"/>
        </w:rPr>
        <w:t>4、不采取“围标、陪标”等商业欺诈手段获得政府采购定单。</w:t>
      </w:r>
      <w:r>
        <w:rPr>
          <w:kern w:val="0"/>
          <w:sz w:val="24"/>
        </w:rPr>
        <w:br w:type="textWrapping"/>
      </w:r>
      <w:r>
        <w:rPr>
          <w:kern w:val="0"/>
          <w:sz w:val="24"/>
        </w:rPr>
        <w:t>5、不采取不正当手段诋毁、排挤其他供应商。</w:t>
      </w:r>
      <w:r>
        <w:rPr>
          <w:kern w:val="0"/>
          <w:sz w:val="24"/>
        </w:rPr>
        <w:br w:type="textWrapping"/>
      </w:r>
      <w:r>
        <w:rPr>
          <w:kern w:val="0"/>
          <w:sz w:val="24"/>
        </w:rPr>
        <w:t>6、不在提供商品和服务时“偷梁换柱、以次充好”损害采购人的合法权益。</w:t>
      </w:r>
      <w:r>
        <w:rPr>
          <w:kern w:val="0"/>
          <w:sz w:val="24"/>
        </w:rPr>
        <w:br w:type="textWrapping"/>
      </w:r>
      <w:r>
        <w:rPr>
          <w:kern w:val="0"/>
          <w:sz w:val="24"/>
        </w:rPr>
        <w:t>7、不与采购人、采购代理机构政府采购评审专家或其它供应商恶意串通，进行质疑和投诉，维护政府采购市场秩序。</w:t>
      </w:r>
      <w:r>
        <w:rPr>
          <w:kern w:val="0"/>
          <w:sz w:val="24"/>
        </w:rPr>
        <w:br w:type="textWrapping"/>
      </w:r>
      <w:r>
        <w:rPr>
          <w:kern w:val="0"/>
          <w:sz w:val="24"/>
        </w:rPr>
        <w:t>8、尊重和接受政府采购监督管理部门的监督和政府采购代理机构磋商采购要求，承担因违约行为给采购人造成的损失。</w:t>
      </w:r>
      <w:r>
        <w:rPr>
          <w:kern w:val="0"/>
          <w:sz w:val="24"/>
        </w:rPr>
        <w:br w:type="textWrapping"/>
      </w:r>
      <w:r>
        <w:rPr>
          <w:kern w:val="0"/>
          <w:sz w:val="24"/>
        </w:rPr>
        <w:t>9、不发生其他有悖于政府采购公开、公平、公正和诚信原则的行为。</w:t>
      </w:r>
      <w:r>
        <w:rPr>
          <w:kern w:val="0"/>
          <w:sz w:val="24"/>
        </w:rPr>
        <w:br w:type="textWrapping"/>
      </w:r>
    </w:p>
    <w:p w14:paraId="55C0F3B7">
      <w:pPr>
        <w:shd w:val="clear" w:color="auto" w:fill="FFFFFF"/>
        <w:spacing w:line="360" w:lineRule="auto"/>
        <w:rPr>
          <w:kern w:val="0"/>
          <w:sz w:val="24"/>
        </w:rPr>
      </w:pPr>
      <w:r>
        <w:rPr>
          <w:kern w:val="0"/>
          <w:sz w:val="24"/>
        </w:rPr>
        <w:t>供应商名称：</w:t>
      </w:r>
    </w:p>
    <w:p w14:paraId="7960D917">
      <w:pPr>
        <w:shd w:val="clear" w:color="auto" w:fill="FFFFFF"/>
        <w:spacing w:line="360" w:lineRule="auto"/>
        <w:rPr>
          <w:kern w:val="0"/>
          <w:sz w:val="24"/>
        </w:rPr>
      </w:pPr>
    </w:p>
    <w:p w14:paraId="6BE39703">
      <w:pPr>
        <w:shd w:val="clear" w:color="auto" w:fill="FFFFFF"/>
        <w:spacing w:line="360" w:lineRule="auto"/>
        <w:rPr>
          <w:kern w:val="0"/>
          <w:sz w:val="24"/>
        </w:rPr>
      </w:pPr>
      <w:r>
        <w:rPr>
          <w:kern w:val="0"/>
          <w:sz w:val="24"/>
        </w:rPr>
        <w:t>公章：</w:t>
      </w:r>
    </w:p>
    <w:p w14:paraId="6ED76E0D">
      <w:pPr>
        <w:shd w:val="clear" w:color="auto" w:fill="FFFFFF"/>
        <w:spacing w:line="360" w:lineRule="auto"/>
        <w:rPr>
          <w:kern w:val="0"/>
          <w:sz w:val="24"/>
        </w:rPr>
      </w:pPr>
      <w:r>
        <w:rPr>
          <w:kern w:val="0"/>
          <w:sz w:val="24"/>
        </w:rPr>
        <w:br w:type="textWrapping"/>
      </w:r>
      <w:r>
        <w:rPr>
          <w:kern w:val="0"/>
          <w:sz w:val="24"/>
        </w:rPr>
        <w:t>授权代表人签字</w:t>
      </w:r>
      <w:r>
        <w:rPr>
          <w:spacing w:val="4"/>
          <w:sz w:val="24"/>
        </w:rPr>
        <w:t>或盖章</w:t>
      </w:r>
      <w:r>
        <w:rPr>
          <w:kern w:val="0"/>
          <w:sz w:val="24"/>
        </w:rPr>
        <w:t>：</w:t>
      </w:r>
    </w:p>
    <w:p w14:paraId="57E97F96">
      <w:pPr>
        <w:shd w:val="clear" w:color="auto" w:fill="FFFFFF"/>
        <w:spacing w:line="360" w:lineRule="auto"/>
        <w:ind w:left="1"/>
        <w:jc w:val="center"/>
        <w:rPr>
          <w:b/>
          <w:sz w:val="32"/>
          <w:szCs w:val="32"/>
        </w:rPr>
      </w:pPr>
      <w:r>
        <w:rPr>
          <w:kern w:val="0"/>
          <w:sz w:val="24"/>
        </w:rPr>
        <w:br w:type="page"/>
      </w:r>
      <w:r>
        <w:rPr>
          <w:b/>
          <w:sz w:val="32"/>
          <w:szCs w:val="32"/>
        </w:rPr>
        <w:t xml:space="preserve">五、证明文件 </w:t>
      </w:r>
    </w:p>
    <w:p w14:paraId="15E3F8EC">
      <w:pPr>
        <w:spacing w:line="360" w:lineRule="auto"/>
        <w:jc w:val="left"/>
        <w:rPr>
          <w:sz w:val="24"/>
        </w:rPr>
      </w:pPr>
      <w:r>
        <w:rPr>
          <w:rFonts w:hint="eastAsia"/>
          <w:sz w:val="24"/>
        </w:rPr>
        <w:t>1</w:t>
      </w:r>
      <w:r>
        <w:rPr>
          <w:sz w:val="24"/>
        </w:rPr>
        <w:t>.1、</w:t>
      </w:r>
      <w:r>
        <w:rPr>
          <w:kern w:val="0"/>
          <w:sz w:val="24"/>
        </w:rPr>
        <w:t>具有独立承担民事责任能力的法人、其他组织或自然人，并出具合法有效的营业执照或事业单位法人证书等国家规定的相关证明，自然人参与的提供其身份证明</w:t>
      </w:r>
      <w:r>
        <w:rPr>
          <w:sz w:val="24"/>
        </w:rPr>
        <w:t>；</w:t>
      </w:r>
    </w:p>
    <w:p w14:paraId="0A6FF86C">
      <w:pPr>
        <w:spacing w:line="360" w:lineRule="auto"/>
        <w:jc w:val="left"/>
        <w:rPr>
          <w:sz w:val="24"/>
        </w:rPr>
      </w:pPr>
      <w:r>
        <w:rPr>
          <w:sz w:val="24"/>
        </w:rPr>
        <w:t>1.2、</w:t>
      </w:r>
      <w:r>
        <w:rPr>
          <w:rFonts w:hint="eastAsia" w:cs="宋体" w:asciiTheme="majorEastAsia" w:hAnsiTheme="majorEastAsia" w:eastAsiaTheme="majorEastAsia"/>
          <w:bCs/>
          <w:sz w:val="24"/>
          <w:szCs w:val="24"/>
          <w:lang w:eastAsia="zh-Hans"/>
        </w:rPr>
        <w:t xml:space="preserve">授权委托书：非法定代表人参加投标的，须提供法定代表人授权委托书及被授权人身份证、被授权人在投标单位近3个月连续缴纳的社保证明；法定代表人参加投标时,须提供法定代表人身份证； </w:t>
      </w:r>
    </w:p>
    <w:p w14:paraId="2C041237">
      <w:pPr>
        <w:spacing w:line="360" w:lineRule="auto"/>
        <w:jc w:val="left"/>
        <w:rPr>
          <w:sz w:val="24"/>
        </w:rPr>
      </w:pPr>
      <w:r>
        <w:rPr>
          <w:sz w:val="24"/>
        </w:rPr>
        <w:t>2、</w:t>
      </w:r>
      <w:r>
        <w:rPr>
          <w:sz w:val="24"/>
          <w:szCs w:val="24"/>
        </w:rPr>
        <w:t>提供供应商202</w:t>
      </w:r>
      <w:r>
        <w:rPr>
          <w:rFonts w:hint="eastAsia"/>
          <w:sz w:val="24"/>
          <w:szCs w:val="24"/>
          <w:lang w:val="en-US" w:eastAsia="zh-CN"/>
        </w:rPr>
        <w:t>3</w:t>
      </w:r>
      <w:r>
        <w:rPr>
          <w:sz w:val="24"/>
          <w:szCs w:val="24"/>
        </w:rPr>
        <w:t>年以来任</w:t>
      </w:r>
      <w:r>
        <w:rPr>
          <w:rFonts w:hint="eastAsia"/>
          <w:sz w:val="24"/>
          <w:szCs w:val="24"/>
        </w:rPr>
        <w:t>一</w:t>
      </w:r>
      <w:r>
        <w:rPr>
          <w:sz w:val="24"/>
          <w:szCs w:val="24"/>
        </w:rPr>
        <w:t>年度</w:t>
      </w:r>
      <w:r>
        <w:rPr>
          <w:sz w:val="24"/>
        </w:rPr>
        <w:t>经审计完整的财务报告；</w:t>
      </w:r>
      <w:r>
        <w:rPr>
          <w:rFonts w:hint="eastAsia" w:asciiTheme="minorEastAsia" w:hAnsiTheme="minorEastAsia" w:eastAsiaTheme="minorEastAsia"/>
          <w:color w:val="000000"/>
          <w:sz w:val="24"/>
        </w:rPr>
        <w:t>/或在开标时间前3个月内基本账户开户行开具的银行资信证明（须同时提供开户许可证或基本存款账户信息）；</w:t>
      </w:r>
      <w:r>
        <w:rPr>
          <w:sz w:val="24"/>
        </w:rPr>
        <w:t>/或财政部门认可的政府采购专业担保机构出具的磋商担保函（以上</w:t>
      </w:r>
      <w:r>
        <w:rPr>
          <w:rFonts w:hint="eastAsia"/>
          <w:sz w:val="24"/>
        </w:rPr>
        <w:t>三</w:t>
      </w:r>
      <w:r>
        <w:rPr>
          <w:sz w:val="24"/>
        </w:rPr>
        <w:t>种形式的资料提供任何一种即可）；</w:t>
      </w:r>
    </w:p>
    <w:p w14:paraId="7F5B584B">
      <w:pPr>
        <w:spacing w:line="360" w:lineRule="auto"/>
        <w:jc w:val="left"/>
        <w:rPr>
          <w:sz w:val="24"/>
          <w:szCs w:val="24"/>
        </w:rPr>
      </w:pPr>
      <w:r>
        <w:rPr>
          <w:sz w:val="24"/>
          <w:szCs w:val="24"/>
        </w:rPr>
        <w:t>3.1、依法缴纳税收的良好记录（提供截止至</w:t>
      </w:r>
      <w:r>
        <w:rPr>
          <w:sz w:val="24"/>
        </w:rPr>
        <w:t>磋商响应文件递交截止</w:t>
      </w:r>
      <w:r>
        <w:rPr>
          <w:sz w:val="24"/>
          <w:szCs w:val="24"/>
        </w:rPr>
        <w:t>时间12个月内任一月份的缴费凭据或完税证明，依法免税的单位应提供相关证明材料）；</w:t>
      </w:r>
    </w:p>
    <w:p w14:paraId="46E26392">
      <w:pPr>
        <w:spacing w:line="360" w:lineRule="auto"/>
        <w:jc w:val="left"/>
        <w:rPr>
          <w:sz w:val="24"/>
          <w:szCs w:val="24"/>
        </w:rPr>
      </w:pPr>
      <w:r>
        <w:rPr>
          <w:sz w:val="24"/>
          <w:szCs w:val="24"/>
        </w:rPr>
        <w:t>3.2、依法缴纳社会保障资金的良好记录（提供截止至</w:t>
      </w:r>
      <w:r>
        <w:rPr>
          <w:sz w:val="24"/>
        </w:rPr>
        <w:t>磋商响应文件递交截止</w:t>
      </w:r>
      <w:r>
        <w:rPr>
          <w:sz w:val="24"/>
          <w:szCs w:val="24"/>
        </w:rPr>
        <w:t>时间12个月内任一月份的缴费凭据</w:t>
      </w:r>
      <w:r>
        <w:rPr>
          <w:kern w:val="0"/>
          <w:sz w:val="24"/>
        </w:rPr>
        <w:t>或社保机构开具的社会保险参保缴费情况证明</w:t>
      </w:r>
      <w:r>
        <w:rPr>
          <w:sz w:val="24"/>
          <w:szCs w:val="24"/>
        </w:rPr>
        <w:t>，依法不需要缴纳社会保障资金的单位应提供相关证明材料）；</w:t>
      </w:r>
    </w:p>
    <w:p w14:paraId="484EDC76">
      <w:pPr>
        <w:spacing w:line="360" w:lineRule="auto"/>
        <w:jc w:val="left"/>
        <w:rPr>
          <w:sz w:val="24"/>
          <w:szCs w:val="24"/>
        </w:rPr>
      </w:pPr>
      <w:r>
        <w:rPr>
          <w:sz w:val="24"/>
          <w:szCs w:val="24"/>
        </w:rPr>
        <w:t>4、参加政府采购活动前3年内在经营活动中没有重大违法记录的书面声明（</w:t>
      </w:r>
      <w:r>
        <w:rPr>
          <w:b/>
          <w:sz w:val="24"/>
          <w:szCs w:val="24"/>
        </w:rPr>
        <w:t>原件</w:t>
      </w:r>
      <w:r>
        <w:rPr>
          <w:sz w:val="24"/>
          <w:szCs w:val="24"/>
        </w:rPr>
        <w:t>）；</w:t>
      </w:r>
    </w:p>
    <w:p w14:paraId="6B82973C">
      <w:pPr>
        <w:spacing w:line="360" w:lineRule="auto"/>
        <w:jc w:val="left"/>
        <w:rPr>
          <w:rFonts w:cs="宋体" w:asciiTheme="majorEastAsia" w:hAnsiTheme="majorEastAsia" w:eastAsiaTheme="majorEastAsia"/>
          <w:sz w:val="24"/>
          <w:szCs w:val="24"/>
        </w:rPr>
      </w:pPr>
      <w:r>
        <w:rPr>
          <w:rFonts w:hint="eastAsia" w:eastAsiaTheme="majorEastAsia"/>
          <w:sz w:val="24"/>
          <w:szCs w:val="24"/>
        </w:rPr>
        <w:t>5</w:t>
      </w:r>
      <w:r>
        <w:rPr>
          <w:rFonts w:hint="eastAsia" w:cs="宋体" w:asciiTheme="majorEastAsia" w:hAnsiTheme="majorEastAsia" w:eastAsiaTheme="majorEastAsia"/>
          <w:sz w:val="24"/>
          <w:szCs w:val="24"/>
        </w:rPr>
        <w:t>、供应商信用信息</w:t>
      </w:r>
    </w:p>
    <w:p w14:paraId="3F3C2912">
      <w:pPr>
        <w:shd w:val="clear" w:color="auto" w:fill="FFFFFF"/>
        <w:spacing w:line="360" w:lineRule="auto"/>
        <w:rPr>
          <w:rFonts w:cs="宋体" w:asciiTheme="majorEastAsia" w:hAnsiTheme="majorEastAsia" w:eastAsiaTheme="majorEastAsia"/>
          <w:sz w:val="24"/>
          <w:szCs w:val="24"/>
        </w:rPr>
      </w:pPr>
      <w:r>
        <w:rPr>
          <w:rFonts w:hint="eastAsia" w:cs="宋体" w:asciiTheme="majorEastAsia" w:hAnsiTheme="majorEastAsia" w:eastAsiaTheme="majorEastAsia"/>
          <w:sz w:val="24"/>
          <w:szCs w:val="24"/>
        </w:rPr>
        <w:t xml:space="preserve">  5.1查询渠道：“信用中国”网站（www.creditchina.gov.vn）、中国政府采购网（</w:t>
      </w:r>
      <w:r>
        <w:fldChar w:fldCharType="begin"/>
      </w:r>
      <w:r>
        <w:instrText xml:space="preserve"> HYPERLINK "http://www.ccgp.gov.vn" </w:instrText>
      </w:r>
      <w:r>
        <w:fldChar w:fldCharType="separate"/>
      </w:r>
      <w:r>
        <w:rPr>
          <w:rFonts w:hint="eastAsia" w:cs="宋体" w:asciiTheme="majorEastAsia" w:hAnsiTheme="majorEastAsia" w:eastAsiaTheme="majorEastAsia"/>
          <w:sz w:val="24"/>
          <w:szCs w:val="24"/>
        </w:rPr>
        <w:t>www.ccgp.gov.vn</w:t>
      </w:r>
      <w:r>
        <w:rPr>
          <w:rFonts w:hint="eastAsia" w:cs="宋体" w:asciiTheme="majorEastAsia" w:hAnsiTheme="majorEastAsia" w:eastAsiaTheme="majorEastAsia"/>
          <w:sz w:val="24"/>
          <w:szCs w:val="24"/>
        </w:rPr>
        <w:fldChar w:fldCharType="end"/>
      </w:r>
      <w:r>
        <w:rPr>
          <w:rFonts w:hint="eastAsia" w:cs="宋体" w:asciiTheme="majorEastAsia" w:hAnsiTheme="majorEastAsia" w:eastAsiaTheme="majorEastAsia"/>
          <w:sz w:val="24"/>
          <w:szCs w:val="24"/>
        </w:rPr>
        <w:t>）；以现场查询为准。</w:t>
      </w:r>
    </w:p>
    <w:p w14:paraId="07E528D0">
      <w:pPr>
        <w:shd w:val="clear" w:color="auto" w:fill="FFFFFF"/>
        <w:spacing w:line="360" w:lineRule="auto"/>
        <w:ind w:firstLine="240" w:firstLineChars="100"/>
        <w:rPr>
          <w:rFonts w:cs="宋体" w:asciiTheme="majorEastAsia" w:hAnsiTheme="majorEastAsia" w:eastAsiaTheme="majorEastAsia"/>
          <w:sz w:val="24"/>
          <w:szCs w:val="24"/>
        </w:rPr>
      </w:pPr>
      <w:r>
        <w:rPr>
          <w:rFonts w:hint="eastAsia" w:cs="宋体" w:asciiTheme="majorEastAsia" w:hAnsiTheme="majorEastAsia" w:eastAsiaTheme="majorEastAsia"/>
          <w:sz w:val="24"/>
          <w:szCs w:val="24"/>
        </w:rPr>
        <w:t>5.2  截止时点：磋商截止时间；</w:t>
      </w:r>
    </w:p>
    <w:p w14:paraId="530107FB">
      <w:pPr>
        <w:shd w:val="clear" w:color="auto" w:fill="FFFFFF"/>
        <w:spacing w:line="360" w:lineRule="auto"/>
        <w:rPr>
          <w:rFonts w:cs="宋体" w:asciiTheme="majorEastAsia" w:hAnsiTheme="majorEastAsia" w:eastAsiaTheme="majorEastAsia"/>
          <w:sz w:val="24"/>
          <w:szCs w:val="24"/>
        </w:rPr>
      </w:pPr>
      <w:r>
        <w:rPr>
          <w:rFonts w:hint="eastAsia" w:cs="宋体" w:asciiTheme="majorEastAsia" w:hAnsiTheme="majorEastAsia" w:eastAsiaTheme="majorEastAsia"/>
          <w:sz w:val="24"/>
          <w:szCs w:val="24"/>
        </w:rPr>
        <w:t xml:space="preserve">  5.3  信用信息查询记录和证据留存的具体方式：网上查询结果打印。</w:t>
      </w:r>
    </w:p>
    <w:p w14:paraId="05EFAF1B">
      <w:pPr>
        <w:shd w:val="clear" w:color="auto" w:fill="FFFFFF"/>
        <w:spacing w:line="360" w:lineRule="auto"/>
        <w:rPr>
          <w:rFonts w:cs="宋体" w:asciiTheme="majorEastAsia" w:hAnsiTheme="majorEastAsia" w:eastAsiaTheme="majorEastAsia"/>
          <w:sz w:val="24"/>
          <w:szCs w:val="24"/>
        </w:rPr>
      </w:pPr>
      <w:r>
        <w:rPr>
          <w:rFonts w:hint="eastAsia" w:cs="宋体" w:asciiTheme="majorEastAsia" w:hAnsiTheme="majorEastAsia" w:eastAsiaTheme="majorEastAsia"/>
          <w:sz w:val="24"/>
          <w:szCs w:val="24"/>
        </w:rPr>
        <w:t xml:space="preserve">  5.4  信用信息的使用规则：凡在截止时点内，列入失信被执行人、重大税收违法案件当事人名单、政府采购严重违法失信行为记录名单的供应商，其磋商响应视为无效；联合体磋商时，联合体成员存在不良信用记录的，视同联合体存在不良信用记录，其磋商响应视为无效。</w:t>
      </w:r>
    </w:p>
    <w:p w14:paraId="30E1E4F6">
      <w:pPr>
        <w:shd w:val="clear" w:color="auto" w:fill="FFFFFF"/>
        <w:spacing w:line="440" w:lineRule="exact"/>
        <w:ind w:left="361" w:hanging="361" w:hangingChars="150"/>
        <w:rPr>
          <w:b/>
          <w:bCs/>
          <w:sz w:val="24"/>
          <w:szCs w:val="24"/>
        </w:rPr>
      </w:pPr>
    </w:p>
    <w:p w14:paraId="0FEFC7DF">
      <w:pPr>
        <w:spacing w:line="360" w:lineRule="auto"/>
        <w:rPr>
          <w:rFonts w:eastAsiaTheme="majorEastAsia"/>
          <w:b/>
          <w:sz w:val="24"/>
          <w:szCs w:val="24"/>
        </w:rPr>
      </w:pPr>
      <w:r>
        <w:rPr>
          <w:rFonts w:eastAsiaTheme="majorEastAsia"/>
          <w:b/>
          <w:sz w:val="24"/>
          <w:szCs w:val="24"/>
        </w:rPr>
        <w:t>注：1.以上资格证明文件供应商必须完全提供，并装订在响应文件中。一项不合格即按照无效响应处理。</w:t>
      </w:r>
    </w:p>
    <w:p w14:paraId="350E95E1">
      <w:pPr>
        <w:shd w:val="clear" w:color="auto" w:fill="FFFFFF"/>
        <w:spacing w:line="440" w:lineRule="exact"/>
        <w:ind w:left="361" w:hanging="361" w:hangingChars="150"/>
        <w:rPr>
          <w:sz w:val="24"/>
          <w:szCs w:val="24"/>
        </w:rPr>
      </w:pPr>
      <w:r>
        <w:rPr>
          <w:rFonts w:eastAsiaTheme="majorEastAsia"/>
          <w:b/>
          <w:sz w:val="24"/>
          <w:szCs w:val="24"/>
        </w:rPr>
        <w:t>2.除注明原件外，均为复印件。</w:t>
      </w:r>
    </w:p>
    <w:p w14:paraId="7F221BA9">
      <w:pPr>
        <w:shd w:val="clear" w:color="auto" w:fill="FFFFFF"/>
        <w:spacing w:before="240" w:line="360" w:lineRule="auto"/>
        <w:rPr>
          <w:sz w:val="24"/>
          <w:szCs w:val="24"/>
        </w:rPr>
      </w:pPr>
      <w:r>
        <w:rPr>
          <w:sz w:val="24"/>
          <w:szCs w:val="24"/>
        </w:rPr>
        <w:t>供应商应按照磋商文件的要求自行准备以上证明文件并编目、封装。</w:t>
      </w:r>
    </w:p>
    <w:p w14:paraId="53E0A2C6">
      <w:pPr>
        <w:shd w:val="clear" w:color="auto" w:fill="FFFFFF"/>
        <w:spacing w:line="440" w:lineRule="exact"/>
        <w:rPr>
          <w:spacing w:val="4"/>
          <w:sz w:val="24"/>
          <w:szCs w:val="24"/>
        </w:rPr>
      </w:pPr>
      <w:r>
        <w:rPr>
          <w:sz w:val="24"/>
          <w:szCs w:val="24"/>
        </w:rPr>
        <w:t>（注：除要求在磋商报价时一并提交的原件外，所有要求在磋商响应文件中提供复印件的文件，在评审过程中，竞争性磋商小组可随时要求查验原件，供应商不得拒绝，否则其磋商响应文件将按照无效响应处理。）</w:t>
      </w:r>
    </w:p>
    <w:p w14:paraId="7F0F9858">
      <w:pPr>
        <w:shd w:val="clear" w:color="auto" w:fill="FFFFFF"/>
        <w:spacing w:line="360" w:lineRule="auto"/>
        <w:ind w:left="1"/>
        <w:jc w:val="center"/>
        <w:rPr>
          <w:b/>
          <w:sz w:val="36"/>
          <w:szCs w:val="36"/>
        </w:rPr>
      </w:pPr>
      <w:r>
        <w:rPr>
          <w:b/>
          <w:sz w:val="30"/>
          <w:szCs w:val="30"/>
        </w:rPr>
        <w:br w:type="page"/>
      </w:r>
    </w:p>
    <w:p w14:paraId="4C3DCF88">
      <w:pPr>
        <w:shd w:val="clear" w:color="auto" w:fill="FFFFFF"/>
        <w:spacing w:line="360" w:lineRule="auto"/>
        <w:ind w:left="1"/>
        <w:jc w:val="left"/>
        <w:rPr>
          <w:b/>
          <w:sz w:val="24"/>
          <w:szCs w:val="24"/>
        </w:rPr>
      </w:pPr>
      <w:r>
        <w:rPr>
          <w:b/>
          <w:sz w:val="24"/>
          <w:szCs w:val="24"/>
        </w:rPr>
        <w:t xml:space="preserve">附件1： </w:t>
      </w:r>
    </w:p>
    <w:p w14:paraId="7A319AA6">
      <w:pPr>
        <w:shd w:val="clear" w:color="auto" w:fill="FFFFFF"/>
        <w:spacing w:line="360" w:lineRule="auto"/>
        <w:ind w:left="1"/>
        <w:jc w:val="left"/>
        <w:rPr>
          <w:b/>
          <w:sz w:val="36"/>
          <w:szCs w:val="36"/>
        </w:rPr>
      </w:pPr>
    </w:p>
    <w:p w14:paraId="44DFE878">
      <w:pPr>
        <w:shd w:val="clear" w:color="auto" w:fill="FFFFFF"/>
        <w:spacing w:line="360" w:lineRule="auto"/>
        <w:ind w:left="1"/>
        <w:jc w:val="center"/>
        <w:rPr>
          <w:b/>
          <w:sz w:val="24"/>
          <w:szCs w:val="24"/>
        </w:rPr>
      </w:pPr>
      <w:r>
        <w:rPr>
          <w:b/>
          <w:sz w:val="24"/>
          <w:szCs w:val="24"/>
        </w:rPr>
        <w:t>供应商无重大违法记录的书面声明格式</w:t>
      </w:r>
    </w:p>
    <w:p w14:paraId="200E046D">
      <w:pPr>
        <w:shd w:val="clear" w:color="auto" w:fill="FFFFFF"/>
        <w:spacing w:line="360" w:lineRule="auto"/>
        <w:rPr>
          <w:b/>
          <w:spacing w:val="4"/>
          <w:sz w:val="30"/>
          <w:szCs w:val="30"/>
          <w:u w:val="single"/>
        </w:rPr>
      </w:pPr>
    </w:p>
    <w:p w14:paraId="1772D9DC">
      <w:pPr>
        <w:shd w:val="clear" w:color="auto" w:fill="FFFFFF"/>
        <w:spacing w:line="360" w:lineRule="auto"/>
        <w:rPr>
          <w:spacing w:val="4"/>
          <w:sz w:val="24"/>
          <w:szCs w:val="24"/>
          <w:u w:val="single"/>
        </w:rPr>
      </w:pPr>
      <w:r>
        <w:rPr>
          <w:spacing w:val="4"/>
          <w:sz w:val="24"/>
          <w:szCs w:val="24"/>
          <w:u w:val="single"/>
        </w:rPr>
        <w:t xml:space="preserve">致：（采购人名称） </w:t>
      </w:r>
      <w:r>
        <w:rPr>
          <w:spacing w:val="4"/>
          <w:sz w:val="24"/>
          <w:szCs w:val="24"/>
        </w:rPr>
        <w:t>：</w:t>
      </w:r>
    </w:p>
    <w:p w14:paraId="66E15F05">
      <w:pPr>
        <w:shd w:val="clear" w:color="auto" w:fill="FFFFFF"/>
        <w:spacing w:before="312" w:beforeLines="100" w:after="156" w:afterLines="50" w:line="360" w:lineRule="auto"/>
        <w:ind w:firstLine="170"/>
        <w:rPr>
          <w:spacing w:val="4"/>
          <w:sz w:val="24"/>
          <w:szCs w:val="24"/>
        </w:rPr>
      </w:pPr>
      <w:r>
        <w:rPr>
          <w:spacing w:val="4"/>
          <w:sz w:val="24"/>
          <w:szCs w:val="24"/>
        </w:rPr>
        <w:t xml:space="preserve"> （</w:t>
      </w:r>
      <w:r>
        <w:rPr>
          <w:spacing w:val="4"/>
          <w:sz w:val="24"/>
          <w:szCs w:val="24"/>
          <w:u w:val="single"/>
        </w:rPr>
        <w:t>供应商名称</w:t>
      </w:r>
      <w:r>
        <w:rPr>
          <w:spacing w:val="4"/>
          <w:sz w:val="24"/>
          <w:szCs w:val="24"/>
        </w:rPr>
        <w:t>）为在中华人民共和国境内合法注册并经营的机构。在此郑重声明，我公司在参与本次政府采购活动前3年内在经营活动中没有重大违法记录。</w:t>
      </w:r>
    </w:p>
    <w:p w14:paraId="57AB4ED9">
      <w:pPr>
        <w:shd w:val="clear" w:color="auto" w:fill="FFFFFF"/>
        <w:spacing w:before="312" w:beforeLines="100" w:after="156" w:afterLines="50" w:line="360" w:lineRule="auto"/>
        <w:ind w:firstLine="170"/>
        <w:rPr>
          <w:spacing w:val="4"/>
          <w:sz w:val="24"/>
          <w:szCs w:val="24"/>
        </w:rPr>
      </w:pPr>
    </w:p>
    <w:p w14:paraId="62C79DA0">
      <w:pPr>
        <w:shd w:val="clear" w:color="auto" w:fill="FFFFFF"/>
        <w:spacing w:before="312" w:beforeLines="100" w:after="156" w:afterLines="50" w:line="360" w:lineRule="auto"/>
        <w:ind w:firstLine="170"/>
        <w:rPr>
          <w:spacing w:val="4"/>
          <w:sz w:val="24"/>
          <w:szCs w:val="24"/>
        </w:rPr>
      </w:pPr>
    </w:p>
    <w:p w14:paraId="79B192FE">
      <w:pPr>
        <w:shd w:val="clear" w:color="auto" w:fill="FFFFFF"/>
        <w:spacing w:before="312" w:beforeLines="100" w:after="156" w:afterLines="50" w:line="360" w:lineRule="auto"/>
        <w:ind w:firstLine="170"/>
        <w:rPr>
          <w:spacing w:val="4"/>
          <w:sz w:val="24"/>
          <w:szCs w:val="24"/>
        </w:rPr>
      </w:pPr>
    </w:p>
    <w:p w14:paraId="7DDE079F">
      <w:pPr>
        <w:shd w:val="clear" w:color="auto" w:fill="FFFFFF"/>
        <w:spacing w:before="312" w:beforeLines="100" w:after="156" w:afterLines="50" w:line="360" w:lineRule="auto"/>
        <w:ind w:firstLine="170"/>
        <w:rPr>
          <w:spacing w:val="4"/>
          <w:sz w:val="24"/>
          <w:szCs w:val="24"/>
        </w:rPr>
      </w:pPr>
    </w:p>
    <w:p w14:paraId="37D6F91A">
      <w:pPr>
        <w:shd w:val="clear" w:color="auto" w:fill="FFFFFF"/>
        <w:spacing w:before="312" w:beforeLines="100" w:after="156" w:afterLines="50" w:line="360" w:lineRule="auto"/>
        <w:ind w:firstLine="1984" w:firstLineChars="800"/>
        <w:jc w:val="left"/>
        <w:rPr>
          <w:spacing w:val="14"/>
          <w:kern w:val="0"/>
          <w:sz w:val="24"/>
        </w:rPr>
      </w:pPr>
      <w:r>
        <w:rPr>
          <w:spacing w:val="4"/>
          <w:sz w:val="24"/>
          <w:szCs w:val="24"/>
        </w:rPr>
        <w:t>供应商名称（盖章）：</w:t>
      </w:r>
      <w:r>
        <w:rPr>
          <w:spacing w:val="14"/>
          <w:kern w:val="0"/>
          <w:sz w:val="24"/>
          <w:u w:val="single"/>
        </w:rPr>
        <w:t>（单位全称）</w:t>
      </w:r>
    </w:p>
    <w:p w14:paraId="6CB6839F">
      <w:pPr>
        <w:shd w:val="clear" w:color="auto" w:fill="FFFFFF"/>
        <w:spacing w:before="312" w:beforeLines="100" w:after="156" w:afterLines="50" w:line="360" w:lineRule="auto"/>
        <w:ind w:firstLine="2144" w:firstLineChars="800"/>
        <w:jc w:val="left"/>
        <w:rPr>
          <w:spacing w:val="14"/>
          <w:kern w:val="0"/>
          <w:sz w:val="24"/>
        </w:rPr>
      </w:pPr>
    </w:p>
    <w:p w14:paraId="27C32720">
      <w:pPr>
        <w:shd w:val="clear" w:color="auto" w:fill="FFFFFF"/>
        <w:spacing w:before="312" w:beforeLines="100" w:after="156" w:afterLines="50" w:line="360" w:lineRule="auto"/>
        <w:ind w:firstLine="1920" w:firstLineChars="800"/>
        <w:jc w:val="left"/>
        <w:rPr>
          <w:spacing w:val="4"/>
          <w:sz w:val="24"/>
          <w:szCs w:val="24"/>
          <w:u w:val="single"/>
        </w:rPr>
      </w:pPr>
      <w:r>
        <w:rPr>
          <w:sz w:val="24"/>
        </w:rPr>
        <w:t>法定代表人（单位负责人）</w:t>
      </w:r>
      <w:r>
        <w:rPr>
          <w:spacing w:val="4"/>
          <w:sz w:val="24"/>
          <w:szCs w:val="24"/>
        </w:rPr>
        <w:t>（签字或盖章）：</w:t>
      </w:r>
    </w:p>
    <w:p w14:paraId="54FBEB52">
      <w:pPr>
        <w:shd w:val="clear" w:color="auto" w:fill="FFFFFF"/>
        <w:spacing w:before="312" w:beforeLines="100" w:after="156" w:afterLines="50" w:line="360" w:lineRule="auto"/>
        <w:ind w:firstLine="4712" w:firstLineChars="1900"/>
        <w:jc w:val="left"/>
        <w:rPr>
          <w:spacing w:val="4"/>
          <w:sz w:val="24"/>
          <w:szCs w:val="24"/>
        </w:rPr>
      </w:pPr>
    </w:p>
    <w:p w14:paraId="434C3178">
      <w:pPr>
        <w:shd w:val="clear" w:color="auto" w:fill="FFFFFF"/>
        <w:spacing w:line="360" w:lineRule="auto"/>
        <w:ind w:left="1"/>
        <w:jc w:val="center"/>
        <w:rPr>
          <w:spacing w:val="4"/>
          <w:sz w:val="24"/>
          <w:szCs w:val="24"/>
        </w:rPr>
      </w:pPr>
      <w:r>
        <w:rPr>
          <w:spacing w:val="4"/>
          <w:sz w:val="24"/>
          <w:szCs w:val="24"/>
        </w:rPr>
        <w:t xml:space="preserve">     日期：   年     月    日</w:t>
      </w:r>
    </w:p>
    <w:p w14:paraId="1C8C5FF8">
      <w:pPr>
        <w:shd w:val="clear" w:color="auto" w:fill="FFFFFF"/>
        <w:spacing w:line="360" w:lineRule="auto"/>
        <w:ind w:left="1"/>
        <w:jc w:val="center"/>
        <w:rPr>
          <w:spacing w:val="4"/>
          <w:sz w:val="24"/>
          <w:szCs w:val="24"/>
        </w:rPr>
      </w:pPr>
    </w:p>
    <w:p w14:paraId="45422A2C">
      <w:pPr>
        <w:shd w:val="clear" w:color="auto" w:fill="FFFFFF"/>
        <w:spacing w:line="360" w:lineRule="auto"/>
        <w:ind w:left="1"/>
        <w:jc w:val="center"/>
        <w:rPr>
          <w:spacing w:val="4"/>
          <w:sz w:val="24"/>
          <w:szCs w:val="24"/>
        </w:rPr>
      </w:pPr>
    </w:p>
    <w:p w14:paraId="7595D3A1">
      <w:pPr>
        <w:shd w:val="clear" w:color="auto" w:fill="FFFFFF"/>
        <w:spacing w:line="360" w:lineRule="auto"/>
      </w:pPr>
    </w:p>
    <w:p w14:paraId="22669BF3">
      <w:pPr>
        <w:spacing w:line="360" w:lineRule="auto"/>
        <w:rPr>
          <w:b/>
          <w:sz w:val="30"/>
          <w:szCs w:val="30"/>
        </w:rPr>
      </w:pPr>
      <w:r>
        <w:rPr>
          <w:spacing w:val="4"/>
          <w:sz w:val="24"/>
          <w:szCs w:val="24"/>
        </w:rPr>
        <w:br w:type="page"/>
      </w:r>
      <w:r>
        <w:rPr>
          <w:b/>
          <w:sz w:val="30"/>
          <w:szCs w:val="30"/>
        </w:rPr>
        <w:t>附件2：</w:t>
      </w:r>
    </w:p>
    <w:p w14:paraId="063D4A27">
      <w:pPr>
        <w:spacing w:line="360" w:lineRule="auto"/>
        <w:ind w:left="1"/>
        <w:jc w:val="center"/>
        <w:rPr>
          <w:b/>
          <w:sz w:val="36"/>
          <w:szCs w:val="36"/>
        </w:rPr>
      </w:pPr>
    </w:p>
    <w:p w14:paraId="4C211FAA">
      <w:pPr>
        <w:spacing w:line="360" w:lineRule="auto"/>
        <w:ind w:left="1"/>
        <w:jc w:val="center"/>
        <w:rPr>
          <w:b/>
          <w:sz w:val="36"/>
          <w:szCs w:val="36"/>
        </w:rPr>
      </w:pPr>
      <w:r>
        <w:rPr>
          <w:b/>
          <w:sz w:val="36"/>
          <w:szCs w:val="36"/>
        </w:rPr>
        <w:t>供应商具有履行本合同所必需的</w:t>
      </w:r>
    </w:p>
    <w:p w14:paraId="1B41D037">
      <w:pPr>
        <w:spacing w:line="360" w:lineRule="auto"/>
        <w:ind w:left="1"/>
        <w:jc w:val="center"/>
        <w:rPr>
          <w:b/>
          <w:sz w:val="36"/>
          <w:szCs w:val="36"/>
        </w:rPr>
      </w:pPr>
      <w:r>
        <w:rPr>
          <w:b/>
          <w:sz w:val="36"/>
          <w:szCs w:val="36"/>
        </w:rPr>
        <w:t>设备和专业技术能力的说明及承诺</w:t>
      </w:r>
    </w:p>
    <w:p w14:paraId="2C1DCC0F">
      <w:pPr>
        <w:spacing w:line="360" w:lineRule="auto"/>
        <w:rPr>
          <w:spacing w:val="4"/>
          <w:sz w:val="24"/>
          <w:szCs w:val="24"/>
          <w:u w:val="single"/>
        </w:rPr>
      </w:pPr>
    </w:p>
    <w:p w14:paraId="2279B9AA">
      <w:pPr>
        <w:spacing w:line="360" w:lineRule="auto"/>
        <w:rPr>
          <w:spacing w:val="4"/>
          <w:sz w:val="24"/>
          <w:szCs w:val="24"/>
          <w:u w:val="single"/>
        </w:rPr>
      </w:pPr>
      <w:r>
        <w:rPr>
          <w:spacing w:val="4"/>
          <w:sz w:val="24"/>
          <w:szCs w:val="24"/>
          <w:u w:val="single"/>
        </w:rPr>
        <w:t>致：（采购人名称）：</w:t>
      </w:r>
    </w:p>
    <w:p w14:paraId="7371C7AF">
      <w:pPr>
        <w:spacing w:before="312" w:beforeLines="100" w:after="156" w:afterLines="50" w:line="360" w:lineRule="auto"/>
        <w:ind w:firstLine="170"/>
        <w:rPr>
          <w:spacing w:val="4"/>
          <w:sz w:val="24"/>
          <w:szCs w:val="24"/>
        </w:rPr>
      </w:pPr>
      <w:r>
        <w:rPr>
          <w:spacing w:val="4"/>
          <w:sz w:val="24"/>
          <w:szCs w:val="24"/>
        </w:rPr>
        <w:t xml:space="preserve">    （</w:t>
      </w:r>
      <w:r>
        <w:rPr>
          <w:spacing w:val="4"/>
          <w:sz w:val="24"/>
          <w:szCs w:val="24"/>
          <w:u w:val="single"/>
        </w:rPr>
        <w:t xml:space="preserve">               公司</w:t>
      </w:r>
      <w:r>
        <w:rPr>
          <w:spacing w:val="4"/>
          <w:sz w:val="24"/>
          <w:szCs w:val="24"/>
        </w:rPr>
        <w:t>）于      年  月  日在中华人民共和国境内（详细注册地址）合法注册并经营，公司主营业务为（         ），营业（生产经营）面积为（        ），现有员工数量为（       ），其中与履行本合同相关的专业技术人员有（专业能力、数量），本公司郑重承诺，具有履行本合同所必需的设备和专业技术能力。</w:t>
      </w:r>
    </w:p>
    <w:p w14:paraId="4B1CA6F8">
      <w:pPr>
        <w:spacing w:before="312" w:beforeLines="100" w:after="156" w:afterLines="50" w:line="360" w:lineRule="auto"/>
        <w:ind w:firstLine="170"/>
        <w:rPr>
          <w:spacing w:val="4"/>
          <w:sz w:val="24"/>
          <w:szCs w:val="24"/>
        </w:rPr>
      </w:pPr>
    </w:p>
    <w:p w14:paraId="6FDF377F">
      <w:pPr>
        <w:spacing w:before="312" w:beforeLines="100" w:after="156" w:afterLines="50" w:line="360" w:lineRule="auto"/>
        <w:ind w:firstLine="2480" w:firstLineChars="1000"/>
        <w:jc w:val="left"/>
        <w:rPr>
          <w:spacing w:val="4"/>
          <w:sz w:val="24"/>
          <w:szCs w:val="24"/>
        </w:rPr>
      </w:pPr>
    </w:p>
    <w:p w14:paraId="36FBDA3B">
      <w:pPr>
        <w:spacing w:before="312" w:beforeLines="100" w:after="156" w:afterLines="50" w:line="360" w:lineRule="auto"/>
        <w:ind w:firstLine="2551" w:firstLineChars="1029"/>
        <w:jc w:val="left"/>
        <w:rPr>
          <w:spacing w:val="14"/>
          <w:kern w:val="0"/>
          <w:sz w:val="24"/>
        </w:rPr>
      </w:pPr>
      <w:r>
        <w:rPr>
          <w:spacing w:val="4"/>
          <w:sz w:val="24"/>
          <w:szCs w:val="24"/>
        </w:rPr>
        <w:t>供应商名称（盖章）：</w:t>
      </w:r>
      <w:r>
        <w:rPr>
          <w:spacing w:val="14"/>
          <w:kern w:val="0"/>
          <w:sz w:val="24"/>
          <w:u w:val="single"/>
        </w:rPr>
        <w:t>（单位全称）</w:t>
      </w:r>
    </w:p>
    <w:p w14:paraId="479B6DD3">
      <w:pPr>
        <w:spacing w:before="312" w:beforeLines="100" w:after="156" w:afterLines="50" w:line="360" w:lineRule="auto"/>
        <w:ind w:firstLine="2757" w:firstLineChars="1029"/>
        <w:jc w:val="left"/>
        <w:rPr>
          <w:spacing w:val="14"/>
          <w:kern w:val="0"/>
          <w:sz w:val="24"/>
        </w:rPr>
      </w:pPr>
    </w:p>
    <w:p w14:paraId="4DD7346F">
      <w:pPr>
        <w:spacing w:before="312" w:beforeLines="100" w:after="156" w:afterLines="50" w:line="360" w:lineRule="auto"/>
        <w:ind w:firstLine="2551" w:firstLineChars="1029"/>
        <w:jc w:val="left"/>
        <w:rPr>
          <w:spacing w:val="4"/>
          <w:sz w:val="24"/>
          <w:szCs w:val="24"/>
        </w:rPr>
      </w:pPr>
      <w:r>
        <w:rPr>
          <w:spacing w:val="4"/>
          <w:sz w:val="24"/>
          <w:szCs w:val="24"/>
        </w:rPr>
        <w:t>法定代表人（签字或盖章）：</w:t>
      </w:r>
    </w:p>
    <w:p w14:paraId="243CF94C">
      <w:pPr>
        <w:spacing w:line="360" w:lineRule="auto"/>
        <w:ind w:left="1"/>
        <w:jc w:val="center"/>
        <w:rPr>
          <w:spacing w:val="4"/>
          <w:sz w:val="24"/>
          <w:szCs w:val="24"/>
        </w:rPr>
      </w:pPr>
    </w:p>
    <w:p w14:paraId="6C55E8F6">
      <w:pPr>
        <w:spacing w:line="360" w:lineRule="auto"/>
        <w:ind w:left="1"/>
        <w:jc w:val="center"/>
        <w:rPr>
          <w:spacing w:val="4"/>
          <w:sz w:val="24"/>
          <w:szCs w:val="24"/>
        </w:rPr>
      </w:pPr>
    </w:p>
    <w:p w14:paraId="090345DE">
      <w:pPr>
        <w:spacing w:line="360" w:lineRule="auto"/>
        <w:ind w:left="1"/>
        <w:jc w:val="center"/>
        <w:rPr>
          <w:spacing w:val="4"/>
          <w:sz w:val="24"/>
          <w:szCs w:val="24"/>
        </w:rPr>
      </w:pPr>
      <w:r>
        <w:rPr>
          <w:spacing w:val="4"/>
          <w:sz w:val="24"/>
          <w:szCs w:val="24"/>
        </w:rPr>
        <w:t xml:space="preserve">                                   日期：   年    月   日</w:t>
      </w:r>
    </w:p>
    <w:p w14:paraId="217B17FC">
      <w:pPr>
        <w:widowControl/>
        <w:jc w:val="left"/>
        <w:rPr>
          <w:spacing w:val="4"/>
          <w:sz w:val="24"/>
          <w:szCs w:val="24"/>
        </w:rPr>
      </w:pPr>
    </w:p>
    <w:p w14:paraId="00F596AF">
      <w:pPr>
        <w:widowControl/>
        <w:jc w:val="left"/>
        <w:rPr>
          <w:b/>
          <w:sz w:val="32"/>
          <w:szCs w:val="32"/>
        </w:rPr>
      </w:pPr>
      <w:r>
        <w:rPr>
          <w:b/>
          <w:sz w:val="32"/>
          <w:szCs w:val="32"/>
        </w:rPr>
        <w:br w:type="page"/>
      </w:r>
    </w:p>
    <w:p w14:paraId="66B991EF">
      <w:pPr>
        <w:spacing w:line="360" w:lineRule="auto"/>
        <w:ind w:left="1"/>
        <w:jc w:val="left"/>
        <w:rPr>
          <w:b/>
          <w:sz w:val="36"/>
          <w:szCs w:val="36"/>
        </w:rPr>
      </w:pPr>
      <w:r>
        <w:rPr>
          <w:b/>
          <w:sz w:val="30"/>
          <w:szCs w:val="30"/>
        </w:rPr>
        <w:t>附件3：</w:t>
      </w:r>
    </w:p>
    <w:p w14:paraId="3C261258">
      <w:pPr>
        <w:spacing w:before="14" w:line="326" w:lineRule="auto"/>
        <w:jc w:val="center"/>
        <w:rPr>
          <w:b/>
          <w:bCs/>
          <w:w w:val="99"/>
          <w:sz w:val="28"/>
          <w:szCs w:val="28"/>
        </w:rPr>
      </w:pPr>
      <w:r>
        <w:rPr>
          <w:b/>
          <w:bCs/>
          <w:sz w:val="28"/>
          <w:szCs w:val="28"/>
        </w:rPr>
        <w:t>中小企业声明函</w:t>
      </w:r>
    </w:p>
    <w:p w14:paraId="7691F436">
      <w:pPr>
        <w:spacing w:line="360" w:lineRule="auto"/>
        <w:ind w:firstLine="496" w:firstLineChars="200"/>
        <w:rPr>
          <w:spacing w:val="4"/>
          <w:sz w:val="24"/>
          <w:szCs w:val="24"/>
        </w:rPr>
      </w:pPr>
      <w:r>
        <w:rPr>
          <w:spacing w:val="4"/>
          <w:sz w:val="24"/>
          <w:szCs w:val="24"/>
        </w:rPr>
        <w:t>本公司郑重声明，根据《政府采购促进中小企业发展管理办法》（财库﹝2020﹞46号）的规定，本公司参加</w:t>
      </w:r>
      <w:r>
        <w:rPr>
          <w:spacing w:val="4"/>
          <w:sz w:val="24"/>
          <w:szCs w:val="24"/>
          <w:u w:val="single"/>
        </w:rPr>
        <w:t xml:space="preserve">           （项目名称）</w:t>
      </w:r>
      <w:r>
        <w:rPr>
          <w:spacing w:val="4"/>
          <w:sz w:val="24"/>
          <w:szCs w:val="24"/>
        </w:rPr>
        <w:t>采购活动，服务全部由符合政策要求的中小企业承接。相关企业（含联合体中的中小企业、签订分包意向协议的中小企业）的具体情况如下：</w:t>
      </w:r>
    </w:p>
    <w:p w14:paraId="1928F709">
      <w:pPr>
        <w:spacing w:line="360" w:lineRule="auto"/>
        <w:ind w:firstLine="496" w:firstLineChars="200"/>
        <w:rPr>
          <w:spacing w:val="4"/>
          <w:sz w:val="24"/>
          <w:szCs w:val="24"/>
        </w:rPr>
      </w:pPr>
      <w:r>
        <w:rPr>
          <w:spacing w:val="4"/>
          <w:sz w:val="24"/>
          <w:szCs w:val="24"/>
        </w:rPr>
        <w:t>1、</w:t>
      </w:r>
      <w:r>
        <w:rPr>
          <w:spacing w:val="4"/>
          <w:sz w:val="24"/>
          <w:szCs w:val="24"/>
          <w:u w:val="single"/>
        </w:rPr>
        <w:t xml:space="preserve">     （标的名称）</w:t>
      </w:r>
      <w:r>
        <w:rPr>
          <w:spacing w:val="4"/>
          <w:sz w:val="24"/>
          <w:szCs w:val="24"/>
        </w:rPr>
        <w:t>，属于《中小企业划型标准规定》中的</w:t>
      </w:r>
      <w:r>
        <w:rPr>
          <w:spacing w:val="4"/>
          <w:sz w:val="24"/>
          <w:szCs w:val="24"/>
          <w:u w:val="single"/>
        </w:rPr>
        <w:t xml:space="preserve">    （采购文件中明确的所属行业）</w:t>
      </w:r>
      <w:r>
        <w:rPr>
          <w:spacing w:val="4"/>
          <w:sz w:val="24"/>
          <w:szCs w:val="24"/>
        </w:rPr>
        <w:t>；承接企业为</w:t>
      </w:r>
      <w:r>
        <w:rPr>
          <w:spacing w:val="4"/>
          <w:sz w:val="24"/>
          <w:szCs w:val="24"/>
          <w:u w:val="single"/>
        </w:rPr>
        <w:t xml:space="preserve">         （企业名称）  </w:t>
      </w:r>
      <w:r>
        <w:rPr>
          <w:spacing w:val="4"/>
          <w:sz w:val="24"/>
          <w:szCs w:val="24"/>
        </w:rPr>
        <w:t>，从业人员</w:t>
      </w:r>
      <w:r>
        <w:rPr>
          <w:spacing w:val="4"/>
          <w:sz w:val="24"/>
          <w:szCs w:val="24"/>
          <w:u w:val="single"/>
        </w:rPr>
        <w:t xml:space="preserve">  （） </w:t>
      </w:r>
      <w:r>
        <w:rPr>
          <w:spacing w:val="4"/>
          <w:sz w:val="24"/>
          <w:szCs w:val="24"/>
        </w:rPr>
        <w:t>人，营业收入为</w:t>
      </w:r>
      <w:r>
        <w:rPr>
          <w:spacing w:val="4"/>
          <w:sz w:val="24"/>
          <w:szCs w:val="24"/>
          <w:u w:val="single"/>
        </w:rPr>
        <w:t xml:space="preserve">  （）  </w:t>
      </w:r>
      <w:r>
        <w:rPr>
          <w:spacing w:val="4"/>
          <w:sz w:val="24"/>
          <w:szCs w:val="24"/>
        </w:rPr>
        <w:t>万元，资产总额为</w:t>
      </w:r>
      <w:r>
        <w:rPr>
          <w:spacing w:val="4"/>
          <w:sz w:val="24"/>
          <w:szCs w:val="24"/>
          <w:u w:val="single"/>
        </w:rPr>
        <w:t xml:space="preserve"> （） </w:t>
      </w:r>
      <w:r>
        <w:rPr>
          <w:spacing w:val="4"/>
          <w:sz w:val="24"/>
          <w:szCs w:val="24"/>
        </w:rPr>
        <w:t>万元</w:t>
      </w:r>
      <w:r>
        <w:rPr>
          <w:spacing w:val="4"/>
          <w:sz w:val="24"/>
          <w:szCs w:val="24"/>
          <w:vertAlign w:val="superscript"/>
        </w:rPr>
        <w:t>1</w:t>
      </w:r>
      <w:r>
        <w:rPr>
          <w:spacing w:val="4"/>
          <w:sz w:val="24"/>
          <w:szCs w:val="24"/>
        </w:rPr>
        <w:t>，属于</w:t>
      </w:r>
      <w:r>
        <w:rPr>
          <w:spacing w:val="4"/>
          <w:sz w:val="24"/>
          <w:szCs w:val="24"/>
          <w:u w:val="single"/>
        </w:rPr>
        <w:t xml:space="preserve">     （中型企业、小型企业、微型企业）</w:t>
      </w:r>
      <w:r>
        <w:rPr>
          <w:spacing w:val="4"/>
          <w:sz w:val="24"/>
          <w:szCs w:val="24"/>
        </w:rPr>
        <w:t>；</w:t>
      </w:r>
    </w:p>
    <w:p w14:paraId="331C583D">
      <w:pPr>
        <w:pStyle w:val="9"/>
        <w:spacing w:line="360" w:lineRule="auto"/>
        <w:ind w:firstLine="496" w:firstLineChars="200"/>
        <w:rPr>
          <w:b/>
          <w:spacing w:val="4"/>
          <w:sz w:val="24"/>
          <w:szCs w:val="24"/>
        </w:rPr>
      </w:pPr>
      <w:r>
        <w:rPr>
          <w:spacing w:val="4"/>
          <w:sz w:val="24"/>
          <w:szCs w:val="24"/>
        </w:rPr>
        <w:t>……</w:t>
      </w:r>
    </w:p>
    <w:p w14:paraId="34669AAB">
      <w:pPr>
        <w:pStyle w:val="9"/>
        <w:spacing w:line="360" w:lineRule="auto"/>
        <w:ind w:firstLine="496" w:firstLineChars="200"/>
        <w:rPr>
          <w:spacing w:val="4"/>
          <w:sz w:val="24"/>
          <w:szCs w:val="24"/>
        </w:rPr>
      </w:pPr>
      <w:r>
        <w:rPr>
          <w:spacing w:val="4"/>
          <w:sz w:val="24"/>
          <w:szCs w:val="24"/>
        </w:rPr>
        <w:t>以上企业，不属于大企业的分支机构，不存在控股股东为大企业的情形，也不存在与大企业的负责人为同一人的情形。</w:t>
      </w:r>
    </w:p>
    <w:p w14:paraId="239986B3">
      <w:pPr>
        <w:pStyle w:val="9"/>
        <w:spacing w:line="360" w:lineRule="auto"/>
        <w:ind w:firstLine="496" w:firstLineChars="200"/>
        <w:rPr>
          <w:spacing w:val="4"/>
          <w:sz w:val="24"/>
          <w:szCs w:val="24"/>
        </w:rPr>
      </w:pPr>
      <w:r>
        <w:rPr>
          <w:spacing w:val="4"/>
          <w:sz w:val="24"/>
          <w:szCs w:val="24"/>
        </w:rPr>
        <w:t>本企业对上述声明内容的真实性负责。如有虚假，将依法承担相应责任。</w:t>
      </w:r>
    </w:p>
    <w:p w14:paraId="21B3216B">
      <w:pPr>
        <w:pStyle w:val="9"/>
        <w:spacing w:line="360" w:lineRule="auto"/>
        <w:ind w:firstLine="496" w:firstLineChars="200"/>
        <w:rPr>
          <w:spacing w:val="4"/>
          <w:sz w:val="24"/>
          <w:szCs w:val="24"/>
        </w:rPr>
      </w:pPr>
    </w:p>
    <w:p w14:paraId="155D739A">
      <w:pPr>
        <w:pStyle w:val="9"/>
        <w:spacing w:line="360" w:lineRule="auto"/>
        <w:ind w:firstLine="496" w:firstLineChars="200"/>
        <w:rPr>
          <w:spacing w:val="4"/>
          <w:sz w:val="24"/>
          <w:szCs w:val="24"/>
        </w:rPr>
      </w:pPr>
    </w:p>
    <w:p w14:paraId="606733CE">
      <w:pPr>
        <w:pStyle w:val="9"/>
        <w:wordWrap w:val="0"/>
        <w:spacing w:line="360" w:lineRule="auto"/>
        <w:ind w:firstLine="1364" w:firstLineChars="550"/>
        <w:jc w:val="right"/>
        <w:rPr>
          <w:spacing w:val="4"/>
          <w:sz w:val="24"/>
          <w:szCs w:val="24"/>
        </w:rPr>
      </w:pPr>
      <w:r>
        <w:rPr>
          <w:spacing w:val="4"/>
          <w:sz w:val="24"/>
          <w:szCs w:val="24"/>
        </w:rPr>
        <w:t>企业名称（盖章）：</w:t>
      </w:r>
    </w:p>
    <w:p w14:paraId="6DE53C93">
      <w:pPr>
        <w:pStyle w:val="9"/>
        <w:spacing w:line="360" w:lineRule="auto"/>
        <w:ind w:firstLine="3472" w:firstLineChars="1400"/>
        <w:jc w:val="right"/>
        <w:rPr>
          <w:spacing w:val="4"/>
          <w:sz w:val="24"/>
          <w:szCs w:val="24"/>
        </w:rPr>
      </w:pPr>
      <w:r>
        <w:rPr>
          <w:spacing w:val="4"/>
          <w:sz w:val="24"/>
          <w:szCs w:val="24"/>
        </w:rPr>
        <w:t>日  期：    年    月   日</w:t>
      </w:r>
    </w:p>
    <w:p w14:paraId="1E340FBA">
      <w:pPr>
        <w:spacing w:line="360" w:lineRule="auto"/>
        <w:ind w:left="1"/>
        <w:jc w:val="left"/>
        <w:rPr>
          <w:sz w:val="24"/>
          <w:szCs w:val="24"/>
        </w:rPr>
      </w:pPr>
    </w:p>
    <w:p w14:paraId="22D4F221">
      <w:pPr>
        <w:spacing w:line="360" w:lineRule="auto"/>
        <w:ind w:left="1"/>
        <w:jc w:val="left"/>
        <w:rPr>
          <w:sz w:val="24"/>
          <w:szCs w:val="24"/>
        </w:rPr>
      </w:pPr>
    </w:p>
    <w:p w14:paraId="536A6F97">
      <w:pPr>
        <w:spacing w:line="360" w:lineRule="auto"/>
        <w:ind w:left="1"/>
        <w:jc w:val="left"/>
        <w:rPr>
          <w:sz w:val="24"/>
          <w:szCs w:val="24"/>
        </w:rPr>
      </w:pPr>
    </w:p>
    <w:p w14:paraId="2AA30C25">
      <w:pPr>
        <w:spacing w:line="360" w:lineRule="auto"/>
        <w:ind w:left="1"/>
        <w:jc w:val="left"/>
        <w:rPr>
          <w:spacing w:val="4"/>
          <w:sz w:val="24"/>
          <w:szCs w:val="24"/>
        </w:rPr>
      </w:pPr>
      <w:r>
        <w:rPr>
          <w:spacing w:val="-5"/>
          <w:kern w:val="0"/>
          <w:sz w:val="24"/>
          <w:szCs w:val="24"/>
        </w:rPr>
        <w:t>1：从业人员、营业收入、资产总额填报上一年度数据，无上一年度数据的新成立企业可不填报。</w:t>
      </w:r>
    </w:p>
    <w:p w14:paraId="1773E4C4">
      <w:pPr>
        <w:rPr>
          <w:sz w:val="24"/>
          <w:szCs w:val="24"/>
        </w:rPr>
      </w:pPr>
      <w:r>
        <w:rPr>
          <w:sz w:val="24"/>
          <w:szCs w:val="24"/>
        </w:rPr>
        <w:br w:type="page"/>
      </w:r>
    </w:p>
    <w:p w14:paraId="363AD428">
      <w:pPr>
        <w:spacing w:before="156" w:beforeLines="50" w:after="156" w:afterLines="50" w:line="360" w:lineRule="auto"/>
        <w:rPr>
          <w:rFonts w:ascii="宋体" w:hAnsi="宋体"/>
          <w:b/>
          <w:sz w:val="20"/>
        </w:rPr>
      </w:pPr>
      <w:r>
        <w:rPr>
          <w:rFonts w:hint="eastAsia" w:ascii="宋体" w:hAnsi="宋体"/>
          <w:b/>
          <w:sz w:val="20"/>
        </w:rPr>
        <w:t>附件4</w:t>
      </w:r>
    </w:p>
    <w:p w14:paraId="06E673B0">
      <w:pPr>
        <w:spacing w:before="156" w:beforeLines="50" w:after="156" w:afterLines="50" w:line="360" w:lineRule="auto"/>
        <w:jc w:val="center"/>
        <w:rPr>
          <w:rFonts w:ascii="宋体" w:hAnsi="宋体"/>
          <w:b/>
          <w:sz w:val="24"/>
          <w:szCs w:val="24"/>
          <w:highlight w:val="none"/>
        </w:rPr>
      </w:pPr>
      <w:r>
        <w:rPr>
          <w:rFonts w:hint="eastAsia" w:ascii="宋体" w:hAnsi="宋体"/>
          <w:b/>
          <w:sz w:val="24"/>
          <w:szCs w:val="24"/>
          <w:highlight w:val="none"/>
        </w:rPr>
        <w:t>利益关系承诺函</w:t>
      </w:r>
    </w:p>
    <w:p w14:paraId="516628C6">
      <w:pPr>
        <w:spacing w:before="156" w:beforeLines="50" w:after="156" w:afterLines="50" w:line="360" w:lineRule="auto"/>
        <w:rPr>
          <w:rFonts w:ascii="宋体" w:hAnsi="宋体"/>
          <w:sz w:val="24"/>
          <w:szCs w:val="24"/>
          <w:highlight w:val="none"/>
        </w:rPr>
      </w:pPr>
      <w:r>
        <w:rPr>
          <w:rFonts w:hint="eastAsia" w:ascii="宋体" w:hAnsi="宋体"/>
          <w:sz w:val="24"/>
          <w:szCs w:val="24"/>
          <w:highlight w:val="none"/>
        </w:rPr>
        <w:t>致：     （采购人名称）    ：</w:t>
      </w:r>
    </w:p>
    <w:p w14:paraId="44A1A031">
      <w:pPr>
        <w:spacing w:before="156" w:beforeLines="50" w:after="156" w:afterLines="50" w:line="360" w:lineRule="auto"/>
        <w:rPr>
          <w:rFonts w:ascii="宋体" w:hAnsi="宋体"/>
          <w:sz w:val="24"/>
          <w:szCs w:val="24"/>
          <w:highlight w:val="none"/>
        </w:rPr>
      </w:pPr>
      <w:r>
        <w:rPr>
          <w:rFonts w:hint="eastAsia" w:ascii="宋体" w:hAnsi="宋体"/>
          <w:sz w:val="24"/>
          <w:szCs w:val="24"/>
          <w:highlight w:val="none"/>
        </w:rPr>
        <w:t>我公司</w:t>
      </w:r>
      <w:r>
        <w:rPr>
          <w:rFonts w:hint="eastAsia" w:ascii="宋体" w:hAnsi="宋体"/>
          <w:sz w:val="24"/>
          <w:szCs w:val="24"/>
          <w:highlight w:val="none"/>
          <w:u w:val="single"/>
        </w:rPr>
        <w:t xml:space="preserve">     （公司名称）     </w:t>
      </w:r>
      <w:r>
        <w:rPr>
          <w:rFonts w:hint="eastAsia" w:ascii="宋体" w:hAnsi="宋体"/>
          <w:sz w:val="24"/>
          <w:szCs w:val="24"/>
          <w:highlight w:val="none"/>
        </w:rPr>
        <w:t>为在中华人民共和国境内合法注册并经营的机构。在此郑重声明：</w:t>
      </w:r>
    </w:p>
    <w:p w14:paraId="63E04E87">
      <w:pPr>
        <w:spacing w:before="156" w:beforeLines="50" w:after="156" w:afterLines="50" w:line="360" w:lineRule="auto"/>
        <w:rPr>
          <w:rFonts w:ascii="宋体" w:hAnsi="宋体"/>
          <w:sz w:val="24"/>
          <w:szCs w:val="24"/>
          <w:highlight w:val="none"/>
        </w:rPr>
      </w:pPr>
      <w:r>
        <w:rPr>
          <w:rFonts w:hint="eastAsia" w:ascii="宋体" w:hAnsi="宋体"/>
          <w:sz w:val="24"/>
          <w:szCs w:val="24"/>
          <w:highlight w:val="none"/>
        </w:rPr>
        <w:t xml:space="preserve">1.我公司不是贵单位职工投资开办或控股企业； </w:t>
      </w:r>
    </w:p>
    <w:p w14:paraId="5BF84B4D">
      <w:pPr>
        <w:spacing w:before="156" w:beforeLines="50" w:after="156" w:afterLines="50" w:line="360" w:lineRule="auto"/>
        <w:rPr>
          <w:rFonts w:ascii="宋体" w:hAnsi="宋体"/>
          <w:sz w:val="24"/>
          <w:szCs w:val="24"/>
          <w:highlight w:val="none"/>
        </w:rPr>
      </w:pPr>
      <w:r>
        <w:rPr>
          <w:rFonts w:hint="eastAsia" w:ascii="宋体" w:hAnsi="宋体"/>
          <w:sz w:val="24"/>
          <w:szCs w:val="24"/>
          <w:highlight w:val="none"/>
        </w:rPr>
        <w:t>2.贵单位职工本人或其亲属未在我公司担任高管、独立董事等具有重大利益关系职务。</w:t>
      </w:r>
    </w:p>
    <w:p w14:paraId="300F263B">
      <w:pPr>
        <w:spacing w:before="156" w:beforeLines="50" w:after="156" w:afterLines="50" w:line="360" w:lineRule="auto"/>
        <w:rPr>
          <w:rFonts w:ascii="宋体" w:hAnsi="宋体"/>
          <w:sz w:val="24"/>
          <w:szCs w:val="24"/>
        </w:rPr>
      </w:pPr>
    </w:p>
    <w:p w14:paraId="5117BC05">
      <w:pPr>
        <w:spacing w:before="156" w:beforeLines="50" w:after="156" w:afterLines="50" w:line="360" w:lineRule="auto"/>
        <w:rPr>
          <w:rFonts w:ascii="宋体" w:hAnsi="宋体"/>
          <w:sz w:val="24"/>
          <w:szCs w:val="24"/>
        </w:rPr>
      </w:pPr>
    </w:p>
    <w:p w14:paraId="0015B19F">
      <w:pPr>
        <w:spacing w:before="156" w:beforeLines="50" w:after="156" w:afterLines="50" w:line="360" w:lineRule="auto"/>
        <w:rPr>
          <w:rFonts w:ascii="宋体" w:hAnsi="宋体"/>
          <w:sz w:val="24"/>
          <w:szCs w:val="24"/>
        </w:rPr>
      </w:pPr>
    </w:p>
    <w:p w14:paraId="453816B6">
      <w:pPr>
        <w:spacing w:before="156" w:beforeLines="50" w:after="156" w:afterLines="50" w:line="360" w:lineRule="auto"/>
        <w:jc w:val="right"/>
        <w:rPr>
          <w:rFonts w:ascii="宋体" w:hAnsi="宋体"/>
          <w:sz w:val="24"/>
          <w:szCs w:val="24"/>
        </w:rPr>
      </w:pPr>
      <w:r>
        <w:rPr>
          <w:rFonts w:hint="eastAsia" w:ascii="宋体" w:hAnsi="宋体"/>
          <w:sz w:val="24"/>
          <w:szCs w:val="24"/>
        </w:rPr>
        <w:t>供应商名称：               （盖章）</w:t>
      </w:r>
    </w:p>
    <w:p w14:paraId="6060BEEF">
      <w:pPr>
        <w:spacing w:before="156" w:beforeLines="50" w:after="156" w:afterLines="50" w:line="360" w:lineRule="auto"/>
        <w:jc w:val="right"/>
        <w:rPr>
          <w:rFonts w:ascii="宋体" w:hAnsi="宋体"/>
          <w:sz w:val="24"/>
          <w:szCs w:val="24"/>
        </w:rPr>
      </w:pPr>
    </w:p>
    <w:p w14:paraId="1E90C7B3">
      <w:pPr>
        <w:spacing w:before="156" w:beforeLines="50" w:after="156" w:afterLines="50" w:line="360" w:lineRule="auto"/>
        <w:jc w:val="right"/>
        <w:rPr>
          <w:rFonts w:ascii="宋体" w:hAnsi="宋体"/>
          <w:sz w:val="24"/>
          <w:szCs w:val="24"/>
        </w:rPr>
      </w:pPr>
      <w:r>
        <w:rPr>
          <w:rFonts w:hint="eastAsia" w:ascii="宋体" w:hAnsi="宋体"/>
          <w:sz w:val="24"/>
          <w:szCs w:val="24"/>
        </w:rPr>
        <w:t>法定代表人或被授权人：         （签字或盖章）</w:t>
      </w:r>
    </w:p>
    <w:p w14:paraId="2A48A0E0">
      <w:pPr>
        <w:spacing w:before="156" w:beforeLines="50" w:after="156" w:afterLines="50" w:line="360" w:lineRule="auto"/>
        <w:jc w:val="right"/>
        <w:rPr>
          <w:rFonts w:ascii="宋体" w:hAnsi="宋体"/>
          <w:sz w:val="24"/>
          <w:szCs w:val="24"/>
        </w:rPr>
      </w:pPr>
      <w:r>
        <w:rPr>
          <w:rFonts w:ascii="宋体" w:hAnsi="宋体"/>
          <w:sz w:val="24"/>
          <w:szCs w:val="24"/>
        </w:rPr>
        <w:t xml:space="preserve">             </w:t>
      </w:r>
    </w:p>
    <w:p w14:paraId="4DC638DD">
      <w:pPr>
        <w:spacing w:before="156" w:beforeLines="50" w:after="156" w:afterLines="50" w:line="360" w:lineRule="auto"/>
        <w:jc w:val="right"/>
        <w:rPr>
          <w:rFonts w:ascii="宋体" w:hAnsi="宋体"/>
          <w:sz w:val="24"/>
          <w:szCs w:val="24"/>
        </w:rPr>
      </w:pPr>
      <w:r>
        <w:rPr>
          <w:rFonts w:hint="eastAsia" w:ascii="宋体" w:hAnsi="宋体"/>
          <w:sz w:val="24"/>
          <w:szCs w:val="24"/>
        </w:rPr>
        <w:t xml:space="preserve">      年     月     日</w:t>
      </w:r>
    </w:p>
    <w:p w14:paraId="3D37C0E8">
      <w:pPr>
        <w:rPr>
          <w:rFonts w:ascii="宋体" w:hAnsi="宋体"/>
          <w:sz w:val="20"/>
        </w:rPr>
      </w:pPr>
      <w:r>
        <w:rPr>
          <w:rFonts w:ascii="宋体" w:hAnsi="宋体"/>
          <w:sz w:val="20"/>
        </w:rPr>
        <w:br w:type="page"/>
      </w:r>
    </w:p>
    <w:p w14:paraId="48268292">
      <w:pPr>
        <w:jc w:val="left"/>
        <w:rPr>
          <w:rFonts w:hint="eastAsia"/>
          <w:b/>
          <w:bCs/>
          <w:sz w:val="22"/>
          <w:szCs w:val="22"/>
          <w:lang w:val="en-US" w:eastAsia="zh-CN"/>
        </w:rPr>
      </w:pPr>
      <w:r>
        <w:rPr>
          <w:rFonts w:hint="eastAsia"/>
          <w:b/>
          <w:bCs/>
          <w:sz w:val="22"/>
          <w:szCs w:val="22"/>
          <w:lang w:val="en-US" w:eastAsia="zh-CN"/>
        </w:rPr>
        <w:t>附件5</w:t>
      </w:r>
    </w:p>
    <w:p w14:paraId="146DFF54">
      <w:pPr>
        <w:jc w:val="center"/>
        <w:rPr>
          <w:b/>
          <w:bCs/>
          <w:sz w:val="24"/>
          <w:szCs w:val="24"/>
        </w:rPr>
      </w:pPr>
      <w:r>
        <w:rPr>
          <w:rFonts w:hint="eastAsia"/>
          <w:b/>
          <w:bCs/>
          <w:sz w:val="24"/>
          <w:szCs w:val="24"/>
        </w:rPr>
        <w:t>承诺函</w:t>
      </w:r>
    </w:p>
    <w:p w14:paraId="6C365FEC">
      <w:pPr>
        <w:spacing w:line="480" w:lineRule="auto"/>
        <w:rPr>
          <w:sz w:val="24"/>
          <w:szCs w:val="24"/>
        </w:rPr>
      </w:pPr>
      <w:r>
        <w:rPr>
          <w:rFonts w:hint="eastAsia"/>
          <w:sz w:val="24"/>
          <w:szCs w:val="24"/>
        </w:rPr>
        <w:t>西安市第</w:t>
      </w:r>
      <w:r>
        <w:rPr>
          <w:rFonts w:hint="eastAsia"/>
          <w:sz w:val="24"/>
          <w:szCs w:val="24"/>
          <w:lang w:val="en-US" w:eastAsia="zh-CN"/>
        </w:rPr>
        <w:t>八</w:t>
      </w:r>
      <w:r>
        <w:rPr>
          <w:rFonts w:hint="eastAsia"/>
          <w:sz w:val="24"/>
          <w:szCs w:val="24"/>
        </w:rPr>
        <w:t>医院：</w:t>
      </w:r>
    </w:p>
    <w:p w14:paraId="69049C9E">
      <w:pPr>
        <w:spacing w:line="480" w:lineRule="auto"/>
        <w:ind w:firstLine="480" w:firstLineChars="200"/>
        <w:rPr>
          <w:sz w:val="24"/>
          <w:szCs w:val="24"/>
        </w:rPr>
      </w:pPr>
      <w:r>
        <w:rPr>
          <w:rFonts w:hint="eastAsia"/>
          <w:sz w:val="24"/>
          <w:szCs w:val="24"/>
        </w:rPr>
        <w:t>_________________（投标单位名称）</w:t>
      </w:r>
      <w:r>
        <w:rPr>
          <w:sz w:val="24"/>
          <w:szCs w:val="24"/>
        </w:rPr>
        <w:t>声明</w:t>
      </w:r>
      <w:r>
        <w:rPr>
          <w:rFonts w:hint="eastAsia"/>
          <w:sz w:val="24"/>
          <w:szCs w:val="24"/>
        </w:rPr>
        <w:t>我单位</w:t>
      </w:r>
      <w:r>
        <w:rPr>
          <w:sz w:val="24"/>
          <w:szCs w:val="24"/>
        </w:rPr>
        <w:t>与其他投标单位无交叉控股股东、无交叉兼任高级管理人员及涉嫌联合围标、串标行为，无采购单位和招标代理机构职工在该单位兼职的情况，不向采购单位和代理机构相关人员输送利益等行贿行为，一旦中标必须坚守诚信、认真履约。</w:t>
      </w:r>
    </w:p>
    <w:p w14:paraId="6708A6F7">
      <w:pPr>
        <w:spacing w:line="480" w:lineRule="auto"/>
        <w:ind w:firstLine="480" w:firstLineChars="200"/>
        <w:rPr>
          <w:sz w:val="24"/>
          <w:szCs w:val="24"/>
        </w:rPr>
      </w:pPr>
    </w:p>
    <w:p w14:paraId="2A99C4AE">
      <w:pPr>
        <w:spacing w:line="480" w:lineRule="auto"/>
        <w:jc w:val="right"/>
        <w:rPr>
          <w:sz w:val="24"/>
          <w:szCs w:val="24"/>
        </w:rPr>
      </w:pPr>
      <w:r>
        <w:rPr>
          <w:rFonts w:hint="eastAsia"/>
          <w:sz w:val="24"/>
          <w:szCs w:val="24"/>
        </w:rPr>
        <w:t>投标单位：______________________（公章）</w:t>
      </w:r>
    </w:p>
    <w:p w14:paraId="0C5C071B">
      <w:pPr>
        <w:spacing w:line="480" w:lineRule="auto"/>
        <w:jc w:val="right"/>
        <w:rPr>
          <w:sz w:val="24"/>
          <w:szCs w:val="24"/>
        </w:rPr>
      </w:pPr>
      <w:r>
        <w:rPr>
          <w:rFonts w:hint="eastAsia"/>
          <w:sz w:val="24"/>
          <w:szCs w:val="24"/>
        </w:rPr>
        <w:t>法定代表人（签字或盖章）：</w:t>
      </w:r>
    </w:p>
    <w:p w14:paraId="468445FA">
      <w:pPr>
        <w:spacing w:line="480" w:lineRule="auto"/>
        <w:jc w:val="right"/>
        <w:rPr>
          <w:b/>
          <w:sz w:val="36"/>
          <w:szCs w:val="36"/>
        </w:rPr>
      </w:pPr>
      <w:r>
        <w:rPr>
          <w:rFonts w:hint="eastAsia"/>
          <w:sz w:val="24"/>
          <w:szCs w:val="24"/>
        </w:rPr>
        <w:t>日期：   年   月   日</w:t>
      </w:r>
      <w:r>
        <w:rPr>
          <w:sz w:val="24"/>
          <w:szCs w:val="24"/>
        </w:rPr>
        <w:br w:type="page"/>
      </w:r>
    </w:p>
    <w:p w14:paraId="6D433252">
      <w:pPr>
        <w:shd w:val="clear" w:color="auto" w:fill="FFFFFF"/>
        <w:jc w:val="center"/>
        <w:rPr>
          <w:b/>
          <w:sz w:val="36"/>
          <w:szCs w:val="36"/>
        </w:rPr>
      </w:pPr>
      <w:r>
        <w:rPr>
          <w:rFonts w:hint="eastAsia"/>
          <w:b/>
          <w:sz w:val="36"/>
          <w:szCs w:val="36"/>
        </w:rPr>
        <w:t>六</w:t>
      </w:r>
      <w:r>
        <w:rPr>
          <w:b/>
          <w:sz w:val="36"/>
          <w:szCs w:val="36"/>
        </w:rPr>
        <w:t>、磋商方案说明书</w:t>
      </w:r>
    </w:p>
    <w:p w14:paraId="3B657546">
      <w:pPr>
        <w:shd w:val="clear" w:color="auto" w:fill="FFFFFF"/>
        <w:spacing w:line="0" w:lineRule="atLeast"/>
        <w:rPr>
          <w:sz w:val="24"/>
          <w:szCs w:val="24"/>
        </w:rPr>
      </w:pPr>
    </w:p>
    <w:p w14:paraId="723A7351">
      <w:pPr>
        <w:spacing w:line="0" w:lineRule="atLeast"/>
        <w:rPr>
          <w:sz w:val="24"/>
          <w:szCs w:val="24"/>
        </w:rPr>
      </w:pPr>
      <w:r>
        <w:rPr>
          <w:sz w:val="24"/>
          <w:szCs w:val="24"/>
        </w:rPr>
        <w:t>供应商名称：</w:t>
      </w:r>
    </w:p>
    <w:p w14:paraId="2D4466D6">
      <w:pPr>
        <w:spacing w:line="0" w:lineRule="atLeast"/>
        <w:rPr>
          <w:sz w:val="24"/>
          <w:szCs w:val="24"/>
        </w:rPr>
      </w:pPr>
      <w:r>
        <w:rPr>
          <w:sz w:val="24"/>
          <w:szCs w:val="24"/>
        </w:rPr>
        <w:t xml:space="preserve">项目编号：   </w:t>
      </w:r>
      <w:r>
        <w:rPr>
          <w:sz w:val="24"/>
          <w:szCs w:val="24"/>
        </w:rPr>
        <mc:AlternateContent>
          <mc:Choice Requires="wps">
            <w:drawing>
              <wp:anchor distT="0" distB="0" distL="114300" distR="114300" simplePos="0" relativeHeight="251660288" behindDoc="0" locked="0" layoutInCell="1" allowOverlap="1">
                <wp:simplePos x="0" y="0"/>
                <wp:positionH relativeFrom="column">
                  <wp:posOffset>-228600</wp:posOffset>
                </wp:positionH>
                <wp:positionV relativeFrom="paragraph">
                  <wp:posOffset>200025</wp:posOffset>
                </wp:positionV>
                <wp:extent cx="5867400" cy="0"/>
                <wp:effectExtent l="9525" t="9525" r="9525" b="9525"/>
                <wp:wrapNone/>
                <wp:docPr id="4" name="Line 4"/>
                <wp:cNvGraphicFramePr/>
                <a:graphic xmlns:a="http://schemas.openxmlformats.org/drawingml/2006/main">
                  <a:graphicData uri="http://schemas.microsoft.com/office/word/2010/wordprocessingShape">
                    <wps:wsp>
                      <wps:cNvCnPr>
                        <a:cxnSpLocks noChangeShapeType="1"/>
                      </wps:cNvCnPr>
                      <wps:spPr bwMode="auto">
                        <a:xfrm>
                          <a:off x="0" y="0"/>
                          <a:ext cx="5867400" cy="0"/>
                        </a:xfrm>
                        <a:prstGeom prst="line">
                          <a:avLst/>
                        </a:prstGeom>
                        <a:noFill/>
                        <a:ln w="9525">
                          <a:solidFill>
                            <a:srgbClr val="000000"/>
                          </a:solidFill>
                          <a:round/>
                        </a:ln>
                      </wps:spPr>
                      <wps:bodyPr/>
                    </wps:wsp>
                  </a:graphicData>
                </a:graphic>
              </wp:anchor>
            </w:drawing>
          </mc:Choice>
          <mc:Fallback>
            <w:pict>
              <v:line id="Line 4" o:spid="_x0000_s1026" o:spt="20" style="position:absolute;left:0pt;margin-left:-18pt;margin-top:15.75pt;height:0pt;width:462pt;z-index:251660288;mso-width-relative:page;mso-height-relative:page;" filled="f" stroked="t" coordsize="21600,21600" o:gfxdata="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">
                <v:fill on="f" focussize="0,0"/>
                <v:stroke color="#000000" joinstyle="round"/>
                <v:imagedata o:title=""/>
                <o:lock v:ext="edit" aspectratio="f"/>
              </v:line>
            </w:pict>
          </mc:Fallback>
        </mc:AlternateContent>
      </w:r>
    </w:p>
    <w:p w14:paraId="191DBF22">
      <w:pPr>
        <w:spacing w:line="360" w:lineRule="auto"/>
        <w:ind w:firstLine="480" w:firstLineChars="200"/>
        <w:jc w:val="left"/>
        <w:rPr>
          <w:sz w:val="24"/>
          <w:szCs w:val="24"/>
        </w:rPr>
      </w:pPr>
      <w:r>
        <w:rPr>
          <w:sz w:val="24"/>
          <w:szCs w:val="24"/>
        </w:rPr>
        <w:t>按照磋商文件的要求编制报价方案说明书，内容至少应包括如下：</w:t>
      </w:r>
    </w:p>
    <w:p w14:paraId="331D141D">
      <w:pPr>
        <w:spacing w:line="360" w:lineRule="auto"/>
        <w:ind w:firstLine="480" w:firstLineChars="200"/>
        <w:jc w:val="left"/>
        <w:rPr>
          <w:sz w:val="24"/>
          <w:szCs w:val="24"/>
        </w:rPr>
      </w:pPr>
      <w:r>
        <w:rPr>
          <w:sz w:val="24"/>
          <w:szCs w:val="24"/>
        </w:rPr>
        <w:t>1）填写技术</w:t>
      </w:r>
      <w:r>
        <w:rPr>
          <w:rFonts w:hint="eastAsia"/>
          <w:sz w:val="24"/>
          <w:szCs w:val="24"/>
        </w:rPr>
        <w:t>参数</w:t>
      </w:r>
      <w:r>
        <w:rPr>
          <w:sz w:val="24"/>
          <w:szCs w:val="24"/>
        </w:rPr>
        <w:t>响应表（见附表</w:t>
      </w:r>
      <w:r>
        <w:rPr>
          <w:rFonts w:hint="eastAsia"/>
          <w:sz w:val="24"/>
          <w:szCs w:val="24"/>
        </w:rPr>
        <w:t>1</w:t>
      </w:r>
      <w:r>
        <w:rPr>
          <w:sz w:val="24"/>
          <w:szCs w:val="24"/>
        </w:rPr>
        <w:t>），说明</w:t>
      </w:r>
      <w:r>
        <w:rPr>
          <w:rFonts w:hint="eastAsia"/>
          <w:sz w:val="24"/>
          <w:szCs w:val="24"/>
        </w:rPr>
        <w:t>技术</w:t>
      </w:r>
      <w:r>
        <w:rPr>
          <w:sz w:val="24"/>
          <w:szCs w:val="24"/>
        </w:rPr>
        <w:t>响应优于或偏离采购要求的指标（如果有的话）。</w:t>
      </w:r>
    </w:p>
    <w:p w14:paraId="5E9EBFEF">
      <w:pPr>
        <w:spacing w:line="360" w:lineRule="auto"/>
        <w:ind w:firstLine="480" w:firstLineChars="200"/>
        <w:jc w:val="left"/>
        <w:rPr>
          <w:sz w:val="24"/>
          <w:szCs w:val="24"/>
        </w:rPr>
      </w:pPr>
      <w:r>
        <w:rPr>
          <w:sz w:val="24"/>
          <w:szCs w:val="24"/>
        </w:rPr>
        <w:t>2）填写商务条款偏离表（见附表</w:t>
      </w:r>
      <w:r>
        <w:rPr>
          <w:rFonts w:hint="eastAsia"/>
          <w:sz w:val="24"/>
          <w:szCs w:val="24"/>
        </w:rPr>
        <w:t>2</w:t>
      </w:r>
      <w:r>
        <w:rPr>
          <w:sz w:val="24"/>
          <w:szCs w:val="24"/>
        </w:rPr>
        <w:t>），说明商务条款优于或偏离商务要求的条款（如果有的话）。</w:t>
      </w:r>
    </w:p>
    <w:p w14:paraId="76E924E0">
      <w:pPr>
        <w:pStyle w:val="9"/>
        <w:spacing w:after="0" w:line="360" w:lineRule="auto"/>
        <w:ind w:firstLine="480" w:firstLineChars="200"/>
        <w:rPr>
          <w:rFonts w:eastAsiaTheme="minorEastAsia"/>
          <w:sz w:val="24"/>
          <w:szCs w:val="24"/>
        </w:rPr>
      </w:pPr>
      <w:r>
        <w:rPr>
          <w:sz w:val="24"/>
          <w:szCs w:val="24"/>
        </w:rPr>
        <w:t>3）</w:t>
      </w:r>
      <w:r>
        <w:rPr>
          <w:rFonts w:eastAsiaTheme="minorEastAsia"/>
          <w:kern w:val="0"/>
          <w:sz w:val="24"/>
          <w:szCs w:val="24"/>
        </w:rPr>
        <w:t>提供</w:t>
      </w:r>
      <w:r>
        <w:rPr>
          <w:rFonts w:hint="eastAsia" w:eastAsiaTheme="minorEastAsia"/>
          <w:sz w:val="24"/>
          <w:szCs w:val="24"/>
        </w:rPr>
        <w:t>服务</w:t>
      </w:r>
      <w:r>
        <w:rPr>
          <w:rFonts w:eastAsiaTheme="minorEastAsia"/>
          <w:sz w:val="24"/>
          <w:szCs w:val="24"/>
        </w:rPr>
        <w:t>方案</w:t>
      </w:r>
      <w:r>
        <w:rPr>
          <w:rFonts w:hint="eastAsia" w:eastAsiaTheme="minorEastAsia"/>
          <w:sz w:val="24"/>
          <w:szCs w:val="24"/>
        </w:rPr>
        <w:t>。</w:t>
      </w:r>
    </w:p>
    <w:p w14:paraId="3AABE6AD">
      <w:pPr>
        <w:spacing w:line="360" w:lineRule="auto"/>
        <w:ind w:firstLine="480" w:firstLineChars="200"/>
        <w:jc w:val="left"/>
        <w:rPr>
          <w:sz w:val="24"/>
          <w:szCs w:val="24"/>
        </w:rPr>
      </w:pPr>
      <w:r>
        <w:rPr>
          <w:rFonts w:hint="eastAsia"/>
          <w:sz w:val="24"/>
          <w:szCs w:val="24"/>
          <w:lang w:val="en-US" w:eastAsia="zh-CN"/>
        </w:rPr>
        <w:t>4</w:t>
      </w:r>
      <w:r>
        <w:rPr>
          <w:sz w:val="24"/>
          <w:szCs w:val="24"/>
        </w:rPr>
        <w:t>）</w:t>
      </w:r>
      <w:r>
        <w:rPr>
          <w:rFonts w:eastAsiaTheme="minorEastAsia"/>
          <w:kern w:val="0"/>
          <w:sz w:val="24"/>
          <w:szCs w:val="24"/>
        </w:rPr>
        <w:t>提供</w:t>
      </w:r>
      <w:r>
        <w:rPr>
          <w:rFonts w:hint="eastAsia" w:eastAsiaTheme="minorEastAsia"/>
          <w:sz w:val="24"/>
          <w:szCs w:val="24"/>
        </w:rPr>
        <w:t>服务团队</w:t>
      </w:r>
      <w:r>
        <w:rPr>
          <w:rFonts w:eastAsiaTheme="minorEastAsia"/>
          <w:sz w:val="24"/>
          <w:szCs w:val="24"/>
        </w:rPr>
        <w:t>（实施人员清单</w:t>
      </w:r>
      <w:r>
        <w:rPr>
          <w:rFonts w:eastAsiaTheme="minorEastAsia"/>
          <w:kern w:val="0"/>
          <w:sz w:val="24"/>
          <w:szCs w:val="24"/>
        </w:rPr>
        <w:t>等</w:t>
      </w:r>
      <w:r>
        <w:rPr>
          <w:rFonts w:eastAsiaTheme="minorEastAsia"/>
          <w:sz w:val="24"/>
          <w:szCs w:val="24"/>
        </w:rPr>
        <w:t>）</w:t>
      </w:r>
      <w:r>
        <w:rPr>
          <w:sz w:val="24"/>
          <w:szCs w:val="24"/>
        </w:rPr>
        <w:t>。</w:t>
      </w:r>
    </w:p>
    <w:p w14:paraId="1DDC493F">
      <w:pPr>
        <w:spacing w:line="360" w:lineRule="auto"/>
        <w:ind w:firstLine="480" w:firstLineChars="200"/>
        <w:jc w:val="left"/>
        <w:rPr>
          <w:sz w:val="24"/>
          <w:szCs w:val="24"/>
        </w:rPr>
      </w:pPr>
      <w:r>
        <w:rPr>
          <w:rFonts w:hint="eastAsia"/>
          <w:sz w:val="24"/>
          <w:szCs w:val="24"/>
          <w:lang w:val="en-US" w:eastAsia="zh-CN"/>
        </w:rPr>
        <w:t>5</w:t>
      </w:r>
      <w:r>
        <w:rPr>
          <w:sz w:val="24"/>
          <w:szCs w:val="24"/>
        </w:rPr>
        <w:t>）</w:t>
      </w:r>
      <w:r>
        <w:rPr>
          <w:rFonts w:eastAsiaTheme="minorEastAsia"/>
          <w:kern w:val="0"/>
          <w:sz w:val="24"/>
          <w:szCs w:val="24"/>
        </w:rPr>
        <w:t>提供</w:t>
      </w:r>
      <w:r>
        <w:rPr>
          <w:rFonts w:hint="eastAsia" w:eastAsiaTheme="minorEastAsia"/>
          <w:kern w:val="0"/>
          <w:sz w:val="24"/>
          <w:szCs w:val="24"/>
        </w:rPr>
        <w:t>针对本项目采购需求的相关实施方案</w:t>
      </w:r>
      <w:r>
        <w:rPr>
          <w:rFonts w:eastAsiaTheme="minorEastAsia"/>
          <w:kern w:val="0"/>
          <w:sz w:val="24"/>
          <w:szCs w:val="24"/>
        </w:rPr>
        <w:t>。</w:t>
      </w:r>
    </w:p>
    <w:p w14:paraId="06E09DDC">
      <w:pPr>
        <w:spacing w:line="360" w:lineRule="auto"/>
        <w:ind w:firstLine="480" w:firstLineChars="200"/>
        <w:jc w:val="left"/>
        <w:rPr>
          <w:sz w:val="24"/>
          <w:szCs w:val="24"/>
        </w:rPr>
      </w:pPr>
      <w:r>
        <w:rPr>
          <w:rFonts w:hint="eastAsia"/>
          <w:sz w:val="24"/>
          <w:szCs w:val="24"/>
          <w:lang w:val="en-US" w:eastAsia="zh-CN"/>
        </w:rPr>
        <w:t>6</w:t>
      </w:r>
      <w:r>
        <w:rPr>
          <w:sz w:val="24"/>
          <w:szCs w:val="24"/>
        </w:rPr>
        <w:t>）</w:t>
      </w:r>
      <w:r>
        <w:rPr>
          <w:kern w:val="0"/>
          <w:sz w:val="24"/>
          <w:szCs w:val="24"/>
        </w:rPr>
        <w:t>提供</w:t>
      </w:r>
      <w:r>
        <w:rPr>
          <w:rFonts w:eastAsiaTheme="minorEastAsia"/>
          <w:kern w:val="0"/>
          <w:sz w:val="24"/>
          <w:szCs w:val="24"/>
        </w:rPr>
        <w:t>针对本项目的</w:t>
      </w:r>
      <w:r>
        <w:rPr>
          <w:rFonts w:hint="eastAsia" w:eastAsiaTheme="minorEastAsia"/>
          <w:sz w:val="24"/>
          <w:szCs w:val="24"/>
        </w:rPr>
        <w:t>售后服务方案</w:t>
      </w:r>
      <w:r>
        <w:rPr>
          <w:rFonts w:eastAsiaTheme="minorEastAsia"/>
          <w:sz w:val="24"/>
          <w:szCs w:val="24"/>
        </w:rPr>
        <w:t>等</w:t>
      </w:r>
      <w:r>
        <w:rPr>
          <w:sz w:val="24"/>
          <w:szCs w:val="24"/>
        </w:rPr>
        <w:t>。</w:t>
      </w:r>
    </w:p>
    <w:p w14:paraId="58C2A882">
      <w:pPr>
        <w:spacing w:line="360" w:lineRule="auto"/>
        <w:ind w:firstLine="480" w:firstLineChars="200"/>
        <w:jc w:val="left"/>
        <w:rPr>
          <w:sz w:val="24"/>
          <w:szCs w:val="24"/>
        </w:rPr>
      </w:pPr>
      <w:r>
        <w:rPr>
          <w:rFonts w:hint="eastAsia"/>
          <w:sz w:val="24"/>
          <w:szCs w:val="24"/>
          <w:lang w:val="en-US" w:eastAsia="zh-CN"/>
        </w:rPr>
        <w:t>7</w:t>
      </w:r>
      <w:r>
        <w:rPr>
          <w:sz w:val="24"/>
          <w:szCs w:val="24"/>
        </w:rPr>
        <w:t>）其他证明文件（磋商须知前附表第13.2条要求的内容等）。</w:t>
      </w:r>
    </w:p>
    <w:p w14:paraId="69E34C05">
      <w:pPr>
        <w:spacing w:line="360" w:lineRule="auto"/>
        <w:ind w:firstLine="480" w:firstLineChars="200"/>
        <w:jc w:val="left"/>
        <w:rPr>
          <w:sz w:val="24"/>
          <w:szCs w:val="24"/>
        </w:rPr>
      </w:pPr>
      <w:r>
        <w:rPr>
          <w:rFonts w:hint="eastAsia"/>
          <w:sz w:val="24"/>
          <w:szCs w:val="24"/>
          <w:lang w:val="en-US" w:eastAsia="zh-CN"/>
        </w:rPr>
        <w:t>8</w:t>
      </w:r>
      <w:r>
        <w:rPr>
          <w:rFonts w:hint="eastAsia"/>
          <w:sz w:val="24"/>
          <w:szCs w:val="24"/>
        </w:rPr>
        <w:t>）具体内容详见第八章《评审因素及权重分值表》</w:t>
      </w:r>
    </w:p>
    <w:p w14:paraId="13708215">
      <w:pPr>
        <w:spacing w:line="440" w:lineRule="exact"/>
        <w:jc w:val="center"/>
        <w:rPr>
          <w:sz w:val="24"/>
          <w:szCs w:val="24"/>
        </w:rPr>
      </w:pPr>
    </w:p>
    <w:p w14:paraId="6B5132AE">
      <w:pPr>
        <w:spacing w:line="440" w:lineRule="exact"/>
        <w:jc w:val="center"/>
        <w:rPr>
          <w:sz w:val="24"/>
          <w:szCs w:val="24"/>
        </w:rPr>
      </w:pPr>
    </w:p>
    <w:p w14:paraId="66F6F9F8">
      <w:pPr>
        <w:spacing w:line="440" w:lineRule="exact"/>
        <w:jc w:val="center"/>
        <w:rPr>
          <w:sz w:val="24"/>
          <w:szCs w:val="24"/>
        </w:rPr>
      </w:pPr>
    </w:p>
    <w:p w14:paraId="4B4D01C9">
      <w:pPr>
        <w:spacing w:line="440" w:lineRule="exact"/>
        <w:jc w:val="right"/>
        <w:rPr>
          <w:sz w:val="24"/>
          <w:szCs w:val="24"/>
        </w:rPr>
      </w:pPr>
      <w:r>
        <w:rPr>
          <w:sz w:val="24"/>
          <w:szCs w:val="24"/>
        </w:rPr>
        <w:t>授权代表人签字</w:t>
      </w:r>
      <w:r>
        <w:rPr>
          <w:spacing w:val="4"/>
          <w:sz w:val="24"/>
        </w:rPr>
        <w:t>或盖章</w:t>
      </w:r>
      <w:r>
        <w:rPr>
          <w:sz w:val="24"/>
          <w:szCs w:val="24"/>
        </w:rPr>
        <w:t xml:space="preserve">： </w:t>
      </w:r>
    </w:p>
    <w:p w14:paraId="4AEFAED1">
      <w:pPr>
        <w:spacing w:line="440" w:lineRule="exact"/>
        <w:jc w:val="right"/>
        <w:rPr>
          <w:sz w:val="24"/>
          <w:szCs w:val="24"/>
        </w:rPr>
      </w:pPr>
      <w:r>
        <w:rPr>
          <w:sz w:val="24"/>
          <w:szCs w:val="24"/>
        </w:rPr>
        <w:t>公章：</w:t>
      </w:r>
    </w:p>
    <w:p w14:paraId="2F52C8AB">
      <w:pPr>
        <w:shd w:val="clear" w:color="auto" w:fill="FFFFFF"/>
        <w:jc w:val="center"/>
        <w:rPr>
          <w:sz w:val="24"/>
          <w:szCs w:val="24"/>
        </w:rPr>
      </w:pPr>
      <w:r>
        <w:rPr>
          <w:sz w:val="24"/>
          <w:szCs w:val="24"/>
        </w:rPr>
        <w:br w:type="page"/>
      </w:r>
    </w:p>
    <w:p w14:paraId="1B342B03">
      <w:pPr>
        <w:spacing w:after="120"/>
        <w:rPr>
          <w:sz w:val="24"/>
          <w:szCs w:val="24"/>
        </w:rPr>
      </w:pPr>
      <w:r>
        <w:rPr>
          <w:sz w:val="24"/>
          <w:szCs w:val="24"/>
        </w:rPr>
        <w:t>附表</w:t>
      </w:r>
      <w:r>
        <w:rPr>
          <w:rFonts w:hint="eastAsia"/>
          <w:sz w:val="24"/>
          <w:szCs w:val="24"/>
        </w:rPr>
        <w:t>1</w:t>
      </w:r>
    </w:p>
    <w:p w14:paraId="6EE56E74">
      <w:pPr>
        <w:spacing w:after="120"/>
        <w:jc w:val="center"/>
        <w:rPr>
          <w:b/>
          <w:sz w:val="36"/>
        </w:rPr>
      </w:pPr>
      <w:r>
        <w:rPr>
          <w:b/>
          <w:sz w:val="36"/>
        </w:rPr>
        <w:t>技术</w:t>
      </w:r>
      <w:r>
        <w:rPr>
          <w:rFonts w:hint="eastAsia"/>
          <w:b/>
          <w:sz w:val="36"/>
        </w:rPr>
        <w:t>参数</w:t>
      </w:r>
      <w:r>
        <w:rPr>
          <w:b/>
          <w:sz w:val="36"/>
        </w:rPr>
        <w:t>响应表</w:t>
      </w:r>
    </w:p>
    <w:p w14:paraId="62C1A6E5">
      <w:pPr>
        <w:spacing w:line="0" w:lineRule="atLeast"/>
        <w:rPr>
          <w:sz w:val="24"/>
          <w:szCs w:val="24"/>
        </w:rPr>
      </w:pPr>
      <w:r>
        <w:rPr>
          <w:sz w:val="24"/>
          <w:szCs w:val="24"/>
        </w:rPr>
        <w:t>供应商名称：</w:t>
      </w:r>
    </w:p>
    <w:p w14:paraId="47340CAE">
      <w:pPr>
        <w:spacing w:line="0" w:lineRule="atLeast"/>
        <w:rPr>
          <w:sz w:val="24"/>
          <w:szCs w:val="24"/>
        </w:rPr>
      </w:pPr>
      <w:r>
        <w:rPr>
          <w:sz w:val="24"/>
          <w:szCs w:val="24"/>
        </w:rPr>
        <w:t>项目编号：</w:t>
      </w:r>
    </w:p>
    <w:tbl>
      <w:tblPr>
        <w:tblStyle w:val="21"/>
        <w:tblW w:w="8363" w:type="dxa"/>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
      <w:tblGrid>
        <w:gridCol w:w="1228"/>
        <w:gridCol w:w="2399"/>
        <w:gridCol w:w="2566"/>
        <w:gridCol w:w="1290"/>
        <w:gridCol w:w="880"/>
      </w:tblGrid>
      <w:tr w14:paraId="03E8CD6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56" w:hRule="atLeast"/>
        </w:trPr>
        <w:tc>
          <w:tcPr>
            <w:tcW w:w="1228" w:type="dxa"/>
            <w:tcBorders>
              <w:bottom w:val="nil"/>
            </w:tcBorders>
            <w:vAlign w:val="center"/>
          </w:tcPr>
          <w:p w14:paraId="6CE7751E">
            <w:pPr>
              <w:spacing w:line="0" w:lineRule="atLeast"/>
              <w:jc w:val="center"/>
              <w:rPr>
                <w:sz w:val="24"/>
                <w:szCs w:val="24"/>
              </w:rPr>
            </w:pPr>
            <w:r>
              <w:rPr>
                <w:sz w:val="24"/>
                <w:szCs w:val="24"/>
              </w:rPr>
              <w:t>条款号</w:t>
            </w:r>
          </w:p>
        </w:tc>
        <w:tc>
          <w:tcPr>
            <w:tcW w:w="2399" w:type="dxa"/>
            <w:tcBorders>
              <w:bottom w:val="nil"/>
            </w:tcBorders>
            <w:vAlign w:val="center"/>
          </w:tcPr>
          <w:p w14:paraId="4CBE89EC">
            <w:pPr>
              <w:spacing w:line="0" w:lineRule="atLeast"/>
              <w:jc w:val="center"/>
              <w:rPr>
                <w:sz w:val="24"/>
                <w:szCs w:val="24"/>
              </w:rPr>
            </w:pPr>
            <w:r>
              <w:rPr>
                <w:rFonts w:hint="eastAsia"/>
                <w:sz w:val="24"/>
                <w:szCs w:val="24"/>
              </w:rPr>
              <w:t>采购</w:t>
            </w:r>
            <w:r>
              <w:rPr>
                <w:sz w:val="24"/>
                <w:szCs w:val="24"/>
              </w:rPr>
              <w:t xml:space="preserve">要求 </w:t>
            </w:r>
            <w:r>
              <w:rPr>
                <w:rFonts w:hint="eastAsia" w:ascii="宋体" w:hAnsi="宋体" w:cs="宋体"/>
                <w:sz w:val="24"/>
                <w:szCs w:val="24"/>
              </w:rPr>
              <w:t>☆</w:t>
            </w:r>
            <w:r>
              <w:rPr>
                <w:sz w:val="24"/>
                <w:szCs w:val="24"/>
              </w:rPr>
              <w:t>1</w:t>
            </w:r>
          </w:p>
        </w:tc>
        <w:tc>
          <w:tcPr>
            <w:tcW w:w="2566" w:type="dxa"/>
            <w:tcBorders>
              <w:bottom w:val="nil"/>
            </w:tcBorders>
            <w:vAlign w:val="center"/>
          </w:tcPr>
          <w:p w14:paraId="792FACA8">
            <w:pPr>
              <w:spacing w:line="0" w:lineRule="atLeast"/>
              <w:jc w:val="center"/>
              <w:rPr>
                <w:sz w:val="24"/>
                <w:szCs w:val="24"/>
              </w:rPr>
            </w:pPr>
            <w:r>
              <w:rPr>
                <w:sz w:val="24"/>
                <w:szCs w:val="24"/>
              </w:rPr>
              <w:t xml:space="preserve">响应内容 </w:t>
            </w:r>
            <w:r>
              <w:rPr>
                <w:rFonts w:hint="eastAsia" w:ascii="宋体" w:hAnsi="宋体" w:cs="宋体"/>
                <w:sz w:val="24"/>
                <w:szCs w:val="24"/>
              </w:rPr>
              <w:t>☆</w:t>
            </w:r>
            <w:r>
              <w:rPr>
                <w:sz w:val="24"/>
                <w:szCs w:val="24"/>
              </w:rPr>
              <w:t>2</w:t>
            </w:r>
          </w:p>
        </w:tc>
        <w:tc>
          <w:tcPr>
            <w:tcW w:w="1290" w:type="dxa"/>
            <w:tcBorders>
              <w:bottom w:val="nil"/>
            </w:tcBorders>
            <w:vAlign w:val="center"/>
          </w:tcPr>
          <w:p w14:paraId="5EE0FF15">
            <w:pPr>
              <w:spacing w:line="0" w:lineRule="atLeast"/>
              <w:jc w:val="center"/>
              <w:rPr>
                <w:sz w:val="24"/>
                <w:szCs w:val="24"/>
              </w:rPr>
            </w:pPr>
            <w:r>
              <w:rPr>
                <w:sz w:val="24"/>
                <w:szCs w:val="24"/>
              </w:rPr>
              <w:t>响应/偏离</w:t>
            </w:r>
          </w:p>
        </w:tc>
        <w:tc>
          <w:tcPr>
            <w:tcW w:w="880" w:type="dxa"/>
            <w:tcBorders>
              <w:bottom w:val="nil"/>
            </w:tcBorders>
            <w:vAlign w:val="center"/>
          </w:tcPr>
          <w:p w14:paraId="55C03419">
            <w:pPr>
              <w:spacing w:line="0" w:lineRule="atLeast"/>
              <w:jc w:val="center"/>
              <w:rPr>
                <w:sz w:val="24"/>
                <w:szCs w:val="24"/>
              </w:rPr>
            </w:pPr>
            <w:r>
              <w:rPr>
                <w:sz w:val="24"/>
                <w:szCs w:val="24"/>
              </w:rPr>
              <w:t>备注</w:t>
            </w:r>
          </w:p>
        </w:tc>
      </w:tr>
      <w:tr w14:paraId="3B9319E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6300" w:hRule="atLeast"/>
        </w:trPr>
        <w:tc>
          <w:tcPr>
            <w:tcW w:w="1228" w:type="dxa"/>
            <w:tcBorders>
              <w:top w:val="single" w:color="auto" w:sz="12" w:space="0"/>
              <w:left w:val="single" w:color="auto" w:sz="12" w:space="0"/>
              <w:right w:val="single" w:color="auto" w:sz="6" w:space="0"/>
            </w:tcBorders>
          </w:tcPr>
          <w:p w14:paraId="0E6D5200">
            <w:pPr>
              <w:rPr>
                <w:sz w:val="24"/>
                <w:szCs w:val="24"/>
              </w:rPr>
            </w:pPr>
          </w:p>
        </w:tc>
        <w:tc>
          <w:tcPr>
            <w:tcW w:w="2399" w:type="dxa"/>
            <w:tcBorders>
              <w:top w:val="single" w:color="auto" w:sz="12" w:space="0"/>
              <w:left w:val="single" w:color="auto" w:sz="6" w:space="0"/>
              <w:right w:val="single" w:color="auto" w:sz="6" w:space="0"/>
            </w:tcBorders>
          </w:tcPr>
          <w:p w14:paraId="7CE9B596">
            <w:pPr>
              <w:rPr>
                <w:sz w:val="24"/>
                <w:szCs w:val="24"/>
              </w:rPr>
            </w:pPr>
          </w:p>
        </w:tc>
        <w:tc>
          <w:tcPr>
            <w:tcW w:w="2566" w:type="dxa"/>
            <w:tcBorders>
              <w:top w:val="single" w:color="auto" w:sz="12" w:space="0"/>
              <w:left w:val="single" w:color="auto" w:sz="6" w:space="0"/>
              <w:right w:val="single" w:color="auto" w:sz="6" w:space="0"/>
            </w:tcBorders>
          </w:tcPr>
          <w:p w14:paraId="56E26A13">
            <w:pPr>
              <w:rPr>
                <w:sz w:val="24"/>
                <w:szCs w:val="24"/>
              </w:rPr>
            </w:pPr>
          </w:p>
        </w:tc>
        <w:tc>
          <w:tcPr>
            <w:tcW w:w="1290" w:type="dxa"/>
            <w:tcBorders>
              <w:top w:val="single" w:color="auto" w:sz="12" w:space="0"/>
              <w:left w:val="single" w:color="auto" w:sz="6" w:space="0"/>
              <w:right w:val="single" w:color="auto" w:sz="6" w:space="0"/>
            </w:tcBorders>
          </w:tcPr>
          <w:p w14:paraId="4027FA73">
            <w:pPr>
              <w:rPr>
                <w:sz w:val="24"/>
                <w:szCs w:val="24"/>
              </w:rPr>
            </w:pPr>
          </w:p>
        </w:tc>
        <w:tc>
          <w:tcPr>
            <w:tcW w:w="880" w:type="dxa"/>
            <w:tcBorders>
              <w:top w:val="single" w:color="auto" w:sz="12" w:space="0"/>
              <w:left w:val="single" w:color="auto" w:sz="6" w:space="0"/>
              <w:right w:val="single" w:color="auto" w:sz="12" w:space="0"/>
            </w:tcBorders>
          </w:tcPr>
          <w:p w14:paraId="38D062E1">
            <w:pPr>
              <w:rPr>
                <w:sz w:val="24"/>
                <w:szCs w:val="24"/>
              </w:rPr>
            </w:pPr>
          </w:p>
        </w:tc>
      </w:tr>
    </w:tbl>
    <w:p w14:paraId="21B09CF8"/>
    <w:p w14:paraId="01C843CE">
      <w:pPr>
        <w:rPr>
          <w:sz w:val="24"/>
          <w:szCs w:val="24"/>
        </w:rPr>
      </w:pPr>
    </w:p>
    <w:p w14:paraId="3FB05E84">
      <w:pPr>
        <w:rPr>
          <w:sz w:val="24"/>
          <w:szCs w:val="24"/>
        </w:rPr>
      </w:pPr>
      <w:r>
        <w:rPr>
          <w:sz w:val="24"/>
          <w:szCs w:val="24"/>
        </w:rPr>
        <w:t>授权代表人签字或盖章：</w:t>
      </w:r>
    </w:p>
    <w:p w14:paraId="0A6CC98D">
      <w:pPr>
        <w:rPr>
          <w:sz w:val="24"/>
          <w:szCs w:val="24"/>
        </w:rPr>
      </w:pPr>
    </w:p>
    <w:p w14:paraId="15AF3AB3">
      <w:pPr>
        <w:rPr>
          <w:sz w:val="24"/>
          <w:szCs w:val="24"/>
        </w:rPr>
      </w:pPr>
    </w:p>
    <w:p w14:paraId="50F5A608">
      <w:pPr>
        <w:rPr>
          <w:sz w:val="24"/>
          <w:szCs w:val="24"/>
        </w:rPr>
      </w:pPr>
      <w:r>
        <w:rPr>
          <w:sz w:val="24"/>
          <w:szCs w:val="24"/>
        </w:rPr>
        <w:t>公章：</w:t>
      </w:r>
    </w:p>
    <w:p w14:paraId="4890BFD5">
      <w:pPr>
        <w:rPr>
          <w:sz w:val="24"/>
          <w:szCs w:val="24"/>
        </w:rPr>
      </w:pPr>
    </w:p>
    <w:p w14:paraId="1A37484C">
      <w:pPr>
        <w:rPr>
          <w:sz w:val="24"/>
          <w:szCs w:val="24"/>
        </w:rPr>
      </w:pPr>
    </w:p>
    <w:p w14:paraId="061ECCCA">
      <w:pPr>
        <w:ind w:left="1560" w:hanging="1560" w:hangingChars="650"/>
        <w:rPr>
          <w:sz w:val="24"/>
          <w:szCs w:val="24"/>
        </w:rPr>
      </w:pPr>
      <w:r>
        <w:rPr>
          <w:sz w:val="24"/>
          <w:szCs w:val="24"/>
        </w:rPr>
        <w:t>注：</w:t>
      </w:r>
    </w:p>
    <w:p w14:paraId="2A8E2BA4">
      <w:pPr>
        <w:ind w:left="2"/>
        <w:rPr>
          <w:sz w:val="24"/>
          <w:szCs w:val="24"/>
        </w:rPr>
      </w:pPr>
      <w:r>
        <w:rPr>
          <w:sz w:val="24"/>
          <w:szCs w:val="24"/>
        </w:rPr>
        <w:t>1.</w:t>
      </w:r>
      <w:r>
        <w:rPr>
          <w:rFonts w:hint="eastAsia" w:ascii="宋体" w:hAnsi="宋体" w:cs="宋体"/>
          <w:sz w:val="24"/>
          <w:szCs w:val="24"/>
        </w:rPr>
        <w:t>☆</w:t>
      </w:r>
      <w:r>
        <w:rPr>
          <w:sz w:val="24"/>
          <w:szCs w:val="24"/>
        </w:rPr>
        <w:t>1指磋商文件中的</w:t>
      </w:r>
      <w:r>
        <w:rPr>
          <w:rFonts w:hint="eastAsia"/>
          <w:sz w:val="24"/>
          <w:szCs w:val="24"/>
        </w:rPr>
        <w:t>采购</w:t>
      </w:r>
      <w:r>
        <w:rPr>
          <w:sz w:val="24"/>
          <w:szCs w:val="24"/>
        </w:rPr>
        <w:t>要求（第七章 采购内容及技术规范）,供应商应按照磋商文件中的内容逐条抄写。</w:t>
      </w:r>
    </w:p>
    <w:p w14:paraId="3D6002EF">
      <w:pPr>
        <w:ind w:left="2"/>
        <w:rPr>
          <w:sz w:val="24"/>
          <w:szCs w:val="24"/>
        </w:rPr>
      </w:pPr>
      <w:r>
        <w:rPr>
          <w:sz w:val="24"/>
          <w:szCs w:val="24"/>
        </w:rPr>
        <w:t>2.</w:t>
      </w:r>
      <w:r>
        <w:rPr>
          <w:rFonts w:hint="eastAsia" w:ascii="宋体" w:hAnsi="宋体" w:cs="宋体"/>
          <w:sz w:val="24"/>
          <w:szCs w:val="24"/>
        </w:rPr>
        <w:t>☆</w:t>
      </w:r>
      <w:r>
        <w:rPr>
          <w:sz w:val="24"/>
          <w:szCs w:val="24"/>
        </w:rPr>
        <w:t>2 指供应商拟</w:t>
      </w:r>
      <w:r>
        <w:rPr>
          <w:rFonts w:hint="eastAsia"/>
          <w:sz w:val="24"/>
          <w:szCs w:val="24"/>
        </w:rPr>
        <w:t>响应</w:t>
      </w:r>
      <w:r>
        <w:rPr>
          <w:sz w:val="24"/>
          <w:szCs w:val="24"/>
        </w:rPr>
        <w:t>内容,供应商应逐条如实填写并按要求提供相应的支持文件。</w:t>
      </w:r>
    </w:p>
    <w:p w14:paraId="509F7E10">
      <w:pPr>
        <w:widowControl/>
        <w:jc w:val="left"/>
        <w:rPr>
          <w:b/>
          <w:sz w:val="36"/>
          <w:szCs w:val="36"/>
        </w:rPr>
      </w:pPr>
    </w:p>
    <w:p w14:paraId="467A51C3">
      <w:pPr>
        <w:widowControl/>
        <w:jc w:val="left"/>
        <w:rPr>
          <w:sz w:val="24"/>
          <w:szCs w:val="24"/>
        </w:rPr>
      </w:pPr>
      <w:r>
        <w:rPr>
          <w:sz w:val="24"/>
          <w:szCs w:val="24"/>
        </w:rPr>
        <w:br w:type="page"/>
      </w:r>
      <w:r>
        <w:rPr>
          <w:sz w:val="24"/>
          <w:szCs w:val="24"/>
        </w:rPr>
        <w:t>附表</w:t>
      </w:r>
      <w:r>
        <w:rPr>
          <w:rFonts w:hint="eastAsia"/>
          <w:sz w:val="24"/>
          <w:szCs w:val="24"/>
        </w:rPr>
        <w:t>2</w:t>
      </w:r>
    </w:p>
    <w:p w14:paraId="33510738">
      <w:pPr>
        <w:jc w:val="center"/>
        <w:rPr>
          <w:b/>
          <w:bCs/>
          <w:sz w:val="32"/>
          <w:szCs w:val="32"/>
        </w:rPr>
      </w:pPr>
      <w:r>
        <w:rPr>
          <w:b/>
          <w:bCs/>
          <w:sz w:val="32"/>
          <w:szCs w:val="32"/>
        </w:rPr>
        <w:t>商务条款偏离表</w:t>
      </w:r>
    </w:p>
    <w:p w14:paraId="15661652">
      <w:pPr>
        <w:spacing w:line="0" w:lineRule="atLeast"/>
        <w:rPr>
          <w:sz w:val="24"/>
          <w:szCs w:val="24"/>
        </w:rPr>
      </w:pPr>
      <w:r>
        <w:rPr>
          <w:sz w:val="24"/>
          <w:szCs w:val="24"/>
        </w:rPr>
        <w:t>供应商名称：</w:t>
      </w:r>
    </w:p>
    <w:p w14:paraId="60920D58">
      <w:pPr>
        <w:spacing w:line="0" w:lineRule="atLeast"/>
        <w:rPr>
          <w:sz w:val="24"/>
          <w:szCs w:val="24"/>
        </w:rPr>
      </w:pPr>
      <w:r>
        <w:rPr>
          <w:sz w:val="24"/>
          <w:szCs w:val="24"/>
        </w:rPr>
        <w:t>项目编号：</w:t>
      </w:r>
    </w:p>
    <w:tbl>
      <w:tblPr>
        <w:tblStyle w:val="21"/>
        <w:tblW w:w="8699" w:type="dxa"/>
        <w:tblInd w:w="0" w:type="dxa"/>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42"/>
        <w:gridCol w:w="2399"/>
        <w:gridCol w:w="2520"/>
        <w:gridCol w:w="1318"/>
        <w:gridCol w:w="1220"/>
      </w:tblGrid>
      <w:tr w14:paraId="0351EC56">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c>
          <w:tcPr>
            <w:tcW w:w="1242" w:type="dxa"/>
            <w:vAlign w:val="center"/>
          </w:tcPr>
          <w:p w14:paraId="071E0E08">
            <w:pPr>
              <w:jc w:val="center"/>
              <w:rPr>
                <w:szCs w:val="21"/>
              </w:rPr>
            </w:pPr>
            <w:r>
              <w:rPr>
                <w:szCs w:val="21"/>
              </w:rPr>
              <w:t>条款号</w:t>
            </w:r>
          </w:p>
        </w:tc>
        <w:tc>
          <w:tcPr>
            <w:tcW w:w="2399" w:type="dxa"/>
            <w:vAlign w:val="center"/>
          </w:tcPr>
          <w:p w14:paraId="3CEEA0A0">
            <w:pPr>
              <w:jc w:val="center"/>
              <w:rPr>
                <w:szCs w:val="21"/>
              </w:rPr>
            </w:pPr>
            <w:r>
              <w:rPr>
                <w:szCs w:val="21"/>
              </w:rPr>
              <w:t>商务条款</w:t>
            </w:r>
            <w:r>
              <w:rPr>
                <w:rFonts w:hint="eastAsia" w:ascii="宋体" w:hAnsi="宋体" w:cs="宋体"/>
                <w:sz w:val="24"/>
                <w:szCs w:val="24"/>
              </w:rPr>
              <w:t>☆</w:t>
            </w:r>
            <w:r>
              <w:rPr>
                <w:szCs w:val="21"/>
              </w:rPr>
              <w:t>1</w:t>
            </w:r>
          </w:p>
        </w:tc>
        <w:tc>
          <w:tcPr>
            <w:tcW w:w="2520" w:type="dxa"/>
            <w:vAlign w:val="center"/>
          </w:tcPr>
          <w:p w14:paraId="0A24E863">
            <w:pPr>
              <w:jc w:val="center"/>
              <w:rPr>
                <w:szCs w:val="21"/>
              </w:rPr>
            </w:pPr>
            <w:r>
              <w:rPr>
                <w:szCs w:val="21"/>
              </w:rPr>
              <w:t>商务条款</w:t>
            </w:r>
            <w:r>
              <w:rPr>
                <w:rFonts w:hint="eastAsia" w:ascii="宋体" w:hAnsi="宋体" w:cs="宋体"/>
                <w:sz w:val="24"/>
                <w:szCs w:val="24"/>
              </w:rPr>
              <w:t>☆</w:t>
            </w:r>
            <w:r>
              <w:rPr>
                <w:szCs w:val="21"/>
              </w:rPr>
              <w:t>2</w:t>
            </w:r>
          </w:p>
        </w:tc>
        <w:tc>
          <w:tcPr>
            <w:tcW w:w="1318" w:type="dxa"/>
            <w:vAlign w:val="center"/>
          </w:tcPr>
          <w:p w14:paraId="03AFE06A">
            <w:pPr>
              <w:jc w:val="center"/>
              <w:rPr>
                <w:szCs w:val="21"/>
              </w:rPr>
            </w:pPr>
            <w:r>
              <w:rPr>
                <w:szCs w:val="21"/>
              </w:rPr>
              <w:t>响应/偏离</w:t>
            </w:r>
          </w:p>
        </w:tc>
        <w:tc>
          <w:tcPr>
            <w:tcW w:w="1220" w:type="dxa"/>
            <w:vAlign w:val="center"/>
          </w:tcPr>
          <w:p w14:paraId="0A5C9543">
            <w:pPr>
              <w:jc w:val="center"/>
              <w:rPr>
                <w:szCs w:val="21"/>
              </w:rPr>
            </w:pPr>
            <w:r>
              <w:rPr>
                <w:szCs w:val="21"/>
              </w:rPr>
              <w:t>说明</w:t>
            </w:r>
          </w:p>
        </w:tc>
      </w:tr>
      <w:tr w14:paraId="1AF8DC9B">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6604" w:hRule="atLeast"/>
        </w:trPr>
        <w:tc>
          <w:tcPr>
            <w:tcW w:w="1242" w:type="dxa"/>
            <w:tcBorders>
              <w:bottom w:val="double" w:color="auto" w:sz="4" w:space="0"/>
            </w:tcBorders>
          </w:tcPr>
          <w:p w14:paraId="7B939D63">
            <w:pPr>
              <w:rPr>
                <w:szCs w:val="21"/>
              </w:rPr>
            </w:pPr>
          </w:p>
        </w:tc>
        <w:tc>
          <w:tcPr>
            <w:tcW w:w="2399" w:type="dxa"/>
            <w:tcBorders>
              <w:bottom w:val="double" w:color="auto" w:sz="4" w:space="0"/>
            </w:tcBorders>
          </w:tcPr>
          <w:p w14:paraId="67276B96">
            <w:pPr>
              <w:rPr>
                <w:szCs w:val="21"/>
              </w:rPr>
            </w:pPr>
          </w:p>
        </w:tc>
        <w:tc>
          <w:tcPr>
            <w:tcW w:w="2520" w:type="dxa"/>
            <w:tcBorders>
              <w:bottom w:val="double" w:color="auto" w:sz="4" w:space="0"/>
            </w:tcBorders>
          </w:tcPr>
          <w:p w14:paraId="0E6F328E">
            <w:pPr>
              <w:rPr>
                <w:szCs w:val="21"/>
              </w:rPr>
            </w:pPr>
          </w:p>
        </w:tc>
        <w:tc>
          <w:tcPr>
            <w:tcW w:w="1318" w:type="dxa"/>
            <w:tcBorders>
              <w:bottom w:val="double" w:color="auto" w:sz="4" w:space="0"/>
            </w:tcBorders>
          </w:tcPr>
          <w:p w14:paraId="67251AE5">
            <w:pPr>
              <w:rPr>
                <w:szCs w:val="21"/>
              </w:rPr>
            </w:pPr>
          </w:p>
        </w:tc>
        <w:tc>
          <w:tcPr>
            <w:tcW w:w="1220" w:type="dxa"/>
            <w:tcBorders>
              <w:bottom w:val="double" w:color="auto" w:sz="4" w:space="0"/>
            </w:tcBorders>
          </w:tcPr>
          <w:p w14:paraId="0046857C">
            <w:pPr>
              <w:rPr>
                <w:szCs w:val="21"/>
              </w:rPr>
            </w:pPr>
          </w:p>
        </w:tc>
      </w:tr>
    </w:tbl>
    <w:p w14:paraId="406EEDF8">
      <w:pPr>
        <w:rPr>
          <w:i/>
          <w:sz w:val="18"/>
          <w:szCs w:val="18"/>
        </w:rPr>
      </w:pPr>
    </w:p>
    <w:p w14:paraId="5C4D61DA">
      <w:pPr>
        <w:rPr>
          <w:sz w:val="24"/>
          <w:szCs w:val="24"/>
        </w:rPr>
      </w:pPr>
      <w:r>
        <w:rPr>
          <w:sz w:val="24"/>
          <w:szCs w:val="24"/>
        </w:rPr>
        <w:t>授权代表人签字或盖章：</w:t>
      </w:r>
    </w:p>
    <w:p w14:paraId="75E659A5">
      <w:pPr>
        <w:rPr>
          <w:sz w:val="24"/>
          <w:szCs w:val="24"/>
        </w:rPr>
      </w:pPr>
    </w:p>
    <w:p w14:paraId="5AAD55FB">
      <w:pPr>
        <w:rPr>
          <w:sz w:val="24"/>
          <w:szCs w:val="24"/>
        </w:rPr>
      </w:pPr>
    </w:p>
    <w:p w14:paraId="49E031F6">
      <w:pPr>
        <w:rPr>
          <w:sz w:val="24"/>
          <w:szCs w:val="24"/>
        </w:rPr>
      </w:pPr>
      <w:r>
        <w:rPr>
          <w:sz w:val="24"/>
          <w:szCs w:val="24"/>
        </w:rPr>
        <w:t>公章：</w:t>
      </w:r>
    </w:p>
    <w:p w14:paraId="2A2E8071">
      <w:pPr>
        <w:rPr>
          <w:sz w:val="24"/>
          <w:szCs w:val="24"/>
        </w:rPr>
      </w:pPr>
    </w:p>
    <w:p w14:paraId="5CCD8BDE">
      <w:pPr>
        <w:rPr>
          <w:sz w:val="24"/>
          <w:szCs w:val="24"/>
        </w:rPr>
      </w:pPr>
    </w:p>
    <w:p w14:paraId="46952D0D">
      <w:pPr>
        <w:ind w:left="1560" w:hanging="1560" w:hangingChars="650"/>
        <w:rPr>
          <w:sz w:val="24"/>
          <w:szCs w:val="24"/>
        </w:rPr>
      </w:pPr>
      <w:r>
        <w:rPr>
          <w:sz w:val="24"/>
          <w:szCs w:val="24"/>
        </w:rPr>
        <w:t>注：</w:t>
      </w:r>
    </w:p>
    <w:p w14:paraId="19F4905A">
      <w:pPr>
        <w:ind w:left="2"/>
        <w:rPr>
          <w:sz w:val="24"/>
          <w:szCs w:val="24"/>
        </w:rPr>
      </w:pPr>
      <w:r>
        <w:rPr>
          <w:sz w:val="24"/>
          <w:szCs w:val="24"/>
        </w:rPr>
        <w:t>1.</w:t>
      </w:r>
      <w:r>
        <w:rPr>
          <w:rFonts w:hint="eastAsia" w:ascii="宋体" w:hAnsi="宋体" w:cs="宋体"/>
          <w:sz w:val="24"/>
          <w:szCs w:val="24"/>
        </w:rPr>
        <w:t>☆</w:t>
      </w:r>
      <w:r>
        <w:rPr>
          <w:szCs w:val="21"/>
        </w:rPr>
        <w:t>1</w:t>
      </w:r>
      <w:r>
        <w:rPr>
          <w:sz w:val="24"/>
          <w:szCs w:val="24"/>
        </w:rPr>
        <w:t>指磋商文件中的合同专用条款（第</w:t>
      </w:r>
      <w:r>
        <w:rPr>
          <w:rFonts w:hint="eastAsia"/>
          <w:sz w:val="24"/>
          <w:szCs w:val="24"/>
        </w:rPr>
        <w:t>四</w:t>
      </w:r>
      <w:r>
        <w:rPr>
          <w:sz w:val="24"/>
          <w:szCs w:val="24"/>
        </w:rPr>
        <w:t>章）,供应商应按照磋商文件中的内容逐条抄写。</w:t>
      </w:r>
    </w:p>
    <w:p w14:paraId="41A38161">
      <w:pPr>
        <w:shd w:val="clear" w:color="auto" w:fill="FFFFFF"/>
        <w:rPr>
          <w:sz w:val="24"/>
          <w:szCs w:val="24"/>
        </w:rPr>
      </w:pPr>
      <w:r>
        <w:rPr>
          <w:sz w:val="24"/>
          <w:szCs w:val="24"/>
        </w:rPr>
        <w:t>2.</w:t>
      </w:r>
      <w:r>
        <w:rPr>
          <w:rFonts w:hint="eastAsia" w:ascii="宋体" w:hAnsi="宋体" w:cs="宋体"/>
          <w:sz w:val="24"/>
          <w:szCs w:val="24"/>
        </w:rPr>
        <w:t>☆</w:t>
      </w:r>
      <w:r>
        <w:rPr>
          <w:szCs w:val="21"/>
        </w:rPr>
        <w:t>2</w:t>
      </w:r>
      <w:r>
        <w:rPr>
          <w:sz w:val="24"/>
          <w:szCs w:val="24"/>
        </w:rPr>
        <w:t>指供应商商务响应情况,供应商应逐条如实填写。</w:t>
      </w:r>
    </w:p>
    <w:p w14:paraId="763D4ECA">
      <w:pPr>
        <w:widowControl/>
        <w:jc w:val="left"/>
        <w:rPr>
          <w:sz w:val="24"/>
          <w:szCs w:val="24"/>
        </w:rPr>
      </w:pPr>
      <w:r>
        <w:rPr>
          <w:sz w:val="24"/>
          <w:szCs w:val="24"/>
        </w:rPr>
        <w:br w:type="page"/>
      </w:r>
    </w:p>
    <w:p w14:paraId="4AEE3C49">
      <w:pPr>
        <w:shd w:val="clear" w:color="auto" w:fill="FFFFFF"/>
        <w:jc w:val="center"/>
        <w:rPr>
          <w:b/>
          <w:sz w:val="36"/>
          <w:szCs w:val="36"/>
        </w:rPr>
      </w:pPr>
      <w:r>
        <w:rPr>
          <w:rFonts w:hint="eastAsia"/>
          <w:b/>
          <w:sz w:val="36"/>
          <w:szCs w:val="36"/>
        </w:rPr>
        <w:t>七</w:t>
      </w:r>
      <w:r>
        <w:rPr>
          <w:b/>
          <w:sz w:val="36"/>
          <w:szCs w:val="36"/>
        </w:rPr>
        <w:t>、供应商认为必要的其他资料</w:t>
      </w:r>
    </w:p>
    <w:p w14:paraId="140F51CA">
      <w:pPr>
        <w:widowControl/>
        <w:jc w:val="left"/>
        <w:rPr>
          <w:sz w:val="24"/>
          <w:szCs w:val="24"/>
        </w:rPr>
      </w:pPr>
    </w:p>
    <w:p w14:paraId="60658F89">
      <w:pPr>
        <w:widowControl/>
        <w:jc w:val="left"/>
        <w:rPr>
          <w:sz w:val="24"/>
          <w:szCs w:val="24"/>
        </w:rPr>
      </w:pPr>
    </w:p>
    <w:p w14:paraId="040410C0">
      <w:pPr>
        <w:widowControl/>
        <w:jc w:val="left"/>
        <w:rPr>
          <w:sz w:val="24"/>
          <w:szCs w:val="24"/>
        </w:rPr>
      </w:pPr>
    </w:p>
    <w:p w14:paraId="2AEA4C92">
      <w:pPr>
        <w:widowControl/>
        <w:jc w:val="left"/>
        <w:rPr>
          <w:sz w:val="24"/>
          <w:szCs w:val="24"/>
        </w:rPr>
      </w:pPr>
    </w:p>
    <w:p w14:paraId="7367418F">
      <w:pPr>
        <w:widowControl/>
        <w:jc w:val="left"/>
        <w:rPr>
          <w:sz w:val="24"/>
          <w:szCs w:val="24"/>
        </w:rPr>
      </w:pPr>
    </w:p>
    <w:p w14:paraId="58A74574">
      <w:pPr>
        <w:widowControl/>
        <w:jc w:val="left"/>
        <w:rPr>
          <w:sz w:val="24"/>
          <w:szCs w:val="24"/>
        </w:rPr>
      </w:pPr>
    </w:p>
    <w:p w14:paraId="49CC60BB">
      <w:pPr>
        <w:widowControl/>
        <w:jc w:val="left"/>
        <w:rPr>
          <w:sz w:val="24"/>
          <w:szCs w:val="24"/>
        </w:rPr>
      </w:pPr>
    </w:p>
    <w:p w14:paraId="26F20FF9">
      <w:pPr>
        <w:widowControl/>
        <w:jc w:val="left"/>
        <w:rPr>
          <w:sz w:val="24"/>
          <w:szCs w:val="24"/>
        </w:rPr>
      </w:pPr>
    </w:p>
    <w:p w14:paraId="7FE3DCA0">
      <w:pPr>
        <w:widowControl/>
        <w:jc w:val="left"/>
        <w:rPr>
          <w:sz w:val="24"/>
          <w:szCs w:val="24"/>
        </w:rPr>
      </w:pPr>
    </w:p>
    <w:p w14:paraId="6E298872">
      <w:pPr>
        <w:widowControl/>
        <w:jc w:val="left"/>
        <w:rPr>
          <w:sz w:val="24"/>
          <w:szCs w:val="24"/>
        </w:rPr>
      </w:pPr>
    </w:p>
    <w:p w14:paraId="4A40BE7C">
      <w:pPr>
        <w:widowControl/>
        <w:jc w:val="left"/>
        <w:rPr>
          <w:sz w:val="24"/>
          <w:szCs w:val="24"/>
        </w:rPr>
      </w:pPr>
    </w:p>
    <w:p w14:paraId="659750EE">
      <w:pPr>
        <w:widowControl/>
        <w:jc w:val="left"/>
        <w:rPr>
          <w:sz w:val="24"/>
          <w:szCs w:val="24"/>
        </w:rPr>
      </w:pPr>
    </w:p>
    <w:p w14:paraId="687E6BD7">
      <w:pPr>
        <w:widowControl/>
        <w:jc w:val="left"/>
        <w:rPr>
          <w:sz w:val="24"/>
          <w:szCs w:val="24"/>
        </w:rPr>
      </w:pPr>
    </w:p>
    <w:p w14:paraId="6C91F9EF">
      <w:pPr>
        <w:widowControl/>
        <w:jc w:val="left"/>
        <w:rPr>
          <w:sz w:val="24"/>
          <w:szCs w:val="24"/>
        </w:rPr>
      </w:pPr>
    </w:p>
    <w:p w14:paraId="2DBADCCB">
      <w:pPr>
        <w:widowControl/>
        <w:jc w:val="left"/>
        <w:rPr>
          <w:sz w:val="24"/>
          <w:szCs w:val="24"/>
        </w:rPr>
      </w:pPr>
    </w:p>
    <w:p w14:paraId="68438084">
      <w:pPr>
        <w:widowControl/>
        <w:jc w:val="left"/>
        <w:rPr>
          <w:sz w:val="24"/>
          <w:szCs w:val="24"/>
        </w:rPr>
      </w:pPr>
    </w:p>
    <w:p w14:paraId="5C3DE6CB">
      <w:pPr>
        <w:widowControl/>
        <w:jc w:val="left"/>
        <w:rPr>
          <w:sz w:val="24"/>
          <w:szCs w:val="24"/>
        </w:rPr>
      </w:pPr>
    </w:p>
    <w:p w14:paraId="29E22D9C">
      <w:pPr>
        <w:widowControl/>
        <w:jc w:val="left"/>
        <w:rPr>
          <w:sz w:val="24"/>
          <w:szCs w:val="24"/>
        </w:rPr>
      </w:pPr>
    </w:p>
    <w:p w14:paraId="12EB9F8C">
      <w:pPr>
        <w:widowControl/>
        <w:jc w:val="left"/>
        <w:rPr>
          <w:sz w:val="24"/>
          <w:szCs w:val="24"/>
        </w:rPr>
      </w:pPr>
    </w:p>
    <w:p w14:paraId="60ED3C75">
      <w:pPr>
        <w:widowControl/>
        <w:jc w:val="left"/>
        <w:rPr>
          <w:sz w:val="24"/>
          <w:szCs w:val="24"/>
        </w:rPr>
      </w:pPr>
    </w:p>
    <w:p w14:paraId="456DA879">
      <w:pPr>
        <w:widowControl/>
        <w:jc w:val="left"/>
        <w:rPr>
          <w:sz w:val="24"/>
          <w:szCs w:val="24"/>
        </w:rPr>
      </w:pPr>
    </w:p>
    <w:p w14:paraId="3A716CED">
      <w:pPr>
        <w:widowControl/>
        <w:jc w:val="left"/>
        <w:rPr>
          <w:sz w:val="24"/>
          <w:szCs w:val="24"/>
        </w:rPr>
      </w:pPr>
    </w:p>
    <w:p w14:paraId="579459C2">
      <w:pPr>
        <w:widowControl/>
        <w:jc w:val="left"/>
        <w:rPr>
          <w:sz w:val="24"/>
          <w:szCs w:val="24"/>
        </w:rPr>
      </w:pPr>
    </w:p>
    <w:p w14:paraId="40F95B28">
      <w:pPr>
        <w:widowControl/>
        <w:jc w:val="left"/>
        <w:rPr>
          <w:sz w:val="24"/>
          <w:szCs w:val="24"/>
        </w:rPr>
      </w:pPr>
    </w:p>
    <w:p w14:paraId="23572D2F">
      <w:pPr>
        <w:widowControl/>
        <w:jc w:val="left"/>
        <w:rPr>
          <w:sz w:val="24"/>
          <w:szCs w:val="24"/>
        </w:rPr>
      </w:pPr>
    </w:p>
    <w:p w14:paraId="44B8C495">
      <w:pPr>
        <w:widowControl/>
        <w:jc w:val="left"/>
        <w:rPr>
          <w:sz w:val="24"/>
          <w:szCs w:val="24"/>
        </w:rPr>
      </w:pPr>
    </w:p>
    <w:p w14:paraId="79ED16AE">
      <w:pPr>
        <w:widowControl/>
        <w:jc w:val="left"/>
        <w:rPr>
          <w:sz w:val="24"/>
          <w:szCs w:val="24"/>
        </w:rPr>
      </w:pPr>
    </w:p>
    <w:p w14:paraId="6EA05936">
      <w:pPr>
        <w:widowControl/>
        <w:jc w:val="left"/>
        <w:rPr>
          <w:sz w:val="24"/>
          <w:szCs w:val="24"/>
        </w:rPr>
      </w:pPr>
    </w:p>
    <w:p w14:paraId="5A001C68">
      <w:pPr>
        <w:widowControl/>
        <w:jc w:val="left"/>
        <w:rPr>
          <w:sz w:val="24"/>
          <w:szCs w:val="24"/>
        </w:rPr>
      </w:pPr>
    </w:p>
    <w:p w14:paraId="2F3970AA">
      <w:pPr>
        <w:widowControl/>
        <w:jc w:val="left"/>
        <w:rPr>
          <w:sz w:val="24"/>
          <w:szCs w:val="24"/>
        </w:rPr>
      </w:pPr>
    </w:p>
    <w:p w14:paraId="68D3346F">
      <w:pPr>
        <w:widowControl/>
        <w:jc w:val="left"/>
        <w:rPr>
          <w:sz w:val="24"/>
          <w:szCs w:val="24"/>
        </w:rPr>
      </w:pPr>
    </w:p>
    <w:p w14:paraId="040122DB">
      <w:pPr>
        <w:widowControl/>
        <w:jc w:val="left"/>
        <w:rPr>
          <w:sz w:val="24"/>
          <w:szCs w:val="24"/>
        </w:rPr>
      </w:pPr>
    </w:p>
    <w:p w14:paraId="3896C1BB">
      <w:pPr>
        <w:rPr>
          <w:b/>
          <w:sz w:val="32"/>
          <w:szCs w:val="32"/>
        </w:rPr>
      </w:pPr>
      <w:r>
        <w:rPr>
          <w:b/>
          <w:sz w:val="32"/>
          <w:szCs w:val="32"/>
        </w:rPr>
        <w:br w:type="page"/>
      </w:r>
    </w:p>
    <w:p w14:paraId="59FBB3C4">
      <w:pPr>
        <w:shd w:val="clear" w:color="auto" w:fill="FFFFFF"/>
        <w:spacing w:line="440" w:lineRule="exact"/>
        <w:jc w:val="center"/>
        <w:rPr>
          <w:b/>
          <w:sz w:val="32"/>
          <w:szCs w:val="32"/>
        </w:rPr>
      </w:pPr>
      <w:r>
        <w:rPr>
          <w:b/>
          <w:sz w:val="32"/>
          <w:szCs w:val="32"/>
        </w:rPr>
        <w:t>第</w:t>
      </w:r>
      <w:r>
        <w:rPr>
          <w:rFonts w:hint="eastAsia"/>
          <w:b/>
          <w:sz w:val="32"/>
          <w:szCs w:val="32"/>
        </w:rPr>
        <w:t>七</w:t>
      </w:r>
      <w:r>
        <w:rPr>
          <w:b/>
          <w:sz w:val="32"/>
          <w:szCs w:val="32"/>
        </w:rPr>
        <w:t>章</w:t>
      </w:r>
      <w:r>
        <w:rPr>
          <w:rFonts w:hint="eastAsia"/>
          <w:b/>
          <w:sz w:val="32"/>
          <w:szCs w:val="32"/>
        </w:rPr>
        <w:t xml:space="preserve"> </w:t>
      </w:r>
      <w:r>
        <w:rPr>
          <w:b/>
          <w:sz w:val="32"/>
          <w:szCs w:val="32"/>
        </w:rPr>
        <w:t>采购内容及技术规范</w:t>
      </w:r>
    </w:p>
    <w:p w14:paraId="41B0DFCF">
      <w:pPr>
        <w:shd w:val="clear" w:color="auto" w:fill="FFFFFF"/>
        <w:spacing w:line="440" w:lineRule="exact"/>
        <w:rPr>
          <w:b/>
          <w:sz w:val="32"/>
          <w:szCs w:val="32"/>
        </w:rPr>
      </w:pPr>
    </w:p>
    <w:p w14:paraId="1F3B41B8">
      <w:pPr>
        <w:pStyle w:val="9"/>
      </w:pPr>
    </w:p>
    <w:p w14:paraId="6863A039">
      <w:pPr>
        <w:tabs>
          <w:tab w:val="left" w:pos="855"/>
        </w:tabs>
        <w:spacing w:line="360" w:lineRule="auto"/>
        <w:rPr>
          <w:b/>
          <w:bCs/>
          <w:sz w:val="30"/>
          <w:szCs w:val="30"/>
        </w:rPr>
      </w:pPr>
      <w:r>
        <w:rPr>
          <w:rFonts w:hint="eastAsia"/>
          <w:b/>
          <w:bCs/>
          <w:sz w:val="30"/>
          <w:szCs w:val="30"/>
        </w:rPr>
        <w:t>一、</w:t>
      </w:r>
      <w:r>
        <w:rPr>
          <w:b/>
          <w:bCs/>
          <w:sz w:val="30"/>
          <w:szCs w:val="30"/>
        </w:rPr>
        <w:t>磋商内容一览表</w:t>
      </w:r>
    </w:p>
    <w:tbl>
      <w:tblPr>
        <w:tblStyle w:val="21"/>
        <w:tblW w:w="857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30"/>
        <w:gridCol w:w="3839"/>
        <w:gridCol w:w="3119"/>
        <w:gridCol w:w="784"/>
      </w:tblGrid>
      <w:tr w14:paraId="4784C6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jc w:val="center"/>
        </w:trPr>
        <w:tc>
          <w:tcPr>
            <w:tcW w:w="830" w:type="dxa"/>
            <w:vAlign w:val="center"/>
          </w:tcPr>
          <w:p w14:paraId="3404249C">
            <w:pPr>
              <w:spacing w:before="240" w:after="240" w:line="440" w:lineRule="exact"/>
              <w:jc w:val="center"/>
              <w:rPr>
                <w:rFonts w:ascii="宋体" w:hAnsi="宋体" w:cs="宋体"/>
                <w:sz w:val="24"/>
                <w:szCs w:val="24"/>
              </w:rPr>
            </w:pPr>
            <w:r>
              <w:rPr>
                <w:rFonts w:hint="eastAsia" w:ascii="宋体" w:hAnsi="宋体" w:cs="宋体"/>
                <w:sz w:val="24"/>
                <w:szCs w:val="24"/>
              </w:rPr>
              <w:t>包号</w:t>
            </w:r>
          </w:p>
        </w:tc>
        <w:tc>
          <w:tcPr>
            <w:tcW w:w="3839" w:type="dxa"/>
            <w:vAlign w:val="center"/>
          </w:tcPr>
          <w:p w14:paraId="3617793B">
            <w:pPr>
              <w:spacing w:before="240" w:after="240" w:line="440" w:lineRule="exact"/>
              <w:jc w:val="center"/>
              <w:rPr>
                <w:rFonts w:ascii="宋体" w:hAnsi="宋体" w:cs="宋体"/>
                <w:sz w:val="24"/>
                <w:szCs w:val="24"/>
              </w:rPr>
            </w:pPr>
            <w:r>
              <w:rPr>
                <w:rFonts w:hint="eastAsia" w:ascii="宋体" w:hAnsi="宋体" w:cs="宋体"/>
                <w:sz w:val="24"/>
                <w:szCs w:val="24"/>
              </w:rPr>
              <w:t>服务内容</w:t>
            </w:r>
          </w:p>
        </w:tc>
        <w:tc>
          <w:tcPr>
            <w:tcW w:w="3119" w:type="dxa"/>
          </w:tcPr>
          <w:p w14:paraId="524B56E2">
            <w:pPr>
              <w:spacing w:before="240" w:after="240" w:line="440" w:lineRule="exact"/>
              <w:jc w:val="center"/>
              <w:rPr>
                <w:rFonts w:ascii="宋体" w:hAnsi="宋体" w:cs="宋体"/>
                <w:sz w:val="24"/>
                <w:szCs w:val="24"/>
              </w:rPr>
            </w:pPr>
            <w:r>
              <w:rPr>
                <w:rFonts w:hint="eastAsia" w:ascii="宋体" w:hAnsi="宋体" w:cs="宋体"/>
                <w:sz w:val="24"/>
                <w:szCs w:val="24"/>
              </w:rPr>
              <w:t>服务期</w:t>
            </w:r>
          </w:p>
        </w:tc>
        <w:tc>
          <w:tcPr>
            <w:tcW w:w="784" w:type="dxa"/>
            <w:vAlign w:val="center"/>
          </w:tcPr>
          <w:p w14:paraId="00ABE373">
            <w:pPr>
              <w:spacing w:before="240" w:after="240" w:line="440" w:lineRule="exact"/>
              <w:jc w:val="center"/>
              <w:rPr>
                <w:rFonts w:ascii="宋体" w:hAnsi="宋体" w:cs="宋体"/>
                <w:sz w:val="24"/>
                <w:szCs w:val="24"/>
              </w:rPr>
            </w:pPr>
            <w:r>
              <w:rPr>
                <w:rFonts w:hint="eastAsia" w:ascii="宋体" w:hAnsi="宋体" w:cs="宋体"/>
                <w:sz w:val="24"/>
                <w:szCs w:val="24"/>
              </w:rPr>
              <w:t>备注</w:t>
            </w:r>
          </w:p>
        </w:tc>
      </w:tr>
      <w:tr w14:paraId="3EC3D4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4" w:hRule="atLeast"/>
          <w:jc w:val="center"/>
        </w:trPr>
        <w:tc>
          <w:tcPr>
            <w:tcW w:w="830" w:type="dxa"/>
          </w:tcPr>
          <w:p w14:paraId="018D736B">
            <w:pPr>
              <w:spacing w:before="240" w:after="240" w:line="440" w:lineRule="exact"/>
              <w:jc w:val="center"/>
              <w:rPr>
                <w:rFonts w:ascii="宋体" w:hAnsi="宋体" w:cs="宋体"/>
                <w:sz w:val="24"/>
                <w:szCs w:val="24"/>
              </w:rPr>
            </w:pPr>
            <w:r>
              <w:rPr>
                <w:rFonts w:hint="eastAsia" w:ascii="宋体" w:hAnsi="宋体" w:cs="宋体"/>
                <w:sz w:val="24"/>
                <w:szCs w:val="24"/>
              </w:rPr>
              <w:t>1</w:t>
            </w:r>
          </w:p>
        </w:tc>
        <w:tc>
          <w:tcPr>
            <w:tcW w:w="3839" w:type="dxa"/>
          </w:tcPr>
          <w:p w14:paraId="2D4D3600">
            <w:pPr>
              <w:spacing w:before="240" w:after="240" w:line="440" w:lineRule="exact"/>
              <w:jc w:val="center"/>
              <w:rPr>
                <w:rFonts w:ascii="宋体" w:hAnsi="宋体" w:eastAsia="仿宋" w:cs="宋体"/>
                <w:sz w:val="24"/>
                <w:szCs w:val="24"/>
              </w:rPr>
            </w:pPr>
            <w:r>
              <w:rPr>
                <w:rFonts w:hint="eastAsia" w:ascii="宋体" w:hAnsi="宋体" w:cs="宋体"/>
                <w:sz w:val="24"/>
                <w:szCs w:val="24"/>
              </w:rPr>
              <w:t>DRG管理平台采购</w:t>
            </w:r>
          </w:p>
        </w:tc>
        <w:tc>
          <w:tcPr>
            <w:tcW w:w="3119" w:type="dxa"/>
          </w:tcPr>
          <w:p w14:paraId="2013A433">
            <w:pPr>
              <w:spacing w:before="240" w:after="240" w:line="440" w:lineRule="exact"/>
              <w:jc w:val="center"/>
              <w:rPr>
                <w:rFonts w:ascii="宋体" w:hAnsi="宋体" w:cs="宋体"/>
                <w:sz w:val="24"/>
                <w:szCs w:val="24"/>
              </w:rPr>
            </w:pPr>
            <w:r>
              <w:rPr>
                <w:rFonts w:hint="eastAsia" w:ascii="宋体" w:hAnsi="宋体" w:cs="宋体"/>
                <w:sz w:val="24"/>
                <w:szCs w:val="24"/>
              </w:rPr>
              <w:t>自合同签订之日起1年</w:t>
            </w:r>
          </w:p>
        </w:tc>
        <w:tc>
          <w:tcPr>
            <w:tcW w:w="784" w:type="dxa"/>
          </w:tcPr>
          <w:p w14:paraId="7810BD21">
            <w:pPr>
              <w:spacing w:before="240" w:after="240" w:line="440" w:lineRule="exact"/>
              <w:jc w:val="center"/>
              <w:rPr>
                <w:rFonts w:ascii="宋体" w:hAnsi="宋体" w:cs="宋体"/>
                <w:sz w:val="24"/>
                <w:szCs w:val="24"/>
              </w:rPr>
            </w:pPr>
            <w:r>
              <w:rPr>
                <w:rFonts w:hint="eastAsia" w:ascii="宋体" w:hAnsi="宋体" w:cs="宋体"/>
                <w:sz w:val="24"/>
                <w:szCs w:val="24"/>
              </w:rPr>
              <w:t>无</w:t>
            </w:r>
          </w:p>
        </w:tc>
      </w:tr>
    </w:tbl>
    <w:p w14:paraId="331F1D8B">
      <w:pPr>
        <w:widowControl/>
        <w:rPr>
          <w:b/>
          <w:sz w:val="36"/>
          <w:szCs w:val="36"/>
        </w:rPr>
      </w:pPr>
    </w:p>
    <w:p w14:paraId="70D63E65">
      <w:pPr>
        <w:widowControl/>
        <w:rPr>
          <w:rFonts w:ascii="宋体" w:hAnsi="宋体" w:cs="宋体"/>
          <w:kern w:val="0"/>
          <w:sz w:val="24"/>
          <w:szCs w:val="24"/>
        </w:rPr>
      </w:pPr>
      <w:r>
        <w:rPr>
          <w:rFonts w:hint="eastAsia" w:ascii="宋体" w:hAnsi="宋体" w:cs="宋体"/>
          <w:b/>
          <w:bCs/>
          <w:kern w:val="0"/>
          <w:sz w:val="28"/>
          <w:szCs w:val="28"/>
        </w:rPr>
        <w:t>二、技术规范要求</w:t>
      </w:r>
    </w:p>
    <w:p w14:paraId="21ACC014">
      <w:pPr>
        <w:pStyle w:val="6"/>
        <w:ind w:firstLine="560"/>
        <w:rPr>
          <w:rFonts w:ascii="宋体" w:hAnsi="宋体" w:cs="宋体"/>
          <w:sz w:val="24"/>
          <w:szCs w:val="24"/>
        </w:rPr>
      </w:pPr>
      <w:r>
        <w:rPr>
          <w:rFonts w:hint="eastAsia" w:ascii="宋体" w:hAnsi="宋体" w:cs="宋体"/>
          <w:sz w:val="24"/>
          <w:szCs w:val="24"/>
        </w:rPr>
        <w:t>采购医院D</w:t>
      </w:r>
      <w:r>
        <w:rPr>
          <w:rFonts w:ascii="宋体" w:hAnsi="宋体" w:cs="宋体"/>
          <w:sz w:val="24"/>
          <w:szCs w:val="24"/>
        </w:rPr>
        <w:t>RG</w:t>
      </w:r>
      <w:r>
        <w:rPr>
          <w:rFonts w:hint="eastAsia" w:ascii="宋体" w:hAnsi="宋体" w:cs="宋体"/>
          <w:sz w:val="24"/>
          <w:szCs w:val="24"/>
        </w:rPr>
        <w:t>管理平台，包含质控知识库、病案首页质控、医保结算清单质控、医保结算清单上传管理、质控统计分析等功能内容，全面提高全院病案首页/医保结算清单数据质量，为医院评审、学科评价和付费方式改革提供客观、准确、高质量数据，提高医疗服务质量，有效控制医生道德风险和诱导需求，从而控制院内医疗费用的不合理增长，促进医院精细化、信息化管理。</w:t>
      </w:r>
    </w:p>
    <w:p w14:paraId="604ABB04">
      <w:pPr>
        <w:pBdr>
          <w:bottom w:val="single" w:color="auto" w:sz="4" w:space="1"/>
        </w:pBdr>
        <w:spacing w:before="312" w:beforeLines="100"/>
        <w:ind w:left="420" w:hanging="420"/>
        <w:rPr>
          <w:rFonts w:ascii="宋体" w:hAnsi="宋体" w:cs="宋体"/>
          <w:sz w:val="24"/>
          <w:szCs w:val="24"/>
        </w:rPr>
      </w:pPr>
      <w:r>
        <w:rPr>
          <w:rFonts w:hint="eastAsia" w:ascii="宋体" w:hAnsi="宋体" w:cs="宋体"/>
          <w:sz w:val="24"/>
          <w:szCs w:val="24"/>
        </w:rPr>
        <w:t>二、服务内容</w:t>
      </w:r>
    </w:p>
    <w:p w14:paraId="2575CA09">
      <w:pPr>
        <w:widowControl/>
        <w:snapToGrid w:val="0"/>
        <w:spacing w:line="440" w:lineRule="exact"/>
        <w:ind w:right="-197" w:rightChars="-94" w:firstLine="480" w:firstLineChars="200"/>
        <w:jc w:val="left"/>
        <w:rPr>
          <w:rFonts w:ascii="宋体" w:hAnsi="宋体" w:cs="宋体"/>
          <w:sz w:val="24"/>
          <w:szCs w:val="24"/>
        </w:rPr>
      </w:pPr>
      <w:r>
        <w:rPr>
          <w:rFonts w:hint="eastAsia" w:ascii="宋体" w:hAnsi="宋体" w:cs="宋体"/>
          <w:sz w:val="24"/>
          <w:szCs w:val="24"/>
        </w:rPr>
        <w:t>（一）质控知识库。</w:t>
      </w:r>
    </w:p>
    <w:p w14:paraId="35A93EFC">
      <w:pPr>
        <w:widowControl/>
        <w:snapToGrid w:val="0"/>
        <w:spacing w:line="480" w:lineRule="exact"/>
        <w:ind w:right="-197" w:rightChars="-94" w:firstLine="480" w:firstLineChars="200"/>
        <w:jc w:val="left"/>
        <w:rPr>
          <w:rFonts w:ascii="宋体" w:hAnsi="宋体" w:cs="宋体"/>
          <w:sz w:val="24"/>
          <w:szCs w:val="24"/>
        </w:rPr>
      </w:pPr>
      <w:r>
        <w:rPr>
          <w:rFonts w:hint="eastAsia" w:ascii="宋体" w:hAnsi="宋体" w:cs="宋体"/>
          <w:sz w:val="24"/>
          <w:szCs w:val="24"/>
        </w:rPr>
        <w:t>病案首页规范知识库：系统提供病案首页书写规范检查校验知识库，实现对病案首页的完整性、合理性、规范性的检验提供底层的知识库支撑。</w:t>
      </w:r>
    </w:p>
    <w:p w14:paraId="5C4A5F3C">
      <w:pPr>
        <w:widowControl/>
        <w:snapToGrid w:val="0"/>
        <w:spacing w:line="480" w:lineRule="exact"/>
        <w:ind w:right="-197" w:rightChars="-94" w:firstLine="480" w:firstLineChars="200"/>
        <w:jc w:val="left"/>
        <w:rPr>
          <w:rFonts w:ascii="宋体" w:hAnsi="宋体" w:cs="宋体"/>
          <w:sz w:val="24"/>
          <w:szCs w:val="24"/>
        </w:rPr>
      </w:pPr>
      <w:r>
        <w:rPr>
          <w:rFonts w:hint="eastAsia" w:ascii="宋体" w:hAnsi="宋体" w:cs="宋体"/>
          <w:sz w:val="24"/>
          <w:szCs w:val="24"/>
        </w:rPr>
        <w:t>医保结算清单质控知识库：系统提供医保结算清单知识库，实现对医保结算清单的完整性、合理性、规范性的检验提供底层的知识库支撑，实现将医保结算清单不错编、不漏编码，同时保障医保结算清单能进行正常的入组，保障医保基金正常结算。</w:t>
      </w:r>
    </w:p>
    <w:p w14:paraId="2D8A4DDD">
      <w:pPr>
        <w:widowControl/>
        <w:snapToGrid w:val="0"/>
        <w:spacing w:line="440" w:lineRule="exact"/>
        <w:ind w:right="-197" w:rightChars="-94" w:firstLine="480" w:firstLineChars="200"/>
        <w:jc w:val="left"/>
        <w:rPr>
          <w:rFonts w:ascii="宋体" w:hAnsi="宋体" w:cs="宋体"/>
          <w:sz w:val="24"/>
          <w:szCs w:val="24"/>
        </w:rPr>
      </w:pPr>
      <w:r>
        <w:rPr>
          <w:rFonts w:hint="eastAsia" w:ascii="宋体" w:hAnsi="宋体" w:cs="宋体"/>
          <w:sz w:val="24"/>
          <w:szCs w:val="24"/>
        </w:rPr>
        <w:t>（二）病案首页质控。</w:t>
      </w:r>
    </w:p>
    <w:p w14:paraId="03E03947">
      <w:pPr>
        <w:widowControl/>
        <w:snapToGrid w:val="0"/>
        <w:spacing w:line="480" w:lineRule="exact"/>
        <w:ind w:right="-197" w:rightChars="-94" w:firstLine="480" w:firstLineChars="200"/>
        <w:jc w:val="left"/>
        <w:rPr>
          <w:rFonts w:ascii="宋体" w:hAnsi="宋体" w:cs="宋体"/>
          <w:sz w:val="24"/>
          <w:szCs w:val="24"/>
        </w:rPr>
      </w:pPr>
      <w:r>
        <w:rPr>
          <w:rFonts w:hint="eastAsia" w:ascii="宋体" w:hAnsi="宋体" w:cs="宋体"/>
          <w:sz w:val="24"/>
          <w:szCs w:val="24"/>
        </w:rPr>
        <w:t>病案首页同步管理：支持实时获取与同步病案首页。由医院现有业务系统包括HIS、病案系统等提供数据同步服务或视图，系统抽取同步诊疗数据和病案首页数据。</w:t>
      </w:r>
    </w:p>
    <w:p w14:paraId="05FBD189">
      <w:pPr>
        <w:widowControl/>
        <w:snapToGrid w:val="0"/>
        <w:spacing w:line="480" w:lineRule="exact"/>
        <w:ind w:right="-197" w:rightChars="-94" w:firstLine="480" w:firstLineChars="200"/>
        <w:jc w:val="left"/>
        <w:rPr>
          <w:rFonts w:ascii="宋体" w:hAnsi="宋体" w:cs="宋体"/>
          <w:sz w:val="24"/>
          <w:szCs w:val="24"/>
        </w:rPr>
      </w:pPr>
      <w:r>
        <w:rPr>
          <w:rFonts w:hint="eastAsia" w:ascii="宋体" w:hAnsi="宋体" w:cs="宋体"/>
          <w:sz w:val="24"/>
          <w:szCs w:val="24"/>
        </w:rPr>
        <w:t>（三）医保结算清单质控。</w:t>
      </w:r>
    </w:p>
    <w:p w14:paraId="4036A9DA">
      <w:pPr>
        <w:widowControl/>
        <w:snapToGrid w:val="0"/>
        <w:spacing w:line="480" w:lineRule="exact"/>
        <w:ind w:right="-197" w:rightChars="-94" w:firstLine="480" w:firstLineChars="200"/>
        <w:jc w:val="left"/>
        <w:rPr>
          <w:rFonts w:ascii="宋体" w:hAnsi="宋体" w:cs="宋体"/>
          <w:sz w:val="24"/>
          <w:szCs w:val="24"/>
        </w:rPr>
      </w:pPr>
      <w:r>
        <w:rPr>
          <w:rFonts w:hint="eastAsia" w:ascii="宋体" w:hAnsi="宋体" w:cs="宋体"/>
          <w:sz w:val="24"/>
          <w:szCs w:val="24"/>
        </w:rPr>
        <w:t>1.医保结算清单抽取管理：可以根据时间段进行设置医保结算清单抽取范围，完成对在时间段内的医保结算清单进行抽取，同时对抽取的结果进行展示。对于抽取过来的医保结算清单系统进行后台的自动质控。1）系统定时从HIS端同步诊疗数据和病案首页数据；2）由HIS系统、病案系统提供数据同步服务或视图，历史数据采取批量同步；3）后续业务产生的数据采取增量定时同步。</w:t>
      </w:r>
    </w:p>
    <w:p w14:paraId="2B392BC0">
      <w:pPr>
        <w:widowControl/>
        <w:snapToGrid w:val="0"/>
        <w:spacing w:line="480" w:lineRule="exact"/>
        <w:ind w:right="-197" w:rightChars="-94" w:firstLine="480" w:firstLineChars="200"/>
        <w:jc w:val="left"/>
        <w:rPr>
          <w:rFonts w:ascii="宋体" w:hAnsi="宋体" w:cs="宋体"/>
          <w:sz w:val="24"/>
          <w:szCs w:val="24"/>
        </w:rPr>
      </w:pPr>
      <w:r>
        <w:rPr>
          <w:rFonts w:hint="eastAsia" w:ascii="宋体" w:hAnsi="宋体" w:cs="宋体"/>
          <w:sz w:val="24"/>
          <w:szCs w:val="24"/>
        </w:rPr>
        <w:t>2.临床到医保编码映射管理：系统提供临床到医保编码映射功能，实现从根据病案首页的编码自动映射到医保结算清单的医保编码，确保在不改变医院现有编码以及操作习惯的前提下，保障医保结算清的正常结算。具体的编码功能包括：1）支持医院国临版ICD-10/ICD-9与医保版ICD-10/ICD-9的自动匹配；2）支持国临2.0版疾病编码与国家医保2.0版疾病编码的匹配；3）支持国临3.0版手术编码与国家医保2.0手术编码的匹配。</w:t>
      </w:r>
    </w:p>
    <w:p w14:paraId="2D3FAE63">
      <w:pPr>
        <w:widowControl/>
        <w:snapToGrid w:val="0"/>
        <w:spacing w:line="480" w:lineRule="exact"/>
        <w:ind w:right="-197" w:rightChars="-94" w:firstLine="480" w:firstLineChars="200"/>
        <w:jc w:val="left"/>
        <w:rPr>
          <w:rFonts w:ascii="宋体" w:hAnsi="宋体" w:cs="宋体"/>
          <w:sz w:val="24"/>
          <w:szCs w:val="24"/>
        </w:rPr>
      </w:pPr>
      <w:r>
        <w:rPr>
          <w:rFonts w:hint="eastAsia" w:ascii="宋体" w:hAnsi="宋体" w:cs="宋体"/>
          <w:sz w:val="24"/>
          <w:szCs w:val="24"/>
        </w:rPr>
        <w:t>3.医保结算清单编辑管理：提供对医保结算清单的编辑功能。可以根据质控可疑违规以及违规信息进行医保结算清单的内容针对性的编辑调整，确保医保结算清单完全符合规范要求。完成编辑后，系统会自动调用医保结算清单质控服务进行再次质控，实现实时质控；</w:t>
      </w:r>
    </w:p>
    <w:p w14:paraId="1359D354">
      <w:pPr>
        <w:widowControl/>
        <w:snapToGrid w:val="0"/>
        <w:spacing w:line="480" w:lineRule="exact"/>
        <w:ind w:right="-197" w:rightChars="-94" w:firstLine="480" w:firstLineChars="200"/>
        <w:jc w:val="left"/>
        <w:rPr>
          <w:rFonts w:ascii="宋体" w:hAnsi="宋体" w:cs="宋体"/>
          <w:sz w:val="24"/>
          <w:szCs w:val="24"/>
        </w:rPr>
      </w:pPr>
      <w:r>
        <w:rPr>
          <w:rFonts w:hint="eastAsia" w:ascii="宋体" w:hAnsi="宋体" w:cs="宋体"/>
          <w:sz w:val="24"/>
          <w:szCs w:val="24"/>
        </w:rPr>
        <w:t>4.医保结算清单审核管理：对于医保结算清单修改时，系统提供审核服务。只有通过审核才能进行医保结算清单进行修改。</w:t>
      </w:r>
    </w:p>
    <w:p w14:paraId="448FD9CB">
      <w:pPr>
        <w:widowControl/>
        <w:snapToGrid w:val="0"/>
        <w:spacing w:line="480" w:lineRule="exact"/>
        <w:ind w:right="-197" w:rightChars="-94" w:firstLine="480" w:firstLineChars="200"/>
        <w:jc w:val="left"/>
        <w:rPr>
          <w:rFonts w:ascii="宋体" w:hAnsi="宋体" w:cs="宋体"/>
          <w:sz w:val="24"/>
          <w:szCs w:val="24"/>
        </w:rPr>
      </w:pPr>
      <w:r>
        <w:rPr>
          <w:rFonts w:hint="eastAsia" w:ascii="宋体" w:hAnsi="宋体" w:cs="宋体"/>
          <w:sz w:val="24"/>
          <w:szCs w:val="24"/>
        </w:rPr>
        <w:t>5.医保结算清单明细管理：提供医保结算清单的明细管理功能，能对于各类医保结算清单的科室、医生、病者姓名、病案号、住院号、住院时间、主诊断、质控状态、预计盈亏、总费用、标杆费用、患者自费费用、超限价费用等信息进行分析管理。</w:t>
      </w:r>
    </w:p>
    <w:p w14:paraId="03075945">
      <w:pPr>
        <w:widowControl/>
        <w:snapToGrid w:val="0"/>
        <w:spacing w:line="480" w:lineRule="exact"/>
        <w:ind w:right="-197" w:rightChars="-94" w:firstLine="480" w:firstLineChars="200"/>
        <w:jc w:val="left"/>
        <w:rPr>
          <w:rFonts w:ascii="宋体" w:hAnsi="宋体" w:cs="宋体"/>
          <w:sz w:val="24"/>
          <w:szCs w:val="24"/>
        </w:rPr>
      </w:pPr>
      <w:r>
        <w:rPr>
          <w:rFonts w:hint="eastAsia" w:ascii="宋体" w:hAnsi="宋体" w:cs="宋体"/>
          <w:sz w:val="24"/>
          <w:szCs w:val="24"/>
        </w:rPr>
        <w:t>（四）医保结算清单上传管理。</w:t>
      </w:r>
    </w:p>
    <w:p w14:paraId="012769D5">
      <w:pPr>
        <w:widowControl/>
        <w:snapToGrid w:val="0"/>
        <w:spacing w:line="480" w:lineRule="exact"/>
        <w:ind w:right="-197" w:rightChars="-94" w:firstLine="480" w:firstLineChars="200"/>
        <w:jc w:val="left"/>
        <w:rPr>
          <w:rFonts w:ascii="宋体" w:hAnsi="宋体" w:cs="宋体"/>
          <w:sz w:val="24"/>
          <w:szCs w:val="24"/>
        </w:rPr>
      </w:pPr>
      <w:r>
        <w:rPr>
          <w:rFonts w:hint="eastAsia" w:ascii="宋体" w:hAnsi="宋体" w:cs="宋体"/>
          <w:sz w:val="24"/>
          <w:szCs w:val="24"/>
        </w:rPr>
        <w:t>支持与医保局进行系统对接，实现医保结算清单的上传，同时提供单个以及批量医保结算清单的上传服务。</w:t>
      </w:r>
    </w:p>
    <w:p w14:paraId="31781691">
      <w:pPr>
        <w:widowControl/>
        <w:snapToGrid w:val="0"/>
        <w:spacing w:line="480" w:lineRule="exact"/>
        <w:ind w:right="-197" w:rightChars="-94" w:firstLine="480" w:firstLineChars="200"/>
        <w:jc w:val="left"/>
        <w:rPr>
          <w:rFonts w:ascii="宋体" w:hAnsi="宋体" w:cs="宋体"/>
          <w:sz w:val="24"/>
          <w:szCs w:val="24"/>
        </w:rPr>
      </w:pPr>
      <w:r>
        <w:rPr>
          <w:rFonts w:hint="eastAsia" w:ascii="宋体" w:hAnsi="宋体" w:cs="宋体"/>
          <w:sz w:val="24"/>
          <w:szCs w:val="24"/>
        </w:rPr>
        <w:t>（五）质控统计分析。</w:t>
      </w:r>
    </w:p>
    <w:p w14:paraId="7007A64F">
      <w:pPr>
        <w:widowControl/>
        <w:snapToGrid w:val="0"/>
        <w:spacing w:line="480" w:lineRule="exact"/>
        <w:ind w:right="-197" w:rightChars="-94" w:firstLine="480" w:firstLineChars="200"/>
        <w:jc w:val="left"/>
        <w:rPr>
          <w:rFonts w:ascii="宋体" w:hAnsi="宋体" w:cs="宋体"/>
          <w:sz w:val="24"/>
          <w:szCs w:val="24"/>
        </w:rPr>
      </w:pPr>
      <w:r>
        <w:rPr>
          <w:rFonts w:hint="eastAsia" w:ascii="宋体" w:hAnsi="宋体" w:cs="宋体"/>
          <w:sz w:val="24"/>
          <w:szCs w:val="24"/>
        </w:rPr>
        <w:t>1.病案首页质控结果统计分析：系统提供对病案首页的质控统计分析，包括质控通过的数量、未通过的数量、无法入组的数量等内容。1）支持按照病案首页质控情况对全院病案首页质控通过、质控未通过、未进行质控情况进行分析；2）支持按科室、医生、患者等多维度分析病案首页质控情况，实时展现病案首页质控通过人数、质控未通过人数、未进行质控人数等信息；3）支持按病案首页质控情况对全院各科室、医生进行排名，并可查看病案首页详细质控信息。</w:t>
      </w:r>
    </w:p>
    <w:p w14:paraId="77E70CF6">
      <w:pPr>
        <w:widowControl/>
        <w:snapToGrid w:val="0"/>
        <w:spacing w:line="480" w:lineRule="exact"/>
        <w:ind w:right="-197" w:rightChars="-94" w:firstLine="480" w:firstLineChars="200"/>
        <w:jc w:val="left"/>
        <w:rPr>
          <w:rFonts w:ascii="宋体" w:hAnsi="宋体" w:cs="宋体"/>
          <w:sz w:val="24"/>
          <w:szCs w:val="24"/>
        </w:rPr>
      </w:pPr>
      <w:r>
        <w:rPr>
          <w:rFonts w:hint="eastAsia" w:ascii="宋体" w:hAnsi="宋体" w:cs="宋体"/>
          <w:sz w:val="24"/>
          <w:szCs w:val="24"/>
        </w:rPr>
        <w:t>2.病案首页质控违规分析</w:t>
      </w:r>
      <w:r>
        <w:rPr>
          <w:rFonts w:hint="eastAsia" w:ascii="宋体" w:hAnsi="宋体" w:cs="宋体"/>
          <w:sz w:val="24"/>
          <w:szCs w:val="24"/>
        </w:rPr>
        <w:tab/>
      </w:r>
      <w:r>
        <w:rPr>
          <w:rFonts w:hint="eastAsia" w:ascii="宋体" w:hAnsi="宋体" w:cs="宋体"/>
          <w:sz w:val="24"/>
          <w:szCs w:val="24"/>
        </w:rPr>
        <w:t>：1）支持按照病案首页违规情况对全院病案首页违规总次数、违规科室数、违规医生数、违规病案数进行分析，支持同比、环比数据展现；2）支持按科室违规、医生违规、违规错误信息进行排名，支持钻取查看各科室、各医生病案首页质控违规详细信息；3）支持按质控规则统计病案首页违规次数、占比等信息，可查看具体的质控违规详情。</w:t>
      </w:r>
    </w:p>
    <w:p w14:paraId="034D5D44">
      <w:pPr>
        <w:widowControl/>
        <w:snapToGrid w:val="0"/>
        <w:spacing w:line="480" w:lineRule="exact"/>
        <w:ind w:right="-197" w:rightChars="-94" w:firstLine="480" w:firstLineChars="200"/>
        <w:jc w:val="left"/>
        <w:rPr>
          <w:rFonts w:ascii="宋体" w:hAnsi="宋体" w:cs="宋体"/>
          <w:sz w:val="24"/>
          <w:szCs w:val="24"/>
        </w:rPr>
      </w:pPr>
      <w:r>
        <w:rPr>
          <w:rFonts w:hint="eastAsia" w:ascii="宋体" w:hAnsi="宋体" w:cs="宋体"/>
          <w:sz w:val="24"/>
          <w:szCs w:val="24"/>
        </w:rPr>
        <w:t>3.医保结算清单质控结果统计分析：系统提供对医保结算清单的质控统计分析，包括质控通过的数量、未通过的数量、无法入组的数量等内容。1）支持按照医保结算清单质控情况对全院医保结算清单质控通过、质控未通过、未进行质控情况进行分析；2）支持按科室、医生、患者等多维度分析医保结算清单质控情况，实时展现医保结算清单质控通过人数、质控未通过人数、未进行质控人数等信息；3）支持按医保结算清单质控情况对全院各科室、医生进行排名，并可查看医保结算清单详细质控信息。</w:t>
      </w:r>
    </w:p>
    <w:p w14:paraId="6F4EFA87">
      <w:pPr>
        <w:widowControl/>
        <w:snapToGrid w:val="0"/>
        <w:spacing w:line="480" w:lineRule="exact"/>
        <w:ind w:right="-197" w:rightChars="-94" w:firstLine="480" w:firstLineChars="200"/>
        <w:jc w:val="left"/>
        <w:rPr>
          <w:rFonts w:ascii="宋体" w:hAnsi="宋体" w:cs="宋体"/>
          <w:sz w:val="24"/>
          <w:szCs w:val="24"/>
        </w:rPr>
      </w:pPr>
      <w:r>
        <w:rPr>
          <w:rFonts w:hint="eastAsia" w:ascii="宋体" w:hAnsi="宋体" w:cs="宋体"/>
          <w:sz w:val="24"/>
          <w:szCs w:val="24"/>
        </w:rPr>
        <w:t>4.医保结算清单质控违规分析：1）支持按照医保结算清单违规情况对全院医保结算清单违规总次数、违规科室数、违规医生数、违规病案数进行分析，支持同比、环比数据展现；2）支持按科室违规、医生违规、违规错误信息进行排名，支持钻取查看各科室、各医生医保结算清单质控违规详细信息；3）支持按质控规则统计医保结算清单违规次数、占比等信息，可查看具体的质控违规详情。</w:t>
      </w:r>
    </w:p>
    <w:p w14:paraId="75B48C31">
      <w:pPr>
        <w:widowControl/>
        <w:snapToGrid w:val="0"/>
        <w:spacing w:line="480" w:lineRule="exact"/>
        <w:ind w:right="-197" w:rightChars="-94" w:firstLine="480" w:firstLineChars="200"/>
        <w:jc w:val="left"/>
        <w:rPr>
          <w:rFonts w:ascii="宋体" w:hAnsi="宋体" w:cs="宋体"/>
          <w:sz w:val="24"/>
          <w:szCs w:val="24"/>
        </w:rPr>
      </w:pPr>
      <w:r>
        <w:rPr>
          <w:rFonts w:hint="eastAsia" w:ascii="宋体" w:hAnsi="宋体" w:cs="宋体"/>
          <w:sz w:val="24"/>
          <w:szCs w:val="24"/>
        </w:rPr>
        <w:t>（六）分组器。</w:t>
      </w:r>
    </w:p>
    <w:p w14:paraId="50B3B694">
      <w:pPr>
        <w:widowControl/>
        <w:snapToGrid w:val="0"/>
        <w:spacing w:line="480" w:lineRule="exact"/>
        <w:ind w:right="-197" w:rightChars="-94" w:firstLine="480" w:firstLineChars="200"/>
        <w:jc w:val="left"/>
        <w:rPr>
          <w:rFonts w:ascii="宋体" w:hAnsi="宋体" w:cs="宋体"/>
          <w:sz w:val="24"/>
          <w:szCs w:val="24"/>
        </w:rPr>
      </w:pPr>
      <w:r>
        <w:rPr>
          <w:rFonts w:hint="eastAsia" w:ascii="宋体" w:hAnsi="宋体" w:cs="宋体"/>
          <w:sz w:val="24"/>
          <w:szCs w:val="24"/>
        </w:rPr>
        <w:t>CHS-DRG分组器：根据国家医疗保障局发布的技术规范与实现方案，自主研发CHS-DRG分组器和测算系统，建立CHS-DRG分组器入组规则库，提供CHS-DRG建议入组信息。</w:t>
      </w:r>
    </w:p>
    <w:p w14:paraId="17910361">
      <w:pPr>
        <w:widowControl/>
        <w:snapToGrid w:val="0"/>
        <w:spacing w:line="480" w:lineRule="exact"/>
        <w:ind w:right="-197" w:rightChars="-94" w:firstLine="480" w:firstLineChars="200"/>
        <w:jc w:val="left"/>
        <w:rPr>
          <w:rFonts w:ascii="宋体" w:hAnsi="宋体" w:cs="宋体"/>
          <w:sz w:val="24"/>
          <w:szCs w:val="24"/>
        </w:rPr>
      </w:pPr>
      <w:r>
        <w:rPr>
          <w:rFonts w:hint="eastAsia" w:ascii="宋体" w:hAnsi="宋体" w:cs="宋体"/>
          <w:sz w:val="24"/>
          <w:szCs w:val="24"/>
        </w:rPr>
        <w:t>（七）费用管控。</w:t>
      </w:r>
    </w:p>
    <w:p w14:paraId="18BEFDE4">
      <w:pPr>
        <w:widowControl/>
        <w:snapToGrid w:val="0"/>
        <w:spacing w:line="480" w:lineRule="exact"/>
        <w:ind w:firstLine="480" w:firstLineChars="200"/>
        <w:jc w:val="left"/>
        <w:rPr>
          <w:rFonts w:ascii="宋体" w:hAnsi="宋体" w:cs="宋体"/>
          <w:sz w:val="24"/>
          <w:szCs w:val="24"/>
        </w:rPr>
      </w:pPr>
      <w:r>
        <w:rPr>
          <w:rFonts w:hint="eastAsia" w:ascii="宋体" w:hAnsi="宋体" w:cs="宋体"/>
          <w:sz w:val="24"/>
          <w:szCs w:val="24"/>
        </w:rPr>
        <w:t>1.在院病例盈亏测算：为管理科室用户提供实时监测在院病人费用测算情况，及时告警用户即将出现亏损的病人，便于医生提前调整医生治疗方案，超少病人费用超支。</w:t>
      </w:r>
    </w:p>
    <w:p w14:paraId="6E73490F">
      <w:pPr>
        <w:widowControl/>
        <w:snapToGrid w:val="0"/>
        <w:spacing w:line="480" w:lineRule="exact"/>
        <w:ind w:firstLine="480" w:firstLineChars="200"/>
        <w:jc w:val="left"/>
        <w:rPr>
          <w:rFonts w:ascii="宋体" w:hAnsi="宋体" w:cs="宋体"/>
          <w:sz w:val="24"/>
          <w:szCs w:val="24"/>
        </w:rPr>
      </w:pPr>
      <w:r>
        <w:rPr>
          <w:rFonts w:hint="eastAsia" w:ascii="宋体" w:hAnsi="宋体" w:cs="宋体"/>
          <w:sz w:val="24"/>
          <w:szCs w:val="24"/>
        </w:rPr>
        <w:t>2.出院病例盈亏测算：针对已结算的病人费用进行测算，从全院、科室、病人、费用结构类型多视角全面分析盈亏情况，同时支持按年/月/日、医保险种自定义查询数据及导出。</w:t>
      </w:r>
    </w:p>
    <w:p w14:paraId="29C992FA">
      <w:pPr>
        <w:widowControl/>
        <w:snapToGrid w:val="0"/>
        <w:spacing w:line="480" w:lineRule="exact"/>
        <w:ind w:firstLine="480" w:firstLineChars="200"/>
        <w:jc w:val="left"/>
        <w:rPr>
          <w:rFonts w:ascii="宋体" w:hAnsi="宋体" w:cs="宋体"/>
          <w:sz w:val="24"/>
          <w:szCs w:val="24"/>
        </w:rPr>
      </w:pPr>
      <w:r>
        <w:rPr>
          <w:rFonts w:hint="eastAsia" w:ascii="宋体" w:hAnsi="宋体" w:cs="宋体"/>
          <w:sz w:val="24"/>
          <w:szCs w:val="24"/>
        </w:rPr>
        <w:t>3.科室结算盈亏分析：医院管理者、医保科用户可依据管理需要从全院、科室、医生、病人多维度查看盈亏额、总费用、总权重、CMI、入组率、药占比、耗材占比等核心经营指标，辅助管理者经营决策。</w:t>
      </w:r>
    </w:p>
    <w:p w14:paraId="554C2CB8">
      <w:pPr>
        <w:widowControl/>
        <w:snapToGrid w:val="0"/>
        <w:spacing w:line="480" w:lineRule="exact"/>
        <w:ind w:right="-197" w:rightChars="-94" w:firstLine="480" w:firstLineChars="200"/>
        <w:jc w:val="left"/>
        <w:rPr>
          <w:rFonts w:ascii="宋体" w:hAnsi="宋体" w:cs="宋体"/>
          <w:sz w:val="24"/>
          <w:szCs w:val="24"/>
        </w:rPr>
      </w:pPr>
      <w:r>
        <w:rPr>
          <w:rFonts w:hint="eastAsia" w:ascii="宋体" w:hAnsi="宋体" w:cs="宋体"/>
          <w:sz w:val="24"/>
          <w:szCs w:val="24"/>
        </w:rPr>
        <w:t>4.DRG病组盈亏分析：医保科、临床科室用户可从DRG病组维度查看次均费用、盈亏额、平均住院日、总权重等专项指标，可直观了解医院盈余排名靠前的病组及亏损较多的病组，为病组高效运营管理提供参考依据。</w:t>
      </w:r>
    </w:p>
    <w:p w14:paraId="78BF932F">
      <w:pPr>
        <w:widowControl/>
        <w:snapToGrid w:val="0"/>
        <w:spacing w:line="480" w:lineRule="exact"/>
        <w:ind w:right="-197" w:rightChars="-94" w:firstLine="480" w:firstLineChars="200"/>
        <w:jc w:val="left"/>
        <w:rPr>
          <w:rFonts w:ascii="宋体" w:hAnsi="宋体" w:cs="宋体"/>
          <w:sz w:val="24"/>
          <w:szCs w:val="24"/>
        </w:rPr>
      </w:pPr>
      <w:r>
        <w:rPr>
          <w:rFonts w:hint="eastAsia" w:ascii="宋体" w:hAnsi="宋体" w:cs="宋体"/>
          <w:sz w:val="24"/>
          <w:szCs w:val="24"/>
        </w:rPr>
        <w:t>5.病例结算类型分析：主要从费用结构类型维度剖析，可直观查看全院、科室的费用结构类型分布情况，通过对病例数、病例数占比、总盈亏额、总权重、CMI、总费用、DRG支付费用等分析病例分布与占比情况，全盘掌控医院费用分布情况，便于针对性调整决策。</w:t>
      </w:r>
    </w:p>
    <w:p w14:paraId="4DE4F107">
      <w:pPr>
        <w:widowControl/>
        <w:snapToGrid w:val="0"/>
        <w:spacing w:line="480" w:lineRule="exact"/>
        <w:ind w:right="-197" w:rightChars="-94" w:firstLine="480" w:firstLineChars="200"/>
        <w:jc w:val="left"/>
        <w:rPr>
          <w:rFonts w:ascii="宋体" w:hAnsi="宋体" w:cs="宋体"/>
          <w:sz w:val="24"/>
          <w:szCs w:val="24"/>
        </w:rPr>
      </w:pPr>
      <w:r>
        <w:rPr>
          <w:rFonts w:hint="eastAsia" w:ascii="宋体" w:hAnsi="宋体" w:cs="宋体"/>
          <w:sz w:val="24"/>
          <w:szCs w:val="24"/>
        </w:rPr>
        <w:t>（八）运维服务。</w:t>
      </w:r>
      <w:r>
        <w:rPr>
          <w:rFonts w:hint="eastAsia" w:ascii="宋体" w:hAnsi="宋体" w:cs="宋体"/>
          <w:sz w:val="24"/>
          <w:szCs w:val="24"/>
        </w:rPr>
        <w:tab/>
      </w:r>
    </w:p>
    <w:p w14:paraId="0EBB1C61">
      <w:pPr>
        <w:widowControl/>
        <w:snapToGrid w:val="0"/>
        <w:spacing w:line="480" w:lineRule="exact"/>
        <w:ind w:right="-197" w:rightChars="-94" w:firstLine="480" w:firstLineChars="200"/>
        <w:jc w:val="left"/>
        <w:rPr>
          <w:rFonts w:ascii="宋体" w:hAnsi="宋体" w:cs="宋体"/>
          <w:sz w:val="24"/>
          <w:szCs w:val="24"/>
        </w:rPr>
      </w:pPr>
      <w:r>
        <w:rPr>
          <w:rFonts w:hint="eastAsia" w:ascii="宋体" w:hAnsi="宋体" w:cs="宋体"/>
          <w:sz w:val="24"/>
          <w:szCs w:val="24"/>
        </w:rPr>
        <w:t>1.政策解读专项服务。</w:t>
      </w:r>
    </w:p>
    <w:p w14:paraId="2DAAF3FE">
      <w:pPr>
        <w:widowControl/>
        <w:snapToGrid w:val="0"/>
        <w:spacing w:line="480" w:lineRule="exact"/>
        <w:ind w:right="-197" w:rightChars="-94" w:firstLine="480" w:firstLineChars="200"/>
        <w:jc w:val="left"/>
        <w:rPr>
          <w:rFonts w:ascii="宋体" w:hAnsi="宋体" w:cs="宋体"/>
          <w:sz w:val="24"/>
          <w:szCs w:val="24"/>
        </w:rPr>
      </w:pPr>
      <w:r>
        <w:rPr>
          <w:rFonts w:hint="eastAsia" w:ascii="宋体" w:hAnsi="宋体" w:cs="宋体"/>
          <w:sz w:val="24"/>
          <w:szCs w:val="24"/>
        </w:rPr>
        <w:t>政策解读：提供统筹区医保付费政策解读专项服务，对政策调整或修订及时予以告知并解读。</w:t>
      </w:r>
    </w:p>
    <w:p w14:paraId="3603F8A7">
      <w:pPr>
        <w:widowControl/>
        <w:snapToGrid w:val="0"/>
        <w:spacing w:line="480" w:lineRule="exact"/>
        <w:ind w:right="-197" w:rightChars="-94" w:firstLine="480" w:firstLineChars="200"/>
        <w:jc w:val="left"/>
        <w:rPr>
          <w:rFonts w:ascii="宋体" w:hAnsi="宋体" w:cs="宋体"/>
          <w:sz w:val="24"/>
          <w:szCs w:val="24"/>
        </w:rPr>
      </w:pPr>
      <w:r>
        <w:rPr>
          <w:rFonts w:hint="eastAsia" w:ascii="宋体" w:hAnsi="宋体" w:cs="宋体"/>
          <w:sz w:val="24"/>
          <w:szCs w:val="24"/>
        </w:rPr>
        <w:t>2.分组器升级服务。</w:t>
      </w:r>
    </w:p>
    <w:p w14:paraId="1564C15F">
      <w:pPr>
        <w:widowControl/>
        <w:snapToGrid w:val="0"/>
        <w:spacing w:line="480" w:lineRule="exact"/>
        <w:ind w:right="-197" w:rightChars="-94" w:firstLine="480" w:firstLineChars="200"/>
        <w:jc w:val="left"/>
        <w:rPr>
          <w:rFonts w:ascii="宋体" w:hAnsi="宋体" w:cs="宋体"/>
          <w:sz w:val="24"/>
          <w:szCs w:val="24"/>
        </w:rPr>
      </w:pPr>
      <w:r>
        <w:rPr>
          <w:rFonts w:hint="eastAsia" w:ascii="宋体" w:hAnsi="宋体" w:cs="宋体"/>
          <w:sz w:val="24"/>
          <w:szCs w:val="24"/>
        </w:rPr>
        <w:t>分组器升级：提供统筹区DRG分组器专项升级服务</w:t>
      </w:r>
    </w:p>
    <w:p w14:paraId="21905A06">
      <w:pPr>
        <w:widowControl/>
        <w:snapToGrid w:val="0"/>
        <w:spacing w:line="480" w:lineRule="exact"/>
        <w:ind w:right="-197" w:rightChars="-94" w:firstLine="480" w:firstLineChars="200"/>
        <w:jc w:val="left"/>
        <w:rPr>
          <w:rFonts w:ascii="宋体" w:hAnsi="宋体" w:cs="宋体"/>
          <w:sz w:val="24"/>
          <w:szCs w:val="24"/>
        </w:rPr>
      </w:pPr>
      <w:r>
        <w:rPr>
          <w:rFonts w:hint="eastAsia" w:ascii="宋体" w:hAnsi="宋体" w:cs="宋体"/>
          <w:sz w:val="24"/>
          <w:szCs w:val="24"/>
        </w:rPr>
        <w:t>3.知识库升级服务。</w:t>
      </w:r>
    </w:p>
    <w:p w14:paraId="2FC53BD6">
      <w:pPr>
        <w:widowControl/>
        <w:snapToGrid w:val="0"/>
        <w:spacing w:line="480" w:lineRule="exact"/>
        <w:ind w:right="-197" w:rightChars="-94" w:firstLine="480" w:firstLineChars="200"/>
        <w:jc w:val="left"/>
        <w:rPr>
          <w:rFonts w:ascii="宋体" w:hAnsi="宋体" w:cs="宋体"/>
          <w:sz w:val="24"/>
          <w:szCs w:val="24"/>
        </w:rPr>
      </w:pPr>
      <w:r>
        <w:rPr>
          <w:rFonts w:hint="eastAsia" w:ascii="宋体" w:hAnsi="宋体" w:cs="宋体"/>
          <w:sz w:val="24"/>
          <w:szCs w:val="24"/>
        </w:rPr>
        <w:t>知识库升级：提供医保结算清单质控规则知识库不定期升级服务，确保市局对医保结算清单的质控要求。</w:t>
      </w:r>
    </w:p>
    <w:p w14:paraId="0B172D34">
      <w:pPr>
        <w:widowControl/>
        <w:snapToGrid w:val="0"/>
        <w:spacing w:line="480" w:lineRule="exact"/>
        <w:ind w:right="-197" w:rightChars="-94" w:firstLine="480" w:firstLineChars="200"/>
        <w:jc w:val="left"/>
        <w:rPr>
          <w:rFonts w:ascii="宋体" w:hAnsi="宋体" w:cs="宋体"/>
          <w:sz w:val="24"/>
          <w:szCs w:val="24"/>
        </w:rPr>
      </w:pPr>
      <w:r>
        <w:rPr>
          <w:rFonts w:hint="eastAsia" w:ascii="宋体" w:hAnsi="宋体" w:cs="宋体"/>
          <w:sz w:val="24"/>
          <w:szCs w:val="24"/>
        </w:rPr>
        <w:t>4.产品升级服务。</w:t>
      </w:r>
    </w:p>
    <w:p w14:paraId="2280769B">
      <w:pPr>
        <w:widowControl/>
        <w:snapToGrid w:val="0"/>
        <w:spacing w:line="480" w:lineRule="exact"/>
        <w:ind w:right="-197" w:rightChars="-94" w:firstLine="480" w:firstLineChars="200"/>
        <w:jc w:val="left"/>
        <w:rPr>
          <w:rFonts w:ascii="宋体" w:hAnsi="宋体" w:cs="宋体"/>
          <w:sz w:val="24"/>
          <w:szCs w:val="24"/>
        </w:rPr>
      </w:pPr>
      <w:r>
        <w:rPr>
          <w:rFonts w:hint="eastAsia" w:ascii="宋体" w:hAnsi="宋体" w:cs="宋体"/>
          <w:sz w:val="24"/>
          <w:szCs w:val="24"/>
        </w:rPr>
        <w:t>产品升级：提供系统在用功能模块不定期升级服务，确保功能符合医保政策和医院管理要求</w:t>
      </w:r>
    </w:p>
    <w:p w14:paraId="64FC45E1">
      <w:pPr>
        <w:widowControl/>
        <w:snapToGrid w:val="0"/>
        <w:spacing w:line="480" w:lineRule="exact"/>
        <w:ind w:right="-197" w:rightChars="-94" w:firstLine="480" w:firstLineChars="200"/>
        <w:jc w:val="left"/>
        <w:rPr>
          <w:rFonts w:ascii="宋体" w:hAnsi="宋体" w:cs="宋体"/>
          <w:sz w:val="24"/>
          <w:szCs w:val="24"/>
        </w:rPr>
      </w:pPr>
      <w:r>
        <w:rPr>
          <w:rFonts w:hint="eastAsia" w:ascii="宋体" w:hAnsi="宋体" w:cs="宋体"/>
          <w:sz w:val="24"/>
          <w:szCs w:val="24"/>
        </w:rPr>
        <w:t>5.辅导测算及盈亏分析。</w:t>
      </w:r>
    </w:p>
    <w:p w14:paraId="6762D3BA">
      <w:pPr>
        <w:widowControl/>
        <w:snapToGrid w:val="0"/>
        <w:spacing w:line="480" w:lineRule="exact"/>
        <w:ind w:right="-197" w:rightChars="-94" w:firstLine="480" w:firstLineChars="200"/>
        <w:jc w:val="left"/>
        <w:rPr>
          <w:rFonts w:ascii="宋体" w:hAnsi="宋体" w:cs="宋体"/>
          <w:sz w:val="24"/>
          <w:szCs w:val="24"/>
        </w:rPr>
      </w:pPr>
      <w:r>
        <w:rPr>
          <w:rFonts w:hint="eastAsia" w:ascii="宋体" w:hAnsi="宋体" w:cs="宋体"/>
          <w:sz w:val="24"/>
          <w:szCs w:val="24"/>
        </w:rPr>
        <w:t>数据服务：辅导医保科对医保基金测算及科室盈亏分析梳理，满足科室业务要求。</w:t>
      </w:r>
    </w:p>
    <w:p w14:paraId="3EC14406">
      <w:pPr>
        <w:widowControl/>
        <w:snapToGrid w:val="0"/>
        <w:spacing w:line="480" w:lineRule="exact"/>
        <w:ind w:right="-197" w:rightChars="-94" w:firstLine="480" w:firstLineChars="200"/>
        <w:jc w:val="left"/>
        <w:rPr>
          <w:rFonts w:ascii="宋体" w:hAnsi="宋体" w:cs="宋体"/>
          <w:sz w:val="24"/>
          <w:szCs w:val="24"/>
        </w:rPr>
      </w:pPr>
      <w:r>
        <w:rPr>
          <w:rFonts w:hint="eastAsia" w:ascii="宋体" w:hAnsi="宋体" w:cs="宋体"/>
          <w:sz w:val="24"/>
          <w:szCs w:val="24"/>
        </w:rPr>
        <w:t>（九）测算报告及分析服务。</w:t>
      </w:r>
    </w:p>
    <w:p w14:paraId="1E8A8A1B">
      <w:pPr>
        <w:widowControl/>
        <w:snapToGrid w:val="0"/>
        <w:spacing w:line="480" w:lineRule="exact"/>
        <w:ind w:right="-197" w:rightChars="-94" w:firstLine="480" w:firstLineChars="200"/>
        <w:jc w:val="left"/>
        <w:rPr>
          <w:rFonts w:ascii="宋体" w:hAnsi="宋体" w:cs="宋体"/>
          <w:sz w:val="24"/>
          <w:szCs w:val="24"/>
        </w:rPr>
      </w:pPr>
      <w:r>
        <w:rPr>
          <w:rFonts w:hint="eastAsia" w:ascii="宋体" w:hAnsi="宋体" w:cs="宋体"/>
          <w:sz w:val="24"/>
          <w:szCs w:val="24"/>
        </w:rPr>
        <w:t>测算报告及分析：每年提供不少于四次测算报告及报告专项分析服务</w:t>
      </w:r>
    </w:p>
    <w:p w14:paraId="77AAF215">
      <w:pPr>
        <w:widowControl/>
        <w:snapToGrid w:val="0"/>
        <w:spacing w:line="480" w:lineRule="exact"/>
        <w:ind w:right="-197" w:rightChars="-94" w:firstLine="480" w:firstLineChars="200"/>
        <w:jc w:val="left"/>
        <w:rPr>
          <w:rFonts w:ascii="宋体" w:hAnsi="宋体" w:cs="宋体"/>
          <w:sz w:val="24"/>
          <w:szCs w:val="24"/>
        </w:rPr>
      </w:pPr>
      <w:r>
        <w:rPr>
          <w:rFonts w:hint="eastAsia" w:ascii="宋体" w:hAnsi="宋体" w:cs="宋体"/>
          <w:sz w:val="24"/>
          <w:szCs w:val="24"/>
        </w:rPr>
        <w:t>（十）上门巡检及分析服务。</w:t>
      </w:r>
    </w:p>
    <w:p w14:paraId="0AFB6EF2">
      <w:pPr>
        <w:widowControl/>
        <w:snapToGrid w:val="0"/>
        <w:spacing w:line="480" w:lineRule="exact"/>
        <w:ind w:right="-197" w:rightChars="-94" w:firstLine="480" w:firstLineChars="200"/>
        <w:jc w:val="left"/>
        <w:rPr>
          <w:rFonts w:ascii="宋体" w:hAnsi="宋体" w:cs="宋体"/>
          <w:sz w:val="24"/>
          <w:szCs w:val="24"/>
        </w:rPr>
      </w:pPr>
      <w:r>
        <w:rPr>
          <w:rFonts w:hint="eastAsia" w:ascii="宋体" w:hAnsi="宋体" w:cs="宋体"/>
          <w:sz w:val="24"/>
          <w:szCs w:val="24"/>
        </w:rPr>
        <w:t>上门巡检及分析：每月提供一次上门巡检并出具巡检报告单及系统完整使用情况报告专项分析服务</w:t>
      </w:r>
    </w:p>
    <w:p w14:paraId="3E390E39">
      <w:pPr>
        <w:widowControl/>
        <w:snapToGrid w:val="0"/>
        <w:spacing w:line="480" w:lineRule="exact"/>
        <w:ind w:right="-197" w:rightChars="-94" w:firstLine="480" w:firstLineChars="200"/>
        <w:jc w:val="left"/>
        <w:rPr>
          <w:rFonts w:ascii="宋体" w:hAnsi="宋体" w:cs="宋体"/>
          <w:sz w:val="24"/>
          <w:szCs w:val="24"/>
        </w:rPr>
      </w:pPr>
      <w:r>
        <w:rPr>
          <w:rFonts w:hint="eastAsia" w:ascii="宋体" w:hAnsi="宋体" w:cs="宋体"/>
          <w:sz w:val="24"/>
          <w:szCs w:val="24"/>
        </w:rPr>
        <w:t>（十一）数据接口调整辅助服务。</w:t>
      </w:r>
    </w:p>
    <w:p w14:paraId="3D87FE23">
      <w:pPr>
        <w:widowControl/>
        <w:snapToGrid w:val="0"/>
        <w:spacing w:line="480" w:lineRule="exact"/>
        <w:ind w:right="-197" w:rightChars="-94" w:firstLine="480" w:firstLineChars="200"/>
        <w:jc w:val="left"/>
        <w:rPr>
          <w:rFonts w:ascii="宋体" w:hAnsi="宋体" w:cs="宋体"/>
          <w:sz w:val="24"/>
          <w:szCs w:val="24"/>
        </w:rPr>
      </w:pPr>
      <w:r>
        <w:rPr>
          <w:rFonts w:hint="eastAsia" w:ascii="宋体" w:hAnsi="宋体" w:cs="宋体"/>
          <w:sz w:val="24"/>
          <w:szCs w:val="24"/>
        </w:rPr>
        <w:t>数据接口调整：因医院HIS或政策等原因导致数据接口调整时免费提供辅助支持服务</w:t>
      </w:r>
    </w:p>
    <w:p w14:paraId="31EC801C">
      <w:pPr>
        <w:widowControl/>
        <w:snapToGrid w:val="0"/>
        <w:spacing w:line="480" w:lineRule="exact"/>
        <w:ind w:right="-197" w:rightChars="-94" w:firstLine="480" w:firstLineChars="200"/>
        <w:jc w:val="left"/>
        <w:rPr>
          <w:rFonts w:ascii="宋体" w:hAnsi="宋体" w:cs="宋体"/>
          <w:sz w:val="24"/>
          <w:szCs w:val="24"/>
        </w:rPr>
      </w:pPr>
      <w:r>
        <w:rPr>
          <w:rFonts w:hint="eastAsia" w:ascii="宋体" w:hAnsi="宋体" w:cs="宋体"/>
          <w:sz w:val="24"/>
          <w:szCs w:val="24"/>
        </w:rPr>
        <w:t>（十二）数据对接服务。</w:t>
      </w:r>
    </w:p>
    <w:p w14:paraId="568707DA">
      <w:pPr>
        <w:widowControl/>
        <w:snapToGrid w:val="0"/>
        <w:spacing w:line="480" w:lineRule="exact"/>
        <w:ind w:right="-197" w:rightChars="-94" w:firstLine="480" w:firstLineChars="200"/>
        <w:jc w:val="left"/>
        <w:rPr>
          <w:rFonts w:ascii="宋体" w:hAnsi="宋体" w:cs="宋体"/>
          <w:sz w:val="24"/>
          <w:szCs w:val="24"/>
        </w:rPr>
      </w:pPr>
      <w:r>
        <w:rPr>
          <w:rFonts w:hint="eastAsia" w:ascii="宋体" w:hAnsi="宋体" w:cs="宋体"/>
          <w:sz w:val="24"/>
          <w:szCs w:val="24"/>
        </w:rPr>
        <w:t>接口对接：完成和省医保平台的无缝对接，接口如有调整免费及时更新</w:t>
      </w:r>
    </w:p>
    <w:p w14:paraId="3F40BB2A">
      <w:pPr>
        <w:widowControl/>
        <w:snapToGrid w:val="0"/>
        <w:spacing w:line="480" w:lineRule="exact"/>
        <w:ind w:right="-197" w:rightChars="-94" w:firstLine="480" w:firstLineChars="200"/>
        <w:jc w:val="left"/>
        <w:rPr>
          <w:rFonts w:ascii="宋体" w:hAnsi="宋体" w:cs="宋体"/>
          <w:sz w:val="24"/>
          <w:szCs w:val="24"/>
        </w:rPr>
      </w:pPr>
      <w:r>
        <w:rPr>
          <w:rFonts w:hint="eastAsia" w:ascii="宋体" w:hAnsi="宋体" w:cs="宋体"/>
          <w:sz w:val="24"/>
          <w:szCs w:val="24"/>
        </w:rPr>
        <w:t>（十三）医保专项服务。</w:t>
      </w:r>
    </w:p>
    <w:p w14:paraId="7F52180B">
      <w:pPr>
        <w:pBdr>
          <w:bottom w:val="single" w:color="auto" w:sz="4" w:space="1"/>
        </w:pBdr>
        <w:spacing w:before="312" w:beforeLines="100"/>
        <w:ind w:left="420" w:hanging="420"/>
        <w:rPr>
          <w:rFonts w:ascii="宋体" w:hAnsi="宋体" w:cs="宋体"/>
          <w:sz w:val="24"/>
          <w:szCs w:val="24"/>
        </w:rPr>
      </w:pPr>
      <w:r>
        <w:rPr>
          <w:rFonts w:hint="eastAsia" w:ascii="宋体" w:hAnsi="宋体" w:cs="宋体"/>
          <w:sz w:val="24"/>
          <w:szCs w:val="24"/>
        </w:rPr>
        <w:t xml:space="preserve">医保专项服务：提供医保结算相关问题的专项免费对接通道服务，满足医保科对报表分析的业务需求 </w:t>
      </w:r>
    </w:p>
    <w:p w14:paraId="2BB4F17C">
      <w:pPr>
        <w:pBdr>
          <w:bottom w:val="single" w:color="auto" w:sz="4" w:space="1"/>
        </w:pBdr>
        <w:spacing w:before="312" w:beforeLines="100"/>
        <w:ind w:left="420" w:hanging="420"/>
        <w:rPr>
          <w:rFonts w:ascii="宋体" w:hAnsi="宋体" w:cs="宋体"/>
          <w:sz w:val="24"/>
          <w:szCs w:val="24"/>
        </w:rPr>
      </w:pPr>
      <w:r>
        <w:rPr>
          <w:rFonts w:hint="eastAsia" w:ascii="宋体" w:hAnsi="宋体" w:cs="宋体"/>
          <w:sz w:val="24"/>
          <w:szCs w:val="24"/>
        </w:rPr>
        <w:t>三、系统发生重大故障无法运行，则及时提供远程服务响应与问题处理解决，同时安排人员现场进行问题原因分析、问题处理跟踪以及问题总结等，避免后续再出现同样的问题；若个别功能不能正常工作，但日常功能不受影响或对业务影响很小，则先采用远程方式进行业务处理，如果远程无法解决，则进行安排人员现场处理。</w:t>
      </w:r>
    </w:p>
    <w:p w14:paraId="2F4EF6E6">
      <w:pPr>
        <w:pStyle w:val="9"/>
        <w:rPr>
          <w:rFonts w:ascii="宋体" w:hAnsi="宋体" w:cs="宋体"/>
          <w:sz w:val="24"/>
          <w:szCs w:val="24"/>
        </w:rPr>
        <w:sectPr>
          <w:pgSz w:w="11906" w:h="16838"/>
          <w:pgMar w:top="1440" w:right="1800" w:bottom="1440" w:left="1800" w:header="851" w:footer="992" w:gutter="0"/>
          <w:cols w:space="720" w:num="1"/>
          <w:docGrid w:type="lines" w:linePitch="312" w:charSpace="0"/>
        </w:sectPr>
      </w:pPr>
    </w:p>
    <w:p w14:paraId="361D878C"/>
    <w:p w14:paraId="69C2F986">
      <w:pPr>
        <w:widowControl/>
        <w:jc w:val="center"/>
        <w:rPr>
          <w:b/>
          <w:sz w:val="44"/>
          <w:szCs w:val="44"/>
        </w:rPr>
      </w:pPr>
      <w:r>
        <w:rPr>
          <w:b/>
          <w:sz w:val="36"/>
          <w:szCs w:val="36"/>
        </w:rPr>
        <w:t>第</w:t>
      </w:r>
      <w:r>
        <w:rPr>
          <w:rFonts w:hint="eastAsia"/>
          <w:b/>
          <w:sz w:val="36"/>
          <w:szCs w:val="36"/>
        </w:rPr>
        <w:t>八</w:t>
      </w:r>
      <w:r>
        <w:rPr>
          <w:b/>
          <w:sz w:val="36"/>
          <w:szCs w:val="36"/>
        </w:rPr>
        <w:t>章 评审方法</w:t>
      </w:r>
    </w:p>
    <w:p w14:paraId="7F89883A">
      <w:pPr>
        <w:shd w:val="clear" w:color="auto" w:fill="FFFFFF"/>
        <w:spacing w:line="440" w:lineRule="exact"/>
        <w:rPr>
          <w:b/>
          <w:spacing w:val="4"/>
          <w:sz w:val="24"/>
        </w:rPr>
      </w:pPr>
      <w:r>
        <w:rPr>
          <w:b/>
          <w:spacing w:val="4"/>
          <w:sz w:val="24"/>
        </w:rPr>
        <w:t>一．评审方法</w:t>
      </w:r>
    </w:p>
    <w:p w14:paraId="4B5D007F">
      <w:pPr>
        <w:widowControl/>
        <w:shd w:val="clear" w:color="auto" w:fill="FFFFFF"/>
        <w:spacing w:line="440" w:lineRule="exact"/>
        <w:ind w:firstLine="480" w:firstLineChars="200"/>
        <w:jc w:val="left"/>
        <w:rPr>
          <w:sz w:val="24"/>
          <w:szCs w:val="24"/>
        </w:rPr>
      </w:pPr>
      <w:r>
        <w:rPr>
          <w:sz w:val="24"/>
          <w:szCs w:val="24"/>
        </w:rPr>
        <w:t>按照《中华人民共和国政府采购法》、中华人民共和国2015年第658号国务院令--《中华人民共和国政府采购法实施条例》和中华人民共和国财政部</w:t>
      </w:r>
      <w:r>
        <w:rPr>
          <w:color w:val="000000"/>
          <w:kern w:val="0"/>
          <w:sz w:val="24"/>
          <w:szCs w:val="24"/>
        </w:rPr>
        <w:t>财库〔2014〕214号文件《政府采购竞争性磋商采购方式管理暂行办法》的规定</w:t>
      </w:r>
      <w:r>
        <w:rPr>
          <w:sz w:val="24"/>
          <w:szCs w:val="24"/>
        </w:rPr>
        <w:t>，竞争性磋商小组采用综合评分法对提交最后报价的供应商的响应文件和最后报价进行综合评分，按照评审得分由高到低顺序推荐3名成交候选供应商。</w:t>
      </w:r>
    </w:p>
    <w:p w14:paraId="21CEC4AD">
      <w:pPr>
        <w:shd w:val="clear" w:color="auto" w:fill="FFFFFF"/>
        <w:spacing w:line="440" w:lineRule="exact"/>
        <w:rPr>
          <w:b/>
          <w:spacing w:val="4"/>
          <w:sz w:val="24"/>
        </w:rPr>
      </w:pPr>
    </w:p>
    <w:p w14:paraId="6BF575DA">
      <w:pPr>
        <w:shd w:val="clear" w:color="auto" w:fill="FFFFFF"/>
        <w:spacing w:line="440" w:lineRule="exact"/>
        <w:rPr>
          <w:b/>
          <w:spacing w:val="4"/>
          <w:sz w:val="24"/>
        </w:rPr>
      </w:pPr>
      <w:r>
        <w:rPr>
          <w:b/>
          <w:spacing w:val="4"/>
          <w:sz w:val="24"/>
        </w:rPr>
        <w:t>二．评审程序</w:t>
      </w:r>
    </w:p>
    <w:p w14:paraId="38352162">
      <w:pPr>
        <w:shd w:val="clear" w:color="auto" w:fill="FFFFFF"/>
        <w:spacing w:line="440" w:lineRule="exact"/>
        <w:rPr>
          <w:spacing w:val="4"/>
          <w:sz w:val="24"/>
        </w:rPr>
      </w:pPr>
      <w:r>
        <w:rPr>
          <w:spacing w:val="4"/>
          <w:sz w:val="24"/>
        </w:rPr>
        <w:t>1、响应文件审查</w:t>
      </w:r>
    </w:p>
    <w:p w14:paraId="456EA303">
      <w:pPr>
        <w:shd w:val="clear" w:color="auto" w:fill="FFFFFF"/>
        <w:spacing w:line="440" w:lineRule="exact"/>
        <w:rPr>
          <w:spacing w:val="4"/>
          <w:sz w:val="24"/>
        </w:rPr>
      </w:pPr>
      <w:r>
        <w:rPr>
          <w:spacing w:val="4"/>
          <w:sz w:val="24"/>
        </w:rPr>
        <w:t xml:space="preserve">    审查分为资格性检查和符合性检查。分别按照以下内容对磋商响应文件进行检查，一项不合格即按照无效响应处理。</w:t>
      </w:r>
    </w:p>
    <w:p w14:paraId="1F112C94">
      <w:pPr>
        <w:shd w:val="clear" w:color="auto" w:fill="FFFFFF"/>
        <w:spacing w:line="440" w:lineRule="exact"/>
        <w:rPr>
          <w:kern w:val="0"/>
          <w:sz w:val="24"/>
        </w:rPr>
      </w:pPr>
      <w:r>
        <w:rPr>
          <w:spacing w:val="4"/>
          <w:sz w:val="24"/>
        </w:rPr>
        <w:t xml:space="preserve">    响应文件审查合格的为实质性响应磋商文件要求的供应商。</w:t>
      </w:r>
    </w:p>
    <w:p w14:paraId="5F82BD30">
      <w:pPr>
        <w:shd w:val="clear" w:color="auto" w:fill="FFFFFF"/>
        <w:spacing w:line="440" w:lineRule="exact"/>
        <w:rPr>
          <w:spacing w:val="4"/>
          <w:sz w:val="24"/>
        </w:rPr>
      </w:pPr>
      <w:r>
        <w:rPr>
          <w:spacing w:val="4"/>
          <w:sz w:val="24"/>
        </w:rPr>
        <w:t>1.1资格性检查：</w:t>
      </w:r>
    </w:p>
    <w:p w14:paraId="23ECE923">
      <w:pPr>
        <w:shd w:val="clear" w:color="auto" w:fill="FFFFFF"/>
        <w:spacing w:line="360" w:lineRule="auto"/>
        <w:rPr>
          <w:spacing w:val="4"/>
          <w:sz w:val="24"/>
        </w:rPr>
      </w:pPr>
      <w:r>
        <w:rPr>
          <w:spacing w:val="4"/>
          <w:sz w:val="24"/>
        </w:rPr>
        <w:t>1.1.1在</w:t>
      </w:r>
      <w:r>
        <w:rPr>
          <w:kern w:val="0"/>
          <w:sz w:val="24"/>
          <w:szCs w:val="24"/>
        </w:rPr>
        <w:t xml:space="preserve"> “信用中国”网站（www.creditchina.gov.cn）和“中国政府采购网”（ccgp.gov.cn）对供应商信用信息进行查询，如果供应商被查实在磋商开始前已列入失信被执行人、重大税收违法案件当事人名单、政府采购严重违法失信行为记录名单，其响应为无效。</w:t>
      </w:r>
    </w:p>
    <w:p w14:paraId="63FF06E9">
      <w:pPr>
        <w:shd w:val="clear" w:color="auto" w:fill="FFFFFF"/>
        <w:spacing w:line="360" w:lineRule="auto"/>
        <w:rPr>
          <w:spacing w:val="4"/>
          <w:sz w:val="24"/>
        </w:rPr>
      </w:pPr>
      <w:r>
        <w:rPr>
          <w:spacing w:val="4"/>
          <w:sz w:val="24"/>
        </w:rPr>
        <w:t>1.1.2提交的资格证明文件是否符合国家法律法规和磋商文件的要求。并且齐全、真实、有效。</w:t>
      </w:r>
    </w:p>
    <w:p w14:paraId="373878B9">
      <w:pPr>
        <w:shd w:val="clear" w:color="auto" w:fill="FFFFFF"/>
        <w:spacing w:line="360" w:lineRule="auto"/>
        <w:rPr>
          <w:sz w:val="24"/>
          <w:szCs w:val="24"/>
        </w:rPr>
      </w:pPr>
      <w:r>
        <w:rPr>
          <w:spacing w:val="4"/>
          <w:sz w:val="24"/>
        </w:rPr>
        <w:t>1.1.3是否</w:t>
      </w:r>
      <w:r>
        <w:rPr>
          <w:sz w:val="24"/>
          <w:szCs w:val="24"/>
        </w:rPr>
        <w:t>按照磋商文件的要求提交了足额有效的磋商保证金。</w:t>
      </w:r>
    </w:p>
    <w:p w14:paraId="6D33D323">
      <w:pPr>
        <w:shd w:val="clear" w:color="auto" w:fill="FFFFFF"/>
        <w:spacing w:line="440" w:lineRule="exact"/>
        <w:rPr>
          <w:sz w:val="24"/>
          <w:szCs w:val="24"/>
        </w:rPr>
      </w:pPr>
      <w:r>
        <w:rPr>
          <w:sz w:val="24"/>
          <w:szCs w:val="24"/>
        </w:rPr>
        <w:t>1.2符合性检查：</w:t>
      </w:r>
    </w:p>
    <w:p w14:paraId="1BC59FF3">
      <w:pPr>
        <w:shd w:val="clear" w:color="auto" w:fill="FFFFFF"/>
        <w:spacing w:line="440" w:lineRule="exact"/>
        <w:ind w:left="1"/>
        <w:rPr>
          <w:spacing w:val="4"/>
          <w:sz w:val="24"/>
        </w:rPr>
      </w:pPr>
      <w:r>
        <w:rPr>
          <w:sz w:val="24"/>
          <w:szCs w:val="24"/>
        </w:rPr>
        <w:t>1.2.1</w:t>
      </w:r>
      <w:r>
        <w:rPr>
          <w:spacing w:val="4"/>
          <w:sz w:val="24"/>
        </w:rPr>
        <w:t>磋商响应文件的完整性审查。</w:t>
      </w:r>
    </w:p>
    <w:p w14:paraId="533EB881">
      <w:pPr>
        <w:spacing w:line="360" w:lineRule="auto"/>
        <w:rPr>
          <w:rFonts w:eastAsiaTheme="majorEastAsia"/>
          <w:sz w:val="24"/>
          <w:szCs w:val="24"/>
        </w:rPr>
      </w:pPr>
      <w:r>
        <w:rPr>
          <w:rFonts w:eastAsiaTheme="majorEastAsia"/>
          <w:sz w:val="24"/>
          <w:szCs w:val="24"/>
        </w:rPr>
        <w:t>1.2.1.1磋商响应文件是否按照磋商文件要求的格式编写；</w:t>
      </w:r>
    </w:p>
    <w:p w14:paraId="6809CD68">
      <w:pPr>
        <w:spacing w:line="360" w:lineRule="auto"/>
        <w:rPr>
          <w:rFonts w:eastAsiaTheme="majorEastAsia"/>
          <w:sz w:val="24"/>
          <w:szCs w:val="24"/>
        </w:rPr>
      </w:pPr>
      <w:r>
        <w:rPr>
          <w:rFonts w:eastAsiaTheme="majorEastAsia"/>
          <w:sz w:val="24"/>
          <w:szCs w:val="24"/>
        </w:rPr>
        <w:t xml:space="preserve">1.2.1.2磋商报价内容是否有重大缺漏项。 </w:t>
      </w:r>
    </w:p>
    <w:p w14:paraId="111A80C0">
      <w:pPr>
        <w:spacing w:line="360" w:lineRule="auto"/>
        <w:rPr>
          <w:rFonts w:eastAsiaTheme="majorEastAsia"/>
          <w:sz w:val="24"/>
          <w:szCs w:val="24"/>
        </w:rPr>
      </w:pPr>
      <w:r>
        <w:rPr>
          <w:rFonts w:eastAsiaTheme="majorEastAsia"/>
          <w:sz w:val="24"/>
          <w:szCs w:val="24"/>
        </w:rPr>
        <w:t>1.2.2磋商响应文件的有效性审查。</w:t>
      </w:r>
    </w:p>
    <w:p w14:paraId="633D0F7A">
      <w:pPr>
        <w:spacing w:line="360" w:lineRule="auto"/>
        <w:rPr>
          <w:rFonts w:eastAsiaTheme="majorEastAsia"/>
          <w:sz w:val="24"/>
          <w:szCs w:val="24"/>
        </w:rPr>
      </w:pPr>
      <w:r>
        <w:rPr>
          <w:rFonts w:eastAsiaTheme="majorEastAsia"/>
          <w:sz w:val="24"/>
          <w:szCs w:val="24"/>
        </w:rPr>
        <w:t>1.2.2.1磋商响应文件的签署、加盖印章是否合格、有效；提供的各种证明文件、数据、资料是否真实、有效。</w:t>
      </w:r>
    </w:p>
    <w:p w14:paraId="3D6476D7">
      <w:pPr>
        <w:spacing w:line="360" w:lineRule="auto"/>
        <w:rPr>
          <w:rFonts w:eastAsiaTheme="majorEastAsia"/>
          <w:sz w:val="24"/>
          <w:szCs w:val="24"/>
        </w:rPr>
      </w:pPr>
      <w:r>
        <w:rPr>
          <w:rFonts w:eastAsiaTheme="majorEastAsia"/>
          <w:sz w:val="24"/>
          <w:szCs w:val="24"/>
        </w:rPr>
        <w:t>1.2.2.2是否提交了合格有效的本次采购特别要求的服务合格性证明文件。</w:t>
      </w:r>
    </w:p>
    <w:p w14:paraId="13450806">
      <w:pPr>
        <w:spacing w:line="360" w:lineRule="auto"/>
        <w:rPr>
          <w:rFonts w:eastAsiaTheme="majorEastAsia"/>
          <w:sz w:val="24"/>
          <w:szCs w:val="24"/>
        </w:rPr>
      </w:pPr>
      <w:r>
        <w:rPr>
          <w:rFonts w:eastAsiaTheme="majorEastAsia"/>
          <w:sz w:val="24"/>
          <w:szCs w:val="24"/>
        </w:rPr>
        <w:t>1.2.3磋商响应文件的响应性审查。</w:t>
      </w:r>
    </w:p>
    <w:p w14:paraId="7BCF7935">
      <w:pPr>
        <w:spacing w:line="360" w:lineRule="auto"/>
        <w:rPr>
          <w:rFonts w:eastAsiaTheme="majorEastAsia"/>
          <w:sz w:val="24"/>
          <w:szCs w:val="24"/>
        </w:rPr>
      </w:pPr>
      <w:r>
        <w:rPr>
          <w:rFonts w:eastAsiaTheme="majorEastAsia"/>
          <w:sz w:val="24"/>
          <w:szCs w:val="24"/>
        </w:rPr>
        <w:t>1.2.3.1磋商报价是否超过采购预算；</w:t>
      </w:r>
    </w:p>
    <w:p w14:paraId="08F16ECC">
      <w:pPr>
        <w:spacing w:line="360" w:lineRule="auto"/>
        <w:rPr>
          <w:rFonts w:eastAsiaTheme="majorEastAsia"/>
          <w:sz w:val="24"/>
          <w:szCs w:val="24"/>
        </w:rPr>
      </w:pPr>
      <w:r>
        <w:rPr>
          <w:rFonts w:eastAsiaTheme="majorEastAsia"/>
          <w:sz w:val="24"/>
          <w:szCs w:val="24"/>
        </w:rPr>
        <w:t>1.2.3.2磋商报价是否低于成本价，涉嫌不正当竞争；（如果评委会认为某磋商报价明显不合理或者低于成本，应当要求其在规定期限内提供书面文件予以解释说明，并提交相关证明材料。）</w:t>
      </w:r>
    </w:p>
    <w:p w14:paraId="5D69FB92">
      <w:pPr>
        <w:spacing w:line="360" w:lineRule="auto"/>
        <w:rPr>
          <w:rFonts w:eastAsiaTheme="majorEastAsia"/>
          <w:sz w:val="24"/>
          <w:szCs w:val="24"/>
        </w:rPr>
      </w:pPr>
      <w:r>
        <w:rPr>
          <w:rFonts w:eastAsiaTheme="majorEastAsia"/>
          <w:sz w:val="24"/>
          <w:szCs w:val="24"/>
        </w:rPr>
        <w:t>1.2.3.3磋商报价有效期是否符合磋商文件的要求；</w:t>
      </w:r>
    </w:p>
    <w:p w14:paraId="2CA7FC10">
      <w:pPr>
        <w:spacing w:line="360" w:lineRule="auto"/>
        <w:rPr>
          <w:rFonts w:eastAsiaTheme="majorEastAsia"/>
          <w:sz w:val="24"/>
          <w:szCs w:val="24"/>
        </w:rPr>
      </w:pPr>
      <w:r>
        <w:rPr>
          <w:rFonts w:eastAsiaTheme="majorEastAsia"/>
          <w:sz w:val="24"/>
          <w:szCs w:val="24"/>
        </w:rPr>
        <w:t>1.2.3.4响应文件内容是否符合国家法律法规，是否响应了磋商文件要求的全部条款、条件和规格要求，并且提供了支持文件，没有重大偏离；</w:t>
      </w:r>
    </w:p>
    <w:p w14:paraId="2CDA2179">
      <w:pPr>
        <w:spacing w:line="360" w:lineRule="auto"/>
        <w:rPr>
          <w:rFonts w:eastAsiaTheme="majorEastAsia"/>
          <w:sz w:val="24"/>
          <w:szCs w:val="24"/>
        </w:rPr>
      </w:pPr>
      <w:r>
        <w:rPr>
          <w:rFonts w:eastAsiaTheme="majorEastAsia"/>
          <w:sz w:val="24"/>
          <w:szCs w:val="24"/>
        </w:rPr>
        <w:t>1.2.3.5对合同中规定的双方的权利和义务是否做出了实质性响应。</w:t>
      </w:r>
    </w:p>
    <w:p w14:paraId="5B081EB6">
      <w:pPr>
        <w:spacing w:line="360" w:lineRule="auto"/>
        <w:rPr>
          <w:rFonts w:eastAsiaTheme="majorEastAsia"/>
          <w:sz w:val="24"/>
          <w:szCs w:val="24"/>
        </w:rPr>
      </w:pPr>
      <w:r>
        <w:rPr>
          <w:rFonts w:eastAsiaTheme="majorEastAsia"/>
          <w:sz w:val="24"/>
          <w:szCs w:val="24"/>
        </w:rPr>
        <w:t>2.澄清有关问题</w:t>
      </w:r>
    </w:p>
    <w:p w14:paraId="0C69CA4D">
      <w:pPr>
        <w:spacing w:line="360" w:lineRule="auto"/>
        <w:rPr>
          <w:rFonts w:eastAsiaTheme="majorEastAsia"/>
          <w:sz w:val="24"/>
          <w:szCs w:val="24"/>
        </w:rPr>
      </w:pPr>
      <w:r>
        <w:rPr>
          <w:rFonts w:eastAsiaTheme="majorEastAsia"/>
          <w:sz w:val="24"/>
          <w:szCs w:val="24"/>
        </w:rPr>
        <w:t>在审查文件的过程中，对响应文件中含义不明确、同类问题表述不一致或者有明显文字和计算错误的内容等，磋商小组将要求供应商作出必要的澄清、说明或者纠正。供应商的澄清、说明或者更正不得超出响应文件的范围或者改变响应文件的实质性内容。</w:t>
      </w:r>
    </w:p>
    <w:p w14:paraId="2D77004C">
      <w:pPr>
        <w:spacing w:line="360" w:lineRule="auto"/>
        <w:rPr>
          <w:rFonts w:eastAsiaTheme="majorEastAsia"/>
          <w:sz w:val="24"/>
          <w:szCs w:val="24"/>
        </w:rPr>
      </w:pPr>
      <w:r>
        <w:rPr>
          <w:rFonts w:eastAsiaTheme="majorEastAsia"/>
          <w:sz w:val="24"/>
          <w:szCs w:val="24"/>
        </w:rPr>
        <w:t>磋商小组要求供应商澄清、说明或者更正响应文件应当以书面形式作出。供应商的澄清、说明或者更正应当由法定代表人或其授权代表签字或者加盖公章。由授权代表签字的，应当附法定代表人授权书。供应商为自然人的，应当由本人签字并附身份证明。</w:t>
      </w:r>
    </w:p>
    <w:p w14:paraId="20D1AA8D">
      <w:pPr>
        <w:spacing w:line="360" w:lineRule="auto"/>
        <w:rPr>
          <w:rFonts w:eastAsiaTheme="majorEastAsia"/>
          <w:sz w:val="24"/>
          <w:szCs w:val="24"/>
        </w:rPr>
      </w:pPr>
      <w:r>
        <w:rPr>
          <w:rFonts w:eastAsiaTheme="majorEastAsia"/>
          <w:sz w:val="24"/>
          <w:szCs w:val="24"/>
        </w:rPr>
        <w:t>3.磋商小组逐一与实质性响应磋商文件要求的报价人进行磋商。</w:t>
      </w:r>
    </w:p>
    <w:p w14:paraId="6DACA234">
      <w:pPr>
        <w:spacing w:line="360" w:lineRule="auto"/>
        <w:rPr>
          <w:rFonts w:eastAsiaTheme="majorEastAsia"/>
          <w:sz w:val="24"/>
          <w:szCs w:val="24"/>
        </w:rPr>
      </w:pPr>
      <w:r>
        <w:rPr>
          <w:rFonts w:eastAsiaTheme="majorEastAsia"/>
          <w:sz w:val="24"/>
          <w:szCs w:val="24"/>
        </w:rPr>
        <w:t>4.政策性价格优惠折扣规定</w:t>
      </w:r>
    </w:p>
    <w:p w14:paraId="31B19910">
      <w:pPr>
        <w:spacing w:line="360" w:lineRule="auto"/>
        <w:rPr>
          <w:rFonts w:eastAsiaTheme="majorEastAsia"/>
          <w:sz w:val="24"/>
          <w:szCs w:val="24"/>
        </w:rPr>
      </w:pPr>
      <w:r>
        <w:rPr>
          <w:rFonts w:eastAsiaTheme="majorEastAsia"/>
          <w:sz w:val="24"/>
          <w:szCs w:val="24"/>
        </w:rPr>
        <w:t>经初审并磋商之后，对于所有满足磋商文件全部实质性要求并按照规定提交了最终报价的响应文件，按照以下规则进行评审价格的确定。</w:t>
      </w:r>
    </w:p>
    <w:p w14:paraId="1442643E">
      <w:pPr>
        <w:spacing w:line="360" w:lineRule="auto"/>
        <w:rPr>
          <w:rFonts w:eastAsiaTheme="majorEastAsia"/>
          <w:sz w:val="24"/>
          <w:szCs w:val="24"/>
        </w:rPr>
      </w:pPr>
      <w:r>
        <w:rPr>
          <w:rFonts w:eastAsiaTheme="majorEastAsia"/>
          <w:sz w:val="24"/>
          <w:szCs w:val="24"/>
        </w:rPr>
        <w:t>4.1磋商响应分包的所有产品进入节能清单（有效期内）的，其评审价=磋商最终报价*（1-3%）；（不是所有产品的不享受此项优惠）</w:t>
      </w:r>
    </w:p>
    <w:p w14:paraId="4EF1A163">
      <w:pPr>
        <w:spacing w:line="360" w:lineRule="auto"/>
        <w:rPr>
          <w:rFonts w:eastAsiaTheme="majorEastAsia"/>
          <w:sz w:val="24"/>
          <w:szCs w:val="24"/>
        </w:rPr>
      </w:pPr>
      <w:r>
        <w:rPr>
          <w:rFonts w:eastAsiaTheme="majorEastAsia"/>
          <w:sz w:val="24"/>
          <w:szCs w:val="24"/>
        </w:rPr>
        <w:t>4.2磋商响应分包的所有产品进入环境标志产品清单（有效期内）的，其评审价=磋商最终报价*（1-1%）；（不是所有产品的不享受此项优惠）</w:t>
      </w:r>
    </w:p>
    <w:p w14:paraId="2AB7A13C">
      <w:pPr>
        <w:spacing w:line="360" w:lineRule="auto"/>
        <w:rPr>
          <w:rFonts w:eastAsiaTheme="majorEastAsia"/>
          <w:sz w:val="24"/>
          <w:szCs w:val="24"/>
        </w:rPr>
      </w:pPr>
      <w:r>
        <w:rPr>
          <w:rFonts w:eastAsiaTheme="majorEastAsia"/>
          <w:sz w:val="24"/>
          <w:szCs w:val="24"/>
        </w:rPr>
        <w:t>4.3供应商为小型和微型企业（含联合体）、监狱企业的评审价计算规则：</w:t>
      </w:r>
    </w:p>
    <w:p w14:paraId="221731BE">
      <w:pPr>
        <w:spacing w:line="360" w:lineRule="auto"/>
        <w:rPr>
          <w:rFonts w:eastAsiaTheme="majorEastAsia"/>
          <w:sz w:val="24"/>
          <w:szCs w:val="24"/>
        </w:rPr>
      </w:pPr>
      <w:r>
        <w:rPr>
          <w:rFonts w:eastAsiaTheme="majorEastAsia"/>
          <w:sz w:val="24"/>
          <w:szCs w:val="24"/>
        </w:rPr>
        <w:t>4.3.1本办法所称中小企业（含中型、小型、微型企业，下同）应当同时符合以下条件：</w:t>
      </w:r>
    </w:p>
    <w:p w14:paraId="68CA5A16">
      <w:pPr>
        <w:spacing w:line="360" w:lineRule="auto"/>
        <w:rPr>
          <w:rFonts w:eastAsiaTheme="majorEastAsia"/>
          <w:sz w:val="24"/>
          <w:szCs w:val="24"/>
        </w:rPr>
      </w:pPr>
      <w:r>
        <w:rPr>
          <w:rFonts w:eastAsiaTheme="majorEastAsia"/>
          <w:sz w:val="24"/>
          <w:szCs w:val="24"/>
        </w:rPr>
        <w:t>4.3.1.1符合中小企业划分标准；</w:t>
      </w:r>
    </w:p>
    <w:p w14:paraId="5D23F48D">
      <w:pPr>
        <w:spacing w:line="360" w:lineRule="auto"/>
        <w:rPr>
          <w:rFonts w:eastAsiaTheme="majorEastAsia"/>
          <w:sz w:val="24"/>
          <w:szCs w:val="24"/>
        </w:rPr>
      </w:pPr>
      <w:r>
        <w:rPr>
          <w:rFonts w:eastAsiaTheme="majorEastAsia"/>
          <w:sz w:val="24"/>
          <w:szCs w:val="24"/>
        </w:rPr>
        <w:t>4.3.1.2提供本企业承担的服务，或者提供其他中小企业承担的服务。</w:t>
      </w:r>
      <w:bookmarkStart w:id="6" w:name="OLE_LINK9"/>
      <w:bookmarkStart w:id="7" w:name="OLE_LINK1"/>
      <w:r>
        <w:rPr>
          <w:rFonts w:eastAsiaTheme="majorEastAsia"/>
          <w:sz w:val="24"/>
          <w:szCs w:val="24"/>
        </w:rPr>
        <w:t>本项所称服务不包括使用大型企业的服务。</w:t>
      </w:r>
      <w:bookmarkEnd w:id="6"/>
      <w:bookmarkEnd w:id="7"/>
    </w:p>
    <w:p w14:paraId="27EAD00B">
      <w:pPr>
        <w:spacing w:line="360" w:lineRule="auto"/>
        <w:rPr>
          <w:rFonts w:eastAsiaTheme="majorEastAsia"/>
          <w:sz w:val="24"/>
          <w:szCs w:val="24"/>
        </w:rPr>
      </w:pPr>
      <w:r>
        <w:rPr>
          <w:rFonts w:eastAsiaTheme="majorEastAsia"/>
          <w:sz w:val="24"/>
          <w:szCs w:val="24"/>
        </w:rPr>
        <w:t>4.3.2本规定所称中小企业划分标准，是指国务院有关部门根据企业从业人员、营业收入、资产总额等指标制定的中小企业划型标准（工信部联企业〔2011〕300号）；</w:t>
      </w:r>
    </w:p>
    <w:p w14:paraId="5712DE00">
      <w:pPr>
        <w:spacing w:line="360" w:lineRule="auto"/>
        <w:rPr>
          <w:rFonts w:eastAsiaTheme="majorEastAsia"/>
          <w:sz w:val="24"/>
          <w:szCs w:val="24"/>
        </w:rPr>
      </w:pPr>
      <w:r>
        <w:rPr>
          <w:rFonts w:eastAsiaTheme="majorEastAsia"/>
          <w:sz w:val="24"/>
          <w:szCs w:val="24"/>
        </w:rPr>
        <w:t>4.3.3小型、微型企业提供有中型企业承担服务的，视同为中型企业；小型、微型、中型企业提供有大型企业承担服务的，视同为大型企业。</w:t>
      </w:r>
    </w:p>
    <w:p w14:paraId="6C2893F6">
      <w:pPr>
        <w:spacing w:line="360" w:lineRule="auto"/>
        <w:rPr>
          <w:rFonts w:eastAsiaTheme="majorEastAsia"/>
          <w:sz w:val="24"/>
          <w:szCs w:val="24"/>
        </w:rPr>
      </w:pPr>
      <w:r>
        <w:rPr>
          <w:rFonts w:eastAsiaTheme="majorEastAsia"/>
          <w:sz w:val="24"/>
          <w:szCs w:val="24"/>
        </w:rPr>
        <w:t>4.3.4本办法所称监狱企业，是指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监狱企业参加政府采购活动时，应当提供由省级以上监狱管理局、戒毒管理局（含新疆生产建设兵团）出具的属于监狱企业的证明文件。</w:t>
      </w:r>
    </w:p>
    <w:p w14:paraId="2A6B4C60">
      <w:pPr>
        <w:spacing w:line="360" w:lineRule="auto"/>
        <w:rPr>
          <w:rFonts w:eastAsiaTheme="majorEastAsia"/>
          <w:sz w:val="24"/>
          <w:szCs w:val="24"/>
        </w:rPr>
      </w:pPr>
      <w:r>
        <w:rPr>
          <w:rFonts w:eastAsiaTheme="majorEastAsia"/>
          <w:sz w:val="24"/>
          <w:szCs w:val="24"/>
        </w:rPr>
        <w:t>4.3.5评审价的计算：</w:t>
      </w:r>
    </w:p>
    <w:p w14:paraId="0E29A4E3">
      <w:pPr>
        <w:spacing w:line="360" w:lineRule="auto"/>
        <w:rPr>
          <w:rFonts w:eastAsiaTheme="majorEastAsia"/>
          <w:sz w:val="24"/>
          <w:szCs w:val="24"/>
        </w:rPr>
      </w:pPr>
      <w:r>
        <w:rPr>
          <w:rFonts w:eastAsiaTheme="majorEastAsia"/>
          <w:sz w:val="24"/>
          <w:szCs w:val="24"/>
        </w:rPr>
        <w:t>4.3.5.1供应商为非联合体的情况：</w:t>
      </w:r>
    </w:p>
    <w:p w14:paraId="7E466D50">
      <w:pPr>
        <w:spacing w:line="360" w:lineRule="auto"/>
        <w:rPr>
          <w:rFonts w:eastAsiaTheme="majorEastAsia"/>
          <w:sz w:val="24"/>
          <w:szCs w:val="24"/>
        </w:rPr>
      </w:pPr>
      <w:r>
        <w:rPr>
          <w:rFonts w:eastAsiaTheme="majorEastAsia"/>
          <w:sz w:val="24"/>
          <w:szCs w:val="24"/>
        </w:rPr>
        <w:t>小型企业，其评审价=磋商最终报价*（1-10%）；</w:t>
      </w:r>
    </w:p>
    <w:p w14:paraId="7AE6AD39">
      <w:pPr>
        <w:spacing w:line="360" w:lineRule="auto"/>
        <w:rPr>
          <w:rFonts w:eastAsiaTheme="majorEastAsia"/>
          <w:sz w:val="24"/>
          <w:szCs w:val="24"/>
        </w:rPr>
      </w:pPr>
      <w:r>
        <w:rPr>
          <w:rFonts w:eastAsiaTheme="majorEastAsia"/>
          <w:sz w:val="24"/>
          <w:szCs w:val="24"/>
        </w:rPr>
        <w:t>微型企业，其评审价=磋商最终报价*（1-12%）；</w:t>
      </w:r>
    </w:p>
    <w:p w14:paraId="34B9C9B1">
      <w:pPr>
        <w:spacing w:line="360" w:lineRule="auto"/>
        <w:rPr>
          <w:rFonts w:eastAsiaTheme="majorEastAsia"/>
          <w:sz w:val="24"/>
          <w:szCs w:val="24"/>
        </w:rPr>
      </w:pPr>
      <w:r>
        <w:rPr>
          <w:rFonts w:eastAsiaTheme="majorEastAsia"/>
          <w:sz w:val="24"/>
          <w:szCs w:val="24"/>
        </w:rPr>
        <w:t>监狱企业，其评审价=磋商最终报价*（1-10%）。</w:t>
      </w:r>
    </w:p>
    <w:p w14:paraId="084A4A21">
      <w:pPr>
        <w:spacing w:line="360" w:lineRule="auto"/>
        <w:rPr>
          <w:rFonts w:eastAsiaTheme="majorEastAsia"/>
          <w:sz w:val="24"/>
          <w:szCs w:val="24"/>
        </w:rPr>
      </w:pPr>
      <w:r>
        <w:rPr>
          <w:rFonts w:eastAsiaTheme="majorEastAsia"/>
          <w:sz w:val="24"/>
          <w:szCs w:val="24"/>
        </w:rPr>
        <w:t>残疾人福利性单位，其评审价=磋商最终报价*（1-6%）。</w:t>
      </w:r>
    </w:p>
    <w:p w14:paraId="5841633F">
      <w:pPr>
        <w:spacing w:line="360" w:lineRule="auto"/>
        <w:rPr>
          <w:rFonts w:eastAsiaTheme="majorEastAsia"/>
          <w:sz w:val="24"/>
          <w:szCs w:val="24"/>
        </w:rPr>
      </w:pPr>
      <w:r>
        <w:rPr>
          <w:rFonts w:eastAsiaTheme="majorEastAsia"/>
          <w:sz w:val="24"/>
          <w:szCs w:val="24"/>
        </w:rPr>
        <w:t>4.3.5.2报价人为联合体报价且联合协议中约定小型、微型企业、监狱企业的协议合同金额占到联合体协议合同总金额30％以上的，按照以下规则进行评审价计算：</w:t>
      </w:r>
    </w:p>
    <w:p w14:paraId="21B46F73">
      <w:pPr>
        <w:spacing w:line="360" w:lineRule="auto"/>
        <w:rPr>
          <w:rFonts w:eastAsiaTheme="majorEastAsia"/>
          <w:sz w:val="24"/>
          <w:szCs w:val="24"/>
        </w:rPr>
      </w:pPr>
      <w:r>
        <w:rPr>
          <w:rFonts w:eastAsiaTheme="majorEastAsia"/>
          <w:sz w:val="24"/>
          <w:szCs w:val="24"/>
        </w:rPr>
        <w:t>与小型企业联合的，其评审价=磋商最后报价*（1-4%）；</w:t>
      </w:r>
    </w:p>
    <w:p w14:paraId="3C3939B1">
      <w:pPr>
        <w:spacing w:line="360" w:lineRule="auto"/>
        <w:rPr>
          <w:rFonts w:eastAsiaTheme="majorEastAsia"/>
          <w:sz w:val="24"/>
          <w:szCs w:val="24"/>
        </w:rPr>
      </w:pPr>
      <w:r>
        <w:rPr>
          <w:rFonts w:eastAsiaTheme="majorEastAsia"/>
          <w:sz w:val="24"/>
          <w:szCs w:val="24"/>
        </w:rPr>
        <w:t>与微型企业联合的，其评审价=磋商最后报价*（1-6%）；</w:t>
      </w:r>
    </w:p>
    <w:p w14:paraId="7F9D6475">
      <w:pPr>
        <w:spacing w:line="360" w:lineRule="auto"/>
        <w:rPr>
          <w:rFonts w:eastAsiaTheme="majorEastAsia"/>
          <w:sz w:val="24"/>
          <w:szCs w:val="24"/>
        </w:rPr>
      </w:pPr>
      <w:r>
        <w:rPr>
          <w:rFonts w:eastAsiaTheme="majorEastAsia"/>
          <w:sz w:val="24"/>
          <w:szCs w:val="24"/>
        </w:rPr>
        <w:t>与监狱企业联合的，其评审价=磋商最后报价*（1-4%）。</w:t>
      </w:r>
    </w:p>
    <w:p w14:paraId="6DB973FC">
      <w:pPr>
        <w:spacing w:line="360" w:lineRule="auto"/>
        <w:rPr>
          <w:spacing w:val="4"/>
          <w:sz w:val="24"/>
        </w:rPr>
      </w:pPr>
      <w:r>
        <w:rPr>
          <w:spacing w:val="4"/>
          <w:sz w:val="24"/>
        </w:rPr>
        <w:t>与残疾人福利性单位联合的，其评审价=磋商最后报价*（1-4%）。</w:t>
      </w:r>
    </w:p>
    <w:p w14:paraId="34A0AC67">
      <w:pPr>
        <w:spacing w:line="360" w:lineRule="auto"/>
        <w:rPr>
          <w:spacing w:val="4"/>
          <w:sz w:val="24"/>
        </w:rPr>
      </w:pPr>
      <w:r>
        <w:rPr>
          <w:spacing w:val="4"/>
          <w:sz w:val="24"/>
        </w:rPr>
        <w:t>4.3.6 符合（财库[2019]27号）文件规定的投标产品或成交供应商：</w:t>
      </w:r>
    </w:p>
    <w:p w14:paraId="3C597C79">
      <w:pPr>
        <w:spacing w:line="360" w:lineRule="auto"/>
        <w:rPr>
          <w:spacing w:val="4"/>
          <w:sz w:val="24"/>
        </w:rPr>
      </w:pPr>
      <w:r>
        <w:rPr>
          <w:spacing w:val="4"/>
          <w:sz w:val="24"/>
        </w:rPr>
        <w:t>4.3.6.1投标产品为贫困地区农副产品的评标价计算规则：其评标价=投标报价*（1-5%）；</w:t>
      </w:r>
    </w:p>
    <w:p w14:paraId="47771135">
      <w:pPr>
        <w:spacing w:line="360" w:lineRule="auto"/>
        <w:rPr>
          <w:spacing w:val="4"/>
          <w:sz w:val="24"/>
        </w:rPr>
      </w:pPr>
      <w:r>
        <w:rPr>
          <w:spacing w:val="4"/>
          <w:sz w:val="24"/>
        </w:rPr>
        <w:t>4.3.6.1.1贫困地区农副产品是指832个国家级贫困县域内注册的企业、农民专业合作社、家庭农场等出产的农副产品。</w:t>
      </w:r>
    </w:p>
    <w:p w14:paraId="52771B0C">
      <w:pPr>
        <w:spacing w:line="360" w:lineRule="auto"/>
        <w:rPr>
          <w:spacing w:val="4"/>
          <w:sz w:val="24"/>
        </w:rPr>
      </w:pPr>
      <w:r>
        <w:rPr>
          <w:spacing w:val="4"/>
          <w:sz w:val="24"/>
        </w:rPr>
        <w:t>4.3.6.2成交供应商为物业公司提供物业服务的评标价计算规则：其评标价=投标报价*（1-5%）；</w:t>
      </w:r>
    </w:p>
    <w:p w14:paraId="37772450">
      <w:pPr>
        <w:spacing w:line="360" w:lineRule="auto"/>
        <w:rPr>
          <w:rFonts w:eastAsiaTheme="majorEastAsia"/>
          <w:sz w:val="24"/>
          <w:szCs w:val="24"/>
        </w:rPr>
      </w:pPr>
      <w:r>
        <w:rPr>
          <w:spacing w:val="4"/>
          <w:sz w:val="24"/>
        </w:rPr>
        <w:t>4.3.6.2.1采购物业服务的，有条件的应当优先采购注册地在832个国家级贫困县域内，且聘用建档立卡贫困人员物业公司提供的物业服务。对注册地在832个国家级贫困县域内，且聘用建档立卡贫困人员达到公司员工（含服务外包用工）30%以上的物业公司提供的物业服务。</w:t>
      </w:r>
    </w:p>
    <w:p w14:paraId="7AC4D44B">
      <w:pPr>
        <w:spacing w:line="360" w:lineRule="auto"/>
        <w:rPr>
          <w:rFonts w:eastAsiaTheme="majorEastAsia"/>
          <w:sz w:val="24"/>
          <w:szCs w:val="24"/>
        </w:rPr>
      </w:pPr>
      <w:r>
        <w:rPr>
          <w:rFonts w:eastAsiaTheme="majorEastAsia"/>
          <w:sz w:val="24"/>
          <w:szCs w:val="24"/>
        </w:rPr>
        <w:t>4.4对于不享受以上政策性优惠价格调整的，其评审价=报价人提交的磋商最终报价。</w:t>
      </w:r>
    </w:p>
    <w:p w14:paraId="0D7315F3">
      <w:pPr>
        <w:spacing w:line="360" w:lineRule="auto"/>
        <w:rPr>
          <w:rFonts w:eastAsiaTheme="majorEastAsia"/>
          <w:sz w:val="24"/>
          <w:szCs w:val="24"/>
        </w:rPr>
      </w:pPr>
      <w:r>
        <w:rPr>
          <w:rFonts w:eastAsiaTheme="majorEastAsia"/>
          <w:sz w:val="24"/>
          <w:szCs w:val="24"/>
        </w:rPr>
        <w:t>5.比较与评价：</w:t>
      </w:r>
    </w:p>
    <w:p w14:paraId="43C1E1A5">
      <w:pPr>
        <w:spacing w:line="360" w:lineRule="auto"/>
        <w:rPr>
          <w:rFonts w:eastAsiaTheme="majorEastAsia"/>
          <w:sz w:val="24"/>
          <w:szCs w:val="24"/>
        </w:rPr>
      </w:pPr>
      <w:r>
        <w:rPr>
          <w:rFonts w:eastAsiaTheme="majorEastAsia"/>
          <w:sz w:val="24"/>
          <w:szCs w:val="24"/>
        </w:rPr>
        <w:t>经初审并磋商之后，对于所有满足磋商文件全部实质性要求并按照规定提交了最终报价的响应文件，由竞争性磋商小组各成员按照下列《评审因素及量化指标分解表》规定的内容独立进行综合比较，评价打分。</w:t>
      </w:r>
    </w:p>
    <w:p w14:paraId="68274B21">
      <w:pPr>
        <w:spacing w:line="360" w:lineRule="auto"/>
        <w:rPr>
          <w:rFonts w:eastAsiaTheme="majorEastAsia"/>
          <w:sz w:val="24"/>
          <w:szCs w:val="24"/>
        </w:rPr>
      </w:pPr>
      <w:r>
        <w:rPr>
          <w:rFonts w:eastAsiaTheme="majorEastAsia"/>
          <w:sz w:val="24"/>
          <w:szCs w:val="24"/>
        </w:rPr>
        <w:t>6.推荐成交候选供应商名单</w:t>
      </w:r>
    </w:p>
    <w:p w14:paraId="08244D34">
      <w:pPr>
        <w:spacing w:line="360" w:lineRule="auto"/>
        <w:rPr>
          <w:rFonts w:eastAsiaTheme="majorEastAsia"/>
          <w:sz w:val="24"/>
          <w:szCs w:val="24"/>
        </w:rPr>
      </w:pPr>
      <w:r>
        <w:rPr>
          <w:rFonts w:eastAsiaTheme="majorEastAsia"/>
          <w:sz w:val="24"/>
          <w:szCs w:val="24"/>
        </w:rPr>
        <w:t>汇总磋商小组成员对每个供应商的综合得分，每个包按照评审得分由高到低顺序推荐3名成交候选供应商。</w:t>
      </w:r>
    </w:p>
    <w:p w14:paraId="433F3886">
      <w:pPr>
        <w:widowControl/>
        <w:jc w:val="left"/>
        <w:rPr>
          <w:rFonts w:eastAsiaTheme="majorEastAsia"/>
          <w:sz w:val="24"/>
          <w:szCs w:val="24"/>
        </w:rPr>
      </w:pPr>
      <w:r>
        <w:rPr>
          <w:rFonts w:eastAsiaTheme="majorEastAsia"/>
          <w:sz w:val="24"/>
          <w:szCs w:val="24"/>
        </w:rPr>
        <w:br w:type="page"/>
      </w:r>
    </w:p>
    <w:p w14:paraId="04B08C5E">
      <w:pPr>
        <w:spacing w:line="360" w:lineRule="auto"/>
        <w:jc w:val="center"/>
        <w:rPr>
          <w:rFonts w:eastAsiaTheme="minorEastAsia"/>
          <w:b/>
          <w:sz w:val="24"/>
          <w:szCs w:val="24"/>
        </w:rPr>
      </w:pPr>
      <w:r>
        <w:rPr>
          <w:rFonts w:eastAsiaTheme="minorEastAsia"/>
          <w:b/>
          <w:sz w:val="24"/>
          <w:szCs w:val="24"/>
        </w:rPr>
        <w:t>评审因素及权重分值表</w:t>
      </w:r>
    </w:p>
    <w:p w14:paraId="30CF485A">
      <w:pPr>
        <w:pStyle w:val="10"/>
        <w:spacing w:line="360" w:lineRule="auto"/>
        <w:ind w:firstLine="480" w:firstLineChars="200"/>
        <w:jc w:val="left"/>
        <w:rPr>
          <w:rFonts w:hint="eastAsia" w:hAnsi="宋体" w:cs="宋体"/>
          <w:sz w:val="24"/>
          <w:szCs w:val="24"/>
        </w:rPr>
      </w:pPr>
    </w:p>
    <w:tbl>
      <w:tblPr>
        <w:tblStyle w:val="21"/>
        <w:tblW w:w="877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69"/>
        <w:gridCol w:w="840"/>
        <w:gridCol w:w="2469"/>
        <w:gridCol w:w="4592"/>
      </w:tblGrid>
      <w:tr w14:paraId="72E983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0" w:hRule="atLeast"/>
          <w:jc w:val="center"/>
        </w:trPr>
        <w:tc>
          <w:tcPr>
            <w:tcW w:w="869" w:type="dxa"/>
            <w:vAlign w:val="center"/>
          </w:tcPr>
          <w:p w14:paraId="2B4580E5">
            <w:pPr>
              <w:spacing w:line="400" w:lineRule="exact"/>
              <w:jc w:val="center"/>
              <w:rPr>
                <w:rFonts w:hint="eastAsia" w:ascii="宋体" w:hAnsi="宋体" w:cs="宋体"/>
                <w:bCs/>
                <w:sz w:val="24"/>
                <w:szCs w:val="24"/>
              </w:rPr>
            </w:pPr>
            <w:r>
              <w:rPr>
                <w:rFonts w:hint="eastAsia" w:ascii="宋体" w:hAnsi="宋体" w:cs="宋体"/>
                <w:bCs/>
                <w:sz w:val="24"/>
                <w:szCs w:val="24"/>
              </w:rPr>
              <w:t>类别</w:t>
            </w:r>
          </w:p>
        </w:tc>
        <w:tc>
          <w:tcPr>
            <w:tcW w:w="840" w:type="dxa"/>
            <w:vAlign w:val="center"/>
          </w:tcPr>
          <w:p w14:paraId="63DC7FBB">
            <w:pPr>
              <w:spacing w:line="400" w:lineRule="exact"/>
              <w:jc w:val="center"/>
              <w:rPr>
                <w:rFonts w:hint="eastAsia" w:ascii="宋体" w:hAnsi="宋体" w:cs="宋体"/>
                <w:bCs/>
                <w:sz w:val="24"/>
                <w:szCs w:val="24"/>
              </w:rPr>
            </w:pPr>
            <w:r>
              <w:rPr>
                <w:rFonts w:hint="eastAsia" w:ascii="宋体" w:hAnsi="宋体" w:cs="宋体"/>
                <w:bCs/>
                <w:sz w:val="24"/>
                <w:szCs w:val="24"/>
              </w:rPr>
              <w:t>序号</w:t>
            </w:r>
          </w:p>
        </w:tc>
        <w:tc>
          <w:tcPr>
            <w:tcW w:w="2469" w:type="dxa"/>
            <w:vAlign w:val="center"/>
          </w:tcPr>
          <w:p w14:paraId="6068BF13">
            <w:pPr>
              <w:spacing w:line="400" w:lineRule="exact"/>
              <w:jc w:val="center"/>
              <w:rPr>
                <w:rFonts w:hint="eastAsia" w:ascii="宋体" w:hAnsi="宋体" w:cs="宋体"/>
                <w:bCs/>
                <w:sz w:val="24"/>
                <w:szCs w:val="24"/>
              </w:rPr>
            </w:pPr>
            <w:r>
              <w:rPr>
                <w:rFonts w:hint="eastAsia" w:ascii="宋体" w:hAnsi="宋体" w:cs="宋体"/>
                <w:bCs/>
                <w:sz w:val="24"/>
                <w:szCs w:val="24"/>
              </w:rPr>
              <w:t>评审因素及量化分值</w:t>
            </w:r>
          </w:p>
        </w:tc>
        <w:tc>
          <w:tcPr>
            <w:tcW w:w="4592" w:type="dxa"/>
            <w:vAlign w:val="center"/>
          </w:tcPr>
          <w:p w14:paraId="1A82804B">
            <w:pPr>
              <w:spacing w:line="400" w:lineRule="exact"/>
              <w:jc w:val="center"/>
              <w:rPr>
                <w:rFonts w:hint="eastAsia" w:ascii="宋体" w:hAnsi="宋体" w:cs="宋体"/>
                <w:bCs/>
                <w:sz w:val="24"/>
                <w:szCs w:val="24"/>
              </w:rPr>
            </w:pPr>
            <w:r>
              <w:rPr>
                <w:rFonts w:hint="eastAsia" w:ascii="宋体" w:hAnsi="宋体" w:cs="宋体"/>
                <w:bCs/>
                <w:sz w:val="24"/>
                <w:szCs w:val="24"/>
              </w:rPr>
              <w:t>赋分标准</w:t>
            </w:r>
          </w:p>
        </w:tc>
      </w:tr>
      <w:tr w14:paraId="22A36F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99" w:hRule="atLeast"/>
          <w:jc w:val="center"/>
        </w:trPr>
        <w:tc>
          <w:tcPr>
            <w:tcW w:w="869" w:type="dxa"/>
            <w:vAlign w:val="center"/>
          </w:tcPr>
          <w:p w14:paraId="03536325">
            <w:pPr>
              <w:spacing w:line="400" w:lineRule="exact"/>
              <w:jc w:val="center"/>
              <w:rPr>
                <w:rFonts w:hint="eastAsia" w:ascii="宋体" w:hAnsi="宋体" w:cs="宋体"/>
                <w:sz w:val="24"/>
                <w:szCs w:val="24"/>
              </w:rPr>
            </w:pPr>
            <w:r>
              <w:rPr>
                <w:rFonts w:hint="eastAsia" w:ascii="宋体" w:hAnsi="宋体" w:cs="宋体"/>
                <w:sz w:val="24"/>
                <w:szCs w:val="24"/>
              </w:rPr>
              <w:t>技术</w:t>
            </w:r>
          </w:p>
          <w:p w14:paraId="6A3BE2EF">
            <w:pPr>
              <w:spacing w:line="400" w:lineRule="exact"/>
              <w:jc w:val="center"/>
              <w:rPr>
                <w:rFonts w:hint="eastAsia" w:ascii="宋体" w:hAnsi="宋体" w:cs="宋体"/>
                <w:sz w:val="24"/>
                <w:szCs w:val="24"/>
              </w:rPr>
            </w:pPr>
            <w:r>
              <w:rPr>
                <w:rFonts w:hint="eastAsia" w:ascii="宋体" w:hAnsi="宋体" w:cs="宋体"/>
                <w:sz w:val="24"/>
                <w:szCs w:val="24"/>
                <w:lang w:val="en-US" w:eastAsia="zh-CN"/>
              </w:rPr>
              <w:t>6</w:t>
            </w:r>
            <w:r>
              <w:rPr>
                <w:rFonts w:hint="eastAsia" w:ascii="宋体" w:hAnsi="宋体" w:cs="宋体"/>
                <w:sz w:val="24"/>
                <w:szCs w:val="24"/>
              </w:rPr>
              <w:t>0分</w:t>
            </w:r>
          </w:p>
        </w:tc>
        <w:tc>
          <w:tcPr>
            <w:tcW w:w="840" w:type="dxa"/>
            <w:vAlign w:val="center"/>
          </w:tcPr>
          <w:p w14:paraId="530A4FD2">
            <w:pPr>
              <w:jc w:val="center"/>
              <w:rPr>
                <w:rFonts w:hint="eastAsia" w:ascii="宋体" w:hAnsi="宋体" w:cs="宋体"/>
                <w:sz w:val="24"/>
                <w:szCs w:val="24"/>
              </w:rPr>
            </w:pPr>
            <w:r>
              <w:rPr>
                <w:rFonts w:hint="eastAsia" w:ascii="宋体" w:hAnsi="宋体" w:cs="宋体"/>
                <w:sz w:val="24"/>
                <w:szCs w:val="24"/>
              </w:rPr>
              <w:t>1</w:t>
            </w:r>
          </w:p>
        </w:tc>
        <w:tc>
          <w:tcPr>
            <w:tcW w:w="2469" w:type="dxa"/>
            <w:vAlign w:val="center"/>
          </w:tcPr>
          <w:p w14:paraId="5F2915FD">
            <w:pPr>
              <w:spacing w:line="400" w:lineRule="exact"/>
              <w:rPr>
                <w:rFonts w:hint="eastAsia" w:ascii="宋体" w:hAnsi="宋体" w:cs="宋体"/>
                <w:sz w:val="24"/>
                <w:szCs w:val="24"/>
              </w:rPr>
            </w:pPr>
            <w:r>
              <w:rPr>
                <w:rFonts w:hint="eastAsia" w:ascii="宋体" w:hAnsi="宋体" w:cs="宋体"/>
                <w:sz w:val="24"/>
                <w:szCs w:val="24"/>
              </w:rPr>
              <w:t>技术指标</w:t>
            </w:r>
            <w:r>
              <w:rPr>
                <w:rFonts w:hint="eastAsia" w:ascii="宋体" w:hAnsi="宋体" w:cs="宋体"/>
                <w:sz w:val="24"/>
                <w:szCs w:val="24"/>
                <w:lang w:val="en-US" w:eastAsia="zh-CN"/>
              </w:rPr>
              <w:t>15</w:t>
            </w:r>
            <w:r>
              <w:rPr>
                <w:rFonts w:hint="eastAsia" w:ascii="宋体" w:hAnsi="宋体" w:cs="宋体"/>
                <w:sz w:val="24"/>
                <w:szCs w:val="24"/>
              </w:rPr>
              <w:t>分</w:t>
            </w:r>
          </w:p>
        </w:tc>
        <w:tc>
          <w:tcPr>
            <w:tcW w:w="4592" w:type="dxa"/>
            <w:vAlign w:val="center"/>
          </w:tcPr>
          <w:p w14:paraId="5345EA85">
            <w:pPr>
              <w:spacing w:line="400" w:lineRule="exact"/>
              <w:rPr>
                <w:rFonts w:hint="eastAsia" w:ascii="宋体" w:hAnsi="宋体" w:cs="宋体"/>
                <w:sz w:val="24"/>
                <w:szCs w:val="24"/>
              </w:rPr>
            </w:pPr>
            <w:r>
              <w:rPr>
                <w:rFonts w:hint="eastAsia" w:ascii="宋体" w:hAnsi="宋体" w:cs="宋体"/>
                <w:sz w:val="24"/>
                <w:szCs w:val="24"/>
              </w:rPr>
              <w:t>满足招标文件技术要求得</w:t>
            </w:r>
            <w:r>
              <w:rPr>
                <w:rFonts w:hint="eastAsia" w:ascii="宋体" w:hAnsi="宋体" w:cs="宋体"/>
                <w:sz w:val="24"/>
                <w:szCs w:val="24"/>
                <w:lang w:val="en-US" w:eastAsia="zh-CN"/>
              </w:rPr>
              <w:t>15</w:t>
            </w:r>
            <w:r>
              <w:rPr>
                <w:rFonts w:hint="eastAsia" w:ascii="宋体" w:hAnsi="宋体" w:cs="宋体"/>
                <w:sz w:val="24"/>
                <w:szCs w:val="24"/>
              </w:rPr>
              <w:t>分。技术指标每偏离一项扣2分，扣完为止。</w:t>
            </w:r>
          </w:p>
        </w:tc>
      </w:tr>
      <w:tr w14:paraId="01E706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2" w:hRule="atLeast"/>
          <w:jc w:val="center"/>
        </w:trPr>
        <w:tc>
          <w:tcPr>
            <w:tcW w:w="869" w:type="dxa"/>
            <w:vAlign w:val="center"/>
          </w:tcPr>
          <w:p w14:paraId="3D8F4212">
            <w:pPr>
              <w:spacing w:line="400" w:lineRule="exact"/>
              <w:rPr>
                <w:rFonts w:hint="eastAsia" w:ascii="宋体" w:hAnsi="宋体" w:cs="宋体"/>
                <w:sz w:val="24"/>
                <w:szCs w:val="24"/>
              </w:rPr>
            </w:pPr>
          </w:p>
        </w:tc>
        <w:tc>
          <w:tcPr>
            <w:tcW w:w="840" w:type="dxa"/>
            <w:vAlign w:val="center"/>
          </w:tcPr>
          <w:p w14:paraId="267C9EBF">
            <w:pPr>
              <w:jc w:val="center"/>
              <w:rPr>
                <w:rFonts w:hint="eastAsia" w:ascii="宋体" w:hAnsi="宋体" w:cs="宋体"/>
                <w:sz w:val="24"/>
                <w:szCs w:val="24"/>
              </w:rPr>
            </w:pPr>
            <w:r>
              <w:rPr>
                <w:rFonts w:hint="eastAsia" w:ascii="宋体" w:hAnsi="宋体" w:cs="宋体"/>
                <w:sz w:val="24"/>
                <w:szCs w:val="24"/>
              </w:rPr>
              <w:t>2</w:t>
            </w:r>
          </w:p>
        </w:tc>
        <w:tc>
          <w:tcPr>
            <w:tcW w:w="2469" w:type="dxa"/>
            <w:vAlign w:val="center"/>
          </w:tcPr>
          <w:p w14:paraId="23456ED5">
            <w:pPr>
              <w:spacing w:line="400" w:lineRule="exact"/>
              <w:rPr>
                <w:rFonts w:hint="eastAsia" w:ascii="宋体" w:hAnsi="宋体" w:cs="宋体"/>
                <w:sz w:val="24"/>
                <w:szCs w:val="24"/>
              </w:rPr>
            </w:pPr>
            <w:r>
              <w:rPr>
                <w:rFonts w:hint="eastAsia" w:ascii="宋体" w:hAnsi="宋体" w:cs="宋体"/>
                <w:sz w:val="24"/>
                <w:szCs w:val="24"/>
              </w:rPr>
              <w:t>总体方案1</w:t>
            </w:r>
            <w:r>
              <w:rPr>
                <w:rFonts w:hint="eastAsia" w:ascii="宋体" w:hAnsi="宋体" w:cs="宋体"/>
                <w:sz w:val="24"/>
                <w:szCs w:val="24"/>
                <w:lang w:val="en-US" w:eastAsia="zh-CN"/>
              </w:rPr>
              <w:t>0</w:t>
            </w:r>
            <w:r>
              <w:rPr>
                <w:rFonts w:hint="eastAsia" w:ascii="宋体" w:hAnsi="宋体" w:cs="宋体"/>
                <w:sz w:val="24"/>
                <w:szCs w:val="24"/>
              </w:rPr>
              <w:t>分</w:t>
            </w:r>
          </w:p>
        </w:tc>
        <w:tc>
          <w:tcPr>
            <w:tcW w:w="4592" w:type="dxa"/>
            <w:vAlign w:val="center"/>
          </w:tcPr>
          <w:p w14:paraId="1568C5D8">
            <w:pPr>
              <w:spacing w:line="400" w:lineRule="exact"/>
              <w:ind w:left="12" w:hanging="12" w:hangingChars="5"/>
              <w:rPr>
                <w:rFonts w:hint="eastAsia" w:ascii="宋体" w:hAnsi="宋体" w:cs="宋体"/>
                <w:sz w:val="24"/>
                <w:szCs w:val="24"/>
              </w:rPr>
            </w:pPr>
            <w:r>
              <w:rPr>
                <w:rFonts w:hint="eastAsia" w:ascii="宋体" w:hAnsi="宋体" w:cs="宋体"/>
                <w:sz w:val="24"/>
                <w:szCs w:val="24"/>
              </w:rPr>
              <w:t>根据投标文件提供的总体方案（包括但不限于建设方案，系统设计，实施方案等内容），自主赋分：</w:t>
            </w:r>
          </w:p>
          <w:p w14:paraId="14ED3181">
            <w:pPr>
              <w:spacing w:line="400" w:lineRule="exact"/>
              <w:ind w:left="12" w:hanging="12" w:hangingChars="5"/>
              <w:rPr>
                <w:rFonts w:hint="eastAsia" w:ascii="宋体" w:hAnsi="宋体" w:cs="宋体"/>
                <w:sz w:val="24"/>
                <w:szCs w:val="24"/>
              </w:rPr>
            </w:pPr>
            <w:r>
              <w:rPr>
                <w:rFonts w:hint="eastAsia" w:ascii="宋体" w:hAnsi="宋体" w:cs="宋体"/>
                <w:sz w:val="24"/>
                <w:szCs w:val="24"/>
              </w:rPr>
              <w:t>1、总体方案内容完整详尽、方案可行性强，可操作性强、系统设计合理、充分满足招标文件要求，得[</w:t>
            </w:r>
            <w:r>
              <w:rPr>
                <w:rFonts w:hint="eastAsia" w:ascii="宋体" w:hAnsi="宋体" w:cs="宋体"/>
                <w:sz w:val="24"/>
                <w:szCs w:val="24"/>
                <w:lang w:val="en-US" w:eastAsia="zh-CN"/>
              </w:rPr>
              <w:t>6</w:t>
            </w:r>
            <w:r>
              <w:rPr>
                <w:rFonts w:hint="eastAsia" w:ascii="宋体" w:hAnsi="宋体" w:cs="宋体"/>
                <w:sz w:val="24"/>
                <w:szCs w:val="24"/>
              </w:rPr>
              <w:t>-1</w:t>
            </w:r>
            <w:r>
              <w:rPr>
                <w:rFonts w:hint="eastAsia" w:ascii="宋体" w:hAnsi="宋体" w:cs="宋体"/>
                <w:sz w:val="24"/>
                <w:szCs w:val="24"/>
                <w:lang w:val="en-US" w:eastAsia="zh-CN"/>
              </w:rPr>
              <w:t>0</w:t>
            </w:r>
            <w:r>
              <w:rPr>
                <w:rFonts w:hint="eastAsia" w:ascii="宋体" w:hAnsi="宋体" w:cs="宋体"/>
                <w:sz w:val="24"/>
                <w:szCs w:val="24"/>
              </w:rPr>
              <w:t>]分；</w:t>
            </w:r>
          </w:p>
          <w:p w14:paraId="52A74B2B">
            <w:pPr>
              <w:spacing w:line="400" w:lineRule="exact"/>
              <w:ind w:left="12" w:hanging="12" w:hangingChars="5"/>
              <w:rPr>
                <w:rFonts w:hint="eastAsia" w:ascii="宋体" w:hAnsi="宋体" w:cs="宋体"/>
                <w:sz w:val="24"/>
                <w:szCs w:val="24"/>
              </w:rPr>
            </w:pPr>
            <w:r>
              <w:rPr>
                <w:rFonts w:hint="eastAsia" w:ascii="宋体" w:hAnsi="宋体" w:cs="宋体"/>
                <w:sz w:val="24"/>
                <w:szCs w:val="24"/>
              </w:rPr>
              <w:t>2、内容基本完整、方案基本可行，可操作性较强、系统设计较合理、基本满足招标文件要求，得(</w:t>
            </w:r>
            <w:r>
              <w:rPr>
                <w:rFonts w:hint="eastAsia" w:ascii="宋体" w:hAnsi="宋体" w:cs="宋体"/>
                <w:sz w:val="24"/>
                <w:szCs w:val="24"/>
                <w:lang w:val="en-US" w:eastAsia="zh-CN"/>
              </w:rPr>
              <w:t>3</w:t>
            </w:r>
            <w:r>
              <w:rPr>
                <w:rFonts w:hint="eastAsia" w:ascii="宋体" w:hAnsi="宋体" w:cs="宋体"/>
                <w:sz w:val="24"/>
                <w:szCs w:val="24"/>
              </w:rPr>
              <w:t>-</w:t>
            </w:r>
            <w:r>
              <w:rPr>
                <w:rFonts w:hint="eastAsia" w:ascii="宋体" w:hAnsi="宋体" w:cs="宋体"/>
                <w:sz w:val="24"/>
                <w:szCs w:val="24"/>
                <w:lang w:val="en-US" w:eastAsia="zh-CN"/>
              </w:rPr>
              <w:t>6</w:t>
            </w:r>
            <w:r>
              <w:rPr>
                <w:rFonts w:hint="eastAsia" w:ascii="宋体" w:hAnsi="宋体" w:cs="宋体"/>
                <w:sz w:val="24"/>
                <w:szCs w:val="24"/>
              </w:rPr>
              <w:t>)分；</w:t>
            </w:r>
          </w:p>
          <w:p w14:paraId="222C8666">
            <w:pPr>
              <w:spacing w:line="400" w:lineRule="exact"/>
              <w:ind w:left="12" w:hanging="12" w:hangingChars="5"/>
              <w:rPr>
                <w:rFonts w:hint="eastAsia" w:ascii="宋体" w:hAnsi="宋体" w:cs="宋体"/>
                <w:sz w:val="24"/>
                <w:szCs w:val="24"/>
              </w:rPr>
            </w:pPr>
            <w:r>
              <w:rPr>
                <w:rFonts w:hint="eastAsia" w:ascii="宋体" w:hAnsi="宋体" w:cs="宋体"/>
                <w:sz w:val="24"/>
                <w:szCs w:val="24"/>
              </w:rPr>
              <w:t>3、内容不够完整有缺失、方案可行性低，可操作性一般、系统设计不够合理、不能完全满足招标文件要求，得[0-</w:t>
            </w:r>
            <w:r>
              <w:rPr>
                <w:rFonts w:hint="eastAsia" w:ascii="宋体" w:hAnsi="宋体" w:cs="宋体"/>
                <w:sz w:val="24"/>
                <w:szCs w:val="24"/>
                <w:lang w:val="en-US" w:eastAsia="zh-CN"/>
              </w:rPr>
              <w:t>3</w:t>
            </w:r>
            <w:r>
              <w:rPr>
                <w:rFonts w:hint="eastAsia" w:ascii="宋体" w:hAnsi="宋体" w:cs="宋体"/>
                <w:sz w:val="24"/>
                <w:szCs w:val="24"/>
              </w:rPr>
              <w:t>]分。</w:t>
            </w:r>
          </w:p>
        </w:tc>
      </w:tr>
      <w:tr w14:paraId="0FFB21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6" w:hRule="atLeast"/>
          <w:jc w:val="center"/>
        </w:trPr>
        <w:tc>
          <w:tcPr>
            <w:tcW w:w="869" w:type="dxa"/>
            <w:vAlign w:val="center"/>
          </w:tcPr>
          <w:p w14:paraId="63CF42A0">
            <w:pPr>
              <w:spacing w:line="400" w:lineRule="exact"/>
              <w:rPr>
                <w:rFonts w:hint="eastAsia" w:ascii="宋体" w:hAnsi="宋体" w:cs="宋体"/>
                <w:sz w:val="24"/>
                <w:szCs w:val="24"/>
              </w:rPr>
            </w:pPr>
          </w:p>
        </w:tc>
        <w:tc>
          <w:tcPr>
            <w:tcW w:w="840" w:type="dxa"/>
            <w:vAlign w:val="center"/>
          </w:tcPr>
          <w:p w14:paraId="67BBAB5E">
            <w:pPr>
              <w:jc w:val="center"/>
              <w:rPr>
                <w:rFonts w:hint="eastAsia" w:ascii="宋体" w:hAnsi="宋体" w:cs="宋体"/>
                <w:sz w:val="24"/>
                <w:szCs w:val="24"/>
              </w:rPr>
            </w:pPr>
            <w:r>
              <w:rPr>
                <w:rFonts w:hint="eastAsia" w:ascii="宋体" w:hAnsi="宋体" w:cs="宋体"/>
                <w:sz w:val="24"/>
                <w:szCs w:val="24"/>
              </w:rPr>
              <w:t>3</w:t>
            </w:r>
          </w:p>
        </w:tc>
        <w:tc>
          <w:tcPr>
            <w:tcW w:w="2469" w:type="dxa"/>
            <w:vAlign w:val="center"/>
          </w:tcPr>
          <w:p w14:paraId="0BDA369A">
            <w:pPr>
              <w:spacing w:line="400" w:lineRule="exact"/>
              <w:rPr>
                <w:rFonts w:hint="eastAsia" w:ascii="宋体" w:hAnsi="宋体" w:cs="宋体"/>
                <w:sz w:val="24"/>
                <w:szCs w:val="24"/>
              </w:rPr>
            </w:pPr>
            <w:r>
              <w:rPr>
                <w:rFonts w:hint="eastAsia" w:ascii="宋体" w:hAnsi="宋体" w:cs="宋体"/>
                <w:sz w:val="24"/>
                <w:szCs w:val="24"/>
              </w:rPr>
              <w:t>信息安全保障方案</w:t>
            </w:r>
            <w:r>
              <w:rPr>
                <w:rFonts w:ascii="宋体" w:hAnsi="宋体" w:cs="宋体"/>
                <w:sz w:val="24"/>
                <w:szCs w:val="24"/>
              </w:rPr>
              <w:t>8</w:t>
            </w:r>
            <w:r>
              <w:rPr>
                <w:rFonts w:hint="eastAsia" w:ascii="宋体" w:hAnsi="宋体" w:cs="宋体"/>
                <w:sz w:val="24"/>
                <w:szCs w:val="24"/>
              </w:rPr>
              <w:t>分</w:t>
            </w:r>
          </w:p>
        </w:tc>
        <w:tc>
          <w:tcPr>
            <w:tcW w:w="4592" w:type="dxa"/>
            <w:vAlign w:val="center"/>
          </w:tcPr>
          <w:p w14:paraId="375F6998">
            <w:pPr>
              <w:spacing w:line="400" w:lineRule="exact"/>
              <w:ind w:left="12" w:hanging="12" w:hangingChars="5"/>
              <w:rPr>
                <w:rFonts w:hint="eastAsia" w:ascii="宋体" w:hAnsi="宋体" w:cs="宋体"/>
                <w:sz w:val="24"/>
                <w:szCs w:val="24"/>
              </w:rPr>
            </w:pPr>
            <w:r>
              <w:rPr>
                <w:rFonts w:hint="eastAsia" w:ascii="宋体" w:hAnsi="宋体" w:cs="宋体"/>
                <w:sz w:val="24"/>
                <w:szCs w:val="24"/>
              </w:rPr>
              <w:t>根据投标文件提供的信息安全保障方案，自主赋分：</w:t>
            </w:r>
          </w:p>
          <w:p w14:paraId="461D6A60">
            <w:pPr>
              <w:spacing w:line="400" w:lineRule="exact"/>
              <w:ind w:left="12" w:hanging="12" w:hangingChars="5"/>
              <w:rPr>
                <w:rFonts w:hint="eastAsia" w:ascii="宋体" w:hAnsi="宋体" w:cs="宋体"/>
                <w:sz w:val="24"/>
                <w:szCs w:val="24"/>
              </w:rPr>
            </w:pPr>
            <w:r>
              <w:rPr>
                <w:rFonts w:hint="eastAsia" w:ascii="宋体" w:hAnsi="宋体" w:cs="宋体"/>
                <w:sz w:val="24"/>
                <w:szCs w:val="24"/>
              </w:rPr>
              <w:t>1、提供的信息安全保障服务方案合理、全面完整、可行性强、能够满足招标人信息安全管理要求（根据其合理性、实用性、安全性），得[</w:t>
            </w:r>
            <w:r>
              <w:rPr>
                <w:rFonts w:ascii="宋体" w:hAnsi="宋体" w:cs="宋体"/>
                <w:sz w:val="24"/>
                <w:szCs w:val="24"/>
              </w:rPr>
              <w:t>4</w:t>
            </w:r>
            <w:r>
              <w:rPr>
                <w:rFonts w:hint="eastAsia" w:ascii="宋体" w:hAnsi="宋体" w:cs="宋体"/>
                <w:sz w:val="24"/>
                <w:szCs w:val="24"/>
              </w:rPr>
              <w:t>-</w:t>
            </w:r>
            <w:r>
              <w:rPr>
                <w:rFonts w:ascii="宋体" w:hAnsi="宋体" w:cs="宋体"/>
                <w:sz w:val="24"/>
                <w:szCs w:val="24"/>
              </w:rPr>
              <w:t>8</w:t>
            </w:r>
            <w:r>
              <w:rPr>
                <w:rFonts w:hint="eastAsia" w:ascii="宋体" w:hAnsi="宋体" w:cs="宋体"/>
                <w:sz w:val="24"/>
                <w:szCs w:val="24"/>
              </w:rPr>
              <w:t>]分；</w:t>
            </w:r>
          </w:p>
          <w:p w14:paraId="2B93D4C1">
            <w:pPr>
              <w:spacing w:line="400" w:lineRule="exact"/>
              <w:ind w:left="12" w:hanging="12" w:hangingChars="5"/>
              <w:rPr>
                <w:rFonts w:hint="eastAsia" w:ascii="宋体" w:hAnsi="宋体" w:cs="宋体"/>
                <w:sz w:val="24"/>
                <w:szCs w:val="24"/>
              </w:rPr>
            </w:pPr>
            <w:r>
              <w:rPr>
                <w:rFonts w:hint="eastAsia" w:ascii="宋体" w:hAnsi="宋体" w:cs="宋体"/>
                <w:sz w:val="24"/>
                <w:szCs w:val="24"/>
              </w:rPr>
              <w:t>2、提供的信息安全保障服务方案不够合理、不够全面完整、可行性一般、不能完全满足相关信息安全管理要求，得[0-</w:t>
            </w:r>
            <w:r>
              <w:rPr>
                <w:rFonts w:ascii="宋体" w:hAnsi="宋体" w:cs="宋体"/>
                <w:sz w:val="24"/>
                <w:szCs w:val="24"/>
              </w:rPr>
              <w:t>4</w:t>
            </w:r>
            <w:r>
              <w:rPr>
                <w:rFonts w:hint="eastAsia" w:ascii="宋体" w:hAnsi="宋体" w:cs="宋体"/>
                <w:sz w:val="24"/>
                <w:szCs w:val="24"/>
              </w:rPr>
              <w:t>）分。</w:t>
            </w:r>
          </w:p>
        </w:tc>
      </w:tr>
      <w:tr w14:paraId="50EEF8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6" w:hRule="atLeast"/>
          <w:jc w:val="center"/>
        </w:trPr>
        <w:tc>
          <w:tcPr>
            <w:tcW w:w="869" w:type="dxa"/>
            <w:vAlign w:val="center"/>
          </w:tcPr>
          <w:p w14:paraId="4299675C">
            <w:pPr>
              <w:spacing w:line="400" w:lineRule="exact"/>
              <w:rPr>
                <w:rFonts w:hint="eastAsia" w:ascii="宋体" w:hAnsi="宋体" w:cs="宋体"/>
                <w:sz w:val="24"/>
                <w:szCs w:val="24"/>
              </w:rPr>
            </w:pPr>
          </w:p>
        </w:tc>
        <w:tc>
          <w:tcPr>
            <w:tcW w:w="840" w:type="dxa"/>
            <w:vAlign w:val="center"/>
          </w:tcPr>
          <w:p w14:paraId="3A5B8270">
            <w:pPr>
              <w:jc w:val="center"/>
              <w:rPr>
                <w:rFonts w:ascii="宋体" w:hAnsi="宋体" w:cs="宋体"/>
                <w:sz w:val="24"/>
                <w:szCs w:val="24"/>
              </w:rPr>
            </w:pPr>
            <w:r>
              <w:rPr>
                <w:rFonts w:ascii="宋体" w:hAnsi="宋体" w:cs="宋体"/>
                <w:sz w:val="24"/>
                <w:szCs w:val="24"/>
              </w:rPr>
              <w:t>4</w:t>
            </w:r>
          </w:p>
        </w:tc>
        <w:tc>
          <w:tcPr>
            <w:tcW w:w="2469" w:type="dxa"/>
            <w:vAlign w:val="center"/>
          </w:tcPr>
          <w:p w14:paraId="5C70612B">
            <w:pPr>
              <w:spacing w:line="400" w:lineRule="exact"/>
              <w:rPr>
                <w:rFonts w:ascii="宋体" w:hAnsi="宋体" w:cs="宋体"/>
                <w:sz w:val="24"/>
                <w:szCs w:val="24"/>
              </w:rPr>
            </w:pPr>
            <w:r>
              <w:rPr>
                <w:rFonts w:hint="eastAsia" w:ascii="宋体" w:hAnsi="宋体" w:cs="宋体"/>
                <w:sz w:val="24"/>
                <w:szCs w:val="24"/>
              </w:rPr>
              <w:t>需求方案</w:t>
            </w:r>
            <w:r>
              <w:rPr>
                <w:rFonts w:hint="eastAsia" w:ascii="宋体" w:hAnsi="宋体" w:cs="宋体"/>
                <w:sz w:val="24"/>
                <w:szCs w:val="24"/>
                <w:lang w:val="en-US" w:eastAsia="zh-CN"/>
              </w:rPr>
              <w:t>5</w:t>
            </w:r>
            <w:r>
              <w:rPr>
                <w:rFonts w:hint="eastAsia" w:ascii="宋体" w:hAnsi="宋体" w:cs="宋体"/>
                <w:sz w:val="24"/>
                <w:szCs w:val="24"/>
              </w:rPr>
              <w:t>分</w:t>
            </w:r>
          </w:p>
        </w:tc>
        <w:tc>
          <w:tcPr>
            <w:tcW w:w="4592" w:type="dxa"/>
            <w:vAlign w:val="center"/>
          </w:tcPr>
          <w:p w14:paraId="16050A43">
            <w:pPr>
              <w:spacing w:line="400" w:lineRule="exact"/>
              <w:ind w:left="12" w:hanging="12" w:hangingChars="5"/>
              <w:rPr>
                <w:rFonts w:ascii="宋体" w:hAnsi="宋体" w:cs="宋体"/>
                <w:sz w:val="24"/>
                <w:szCs w:val="24"/>
              </w:rPr>
            </w:pPr>
            <w:r>
              <w:rPr>
                <w:rFonts w:hint="eastAsia" w:ascii="宋体" w:hAnsi="宋体" w:cs="宋体"/>
                <w:sz w:val="24"/>
                <w:szCs w:val="24"/>
              </w:rPr>
              <w:t>根据投标文件提供的能够协助招标人控制院内医疗费用的不合理增长，促进医院精细化、信息化管理的需求方案，根据提供方案的详细程度、完整性、针对性、适用性等方面，自主赋[0-</w:t>
            </w:r>
            <w:r>
              <w:rPr>
                <w:rFonts w:hint="eastAsia" w:ascii="宋体" w:hAnsi="宋体" w:cs="宋体"/>
                <w:sz w:val="24"/>
                <w:szCs w:val="24"/>
                <w:lang w:val="en-US" w:eastAsia="zh-CN"/>
              </w:rPr>
              <w:t>5</w:t>
            </w:r>
            <w:r>
              <w:rPr>
                <w:rFonts w:hint="eastAsia" w:ascii="宋体" w:hAnsi="宋体" w:cs="宋体"/>
                <w:sz w:val="24"/>
                <w:szCs w:val="24"/>
              </w:rPr>
              <w:t>]分。</w:t>
            </w:r>
          </w:p>
        </w:tc>
      </w:tr>
      <w:tr w14:paraId="4922CD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6" w:hRule="atLeast"/>
          <w:jc w:val="center"/>
        </w:trPr>
        <w:tc>
          <w:tcPr>
            <w:tcW w:w="869" w:type="dxa"/>
            <w:vAlign w:val="center"/>
          </w:tcPr>
          <w:p w14:paraId="69600ADE">
            <w:pPr>
              <w:spacing w:line="400" w:lineRule="exact"/>
              <w:rPr>
                <w:rFonts w:hint="eastAsia" w:ascii="宋体" w:hAnsi="宋体" w:cs="宋体"/>
                <w:sz w:val="24"/>
                <w:szCs w:val="24"/>
              </w:rPr>
            </w:pPr>
          </w:p>
        </w:tc>
        <w:tc>
          <w:tcPr>
            <w:tcW w:w="840" w:type="dxa"/>
            <w:vAlign w:val="center"/>
          </w:tcPr>
          <w:p w14:paraId="14099FF3">
            <w:pPr>
              <w:jc w:val="center"/>
              <w:rPr>
                <w:rFonts w:hint="eastAsia" w:ascii="宋体" w:hAnsi="宋体" w:cs="宋体"/>
                <w:sz w:val="24"/>
                <w:szCs w:val="24"/>
              </w:rPr>
            </w:pPr>
            <w:r>
              <w:rPr>
                <w:rFonts w:ascii="宋体" w:hAnsi="宋体" w:cs="宋体"/>
                <w:sz w:val="24"/>
                <w:szCs w:val="24"/>
              </w:rPr>
              <w:t>5</w:t>
            </w:r>
          </w:p>
        </w:tc>
        <w:tc>
          <w:tcPr>
            <w:tcW w:w="2469" w:type="dxa"/>
            <w:vAlign w:val="center"/>
          </w:tcPr>
          <w:p w14:paraId="1CE142B6">
            <w:pPr>
              <w:spacing w:line="400" w:lineRule="exact"/>
              <w:rPr>
                <w:rFonts w:ascii="宋体" w:hAnsi="宋体" w:cs="宋体"/>
                <w:sz w:val="24"/>
                <w:szCs w:val="24"/>
              </w:rPr>
            </w:pPr>
            <w:r>
              <w:rPr>
                <w:rFonts w:hint="eastAsia" w:ascii="宋体" w:hAnsi="宋体" w:cs="宋体"/>
                <w:sz w:val="24"/>
                <w:szCs w:val="24"/>
              </w:rPr>
              <w:t>项目管理和质量保证</w:t>
            </w:r>
            <w:r>
              <w:rPr>
                <w:rFonts w:hint="eastAsia" w:ascii="宋体" w:hAnsi="宋体" w:cs="宋体"/>
                <w:sz w:val="24"/>
                <w:szCs w:val="24"/>
                <w:lang w:val="en-US" w:eastAsia="zh-CN"/>
              </w:rPr>
              <w:t>6</w:t>
            </w:r>
            <w:r>
              <w:rPr>
                <w:rFonts w:hint="eastAsia" w:ascii="宋体" w:hAnsi="宋体" w:cs="宋体"/>
                <w:sz w:val="24"/>
                <w:szCs w:val="24"/>
              </w:rPr>
              <w:t>分</w:t>
            </w:r>
          </w:p>
        </w:tc>
        <w:tc>
          <w:tcPr>
            <w:tcW w:w="4592" w:type="dxa"/>
            <w:vAlign w:val="center"/>
          </w:tcPr>
          <w:p w14:paraId="0E3F0502">
            <w:pPr>
              <w:spacing w:line="400" w:lineRule="exact"/>
              <w:rPr>
                <w:rFonts w:hint="eastAsia" w:ascii="宋体" w:hAnsi="宋体" w:cs="宋体"/>
                <w:sz w:val="24"/>
                <w:szCs w:val="24"/>
              </w:rPr>
            </w:pPr>
            <w:r>
              <w:rPr>
                <w:rFonts w:hint="eastAsia" w:ascii="宋体" w:hAnsi="宋体" w:cs="宋体"/>
                <w:sz w:val="24"/>
                <w:szCs w:val="24"/>
              </w:rPr>
              <w:t>根据投标文件提供项目管理（包括但不限于：供货、安装调试、测试及上线计划等项目进度计划、拟投入人员配备、特殊情况预防措施、可行性服务方式等）和质量保证的明确、可行、完整性的响应情况进行综合评审、排序，自主赋分：</w:t>
            </w:r>
          </w:p>
          <w:p w14:paraId="26D36FCD">
            <w:pPr>
              <w:spacing w:line="400" w:lineRule="exact"/>
              <w:rPr>
                <w:rFonts w:hint="eastAsia" w:ascii="宋体" w:hAnsi="宋体" w:cs="宋体"/>
                <w:sz w:val="24"/>
                <w:szCs w:val="24"/>
              </w:rPr>
            </w:pPr>
            <w:r>
              <w:rPr>
                <w:rFonts w:hint="eastAsia" w:ascii="宋体" w:hAnsi="宋体" w:cs="宋体"/>
                <w:sz w:val="24"/>
                <w:szCs w:val="24"/>
              </w:rPr>
              <w:t>1、项目管理详细完整，质量保证明确、可行性强，得[</w:t>
            </w:r>
            <w:r>
              <w:rPr>
                <w:rFonts w:hint="eastAsia" w:ascii="宋体" w:hAnsi="宋体" w:cs="宋体"/>
                <w:sz w:val="24"/>
                <w:szCs w:val="24"/>
                <w:lang w:val="en-US" w:eastAsia="zh-CN"/>
              </w:rPr>
              <w:t>3</w:t>
            </w:r>
            <w:r>
              <w:rPr>
                <w:rFonts w:hint="eastAsia" w:ascii="宋体" w:hAnsi="宋体" w:cs="宋体"/>
                <w:sz w:val="24"/>
                <w:szCs w:val="24"/>
              </w:rPr>
              <w:t>-</w:t>
            </w:r>
            <w:r>
              <w:rPr>
                <w:rFonts w:hint="eastAsia" w:ascii="宋体" w:hAnsi="宋体" w:cs="宋体"/>
                <w:sz w:val="24"/>
                <w:szCs w:val="24"/>
                <w:lang w:val="en-US" w:eastAsia="zh-CN"/>
              </w:rPr>
              <w:t>6</w:t>
            </w:r>
            <w:r>
              <w:rPr>
                <w:rFonts w:hint="eastAsia" w:ascii="宋体" w:hAnsi="宋体" w:cs="宋体"/>
                <w:sz w:val="24"/>
                <w:szCs w:val="24"/>
              </w:rPr>
              <w:t>]分；</w:t>
            </w:r>
          </w:p>
          <w:p w14:paraId="268314C9">
            <w:pPr>
              <w:spacing w:line="400" w:lineRule="exact"/>
              <w:rPr>
                <w:rFonts w:ascii="宋体" w:hAnsi="宋体" w:cs="宋体"/>
                <w:sz w:val="24"/>
                <w:szCs w:val="24"/>
              </w:rPr>
            </w:pPr>
            <w:r>
              <w:rPr>
                <w:rFonts w:hint="eastAsia" w:ascii="宋体" w:hAnsi="宋体" w:cs="宋体"/>
                <w:sz w:val="24"/>
                <w:szCs w:val="24"/>
              </w:rPr>
              <w:t>1、项目管理基本完整，质量保证较为明确、可行性一般，得[0-</w:t>
            </w:r>
            <w:r>
              <w:rPr>
                <w:rFonts w:hint="eastAsia" w:ascii="宋体" w:hAnsi="宋体" w:cs="宋体"/>
                <w:sz w:val="24"/>
                <w:szCs w:val="24"/>
                <w:lang w:val="en-US" w:eastAsia="zh-CN"/>
              </w:rPr>
              <w:t>3</w:t>
            </w:r>
            <w:r>
              <w:rPr>
                <w:rFonts w:hint="eastAsia" w:ascii="宋体" w:hAnsi="宋体" w:cs="宋体"/>
                <w:sz w:val="24"/>
                <w:szCs w:val="24"/>
              </w:rPr>
              <w:t>）分。</w:t>
            </w:r>
          </w:p>
        </w:tc>
      </w:tr>
      <w:tr w14:paraId="62D2CD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6" w:hRule="atLeast"/>
          <w:jc w:val="center"/>
        </w:trPr>
        <w:tc>
          <w:tcPr>
            <w:tcW w:w="869" w:type="dxa"/>
            <w:vAlign w:val="center"/>
          </w:tcPr>
          <w:p w14:paraId="78E0B8D0">
            <w:pPr>
              <w:spacing w:line="400" w:lineRule="exact"/>
              <w:rPr>
                <w:rFonts w:hint="eastAsia" w:ascii="宋体" w:hAnsi="宋体" w:cs="宋体"/>
                <w:sz w:val="24"/>
                <w:szCs w:val="24"/>
              </w:rPr>
            </w:pPr>
          </w:p>
        </w:tc>
        <w:tc>
          <w:tcPr>
            <w:tcW w:w="840" w:type="dxa"/>
            <w:vAlign w:val="center"/>
          </w:tcPr>
          <w:p w14:paraId="76CEE553">
            <w:pPr>
              <w:jc w:val="center"/>
              <w:rPr>
                <w:rFonts w:hint="eastAsia" w:ascii="宋体" w:hAnsi="宋体" w:eastAsia="宋体" w:cs="宋体"/>
                <w:sz w:val="24"/>
                <w:szCs w:val="24"/>
                <w:lang w:eastAsia="zh-CN"/>
              </w:rPr>
            </w:pPr>
            <w:r>
              <w:rPr>
                <w:rFonts w:hint="eastAsia" w:ascii="宋体" w:hAnsi="宋体" w:cs="宋体"/>
                <w:sz w:val="24"/>
                <w:szCs w:val="24"/>
                <w:lang w:val="en-US" w:eastAsia="zh-CN"/>
              </w:rPr>
              <w:t>6</w:t>
            </w:r>
          </w:p>
        </w:tc>
        <w:tc>
          <w:tcPr>
            <w:tcW w:w="2469" w:type="dxa"/>
            <w:vAlign w:val="center"/>
          </w:tcPr>
          <w:p w14:paraId="3541B568">
            <w:pPr>
              <w:spacing w:line="400" w:lineRule="exact"/>
              <w:rPr>
                <w:rFonts w:ascii="宋体" w:hAnsi="宋体" w:cs="宋体"/>
                <w:sz w:val="24"/>
                <w:szCs w:val="24"/>
              </w:rPr>
            </w:pPr>
            <w:r>
              <w:rPr>
                <w:rFonts w:hint="eastAsia" w:ascii="宋体" w:hAnsi="宋体" w:cs="宋体"/>
                <w:sz w:val="24"/>
                <w:szCs w:val="24"/>
              </w:rPr>
              <w:t>项目团队及实施组织方案</w:t>
            </w:r>
            <w:r>
              <w:rPr>
                <w:rFonts w:hint="eastAsia" w:ascii="宋体" w:hAnsi="宋体" w:cs="宋体"/>
                <w:sz w:val="24"/>
                <w:szCs w:val="24"/>
                <w:lang w:val="en-US" w:eastAsia="zh-CN"/>
              </w:rPr>
              <w:t>6</w:t>
            </w:r>
            <w:r>
              <w:rPr>
                <w:rFonts w:hint="eastAsia" w:ascii="宋体" w:hAnsi="宋体" w:cs="宋体"/>
                <w:sz w:val="24"/>
                <w:szCs w:val="24"/>
              </w:rPr>
              <w:t>分</w:t>
            </w:r>
          </w:p>
        </w:tc>
        <w:tc>
          <w:tcPr>
            <w:tcW w:w="4592" w:type="dxa"/>
            <w:vAlign w:val="center"/>
          </w:tcPr>
          <w:p w14:paraId="74E3D10D">
            <w:pPr>
              <w:spacing w:line="400" w:lineRule="exact"/>
              <w:ind w:left="12" w:hanging="12" w:hangingChars="5"/>
              <w:rPr>
                <w:rFonts w:ascii="宋体" w:hAnsi="宋体" w:cs="宋体"/>
                <w:sz w:val="24"/>
                <w:szCs w:val="24"/>
              </w:rPr>
            </w:pPr>
            <w:r>
              <w:rPr>
                <w:rFonts w:hint="eastAsia" w:ascii="宋体" w:hAnsi="宋体" w:cs="宋体"/>
                <w:sz w:val="24"/>
                <w:szCs w:val="24"/>
              </w:rPr>
              <w:t>根据投标文件提供的针对本项目实施团队的人员数量（项目经理及其他与本次项目有关的技术人员）、岗位划分、人员技术证书或相关职称，社保或劳动合同等资料和实施组织方案，自主赋分：</w:t>
            </w:r>
          </w:p>
          <w:p w14:paraId="201BFE03">
            <w:pPr>
              <w:spacing w:line="400" w:lineRule="exact"/>
              <w:ind w:left="12" w:hanging="12" w:hangingChars="5"/>
              <w:rPr>
                <w:rFonts w:hint="eastAsia" w:ascii="宋体" w:hAnsi="宋体" w:cs="宋体"/>
                <w:sz w:val="24"/>
                <w:szCs w:val="24"/>
              </w:rPr>
            </w:pPr>
            <w:r>
              <w:rPr>
                <w:rFonts w:hint="eastAsia" w:ascii="宋体" w:hAnsi="宋体" w:cs="宋体"/>
                <w:sz w:val="24"/>
                <w:szCs w:val="24"/>
              </w:rPr>
              <w:t>1、内容全面、方案科学、有针对性，且合理可行，人员团队信息完善、岗位职责清晰、管理制度明确、团队人员专业能力强、项目负责人经验丰富，得[</w:t>
            </w:r>
            <w:r>
              <w:rPr>
                <w:rFonts w:hint="eastAsia" w:ascii="宋体" w:hAnsi="宋体" w:cs="宋体"/>
                <w:sz w:val="24"/>
                <w:szCs w:val="24"/>
                <w:lang w:val="en-US" w:eastAsia="zh-CN"/>
              </w:rPr>
              <w:t>3</w:t>
            </w:r>
            <w:r>
              <w:rPr>
                <w:rFonts w:ascii="宋体" w:hAnsi="宋体" w:cs="宋体"/>
                <w:sz w:val="24"/>
                <w:szCs w:val="24"/>
              </w:rPr>
              <w:t>-</w:t>
            </w:r>
            <w:r>
              <w:rPr>
                <w:rFonts w:hint="eastAsia" w:ascii="宋体" w:hAnsi="宋体" w:cs="宋体"/>
                <w:sz w:val="24"/>
                <w:szCs w:val="24"/>
                <w:lang w:val="en-US" w:eastAsia="zh-CN"/>
              </w:rPr>
              <w:t>6</w:t>
            </w:r>
            <w:r>
              <w:rPr>
                <w:rFonts w:hint="eastAsia" w:ascii="宋体" w:hAnsi="宋体" w:cs="宋体"/>
                <w:sz w:val="24"/>
                <w:szCs w:val="24"/>
              </w:rPr>
              <w:t>]分；</w:t>
            </w:r>
          </w:p>
          <w:p w14:paraId="7FC5EB89">
            <w:pPr>
              <w:spacing w:line="400" w:lineRule="exact"/>
              <w:ind w:left="12" w:hanging="12" w:hangingChars="5"/>
              <w:rPr>
                <w:rFonts w:hint="eastAsia"/>
              </w:rPr>
            </w:pPr>
            <w:r>
              <w:rPr>
                <w:rFonts w:ascii="宋体" w:hAnsi="宋体" w:cs="宋体"/>
                <w:sz w:val="24"/>
                <w:szCs w:val="24"/>
              </w:rPr>
              <w:t>2</w:t>
            </w:r>
            <w:r>
              <w:rPr>
                <w:rFonts w:hint="eastAsia" w:ascii="宋体" w:hAnsi="宋体" w:cs="宋体"/>
                <w:sz w:val="24"/>
                <w:szCs w:val="24"/>
              </w:rPr>
              <w:t>、人员</w:t>
            </w:r>
            <w:r>
              <w:rPr>
                <w:rFonts w:ascii="宋体" w:hAnsi="宋体" w:cs="宋体"/>
                <w:sz w:val="24"/>
                <w:szCs w:val="24"/>
              </w:rPr>
              <w:t>团队信息不完善</w:t>
            </w:r>
            <w:r>
              <w:rPr>
                <w:rFonts w:hint="eastAsia" w:ascii="宋体" w:hAnsi="宋体" w:cs="宋体"/>
                <w:sz w:val="24"/>
                <w:szCs w:val="24"/>
              </w:rPr>
              <w:t>、内容不够全面、方案不够科学、针对性及合理性一般，得[0-</w:t>
            </w:r>
            <w:r>
              <w:rPr>
                <w:rFonts w:hint="eastAsia" w:ascii="宋体" w:hAnsi="宋体" w:cs="宋体"/>
                <w:sz w:val="24"/>
                <w:szCs w:val="24"/>
                <w:lang w:val="en-US" w:eastAsia="zh-CN"/>
              </w:rPr>
              <w:t>3</w:t>
            </w:r>
            <w:r>
              <w:rPr>
                <w:rFonts w:hint="eastAsia" w:ascii="宋体" w:hAnsi="宋体" w:cs="宋体"/>
                <w:sz w:val="24"/>
                <w:szCs w:val="24"/>
              </w:rPr>
              <w:t>)分</w:t>
            </w:r>
            <w:r>
              <w:rPr>
                <w:rFonts w:hint="eastAsia" w:ascii="宋体" w:hAnsi="宋体" w:cs="宋体"/>
                <w:sz w:val="24"/>
                <w:szCs w:val="24"/>
                <w:lang w:val="en-US" w:eastAsia="zh-CN"/>
              </w:rPr>
              <w:t>。</w:t>
            </w:r>
          </w:p>
        </w:tc>
      </w:tr>
      <w:tr w14:paraId="3ED9D6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6" w:hRule="atLeast"/>
          <w:jc w:val="center"/>
        </w:trPr>
        <w:tc>
          <w:tcPr>
            <w:tcW w:w="869" w:type="dxa"/>
            <w:vAlign w:val="center"/>
          </w:tcPr>
          <w:p w14:paraId="592AE066">
            <w:pPr>
              <w:spacing w:line="400" w:lineRule="exact"/>
              <w:rPr>
                <w:rFonts w:hint="eastAsia" w:ascii="宋体" w:hAnsi="宋体" w:cs="宋体"/>
                <w:sz w:val="24"/>
                <w:szCs w:val="24"/>
              </w:rPr>
            </w:pPr>
          </w:p>
        </w:tc>
        <w:tc>
          <w:tcPr>
            <w:tcW w:w="840" w:type="dxa"/>
            <w:vAlign w:val="center"/>
          </w:tcPr>
          <w:p w14:paraId="5E2A00CA">
            <w:pPr>
              <w:jc w:val="center"/>
              <w:rPr>
                <w:rFonts w:hint="eastAsia" w:ascii="宋体" w:hAnsi="宋体" w:eastAsia="宋体" w:cs="宋体"/>
                <w:sz w:val="24"/>
                <w:szCs w:val="24"/>
                <w:lang w:eastAsia="zh-CN"/>
              </w:rPr>
            </w:pPr>
            <w:r>
              <w:rPr>
                <w:rFonts w:hint="eastAsia" w:ascii="宋体" w:hAnsi="宋体" w:cs="宋体"/>
                <w:sz w:val="24"/>
                <w:szCs w:val="24"/>
                <w:lang w:val="en-US" w:eastAsia="zh-CN"/>
              </w:rPr>
              <w:t>7</w:t>
            </w:r>
          </w:p>
        </w:tc>
        <w:tc>
          <w:tcPr>
            <w:tcW w:w="2469" w:type="dxa"/>
            <w:vAlign w:val="center"/>
          </w:tcPr>
          <w:p w14:paraId="3B390102">
            <w:pPr>
              <w:spacing w:line="400" w:lineRule="exact"/>
              <w:rPr>
                <w:rFonts w:ascii="宋体" w:hAnsi="宋体" w:cs="宋体"/>
                <w:sz w:val="24"/>
                <w:szCs w:val="24"/>
              </w:rPr>
            </w:pPr>
            <w:r>
              <w:rPr>
                <w:rFonts w:hint="eastAsia" w:ascii="宋体" w:hAnsi="宋体" w:cs="宋体"/>
                <w:sz w:val="24"/>
                <w:szCs w:val="24"/>
              </w:rPr>
              <w:t>售后服务及培训方案</w:t>
            </w:r>
            <w:r>
              <w:rPr>
                <w:rFonts w:hint="eastAsia" w:ascii="宋体" w:hAnsi="宋体" w:cs="宋体"/>
                <w:sz w:val="24"/>
                <w:szCs w:val="24"/>
                <w:lang w:val="en-US" w:eastAsia="zh-CN"/>
              </w:rPr>
              <w:t>6</w:t>
            </w:r>
            <w:r>
              <w:rPr>
                <w:rFonts w:hint="eastAsia" w:ascii="宋体" w:hAnsi="宋体" w:cs="宋体"/>
                <w:sz w:val="24"/>
                <w:szCs w:val="24"/>
              </w:rPr>
              <w:t>分</w:t>
            </w:r>
          </w:p>
        </w:tc>
        <w:tc>
          <w:tcPr>
            <w:tcW w:w="4592" w:type="dxa"/>
            <w:vAlign w:val="center"/>
          </w:tcPr>
          <w:p w14:paraId="55578872">
            <w:pPr>
              <w:spacing w:line="400" w:lineRule="exact"/>
              <w:rPr>
                <w:rFonts w:hint="eastAsia" w:ascii="宋体" w:hAnsi="宋体" w:cs="宋体"/>
                <w:sz w:val="24"/>
                <w:szCs w:val="24"/>
              </w:rPr>
            </w:pPr>
            <w:r>
              <w:rPr>
                <w:rFonts w:hint="eastAsia" w:ascii="宋体" w:hAnsi="宋体" w:cs="宋体"/>
                <w:sz w:val="24"/>
                <w:szCs w:val="24"/>
              </w:rPr>
              <w:t>提供针对本项目的售后服务及培训方案。售后服务包括完整的售后服务方案、定期巡检等。培训方案内容包含但不限于培训体系、培训方式、培训流程、培训内容与计划、培训质量保障等内容，自主赋分：</w:t>
            </w:r>
          </w:p>
          <w:p w14:paraId="4837E777">
            <w:pPr>
              <w:spacing w:line="400" w:lineRule="exact"/>
              <w:rPr>
                <w:rFonts w:hint="eastAsia" w:ascii="宋体" w:hAnsi="宋体" w:cs="宋体"/>
                <w:sz w:val="24"/>
                <w:szCs w:val="24"/>
              </w:rPr>
            </w:pPr>
            <w:r>
              <w:rPr>
                <w:rFonts w:hint="eastAsia" w:ascii="宋体" w:hAnsi="宋体" w:cs="宋体"/>
                <w:sz w:val="24"/>
                <w:szCs w:val="24"/>
              </w:rPr>
              <w:t>1、方案内容完整详尽、方案可行性强、安排合理、切实可行，得[</w:t>
            </w:r>
            <w:r>
              <w:rPr>
                <w:rFonts w:hint="eastAsia" w:ascii="宋体" w:hAnsi="宋体" w:cs="宋体"/>
                <w:sz w:val="24"/>
                <w:szCs w:val="24"/>
                <w:lang w:val="en-US" w:eastAsia="zh-CN"/>
              </w:rPr>
              <w:t>3</w:t>
            </w:r>
            <w:r>
              <w:rPr>
                <w:rFonts w:hint="eastAsia" w:ascii="宋体" w:hAnsi="宋体" w:cs="宋体"/>
                <w:sz w:val="24"/>
                <w:szCs w:val="24"/>
              </w:rPr>
              <w:t>-</w:t>
            </w:r>
            <w:r>
              <w:rPr>
                <w:rFonts w:hint="eastAsia" w:ascii="宋体" w:hAnsi="宋体" w:cs="宋体"/>
                <w:sz w:val="24"/>
                <w:szCs w:val="24"/>
                <w:lang w:val="en-US" w:eastAsia="zh-CN"/>
              </w:rPr>
              <w:t>6</w:t>
            </w:r>
            <w:r>
              <w:rPr>
                <w:rFonts w:hint="eastAsia" w:ascii="宋体" w:hAnsi="宋体" w:cs="宋体"/>
                <w:sz w:val="24"/>
                <w:szCs w:val="24"/>
              </w:rPr>
              <w:t>]分；</w:t>
            </w:r>
          </w:p>
          <w:p w14:paraId="27BC8977">
            <w:pPr>
              <w:spacing w:line="400" w:lineRule="exact"/>
              <w:rPr>
                <w:rFonts w:hint="eastAsia" w:ascii="宋体" w:hAnsi="宋体" w:cs="宋体"/>
                <w:sz w:val="24"/>
                <w:szCs w:val="24"/>
              </w:rPr>
            </w:pPr>
            <w:r>
              <w:rPr>
                <w:rFonts w:hint="eastAsia" w:ascii="宋体" w:hAnsi="宋体" w:cs="宋体"/>
                <w:sz w:val="24"/>
                <w:szCs w:val="24"/>
              </w:rPr>
              <w:t>2、方案内容基本完整、方案基本可行、安排较为合理，基本可行，得[0-</w:t>
            </w:r>
            <w:r>
              <w:rPr>
                <w:rFonts w:hint="eastAsia" w:ascii="宋体" w:hAnsi="宋体" w:cs="宋体"/>
                <w:sz w:val="24"/>
                <w:szCs w:val="24"/>
                <w:lang w:val="en-US" w:eastAsia="zh-CN"/>
              </w:rPr>
              <w:t>3</w:t>
            </w:r>
            <w:r>
              <w:rPr>
                <w:rFonts w:hint="eastAsia" w:ascii="宋体" w:hAnsi="宋体" w:cs="宋体"/>
                <w:sz w:val="24"/>
                <w:szCs w:val="24"/>
              </w:rPr>
              <w:t>)分。</w:t>
            </w:r>
          </w:p>
        </w:tc>
      </w:tr>
      <w:tr w14:paraId="662726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6" w:hRule="atLeast"/>
          <w:jc w:val="center"/>
        </w:trPr>
        <w:tc>
          <w:tcPr>
            <w:tcW w:w="869" w:type="dxa"/>
            <w:vAlign w:val="center"/>
          </w:tcPr>
          <w:p w14:paraId="34582281">
            <w:pPr>
              <w:spacing w:line="400" w:lineRule="exact"/>
              <w:rPr>
                <w:rFonts w:hint="eastAsia" w:ascii="宋体" w:hAnsi="宋体" w:cs="宋体"/>
                <w:sz w:val="24"/>
                <w:szCs w:val="24"/>
              </w:rPr>
            </w:pPr>
          </w:p>
        </w:tc>
        <w:tc>
          <w:tcPr>
            <w:tcW w:w="840" w:type="dxa"/>
            <w:vAlign w:val="center"/>
          </w:tcPr>
          <w:p w14:paraId="757D15D6">
            <w:pPr>
              <w:jc w:val="center"/>
              <w:rPr>
                <w:rFonts w:hint="eastAsia" w:ascii="宋体" w:hAnsi="宋体" w:eastAsia="宋体" w:cs="宋体"/>
                <w:sz w:val="24"/>
                <w:szCs w:val="24"/>
                <w:lang w:eastAsia="zh-CN"/>
              </w:rPr>
            </w:pPr>
            <w:r>
              <w:rPr>
                <w:rFonts w:hint="eastAsia" w:ascii="宋体" w:hAnsi="宋体" w:cs="宋体"/>
                <w:sz w:val="24"/>
                <w:szCs w:val="24"/>
                <w:lang w:val="en-US" w:eastAsia="zh-CN"/>
              </w:rPr>
              <w:t>8</w:t>
            </w:r>
          </w:p>
        </w:tc>
        <w:tc>
          <w:tcPr>
            <w:tcW w:w="2469" w:type="dxa"/>
            <w:vAlign w:val="center"/>
          </w:tcPr>
          <w:p w14:paraId="75990054">
            <w:pPr>
              <w:spacing w:line="400" w:lineRule="exact"/>
              <w:rPr>
                <w:rFonts w:ascii="宋体" w:hAnsi="宋体" w:cs="宋体"/>
                <w:sz w:val="24"/>
                <w:szCs w:val="24"/>
              </w:rPr>
            </w:pPr>
            <w:r>
              <w:rPr>
                <w:rFonts w:hint="eastAsia" w:ascii="宋体" w:hAnsi="宋体" w:cs="宋体"/>
                <w:sz w:val="24"/>
                <w:szCs w:val="24"/>
              </w:rPr>
              <w:t>合理化建议</w:t>
            </w:r>
            <w:r>
              <w:rPr>
                <w:rFonts w:hint="eastAsia" w:ascii="宋体" w:hAnsi="宋体" w:cs="宋体"/>
                <w:sz w:val="24"/>
                <w:szCs w:val="24"/>
                <w:lang w:val="en-US" w:eastAsia="zh-CN"/>
              </w:rPr>
              <w:t>4</w:t>
            </w:r>
            <w:r>
              <w:rPr>
                <w:rFonts w:hint="eastAsia" w:ascii="宋体" w:hAnsi="宋体" w:cs="宋体"/>
                <w:sz w:val="24"/>
                <w:szCs w:val="24"/>
              </w:rPr>
              <w:t>分</w:t>
            </w:r>
          </w:p>
        </w:tc>
        <w:tc>
          <w:tcPr>
            <w:tcW w:w="4592" w:type="dxa"/>
            <w:vAlign w:val="center"/>
          </w:tcPr>
          <w:p w14:paraId="2EA11B49">
            <w:pPr>
              <w:spacing w:line="400" w:lineRule="exact"/>
              <w:rPr>
                <w:rFonts w:hint="eastAsia" w:ascii="宋体" w:hAnsi="宋体" w:cs="宋体"/>
                <w:sz w:val="24"/>
                <w:szCs w:val="24"/>
              </w:rPr>
            </w:pPr>
            <w:r>
              <w:rPr>
                <w:rFonts w:hint="eastAsia" w:ascii="宋体" w:hAnsi="宋体" w:cs="宋体"/>
                <w:sz w:val="24"/>
                <w:szCs w:val="24"/>
              </w:rPr>
              <w:t>根据投标文件提供的能够明确提出医院与本项目相关信息化建设方面的合理化建议，从建议内容的前瞻性、合理行、可行性等方面进行综合评审、排序，自主赋[0-</w:t>
            </w:r>
            <w:r>
              <w:rPr>
                <w:rFonts w:hint="eastAsia" w:ascii="宋体" w:hAnsi="宋体" w:cs="宋体"/>
                <w:sz w:val="24"/>
                <w:szCs w:val="24"/>
                <w:lang w:val="en-US" w:eastAsia="zh-CN"/>
              </w:rPr>
              <w:t>4</w:t>
            </w:r>
            <w:r>
              <w:rPr>
                <w:rFonts w:hint="eastAsia" w:ascii="宋体" w:hAnsi="宋体" w:cs="宋体"/>
                <w:sz w:val="24"/>
                <w:szCs w:val="24"/>
              </w:rPr>
              <w:t>]分</w:t>
            </w:r>
          </w:p>
        </w:tc>
      </w:tr>
      <w:tr w14:paraId="40D4B0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869" w:type="dxa"/>
            <w:vAlign w:val="center"/>
          </w:tcPr>
          <w:p w14:paraId="1687401D">
            <w:pPr>
              <w:spacing w:line="400" w:lineRule="exact"/>
              <w:jc w:val="center"/>
              <w:rPr>
                <w:rFonts w:hint="eastAsia" w:ascii="宋体" w:hAnsi="宋体" w:cs="宋体"/>
                <w:sz w:val="24"/>
                <w:szCs w:val="24"/>
              </w:rPr>
            </w:pPr>
            <w:r>
              <w:rPr>
                <w:rFonts w:hint="eastAsia" w:ascii="宋体" w:hAnsi="宋体" w:cs="宋体"/>
                <w:sz w:val="24"/>
                <w:szCs w:val="24"/>
              </w:rPr>
              <w:t>价格</w:t>
            </w:r>
          </w:p>
          <w:p w14:paraId="50249E00">
            <w:pPr>
              <w:spacing w:line="400" w:lineRule="exact"/>
              <w:jc w:val="center"/>
              <w:rPr>
                <w:rFonts w:ascii="宋体" w:hAnsi="宋体" w:cs="宋体"/>
                <w:sz w:val="24"/>
                <w:szCs w:val="24"/>
              </w:rPr>
            </w:pPr>
            <w:r>
              <w:rPr>
                <w:rFonts w:hint="eastAsia" w:ascii="宋体" w:hAnsi="宋体" w:cs="宋体"/>
                <w:sz w:val="24"/>
                <w:szCs w:val="24"/>
                <w:lang w:val="en-US" w:eastAsia="zh-CN"/>
              </w:rPr>
              <w:t>2</w:t>
            </w:r>
            <w:r>
              <w:rPr>
                <w:rFonts w:hint="eastAsia" w:ascii="宋体" w:hAnsi="宋体" w:cs="宋体"/>
                <w:sz w:val="24"/>
                <w:szCs w:val="24"/>
              </w:rPr>
              <w:t>0分</w:t>
            </w:r>
          </w:p>
        </w:tc>
        <w:tc>
          <w:tcPr>
            <w:tcW w:w="840" w:type="dxa"/>
            <w:vAlign w:val="center"/>
          </w:tcPr>
          <w:p w14:paraId="652F844C">
            <w:pPr>
              <w:spacing w:line="400" w:lineRule="exact"/>
              <w:jc w:val="center"/>
              <w:rPr>
                <w:rFonts w:hint="eastAsia" w:ascii="宋体" w:hAnsi="宋体" w:cs="宋体"/>
                <w:sz w:val="24"/>
                <w:szCs w:val="24"/>
              </w:rPr>
            </w:pPr>
            <w:r>
              <w:rPr>
                <w:rFonts w:hint="eastAsia" w:ascii="宋体" w:hAnsi="宋体" w:cs="宋体"/>
                <w:sz w:val="24"/>
                <w:szCs w:val="24"/>
              </w:rPr>
              <w:t>1</w:t>
            </w:r>
          </w:p>
        </w:tc>
        <w:tc>
          <w:tcPr>
            <w:tcW w:w="2469" w:type="dxa"/>
            <w:vAlign w:val="center"/>
          </w:tcPr>
          <w:p w14:paraId="68166287">
            <w:pPr>
              <w:spacing w:line="400" w:lineRule="exact"/>
              <w:rPr>
                <w:rFonts w:hint="eastAsia" w:ascii="宋体" w:hAnsi="宋体" w:cs="宋体"/>
                <w:sz w:val="24"/>
                <w:szCs w:val="24"/>
              </w:rPr>
            </w:pPr>
            <w:r>
              <w:rPr>
                <w:rFonts w:hint="eastAsia" w:ascii="宋体" w:hAnsi="宋体" w:cs="宋体"/>
                <w:sz w:val="24"/>
                <w:szCs w:val="24"/>
              </w:rPr>
              <w:t>价格</w:t>
            </w:r>
            <w:r>
              <w:rPr>
                <w:rFonts w:hint="eastAsia" w:ascii="宋体" w:hAnsi="宋体" w:cs="宋体"/>
                <w:sz w:val="24"/>
                <w:szCs w:val="24"/>
                <w:lang w:val="en-US" w:eastAsia="zh-CN"/>
              </w:rPr>
              <w:t>20</w:t>
            </w:r>
            <w:r>
              <w:rPr>
                <w:rFonts w:hint="eastAsia" w:ascii="宋体" w:hAnsi="宋体" w:cs="宋体"/>
                <w:sz w:val="24"/>
                <w:szCs w:val="24"/>
              </w:rPr>
              <w:t>分</w:t>
            </w:r>
          </w:p>
        </w:tc>
        <w:tc>
          <w:tcPr>
            <w:tcW w:w="4592" w:type="dxa"/>
            <w:vAlign w:val="center"/>
          </w:tcPr>
          <w:p w14:paraId="45C48767">
            <w:pPr>
              <w:widowControl/>
              <w:spacing w:line="400" w:lineRule="exact"/>
              <w:ind w:left="15" w:leftChars="6" w:hanging="2"/>
              <w:jc w:val="left"/>
              <w:rPr>
                <w:rFonts w:hint="eastAsia" w:ascii="宋体" w:hAnsi="宋体" w:cs="宋体"/>
                <w:sz w:val="24"/>
                <w:szCs w:val="24"/>
              </w:rPr>
            </w:pPr>
            <w:r>
              <w:rPr>
                <w:rFonts w:hint="eastAsia" w:ascii="宋体" w:hAnsi="宋体" w:cs="宋体"/>
                <w:sz w:val="24"/>
                <w:szCs w:val="24"/>
              </w:rPr>
              <w:t>1.最低评标价为评标基准价，得</w:t>
            </w:r>
            <w:r>
              <w:rPr>
                <w:rFonts w:hint="eastAsia" w:ascii="宋体" w:hAnsi="宋体" w:cs="宋体"/>
                <w:sz w:val="24"/>
                <w:szCs w:val="24"/>
                <w:lang w:val="en-US" w:eastAsia="zh-CN"/>
              </w:rPr>
              <w:t>20</w:t>
            </w:r>
            <w:r>
              <w:rPr>
                <w:rFonts w:hint="eastAsia" w:ascii="宋体" w:hAnsi="宋体" w:cs="宋体"/>
                <w:sz w:val="24"/>
                <w:szCs w:val="24"/>
              </w:rPr>
              <w:t>分。</w:t>
            </w:r>
          </w:p>
          <w:p w14:paraId="3220693B">
            <w:pPr>
              <w:widowControl/>
              <w:spacing w:line="400" w:lineRule="exact"/>
              <w:ind w:left="15" w:leftChars="6" w:hanging="2"/>
              <w:jc w:val="left"/>
              <w:rPr>
                <w:rFonts w:hint="eastAsia" w:ascii="宋体" w:hAnsi="宋体" w:cs="宋体"/>
                <w:sz w:val="24"/>
                <w:szCs w:val="24"/>
              </w:rPr>
            </w:pPr>
            <w:r>
              <w:rPr>
                <w:rFonts w:hint="eastAsia" w:ascii="宋体" w:hAnsi="宋体" w:cs="宋体"/>
                <w:sz w:val="24"/>
                <w:szCs w:val="24"/>
              </w:rPr>
              <w:t>2.按（评标基准价/评标价×</w:t>
            </w:r>
            <w:r>
              <w:rPr>
                <w:rFonts w:hint="eastAsia" w:ascii="宋体" w:hAnsi="宋体" w:cs="宋体"/>
                <w:sz w:val="24"/>
                <w:szCs w:val="24"/>
                <w:lang w:val="en-US" w:eastAsia="zh-CN"/>
              </w:rPr>
              <w:t>20</w:t>
            </w:r>
            <w:r>
              <w:rPr>
                <w:rFonts w:hint="eastAsia" w:ascii="宋体" w:hAnsi="宋体" w:cs="宋体"/>
                <w:sz w:val="24"/>
                <w:szCs w:val="24"/>
              </w:rPr>
              <w:t>）的公式计算价格得分。</w:t>
            </w:r>
          </w:p>
        </w:tc>
      </w:tr>
      <w:tr w14:paraId="249153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92" w:hRule="atLeast"/>
          <w:jc w:val="center"/>
        </w:trPr>
        <w:tc>
          <w:tcPr>
            <w:tcW w:w="869" w:type="dxa"/>
            <w:vMerge w:val="restart"/>
            <w:vAlign w:val="center"/>
          </w:tcPr>
          <w:p w14:paraId="7DA0CA6D">
            <w:pPr>
              <w:spacing w:line="400" w:lineRule="exact"/>
              <w:jc w:val="right"/>
              <w:rPr>
                <w:rFonts w:hint="eastAsia" w:ascii="宋体" w:hAnsi="宋体" w:cs="宋体"/>
                <w:sz w:val="24"/>
                <w:szCs w:val="24"/>
              </w:rPr>
            </w:pPr>
            <w:r>
              <w:rPr>
                <w:rFonts w:hint="eastAsia" w:ascii="宋体" w:hAnsi="宋体" w:cs="宋体"/>
                <w:sz w:val="24"/>
                <w:szCs w:val="24"/>
              </w:rPr>
              <w:t>商务</w:t>
            </w:r>
          </w:p>
          <w:p w14:paraId="70BB5D79">
            <w:pPr>
              <w:spacing w:line="400" w:lineRule="exact"/>
              <w:jc w:val="right"/>
              <w:rPr>
                <w:rFonts w:hint="eastAsia" w:ascii="宋体" w:hAnsi="宋体" w:cs="宋体"/>
                <w:sz w:val="24"/>
                <w:szCs w:val="24"/>
              </w:rPr>
            </w:pPr>
            <w:r>
              <w:rPr>
                <w:rFonts w:hint="eastAsia" w:ascii="宋体" w:hAnsi="宋体" w:cs="宋体"/>
                <w:sz w:val="24"/>
                <w:szCs w:val="24"/>
              </w:rPr>
              <w:t>20分</w:t>
            </w:r>
          </w:p>
        </w:tc>
        <w:tc>
          <w:tcPr>
            <w:tcW w:w="840" w:type="dxa"/>
            <w:vAlign w:val="center"/>
          </w:tcPr>
          <w:p w14:paraId="1A214B82">
            <w:pPr>
              <w:spacing w:line="400" w:lineRule="exact"/>
              <w:jc w:val="center"/>
              <w:rPr>
                <w:rFonts w:hint="eastAsia" w:ascii="宋体" w:hAnsi="宋体" w:cs="宋体"/>
                <w:sz w:val="24"/>
                <w:szCs w:val="24"/>
              </w:rPr>
            </w:pPr>
            <w:r>
              <w:rPr>
                <w:rFonts w:hint="eastAsia" w:ascii="宋体" w:hAnsi="宋体" w:cs="宋体"/>
                <w:sz w:val="24"/>
                <w:szCs w:val="24"/>
              </w:rPr>
              <w:t>1</w:t>
            </w:r>
          </w:p>
        </w:tc>
        <w:tc>
          <w:tcPr>
            <w:tcW w:w="2469" w:type="dxa"/>
            <w:vAlign w:val="center"/>
          </w:tcPr>
          <w:p w14:paraId="09AE2B62">
            <w:pPr>
              <w:spacing w:line="400" w:lineRule="exact"/>
              <w:rPr>
                <w:rFonts w:hint="eastAsia" w:ascii="宋体" w:hAnsi="宋体" w:cs="宋体"/>
                <w:sz w:val="24"/>
                <w:szCs w:val="24"/>
              </w:rPr>
            </w:pPr>
            <w:r>
              <w:rPr>
                <w:rFonts w:hint="eastAsia" w:ascii="宋体" w:hAnsi="宋体" w:cs="宋体"/>
                <w:sz w:val="24"/>
                <w:szCs w:val="24"/>
              </w:rPr>
              <w:t>综合实力</w:t>
            </w:r>
            <w:r>
              <w:rPr>
                <w:rFonts w:ascii="宋体" w:hAnsi="宋体" w:cs="宋体"/>
                <w:sz w:val="24"/>
                <w:szCs w:val="24"/>
              </w:rPr>
              <w:t>5</w:t>
            </w:r>
            <w:r>
              <w:rPr>
                <w:rFonts w:hint="eastAsia" w:ascii="宋体" w:hAnsi="宋体" w:cs="宋体"/>
                <w:sz w:val="24"/>
                <w:szCs w:val="24"/>
              </w:rPr>
              <w:t>分</w:t>
            </w:r>
          </w:p>
        </w:tc>
        <w:tc>
          <w:tcPr>
            <w:tcW w:w="4592" w:type="dxa"/>
            <w:vAlign w:val="center"/>
          </w:tcPr>
          <w:p w14:paraId="52AEEA68">
            <w:pPr>
              <w:widowControl/>
              <w:spacing w:line="420" w:lineRule="exact"/>
              <w:jc w:val="left"/>
              <w:rPr>
                <w:rFonts w:hint="eastAsia" w:ascii="宋体" w:hAnsi="宋体" w:cs="宋体"/>
                <w:sz w:val="24"/>
                <w:szCs w:val="24"/>
              </w:rPr>
            </w:pPr>
            <w:r>
              <w:rPr>
                <w:rFonts w:hint="eastAsia" w:ascii="宋体" w:hAnsi="宋体" w:cs="宋体"/>
                <w:sz w:val="24"/>
                <w:szCs w:val="24"/>
              </w:rPr>
              <w:t>根据投标文件中提供的投标人基本情况（包括但不限于技术力量、体系认证、所获荣誉等）介绍，自主赋[0-</w:t>
            </w:r>
            <w:r>
              <w:rPr>
                <w:rFonts w:ascii="宋体" w:hAnsi="宋体" w:cs="宋体"/>
                <w:sz w:val="24"/>
                <w:szCs w:val="24"/>
              </w:rPr>
              <w:t>5</w:t>
            </w:r>
            <w:r>
              <w:rPr>
                <w:rFonts w:hint="eastAsia" w:ascii="宋体" w:hAnsi="宋体" w:cs="宋体"/>
                <w:sz w:val="24"/>
                <w:szCs w:val="24"/>
              </w:rPr>
              <w:t>]分。</w:t>
            </w:r>
          </w:p>
        </w:tc>
      </w:tr>
      <w:tr w14:paraId="7A7B84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92" w:hRule="atLeast"/>
          <w:jc w:val="center"/>
        </w:trPr>
        <w:tc>
          <w:tcPr>
            <w:tcW w:w="869" w:type="dxa"/>
            <w:vMerge w:val="continue"/>
            <w:vAlign w:val="center"/>
          </w:tcPr>
          <w:p w14:paraId="017EF1E9">
            <w:pPr>
              <w:spacing w:line="400" w:lineRule="exact"/>
              <w:jc w:val="right"/>
              <w:rPr>
                <w:rFonts w:hint="eastAsia" w:ascii="宋体" w:hAnsi="宋体" w:cs="宋体"/>
                <w:sz w:val="24"/>
                <w:szCs w:val="24"/>
              </w:rPr>
            </w:pPr>
          </w:p>
        </w:tc>
        <w:tc>
          <w:tcPr>
            <w:tcW w:w="840" w:type="dxa"/>
            <w:vAlign w:val="center"/>
          </w:tcPr>
          <w:p w14:paraId="55681A34">
            <w:pPr>
              <w:spacing w:line="400" w:lineRule="exact"/>
              <w:jc w:val="center"/>
              <w:rPr>
                <w:rFonts w:hint="eastAsia" w:ascii="宋体" w:hAnsi="宋体" w:cs="宋体"/>
                <w:sz w:val="24"/>
                <w:szCs w:val="24"/>
              </w:rPr>
            </w:pPr>
            <w:r>
              <w:rPr>
                <w:rFonts w:hint="eastAsia" w:ascii="宋体" w:hAnsi="宋体" w:cs="宋体"/>
                <w:sz w:val="24"/>
                <w:szCs w:val="24"/>
              </w:rPr>
              <w:t>2</w:t>
            </w:r>
          </w:p>
        </w:tc>
        <w:tc>
          <w:tcPr>
            <w:tcW w:w="2469" w:type="dxa"/>
            <w:vAlign w:val="center"/>
          </w:tcPr>
          <w:p w14:paraId="7BBCED89">
            <w:pPr>
              <w:spacing w:line="400" w:lineRule="exact"/>
              <w:rPr>
                <w:rFonts w:hint="eastAsia" w:ascii="宋体" w:hAnsi="宋体" w:cs="宋体"/>
                <w:sz w:val="24"/>
                <w:szCs w:val="24"/>
              </w:rPr>
            </w:pPr>
            <w:r>
              <w:rPr>
                <w:rFonts w:hint="eastAsia" w:ascii="宋体" w:hAnsi="宋体" w:cs="宋体"/>
                <w:sz w:val="24"/>
                <w:szCs w:val="24"/>
              </w:rPr>
              <w:t>业绩10分</w:t>
            </w:r>
          </w:p>
        </w:tc>
        <w:tc>
          <w:tcPr>
            <w:tcW w:w="4592" w:type="dxa"/>
            <w:vAlign w:val="center"/>
          </w:tcPr>
          <w:p w14:paraId="725A2F4F">
            <w:pPr>
              <w:widowControl/>
              <w:spacing w:line="420" w:lineRule="exact"/>
              <w:jc w:val="left"/>
              <w:rPr>
                <w:rFonts w:hint="eastAsia" w:ascii="宋体" w:hAnsi="宋体" w:cs="宋体"/>
                <w:sz w:val="24"/>
                <w:szCs w:val="24"/>
              </w:rPr>
            </w:pPr>
            <w:r>
              <w:rPr>
                <w:rFonts w:hint="eastAsia" w:ascii="宋体" w:hAnsi="宋体" w:cs="宋体"/>
                <w:sz w:val="24"/>
                <w:szCs w:val="24"/>
              </w:rPr>
              <w:t>提供20</w:t>
            </w:r>
            <w:r>
              <w:rPr>
                <w:rFonts w:hint="eastAsia" w:ascii="宋体" w:hAnsi="宋体" w:cs="宋体"/>
                <w:sz w:val="24"/>
                <w:szCs w:val="24"/>
                <w:lang w:val="en-US" w:eastAsia="zh-CN"/>
              </w:rPr>
              <w:t>22</w:t>
            </w:r>
            <w:r>
              <w:rPr>
                <w:rFonts w:hint="eastAsia" w:ascii="宋体" w:hAnsi="宋体" w:cs="宋体"/>
                <w:sz w:val="24"/>
                <w:szCs w:val="24"/>
              </w:rPr>
              <w:t>年1月1日以来同类项目业绩证明材料（以合同复印件为准，合同复印件至少含封皮、首页、能反映采购内容页、双方签字盖章页等）,每提供一份得</w:t>
            </w:r>
            <w:r>
              <w:rPr>
                <w:rFonts w:ascii="宋体" w:hAnsi="宋体" w:cs="宋体"/>
                <w:sz w:val="24"/>
                <w:szCs w:val="24"/>
              </w:rPr>
              <w:t>2</w:t>
            </w:r>
            <w:r>
              <w:rPr>
                <w:rFonts w:hint="eastAsia" w:ascii="宋体" w:hAnsi="宋体" w:cs="宋体"/>
                <w:sz w:val="24"/>
                <w:szCs w:val="24"/>
              </w:rPr>
              <w:t>分。本项共10分。</w:t>
            </w:r>
          </w:p>
        </w:tc>
      </w:tr>
      <w:tr w14:paraId="045F9F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64" w:hRule="atLeast"/>
          <w:jc w:val="center"/>
        </w:trPr>
        <w:tc>
          <w:tcPr>
            <w:tcW w:w="869" w:type="dxa"/>
            <w:vMerge w:val="continue"/>
            <w:vAlign w:val="center"/>
          </w:tcPr>
          <w:p w14:paraId="357122BE">
            <w:pPr>
              <w:spacing w:line="400" w:lineRule="exact"/>
              <w:jc w:val="right"/>
              <w:rPr>
                <w:rFonts w:hint="eastAsia" w:ascii="宋体" w:hAnsi="宋体" w:cs="宋体"/>
                <w:sz w:val="24"/>
                <w:szCs w:val="24"/>
              </w:rPr>
            </w:pPr>
          </w:p>
        </w:tc>
        <w:tc>
          <w:tcPr>
            <w:tcW w:w="840" w:type="dxa"/>
            <w:vAlign w:val="center"/>
          </w:tcPr>
          <w:p w14:paraId="3B0A843D">
            <w:pPr>
              <w:spacing w:line="400" w:lineRule="exact"/>
              <w:jc w:val="center"/>
              <w:rPr>
                <w:rFonts w:hint="eastAsia" w:ascii="宋体" w:hAnsi="宋体" w:cs="宋体"/>
                <w:sz w:val="24"/>
                <w:szCs w:val="24"/>
              </w:rPr>
            </w:pPr>
            <w:r>
              <w:rPr>
                <w:rFonts w:hint="eastAsia" w:ascii="宋体" w:hAnsi="宋体" w:cs="宋体"/>
                <w:sz w:val="24"/>
                <w:szCs w:val="24"/>
              </w:rPr>
              <w:t>3</w:t>
            </w:r>
          </w:p>
        </w:tc>
        <w:tc>
          <w:tcPr>
            <w:tcW w:w="2469" w:type="dxa"/>
            <w:vAlign w:val="center"/>
          </w:tcPr>
          <w:p w14:paraId="4BA70B4D">
            <w:pPr>
              <w:spacing w:line="400" w:lineRule="exact"/>
              <w:rPr>
                <w:rFonts w:hint="eastAsia" w:ascii="宋体" w:hAnsi="宋体" w:cs="宋体"/>
                <w:sz w:val="24"/>
                <w:szCs w:val="24"/>
              </w:rPr>
            </w:pPr>
            <w:r>
              <w:rPr>
                <w:rFonts w:hint="eastAsia" w:ascii="宋体" w:hAnsi="宋体" w:cs="宋体"/>
                <w:sz w:val="24"/>
                <w:szCs w:val="24"/>
              </w:rPr>
              <w:t>商务响应5分</w:t>
            </w:r>
          </w:p>
        </w:tc>
        <w:tc>
          <w:tcPr>
            <w:tcW w:w="4592" w:type="dxa"/>
            <w:vAlign w:val="center"/>
          </w:tcPr>
          <w:p w14:paraId="4B92705F">
            <w:pPr>
              <w:spacing w:line="400" w:lineRule="exact"/>
              <w:rPr>
                <w:rFonts w:hint="eastAsia" w:ascii="宋体" w:hAnsi="宋体" w:cs="宋体"/>
                <w:sz w:val="24"/>
                <w:szCs w:val="24"/>
              </w:rPr>
            </w:pPr>
            <w:r>
              <w:rPr>
                <w:rFonts w:hint="eastAsia" w:ascii="宋体" w:hAnsi="宋体" w:cs="宋体"/>
                <w:sz w:val="24"/>
                <w:szCs w:val="24"/>
              </w:rPr>
              <w:t>满足招标文件全部商务条款得5分，一项不满足本项不得分。</w:t>
            </w:r>
          </w:p>
        </w:tc>
      </w:tr>
      <w:tr w14:paraId="2A0531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883" w:hRule="atLeast"/>
          <w:jc w:val="center"/>
        </w:trPr>
        <w:tc>
          <w:tcPr>
            <w:tcW w:w="8770" w:type="dxa"/>
            <w:gridSpan w:val="4"/>
            <w:vAlign w:val="center"/>
          </w:tcPr>
          <w:p w14:paraId="78A1A480">
            <w:pPr>
              <w:spacing w:line="400" w:lineRule="exact"/>
              <w:rPr>
                <w:rFonts w:hint="eastAsia" w:ascii="宋体" w:hAnsi="宋体" w:cs="宋体"/>
                <w:sz w:val="24"/>
                <w:szCs w:val="24"/>
              </w:rPr>
            </w:pPr>
            <w:r>
              <w:rPr>
                <w:rFonts w:hint="eastAsia" w:ascii="宋体" w:hAnsi="宋体" w:cs="宋体"/>
                <w:sz w:val="24"/>
                <w:szCs w:val="24"/>
              </w:rPr>
              <w:t>1）各评委独立打分。</w:t>
            </w:r>
          </w:p>
          <w:p w14:paraId="2D745F70">
            <w:pPr>
              <w:spacing w:line="400" w:lineRule="exact"/>
              <w:rPr>
                <w:rFonts w:hint="eastAsia" w:ascii="宋体" w:hAnsi="宋体" w:cs="宋体"/>
                <w:sz w:val="24"/>
                <w:szCs w:val="24"/>
              </w:rPr>
            </w:pPr>
            <w:r>
              <w:rPr>
                <w:rFonts w:hint="eastAsia" w:ascii="宋体" w:hAnsi="宋体" w:cs="宋体"/>
                <w:sz w:val="24"/>
                <w:szCs w:val="24"/>
              </w:rPr>
              <w:t>2）评委打分超过得分界限或未按本表规定赋分时，该评委的打分无效，不计入汇总分。</w:t>
            </w:r>
          </w:p>
          <w:p w14:paraId="094FBF30">
            <w:pPr>
              <w:spacing w:line="400" w:lineRule="exact"/>
              <w:rPr>
                <w:rFonts w:hint="eastAsia" w:ascii="宋体" w:hAnsi="宋体" w:cs="宋体"/>
                <w:sz w:val="24"/>
                <w:szCs w:val="24"/>
              </w:rPr>
            </w:pPr>
            <w:r>
              <w:rPr>
                <w:rFonts w:hint="eastAsia" w:ascii="宋体" w:hAnsi="宋体" w:cs="宋体"/>
                <w:sz w:val="24"/>
                <w:szCs w:val="24"/>
              </w:rPr>
              <w:t>3）若出现综合得分相同的，按投标报价由低到高顺序排列名次；得分且投标报价相同的，按技术指标得分顺序排列名次。</w:t>
            </w:r>
          </w:p>
          <w:p w14:paraId="17B6113F">
            <w:pPr>
              <w:spacing w:line="400" w:lineRule="exact"/>
              <w:rPr>
                <w:rFonts w:hint="eastAsia" w:ascii="宋体" w:hAnsi="宋体" w:cs="宋体"/>
                <w:sz w:val="24"/>
                <w:szCs w:val="24"/>
              </w:rPr>
            </w:pPr>
            <w:r>
              <w:rPr>
                <w:rFonts w:hint="eastAsia" w:ascii="宋体" w:hAnsi="宋体" w:cs="宋体"/>
                <w:sz w:val="24"/>
                <w:szCs w:val="24"/>
              </w:rPr>
              <w:t>4）各种计算采用插入法，最终结果数字保留二位小数，第三位“四舍五入”。</w:t>
            </w:r>
          </w:p>
          <w:p w14:paraId="17EF2B0C">
            <w:pPr>
              <w:spacing w:line="400" w:lineRule="exact"/>
              <w:rPr>
                <w:rFonts w:hint="eastAsia" w:ascii="宋体" w:hAnsi="宋体" w:cs="宋体"/>
                <w:sz w:val="24"/>
                <w:szCs w:val="24"/>
              </w:rPr>
            </w:pPr>
            <w:r>
              <w:rPr>
                <w:rFonts w:hint="eastAsia" w:ascii="宋体" w:hAnsi="宋体" w:cs="宋体"/>
                <w:sz w:val="24"/>
                <w:szCs w:val="24"/>
              </w:rPr>
              <w:t>5）[]为包含本数，（）为不包含本数。</w:t>
            </w:r>
          </w:p>
        </w:tc>
      </w:tr>
    </w:tbl>
    <w:p w14:paraId="5872CCEC">
      <w:pPr>
        <w:spacing w:line="440" w:lineRule="exact"/>
        <w:ind w:left="839" w:leftChars="228" w:hanging="360" w:hangingChars="150"/>
        <w:rPr>
          <w:rFonts w:hint="eastAsia" w:ascii="宋体" w:hAnsi="宋体" w:cs="宋体"/>
          <w:sz w:val="24"/>
          <w:szCs w:val="24"/>
        </w:rPr>
      </w:pPr>
    </w:p>
    <w:p w14:paraId="1A371EAF">
      <w:pPr>
        <w:shd w:val="clear" w:color="auto" w:fill="FFFFFF"/>
      </w:pPr>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34"/>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Arial Unicode MS">
    <w:altName w:val="宋体"/>
    <w:panose1 w:val="020B0604020202020204"/>
    <w:charset w:val="86"/>
    <w:family w:val="swiss"/>
    <w:pitch w:val="default"/>
    <w:sig w:usb0="00000000" w:usb1="00000000" w:usb2="0000003F" w:usb3="00000000" w:csb0="603F01FF" w:csb1="FFFF0000"/>
  </w:font>
  <w:font w:name="微软雅黑">
    <w:panose1 w:val="020B0503020204020204"/>
    <w:charset w:val="86"/>
    <w:family w:val="swiss"/>
    <w:pitch w:val="default"/>
    <w:sig w:usb0="80000287" w:usb1="2ACF3C50" w:usb2="00000016" w:usb3="00000000" w:csb0="0004001F" w:csb1="00000000"/>
  </w:font>
  <w:font w:name="仿宋_GB2312">
    <w:altName w:val="仿宋"/>
    <w:panose1 w:val="00000000000000000000"/>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Tahoma">
    <w:panose1 w:val="020B0604030504040204"/>
    <w:charset w:val="00"/>
    <w:family w:val="swiss"/>
    <w:pitch w:val="default"/>
    <w:sig w:usb0="E1002EFF" w:usb1="C000605B" w:usb2="00000029" w:usb3="00000000" w:csb0="200101FF" w:csb1="20280000"/>
  </w:font>
  <w:font w:name="Verdana">
    <w:panose1 w:val="020B0604030504040204"/>
    <w:charset w:val="00"/>
    <w:family w:val="swiss"/>
    <w:pitch w:val="default"/>
    <w:sig w:usb0="A00006FF" w:usb1="4000205B" w:usb2="00000010" w:usb3="00000000" w:csb0="2000019F" w:csb1="00000000"/>
  </w:font>
  <w:font w:name="Wingdings 2">
    <w:altName w:val="Wingdings"/>
    <w:panose1 w:val="05020102010507070707"/>
    <w:charset w:val="02"/>
    <w:family w:val="roman"/>
    <w:pitch w:val="default"/>
    <w:sig w:usb0="00000000" w:usb1="00000000" w:usb2="00000000" w:usb3="00000000" w:csb0="80000000" w:csb1="00000000"/>
  </w:font>
  <w:font w:name="Kingsoft UE">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0B6F129">
    <w:pPr>
      <w:pStyle w:val="14"/>
      <w:framePr w:w="361" w:wrap="around" w:vAnchor="text" w:hAnchor="page" w:x="5761" w:y="-5"/>
      <w:rPr>
        <w:rStyle w:val="25"/>
      </w:rPr>
    </w:pPr>
  </w:p>
  <w:p w14:paraId="656685A9">
    <w:pPr>
      <w:pStyle w:val="1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E8EAE83">
    <w:pPr>
      <w:pStyle w:val="14"/>
      <w:framePr w:wrap="around" w:vAnchor="text" w:hAnchor="margin" w:xAlign="center" w:y="1"/>
      <w:rPr>
        <w:rStyle w:val="25"/>
      </w:rPr>
    </w:pPr>
    <w:r>
      <w:fldChar w:fldCharType="begin"/>
    </w:r>
    <w:r>
      <w:rPr>
        <w:rStyle w:val="25"/>
      </w:rPr>
      <w:instrText xml:space="preserve">PAGE  </w:instrText>
    </w:r>
    <w:r>
      <w:fldChar w:fldCharType="end"/>
    </w:r>
  </w:p>
  <w:p w14:paraId="7CA9812D">
    <w:pPr>
      <w:pStyle w:val="14"/>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5955074">
    <w:pPr>
      <w:pStyle w:val="14"/>
    </w:pPr>
    <w:r>
      <w:rPr>
        <w:sz w:val="24"/>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10490" cy="131445"/>
              <wp:effectExtent l="0" t="0" r="3810" b="1905"/>
              <wp:wrapNone/>
              <wp:docPr id="3" name="文本框 25"/>
              <wp:cNvGraphicFramePr/>
              <a:graphic xmlns:a="http://schemas.openxmlformats.org/drawingml/2006/main">
                <a:graphicData uri="http://schemas.microsoft.com/office/word/2010/wordprocessingShape">
                  <wps:wsp>
                    <wps:cNvSpPr txBox="1">
                      <a:spLocks noChangeArrowheads="1"/>
                    </wps:cNvSpPr>
                    <wps:spPr bwMode="auto">
                      <a:xfrm>
                        <a:off x="0" y="0"/>
                        <a:ext cx="110490" cy="131445"/>
                      </a:xfrm>
                      <a:prstGeom prst="rect">
                        <a:avLst/>
                      </a:prstGeom>
                      <a:noFill/>
                      <a:ln>
                        <a:noFill/>
                      </a:ln>
                    </wps:spPr>
                    <wps:txbx>
                      <w:txbxContent>
                        <w:p w14:paraId="5E4D7577">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57</w:t>
                          </w:r>
                          <w:r>
                            <w:rPr>
                              <w:rFonts w:hint="eastAsia"/>
                              <w:sz w:val="18"/>
                            </w:rPr>
                            <w:fldChar w:fldCharType="end"/>
                          </w:r>
                        </w:p>
                      </w:txbxContent>
                    </wps:txbx>
                    <wps:bodyPr rot="0" vert="horz" wrap="none" lIns="0" tIns="0" rIns="0" bIns="0" anchor="t" anchorCtr="0" upright="1">
                      <a:spAutoFit/>
                    </wps:bodyPr>
                  </wps:wsp>
                </a:graphicData>
              </a:graphic>
            </wp:anchor>
          </w:drawing>
        </mc:Choice>
        <mc:Fallback>
          <w:pict>
            <v:shape id="文本框 25" o:spid="_x0000_s1026" o:spt="202" type="#_x0000_t202" style="position:absolute;left:0pt;margin-top:0pt;height:10.35pt;width:8.7pt;mso-position-horizontal:center;mso-position-horizontal-relative:margin;mso-wrap-style:none;z-index:251659264;mso-width-relative:page;mso-height-relative:page;" filled="f" stroked="f" coordsize="21600,21600" o:gfxdata="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">
              <v:fill on="f" focussize="0,0"/>
              <v:stroke on="f"/>
              <v:imagedata o:title=""/>
              <o:lock v:ext="edit" aspectratio="f"/>
              <v:textbox inset="0mm,0mm,0mm,0mm" style="mso-fit-shape-to-text:t;">
                <w:txbxContent>
                  <w:p w14:paraId="5E4D7577">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57</w:t>
                    </w:r>
                    <w:r>
                      <w:rPr>
                        <w:rFonts w:hint="eastAsia"/>
                        <w:sz w:val="18"/>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BFE59FE">
    <w:pPr>
      <w:pStyle w:val="15"/>
      <w:pBdr>
        <w:bottom w:val="single" w:color="auto" w:sz="4" w:space="0"/>
      </w:pBdr>
      <w:rPr>
        <w:sz w:val="21"/>
        <w:szCs w:val="21"/>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7595E01">
    <w:pPr>
      <w:pStyle w:val="15"/>
      <w:pBdr>
        <w:bottom w:val="none" w:color="auto" w:sz="0" w:space="1"/>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44F7E27"/>
    <w:multiLevelType w:val="multilevel"/>
    <w:tmpl w:val="044F7E27"/>
    <w:lvl w:ilvl="0" w:tentative="0">
      <w:start w:val="1"/>
      <w:numFmt w:val="decimal"/>
      <w:lvlText w:val="%1."/>
      <w:lvlJc w:val="left"/>
      <w:pPr>
        <w:tabs>
          <w:tab w:val="left" w:pos="600"/>
        </w:tabs>
        <w:ind w:left="600" w:hanging="600"/>
      </w:pPr>
      <w:rPr>
        <w:rFonts w:hint="default"/>
      </w:rPr>
    </w:lvl>
    <w:lvl w:ilvl="1" w:tentative="0">
      <w:start w:val="1"/>
      <w:numFmt w:val="decimal"/>
      <w:lvlText w:val="%1.%2）"/>
      <w:lvlJc w:val="left"/>
      <w:pPr>
        <w:tabs>
          <w:tab w:val="left" w:pos="1440"/>
        </w:tabs>
        <w:ind w:left="1440" w:hanging="720"/>
      </w:pPr>
      <w:rPr>
        <w:rFonts w:hint="default"/>
      </w:rPr>
    </w:lvl>
    <w:lvl w:ilvl="2" w:tentative="0">
      <w:start w:val="1"/>
      <w:numFmt w:val="decimal"/>
      <w:lvlText w:val="%1.%2）%3."/>
      <w:lvlJc w:val="left"/>
      <w:pPr>
        <w:tabs>
          <w:tab w:val="left" w:pos="2520"/>
        </w:tabs>
        <w:ind w:left="2520" w:hanging="1080"/>
      </w:pPr>
      <w:rPr>
        <w:rFonts w:hint="default"/>
      </w:rPr>
    </w:lvl>
    <w:lvl w:ilvl="3" w:tentative="0">
      <w:start w:val="1"/>
      <w:numFmt w:val="decimal"/>
      <w:lvlText w:val="%1.%2）%3.%4."/>
      <w:lvlJc w:val="left"/>
      <w:pPr>
        <w:tabs>
          <w:tab w:val="left" w:pos="3240"/>
        </w:tabs>
        <w:ind w:left="3240" w:hanging="1080"/>
      </w:pPr>
      <w:rPr>
        <w:rFonts w:hint="default"/>
      </w:rPr>
    </w:lvl>
    <w:lvl w:ilvl="4" w:tentative="0">
      <w:start w:val="1"/>
      <w:numFmt w:val="decimal"/>
      <w:lvlText w:val="%1.%2）%3.%4.%5."/>
      <w:lvlJc w:val="left"/>
      <w:pPr>
        <w:tabs>
          <w:tab w:val="left" w:pos="4320"/>
        </w:tabs>
        <w:ind w:left="4320" w:hanging="1440"/>
      </w:pPr>
      <w:rPr>
        <w:rFonts w:hint="default"/>
      </w:rPr>
    </w:lvl>
    <w:lvl w:ilvl="5" w:tentative="0">
      <w:start w:val="1"/>
      <w:numFmt w:val="decimal"/>
      <w:lvlText w:val="%1.%2）%3.%4.%5.%6."/>
      <w:lvlJc w:val="left"/>
      <w:pPr>
        <w:tabs>
          <w:tab w:val="left" w:pos="5400"/>
        </w:tabs>
        <w:ind w:left="5400" w:hanging="1800"/>
      </w:pPr>
      <w:rPr>
        <w:rFonts w:hint="default"/>
      </w:rPr>
    </w:lvl>
    <w:lvl w:ilvl="6" w:tentative="0">
      <w:start w:val="1"/>
      <w:numFmt w:val="decimal"/>
      <w:lvlText w:val="%1.%2）%3.%4.%5.%6.%7."/>
      <w:lvlJc w:val="left"/>
      <w:pPr>
        <w:tabs>
          <w:tab w:val="left" w:pos="6120"/>
        </w:tabs>
        <w:ind w:left="6120" w:hanging="1800"/>
      </w:pPr>
      <w:rPr>
        <w:rFonts w:hint="default"/>
      </w:rPr>
    </w:lvl>
    <w:lvl w:ilvl="7" w:tentative="0">
      <w:start w:val="1"/>
      <w:numFmt w:val="decimal"/>
      <w:lvlText w:val="%1.%2）%3.%4.%5.%6.%7.%8."/>
      <w:lvlJc w:val="left"/>
      <w:pPr>
        <w:tabs>
          <w:tab w:val="left" w:pos="7200"/>
        </w:tabs>
        <w:ind w:left="7200" w:hanging="2160"/>
      </w:pPr>
      <w:rPr>
        <w:rFonts w:hint="default"/>
      </w:rPr>
    </w:lvl>
    <w:lvl w:ilvl="8" w:tentative="0">
      <w:start w:val="1"/>
      <w:numFmt w:val="decimal"/>
      <w:lvlText w:val="%1.%2）%3.%4.%5.%6.%7.%8.%9."/>
      <w:lvlJc w:val="left"/>
      <w:pPr>
        <w:tabs>
          <w:tab w:val="left" w:pos="8280"/>
        </w:tabs>
        <w:ind w:left="8280" w:hanging="2520"/>
      </w:pPr>
      <w:rPr>
        <w:rFonts w:hint="default"/>
      </w:rPr>
    </w:lvl>
  </w:abstractNum>
  <w:abstractNum w:abstractNumId="1">
    <w:nsid w:val="07F620F8"/>
    <w:multiLevelType w:val="multilevel"/>
    <w:tmpl w:val="07F620F8"/>
    <w:lvl w:ilvl="0" w:tentative="0">
      <w:start w:val="1"/>
      <w:numFmt w:val="decimal"/>
      <w:lvlText w:val="%1、"/>
      <w:lvlJc w:val="left"/>
      <w:pPr>
        <w:ind w:left="630" w:hanging="63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
    <w:nsid w:val="23757D77"/>
    <w:multiLevelType w:val="multilevel"/>
    <w:tmpl w:val="23757D77"/>
    <w:lvl w:ilvl="0" w:tentative="0">
      <w:start w:val="1"/>
      <w:numFmt w:val="japaneseCounting"/>
      <w:lvlText w:val="%1、"/>
      <w:lvlJc w:val="left"/>
      <w:pPr>
        <w:tabs>
          <w:tab w:val="left" w:pos="420"/>
        </w:tabs>
        <w:ind w:left="420" w:hanging="420"/>
      </w:pPr>
      <w:rPr>
        <w:rFonts w:hint="default"/>
      </w:rPr>
    </w:lvl>
    <w:lvl w:ilvl="1" w:tentative="0">
      <w:start w:val="1"/>
      <w:numFmt w:val="japaneseCounting"/>
      <w:lvlText w:val="第%2章"/>
      <w:lvlJc w:val="left"/>
      <w:pPr>
        <w:tabs>
          <w:tab w:val="left" w:pos="1260"/>
        </w:tabs>
        <w:ind w:left="1260" w:hanging="840"/>
      </w:pPr>
      <w:rPr>
        <w:rFonts w:hint="default"/>
      </w:rPr>
    </w:lvl>
    <w:lvl w:ilvl="2" w:tentative="0">
      <w:start w:val="1"/>
      <w:numFmt w:val="decimal"/>
      <w:lvlText w:val="%3."/>
      <w:lvlJc w:val="left"/>
      <w:pPr>
        <w:tabs>
          <w:tab w:val="left" w:pos="1200"/>
        </w:tabs>
        <w:ind w:left="1200" w:hanging="360"/>
      </w:pPr>
      <w:rPr>
        <w:rFonts w:hint="default"/>
      </w:rPr>
    </w:lvl>
    <w:lvl w:ilvl="3" w:tentative="0">
      <w:start w:val="1"/>
      <w:numFmt w:val="decimal"/>
      <w:lvlText w:val="%4）"/>
      <w:lvlJc w:val="left"/>
      <w:pPr>
        <w:tabs>
          <w:tab w:val="left" w:pos="1620"/>
        </w:tabs>
        <w:ind w:left="1620" w:hanging="360"/>
      </w:pPr>
      <w:rPr>
        <w:rFonts w:hint="default"/>
      </w:r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3">
    <w:nsid w:val="3E2E255E"/>
    <w:multiLevelType w:val="multilevel"/>
    <w:tmpl w:val="3E2E255E"/>
    <w:lvl w:ilvl="0" w:tentative="0">
      <w:start w:val="1"/>
      <w:numFmt w:val="decimal"/>
      <w:lvlText w:val="%1)"/>
      <w:lvlJc w:val="left"/>
      <w:pPr>
        <w:tabs>
          <w:tab w:val="left" w:pos="1680"/>
        </w:tabs>
        <w:ind w:left="1680" w:hanging="420"/>
      </w:pPr>
      <w:rPr>
        <w:rFonts w:hint="eastAsia"/>
      </w:rPr>
    </w:lvl>
    <w:lvl w:ilvl="1" w:tentative="0">
      <w:start w:val="1"/>
      <w:numFmt w:val="decimal"/>
      <w:lvlText w:val="%2．"/>
      <w:lvlJc w:val="left"/>
      <w:pPr>
        <w:tabs>
          <w:tab w:val="left" w:pos="270"/>
        </w:tabs>
        <w:ind w:left="270" w:hanging="720"/>
      </w:pPr>
      <w:rPr>
        <w:rFonts w:hint="default"/>
      </w:rPr>
    </w:lvl>
    <w:lvl w:ilvl="2" w:tentative="0">
      <w:start w:val="1"/>
      <w:numFmt w:val="lowerRoman"/>
      <w:lvlText w:val="%3."/>
      <w:lvlJc w:val="right"/>
      <w:pPr>
        <w:tabs>
          <w:tab w:val="left" w:pos="390"/>
        </w:tabs>
        <w:ind w:left="390" w:hanging="420"/>
      </w:pPr>
    </w:lvl>
    <w:lvl w:ilvl="3" w:tentative="0">
      <w:start w:val="8"/>
      <w:numFmt w:val="japaneseCounting"/>
      <w:lvlText w:val="第%4章"/>
      <w:lvlJc w:val="left"/>
      <w:pPr>
        <w:tabs>
          <w:tab w:val="left" w:pos="1470"/>
        </w:tabs>
        <w:ind w:left="1470" w:hanging="1080"/>
      </w:pPr>
      <w:rPr>
        <w:rFonts w:hint="eastAsia"/>
      </w:rPr>
    </w:lvl>
    <w:lvl w:ilvl="4" w:tentative="0">
      <w:start w:val="1"/>
      <w:numFmt w:val="japaneseCounting"/>
      <w:lvlText w:val="%5、"/>
      <w:lvlJc w:val="left"/>
      <w:pPr>
        <w:tabs>
          <w:tab w:val="left" w:pos="1290"/>
        </w:tabs>
        <w:ind w:left="1290" w:hanging="480"/>
      </w:pPr>
      <w:rPr>
        <w:rFonts w:hint="default"/>
        <w:u w:val="none"/>
      </w:rPr>
    </w:lvl>
    <w:lvl w:ilvl="5" w:tentative="0">
      <w:start w:val="3"/>
      <w:numFmt w:val="bullet"/>
      <w:lvlText w:val=""/>
      <w:lvlJc w:val="left"/>
      <w:pPr>
        <w:tabs>
          <w:tab w:val="left" w:pos="1590"/>
        </w:tabs>
        <w:ind w:left="1590" w:hanging="360"/>
      </w:pPr>
      <w:rPr>
        <w:rFonts w:hint="default" w:ascii="Wingdings" w:hAnsi="Wingdings" w:eastAsia="宋体" w:cs="Times New Roman"/>
      </w:rPr>
    </w:lvl>
    <w:lvl w:ilvl="6" w:tentative="0">
      <w:start w:val="1"/>
      <w:numFmt w:val="decimal"/>
      <w:lvlText w:val="%7."/>
      <w:lvlJc w:val="left"/>
      <w:pPr>
        <w:tabs>
          <w:tab w:val="left" w:pos="2010"/>
        </w:tabs>
        <w:ind w:left="2010" w:hanging="360"/>
      </w:pPr>
      <w:rPr>
        <w:rFonts w:hint="default"/>
      </w:rPr>
    </w:lvl>
    <w:lvl w:ilvl="7" w:tentative="0">
      <w:start w:val="4"/>
      <w:numFmt w:val="decimal"/>
      <w:lvlText w:val="%8、"/>
      <w:lvlJc w:val="left"/>
      <w:pPr>
        <w:tabs>
          <w:tab w:val="left" w:pos="2430"/>
        </w:tabs>
        <w:ind w:left="2430" w:hanging="360"/>
      </w:pPr>
      <w:rPr>
        <w:rFonts w:hint="default" w:ascii="宋体" w:hAnsi="宋体"/>
        <w:b w:val="0"/>
      </w:rPr>
    </w:lvl>
    <w:lvl w:ilvl="8" w:tentative="0">
      <w:start w:val="1"/>
      <w:numFmt w:val="lowerRoman"/>
      <w:lvlText w:val="%9."/>
      <w:lvlJc w:val="right"/>
      <w:pPr>
        <w:tabs>
          <w:tab w:val="left" w:pos="2910"/>
        </w:tabs>
        <w:ind w:left="2910" w:hanging="420"/>
      </w:pPr>
    </w:lvl>
  </w:abstractNum>
  <w:abstractNum w:abstractNumId="4">
    <w:nsid w:val="53EC41AD"/>
    <w:multiLevelType w:val="singleLevel"/>
    <w:tmpl w:val="53EC41AD"/>
    <w:lvl w:ilvl="0" w:tentative="0">
      <w:start w:val="1"/>
      <w:numFmt w:val="decimal"/>
      <w:lvlText w:val="（%1）"/>
      <w:lvlJc w:val="left"/>
      <w:pPr>
        <w:tabs>
          <w:tab w:val="left" w:pos="720"/>
        </w:tabs>
        <w:ind w:left="720" w:hanging="720"/>
      </w:pPr>
      <w:rPr>
        <w:rFonts w:hint="eastAsia"/>
      </w:rPr>
    </w:lvl>
  </w:abstractNum>
  <w:num w:numId="1">
    <w:abstractNumId w:val="1"/>
  </w:num>
  <w:num w:numId="2">
    <w:abstractNumId w:val="2"/>
  </w:num>
  <w:num w:numId="3">
    <w:abstractNumId w:val="3"/>
  </w:num>
  <w:num w:numId="4">
    <w:abstractNumId w:val="0"/>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0"/>
  <w:documentProtection w:enforcement="0"/>
  <w:defaultTabStop w:val="420"/>
  <w:drawingGridHorizontalSpacing w:val="105"/>
  <w:drawingGridVerticalSpacing w:val="156"/>
  <w:displayHorizontalDrawingGridEvery w:val="2"/>
  <w:displayVerticalDrawingGridEvery w:val="2"/>
  <w:noPunctuationKerning w:val="1"/>
  <w:characterSpacingControl w:val="compressPunctuation"/>
  <w:compat>
    <w:spaceForUL/>
    <w:balanceSingleByteDoubleByteWidth/>
    <w:doNotLeaveBackslashAlon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2Q0YzY5NzFjNTM0MGViMDI1OTdjMTZiMzUzY2M0NDYifQ=="/>
  </w:docVars>
  <w:rsids>
    <w:rsidRoot w:val="00FB25EC"/>
    <w:rsid w:val="000003EC"/>
    <w:rsid w:val="0000130B"/>
    <w:rsid w:val="00001C26"/>
    <w:rsid w:val="000043BA"/>
    <w:rsid w:val="00004B36"/>
    <w:rsid w:val="000052A7"/>
    <w:rsid w:val="00006A20"/>
    <w:rsid w:val="000072C9"/>
    <w:rsid w:val="00007DA5"/>
    <w:rsid w:val="00010103"/>
    <w:rsid w:val="000113B6"/>
    <w:rsid w:val="000129C3"/>
    <w:rsid w:val="000141E9"/>
    <w:rsid w:val="00016074"/>
    <w:rsid w:val="000169F7"/>
    <w:rsid w:val="00021BF1"/>
    <w:rsid w:val="000223DE"/>
    <w:rsid w:val="000225AA"/>
    <w:rsid w:val="00023C67"/>
    <w:rsid w:val="0002628F"/>
    <w:rsid w:val="00026ADF"/>
    <w:rsid w:val="00026D3A"/>
    <w:rsid w:val="00027DC9"/>
    <w:rsid w:val="000306BC"/>
    <w:rsid w:val="00031D9C"/>
    <w:rsid w:val="000324BF"/>
    <w:rsid w:val="0003492F"/>
    <w:rsid w:val="00036017"/>
    <w:rsid w:val="00036F10"/>
    <w:rsid w:val="000418CD"/>
    <w:rsid w:val="000423AB"/>
    <w:rsid w:val="00042AB8"/>
    <w:rsid w:val="00043C34"/>
    <w:rsid w:val="00045020"/>
    <w:rsid w:val="000451EB"/>
    <w:rsid w:val="000468C6"/>
    <w:rsid w:val="00047247"/>
    <w:rsid w:val="00052507"/>
    <w:rsid w:val="00052527"/>
    <w:rsid w:val="0005263A"/>
    <w:rsid w:val="00054BB7"/>
    <w:rsid w:val="00054D22"/>
    <w:rsid w:val="0005565B"/>
    <w:rsid w:val="00055FA3"/>
    <w:rsid w:val="00056B70"/>
    <w:rsid w:val="00061187"/>
    <w:rsid w:val="000616BB"/>
    <w:rsid w:val="0006188D"/>
    <w:rsid w:val="0006212D"/>
    <w:rsid w:val="0006226C"/>
    <w:rsid w:val="00063567"/>
    <w:rsid w:val="00064578"/>
    <w:rsid w:val="00064A58"/>
    <w:rsid w:val="0006557E"/>
    <w:rsid w:val="00065781"/>
    <w:rsid w:val="00065A9B"/>
    <w:rsid w:val="00066DEC"/>
    <w:rsid w:val="0006714A"/>
    <w:rsid w:val="00067849"/>
    <w:rsid w:val="0007059C"/>
    <w:rsid w:val="000707C4"/>
    <w:rsid w:val="000717C8"/>
    <w:rsid w:val="0007184C"/>
    <w:rsid w:val="00071B99"/>
    <w:rsid w:val="0007245B"/>
    <w:rsid w:val="00073365"/>
    <w:rsid w:val="00073B10"/>
    <w:rsid w:val="0007404B"/>
    <w:rsid w:val="00075228"/>
    <w:rsid w:val="00077F55"/>
    <w:rsid w:val="00080978"/>
    <w:rsid w:val="00080DFE"/>
    <w:rsid w:val="000825BC"/>
    <w:rsid w:val="0008287A"/>
    <w:rsid w:val="00082DC7"/>
    <w:rsid w:val="00083E90"/>
    <w:rsid w:val="000842AB"/>
    <w:rsid w:val="00084563"/>
    <w:rsid w:val="00084806"/>
    <w:rsid w:val="00085356"/>
    <w:rsid w:val="00085C2E"/>
    <w:rsid w:val="00085DC4"/>
    <w:rsid w:val="00086F3B"/>
    <w:rsid w:val="00087321"/>
    <w:rsid w:val="00087BEB"/>
    <w:rsid w:val="0009039C"/>
    <w:rsid w:val="000904BE"/>
    <w:rsid w:val="00091414"/>
    <w:rsid w:val="000925A4"/>
    <w:rsid w:val="000925E2"/>
    <w:rsid w:val="00093647"/>
    <w:rsid w:val="00093851"/>
    <w:rsid w:val="000941D2"/>
    <w:rsid w:val="00095F4C"/>
    <w:rsid w:val="00095F8D"/>
    <w:rsid w:val="00097A8A"/>
    <w:rsid w:val="000A0152"/>
    <w:rsid w:val="000A030B"/>
    <w:rsid w:val="000A0A17"/>
    <w:rsid w:val="000A2C21"/>
    <w:rsid w:val="000A2F22"/>
    <w:rsid w:val="000A4D91"/>
    <w:rsid w:val="000A6CDF"/>
    <w:rsid w:val="000A73D3"/>
    <w:rsid w:val="000A7926"/>
    <w:rsid w:val="000A7FBE"/>
    <w:rsid w:val="000B00AD"/>
    <w:rsid w:val="000B0971"/>
    <w:rsid w:val="000B0AEF"/>
    <w:rsid w:val="000B1E4C"/>
    <w:rsid w:val="000B2A42"/>
    <w:rsid w:val="000B2B57"/>
    <w:rsid w:val="000B33A7"/>
    <w:rsid w:val="000B3F77"/>
    <w:rsid w:val="000B48FB"/>
    <w:rsid w:val="000B59AA"/>
    <w:rsid w:val="000B69B1"/>
    <w:rsid w:val="000B6FC3"/>
    <w:rsid w:val="000B7C48"/>
    <w:rsid w:val="000B7EFB"/>
    <w:rsid w:val="000C05FC"/>
    <w:rsid w:val="000C19DD"/>
    <w:rsid w:val="000C1C60"/>
    <w:rsid w:val="000C1D92"/>
    <w:rsid w:val="000C1E45"/>
    <w:rsid w:val="000C29FE"/>
    <w:rsid w:val="000C6191"/>
    <w:rsid w:val="000C7321"/>
    <w:rsid w:val="000D0A71"/>
    <w:rsid w:val="000D0E6D"/>
    <w:rsid w:val="000D188D"/>
    <w:rsid w:val="000D1D7C"/>
    <w:rsid w:val="000D2DAA"/>
    <w:rsid w:val="000D323D"/>
    <w:rsid w:val="000D38BF"/>
    <w:rsid w:val="000D3AFB"/>
    <w:rsid w:val="000D43CF"/>
    <w:rsid w:val="000D519E"/>
    <w:rsid w:val="000D66EC"/>
    <w:rsid w:val="000D6A17"/>
    <w:rsid w:val="000E03F3"/>
    <w:rsid w:val="000E0FC9"/>
    <w:rsid w:val="000E30DA"/>
    <w:rsid w:val="000E31DA"/>
    <w:rsid w:val="000E4204"/>
    <w:rsid w:val="000E4596"/>
    <w:rsid w:val="000E4D6C"/>
    <w:rsid w:val="000E5745"/>
    <w:rsid w:val="000E67AB"/>
    <w:rsid w:val="000E6973"/>
    <w:rsid w:val="000E6EE6"/>
    <w:rsid w:val="000E7D71"/>
    <w:rsid w:val="000F0DDA"/>
    <w:rsid w:val="000F0DFC"/>
    <w:rsid w:val="000F552C"/>
    <w:rsid w:val="000F564E"/>
    <w:rsid w:val="000F5755"/>
    <w:rsid w:val="000F5B04"/>
    <w:rsid w:val="000F7B51"/>
    <w:rsid w:val="000F7CEB"/>
    <w:rsid w:val="00100D50"/>
    <w:rsid w:val="0010103F"/>
    <w:rsid w:val="00101FE1"/>
    <w:rsid w:val="00102F3A"/>
    <w:rsid w:val="00103152"/>
    <w:rsid w:val="0010344C"/>
    <w:rsid w:val="00104DBB"/>
    <w:rsid w:val="00105CB6"/>
    <w:rsid w:val="001073A2"/>
    <w:rsid w:val="001076DF"/>
    <w:rsid w:val="001104AA"/>
    <w:rsid w:val="00111327"/>
    <w:rsid w:val="001116F2"/>
    <w:rsid w:val="0011200B"/>
    <w:rsid w:val="00112325"/>
    <w:rsid w:val="0011348C"/>
    <w:rsid w:val="00114C16"/>
    <w:rsid w:val="00115261"/>
    <w:rsid w:val="00115AFB"/>
    <w:rsid w:val="00117742"/>
    <w:rsid w:val="00117BAF"/>
    <w:rsid w:val="00120452"/>
    <w:rsid w:val="001224F1"/>
    <w:rsid w:val="0012257E"/>
    <w:rsid w:val="00122D87"/>
    <w:rsid w:val="001234B3"/>
    <w:rsid w:val="001240E4"/>
    <w:rsid w:val="001245E1"/>
    <w:rsid w:val="00125219"/>
    <w:rsid w:val="001255EE"/>
    <w:rsid w:val="001268B0"/>
    <w:rsid w:val="00126C2E"/>
    <w:rsid w:val="00126F63"/>
    <w:rsid w:val="0012740B"/>
    <w:rsid w:val="00130B03"/>
    <w:rsid w:val="00132028"/>
    <w:rsid w:val="0013291C"/>
    <w:rsid w:val="00133DB6"/>
    <w:rsid w:val="00134264"/>
    <w:rsid w:val="00134C00"/>
    <w:rsid w:val="00135568"/>
    <w:rsid w:val="00137DA5"/>
    <w:rsid w:val="00140415"/>
    <w:rsid w:val="00140E9F"/>
    <w:rsid w:val="00141A1E"/>
    <w:rsid w:val="00141E86"/>
    <w:rsid w:val="00142B2F"/>
    <w:rsid w:val="0014368E"/>
    <w:rsid w:val="001449C2"/>
    <w:rsid w:val="001455D5"/>
    <w:rsid w:val="001461FB"/>
    <w:rsid w:val="00147B2D"/>
    <w:rsid w:val="00147BA8"/>
    <w:rsid w:val="00150B16"/>
    <w:rsid w:val="00150F05"/>
    <w:rsid w:val="00151172"/>
    <w:rsid w:val="001515B6"/>
    <w:rsid w:val="001515C7"/>
    <w:rsid w:val="00151BCB"/>
    <w:rsid w:val="001524E3"/>
    <w:rsid w:val="00152C6E"/>
    <w:rsid w:val="00152F3E"/>
    <w:rsid w:val="0015319F"/>
    <w:rsid w:val="00153DEC"/>
    <w:rsid w:val="00153FF3"/>
    <w:rsid w:val="00154C7B"/>
    <w:rsid w:val="001552CF"/>
    <w:rsid w:val="0015560D"/>
    <w:rsid w:val="001565B3"/>
    <w:rsid w:val="00156832"/>
    <w:rsid w:val="0015704F"/>
    <w:rsid w:val="00160148"/>
    <w:rsid w:val="00160A83"/>
    <w:rsid w:val="00160CB0"/>
    <w:rsid w:val="00161C34"/>
    <w:rsid w:val="00162180"/>
    <w:rsid w:val="00162184"/>
    <w:rsid w:val="00162596"/>
    <w:rsid w:val="00162848"/>
    <w:rsid w:val="001630FA"/>
    <w:rsid w:val="00163394"/>
    <w:rsid w:val="001643A4"/>
    <w:rsid w:val="00164E48"/>
    <w:rsid w:val="00165251"/>
    <w:rsid w:val="001657E0"/>
    <w:rsid w:val="00166347"/>
    <w:rsid w:val="00166A16"/>
    <w:rsid w:val="00166E3E"/>
    <w:rsid w:val="00170865"/>
    <w:rsid w:val="001712B4"/>
    <w:rsid w:val="001717BF"/>
    <w:rsid w:val="001743C3"/>
    <w:rsid w:val="00174AF1"/>
    <w:rsid w:val="00175610"/>
    <w:rsid w:val="00176173"/>
    <w:rsid w:val="0017730F"/>
    <w:rsid w:val="001802DA"/>
    <w:rsid w:val="00180F64"/>
    <w:rsid w:val="001821D9"/>
    <w:rsid w:val="00182323"/>
    <w:rsid w:val="0018271E"/>
    <w:rsid w:val="00182733"/>
    <w:rsid w:val="0018306B"/>
    <w:rsid w:val="00184062"/>
    <w:rsid w:val="001869DD"/>
    <w:rsid w:val="00187736"/>
    <w:rsid w:val="00187C90"/>
    <w:rsid w:val="001907E0"/>
    <w:rsid w:val="00190D07"/>
    <w:rsid w:val="00192396"/>
    <w:rsid w:val="001940D6"/>
    <w:rsid w:val="00197213"/>
    <w:rsid w:val="0019741D"/>
    <w:rsid w:val="001A00F9"/>
    <w:rsid w:val="001A03B9"/>
    <w:rsid w:val="001A0559"/>
    <w:rsid w:val="001A0E3F"/>
    <w:rsid w:val="001A14B5"/>
    <w:rsid w:val="001A278D"/>
    <w:rsid w:val="001A3311"/>
    <w:rsid w:val="001A41AF"/>
    <w:rsid w:val="001A6419"/>
    <w:rsid w:val="001A7849"/>
    <w:rsid w:val="001A7B80"/>
    <w:rsid w:val="001B0BD2"/>
    <w:rsid w:val="001B104B"/>
    <w:rsid w:val="001B31DF"/>
    <w:rsid w:val="001B4756"/>
    <w:rsid w:val="001B4A42"/>
    <w:rsid w:val="001B4A6D"/>
    <w:rsid w:val="001B51EA"/>
    <w:rsid w:val="001B5FA5"/>
    <w:rsid w:val="001B6D1F"/>
    <w:rsid w:val="001B709F"/>
    <w:rsid w:val="001C05B0"/>
    <w:rsid w:val="001C26D8"/>
    <w:rsid w:val="001C389D"/>
    <w:rsid w:val="001C42B1"/>
    <w:rsid w:val="001C5236"/>
    <w:rsid w:val="001C5976"/>
    <w:rsid w:val="001C5A13"/>
    <w:rsid w:val="001C680D"/>
    <w:rsid w:val="001C780C"/>
    <w:rsid w:val="001C7DEE"/>
    <w:rsid w:val="001D001F"/>
    <w:rsid w:val="001D2CE5"/>
    <w:rsid w:val="001D5128"/>
    <w:rsid w:val="001D5EB4"/>
    <w:rsid w:val="001D7985"/>
    <w:rsid w:val="001E01C2"/>
    <w:rsid w:val="001E01F7"/>
    <w:rsid w:val="001E0350"/>
    <w:rsid w:val="001E175A"/>
    <w:rsid w:val="001E3F93"/>
    <w:rsid w:val="001E51E5"/>
    <w:rsid w:val="001E62CD"/>
    <w:rsid w:val="001E644B"/>
    <w:rsid w:val="001E6810"/>
    <w:rsid w:val="001E74B1"/>
    <w:rsid w:val="001E7600"/>
    <w:rsid w:val="001F0533"/>
    <w:rsid w:val="001F17AE"/>
    <w:rsid w:val="001F1E91"/>
    <w:rsid w:val="001F30AE"/>
    <w:rsid w:val="001F3857"/>
    <w:rsid w:val="001F3A62"/>
    <w:rsid w:val="001F679C"/>
    <w:rsid w:val="001F7EE5"/>
    <w:rsid w:val="00200D3C"/>
    <w:rsid w:val="00200E74"/>
    <w:rsid w:val="00201DFD"/>
    <w:rsid w:val="00202385"/>
    <w:rsid w:val="00202489"/>
    <w:rsid w:val="00204277"/>
    <w:rsid w:val="002045A7"/>
    <w:rsid w:val="00204DB5"/>
    <w:rsid w:val="00205BD2"/>
    <w:rsid w:val="00205EEB"/>
    <w:rsid w:val="002060E7"/>
    <w:rsid w:val="002062D5"/>
    <w:rsid w:val="00211BC0"/>
    <w:rsid w:val="002135CC"/>
    <w:rsid w:val="002135CF"/>
    <w:rsid w:val="00213665"/>
    <w:rsid w:val="002139C7"/>
    <w:rsid w:val="0021467C"/>
    <w:rsid w:val="00215310"/>
    <w:rsid w:val="00215FF8"/>
    <w:rsid w:val="00216558"/>
    <w:rsid w:val="002167AE"/>
    <w:rsid w:val="00217B64"/>
    <w:rsid w:val="00221DDD"/>
    <w:rsid w:val="002229C2"/>
    <w:rsid w:val="00222D57"/>
    <w:rsid w:val="00222EA5"/>
    <w:rsid w:val="0022439F"/>
    <w:rsid w:val="002243C5"/>
    <w:rsid w:val="00225C11"/>
    <w:rsid w:val="00227284"/>
    <w:rsid w:val="00227C64"/>
    <w:rsid w:val="00227D08"/>
    <w:rsid w:val="00227E45"/>
    <w:rsid w:val="00231AE5"/>
    <w:rsid w:val="00232698"/>
    <w:rsid w:val="002340D3"/>
    <w:rsid w:val="002343BA"/>
    <w:rsid w:val="00235CE5"/>
    <w:rsid w:val="00237421"/>
    <w:rsid w:val="00237AF3"/>
    <w:rsid w:val="00237DE8"/>
    <w:rsid w:val="00237E34"/>
    <w:rsid w:val="00240187"/>
    <w:rsid w:val="002407F6"/>
    <w:rsid w:val="00240CE6"/>
    <w:rsid w:val="00241183"/>
    <w:rsid w:val="00241385"/>
    <w:rsid w:val="00241CC1"/>
    <w:rsid w:val="0024293D"/>
    <w:rsid w:val="00243F99"/>
    <w:rsid w:val="00244497"/>
    <w:rsid w:val="00246261"/>
    <w:rsid w:val="002477D5"/>
    <w:rsid w:val="0025042E"/>
    <w:rsid w:val="00251559"/>
    <w:rsid w:val="002526D3"/>
    <w:rsid w:val="00253699"/>
    <w:rsid w:val="00253808"/>
    <w:rsid w:val="002546E3"/>
    <w:rsid w:val="00254886"/>
    <w:rsid w:val="002558B8"/>
    <w:rsid w:val="00255987"/>
    <w:rsid w:val="00255B4E"/>
    <w:rsid w:val="00255BBF"/>
    <w:rsid w:val="00260708"/>
    <w:rsid w:val="00261570"/>
    <w:rsid w:val="0026251F"/>
    <w:rsid w:val="002627B2"/>
    <w:rsid w:val="00263118"/>
    <w:rsid w:val="002632AF"/>
    <w:rsid w:val="00263F71"/>
    <w:rsid w:val="00264B49"/>
    <w:rsid w:val="00266C68"/>
    <w:rsid w:val="0026730E"/>
    <w:rsid w:val="00267FB3"/>
    <w:rsid w:val="0027068D"/>
    <w:rsid w:val="00272DF4"/>
    <w:rsid w:val="002744B4"/>
    <w:rsid w:val="002747E1"/>
    <w:rsid w:val="0027499C"/>
    <w:rsid w:val="002762BC"/>
    <w:rsid w:val="002800EA"/>
    <w:rsid w:val="00280454"/>
    <w:rsid w:val="0028204F"/>
    <w:rsid w:val="00284DAA"/>
    <w:rsid w:val="00286FF0"/>
    <w:rsid w:val="002904BC"/>
    <w:rsid w:val="0029190E"/>
    <w:rsid w:val="002932B6"/>
    <w:rsid w:val="00293B9D"/>
    <w:rsid w:val="00293E21"/>
    <w:rsid w:val="00295234"/>
    <w:rsid w:val="00295470"/>
    <w:rsid w:val="00297303"/>
    <w:rsid w:val="0029735D"/>
    <w:rsid w:val="00297B50"/>
    <w:rsid w:val="002A0D8E"/>
    <w:rsid w:val="002A1D57"/>
    <w:rsid w:val="002A1FB2"/>
    <w:rsid w:val="002A2EDD"/>
    <w:rsid w:val="002A3747"/>
    <w:rsid w:val="002A4ECE"/>
    <w:rsid w:val="002A5BDF"/>
    <w:rsid w:val="002A60AC"/>
    <w:rsid w:val="002A6174"/>
    <w:rsid w:val="002A71DC"/>
    <w:rsid w:val="002B1ADF"/>
    <w:rsid w:val="002B1AF8"/>
    <w:rsid w:val="002B3350"/>
    <w:rsid w:val="002B4CA8"/>
    <w:rsid w:val="002B4DD6"/>
    <w:rsid w:val="002B50F9"/>
    <w:rsid w:val="002B5FE9"/>
    <w:rsid w:val="002B768F"/>
    <w:rsid w:val="002B7CD7"/>
    <w:rsid w:val="002C116B"/>
    <w:rsid w:val="002C16DB"/>
    <w:rsid w:val="002C1A8A"/>
    <w:rsid w:val="002C20D9"/>
    <w:rsid w:val="002C214B"/>
    <w:rsid w:val="002C39BA"/>
    <w:rsid w:val="002C4082"/>
    <w:rsid w:val="002C4F2E"/>
    <w:rsid w:val="002C5936"/>
    <w:rsid w:val="002C5CDC"/>
    <w:rsid w:val="002C657C"/>
    <w:rsid w:val="002C6DCB"/>
    <w:rsid w:val="002C7FE5"/>
    <w:rsid w:val="002D2578"/>
    <w:rsid w:val="002D3A69"/>
    <w:rsid w:val="002D4398"/>
    <w:rsid w:val="002D4DD0"/>
    <w:rsid w:val="002D7B33"/>
    <w:rsid w:val="002E0B26"/>
    <w:rsid w:val="002E1179"/>
    <w:rsid w:val="002E24EE"/>
    <w:rsid w:val="002E38B8"/>
    <w:rsid w:val="002E3E16"/>
    <w:rsid w:val="002E4EAE"/>
    <w:rsid w:val="002E7075"/>
    <w:rsid w:val="002E7BC6"/>
    <w:rsid w:val="002E7F32"/>
    <w:rsid w:val="002F006D"/>
    <w:rsid w:val="002F021F"/>
    <w:rsid w:val="002F088F"/>
    <w:rsid w:val="002F0A10"/>
    <w:rsid w:val="002F19A3"/>
    <w:rsid w:val="002F200F"/>
    <w:rsid w:val="002F2144"/>
    <w:rsid w:val="002F2303"/>
    <w:rsid w:val="002F28A8"/>
    <w:rsid w:val="002F2BC1"/>
    <w:rsid w:val="002F493D"/>
    <w:rsid w:val="002F69F3"/>
    <w:rsid w:val="002F736B"/>
    <w:rsid w:val="00300BFD"/>
    <w:rsid w:val="003022AD"/>
    <w:rsid w:val="003030B1"/>
    <w:rsid w:val="003063B3"/>
    <w:rsid w:val="0030665C"/>
    <w:rsid w:val="00307D28"/>
    <w:rsid w:val="00311980"/>
    <w:rsid w:val="003124BB"/>
    <w:rsid w:val="00313F49"/>
    <w:rsid w:val="00315464"/>
    <w:rsid w:val="00315D88"/>
    <w:rsid w:val="00316A26"/>
    <w:rsid w:val="00320A47"/>
    <w:rsid w:val="00321722"/>
    <w:rsid w:val="00321A8D"/>
    <w:rsid w:val="003221B3"/>
    <w:rsid w:val="00322ABE"/>
    <w:rsid w:val="00323914"/>
    <w:rsid w:val="003239A0"/>
    <w:rsid w:val="003242FA"/>
    <w:rsid w:val="00326840"/>
    <w:rsid w:val="003272CE"/>
    <w:rsid w:val="003276D9"/>
    <w:rsid w:val="00327C31"/>
    <w:rsid w:val="00331A47"/>
    <w:rsid w:val="00331F33"/>
    <w:rsid w:val="00332DF3"/>
    <w:rsid w:val="003339C9"/>
    <w:rsid w:val="00333B56"/>
    <w:rsid w:val="003346EC"/>
    <w:rsid w:val="00340032"/>
    <w:rsid w:val="00340C2C"/>
    <w:rsid w:val="00340E0B"/>
    <w:rsid w:val="003412A5"/>
    <w:rsid w:val="00341419"/>
    <w:rsid w:val="00341C4C"/>
    <w:rsid w:val="00342783"/>
    <w:rsid w:val="003435F5"/>
    <w:rsid w:val="003438C0"/>
    <w:rsid w:val="003439AA"/>
    <w:rsid w:val="003445AD"/>
    <w:rsid w:val="0034604D"/>
    <w:rsid w:val="00347C97"/>
    <w:rsid w:val="003506AB"/>
    <w:rsid w:val="00351C0F"/>
    <w:rsid w:val="00352773"/>
    <w:rsid w:val="00352C87"/>
    <w:rsid w:val="00356B54"/>
    <w:rsid w:val="00356BAC"/>
    <w:rsid w:val="00360318"/>
    <w:rsid w:val="0036159A"/>
    <w:rsid w:val="00361BCF"/>
    <w:rsid w:val="003628EA"/>
    <w:rsid w:val="00362A97"/>
    <w:rsid w:val="0036348D"/>
    <w:rsid w:val="00365202"/>
    <w:rsid w:val="00365E13"/>
    <w:rsid w:val="00367B77"/>
    <w:rsid w:val="00370C06"/>
    <w:rsid w:val="00371159"/>
    <w:rsid w:val="00372320"/>
    <w:rsid w:val="00372EEB"/>
    <w:rsid w:val="00373473"/>
    <w:rsid w:val="00373867"/>
    <w:rsid w:val="00373D43"/>
    <w:rsid w:val="003758F0"/>
    <w:rsid w:val="0037704D"/>
    <w:rsid w:val="003801EE"/>
    <w:rsid w:val="003809EA"/>
    <w:rsid w:val="0038202B"/>
    <w:rsid w:val="003829AF"/>
    <w:rsid w:val="00385B9B"/>
    <w:rsid w:val="0039031A"/>
    <w:rsid w:val="0039100B"/>
    <w:rsid w:val="003911A4"/>
    <w:rsid w:val="00391514"/>
    <w:rsid w:val="00392278"/>
    <w:rsid w:val="00393610"/>
    <w:rsid w:val="003963FA"/>
    <w:rsid w:val="0039666E"/>
    <w:rsid w:val="003966DD"/>
    <w:rsid w:val="00396930"/>
    <w:rsid w:val="00396A97"/>
    <w:rsid w:val="00397254"/>
    <w:rsid w:val="00397C8E"/>
    <w:rsid w:val="00397F0A"/>
    <w:rsid w:val="003A0886"/>
    <w:rsid w:val="003A098B"/>
    <w:rsid w:val="003A1A49"/>
    <w:rsid w:val="003A2F64"/>
    <w:rsid w:val="003A3CAF"/>
    <w:rsid w:val="003A58E0"/>
    <w:rsid w:val="003A5AE9"/>
    <w:rsid w:val="003A5F00"/>
    <w:rsid w:val="003A6847"/>
    <w:rsid w:val="003A6A45"/>
    <w:rsid w:val="003A70FF"/>
    <w:rsid w:val="003A72C0"/>
    <w:rsid w:val="003B0D07"/>
    <w:rsid w:val="003B11EB"/>
    <w:rsid w:val="003B3587"/>
    <w:rsid w:val="003B4BBF"/>
    <w:rsid w:val="003B51B0"/>
    <w:rsid w:val="003B5501"/>
    <w:rsid w:val="003B55B9"/>
    <w:rsid w:val="003B5682"/>
    <w:rsid w:val="003B7454"/>
    <w:rsid w:val="003B7515"/>
    <w:rsid w:val="003B790C"/>
    <w:rsid w:val="003C0972"/>
    <w:rsid w:val="003C295A"/>
    <w:rsid w:val="003C2D9B"/>
    <w:rsid w:val="003C3F2D"/>
    <w:rsid w:val="003C417B"/>
    <w:rsid w:val="003C4A74"/>
    <w:rsid w:val="003C4D63"/>
    <w:rsid w:val="003C5901"/>
    <w:rsid w:val="003C5B32"/>
    <w:rsid w:val="003C5D19"/>
    <w:rsid w:val="003C5EA5"/>
    <w:rsid w:val="003C72EA"/>
    <w:rsid w:val="003C749E"/>
    <w:rsid w:val="003C75B9"/>
    <w:rsid w:val="003D1117"/>
    <w:rsid w:val="003D17AB"/>
    <w:rsid w:val="003D19E5"/>
    <w:rsid w:val="003D1F0E"/>
    <w:rsid w:val="003D319F"/>
    <w:rsid w:val="003D332F"/>
    <w:rsid w:val="003D3502"/>
    <w:rsid w:val="003D7745"/>
    <w:rsid w:val="003D78DA"/>
    <w:rsid w:val="003E01DE"/>
    <w:rsid w:val="003E0950"/>
    <w:rsid w:val="003E0961"/>
    <w:rsid w:val="003E124A"/>
    <w:rsid w:val="003E1AF0"/>
    <w:rsid w:val="003E29C6"/>
    <w:rsid w:val="003E2F08"/>
    <w:rsid w:val="003E4269"/>
    <w:rsid w:val="003E56C3"/>
    <w:rsid w:val="003E5816"/>
    <w:rsid w:val="003E6217"/>
    <w:rsid w:val="003F147C"/>
    <w:rsid w:val="003F1A35"/>
    <w:rsid w:val="003F1BB9"/>
    <w:rsid w:val="003F41D7"/>
    <w:rsid w:val="003F426D"/>
    <w:rsid w:val="003F44BC"/>
    <w:rsid w:val="003F58F7"/>
    <w:rsid w:val="003F654A"/>
    <w:rsid w:val="003F66E6"/>
    <w:rsid w:val="003F6877"/>
    <w:rsid w:val="00401B72"/>
    <w:rsid w:val="00401BC9"/>
    <w:rsid w:val="00403E06"/>
    <w:rsid w:val="00403E19"/>
    <w:rsid w:val="0040463E"/>
    <w:rsid w:val="00405DDE"/>
    <w:rsid w:val="00406591"/>
    <w:rsid w:val="0040758D"/>
    <w:rsid w:val="004076AF"/>
    <w:rsid w:val="00407FFC"/>
    <w:rsid w:val="00411A3F"/>
    <w:rsid w:val="004127CC"/>
    <w:rsid w:val="00412AC6"/>
    <w:rsid w:val="0041314B"/>
    <w:rsid w:val="004134F5"/>
    <w:rsid w:val="00413D6D"/>
    <w:rsid w:val="0041502E"/>
    <w:rsid w:val="00415115"/>
    <w:rsid w:val="00415C71"/>
    <w:rsid w:val="0041645E"/>
    <w:rsid w:val="0041663B"/>
    <w:rsid w:val="00417285"/>
    <w:rsid w:val="00420296"/>
    <w:rsid w:val="00420945"/>
    <w:rsid w:val="00420BE1"/>
    <w:rsid w:val="00421DF5"/>
    <w:rsid w:val="00422207"/>
    <w:rsid w:val="004224E8"/>
    <w:rsid w:val="00422CFA"/>
    <w:rsid w:val="00422EAE"/>
    <w:rsid w:val="0042320F"/>
    <w:rsid w:val="0042384B"/>
    <w:rsid w:val="00423A4E"/>
    <w:rsid w:val="00423BA7"/>
    <w:rsid w:val="004242E0"/>
    <w:rsid w:val="00424E78"/>
    <w:rsid w:val="004259A5"/>
    <w:rsid w:val="00425FD8"/>
    <w:rsid w:val="00426D4F"/>
    <w:rsid w:val="004278BE"/>
    <w:rsid w:val="00431859"/>
    <w:rsid w:val="00433259"/>
    <w:rsid w:val="00435C36"/>
    <w:rsid w:val="00435E65"/>
    <w:rsid w:val="004374DF"/>
    <w:rsid w:val="00442CE2"/>
    <w:rsid w:val="00443B22"/>
    <w:rsid w:val="00446108"/>
    <w:rsid w:val="004465F8"/>
    <w:rsid w:val="00447AF6"/>
    <w:rsid w:val="004536ED"/>
    <w:rsid w:val="004547CE"/>
    <w:rsid w:val="00454E10"/>
    <w:rsid w:val="00455AE2"/>
    <w:rsid w:val="0045734F"/>
    <w:rsid w:val="00460DBB"/>
    <w:rsid w:val="00460EB2"/>
    <w:rsid w:val="0046187C"/>
    <w:rsid w:val="0046204A"/>
    <w:rsid w:val="004622FB"/>
    <w:rsid w:val="00462A88"/>
    <w:rsid w:val="00462EC8"/>
    <w:rsid w:val="0046301D"/>
    <w:rsid w:val="00464E32"/>
    <w:rsid w:val="00465F62"/>
    <w:rsid w:val="0046628A"/>
    <w:rsid w:val="004669E0"/>
    <w:rsid w:val="0047382C"/>
    <w:rsid w:val="00473E93"/>
    <w:rsid w:val="00474146"/>
    <w:rsid w:val="00474E08"/>
    <w:rsid w:val="00475982"/>
    <w:rsid w:val="004763EB"/>
    <w:rsid w:val="004811DF"/>
    <w:rsid w:val="00483CA7"/>
    <w:rsid w:val="00484058"/>
    <w:rsid w:val="00484341"/>
    <w:rsid w:val="00484E54"/>
    <w:rsid w:val="00484F8F"/>
    <w:rsid w:val="00485D66"/>
    <w:rsid w:val="00485F6E"/>
    <w:rsid w:val="00486469"/>
    <w:rsid w:val="00490F8B"/>
    <w:rsid w:val="00491F7D"/>
    <w:rsid w:val="004920D6"/>
    <w:rsid w:val="004931C2"/>
    <w:rsid w:val="004957CC"/>
    <w:rsid w:val="00495ED2"/>
    <w:rsid w:val="00497038"/>
    <w:rsid w:val="00497681"/>
    <w:rsid w:val="004A0D27"/>
    <w:rsid w:val="004A1A14"/>
    <w:rsid w:val="004A1B2C"/>
    <w:rsid w:val="004A1C21"/>
    <w:rsid w:val="004A2BCA"/>
    <w:rsid w:val="004A39B4"/>
    <w:rsid w:val="004A3D6B"/>
    <w:rsid w:val="004A41BC"/>
    <w:rsid w:val="004A466C"/>
    <w:rsid w:val="004A48A9"/>
    <w:rsid w:val="004A51C4"/>
    <w:rsid w:val="004A5435"/>
    <w:rsid w:val="004A5440"/>
    <w:rsid w:val="004A5A8C"/>
    <w:rsid w:val="004A5AC1"/>
    <w:rsid w:val="004A6C2B"/>
    <w:rsid w:val="004A7E63"/>
    <w:rsid w:val="004A7F38"/>
    <w:rsid w:val="004B01AA"/>
    <w:rsid w:val="004B0377"/>
    <w:rsid w:val="004B26EA"/>
    <w:rsid w:val="004B2AC1"/>
    <w:rsid w:val="004B34B6"/>
    <w:rsid w:val="004B3B0B"/>
    <w:rsid w:val="004B3DDE"/>
    <w:rsid w:val="004B43B0"/>
    <w:rsid w:val="004B5397"/>
    <w:rsid w:val="004B62BA"/>
    <w:rsid w:val="004B7300"/>
    <w:rsid w:val="004B7B94"/>
    <w:rsid w:val="004B7C94"/>
    <w:rsid w:val="004B7CEC"/>
    <w:rsid w:val="004C0C5F"/>
    <w:rsid w:val="004C15B3"/>
    <w:rsid w:val="004C3166"/>
    <w:rsid w:val="004C5348"/>
    <w:rsid w:val="004C6D7C"/>
    <w:rsid w:val="004C6F2F"/>
    <w:rsid w:val="004D0697"/>
    <w:rsid w:val="004D0828"/>
    <w:rsid w:val="004D123A"/>
    <w:rsid w:val="004D3E2A"/>
    <w:rsid w:val="004D468F"/>
    <w:rsid w:val="004D5E9F"/>
    <w:rsid w:val="004D7457"/>
    <w:rsid w:val="004E1E47"/>
    <w:rsid w:val="004E4CF8"/>
    <w:rsid w:val="004E5220"/>
    <w:rsid w:val="004E5B81"/>
    <w:rsid w:val="004E6A56"/>
    <w:rsid w:val="004F072A"/>
    <w:rsid w:val="004F0C9D"/>
    <w:rsid w:val="004F14B4"/>
    <w:rsid w:val="004F1E4C"/>
    <w:rsid w:val="004F1EB8"/>
    <w:rsid w:val="004F2E8B"/>
    <w:rsid w:val="004F3B90"/>
    <w:rsid w:val="004F6836"/>
    <w:rsid w:val="004F73E2"/>
    <w:rsid w:val="005007AC"/>
    <w:rsid w:val="00501AF5"/>
    <w:rsid w:val="00501C39"/>
    <w:rsid w:val="00501CF2"/>
    <w:rsid w:val="0050285E"/>
    <w:rsid w:val="005030C6"/>
    <w:rsid w:val="005033A2"/>
    <w:rsid w:val="00503DB4"/>
    <w:rsid w:val="005055D7"/>
    <w:rsid w:val="005058AE"/>
    <w:rsid w:val="00510359"/>
    <w:rsid w:val="00510EAB"/>
    <w:rsid w:val="00511E15"/>
    <w:rsid w:val="00512B00"/>
    <w:rsid w:val="005130C1"/>
    <w:rsid w:val="00513E21"/>
    <w:rsid w:val="00514355"/>
    <w:rsid w:val="005145A9"/>
    <w:rsid w:val="005146B3"/>
    <w:rsid w:val="0051471C"/>
    <w:rsid w:val="00515E02"/>
    <w:rsid w:val="00520812"/>
    <w:rsid w:val="005227BD"/>
    <w:rsid w:val="00522F92"/>
    <w:rsid w:val="005236AF"/>
    <w:rsid w:val="00523E02"/>
    <w:rsid w:val="005254C2"/>
    <w:rsid w:val="0052582A"/>
    <w:rsid w:val="0053005D"/>
    <w:rsid w:val="00530E34"/>
    <w:rsid w:val="00531E2C"/>
    <w:rsid w:val="00533631"/>
    <w:rsid w:val="00533676"/>
    <w:rsid w:val="005345B9"/>
    <w:rsid w:val="00534945"/>
    <w:rsid w:val="005349CA"/>
    <w:rsid w:val="00535A64"/>
    <w:rsid w:val="00535D1C"/>
    <w:rsid w:val="00535D5B"/>
    <w:rsid w:val="005371B9"/>
    <w:rsid w:val="00540BA0"/>
    <w:rsid w:val="00540CC4"/>
    <w:rsid w:val="0054550D"/>
    <w:rsid w:val="005460A6"/>
    <w:rsid w:val="00546179"/>
    <w:rsid w:val="00546EAA"/>
    <w:rsid w:val="00550288"/>
    <w:rsid w:val="00550CA9"/>
    <w:rsid w:val="00550ECD"/>
    <w:rsid w:val="00552BD2"/>
    <w:rsid w:val="005533C1"/>
    <w:rsid w:val="00553B92"/>
    <w:rsid w:val="00554D5E"/>
    <w:rsid w:val="00555248"/>
    <w:rsid w:val="00555BA6"/>
    <w:rsid w:val="00555C28"/>
    <w:rsid w:val="00556FA6"/>
    <w:rsid w:val="00557941"/>
    <w:rsid w:val="00562BFF"/>
    <w:rsid w:val="005643C6"/>
    <w:rsid w:val="005651D2"/>
    <w:rsid w:val="00565383"/>
    <w:rsid w:val="00565411"/>
    <w:rsid w:val="005660DC"/>
    <w:rsid w:val="00566DFB"/>
    <w:rsid w:val="00567CE6"/>
    <w:rsid w:val="00570BA4"/>
    <w:rsid w:val="00571C94"/>
    <w:rsid w:val="00573119"/>
    <w:rsid w:val="00573F51"/>
    <w:rsid w:val="00574BD9"/>
    <w:rsid w:val="00575F22"/>
    <w:rsid w:val="00576CB3"/>
    <w:rsid w:val="00577196"/>
    <w:rsid w:val="0058054B"/>
    <w:rsid w:val="00581087"/>
    <w:rsid w:val="00581C22"/>
    <w:rsid w:val="005822C6"/>
    <w:rsid w:val="005827C8"/>
    <w:rsid w:val="00582A5F"/>
    <w:rsid w:val="005830B3"/>
    <w:rsid w:val="00583EE6"/>
    <w:rsid w:val="00584A0B"/>
    <w:rsid w:val="00584F5E"/>
    <w:rsid w:val="00585CF3"/>
    <w:rsid w:val="005864F5"/>
    <w:rsid w:val="0058755B"/>
    <w:rsid w:val="0058780F"/>
    <w:rsid w:val="00590912"/>
    <w:rsid w:val="00591E4F"/>
    <w:rsid w:val="00592A8B"/>
    <w:rsid w:val="00592ACE"/>
    <w:rsid w:val="00592E7B"/>
    <w:rsid w:val="00593243"/>
    <w:rsid w:val="00593485"/>
    <w:rsid w:val="00595C7A"/>
    <w:rsid w:val="00595E41"/>
    <w:rsid w:val="00596DBA"/>
    <w:rsid w:val="00597AAE"/>
    <w:rsid w:val="005A0397"/>
    <w:rsid w:val="005A1D2D"/>
    <w:rsid w:val="005A2D5C"/>
    <w:rsid w:val="005A3505"/>
    <w:rsid w:val="005A49EF"/>
    <w:rsid w:val="005A6CB1"/>
    <w:rsid w:val="005A7435"/>
    <w:rsid w:val="005A78FA"/>
    <w:rsid w:val="005A7987"/>
    <w:rsid w:val="005A7B03"/>
    <w:rsid w:val="005B0405"/>
    <w:rsid w:val="005B1201"/>
    <w:rsid w:val="005B1AA6"/>
    <w:rsid w:val="005B40B8"/>
    <w:rsid w:val="005B48B1"/>
    <w:rsid w:val="005B49AC"/>
    <w:rsid w:val="005B5CF2"/>
    <w:rsid w:val="005B61BC"/>
    <w:rsid w:val="005B6C6B"/>
    <w:rsid w:val="005B74AF"/>
    <w:rsid w:val="005B7563"/>
    <w:rsid w:val="005B7A80"/>
    <w:rsid w:val="005B7C04"/>
    <w:rsid w:val="005C090B"/>
    <w:rsid w:val="005C1821"/>
    <w:rsid w:val="005C24C4"/>
    <w:rsid w:val="005C3393"/>
    <w:rsid w:val="005C3FE5"/>
    <w:rsid w:val="005C5213"/>
    <w:rsid w:val="005C566B"/>
    <w:rsid w:val="005C5DD2"/>
    <w:rsid w:val="005D00A4"/>
    <w:rsid w:val="005D0520"/>
    <w:rsid w:val="005D12B9"/>
    <w:rsid w:val="005D2032"/>
    <w:rsid w:val="005D2E5B"/>
    <w:rsid w:val="005D32A6"/>
    <w:rsid w:val="005D3AD3"/>
    <w:rsid w:val="005D484E"/>
    <w:rsid w:val="005D4CCA"/>
    <w:rsid w:val="005D4D3E"/>
    <w:rsid w:val="005D615B"/>
    <w:rsid w:val="005D7F96"/>
    <w:rsid w:val="005E011C"/>
    <w:rsid w:val="005E054B"/>
    <w:rsid w:val="005E0B73"/>
    <w:rsid w:val="005E1836"/>
    <w:rsid w:val="005E2B54"/>
    <w:rsid w:val="005E3981"/>
    <w:rsid w:val="005E4EE7"/>
    <w:rsid w:val="005E5145"/>
    <w:rsid w:val="005E6C91"/>
    <w:rsid w:val="005E73B9"/>
    <w:rsid w:val="005E7692"/>
    <w:rsid w:val="005E7E03"/>
    <w:rsid w:val="005F16DC"/>
    <w:rsid w:val="005F42BA"/>
    <w:rsid w:val="005F4D0F"/>
    <w:rsid w:val="005F5A99"/>
    <w:rsid w:val="005F5AF5"/>
    <w:rsid w:val="005F6BBA"/>
    <w:rsid w:val="005F6CD7"/>
    <w:rsid w:val="00601770"/>
    <w:rsid w:val="00602516"/>
    <w:rsid w:val="00602947"/>
    <w:rsid w:val="00603251"/>
    <w:rsid w:val="00604A58"/>
    <w:rsid w:val="00604A9C"/>
    <w:rsid w:val="00607A6B"/>
    <w:rsid w:val="00607C9F"/>
    <w:rsid w:val="006102B6"/>
    <w:rsid w:val="0061084C"/>
    <w:rsid w:val="00610BFF"/>
    <w:rsid w:val="00611D7B"/>
    <w:rsid w:val="0061323C"/>
    <w:rsid w:val="006134F5"/>
    <w:rsid w:val="00613526"/>
    <w:rsid w:val="0061367C"/>
    <w:rsid w:val="00614200"/>
    <w:rsid w:val="00616D7A"/>
    <w:rsid w:val="0061724D"/>
    <w:rsid w:val="00617CD0"/>
    <w:rsid w:val="00617CDA"/>
    <w:rsid w:val="00617F5C"/>
    <w:rsid w:val="006204BD"/>
    <w:rsid w:val="006213C3"/>
    <w:rsid w:val="00622D9B"/>
    <w:rsid w:val="00623EB5"/>
    <w:rsid w:val="00624872"/>
    <w:rsid w:val="00624C30"/>
    <w:rsid w:val="00624C67"/>
    <w:rsid w:val="006308F2"/>
    <w:rsid w:val="006316A2"/>
    <w:rsid w:val="00632B80"/>
    <w:rsid w:val="0063341C"/>
    <w:rsid w:val="00633A81"/>
    <w:rsid w:val="0063409E"/>
    <w:rsid w:val="00635728"/>
    <w:rsid w:val="00635B53"/>
    <w:rsid w:val="00636F07"/>
    <w:rsid w:val="00637FAD"/>
    <w:rsid w:val="006402BC"/>
    <w:rsid w:val="0064102E"/>
    <w:rsid w:val="00641C35"/>
    <w:rsid w:val="00643F2B"/>
    <w:rsid w:val="00645807"/>
    <w:rsid w:val="0064601C"/>
    <w:rsid w:val="006461D7"/>
    <w:rsid w:val="0064687E"/>
    <w:rsid w:val="00647AC5"/>
    <w:rsid w:val="00647F6E"/>
    <w:rsid w:val="006503B2"/>
    <w:rsid w:val="006503F0"/>
    <w:rsid w:val="0065266F"/>
    <w:rsid w:val="00652C23"/>
    <w:rsid w:val="0065308C"/>
    <w:rsid w:val="0065386A"/>
    <w:rsid w:val="00654ACA"/>
    <w:rsid w:val="006553DA"/>
    <w:rsid w:val="0065554D"/>
    <w:rsid w:val="00655BA1"/>
    <w:rsid w:val="006562F5"/>
    <w:rsid w:val="006577CC"/>
    <w:rsid w:val="00657A9F"/>
    <w:rsid w:val="00660010"/>
    <w:rsid w:val="006607E2"/>
    <w:rsid w:val="00660F13"/>
    <w:rsid w:val="00661139"/>
    <w:rsid w:val="00665CE4"/>
    <w:rsid w:val="0066706D"/>
    <w:rsid w:val="0066772E"/>
    <w:rsid w:val="00670417"/>
    <w:rsid w:val="00671018"/>
    <w:rsid w:val="006729E7"/>
    <w:rsid w:val="00673187"/>
    <w:rsid w:val="00673CE4"/>
    <w:rsid w:val="00674D93"/>
    <w:rsid w:val="006768F3"/>
    <w:rsid w:val="00677B48"/>
    <w:rsid w:val="00680BFF"/>
    <w:rsid w:val="0068192A"/>
    <w:rsid w:val="006822C0"/>
    <w:rsid w:val="0068413F"/>
    <w:rsid w:val="0068704F"/>
    <w:rsid w:val="006870FF"/>
    <w:rsid w:val="00687459"/>
    <w:rsid w:val="006878CD"/>
    <w:rsid w:val="00690167"/>
    <w:rsid w:val="00690627"/>
    <w:rsid w:val="00690A17"/>
    <w:rsid w:val="00691750"/>
    <w:rsid w:val="00691DE0"/>
    <w:rsid w:val="00692970"/>
    <w:rsid w:val="00693634"/>
    <w:rsid w:val="00694A0A"/>
    <w:rsid w:val="00694E46"/>
    <w:rsid w:val="006953D1"/>
    <w:rsid w:val="0069630B"/>
    <w:rsid w:val="006A0DF4"/>
    <w:rsid w:val="006A1DC1"/>
    <w:rsid w:val="006A205A"/>
    <w:rsid w:val="006A2F16"/>
    <w:rsid w:val="006A3205"/>
    <w:rsid w:val="006A3388"/>
    <w:rsid w:val="006A456C"/>
    <w:rsid w:val="006A47DC"/>
    <w:rsid w:val="006A6B5E"/>
    <w:rsid w:val="006A77B2"/>
    <w:rsid w:val="006A798F"/>
    <w:rsid w:val="006A7A2A"/>
    <w:rsid w:val="006A7CAA"/>
    <w:rsid w:val="006B17B5"/>
    <w:rsid w:val="006B1955"/>
    <w:rsid w:val="006B26FD"/>
    <w:rsid w:val="006B2AF8"/>
    <w:rsid w:val="006B2C59"/>
    <w:rsid w:val="006B3488"/>
    <w:rsid w:val="006B353E"/>
    <w:rsid w:val="006B42B6"/>
    <w:rsid w:val="006B42BB"/>
    <w:rsid w:val="006B55DE"/>
    <w:rsid w:val="006B5E2E"/>
    <w:rsid w:val="006B6443"/>
    <w:rsid w:val="006B697A"/>
    <w:rsid w:val="006B761C"/>
    <w:rsid w:val="006B7756"/>
    <w:rsid w:val="006B7AB3"/>
    <w:rsid w:val="006C01DA"/>
    <w:rsid w:val="006C0CDD"/>
    <w:rsid w:val="006C2294"/>
    <w:rsid w:val="006C2AB4"/>
    <w:rsid w:val="006C3A8E"/>
    <w:rsid w:val="006C3F48"/>
    <w:rsid w:val="006C58EA"/>
    <w:rsid w:val="006C5F10"/>
    <w:rsid w:val="006C7F07"/>
    <w:rsid w:val="006D0D03"/>
    <w:rsid w:val="006D0DA6"/>
    <w:rsid w:val="006D2B83"/>
    <w:rsid w:val="006D4739"/>
    <w:rsid w:val="006D47B0"/>
    <w:rsid w:val="006D5A3C"/>
    <w:rsid w:val="006D6C9F"/>
    <w:rsid w:val="006E0A5E"/>
    <w:rsid w:val="006E1231"/>
    <w:rsid w:val="006E24E4"/>
    <w:rsid w:val="006E2CF7"/>
    <w:rsid w:val="006E537E"/>
    <w:rsid w:val="006F0BB7"/>
    <w:rsid w:val="006F1550"/>
    <w:rsid w:val="006F1C55"/>
    <w:rsid w:val="006F1E0B"/>
    <w:rsid w:val="006F2BB2"/>
    <w:rsid w:val="006F3908"/>
    <w:rsid w:val="006F453C"/>
    <w:rsid w:val="006F45F9"/>
    <w:rsid w:val="006F5331"/>
    <w:rsid w:val="006F53F7"/>
    <w:rsid w:val="006F592A"/>
    <w:rsid w:val="006F6419"/>
    <w:rsid w:val="006F711C"/>
    <w:rsid w:val="006F7ACE"/>
    <w:rsid w:val="007008A6"/>
    <w:rsid w:val="00700F7B"/>
    <w:rsid w:val="00702A4C"/>
    <w:rsid w:val="007035C0"/>
    <w:rsid w:val="0070374E"/>
    <w:rsid w:val="00703C3D"/>
    <w:rsid w:val="00703FCC"/>
    <w:rsid w:val="00704229"/>
    <w:rsid w:val="00705276"/>
    <w:rsid w:val="00707224"/>
    <w:rsid w:val="00710E80"/>
    <w:rsid w:val="00713BE3"/>
    <w:rsid w:val="0071528D"/>
    <w:rsid w:val="00716014"/>
    <w:rsid w:val="0071648A"/>
    <w:rsid w:val="00717047"/>
    <w:rsid w:val="00717AC4"/>
    <w:rsid w:val="00722094"/>
    <w:rsid w:val="00722A60"/>
    <w:rsid w:val="007236A4"/>
    <w:rsid w:val="00723AF1"/>
    <w:rsid w:val="007247EC"/>
    <w:rsid w:val="00725EC2"/>
    <w:rsid w:val="007263B9"/>
    <w:rsid w:val="00726C21"/>
    <w:rsid w:val="00727324"/>
    <w:rsid w:val="00730351"/>
    <w:rsid w:val="00730824"/>
    <w:rsid w:val="00730894"/>
    <w:rsid w:val="00731133"/>
    <w:rsid w:val="00731454"/>
    <w:rsid w:val="00731ABD"/>
    <w:rsid w:val="00733373"/>
    <w:rsid w:val="007346F2"/>
    <w:rsid w:val="0073573E"/>
    <w:rsid w:val="0073600F"/>
    <w:rsid w:val="007362FB"/>
    <w:rsid w:val="0073667F"/>
    <w:rsid w:val="00736852"/>
    <w:rsid w:val="00736A49"/>
    <w:rsid w:val="00736D54"/>
    <w:rsid w:val="0073791A"/>
    <w:rsid w:val="00737A79"/>
    <w:rsid w:val="007404B3"/>
    <w:rsid w:val="00740AEB"/>
    <w:rsid w:val="00741E0A"/>
    <w:rsid w:val="00741EAE"/>
    <w:rsid w:val="007421F7"/>
    <w:rsid w:val="007424E9"/>
    <w:rsid w:val="0074299B"/>
    <w:rsid w:val="00743325"/>
    <w:rsid w:val="00743E46"/>
    <w:rsid w:val="007443CD"/>
    <w:rsid w:val="007448D9"/>
    <w:rsid w:val="00745BCA"/>
    <w:rsid w:val="00747DD0"/>
    <w:rsid w:val="00750333"/>
    <w:rsid w:val="00750E3A"/>
    <w:rsid w:val="00751612"/>
    <w:rsid w:val="007551C4"/>
    <w:rsid w:val="00755897"/>
    <w:rsid w:val="00756693"/>
    <w:rsid w:val="00756E02"/>
    <w:rsid w:val="00760172"/>
    <w:rsid w:val="00761EFE"/>
    <w:rsid w:val="0076256F"/>
    <w:rsid w:val="007644C4"/>
    <w:rsid w:val="00764BA2"/>
    <w:rsid w:val="0076557C"/>
    <w:rsid w:val="00766742"/>
    <w:rsid w:val="00766C2E"/>
    <w:rsid w:val="00766DF1"/>
    <w:rsid w:val="00766E72"/>
    <w:rsid w:val="0077017D"/>
    <w:rsid w:val="00771AA9"/>
    <w:rsid w:val="00774E35"/>
    <w:rsid w:val="007766F4"/>
    <w:rsid w:val="007820D0"/>
    <w:rsid w:val="007825C3"/>
    <w:rsid w:val="007825CF"/>
    <w:rsid w:val="00782AF8"/>
    <w:rsid w:val="00784310"/>
    <w:rsid w:val="007852CE"/>
    <w:rsid w:val="00785A81"/>
    <w:rsid w:val="00787523"/>
    <w:rsid w:val="0078752F"/>
    <w:rsid w:val="00787550"/>
    <w:rsid w:val="00787A94"/>
    <w:rsid w:val="00790633"/>
    <w:rsid w:val="007933C4"/>
    <w:rsid w:val="00793948"/>
    <w:rsid w:val="00793DBD"/>
    <w:rsid w:val="00793E2D"/>
    <w:rsid w:val="00793EAF"/>
    <w:rsid w:val="00794B4B"/>
    <w:rsid w:val="007958E8"/>
    <w:rsid w:val="007965C3"/>
    <w:rsid w:val="00796B95"/>
    <w:rsid w:val="00796EEB"/>
    <w:rsid w:val="0079728D"/>
    <w:rsid w:val="007977E4"/>
    <w:rsid w:val="00797F4F"/>
    <w:rsid w:val="007A0835"/>
    <w:rsid w:val="007A0AE2"/>
    <w:rsid w:val="007A0AFE"/>
    <w:rsid w:val="007A1477"/>
    <w:rsid w:val="007A1489"/>
    <w:rsid w:val="007A15FD"/>
    <w:rsid w:val="007A2119"/>
    <w:rsid w:val="007A2F40"/>
    <w:rsid w:val="007A4017"/>
    <w:rsid w:val="007A5273"/>
    <w:rsid w:val="007A5CCD"/>
    <w:rsid w:val="007A7575"/>
    <w:rsid w:val="007B0BD4"/>
    <w:rsid w:val="007B0C3C"/>
    <w:rsid w:val="007B36F3"/>
    <w:rsid w:val="007B382F"/>
    <w:rsid w:val="007B4820"/>
    <w:rsid w:val="007B5894"/>
    <w:rsid w:val="007B5AA2"/>
    <w:rsid w:val="007B679D"/>
    <w:rsid w:val="007B7230"/>
    <w:rsid w:val="007C0098"/>
    <w:rsid w:val="007C065F"/>
    <w:rsid w:val="007C0B3C"/>
    <w:rsid w:val="007C494A"/>
    <w:rsid w:val="007C4A9E"/>
    <w:rsid w:val="007C5582"/>
    <w:rsid w:val="007D13A4"/>
    <w:rsid w:val="007D14C5"/>
    <w:rsid w:val="007D26DF"/>
    <w:rsid w:val="007D2F8C"/>
    <w:rsid w:val="007D4006"/>
    <w:rsid w:val="007D4919"/>
    <w:rsid w:val="007D686C"/>
    <w:rsid w:val="007D767C"/>
    <w:rsid w:val="007D7B63"/>
    <w:rsid w:val="007E0637"/>
    <w:rsid w:val="007E121C"/>
    <w:rsid w:val="007E1FEB"/>
    <w:rsid w:val="007E207A"/>
    <w:rsid w:val="007E2C7D"/>
    <w:rsid w:val="007E5B87"/>
    <w:rsid w:val="007E6105"/>
    <w:rsid w:val="007E6D2C"/>
    <w:rsid w:val="007E7D8E"/>
    <w:rsid w:val="007F00BB"/>
    <w:rsid w:val="007F0119"/>
    <w:rsid w:val="007F2222"/>
    <w:rsid w:val="007F2E7D"/>
    <w:rsid w:val="007F694A"/>
    <w:rsid w:val="007F6BE7"/>
    <w:rsid w:val="008015ED"/>
    <w:rsid w:val="00802537"/>
    <w:rsid w:val="008048EA"/>
    <w:rsid w:val="00805550"/>
    <w:rsid w:val="008057D8"/>
    <w:rsid w:val="0080596E"/>
    <w:rsid w:val="00810CCF"/>
    <w:rsid w:val="00811129"/>
    <w:rsid w:val="008111AA"/>
    <w:rsid w:val="00812EE8"/>
    <w:rsid w:val="00813A7F"/>
    <w:rsid w:val="00813E97"/>
    <w:rsid w:val="008144A3"/>
    <w:rsid w:val="008149DB"/>
    <w:rsid w:val="00816B7D"/>
    <w:rsid w:val="00817723"/>
    <w:rsid w:val="00817B9A"/>
    <w:rsid w:val="00817EF8"/>
    <w:rsid w:val="0082085F"/>
    <w:rsid w:val="00820B53"/>
    <w:rsid w:val="00820BBD"/>
    <w:rsid w:val="008210B1"/>
    <w:rsid w:val="008221E6"/>
    <w:rsid w:val="00822299"/>
    <w:rsid w:val="008231FC"/>
    <w:rsid w:val="00823EA7"/>
    <w:rsid w:val="00825073"/>
    <w:rsid w:val="00825895"/>
    <w:rsid w:val="008259F7"/>
    <w:rsid w:val="00826C1C"/>
    <w:rsid w:val="00827267"/>
    <w:rsid w:val="0082728D"/>
    <w:rsid w:val="00827498"/>
    <w:rsid w:val="0082764E"/>
    <w:rsid w:val="00831632"/>
    <w:rsid w:val="00832257"/>
    <w:rsid w:val="008328CA"/>
    <w:rsid w:val="00833F30"/>
    <w:rsid w:val="00834104"/>
    <w:rsid w:val="00834D03"/>
    <w:rsid w:val="00835341"/>
    <w:rsid w:val="00835824"/>
    <w:rsid w:val="00836165"/>
    <w:rsid w:val="00836CF1"/>
    <w:rsid w:val="00836DAF"/>
    <w:rsid w:val="00837A7A"/>
    <w:rsid w:val="00841763"/>
    <w:rsid w:val="00842D38"/>
    <w:rsid w:val="008436B9"/>
    <w:rsid w:val="008437E9"/>
    <w:rsid w:val="008439AA"/>
    <w:rsid w:val="00843F36"/>
    <w:rsid w:val="00844CC2"/>
    <w:rsid w:val="00845D55"/>
    <w:rsid w:val="0084610F"/>
    <w:rsid w:val="008462B9"/>
    <w:rsid w:val="00847052"/>
    <w:rsid w:val="00850843"/>
    <w:rsid w:val="0085113E"/>
    <w:rsid w:val="00851844"/>
    <w:rsid w:val="00853246"/>
    <w:rsid w:val="00853800"/>
    <w:rsid w:val="00856778"/>
    <w:rsid w:val="00857B21"/>
    <w:rsid w:val="00862890"/>
    <w:rsid w:val="00863777"/>
    <w:rsid w:val="008649F8"/>
    <w:rsid w:val="00864A80"/>
    <w:rsid w:val="00865396"/>
    <w:rsid w:val="00865890"/>
    <w:rsid w:val="00867022"/>
    <w:rsid w:val="00870765"/>
    <w:rsid w:val="0087100A"/>
    <w:rsid w:val="00872999"/>
    <w:rsid w:val="008738EC"/>
    <w:rsid w:val="00874207"/>
    <w:rsid w:val="00875CFD"/>
    <w:rsid w:val="00875D20"/>
    <w:rsid w:val="00876303"/>
    <w:rsid w:val="008763C4"/>
    <w:rsid w:val="008772CB"/>
    <w:rsid w:val="00877559"/>
    <w:rsid w:val="008805C3"/>
    <w:rsid w:val="008809B7"/>
    <w:rsid w:val="00880AB6"/>
    <w:rsid w:val="0088264E"/>
    <w:rsid w:val="008834A0"/>
    <w:rsid w:val="0088390E"/>
    <w:rsid w:val="0088657D"/>
    <w:rsid w:val="008865FA"/>
    <w:rsid w:val="00886800"/>
    <w:rsid w:val="0088788C"/>
    <w:rsid w:val="00887AB9"/>
    <w:rsid w:val="008901AC"/>
    <w:rsid w:val="00890737"/>
    <w:rsid w:val="00891EC7"/>
    <w:rsid w:val="00891F18"/>
    <w:rsid w:val="00895216"/>
    <w:rsid w:val="00895CCE"/>
    <w:rsid w:val="00895E9D"/>
    <w:rsid w:val="008970D2"/>
    <w:rsid w:val="008A0B7B"/>
    <w:rsid w:val="008A11F2"/>
    <w:rsid w:val="008A2913"/>
    <w:rsid w:val="008A2F76"/>
    <w:rsid w:val="008A34BA"/>
    <w:rsid w:val="008A35A6"/>
    <w:rsid w:val="008A4BF2"/>
    <w:rsid w:val="008A61AB"/>
    <w:rsid w:val="008A6BDC"/>
    <w:rsid w:val="008B01B9"/>
    <w:rsid w:val="008B029D"/>
    <w:rsid w:val="008B1558"/>
    <w:rsid w:val="008B158D"/>
    <w:rsid w:val="008B1B3C"/>
    <w:rsid w:val="008B24BB"/>
    <w:rsid w:val="008B2715"/>
    <w:rsid w:val="008B2838"/>
    <w:rsid w:val="008B29E4"/>
    <w:rsid w:val="008B2D14"/>
    <w:rsid w:val="008B32D4"/>
    <w:rsid w:val="008B3702"/>
    <w:rsid w:val="008B376D"/>
    <w:rsid w:val="008B4255"/>
    <w:rsid w:val="008B4FB3"/>
    <w:rsid w:val="008B6036"/>
    <w:rsid w:val="008C0734"/>
    <w:rsid w:val="008C10A9"/>
    <w:rsid w:val="008C1B4B"/>
    <w:rsid w:val="008C248B"/>
    <w:rsid w:val="008C268E"/>
    <w:rsid w:val="008C26D3"/>
    <w:rsid w:val="008C336E"/>
    <w:rsid w:val="008C38AA"/>
    <w:rsid w:val="008C38B5"/>
    <w:rsid w:val="008C3D4C"/>
    <w:rsid w:val="008C45A5"/>
    <w:rsid w:val="008C4F8E"/>
    <w:rsid w:val="008C5170"/>
    <w:rsid w:val="008C5A3C"/>
    <w:rsid w:val="008C70F8"/>
    <w:rsid w:val="008C717C"/>
    <w:rsid w:val="008C7185"/>
    <w:rsid w:val="008D0EED"/>
    <w:rsid w:val="008D119B"/>
    <w:rsid w:val="008D13F3"/>
    <w:rsid w:val="008D4590"/>
    <w:rsid w:val="008D45F6"/>
    <w:rsid w:val="008D4A86"/>
    <w:rsid w:val="008D6AFA"/>
    <w:rsid w:val="008D7AC5"/>
    <w:rsid w:val="008E0E85"/>
    <w:rsid w:val="008E1965"/>
    <w:rsid w:val="008E1D83"/>
    <w:rsid w:val="008E1D8F"/>
    <w:rsid w:val="008E1F78"/>
    <w:rsid w:val="008E232A"/>
    <w:rsid w:val="008E5DD5"/>
    <w:rsid w:val="008E60A7"/>
    <w:rsid w:val="008E6398"/>
    <w:rsid w:val="008E67B0"/>
    <w:rsid w:val="008E6F81"/>
    <w:rsid w:val="008E71B9"/>
    <w:rsid w:val="008E74F6"/>
    <w:rsid w:val="008E7A12"/>
    <w:rsid w:val="008E7B54"/>
    <w:rsid w:val="008F0251"/>
    <w:rsid w:val="008F05A3"/>
    <w:rsid w:val="008F0CA1"/>
    <w:rsid w:val="008F0CB5"/>
    <w:rsid w:val="008F2F1A"/>
    <w:rsid w:val="008F365F"/>
    <w:rsid w:val="008F3688"/>
    <w:rsid w:val="008F46EA"/>
    <w:rsid w:val="008F48BF"/>
    <w:rsid w:val="008F4E77"/>
    <w:rsid w:val="008F506C"/>
    <w:rsid w:val="008F6BD9"/>
    <w:rsid w:val="008F7002"/>
    <w:rsid w:val="008F7384"/>
    <w:rsid w:val="008F781D"/>
    <w:rsid w:val="00901915"/>
    <w:rsid w:val="00901D2A"/>
    <w:rsid w:val="0090280E"/>
    <w:rsid w:val="00902B03"/>
    <w:rsid w:val="00902F8E"/>
    <w:rsid w:val="0090314C"/>
    <w:rsid w:val="00906B2B"/>
    <w:rsid w:val="009072A8"/>
    <w:rsid w:val="00907A20"/>
    <w:rsid w:val="00907D64"/>
    <w:rsid w:val="0091046F"/>
    <w:rsid w:val="00911286"/>
    <w:rsid w:val="00911BE1"/>
    <w:rsid w:val="00911D62"/>
    <w:rsid w:val="009122DF"/>
    <w:rsid w:val="00912A44"/>
    <w:rsid w:val="009137CB"/>
    <w:rsid w:val="0091564C"/>
    <w:rsid w:val="00916C76"/>
    <w:rsid w:val="00920EB4"/>
    <w:rsid w:val="00921B59"/>
    <w:rsid w:val="00922D1D"/>
    <w:rsid w:val="00923994"/>
    <w:rsid w:val="00923C62"/>
    <w:rsid w:val="00923F6F"/>
    <w:rsid w:val="009240F4"/>
    <w:rsid w:val="00924499"/>
    <w:rsid w:val="00924869"/>
    <w:rsid w:val="0092499F"/>
    <w:rsid w:val="00924CD5"/>
    <w:rsid w:val="00924F8C"/>
    <w:rsid w:val="0092579A"/>
    <w:rsid w:val="00926EBB"/>
    <w:rsid w:val="00927C73"/>
    <w:rsid w:val="00930E6B"/>
    <w:rsid w:val="00931315"/>
    <w:rsid w:val="00931735"/>
    <w:rsid w:val="009327B0"/>
    <w:rsid w:val="00932B59"/>
    <w:rsid w:val="0093377F"/>
    <w:rsid w:val="009340C8"/>
    <w:rsid w:val="009356F5"/>
    <w:rsid w:val="00937094"/>
    <w:rsid w:val="00940A68"/>
    <w:rsid w:val="00941EC7"/>
    <w:rsid w:val="00941F91"/>
    <w:rsid w:val="009429D2"/>
    <w:rsid w:val="009439B6"/>
    <w:rsid w:val="009444A0"/>
    <w:rsid w:val="009449C5"/>
    <w:rsid w:val="00946524"/>
    <w:rsid w:val="00946A77"/>
    <w:rsid w:val="00950005"/>
    <w:rsid w:val="00950484"/>
    <w:rsid w:val="00952768"/>
    <w:rsid w:val="00953977"/>
    <w:rsid w:val="00953E23"/>
    <w:rsid w:val="0095423E"/>
    <w:rsid w:val="0095470B"/>
    <w:rsid w:val="00954CA7"/>
    <w:rsid w:val="00954E99"/>
    <w:rsid w:val="00955A27"/>
    <w:rsid w:val="00955DDA"/>
    <w:rsid w:val="00960F8E"/>
    <w:rsid w:val="0096201F"/>
    <w:rsid w:val="00962066"/>
    <w:rsid w:val="00962ADC"/>
    <w:rsid w:val="00963432"/>
    <w:rsid w:val="00965FC8"/>
    <w:rsid w:val="009666CA"/>
    <w:rsid w:val="00966BA5"/>
    <w:rsid w:val="00966CCC"/>
    <w:rsid w:val="009715BA"/>
    <w:rsid w:val="009728B2"/>
    <w:rsid w:val="009730C2"/>
    <w:rsid w:val="00973D9E"/>
    <w:rsid w:val="00974D78"/>
    <w:rsid w:val="009751C2"/>
    <w:rsid w:val="009759E1"/>
    <w:rsid w:val="00976E67"/>
    <w:rsid w:val="00980030"/>
    <w:rsid w:val="00980A65"/>
    <w:rsid w:val="00980CAF"/>
    <w:rsid w:val="00983C7A"/>
    <w:rsid w:val="00984073"/>
    <w:rsid w:val="00984AA0"/>
    <w:rsid w:val="009863F5"/>
    <w:rsid w:val="0099037C"/>
    <w:rsid w:val="00992414"/>
    <w:rsid w:val="00993731"/>
    <w:rsid w:val="00993F99"/>
    <w:rsid w:val="009941AC"/>
    <w:rsid w:val="009949BB"/>
    <w:rsid w:val="00995B5B"/>
    <w:rsid w:val="00995E00"/>
    <w:rsid w:val="00995EF9"/>
    <w:rsid w:val="00996C44"/>
    <w:rsid w:val="00997AB6"/>
    <w:rsid w:val="009A0462"/>
    <w:rsid w:val="009A06EC"/>
    <w:rsid w:val="009A0F36"/>
    <w:rsid w:val="009A2A2C"/>
    <w:rsid w:val="009A37A0"/>
    <w:rsid w:val="009A395A"/>
    <w:rsid w:val="009A420F"/>
    <w:rsid w:val="009A438B"/>
    <w:rsid w:val="009A5293"/>
    <w:rsid w:val="009A6B2F"/>
    <w:rsid w:val="009A7006"/>
    <w:rsid w:val="009A73BD"/>
    <w:rsid w:val="009B149F"/>
    <w:rsid w:val="009B2A2E"/>
    <w:rsid w:val="009B2F57"/>
    <w:rsid w:val="009B321D"/>
    <w:rsid w:val="009B34DB"/>
    <w:rsid w:val="009B41D1"/>
    <w:rsid w:val="009B4B27"/>
    <w:rsid w:val="009B4B57"/>
    <w:rsid w:val="009B5B5E"/>
    <w:rsid w:val="009B6739"/>
    <w:rsid w:val="009B767A"/>
    <w:rsid w:val="009C0794"/>
    <w:rsid w:val="009C08E1"/>
    <w:rsid w:val="009C1540"/>
    <w:rsid w:val="009C2BD5"/>
    <w:rsid w:val="009C2EF4"/>
    <w:rsid w:val="009C30C0"/>
    <w:rsid w:val="009C3A20"/>
    <w:rsid w:val="009C4C23"/>
    <w:rsid w:val="009C4CE0"/>
    <w:rsid w:val="009C579D"/>
    <w:rsid w:val="009C5914"/>
    <w:rsid w:val="009C5A4C"/>
    <w:rsid w:val="009C6AD5"/>
    <w:rsid w:val="009D34EA"/>
    <w:rsid w:val="009D42AD"/>
    <w:rsid w:val="009D4A01"/>
    <w:rsid w:val="009D5671"/>
    <w:rsid w:val="009D5B13"/>
    <w:rsid w:val="009D73A4"/>
    <w:rsid w:val="009D7940"/>
    <w:rsid w:val="009E0461"/>
    <w:rsid w:val="009E0989"/>
    <w:rsid w:val="009E1AED"/>
    <w:rsid w:val="009E2591"/>
    <w:rsid w:val="009E2972"/>
    <w:rsid w:val="009E2E76"/>
    <w:rsid w:val="009E30F3"/>
    <w:rsid w:val="009E36C1"/>
    <w:rsid w:val="009E3C88"/>
    <w:rsid w:val="009F0D5F"/>
    <w:rsid w:val="009F15EB"/>
    <w:rsid w:val="009F2412"/>
    <w:rsid w:val="009F306D"/>
    <w:rsid w:val="009F3618"/>
    <w:rsid w:val="009F477E"/>
    <w:rsid w:val="009F6863"/>
    <w:rsid w:val="009F7213"/>
    <w:rsid w:val="009F76E3"/>
    <w:rsid w:val="009F7EC4"/>
    <w:rsid w:val="00A01A7C"/>
    <w:rsid w:val="00A020CA"/>
    <w:rsid w:val="00A0234D"/>
    <w:rsid w:val="00A02C53"/>
    <w:rsid w:val="00A02C75"/>
    <w:rsid w:val="00A03455"/>
    <w:rsid w:val="00A05478"/>
    <w:rsid w:val="00A05931"/>
    <w:rsid w:val="00A06FDE"/>
    <w:rsid w:val="00A072A9"/>
    <w:rsid w:val="00A075CA"/>
    <w:rsid w:val="00A11432"/>
    <w:rsid w:val="00A11DB5"/>
    <w:rsid w:val="00A11E23"/>
    <w:rsid w:val="00A129C7"/>
    <w:rsid w:val="00A12AF4"/>
    <w:rsid w:val="00A14F6C"/>
    <w:rsid w:val="00A15AA1"/>
    <w:rsid w:val="00A20507"/>
    <w:rsid w:val="00A20906"/>
    <w:rsid w:val="00A20CDE"/>
    <w:rsid w:val="00A220D1"/>
    <w:rsid w:val="00A23695"/>
    <w:rsid w:val="00A24AA6"/>
    <w:rsid w:val="00A25ACB"/>
    <w:rsid w:val="00A25CFC"/>
    <w:rsid w:val="00A26E15"/>
    <w:rsid w:val="00A27D29"/>
    <w:rsid w:val="00A3110A"/>
    <w:rsid w:val="00A3428E"/>
    <w:rsid w:val="00A3522C"/>
    <w:rsid w:val="00A35EC9"/>
    <w:rsid w:val="00A35F42"/>
    <w:rsid w:val="00A3649B"/>
    <w:rsid w:val="00A37DDD"/>
    <w:rsid w:val="00A406E4"/>
    <w:rsid w:val="00A43EF5"/>
    <w:rsid w:val="00A442C2"/>
    <w:rsid w:val="00A444DE"/>
    <w:rsid w:val="00A445D3"/>
    <w:rsid w:val="00A44908"/>
    <w:rsid w:val="00A449B9"/>
    <w:rsid w:val="00A45472"/>
    <w:rsid w:val="00A457EA"/>
    <w:rsid w:val="00A46710"/>
    <w:rsid w:val="00A473F4"/>
    <w:rsid w:val="00A473FB"/>
    <w:rsid w:val="00A50095"/>
    <w:rsid w:val="00A515BF"/>
    <w:rsid w:val="00A51B08"/>
    <w:rsid w:val="00A529F7"/>
    <w:rsid w:val="00A52FEE"/>
    <w:rsid w:val="00A53224"/>
    <w:rsid w:val="00A5463C"/>
    <w:rsid w:val="00A54F7A"/>
    <w:rsid w:val="00A54FA7"/>
    <w:rsid w:val="00A55DE3"/>
    <w:rsid w:val="00A5685C"/>
    <w:rsid w:val="00A574D0"/>
    <w:rsid w:val="00A577D3"/>
    <w:rsid w:val="00A57921"/>
    <w:rsid w:val="00A6024F"/>
    <w:rsid w:val="00A62310"/>
    <w:rsid w:val="00A62860"/>
    <w:rsid w:val="00A63ABE"/>
    <w:rsid w:val="00A64871"/>
    <w:rsid w:val="00A66305"/>
    <w:rsid w:val="00A6681B"/>
    <w:rsid w:val="00A66DE6"/>
    <w:rsid w:val="00A671B8"/>
    <w:rsid w:val="00A707C1"/>
    <w:rsid w:val="00A70C0B"/>
    <w:rsid w:val="00A71D82"/>
    <w:rsid w:val="00A720F7"/>
    <w:rsid w:val="00A7220F"/>
    <w:rsid w:val="00A733CF"/>
    <w:rsid w:val="00A74BB2"/>
    <w:rsid w:val="00A754D1"/>
    <w:rsid w:val="00A7691C"/>
    <w:rsid w:val="00A8193E"/>
    <w:rsid w:val="00A83002"/>
    <w:rsid w:val="00A83C18"/>
    <w:rsid w:val="00A84807"/>
    <w:rsid w:val="00A84C5B"/>
    <w:rsid w:val="00A84F03"/>
    <w:rsid w:val="00A85C14"/>
    <w:rsid w:val="00A87B56"/>
    <w:rsid w:val="00A905A4"/>
    <w:rsid w:val="00A90797"/>
    <w:rsid w:val="00A90947"/>
    <w:rsid w:val="00A92232"/>
    <w:rsid w:val="00A92844"/>
    <w:rsid w:val="00A93D11"/>
    <w:rsid w:val="00A947FE"/>
    <w:rsid w:val="00A9665F"/>
    <w:rsid w:val="00A96ADF"/>
    <w:rsid w:val="00AA0698"/>
    <w:rsid w:val="00AA06B3"/>
    <w:rsid w:val="00AA0A68"/>
    <w:rsid w:val="00AA179E"/>
    <w:rsid w:val="00AA1840"/>
    <w:rsid w:val="00AA1AE7"/>
    <w:rsid w:val="00AA3B03"/>
    <w:rsid w:val="00AA4420"/>
    <w:rsid w:val="00AA4A32"/>
    <w:rsid w:val="00AA5B53"/>
    <w:rsid w:val="00AA5B70"/>
    <w:rsid w:val="00AA7914"/>
    <w:rsid w:val="00AA79CD"/>
    <w:rsid w:val="00AA7CCA"/>
    <w:rsid w:val="00AB3E33"/>
    <w:rsid w:val="00AB52B4"/>
    <w:rsid w:val="00AB534B"/>
    <w:rsid w:val="00AB5529"/>
    <w:rsid w:val="00AB5E8E"/>
    <w:rsid w:val="00AB6B86"/>
    <w:rsid w:val="00AB7282"/>
    <w:rsid w:val="00AB795A"/>
    <w:rsid w:val="00AB7F02"/>
    <w:rsid w:val="00AC08B5"/>
    <w:rsid w:val="00AC0DE8"/>
    <w:rsid w:val="00AC23BD"/>
    <w:rsid w:val="00AC2CD5"/>
    <w:rsid w:val="00AC367A"/>
    <w:rsid w:val="00AC4C26"/>
    <w:rsid w:val="00AC53B4"/>
    <w:rsid w:val="00AC79AE"/>
    <w:rsid w:val="00AC7AAA"/>
    <w:rsid w:val="00AD039C"/>
    <w:rsid w:val="00AD0483"/>
    <w:rsid w:val="00AD08D3"/>
    <w:rsid w:val="00AD0C99"/>
    <w:rsid w:val="00AD14E1"/>
    <w:rsid w:val="00AD19A2"/>
    <w:rsid w:val="00AD1D99"/>
    <w:rsid w:val="00AD2E16"/>
    <w:rsid w:val="00AD301B"/>
    <w:rsid w:val="00AD3626"/>
    <w:rsid w:val="00AD3B60"/>
    <w:rsid w:val="00AD50E3"/>
    <w:rsid w:val="00AD59F0"/>
    <w:rsid w:val="00AD5A79"/>
    <w:rsid w:val="00AD5D86"/>
    <w:rsid w:val="00AD7AEC"/>
    <w:rsid w:val="00AE1CA2"/>
    <w:rsid w:val="00AE2918"/>
    <w:rsid w:val="00AE3206"/>
    <w:rsid w:val="00AE33F3"/>
    <w:rsid w:val="00AE5DC4"/>
    <w:rsid w:val="00AE6376"/>
    <w:rsid w:val="00AE6FF0"/>
    <w:rsid w:val="00AE7A7C"/>
    <w:rsid w:val="00AF01FD"/>
    <w:rsid w:val="00AF031C"/>
    <w:rsid w:val="00AF09EB"/>
    <w:rsid w:val="00AF1E6F"/>
    <w:rsid w:val="00AF3BBC"/>
    <w:rsid w:val="00AF42D0"/>
    <w:rsid w:val="00AF49BE"/>
    <w:rsid w:val="00AF4CE6"/>
    <w:rsid w:val="00AF56AB"/>
    <w:rsid w:val="00AF7A03"/>
    <w:rsid w:val="00B00020"/>
    <w:rsid w:val="00B01BE9"/>
    <w:rsid w:val="00B01D74"/>
    <w:rsid w:val="00B02B33"/>
    <w:rsid w:val="00B03838"/>
    <w:rsid w:val="00B041EC"/>
    <w:rsid w:val="00B04E19"/>
    <w:rsid w:val="00B055F0"/>
    <w:rsid w:val="00B06BF9"/>
    <w:rsid w:val="00B06FB8"/>
    <w:rsid w:val="00B079E0"/>
    <w:rsid w:val="00B1001F"/>
    <w:rsid w:val="00B10925"/>
    <w:rsid w:val="00B11275"/>
    <w:rsid w:val="00B11692"/>
    <w:rsid w:val="00B11CC9"/>
    <w:rsid w:val="00B120FE"/>
    <w:rsid w:val="00B12BDE"/>
    <w:rsid w:val="00B13958"/>
    <w:rsid w:val="00B13D23"/>
    <w:rsid w:val="00B1433E"/>
    <w:rsid w:val="00B14C49"/>
    <w:rsid w:val="00B14E5E"/>
    <w:rsid w:val="00B16D64"/>
    <w:rsid w:val="00B172F9"/>
    <w:rsid w:val="00B2035A"/>
    <w:rsid w:val="00B2086B"/>
    <w:rsid w:val="00B20FFA"/>
    <w:rsid w:val="00B232A7"/>
    <w:rsid w:val="00B23E82"/>
    <w:rsid w:val="00B2496E"/>
    <w:rsid w:val="00B269ED"/>
    <w:rsid w:val="00B26DF0"/>
    <w:rsid w:val="00B27186"/>
    <w:rsid w:val="00B277D6"/>
    <w:rsid w:val="00B27AFF"/>
    <w:rsid w:val="00B3041A"/>
    <w:rsid w:val="00B314E9"/>
    <w:rsid w:val="00B31A20"/>
    <w:rsid w:val="00B33141"/>
    <w:rsid w:val="00B33DB9"/>
    <w:rsid w:val="00B36580"/>
    <w:rsid w:val="00B365CF"/>
    <w:rsid w:val="00B36F11"/>
    <w:rsid w:val="00B40430"/>
    <w:rsid w:val="00B40679"/>
    <w:rsid w:val="00B41754"/>
    <w:rsid w:val="00B42096"/>
    <w:rsid w:val="00B42350"/>
    <w:rsid w:val="00B43C0F"/>
    <w:rsid w:val="00B45447"/>
    <w:rsid w:val="00B46A8B"/>
    <w:rsid w:val="00B4780C"/>
    <w:rsid w:val="00B47F1A"/>
    <w:rsid w:val="00B518EB"/>
    <w:rsid w:val="00B528D9"/>
    <w:rsid w:val="00B537B8"/>
    <w:rsid w:val="00B545E3"/>
    <w:rsid w:val="00B545FB"/>
    <w:rsid w:val="00B5494D"/>
    <w:rsid w:val="00B54DEF"/>
    <w:rsid w:val="00B55C0E"/>
    <w:rsid w:val="00B57F86"/>
    <w:rsid w:val="00B6087D"/>
    <w:rsid w:val="00B61829"/>
    <w:rsid w:val="00B621FA"/>
    <w:rsid w:val="00B6223F"/>
    <w:rsid w:val="00B6288C"/>
    <w:rsid w:val="00B63221"/>
    <w:rsid w:val="00B635CB"/>
    <w:rsid w:val="00B64335"/>
    <w:rsid w:val="00B64571"/>
    <w:rsid w:val="00B655A3"/>
    <w:rsid w:val="00B661FB"/>
    <w:rsid w:val="00B66888"/>
    <w:rsid w:val="00B67416"/>
    <w:rsid w:val="00B676BF"/>
    <w:rsid w:val="00B71D68"/>
    <w:rsid w:val="00B741CA"/>
    <w:rsid w:val="00B743EA"/>
    <w:rsid w:val="00B74CC6"/>
    <w:rsid w:val="00B75361"/>
    <w:rsid w:val="00B756DE"/>
    <w:rsid w:val="00B758C2"/>
    <w:rsid w:val="00B7602A"/>
    <w:rsid w:val="00B767A1"/>
    <w:rsid w:val="00B769D2"/>
    <w:rsid w:val="00B80047"/>
    <w:rsid w:val="00B802F3"/>
    <w:rsid w:val="00B803D8"/>
    <w:rsid w:val="00B805A2"/>
    <w:rsid w:val="00B8273F"/>
    <w:rsid w:val="00B829FF"/>
    <w:rsid w:val="00B83BA6"/>
    <w:rsid w:val="00B84A34"/>
    <w:rsid w:val="00B85B1B"/>
    <w:rsid w:val="00B861AE"/>
    <w:rsid w:val="00B865FB"/>
    <w:rsid w:val="00B86AA3"/>
    <w:rsid w:val="00B86AF1"/>
    <w:rsid w:val="00B86D92"/>
    <w:rsid w:val="00B87103"/>
    <w:rsid w:val="00B8747F"/>
    <w:rsid w:val="00B91520"/>
    <w:rsid w:val="00B92496"/>
    <w:rsid w:val="00B92D58"/>
    <w:rsid w:val="00B9393A"/>
    <w:rsid w:val="00B93BB7"/>
    <w:rsid w:val="00B93FC0"/>
    <w:rsid w:val="00B94AFA"/>
    <w:rsid w:val="00B95056"/>
    <w:rsid w:val="00B95DB0"/>
    <w:rsid w:val="00B96841"/>
    <w:rsid w:val="00B97A7A"/>
    <w:rsid w:val="00BA03C4"/>
    <w:rsid w:val="00BA0E70"/>
    <w:rsid w:val="00BA1D55"/>
    <w:rsid w:val="00BA231C"/>
    <w:rsid w:val="00BA2B0B"/>
    <w:rsid w:val="00BA2C89"/>
    <w:rsid w:val="00BA38B2"/>
    <w:rsid w:val="00BA3FC1"/>
    <w:rsid w:val="00BA475D"/>
    <w:rsid w:val="00BA6EDB"/>
    <w:rsid w:val="00BA7CA9"/>
    <w:rsid w:val="00BB00C9"/>
    <w:rsid w:val="00BB1098"/>
    <w:rsid w:val="00BB1ACF"/>
    <w:rsid w:val="00BB35B4"/>
    <w:rsid w:val="00BB52AA"/>
    <w:rsid w:val="00BB58E5"/>
    <w:rsid w:val="00BB77CE"/>
    <w:rsid w:val="00BB7A45"/>
    <w:rsid w:val="00BC01F1"/>
    <w:rsid w:val="00BC1FCE"/>
    <w:rsid w:val="00BC250B"/>
    <w:rsid w:val="00BC33D7"/>
    <w:rsid w:val="00BC4C0B"/>
    <w:rsid w:val="00BC5398"/>
    <w:rsid w:val="00BC58C1"/>
    <w:rsid w:val="00BC5E17"/>
    <w:rsid w:val="00BC6F70"/>
    <w:rsid w:val="00BC7B0A"/>
    <w:rsid w:val="00BD0439"/>
    <w:rsid w:val="00BD09C8"/>
    <w:rsid w:val="00BD0AF6"/>
    <w:rsid w:val="00BD2CFE"/>
    <w:rsid w:val="00BD594C"/>
    <w:rsid w:val="00BD62FA"/>
    <w:rsid w:val="00BD65F7"/>
    <w:rsid w:val="00BD66B0"/>
    <w:rsid w:val="00BE1E37"/>
    <w:rsid w:val="00BE2B7C"/>
    <w:rsid w:val="00BE3ACB"/>
    <w:rsid w:val="00BE3B4F"/>
    <w:rsid w:val="00BE5625"/>
    <w:rsid w:val="00BE5CEB"/>
    <w:rsid w:val="00BE636D"/>
    <w:rsid w:val="00BE648C"/>
    <w:rsid w:val="00BE6A03"/>
    <w:rsid w:val="00BE7184"/>
    <w:rsid w:val="00BE727E"/>
    <w:rsid w:val="00BE72ED"/>
    <w:rsid w:val="00BE769A"/>
    <w:rsid w:val="00BE7BD4"/>
    <w:rsid w:val="00BF0520"/>
    <w:rsid w:val="00BF1776"/>
    <w:rsid w:val="00BF2356"/>
    <w:rsid w:val="00BF44B6"/>
    <w:rsid w:val="00BF6CBF"/>
    <w:rsid w:val="00BF78CB"/>
    <w:rsid w:val="00BF7A30"/>
    <w:rsid w:val="00C0127F"/>
    <w:rsid w:val="00C01D47"/>
    <w:rsid w:val="00C02986"/>
    <w:rsid w:val="00C02DB9"/>
    <w:rsid w:val="00C04EB3"/>
    <w:rsid w:val="00C053A5"/>
    <w:rsid w:val="00C05DC6"/>
    <w:rsid w:val="00C05E10"/>
    <w:rsid w:val="00C10B75"/>
    <w:rsid w:val="00C10C30"/>
    <w:rsid w:val="00C1292F"/>
    <w:rsid w:val="00C13021"/>
    <w:rsid w:val="00C155A5"/>
    <w:rsid w:val="00C15C4C"/>
    <w:rsid w:val="00C15D0A"/>
    <w:rsid w:val="00C1600B"/>
    <w:rsid w:val="00C1604B"/>
    <w:rsid w:val="00C16066"/>
    <w:rsid w:val="00C16B0C"/>
    <w:rsid w:val="00C17382"/>
    <w:rsid w:val="00C21240"/>
    <w:rsid w:val="00C217D2"/>
    <w:rsid w:val="00C21DAF"/>
    <w:rsid w:val="00C223C7"/>
    <w:rsid w:val="00C22431"/>
    <w:rsid w:val="00C23236"/>
    <w:rsid w:val="00C24BB3"/>
    <w:rsid w:val="00C2577E"/>
    <w:rsid w:val="00C302D7"/>
    <w:rsid w:val="00C31885"/>
    <w:rsid w:val="00C324BB"/>
    <w:rsid w:val="00C329F9"/>
    <w:rsid w:val="00C32A95"/>
    <w:rsid w:val="00C33724"/>
    <w:rsid w:val="00C34032"/>
    <w:rsid w:val="00C3441C"/>
    <w:rsid w:val="00C3683F"/>
    <w:rsid w:val="00C36D33"/>
    <w:rsid w:val="00C4045A"/>
    <w:rsid w:val="00C4169F"/>
    <w:rsid w:val="00C420D7"/>
    <w:rsid w:val="00C42B19"/>
    <w:rsid w:val="00C43B70"/>
    <w:rsid w:val="00C43BCD"/>
    <w:rsid w:val="00C44023"/>
    <w:rsid w:val="00C45AF2"/>
    <w:rsid w:val="00C45E3F"/>
    <w:rsid w:val="00C4749D"/>
    <w:rsid w:val="00C4754D"/>
    <w:rsid w:val="00C5021E"/>
    <w:rsid w:val="00C515F4"/>
    <w:rsid w:val="00C51E1B"/>
    <w:rsid w:val="00C52393"/>
    <w:rsid w:val="00C52812"/>
    <w:rsid w:val="00C53E75"/>
    <w:rsid w:val="00C54164"/>
    <w:rsid w:val="00C5425E"/>
    <w:rsid w:val="00C568A1"/>
    <w:rsid w:val="00C577F2"/>
    <w:rsid w:val="00C57F30"/>
    <w:rsid w:val="00C62A8C"/>
    <w:rsid w:val="00C6451C"/>
    <w:rsid w:val="00C65475"/>
    <w:rsid w:val="00C67476"/>
    <w:rsid w:val="00C67854"/>
    <w:rsid w:val="00C67B5E"/>
    <w:rsid w:val="00C70D30"/>
    <w:rsid w:val="00C71891"/>
    <w:rsid w:val="00C71AD8"/>
    <w:rsid w:val="00C71BBA"/>
    <w:rsid w:val="00C7236A"/>
    <w:rsid w:val="00C7286E"/>
    <w:rsid w:val="00C7398E"/>
    <w:rsid w:val="00C747F8"/>
    <w:rsid w:val="00C75D00"/>
    <w:rsid w:val="00C75FD5"/>
    <w:rsid w:val="00C7669D"/>
    <w:rsid w:val="00C77682"/>
    <w:rsid w:val="00C77C27"/>
    <w:rsid w:val="00C77E5A"/>
    <w:rsid w:val="00C84E12"/>
    <w:rsid w:val="00C856B6"/>
    <w:rsid w:val="00C85954"/>
    <w:rsid w:val="00C85979"/>
    <w:rsid w:val="00C85ADF"/>
    <w:rsid w:val="00C861C4"/>
    <w:rsid w:val="00C875AF"/>
    <w:rsid w:val="00C91B0E"/>
    <w:rsid w:val="00C94611"/>
    <w:rsid w:val="00C96684"/>
    <w:rsid w:val="00C967CD"/>
    <w:rsid w:val="00C96EAD"/>
    <w:rsid w:val="00CA0490"/>
    <w:rsid w:val="00CA1236"/>
    <w:rsid w:val="00CA127F"/>
    <w:rsid w:val="00CA2196"/>
    <w:rsid w:val="00CA3B6E"/>
    <w:rsid w:val="00CA3DB3"/>
    <w:rsid w:val="00CA52D8"/>
    <w:rsid w:val="00CA5ACD"/>
    <w:rsid w:val="00CA61B5"/>
    <w:rsid w:val="00CA7AE6"/>
    <w:rsid w:val="00CB194D"/>
    <w:rsid w:val="00CB245D"/>
    <w:rsid w:val="00CB45F2"/>
    <w:rsid w:val="00CB4E87"/>
    <w:rsid w:val="00CB54E3"/>
    <w:rsid w:val="00CB5525"/>
    <w:rsid w:val="00CB6B0C"/>
    <w:rsid w:val="00CB7094"/>
    <w:rsid w:val="00CB78E8"/>
    <w:rsid w:val="00CC0414"/>
    <w:rsid w:val="00CC0886"/>
    <w:rsid w:val="00CC0B8A"/>
    <w:rsid w:val="00CC0E56"/>
    <w:rsid w:val="00CC30C2"/>
    <w:rsid w:val="00CC45D1"/>
    <w:rsid w:val="00CC5156"/>
    <w:rsid w:val="00CC6B51"/>
    <w:rsid w:val="00CC6FB2"/>
    <w:rsid w:val="00CD07E8"/>
    <w:rsid w:val="00CD248D"/>
    <w:rsid w:val="00CD3B05"/>
    <w:rsid w:val="00CD453F"/>
    <w:rsid w:val="00CD4E75"/>
    <w:rsid w:val="00CD5261"/>
    <w:rsid w:val="00CD5C49"/>
    <w:rsid w:val="00CD5D2D"/>
    <w:rsid w:val="00CD71E1"/>
    <w:rsid w:val="00CD7A97"/>
    <w:rsid w:val="00CE00F5"/>
    <w:rsid w:val="00CE02E9"/>
    <w:rsid w:val="00CE253F"/>
    <w:rsid w:val="00CE2D82"/>
    <w:rsid w:val="00CE3141"/>
    <w:rsid w:val="00CE45AE"/>
    <w:rsid w:val="00CE4B1D"/>
    <w:rsid w:val="00CF05E8"/>
    <w:rsid w:val="00CF08D5"/>
    <w:rsid w:val="00CF279F"/>
    <w:rsid w:val="00CF2CC2"/>
    <w:rsid w:val="00CF32FA"/>
    <w:rsid w:val="00CF467A"/>
    <w:rsid w:val="00CF4CE5"/>
    <w:rsid w:val="00CF506B"/>
    <w:rsid w:val="00CF5857"/>
    <w:rsid w:val="00CF59D5"/>
    <w:rsid w:val="00CF5B7A"/>
    <w:rsid w:val="00CF65D5"/>
    <w:rsid w:val="00CF69CF"/>
    <w:rsid w:val="00CF6B7B"/>
    <w:rsid w:val="00D00EDC"/>
    <w:rsid w:val="00D00FF7"/>
    <w:rsid w:val="00D0146A"/>
    <w:rsid w:val="00D05A15"/>
    <w:rsid w:val="00D05FD1"/>
    <w:rsid w:val="00D0690B"/>
    <w:rsid w:val="00D06AF5"/>
    <w:rsid w:val="00D1024B"/>
    <w:rsid w:val="00D10E5B"/>
    <w:rsid w:val="00D12634"/>
    <w:rsid w:val="00D12805"/>
    <w:rsid w:val="00D12D54"/>
    <w:rsid w:val="00D13637"/>
    <w:rsid w:val="00D13DE6"/>
    <w:rsid w:val="00D14D6F"/>
    <w:rsid w:val="00D1583D"/>
    <w:rsid w:val="00D17052"/>
    <w:rsid w:val="00D1742F"/>
    <w:rsid w:val="00D2005E"/>
    <w:rsid w:val="00D20EC8"/>
    <w:rsid w:val="00D2108B"/>
    <w:rsid w:val="00D21996"/>
    <w:rsid w:val="00D21A50"/>
    <w:rsid w:val="00D21FB4"/>
    <w:rsid w:val="00D2257C"/>
    <w:rsid w:val="00D225A0"/>
    <w:rsid w:val="00D22D92"/>
    <w:rsid w:val="00D237E3"/>
    <w:rsid w:val="00D23B85"/>
    <w:rsid w:val="00D2437C"/>
    <w:rsid w:val="00D24B2B"/>
    <w:rsid w:val="00D25B3D"/>
    <w:rsid w:val="00D263AA"/>
    <w:rsid w:val="00D26C3E"/>
    <w:rsid w:val="00D26C7A"/>
    <w:rsid w:val="00D27490"/>
    <w:rsid w:val="00D27F9F"/>
    <w:rsid w:val="00D302C8"/>
    <w:rsid w:val="00D30AD4"/>
    <w:rsid w:val="00D31ABD"/>
    <w:rsid w:val="00D33C85"/>
    <w:rsid w:val="00D3409A"/>
    <w:rsid w:val="00D34180"/>
    <w:rsid w:val="00D3526B"/>
    <w:rsid w:val="00D37324"/>
    <w:rsid w:val="00D37470"/>
    <w:rsid w:val="00D37873"/>
    <w:rsid w:val="00D420BC"/>
    <w:rsid w:val="00D42B36"/>
    <w:rsid w:val="00D43509"/>
    <w:rsid w:val="00D43E68"/>
    <w:rsid w:val="00D461AF"/>
    <w:rsid w:val="00D4623E"/>
    <w:rsid w:val="00D463E7"/>
    <w:rsid w:val="00D46CFA"/>
    <w:rsid w:val="00D474C0"/>
    <w:rsid w:val="00D506BF"/>
    <w:rsid w:val="00D50ED4"/>
    <w:rsid w:val="00D521CA"/>
    <w:rsid w:val="00D53944"/>
    <w:rsid w:val="00D54317"/>
    <w:rsid w:val="00D546E5"/>
    <w:rsid w:val="00D55805"/>
    <w:rsid w:val="00D559E9"/>
    <w:rsid w:val="00D57097"/>
    <w:rsid w:val="00D60079"/>
    <w:rsid w:val="00D60541"/>
    <w:rsid w:val="00D61FAD"/>
    <w:rsid w:val="00D62426"/>
    <w:rsid w:val="00D62618"/>
    <w:rsid w:val="00D62B0D"/>
    <w:rsid w:val="00D63A8C"/>
    <w:rsid w:val="00D6457F"/>
    <w:rsid w:val="00D64A59"/>
    <w:rsid w:val="00D65625"/>
    <w:rsid w:val="00D6562B"/>
    <w:rsid w:val="00D6677A"/>
    <w:rsid w:val="00D669C5"/>
    <w:rsid w:val="00D67397"/>
    <w:rsid w:val="00D705D1"/>
    <w:rsid w:val="00D71851"/>
    <w:rsid w:val="00D726C4"/>
    <w:rsid w:val="00D730EE"/>
    <w:rsid w:val="00D748B2"/>
    <w:rsid w:val="00D74D2A"/>
    <w:rsid w:val="00D753E0"/>
    <w:rsid w:val="00D75DB3"/>
    <w:rsid w:val="00D75F70"/>
    <w:rsid w:val="00D763DA"/>
    <w:rsid w:val="00D76B5F"/>
    <w:rsid w:val="00D77A88"/>
    <w:rsid w:val="00D802A2"/>
    <w:rsid w:val="00D8219D"/>
    <w:rsid w:val="00D828D3"/>
    <w:rsid w:val="00D82F05"/>
    <w:rsid w:val="00D840DB"/>
    <w:rsid w:val="00D84208"/>
    <w:rsid w:val="00D846C5"/>
    <w:rsid w:val="00D850C2"/>
    <w:rsid w:val="00D86023"/>
    <w:rsid w:val="00D866DE"/>
    <w:rsid w:val="00D90D06"/>
    <w:rsid w:val="00D91C7E"/>
    <w:rsid w:val="00D91DC4"/>
    <w:rsid w:val="00D93405"/>
    <w:rsid w:val="00D94C76"/>
    <w:rsid w:val="00D96FF4"/>
    <w:rsid w:val="00D97D81"/>
    <w:rsid w:val="00DA011C"/>
    <w:rsid w:val="00DA04D5"/>
    <w:rsid w:val="00DA0693"/>
    <w:rsid w:val="00DA15FC"/>
    <w:rsid w:val="00DA32BA"/>
    <w:rsid w:val="00DA417B"/>
    <w:rsid w:val="00DA440E"/>
    <w:rsid w:val="00DA511C"/>
    <w:rsid w:val="00DA5A12"/>
    <w:rsid w:val="00DA70DC"/>
    <w:rsid w:val="00DA7917"/>
    <w:rsid w:val="00DB078D"/>
    <w:rsid w:val="00DB08B3"/>
    <w:rsid w:val="00DB4493"/>
    <w:rsid w:val="00DB4E84"/>
    <w:rsid w:val="00DB5DEF"/>
    <w:rsid w:val="00DC0309"/>
    <w:rsid w:val="00DC0776"/>
    <w:rsid w:val="00DC089D"/>
    <w:rsid w:val="00DC21B3"/>
    <w:rsid w:val="00DC4053"/>
    <w:rsid w:val="00DC4E12"/>
    <w:rsid w:val="00DC65F8"/>
    <w:rsid w:val="00DC7E47"/>
    <w:rsid w:val="00DD0849"/>
    <w:rsid w:val="00DD167D"/>
    <w:rsid w:val="00DD3BD2"/>
    <w:rsid w:val="00DD558F"/>
    <w:rsid w:val="00DE1D84"/>
    <w:rsid w:val="00DE2179"/>
    <w:rsid w:val="00DE2787"/>
    <w:rsid w:val="00DE2838"/>
    <w:rsid w:val="00DE3E16"/>
    <w:rsid w:val="00DE3E85"/>
    <w:rsid w:val="00DE4730"/>
    <w:rsid w:val="00DE4CFC"/>
    <w:rsid w:val="00DE5434"/>
    <w:rsid w:val="00DE557D"/>
    <w:rsid w:val="00DE6858"/>
    <w:rsid w:val="00DE7886"/>
    <w:rsid w:val="00DF1499"/>
    <w:rsid w:val="00DF2008"/>
    <w:rsid w:val="00DF219F"/>
    <w:rsid w:val="00DF24F1"/>
    <w:rsid w:val="00DF5299"/>
    <w:rsid w:val="00DF72D3"/>
    <w:rsid w:val="00DF79B0"/>
    <w:rsid w:val="00E000A8"/>
    <w:rsid w:val="00E00A33"/>
    <w:rsid w:val="00E04CA8"/>
    <w:rsid w:val="00E04CFA"/>
    <w:rsid w:val="00E04EB2"/>
    <w:rsid w:val="00E053A5"/>
    <w:rsid w:val="00E068B3"/>
    <w:rsid w:val="00E108F2"/>
    <w:rsid w:val="00E10DF9"/>
    <w:rsid w:val="00E11C5E"/>
    <w:rsid w:val="00E11D03"/>
    <w:rsid w:val="00E1233A"/>
    <w:rsid w:val="00E139CD"/>
    <w:rsid w:val="00E13E83"/>
    <w:rsid w:val="00E14EA4"/>
    <w:rsid w:val="00E20804"/>
    <w:rsid w:val="00E20BFE"/>
    <w:rsid w:val="00E20C46"/>
    <w:rsid w:val="00E20E43"/>
    <w:rsid w:val="00E2159F"/>
    <w:rsid w:val="00E22227"/>
    <w:rsid w:val="00E2334A"/>
    <w:rsid w:val="00E2487E"/>
    <w:rsid w:val="00E24D1D"/>
    <w:rsid w:val="00E259F8"/>
    <w:rsid w:val="00E312B8"/>
    <w:rsid w:val="00E3156E"/>
    <w:rsid w:val="00E3170D"/>
    <w:rsid w:val="00E3191B"/>
    <w:rsid w:val="00E3257C"/>
    <w:rsid w:val="00E32D57"/>
    <w:rsid w:val="00E32F50"/>
    <w:rsid w:val="00E3365A"/>
    <w:rsid w:val="00E3488F"/>
    <w:rsid w:val="00E35D3D"/>
    <w:rsid w:val="00E35EFD"/>
    <w:rsid w:val="00E36A1D"/>
    <w:rsid w:val="00E403EF"/>
    <w:rsid w:val="00E4062C"/>
    <w:rsid w:val="00E40E5B"/>
    <w:rsid w:val="00E42257"/>
    <w:rsid w:val="00E4282E"/>
    <w:rsid w:val="00E42CB2"/>
    <w:rsid w:val="00E446D5"/>
    <w:rsid w:val="00E44725"/>
    <w:rsid w:val="00E44F19"/>
    <w:rsid w:val="00E452FD"/>
    <w:rsid w:val="00E45701"/>
    <w:rsid w:val="00E459E9"/>
    <w:rsid w:val="00E45E0C"/>
    <w:rsid w:val="00E477C2"/>
    <w:rsid w:val="00E50AD3"/>
    <w:rsid w:val="00E5104C"/>
    <w:rsid w:val="00E51E5A"/>
    <w:rsid w:val="00E522A1"/>
    <w:rsid w:val="00E54942"/>
    <w:rsid w:val="00E54A22"/>
    <w:rsid w:val="00E55574"/>
    <w:rsid w:val="00E55D5B"/>
    <w:rsid w:val="00E56273"/>
    <w:rsid w:val="00E56ABC"/>
    <w:rsid w:val="00E56F86"/>
    <w:rsid w:val="00E57682"/>
    <w:rsid w:val="00E6175D"/>
    <w:rsid w:val="00E61993"/>
    <w:rsid w:val="00E61B41"/>
    <w:rsid w:val="00E62E9D"/>
    <w:rsid w:val="00E63054"/>
    <w:rsid w:val="00E63134"/>
    <w:rsid w:val="00E64320"/>
    <w:rsid w:val="00E64BC3"/>
    <w:rsid w:val="00E67371"/>
    <w:rsid w:val="00E67377"/>
    <w:rsid w:val="00E70C4C"/>
    <w:rsid w:val="00E71113"/>
    <w:rsid w:val="00E712E9"/>
    <w:rsid w:val="00E71E1D"/>
    <w:rsid w:val="00E7328D"/>
    <w:rsid w:val="00E73A25"/>
    <w:rsid w:val="00E74992"/>
    <w:rsid w:val="00E75881"/>
    <w:rsid w:val="00E7772F"/>
    <w:rsid w:val="00E806F1"/>
    <w:rsid w:val="00E80734"/>
    <w:rsid w:val="00E80A69"/>
    <w:rsid w:val="00E80C11"/>
    <w:rsid w:val="00E813E3"/>
    <w:rsid w:val="00E8211E"/>
    <w:rsid w:val="00E82DEB"/>
    <w:rsid w:val="00E851CA"/>
    <w:rsid w:val="00E85F0A"/>
    <w:rsid w:val="00E86BFA"/>
    <w:rsid w:val="00E87954"/>
    <w:rsid w:val="00E908CE"/>
    <w:rsid w:val="00E909AB"/>
    <w:rsid w:val="00E921FA"/>
    <w:rsid w:val="00E92780"/>
    <w:rsid w:val="00E92798"/>
    <w:rsid w:val="00E9289A"/>
    <w:rsid w:val="00E92A3A"/>
    <w:rsid w:val="00E93EE3"/>
    <w:rsid w:val="00E9476B"/>
    <w:rsid w:val="00E953FF"/>
    <w:rsid w:val="00E95525"/>
    <w:rsid w:val="00E95660"/>
    <w:rsid w:val="00E95AF6"/>
    <w:rsid w:val="00E95D7F"/>
    <w:rsid w:val="00E96CB8"/>
    <w:rsid w:val="00E96F7D"/>
    <w:rsid w:val="00E973B8"/>
    <w:rsid w:val="00EA00B8"/>
    <w:rsid w:val="00EA0FC3"/>
    <w:rsid w:val="00EA13B1"/>
    <w:rsid w:val="00EA25B1"/>
    <w:rsid w:val="00EA2CF9"/>
    <w:rsid w:val="00EA3C4C"/>
    <w:rsid w:val="00EA45A2"/>
    <w:rsid w:val="00EA4E97"/>
    <w:rsid w:val="00EA5308"/>
    <w:rsid w:val="00EA77CB"/>
    <w:rsid w:val="00EA7B96"/>
    <w:rsid w:val="00EB02E2"/>
    <w:rsid w:val="00EB2823"/>
    <w:rsid w:val="00EB2962"/>
    <w:rsid w:val="00EB2C8E"/>
    <w:rsid w:val="00EB2C93"/>
    <w:rsid w:val="00EB30D3"/>
    <w:rsid w:val="00EB4E4F"/>
    <w:rsid w:val="00EB54F9"/>
    <w:rsid w:val="00EB587A"/>
    <w:rsid w:val="00EB61CD"/>
    <w:rsid w:val="00EB6486"/>
    <w:rsid w:val="00EC0778"/>
    <w:rsid w:val="00EC0DD2"/>
    <w:rsid w:val="00EC13CB"/>
    <w:rsid w:val="00EC1791"/>
    <w:rsid w:val="00EC1DB1"/>
    <w:rsid w:val="00EC304B"/>
    <w:rsid w:val="00EC4074"/>
    <w:rsid w:val="00EC4498"/>
    <w:rsid w:val="00EC4FB8"/>
    <w:rsid w:val="00EC5BF8"/>
    <w:rsid w:val="00EC5E0C"/>
    <w:rsid w:val="00EC65F4"/>
    <w:rsid w:val="00ED129C"/>
    <w:rsid w:val="00ED1EDD"/>
    <w:rsid w:val="00ED2D6B"/>
    <w:rsid w:val="00ED3275"/>
    <w:rsid w:val="00ED4CEA"/>
    <w:rsid w:val="00ED6DBA"/>
    <w:rsid w:val="00ED718A"/>
    <w:rsid w:val="00ED7AD2"/>
    <w:rsid w:val="00EE0996"/>
    <w:rsid w:val="00EE0E35"/>
    <w:rsid w:val="00EE12AD"/>
    <w:rsid w:val="00EE2807"/>
    <w:rsid w:val="00EE2A27"/>
    <w:rsid w:val="00EE34C3"/>
    <w:rsid w:val="00EE40E4"/>
    <w:rsid w:val="00EE4FDD"/>
    <w:rsid w:val="00EE52EC"/>
    <w:rsid w:val="00EE591E"/>
    <w:rsid w:val="00EE606A"/>
    <w:rsid w:val="00EE74B9"/>
    <w:rsid w:val="00EE77D1"/>
    <w:rsid w:val="00EF06B3"/>
    <w:rsid w:val="00EF0BC5"/>
    <w:rsid w:val="00EF1077"/>
    <w:rsid w:val="00EF11BC"/>
    <w:rsid w:val="00EF2894"/>
    <w:rsid w:val="00EF28C9"/>
    <w:rsid w:val="00EF2DC8"/>
    <w:rsid w:val="00EF2ED4"/>
    <w:rsid w:val="00EF4A16"/>
    <w:rsid w:val="00EF4EC0"/>
    <w:rsid w:val="00EF59BC"/>
    <w:rsid w:val="00EF5A79"/>
    <w:rsid w:val="00EF6BD7"/>
    <w:rsid w:val="00EF6C9E"/>
    <w:rsid w:val="00F01FD7"/>
    <w:rsid w:val="00F029F6"/>
    <w:rsid w:val="00F035E4"/>
    <w:rsid w:val="00F05001"/>
    <w:rsid w:val="00F0509E"/>
    <w:rsid w:val="00F05305"/>
    <w:rsid w:val="00F05AE8"/>
    <w:rsid w:val="00F06DC0"/>
    <w:rsid w:val="00F06DF8"/>
    <w:rsid w:val="00F06FE5"/>
    <w:rsid w:val="00F100A7"/>
    <w:rsid w:val="00F1015C"/>
    <w:rsid w:val="00F10CB2"/>
    <w:rsid w:val="00F10CE7"/>
    <w:rsid w:val="00F12642"/>
    <w:rsid w:val="00F12E55"/>
    <w:rsid w:val="00F13F85"/>
    <w:rsid w:val="00F15341"/>
    <w:rsid w:val="00F17BBC"/>
    <w:rsid w:val="00F17DEF"/>
    <w:rsid w:val="00F2390C"/>
    <w:rsid w:val="00F245E2"/>
    <w:rsid w:val="00F251EC"/>
    <w:rsid w:val="00F25C1C"/>
    <w:rsid w:val="00F26AAA"/>
    <w:rsid w:val="00F3090F"/>
    <w:rsid w:val="00F30D32"/>
    <w:rsid w:val="00F35014"/>
    <w:rsid w:val="00F3661B"/>
    <w:rsid w:val="00F3726B"/>
    <w:rsid w:val="00F401B2"/>
    <w:rsid w:val="00F40402"/>
    <w:rsid w:val="00F40976"/>
    <w:rsid w:val="00F410E7"/>
    <w:rsid w:val="00F413A1"/>
    <w:rsid w:val="00F4183B"/>
    <w:rsid w:val="00F41C5C"/>
    <w:rsid w:val="00F420C0"/>
    <w:rsid w:val="00F42583"/>
    <w:rsid w:val="00F4265A"/>
    <w:rsid w:val="00F42DA2"/>
    <w:rsid w:val="00F4480D"/>
    <w:rsid w:val="00F4494D"/>
    <w:rsid w:val="00F44E90"/>
    <w:rsid w:val="00F45934"/>
    <w:rsid w:val="00F47630"/>
    <w:rsid w:val="00F53EB4"/>
    <w:rsid w:val="00F54CF0"/>
    <w:rsid w:val="00F54F7A"/>
    <w:rsid w:val="00F553A3"/>
    <w:rsid w:val="00F55404"/>
    <w:rsid w:val="00F55C19"/>
    <w:rsid w:val="00F56433"/>
    <w:rsid w:val="00F571D4"/>
    <w:rsid w:val="00F6027B"/>
    <w:rsid w:val="00F609EF"/>
    <w:rsid w:val="00F6238E"/>
    <w:rsid w:val="00F62681"/>
    <w:rsid w:val="00F62B11"/>
    <w:rsid w:val="00F62BFC"/>
    <w:rsid w:val="00F62F01"/>
    <w:rsid w:val="00F63603"/>
    <w:rsid w:val="00F63956"/>
    <w:rsid w:val="00F63D75"/>
    <w:rsid w:val="00F6491C"/>
    <w:rsid w:val="00F6579B"/>
    <w:rsid w:val="00F65B28"/>
    <w:rsid w:val="00F6684F"/>
    <w:rsid w:val="00F67362"/>
    <w:rsid w:val="00F70716"/>
    <w:rsid w:val="00F718F8"/>
    <w:rsid w:val="00F726DE"/>
    <w:rsid w:val="00F72885"/>
    <w:rsid w:val="00F7313D"/>
    <w:rsid w:val="00F76BB4"/>
    <w:rsid w:val="00F8044D"/>
    <w:rsid w:val="00F81F53"/>
    <w:rsid w:val="00F84238"/>
    <w:rsid w:val="00F84432"/>
    <w:rsid w:val="00F84F51"/>
    <w:rsid w:val="00F85621"/>
    <w:rsid w:val="00F858F5"/>
    <w:rsid w:val="00F86253"/>
    <w:rsid w:val="00F86580"/>
    <w:rsid w:val="00F907CF"/>
    <w:rsid w:val="00F908C1"/>
    <w:rsid w:val="00F910C0"/>
    <w:rsid w:val="00F92B7A"/>
    <w:rsid w:val="00F92E10"/>
    <w:rsid w:val="00F93508"/>
    <w:rsid w:val="00F95EEE"/>
    <w:rsid w:val="00F95FA6"/>
    <w:rsid w:val="00F96024"/>
    <w:rsid w:val="00F96858"/>
    <w:rsid w:val="00F97C3D"/>
    <w:rsid w:val="00FA171A"/>
    <w:rsid w:val="00FA182A"/>
    <w:rsid w:val="00FA38AB"/>
    <w:rsid w:val="00FA47A8"/>
    <w:rsid w:val="00FA524F"/>
    <w:rsid w:val="00FA584D"/>
    <w:rsid w:val="00FA648D"/>
    <w:rsid w:val="00FA6BD9"/>
    <w:rsid w:val="00FA6DF9"/>
    <w:rsid w:val="00FA7500"/>
    <w:rsid w:val="00FB1223"/>
    <w:rsid w:val="00FB237A"/>
    <w:rsid w:val="00FB25EC"/>
    <w:rsid w:val="00FB4898"/>
    <w:rsid w:val="00FB62D9"/>
    <w:rsid w:val="00FB6495"/>
    <w:rsid w:val="00FB6997"/>
    <w:rsid w:val="00FB79DA"/>
    <w:rsid w:val="00FB79F7"/>
    <w:rsid w:val="00FC03D2"/>
    <w:rsid w:val="00FC1355"/>
    <w:rsid w:val="00FC14EB"/>
    <w:rsid w:val="00FC1592"/>
    <w:rsid w:val="00FC2ACC"/>
    <w:rsid w:val="00FC2B31"/>
    <w:rsid w:val="00FC4253"/>
    <w:rsid w:val="00FC4C2B"/>
    <w:rsid w:val="00FC5121"/>
    <w:rsid w:val="00FC5356"/>
    <w:rsid w:val="00FC6398"/>
    <w:rsid w:val="00FC7A12"/>
    <w:rsid w:val="00FD00F5"/>
    <w:rsid w:val="00FD09F5"/>
    <w:rsid w:val="00FD1B3F"/>
    <w:rsid w:val="00FD20BE"/>
    <w:rsid w:val="00FD25BA"/>
    <w:rsid w:val="00FD2983"/>
    <w:rsid w:val="00FD29BF"/>
    <w:rsid w:val="00FD2A2E"/>
    <w:rsid w:val="00FD3465"/>
    <w:rsid w:val="00FD3E75"/>
    <w:rsid w:val="00FD41C7"/>
    <w:rsid w:val="00FD428D"/>
    <w:rsid w:val="00FD5A27"/>
    <w:rsid w:val="00FD6ACF"/>
    <w:rsid w:val="00FD7E26"/>
    <w:rsid w:val="00FE029C"/>
    <w:rsid w:val="00FE1527"/>
    <w:rsid w:val="00FE3E13"/>
    <w:rsid w:val="00FE3ED7"/>
    <w:rsid w:val="00FE451F"/>
    <w:rsid w:val="00FE4C5A"/>
    <w:rsid w:val="00FE58E7"/>
    <w:rsid w:val="00FE6187"/>
    <w:rsid w:val="00FF0391"/>
    <w:rsid w:val="00FF050F"/>
    <w:rsid w:val="00FF0F3E"/>
    <w:rsid w:val="00FF2847"/>
    <w:rsid w:val="00FF2B1D"/>
    <w:rsid w:val="00FF3D74"/>
    <w:rsid w:val="00FF59F7"/>
    <w:rsid w:val="00FF60DD"/>
    <w:rsid w:val="00FF68F0"/>
    <w:rsid w:val="00FF76CF"/>
    <w:rsid w:val="00FF7E9B"/>
    <w:rsid w:val="010C148F"/>
    <w:rsid w:val="010C1C90"/>
    <w:rsid w:val="010C6812"/>
    <w:rsid w:val="010D0BCB"/>
    <w:rsid w:val="01120481"/>
    <w:rsid w:val="01137766"/>
    <w:rsid w:val="01175993"/>
    <w:rsid w:val="011D1024"/>
    <w:rsid w:val="012215C7"/>
    <w:rsid w:val="012703CE"/>
    <w:rsid w:val="012A453D"/>
    <w:rsid w:val="01345612"/>
    <w:rsid w:val="013501BE"/>
    <w:rsid w:val="0140076A"/>
    <w:rsid w:val="01463A05"/>
    <w:rsid w:val="014A684E"/>
    <w:rsid w:val="014C2D26"/>
    <w:rsid w:val="014D36DF"/>
    <w:rsid w:val="014E5F47"/>
    <w:rsid w:val="014F0A63"/>
    <w:rsid w:val="0152407E"/>
    <w:rsid w:val="01653143"/>
    <w:rsid w:val="016A2D6D"/>
    <w:rsid w:val="016F3F39"/>
    <w:rsid w:val="017101E5"/>
    <w:rsid w:val="01722000"/>
    <w:rsid w:val="017C72A4"/>
    <w:rsid w:val="017D7EB4"/>
    <w:rsid w:val="017E1F1A"/>
    <w:rsid w:val="01806F55"/>
    <w:rsid w:val="018253B9"/>
    <w:rsid w:val="018E1EC2"/>
    <w:rsid w:val="018E280F"/>
    <w:rsid w:val="019522FE"/>
    <w:rsid w:val="019C02EB"/>
    <w:rsid w:val="01A12BEC"/>
    <w:rsid w:val="01A96DC3"/>
    <w:rsid w:val="01B120DB"/>
    <w:rsid w:val="01B61A42"/>
    <w:rsid w:val="01CC09ED"/>
    <w:rsid w:val="01CD7784"/>
    <w:rsid w:val="01E44203"/>
    <w:rsid w:val="01ED4E70"/>
    <w:rsid w:val="01F81615"/>
    <w:rsid w:val="01FE08EA"/>
    <w:rsid w:val="01FE7261"/>
    <w:rsid w:val="02016D68"/>
    <w:rsid w:val="0202563F"/>
    <w:rsid w:val="020419C5"/>
    <w:rsid w:val="02053B88"/>
    <w:rsid w:val="02085CA6"/>
    <w:rsid w:val="020861E8"/>
    <w:rsid w:val="020D2ED3"/>
    <w:rsid w:val="022A4268"/>
    <w:rsid w:val="022A79EA"/>
    <w:rsid w:val="02323471"/>
    <w:rsid w:val="023F743A"/>
    <w:rsid w:val="02433186"/>
    <w:rsid w:val="0244228C"/>
    <w:rsid w:val="02480291"/>
    <w:rsid w:val="024A4361"/>
    <w:rsid w:val="024A52F5"/>
    <w:rsid w:val="024E3F8F"/>
    <w:rsid w:val="025100CF"/>
    <w:rsid w:val="025A2735"/>
    <w:rsid w:val="0262738D"/>
    <w:rsid w:val="026779C9"/>
    <w:rsid w:val="02696F9C"/>
    <w:rsid w:val="026C710F"/>
    <w:rsid w:val="026F6C6E"/>
    <w:rsid w:val="02763475"/>
    <w:rsid w:val="02790A1A"/>
    <w:rsid w:val="0281142E"/>
    <w:rsid w:val="02821EC4"/>
    <w:rsid w:val="02830C64"/>
    <w:rsid w:val="029817C3"/>
    <w:rsid w:val="02A03321"/>
    <w:rsid w:val="02A24EA9"/>
    <w:rsid w:val="02A4335A"/>
    <w:rsid w:val="02A66701"/>
    <w:rsid w:val="02A92B7F"/>
    <w:rsid w:val="02AC16BB"/>
    <w:rsid w:val="02AE5246"/>
    <w:rsid w:val="02B95990"/>
    <w:rsid w:val="02BA173D"/>
    <w:rsid w:val="02C940F5"/>
    <w:rsid w:val="02C95932"/>
    <w:rsid w:val="02CE6940"/>
    <w:rsid w:val="02DB4397"/>
    <w:rsid w:val="02EF07EC"/>
    <w:rsid w:val="02F0777B"/>
    <w:rsid w:val="02F20F08"/>
    <w:rsid w:val="02F36CF4"/>
    <w:rsid w:val="030114B7"/>
    <w:rsid w:val="03047872"/>
    <w:rsid w:val="03064FB5"/>
    <w:rsid w:val="0307613C"/>
    <w:rsid w:val="030F30BC"/>
    <w:rsid w:val="031023A5"/>
    <w:rsid w:val="03191F2B"/>
    <w:rsid w:val="031A3C5B"/>
    <w:rsid w:val="031A4284"/>
    <w:rsid w:val="032A7AE0"/>
    <w:rsid w:val="03446987"/>
    <w:rsid w:val="03455D32"/>
    <w:rsid w:val="034A08FC"/>
    <w:rsid w:val="034B493F"/>
    <w:rsid w:val="03641959"/>
    <w:rsid w:val="036C1284"/>
    <w:rsid w:val="036C68E0"/>
    <w:rsid w:val="0375105A"/>
    <w:rsid w:val="037772AE"/>
    <w:rsid w:val="03823F8C"/>
    <w:rsid w:val="03856B6C"/>
    <w:rsid w:val="038B360C"/>
    <w:rsid w:val="038C01C7"/>
    <w:rsid w:val="038E083C"/>
    <w:rsid w:val="039844B4"/>
    <w:rsid w:val="039C0BE7"/>
    <w:rsid w:val="03A67D93"/>
    <w:rsid w:val="03AB55F9"/>
    <w:rsid w:val="03B00822"/>
    <w:rsid w:val="03B047B2"/>
    <w:rsid w:val="03D50AAD"/>
    <w:rsid w:val="03D952B3"/>
    <w:rsid w:val="03E6585E"/>
    <w:rsid w:val="03F95764"/>
    <w:rsid w:val="03FA2EEA"/>
    <w:rsid w:val="03FC110A"/>
    <w:rsid w:val="03FE39F9"/>
    <w:rsid w:val="040C1810"/>
    <w:rsid w:val="04101249"/>
    <w:rsid w:val="04144A21"/>
    <w:rsid w:val="04147189"/>
    <w:rsid w:val="041A0279"/>
    <w:rsid w:val="0420738C"/>
    <w:rsid w:val="042E621A"/>
    <w:rsid w:val="04340E0E"/>
    <w:rsid w:val="043830BB"/>
    <w:rsid w:val="043A38DB"/>
    <w:rsid w:val="043B2658"/>
    <w:rsid w:val="043D6F82"/>
    <w:rsid w:val="043F1A6C"/>
    <w:rsid w:val="044341BD"/>
    <w:rsid w:val="044C25EB"/>
    <w:rsid w:val="044C3773"/>
    <w:rsid w:val="044E498E"/>
    <w:rsid w:val="044E73BE"/>
    <w:rsid w:val="044F5020"/>
    <w:rsid w:val="04560E9D"/>
    <w:rsid w:val="045D2753"/>
    <w:rsid w:val="045E7643"/>
    <w:rsid w:val="046162B7"/>
    <w:rsid w:val="04714120"/>
    <w:rsid w:val="047516B4"/>
    <w:rsid w:val="04761BD5"/>
    <w:rsid w:val="048D258D"/>
    <w:rsid w:val="048D4A0B"/>
    <w:rsid w:val="048E16CE"/>
    <w:rsid w:val="04917461"/>
    <w:rsid w:val="04963EA6"/>
    <w:rsid w:val="04964AD5"/>
    <w:rsid w:val="049A5657"/>
    <w:rsid w:val="04A00D2C"/>
    <w:rsid w:val="04A407D4"/>
    <w:rsid w:val="04AB5E8C"/>
    <w:rsid w:val="04AB7100"/>
    <w:rsid w:val="04AC2D0D"/>
    <w:rsid w:val="04AC677A"/>
    <w:rsid w:val="04AD2806"/>
    <w:rsid w:val="04D33888"/>
    <w:rsid w:val="04DC1E35"/>
    <w:rsid w:val="04E12202"/>
    <w:rsid w:val="04E27609"/>
    <w:rsid w:val="04EA3E3C"/>
    <w:rsid w:val="04EE27EB"/>
    <w:rsid w:val="04F36AA1"/>
    <w:rsid w:val="04F5383E"/>
    <w:rsid w:val="04F83A93"/>
    <w:rsid w:val="0509580E"/>
    <w:rsid w:val="051521F0"/>
    <w:rsid w:val="051E5085"/>
    <w:rsid w:val="05272053"/>
    <w:rsid w:val="052E3ECA"/>
    <w:rsid w:val="052F68D6"/>
    <w:rsid w:val="05457A05"/>
    <w:rsid w:val="054E0C6A"/>
    <w:rsid w:val="05566289"/>
    <w:rsid w:val="05783DEA"/>
    <w:rsid w:val="0581276A"/>
    <w:rsid w:val="058541E4"/>
    <w:rsid w:val="058D5B59"/>
    <w:rsid w:val="058E195D"/>
    <w:rsid w:val="05981ADB"/>
    <w:rsid w:val="05996886"/>
    <w:rsid w:val="059D76C2"/>
    <w:rsid w:val="05BF5CB7"/>
    <w:rsid w:val="05C945E1"/>
    <w:rsid w:val="05CB7E40"/>
    <w:rsid w:val="05D76CB6"/>
    <w:rsid w:val="05E507F6"/>
    <w:rsid w:val="05EB2B2C"/>
    <w:rsid w:val="05F7164A"/>
    <w:rsid w:val="05F8375A"/>
    <w:rsid w:val="060306C8"/>
    <w:rsid w:val="0613110D"/>
    <w:rsid w:val="06135C99"/>
    <w:rsid w:val="061D0AC7"/>
    <w:rsid w:val="061E25FC"/>
    <w:rsid w:val="06276E2F"/>
    <w:rsid w:val="062D49AE"/>
    <w:rsid w:val="062F707C"/>
    <w:rsid w:val="06322295"/>
    <w:rsid w:val="063A1C0A"/>
    <w:rsid w:val="064260E0"/>
    <w:rsid w:val="06561A5D"/>
    <w:rsid w:val="065A0D05"/>
    <w:rsid w:val="065A7F64"/>
    <w:rsid w:val="065C7D4E"/>
    <w:rsid w:val="068065D7"/>
    <w:rsid w:val="06960146"/>
    <w:rsid w:val="069F1C6A"/>
    <w:rsid w:val="06A32C88"/>
    <w:rsid w:val="06A47225"/>
    <w:rsid w:val="06BB1189"/>
    <w:rsid w:val="06C833EC"/>
    <w:rsid w:val="06CD34D8"/>
    <w:rsid w:val="06D31BFF"/>
    <w:rsid w:val="06D9059A"/>
    <w:rsid w:val="06DB51AB"/>
    <w:rsid w:val="06DC6A9C"/>
    <w:rsid w:val="06DE0B53"/>
    <w:rsid w:val="06E42B4C"/>
    <w:rsid w:val="06E46BBF"/>
    <w:rsid w:val="06F25D3A"/>
    <w:rsid w:val="06FD10D8"/>
    <w:rsid w:val="06FE62E5"/>
    <w:rsid w:val="07012736"/>
    <w:rsid w:val="070C40BE"/>
    <w:rsid w:val="070E35FD"/>
    <w:rsid w:val="070F690A"/>
    <w:rsid w:val="07101DF7"/>
    <w:rsid w:val="07166EDC"/>
    <w:rsid w:val="071946FE"/>
    <w:rsid w:val="0720007B"/>
    <w:rsid w:val="07210962"/>
    <w:rsid w:val="07221DB5"/>
    <w:rsid w:val="072A0DCF"/>
    <w:rsid w:val="072C3265"/>
    <w:rsid w:val="073565E8"/>
    <w:rsid w:val="073A2C55"/>
    <w:rsid w:val="0743169C"/>
    <w:rsid w:val="07467FA8"/>
    <w:rsid w:val="07512CBD"/>
    <w:rsid w:val="07624788"/>
    <w:rsid w:val="076652A0"/>
    <w:rsid w:val="076874C1"/>
    <w:rsid w:val="078D4C57"/>
    <w:rsid w:val="07927398"/>
    <w:rsid w:val="079B72DD"/>
    <w:rsid w:val="07A0489C"/>
    <w:rsid w:val="07A32381"/>
    <w:rsid w:val="07A90BFC"/>
    <w:rsid w:val="07AB1057"/>
    <w:rsid w:val="07AB40B8"/>
    <w:rsid w:val="07AC1ED1"/>
    <w:rsid w:val="07B70F81"/>
    <w:rsid w:val="07B8633C"/>
    <w:rsid w:val="07B8641A"/>
    <w:rsid w:val="07C41D9F"/>
    <w:rsid w:val="07C70B65"/>
    <w:rsid w:val="07CB69ED"/>
    <w:rsid w:val="07CD0A05"/>
    <w:rsid w:val="07DA198C"/>
    <w:rsid w:val="07E765C6"/>
    <w:rsid w:val="07F151FF"/>
    <w:rsid w:val="07F21D0D"/>
    <w:rsid w:val="07F57AAB"/>
    <w:rsid w:val="07FD2660"/>
    <w:rsid w:val="07FD2A72"/>
    <w:rsid w:val="07FD7076"/>
    <w:rsid w:val="080004FA"/>
    <w:rsid w:val="08022F48"/>
    <w:rsid w:val="080B3691"/>
    <w:rsid w:val="08100415"/>
    <w:rsid w:val="08180C46"/>
    <w:rsid w:val="081859FB"/>
    <w:rsid w:val="0824674B"/>
    <w:rsid w:val="082471EB"/>
    <w:rsid w:val="082E48AE"/>
    <w:rsid w:val="083E23EE"/>
    <w:rsid w:val="08427A46"/>
    <w:rsid w:val="08464E16"/>
    <w:rsid w:val="0851079C"/>
    <w:rsid w:val="086204F4"/>
    <w:rsid w:val="086964F1"/>
    <w:rsid w:val="087A0598"/>
    <w:rsid w:val="08850F94"/>
    <w:rsid w:val="088C1DDA"/>
    <w:rsid w:val="088D3030"/>
    <w:rsid w:val="088E7525"/>
    <w:rsid w:val="08923FFF"/>
    <w:rsid w:val="08976440"/>
    <w:rsid w:val="089F763B"/>
    <w:rsid w:val="08A7181B"/>
    <w:rsid w:val="08AB5AB1"/>
    <w:rsid w:val="08AF3BEA"/>
    <w:rsid w:val="08B71EDB"/>
    <w:rsid w:val="08B92A1F"/>
    <w:rsid w:val="08CA0973"/>
    <w:rsid w:val="08CB3E4D"/>
    <w:rsid w:val="08D5537D"/>
    <w:rsid w:val="08DF3DDF"/>
    <w:rsid w:val="08E42E69"/>
    <w:rsid w:val="08E97AAB"/>
    <w:rsid w:val="08F97C85"/>
    <w:rsid w:val="0901079B"/>
    <w:rsid w:val="090E0B90"/>
    <w:rsid w:val="091D5093"/>
    <w:rsid w:val="091F0529"/>
    <w:rsid w:val="093152EF"/>
    <w:rsid w:val="09335C35"/>
    <w:rsid w:val="093A1C22"/>
    <w:rsid w:val="094E25BD"/>
    <w:rsid w:val="096D0A27"/>
    <w:rsid w:val="096E045F"/>
    <w:rsid w:val="09760427"/>
    <w:rsid w:val="097E0548"/>
    <w:rsid w:val="09814209"/>
    <w:rsid w:val="09831081"/>
    <w:rsid w:val="098A59EA"/>
    <w:rsid w:val="09961E87"/>
    <w:rsid w:val="09A35753"/>
    <w:rsid w:val="09B54023"/>
    <w:rsid w:val="09BB5885"/>
    <w:rsid w:val="09BB752C"/>
    <w:rsid w:val="09BC37D6"/>
    <w:rsid w:val="09C10E8F"/>
    <w:rsid w:val="09D14DAD"/>
    <w:rsid w:val="09DB2482"/>
    <w:rsid w:val="09E557BE"/>
    <w:rsid w:val="09EB6C65"/>
    <w:rsid w:val="09ED69B0"/>
    <w:rsid w:val="09F013FB"/>
    <w:rsid w:val="09FC5508"/>
    <w:rsid w:val="09FC7537"/>
    <w:rsid w:val="09FD4163"/>
    <w:rsid w:val="0A073E9A"/>
    <w:rsid w:val="0A0C40D8"/>
    <w:rsid w:val="0A0D65BD"/>
    <w:rsid w:val="0A1062A7"/>
    <w:rsid w:val="0A127378"/>
    <w:rsid w:val="0A1646C7"/>
    <w:rsid w:val="0A223A43"/>
    <w:rsid w:val="0A2A2B3C"/>
    <w:rsid w:val="0A2E5FC8"/>
    <w:rsid w:val="0A305D6B"/>
    <w:rsid w:val="0A317FDD"/>
    <w:rsid w:val="0A3640AA"/>
    <w:rsid w:val="0A4A3FC7"/>
    <w:rsid w:val="0A4B1248"/>
    <w:rsid w:val="0A4D7984"/>
    <w:rsid w:val="0A4F0643"/>
    <w:rsid w:val="0A541767"/>
    <w:rsid w:val="0A5A11FC"/>
    <w:rsid w:val="0A5A6970"/>
    <w:rsid w:val="0A623B5F"/>
    <w:rsid w:val="0A644588"/>
    <w:rsid w:val="0A6A4F3C"/>
    <w:rsid w:val="0A9056B6"/>
    <w:rsid w:val="0AAA46AC"/>
    <w:rsid w:val="0AAD7B27"/>
    <w:rsid w:val="0AB07C0F"/>
    <w:rsid w:val="0ABE4132"/>
    <w:rsid w:val="0ABF6B32"/>
    <w:rsid w:val="0ACE4101"/>
    <w:rsid w:val="0AD03FC6"/>
    <w:rsid w:val="0AE81E24"/>
    <w:rsid w:val="0AF372C0"/>
    <w:rsid w:val="0AF60852"/>
    <w:rsid w:val="0AFC376F"/>
    <w:rsid w:val="0AFF5777"/>
    <w:rsid w:val="0B003A7F"/>
    <w:rsid w:val="0B010A57"/>
    <w:rsid w:val="0B066484"/>
    <w:rsid w:val="0B08057E"/>
    <w:rsid w:val="0B085020"/>
    <w:rsid w:val="0B191D2D"/>
    <w:rsid w:val="0B1A4DA3"/>
    <w:rsid w:val="0B1A524D"/>
    <w:rsid w:val="0B1D2834"/>
    <w:rsid w:val="0B2541E6"/>
    <w:rsid w:val="0B3B5EBB"/>
    <w:rsid w:val="0B3F1C75"/>
    <w:rsid w:val="0B404EF9"/>
    <w:rsid w:val="0B4167D3"/>
    <w:rsid w:val="0B443C3C"/>
    <w:rsid w:val="0B5104B0"/>
    <w:rsid w:val="0B520663"/>
    <w:rsid w:val="0B523F83"/>
    <w:rsid w:val="0B5A5B0B"/>
    <w:rsid w:val="0B6527A9"/>
    <w:rsid w:val="0B6B1570"/>
    <w:rsid w:val="0B712C13"/>
    <w:rsid w:val="0B7F2A16"/>
    <w:rsid w:val="0B822CD7"/>
    <w:rsid w:val="0B841030"/>
    <w:rsid w:val="0B887C50"/>
    <w:rsid w:val="0B8B2763"/>
    <w:rsid w:val="0B8C7D2A"/>
    <w:rsid w:val="0B8E2167"/>
    <w:rsid w:val="0B8E2F6D"/>
    <w:rsid w:val="0BA94C12"/>
    <w:rsid w:val="0BB51EBD"/>
    <w:rsid w:val="0BB661B1"/>
    <w:rsid w:val="0BBA7034"/>
    <w:rsid w:val="0BC21CAE"/>
    <w:rsid w:val="0BC55E7E"/>
    <w:rsid w:val="0BD11EA5"/>
    <w:rsid w:val="0BD5086A"/>
    <w:rsid w:val="0BD670A5"/>
    <w:rsid w:val="0BDF21F3"/>
    <w:rsid w:val="0BE0129F"/>
    <w:rsid w:val="0BE944A8"/>
    <w:rsid w:val="0C000CEC"/>
    <w:rsid w:val="0C01300D"/>
    <w:rsid w:val="0C06175F"/>
    <w:rsid w:val="0C0D3246"/>
    <w:rsid w:val="0C100190"/>
    <w:rsid w:val="0C12601F"/>
    <w:rsid w:val="0C1777D6"/>
    <w:rsid w:val="0C1C20CA"/>
    <w:rsid w:val="0C4542AF"/>
    <w:rsid w:val="0C46750C"/>
    <w:rsid w:val="0C590374"/>
    <w:rsid w:val="0C5F3FAC"/>
    <w:rsid w:val="0C6205A7"/>
    <w:rsid w:val="0C6375C9"/>
    <w:rsid w:val="0C666891"/>
    <w:rsid w:val="0C68033F"/>
    <w:rsid w:val="0C700F61"/>
    <w:rsid w:val="0C761867"/>
    <w:rsid w:val="0C8850D3"/>
    <w:rsid w:val="0C8B4DA9"/>
    <w:rsid w:val="0C95173A"/>
    <w:rsid w:val="0C995229"/>
    <w:rsid w:val="0CA35155"/>
    <w:rsid w:val="0CA37493"/>
    <w:rsid w:val="0CAC2474"/>
    <w:rsid w:val="0CBB46D5"/>
    <w:rsid w:val="0CBD0834"/>
    <w:rsid w:val="0CBF27C7"/>
    <w:rsid w:val="0CC204CC"/>
    <w:rsid w:val="0CC62003"/>
    <w:rsid w:val="0CD30DD5"/>
    <w:rsid w:val="0CDA6F6F"/>
    <w:rsid w:val="0CE32CE7"/>
    <w:rsid w:val="0CE73442"/>
    <w:rsid w:val="0CEC23AB"/>
    <w:rsid w:val="0CEE1489"/>
    <w:rsid w:val="0CEE63D5"/>
    <w:rsid w:val="0CF04367"/>
    <w:rsid w:val="0CFD5C3E"/>
    <w:rsid w:val="0CFE4228"/>
    <w:rsid w:val="0D032877"/>
    <w:rsid w:val="0D04543A"/>
    <w:rsid w:val="0D096688"/>
    <w:rsid w:val="0D0B19A2"/>
    <w:rsid w:val="0D1557DB"/>
    <w:rsid w:val="0D16005E"/>
    <w:rsid w:val="0D1B1CFA"/>
    <w:rsid w:val="0D1C76C1"/>
    <w:rsid w:val="0D1D5137"/>
    <w:rsid w:val="0D203752"/>
    <w:rsid w:val="0D2A3B2D"/>
    <w:rsid w:val="0D3064B5"/>
    <w:rsid w:val="0D335645"/>
    <w:rsid w:val="0D434EB1"/>
    <w:rsid w:val="0D452E4B"/>
    <w:rsid w:val="0D470C2C"/>
    <w:rsid w:val="0D5A7C34"/>
    <w:rsid w:val="0D5B6282"/>
    <w:rsid w:val="0D7F03FB"/>
    <w:rsid w:val="0D8A2C6F"/>
    <w:rsid w:val="0D8C7F3C"/>
    <w:rsid w:val="0D903FB1"/>
    <w:rsid w:val="0D921D99"/>
    <w:rsid w:val="0D9846D5"/>
    <w:rsid w:val="0D985A77"/>
    <w:rsid w:val="0D991BD4"/>
    <w:rsid w:val="0DAF39F3"/>
    <w:rsid w:val="0DB21F19"/>
    <w:rsid w:val="0DB50AA2"/>
    <w:rsid w:val="0DC72BC8"/>
    <w:rsid w:val="0DD33B73"/>
    <w:rsid w:val="0DDA73F2"/>
    <w:rsid w:val="0DDE4580"/>
    <w:rsid w:val="0DF117B1"/>
    <w:rsid w:val="0DF61C06"/>
    <w:rsid w:val="0DF67487"/>
    <w:rsid w:val="0DFA02DD"/>
    <w:rsid w:val="0E074BDC"/>
    <w:rsid w:val="0E0868B1"/>
    <w:rsid w:val="0E095943"/>
    <w:rsid w:val="0E0C5926"/>
    <w:rsid w:val="0E1818C7"/>
    <w:rsid w:val="0E207833"/>
    <w:rsid w:val="0E357861"/>
    <w:rsid w:val="0E3A79EC"/>
    <w:rsid w:val="0E3C6236"/>
    <w:rsid w:val="0E413C63"/>
    <w:rsid w:val="0E433EEE"/>
    <w:rsid w:val="0E474A5E"/>
    <w:rsid w:val="0E484CFD"/>
    <w:rsid w:val="0E494271"/>
    <w:rsid w:val="0E555BCD"/>
    <w:rsid w:val="0E58499C"/>
    <w:rsid w:val="0E5A4217"/>
    <w:rsid w:val="0E5E5E3A"/>
    <w:rsid w:val="0E771BCB"/>
    <w:rsid w:val="0E7936CC"/>
    <w:rsid w:val="0E973DC8"/>
    <w:rsid w:val="0E981671"/>
    <w:rsid w:val="0E9D4A4E"/>
    <w:rsid w:val="0E9D54AF"/>
    <w:rsid w:val="0EA5357D"/>
    <w:rsid w:val="0EA93DFB"/>
    <w:rsid w:val="0EAA0305"/>
    <w:rsid w:val="0EAF2537"/>
    <w:rsid w:val="0EC62034"/>
    <w:rsid w:val="0EC87F79"/>
    <w:rsid w:val="0ECB0429"/>
    <w:rsid w:val="0ECB336D"/>
    <w:rsid w:val="0EDD3326"/>
    <w:rsid w:val="0EE41C44"/>
    <w:rsid w:val="0EE645BF"/>
    <w:rsid w:val="0EEB12C9"/>
    <w:rsid w:val="0EED1564"/>
    <w:rsid w:val="0EEE4D84"/>
    <w:rsid w:val="0EF9296F"/>
    <w:rsid w:val="0EFC3C85"/>
    <w:rsid w:val="0F150856"/>
    <w:rsid w:val="0F1B372C"/>
    <w:rsid w:val="0F20057E"/>
    <w:rsid w:val="0F2A069B"/>
    <w:rsid w:val="0F3052A2"/>
    <w:rsid w:val="0F333A69"/>
    <w:rsid w:val="0F381045"/>
    <w:rsid w:val="0F391669"/>
    <w:rsid w:val="0F3E4896"/>
    <w:rsid w:val="0F3F7ACF"/>
    <w:rsid w:val="0F421242"/>
    <w:rsid w:val="0F524952"/>
    <w:rsid w:val="0F610EDD"/>
    <w:rsid w:val="0F623453"/>
    <w:rsid w:val="0F671E49"/>
    <w:rsid w:val="0F6F7192"/>
    <w:rsid w:val="0F7360DC"/>
    <w:rsid w:val="0F763E6D"/>
    <w:rsid w:val="0F77646B"/>
    <w:rsid w:val="0F786ED0"/>
    <w:rsid w:val="0F7C4368"/>
    <w:rsid w:val="0F907165"/>
    <w:rsid w:val="0F920B7F"/>
    <w:rsid w:val="0F964634"/>
    <w:rsid w:val="0F974F10"/>
    <w:rsid w:val="0FA0301C"/>
    <w:rsid w:val="0FA236BE"/>
    <w:rsid w:val="0FA32AF8"/>
    <w:rsid w:val="0FAF7844"/>
    <w:rsid w:val="0FB57AA8"/>
    <w:rsid w:val="0FB77370"/>
    <w:rsid w:val="0FBA322A"/>
    <w:rsid w:val="0FBC0D5E"/>
    <w:rsid w:val="0FC044EE"/>
    <w:rsid w:val="0FDC6094"/>
    <w:rsid w:val="0FDD3BB0"/>
    <w:rsid w:val="0FDE03C4"/>
    <w:rsid w:val="0FE22310"/>
    <w:rsid w:val="0FE66B1C"/>
    <w:rsid w:val="10042379"/>
    <w:rsid w:val="10090B53"/>
    <w:rsid w:val="101448C1"/>
    <w:rsid w:val="10166E5B"/>
    <w:rsid w:val="101B760B"/>
    <w:rsid w:val="101D6EDA"/>
    <w:rsid w:val="101F3021"/>
    <w:rsid w:val="10216EC2"/>
    <w:rsid w:val="1022792F"/>
    <w:rsid w:val="10251E45"/>
    <w:rsid w:val="1031613A"/>
    <w:rsid w:val="103F6E90"/>
    <w:rsid w:val="104F5D4E"/>
    <w:rsid w:val="10535F39"/>
    <w:rsid w:val="105742B1"/>
    <w:rsid w:val="105D104F"/>
    <w:rsid w:val="106B291F"/>
    <w:rsid w:val="10750571"/>
    <w:rsid w:val="10774DEE"/>
    <w:rsid w:val="10775F87"/>
    <w:rsid w:val="107A5C99"/>
    <w:rsid w:val="107B000A"/>
    <w:rsid w:val="107C1BAD"/>
    <w:rsid w:val="107D5950"/>
    <w:rsid w:val="107E5F3A"/>
    <w:rsid w:val="10806EA4"/>
    <w:rsid w:val="10865D10"/>
    <w:rsid w:val="108E783D"/>
    <w:rsid w:val="10923E54"/>
    <w:rsid w:val="109440FA"/>
    <w:rsid w:val="10951005"/>
    <w:rsid w:val="10954A44"/>
    <w:rsid w:val="10995373"/>
    <w:rsid w:val="10A05C0F"/>
    <w:rsid w:val="10A55FD1"/>
    <w:rsid w:val="10A9356D"/>
    <w:rsid w:val="10AF0048"/>
    <w:rsid w:val="10B4647F"/>
    <w:rsid w:val="10B92638"/>
    <w:rsid w:val="10BF356E"/>
    <w:rsid w:val="10CA16B9"/>
    <w:rsid w:val="10CB38E2"/>
    <w:rsid w:val="10D2375A"/>
    <w:rsid w:val="10DF3988"/>
    <w:rsid w:val="10EB793A"/>
    <w:rsid w:val="10EE1AB1"/>
    <w:rsid w:val="10F715D2"/>
    <w:rsid w:val="10FC183D"/>
    <w:rsid w:val="10FC2CA3"/>
    <w:rsid w:val="10FF361B"/>
    <w:rsid w:val="110A0799"/>
    <w:rsid w:val="111677C5"/>
    <w:rsid w:val="11255A60"/>
    <w:rsid w:val="112F7B0E"/>
    <w:rsid w:val="113454D2"/>
    <w:rsid w:val="11357DBC"/>
    <w:rsid w:val="113F3C3D"/>
    <w:rsid w:val="11440E7F"/>
    <w:rsid w:val="114759C6"/>
    <w:rsid w:val="11476A92"/>
    <w:rsid w:val="114F4842"/>
    <w:rsid w:val="11636424"/>
    <w:rsid w:val="116B5631"/>
    <w:rsid w:val="11814CB4"/>
    <w:rsid w:val="11934171"/>
    <w:rsid w:val="1194236D"/>
    <w:rsid w:val="11986ED6"/>
    <w:rsid w:val="119A69CF"/>
    <w:rsid w:val="11A46600"/>
    <w:rsid w:val="11AA01BE"/>
    <w:rsid w:val="11AE705B"/>
    <w:rsid w:val="11B33C40"/>
    <w:rsid w:val="11C01DE8"/>
    <w:rsid w:val="11C669DF"/>
    <w:rsid w:val="11D6097B"/>
    <w:rsid w:val="11D72BDB"/>
    <w:rsid w:val="11D7669B"/>
    <w:rsid w:val="11D8613D"/>
    <w:rsid w:val="11DA19BB"/>
    <w:rsid w:val="11DE015B"/>
    <w:rsid w:val="11E501E0"/>
    <w:rsid w:val="11E9605F"/>
    <w:rsid w:val="11E975B8"/>
    <w:rsid w:val="12023FBB"/>
    <w:rsid w:val="1208750C"/>
    <w:rsid w:val="12092FBF"/>
    <w:rsid w:val="120A48F9"/>
    <w:rsid w:val="121747CF"/>
    <w:rsid w:val="121807A8"/>
    <w:rsid w:val="122015BE"/>
    <w:rsid w:val="122A7330"/>
    <w:rsid w:val="123A1E65"/>
    <w:rsid w:val="123F5F05"/>
    <w:rsid w:val="12453CFA"/>
    <w:rsid w:val="124F5F91"/>
    <w:rsid w:val="125216D1"/>
    <w:rsid w:val="12536FCA"/>
    <w:rsid w:val="12563D9F"/>
    <w:rsid w:val="12577B38"/>
    <w:rsid w:val="1271248F"/>
    <w:rsid w:val="1274123E"/>
    <w:rsid w:val="12876A95"/>
    <w:rsid w:val="128A2CE9"/>
    <w:rsid w:val="128E1D31"/>
    <w:rsid w:val="129567D4"/>
    <w:rsid w:val="129A3064"/>
    <w:rsid w:val="129D4EC9"/>
    <w:rsid w:val="12A5605D"/>
    <w:rsid w:val="12AD25B7"/>
    <w:rsid w:val="12AE61F0"/>
    <w:rsid w:val="12AF698C"/>
    <w:rsid w:val="12B06E32"/>
    <w:rsid w:val="12BB4865"/>
    <w:rsid w:val="12C32FF7"/>
    <w:rsid w:val="12C61441"/>
    <w:rsid w:val="12CB5C10"/>
    <w:rsid w:val="12CC28A6"/>
    <w:rsid w:val="12CC7873"/>
    <w:rsid w:val="12D2747B"/>
    <w:rsid w:val="12DB66FD"/>
    <w:rsid w:val="12DE0E1B"/>
    <w:rsid w:val="12DE3F2A"/>
    <w:rsid w:val="12F13221"/>
    <w:rsid w:val="12F41541"/>
    <w:rsid w:val="12F67BBA"/>
    <w:rsid w:val="13025A08"/>
    <w:rsid w:val="13025BCD"/>
    <w:rsid w:val="13070D86"/>
    <w:rsid w:val="130C3879"/>
    <w:rsid w:val="131A58DF"/>
    <w:rsid w:val="1322608D"/>
    <w:rsid w:val="132C59EC"/>
    <w:rsid w:val="13414639"/>
    <w:rsid w:val="134D4638"/>
    <w:rsid w:val="134E1644"/>
    <w:rsid w:val="135A6A73"/>
    <w:rsid w:val="135E751F"/>
    <w:rsid w:val="136B1D2E"/>
    <w:rsid w:val="13702FBB"/>
    <w:rsid w:val="1372360C"/>
    <w:rsid w:val="13782336"/>
    <w:rsid w:val="137825FA"/>
    <w:rsid w:val="137875A9"/>
    <w:rsid w:val="137F087B"/>
    <w:rsid w:val="137F2767"/>
    <w:rsid w:val="139223FE"/>
    <w:rsid w:val="13B24703"/>
    <w:rsid w:val="13C20DE5"/>
    <w:rsid w:val="13C557E3"/>
    <w:rsid w:val="13C84635"/>
    <w:rsid w:val="13CC3B21"/>
    <w:rsid w:val="13CE519D"/>
    <w:rsid w:val="13D04F49"/>
    <w:rsid w:val="13D17048"/>
    <w:rsid w:val="13D87910"/>
    <w:rsid w:val="13E018AA"/>
    <w:rsid w:val="13E83AD4"/>
    <w:rsid w:val="13F328A1"/>
    <w:rsid w:val="13F7682D"/>
    <w:rsid w:val="13F9599E"/>
    <w:rsid w:val="13FA29DB"/>
    <w:rsid w:val="13FE422F"/>
    <w:rsid w:val="14023985"/>
    <w:rsid w:val="140421EF"/>
    <w:rsid w:val="14056CF6"/>
    <w:rsid w:val="1408405C"/>
    <w:rsid w:val="140E5A94"/>
    <w:rsid w:val="14112F71"/>
    <w:rsid w:val="14116718"/>
    <w:rsid w:val="14182375"/>
    <w:rsid w:val="141C2FCB"/>
    <w:rsid w:val="141E570C"/>
    <w:rsid w:val="142217AC"/>
    <w:rsid w:val="142E4D53"/>
    <w:rsid w:val="142F444E"/>
    <w:rsid w:val="14333C77"/>
    <w:rsid w:val="143520B9"/>
    <w:rsid w:val="143C4C50"/>
    <w:rsid w:val="14501B02"/>
    <w:rsid w:val="145939C4"/>
    <w:rsid w:val="145D1016"/>
    <w:rsid w:val="146315B3"/>
    <w:rsid w:val="14666595"/>
    <w:rsid w:val="146668FC"/>
    <w:rsid w:val="146A0AA4"/>
    <w:rsid w:val="146C0118"/>
    <w:rsid w:val="146D3E9C"/>
    <w:rsid w:val="14775224"/>
    <w:rsid w:val="147C2B0C"/>
    <w:rsid w:val="14812B5E"/>
    <w:rsid w:val="148A2C4E"/>
    <w:rsid w:val="148B3E0E"/>
    <w:rsid w:val="148D675E"/>
    <w:rsid w:val="149830DC"/>
    <w:rsid w:val="149E71B6"/>
    <w:rsid w:val="14A21D1C"/>
    <w:rsid w:val="14A47888"/>
    <w:rsid w:val="14AA75E6"/>
    <w:rsid w:val="14B841FB"/>
    <w:rsid w:val="14C200A9"/>
    <w:rsid w:val="14C530C9"/>
    <w:rsid w:val="14CD5A96"/>
    <w:rsid w:val="14D23011"/>
    <w:rsid w:val="14D2748F"/>
    <w:rsid w:val="14D477C9"/>
    <w:rsid w:val="14D61FAB"/>
    <w:rsid w:val="14D842C1"/>
    <w:rsid w:val="14DB7DF1"/>
    <w:rsid w:val="14DF43DA"/>
    <w:rsid w:val="14E64A9C"/>
    <w:rsid w:val="14EC5C37"/>
    <w:rsid w:val="14F64BC3"/>
    <w:rsid w:val="14F73709"/>
    <w:rsid w:val="14FC10DC"/>
    <w:rsid w:val="1502453A"/>
    <w:rsid w:val="150C1657"/>
    <w:rsid w:val="150E012A"/>
    <w:rsid w:val="150F7EC9"/>
    <w:rsid w:val="151A2D6F"/>
    <w:rsid w:val="151B495B"/>
    <w:rsid w:val="151B6874"/>
    <w:rsid w:val="151C72D6"/>
    <w:rsid w:val="15211952"/>
    <w:rsid w:val="15284EDB"/>
    <w:rsid w:val="152E2C6A"/>
    <w:rsid w:val="152F1BE2"/>
    <w:rsid w:val="15306283"/>
    <w:rsid w:val="153478C5"/>
    <w:rsid w:val="153711B3"/>
    <w:rsid w:val="153B5408"/>
    <w:rsid w:val="154E74B8"/>
    <w:rsid w:val="155535D6"/>
    <w:rsid w:val="155F57DB"/>
    <w:rsid w:val="15616133"/>
    <w:rsid w:val="15656449"/>
    <w:rsid w:val="15696958"/>
    <w:rsid w:val="1571560F"/>
    <w:rsid w:val="158D44B7"/>
    <w:rsid w:val="158E7823"/>
    <w:rsid w:val="15903C30"/>
    <w:rsid w:val="15A410EE"/>
    <w:rsid w:val="15AA04D9"/>
    <w:rsid w:val="15AC1F8F"/>
    <w:rsid w:val="15AE4DAD"/>
    <w:rsid w:val="15B37523"/>
    <w:rsid w:val="15B93201"/>
    <w:rsid w:val="15BA2762"/>
    <w:rsid w:val="15BB3E53"/>
    <w:rsid w:val="15C03DA8"/>
    <w:rsid w:val="15C47206"/>
    <w:rsid w:val="15C70D77"/>
    <w:rsid w:val="15C85A25"/>
    <w:rsid w:val="15C94C5B"/>
    <w:rsid w:val="15D31197"/>
    <w:rsid w:val="15D455CE"/>
    <w:rsid w:val="15DD07D4"/>
    <w:rsid w:val="15DE7FE1"/>
    <w:rsid w:val="15E1147B"/>
    <w:rsid w:val="15E44BDA"/>
    <w:rsid w:val="15E50C09"/>
    <w:rsid w:val="15E70E77"/>
    <w:rsid w:val="15EA439E"/>
    <w:rsid w:val="160F6F9F"/>
    <w:rsid w:val="16164E0E"/>
    <w:rsid w:val="161747CE"/>
    <w:rsid w:val="161A3DA3"/>
    <w:rsid w:val="161A73C2"/>
    <w:rsid w:val="161D5185"/>
    <w:rsid w:val="1624233D"/>
    <w:rsid w:val="16290178"/>
    <w:rsid w:val="162A794E"/>
    <w:rsid w:val="16402CB0"/>
    <w:rsid w:val="16473933"/>
    <w:rsid w:val="164A3657"/>
    <w:rsid w:val="164B6880"/>
    <w:rsid w:val="16507393"/>
    <w:rsid w:val="16523DD4"/>
    <w:rsid w:val="1654040B"/>
    <w:rsid w:val="16540888"/>
    <w:rsid w:val="165A63CF"/>
    <w:rsid w:val="166A67DD"/>
    <w:rsid w:val="166B7621"/>
    <w:rsid w:val="166D7D9F"/>
    <w:rsid w:val="167023AB"/>
    <w:rsid w:val="167C71C7"/>
    <w:rsid w:val="167D6193"/>
    <w:rsid w:val="167F6261"/>
    <w:rsid w:val="16811AFC"/>
    <w:rsid w:val="1683697E"/>
    <w:rsid w:val="16872744"/>
    <w:rsid w:val="169117F2"/>
    <w:rsid w:val="169425D5"/>
    <w:rsid w:val="16993A3D"/>
    <w:rsid w:val="169B4C56"/>
    <w:rsid w:val="16A24231"/>
    <w:rsid w:val="16A637D4"/>
    <w:rsid w:val="16A67EC3"/>
    <w:rsid w:val="16AB28CA"/>
    <w:rsid w:val="16AD15ED"/>
    <w:rsid w:val="16B0532D"/>
    <w:rsid w:val="16B14AE9"/>
    <w:rsid w:val="16B25822"/>
    <w:rsid w:val="16B32E5E"/>
    <w:rsid w:val="16B34C69"/>
    <w:rsid w:val="16B8647A"/>
    <w:rsid w:val="16BE6B59"/>
    <w:rsid w:val="16C6455D"/>
    <w:rsid w:val="16CB700D"/>
    <w:rsid w:val="16D12464"/>
    <w:rsid w:val="16DA162B"/>
    <w:rsid w:val="16DC684E"/>
    <w:rsid w:val="16E022E2"/>
    <w:rsid w:val="16E15D10"/>
    <w:rsid w:val="16EA701A"/>
    <w:rsid w:val="16EB1BAA"/>
    <w:rsid w:val="16F028AD"/>
    <w:rsid w:val="16F31EC5"/>
    <w:rsid w:val="16F424AC"/>
    <w:rsid w:val="16F530EE"/>
    <w:rsid w:val="16F8068A"/>
    <w:rsid w:val="16FB7234"/>
    <w:rsid w:val="170D72FC"/>
    <w:rsid w:val="17166AD3"/>
    <w:rsid w:val="171F6C28"/>
    <w:rsid w:val="17292631"/>
    <w:rsid w:val="172B0A1A"/>
    <w:rsid w:val="172F72DE"/>
    <w:rsid w:val="17481B66"/>
    <w:rsid w:val="17481FA6"/>
    <w:rsid w:val="174E606F"/>
    <w:rsid w:val="17565CDE"/>
    <w:rsid w:val="175A4F58"/>
    <w:rsid w:val="175D02AA"/>
    <w:rsid w:val="175F53E4"/>
    <w:rsid w:val="176037C7"/>
    <w:rsid w:val="17701E3C"/>
    <w:rsid w:val="1773040E"/>
    <w:rsid w:val="17745005"/>
    <w:rsid w:val="177675B3"/>
    <w:rsid w:val="17841F04"/>
    <w:rsid w:val="17846A9F"/>
    <w:rsid w:val="17870A2F"/>
    <w:rsid w:val="178B6289"/>
    <w:rsid w:val="1797202E"/>
    <w:rsid w:val="179B077C"/>
    <w:rsid w:val="179C437B"/>
    <w:rsid w:val="17A41865"/>
    <w:rsid w:val="17B11843"/>
    <w:rsid w:val="17B54B29"/>
    <w:rsid w:val="17C24F16"/>
    <w:rsid w:val="17C56568"/>
    <w:rsid w:val="17D30480"/>
    <w:rsid w:val="17D43BFE"/>
    <w:rsid w:val="17DE07DB"/>
    <w:rsid w:val="17E412FE"/>
    <w:rsid w:val="17E53CB7"/>
    <w:rsid w:val="17F45886"/>
    <w:rsid w:val="17FC0D84"/>
    <w:rsid w:val="18125572"/>
    <w:rsid w:val="18127E8C"/>
    <w:rsid w:val="1816382E"/>
    <w:rsid w:val="181924F9"/>
    <w:rsid w:val="182E45DF"/>
    <w:rsid w:val="182E5063"/>
    <w:rsid w:val="18363B5A"/>
    <w:rsid w:val="18571F5D"/>
    <w:rsid w:val="18612692"/>
    <w:rsid w:val="186448E9"/>
    <w:rsid w:val="186673E6"/>
    <w:rsid w:val="186C056F"/>
    <w:rsid w:val="186E497B"/>
    <w:rsid w:val="18706EA0"/>
    <w:rsid w:val="187618CD"/>
    <w:rsid w:val="187A2F3B"/>
    <w:rsid w:val="18842BDE"/>
    <w:rsid w:val="18876EC9"/>
    <w:rsid w:val="189A765F"/>
    <w:rsid w:val="18A711E1"/>
    <w:rsid w:val="18B45EEB"/>
    <w:rsid w:val="18B82DE2"/>
    <w:rsid w:val="18BF3C11"/>
    <w:rsid w:val="18C20C71"/>
    <w:rsid w:val="18C5143C"/>
    <w:rsid w:val="18C90A3A"/>
    <w:rsid w:val="18C96967"/>
    <w:rsid w:val="18D06FEB"/>
    <w:rsid w:val="18D91E2D"/>
    <w:rsid w:val="18DB59DE"/>
    <w:rsid w:val="18DC1ACD"/>
    <w:rsid w:val="18E53613"/>
    <w:rsid w:val="18E85706"/>
    <w:rsid w:val="18F42A98"/>
    <w:rsid w:val="18F8452B"/>
    <w:rsid w:val="19014711"/>
    <w:rsid w:val="190A1A14"/>
    <w:rsid w:val="19176477"/>
    <w:rsid w:val="19205C3A"/>
    <w:rsid w:val="1922761F"/>
    <w:rsid w:val="19266B48"/>
    <w:rsid w:val="192F695A"/>
    <w:rsid w:val="193111A3"/>
    <w:rsid w:val="1932027B"/>
    <w:rsid w:val="19437553"/>
    <w:rsid w:val="194C6A11"/>
    <w:rsid w:val="19586EED"/>
    <w:rsid w:val="195D29B8"/>
    <w:rsid w:val="19672E14"/>
    <w:rsid w:val="19681022"/>
    <w:rsid w:val="196B2C7F"/>
    <w:rsid w:val="196C5FE3"/>
    <w:rsid w:val="19702DFE"/>
    <w:rsid w:val="197810B6"/>
    <w:rsid w:val="19783426"/>
    <w:rsid w:val="19817270"/>
    <w:rsid w:val="198558DA"/>
    <w:rsid w:val="19855E33"/>
    <w:rsid w:val="199031D6"/>
    <w:rsid w:val="199E17BB"/>
    <w:rsid w:val="19A16649"/>
    <w:rsid w:val="19A35335"/>
    <w:rsid w:val="19AB06A9"/>
    <w:rsid w:val="19B1619D"/>
    <w:rsid w:val="19B43790"/>
    <w:rsid w:val="19B50847"/>
    <w:rsid w:val="19BA0EF3"/>
    <w:rsid w:val="19BB467D"/>
    <w:rsid w:val="19C226D3"/>
    <w:rsid w:val="19C50EEF"/>
    <w:rsid w:val="19C73634"/>
    <w:rsid w:val="19CB042E"/>
    <w:rsid w:val="19D71D9F"/>
    <w:rsid w:val="19DC7577"/>
    <w:rsid w:val="19F92274"/>
    <w:rsid w:val="19FA138C"/>
    <w:rsid w:val="19FB3EFC"/>
    <w:rsid w:val="1A010429"/>
    <w:rsid w:val="1A032AD1"/>
    <w:rsid w:val="1A0E754B"/>
    <w:rsid w:val="1A25076A"/>
    <w:rsid w:val="1A2539DF"/>
    <w:rsid w:val="1A2C0232"/>
    <w:rsid w:val="1A32312F"/>
    <w:rsid w:val="1A3834AB"/>
    <w:rsid w:val="1A442498"/>
    <w:rsid w:val="1A4800CE"/>
    <w:rsid w:val="1A483202"/>
    <w:rsid w:val="1A4D65FF"/>
    <w:rsid w:val="1A546857"/>
    <w:rsid w:val="1A5A4EA9"/>
    <w:rsid w:val="1A5B7E26"/>
    <w:rsid w:val="1A5E37DB"/>
    <w:rsid w:val="1A686E8E"/>
    <w:rsid w:val="1A704ED7"/>
    <w:rsid w:val="1A782C78"/>
    <w:rsid w:val="1A7C50C3"/>
    <w:rsid w:val="1A87399B"/>
    <w:rsid w:val="1A89055F"/>
    <w:rsid w:val="1A8C6840"/>
    <w:rsid w:val="1A8F3F03"/>
    <w:rsid w:val="1AA715D4"/>
    <w:rsid w:val="1AAA0A4A"/>
    <w:rsid w:val="1AAC68AD"/>
    <w:rsid w:val="1AAF62A3"/>
    <w:rsid w:val="1AB13C34"/>
    <w:rsid w:val="1AB500C7"/>
    <w:rsid w:val="1AB753B3"/>
    <w:rsid w:val="1ABF2696"/>
    <w:rsid w:val="1AC17E73"/>
    <w:rsid w:val="1AC36A7D"/>
    <w:rsid w:val="1AC474FB"/>
    <w:rsid w:val="1ACE3284"/>
    <w:rsid w:val="1AE26F6A"/>
    <w:rsid w:val="1AE46D17"/>
    <w:rsid w:val="1AF07797"/>
    <w:rsid w:val="1AF23640"/>
    <w:rsid w:val="1AF4631E"/>
    <w:rsid w:val="1AF65158"/>
    <w:rsid w:val="1AF65B69"/>
    <w:rsid w:val="1AF86B89"/>
    <w:rsid w:val="1B096CAE"/>
    <w:rsid w:val="1B0D1BA9"/>
    <w:rsid w:val="1B101AE8"/>
    <w:rsid w:val="1B143676"/>
    <w:rsid w:val="1B2D0CAB"/>
    <w:rsid w:val="1B311DEE"/>
    <w:rsid w:val="1B336EC7"/>
    <w:rsid w:val="1B3B6CCF"/>
    <w:rsid w:val="1B4432C9"/>
    <w:rsid w:val="1B4E5FA4"/>
    <w:rsid w:val="1B4F3BFB"/>
    <w:rsid w:val="1B5D2B60"/>
    <w:rsid w:val="1B630A59"/>
    <w:rsid w:val="1B6420E3"/>
    <w:rsid w:val="1B64781E"/>
    <w:rsid w:val="1B654065"/>
    <w:rsid w:val="1B676F8E"/>
    <w:rsid w:val="1B685A67"/>
    <w:rsid w:val="1B751C4B"/>
    <w:rsid w:val="1B7848DD"/>
    <w:rsid w:val="1B7B6DB1"/>
    <w:rsid w:val="1B830D35"/>
    <w:rsid w:val="1B834169"/>
    <w:rsid w:val="1B8507B4"/>
    <w:rsid w:val="1B8C3B63"/>
    <w:rsid w:val="1B8C787A"/>
    <w:rsid w:val="1B9443E0"/>
    <w:rsid w:val="1B944E8D"/>
    <w:rsid w:val="1B982837"/>
    <w:rsid w:val="1BA57448"/>
    <w:rsid w:val="1BAE537C"/>
    <w:rsid w:val="1BAF10F9"/>
    <w:rsid w:val="1BB82F4A"/>
    <w:rsid w:val="1BB92320"/>
    <w:rsid w:val="1BB935F7"/>
    <w:rsid w:val="1BBA4000"/>
    <w:rsid w:val="1BBB3934"/>
    <w:rsid w:val="1BBD6DF0"/>
    <w:rsid w:val="1BC03579"/>
    <w:rsid w:val="1BC27056"/>
    <w:rsid w:val="1BC84FAE"/>
    <w:rsid w:val="1BC9308B"/>
    <w:rsid w:val="1BD742C5"/>
    <w:rsid w:val="1BD7513E"/>
    <w:rsid w:val="1BE27C57"/>
    <w:rsid w:val="1BE71C33"/>
    <w:rsid w:val="1BE91395"/>
    <w:rsid w:val="1BED6925"/>
    <w:rsid w:val="1BEF0AA7"/>
    <w:rsid w:val="1BF33E7B"/>
    <w:rsid w:val="1BF91D15"/>
    <w:rsid w:val="1C011D61"/>
    <w:rsid w:val="1C0C4486"/>
    <w:rsid w:val="1C0E168E"/>
    <w:rsid w:val="1C1746A6"/>
    <w:rsid w:val="1C1B4FA5"/>
    <w:rsid w:val="1C1C5576"/>
    <w:rsid w:val="1C21604A"/>
    <w:rsid w:val="1C2235F7"/>
    <w:rsid w:val="1C230443"/>
    <w:rsid w:val="1C2575FA"/>
    <w:rsid w:val="1C2D3D6C"/>
    <w:rsid w:val="1C2D5F99"/>
    <w:rsid w:val="1C303620"/>
    <w:rsid w:val="1C421752"/>
    <w:rsid w:val="1C444DD4"/>
    <w:rsid w:val="1C452C13"/>
    <w:rsid w:val="1C5C5F91"/>
    <w:rsid w:val="1C655C7F"/>
    <w:rsid w:val="1C6B31C2"/>
    <w:rsid w:val="1C713AC7"/>
    <w:rsid w:val="1C822DC1"/>
    <w:rsid w:val="1C837CEF"/>
    <w:rsid w:val="1C852183"/>
    <w:rsid w:val="1C8824F7"/>
    <w:rsid w:val="1C890104"/>
    <w:rsid w:val="1C8D7E20"/>
    <w:rsid w:val="1C90497C"/>
    <w:rsid w:val="1C96488B"/>
    <w:rsid w:val="1C9D00B2"/>
    <w:rsid w:val="1C9D5E88"/>
    <w:rsid w:val="1CA05D5B"/>
    <w:rsid w:val="1CA14B5A"/>
    <w:rsid w:val="1CA232B7"/>
    <w:rsid w:val="1CA76C4C"/>
    <w:rsid w:val="1CCC519A"/>
    <w:rsid w:val="1CD2528F"/>
    <w:rsid w:val="1CD670B3"/>
    <w:rsid w:val="1CD92FE0"/>
    <w:rsid w:val="1CDE6EC2"/>
    <w:rsid w:val="1CE12690"/>
    <w:rsid w:val="1CFB250F"/>
    <w:rsid w:val="1CFC641C"/>
    <w:rsid w:val="1D014BB9"/>
    <w:rsid w:val="1D051A32"/>
    <w:rsid w:val="1D0723B5"/>
    <w:rsid w:val="1D0E54EF"/>
    <w:rsid w:val="1D18083C"/>
    <w:rsid w:val="1D232B31"/>
    <w:rsid w:val="1D2A62C2"/>
    <w:rsid w:val="1D386DC9"/>
    <w:rsid w:val="1D4839BC"/>
    <w:rsid w:val="1D4A14A0"/>
    <w:rsid w:val="1D4E22FA"/>
    <w:rsid w:val="1D5917A3"/>
    <w:rsid w:val="1D5D6351"/>
    <w:rsid w:val="1D5F709F"/>
    <w:rsid w:val="1D66209D"/>
    <w:rsid w:val="1D6E15E7"/>
    <w:rsid w:val="1D756A60"/>
    <w:rsid w:val="1D915F80"/>
    <w:rsid w:val="1D92228B"/>
    <w:rsid w:val="1D922ACB"/>
    <w:rsid w:val="1D9B5079"/>
    <w:rsid w:val="1D9E57C9"/>
    <w:rsid w:val="1DAB1516"/>
    <w:rsid w:val="1DAD3C64"/>
    <w:rsid w:val="1DB371C4"/>
    <w:rsid w:val="1DB9294D"/>
    <w:rsid w:val="1DBA3CD2"/>
    <w:rsid w:val="1DC262A8"/>
    <w:rsid w:val="1DCB2321"/>
    <w:rsid w:val="1DCE7861"/>
    <w:rsid w:val="1DD06184"/>
    <w:rsid w:val="1DD20256"/>
    <w:rsid w:val="1DD22393"/>
    <w:rsid w:val="1DD33C39"/>
    <w:rsid w:val="1DE0106C"/>
    <w:rsid w:val="1DE9601E"/>
    <w:rsid w:val="1DFB60AF"/>
    <w:rsid w:val="1E0021EF"/>
    <w:rsid w:val="1E0B750E"/>
    <w:rsid w:val="1E12391E"/>
    <w:rsid w:val="1E12760D"/>
    <w:rsid w:val="1E1433D5"/>
    <w:rsid w:val="1E215350"/>
    <w:rsid w:val="1E245DAD"/>
    <w:rsid w:val="1E325739"/>
    <w:rsid w:val="1E374155"/>
    <w:rsid w:val="1E3B3D24"/>
    <w:rsid w:val="1E3E1DDB"/>
    <w:rsid w:val="1E474AE4"/>
    <w:rsid w:val="1E4D4B08"/>
    <w:rsid w:val="1E536820"/>
    <w:rsid w:val="1E5B385B"/>
    <w:rsid w:val="1E611A5B"/>
    <w:rsid w:val="1E620600"/>
    <w:rsid w:val="1E6634F7"/>
    <w:rsid w:val="1E672ED1"/>
    <w:rsid w:val="1E6C06F3"/>
    <w:rsid w:val="1E6E754F"/>
    <w:rsid w:val="1E725BFB"/>
    <w:rsid w:val="1E7C29CA"/>
    <w:rsid w:val="1E891365"/>
    <w:rsid w:val="1E9E2DFC"/>
    <w:rsid w:val="1EAB4F00"/>
    <w:rsid w:val="1EB41723"/>
    <w:rsid w:val="1EBB7844"/>
    <w:rsid w:val="1EBF3881"/>
    <w:rsid w:val="1ECF22EB"/>
    <w:rsid w:val="1ED16E3B"/>
    <w:rsid w:val="1ED411E8"/>
    <w:rsid w:val="1EDC5624"/>
    <w:rsid w:val="1EDE39F6"/>
    <w:rsid w:val="1EDF4D53"/>
    <w:rsid w:val="1EE6052A"/>
    <w:rsid w:val="1EEC5B68"/>
    <w:rsid w:val="1EF3703E"/>
    <w:rsid w:val="1EF606D4"/>
    <w:rsid w:val="1EF83A46"/>
    <w:rsid w:val="1EF923D9"/>
    <w:rsid w:val="1F027E89"/>
    <w:rsid w:val="1F0D68AB"/>
    <w:rsid w:val="1F0D7C1D"/>
    <w:rsid w:val="1F121840"/>
    <w:rsid w:val="1F1256AC"/>
    <w:rsid w:val="1F165B80"/>
    <w:rsid w:val="1F1756E3"/>
    <w:rsid w:val="1F1C3AF4"/>
    <w:rsid w:val="1F243E02"/>
    <w:rsid w:val="1F3E6907"/>
    <w:rsid w:val="1F413895"/>
    <w:rsid w:val="1F4D5EFD"/>
    <w:rsid w:val="1F5077F8"/>
    <w:rsid w:val="1F507F55"/>
    <w:rsid w:val="1F55036A"/>
    <w:rsid w:val="1F565C63"/>
    <w:rsid w:val="1F5A153B"/>
    <w:rsid w:val="1F6E737F"/>
    <w:rsid w:val="1F726433"/>
    <w:rsid w:val="1F7378E1"/>
    <w:rsid w:val="1F7907FC"/>
    <w:rsid w:val="1F792D7F"/>
    <w:rsid w:val="1F7D4839"/>
    <w:rsid w:val="1F7F7F9A"/>
    <w:rsid w:val="1F9037FD"/>
    <w:rsid w:val="1F9972F8"/>
    <w:rsid w:val="1F9976D6"/>
    <w:rsid w:val="1F9C521A"/>
    <w:rsid w:val="1F9E19A4"/>
    <w:rsid w:val="1FA53FA8"/>
    <w:rsid w:val="1FA54797"/>
    <w:rsid w:val="1FA81815"/>
    <w:rsid w:val="1FAC390E"/>
    <w:rsid w:val="1FB02038"/>
    <w:rsid w:val="1FB17331"/>
    <w:rsid w:val="1FB26DA6"/>
    <w:rsid w:val="1FB70C88"/>
    <w:rsid w:val="1FBE3B1F"/>
    <w:rsid w:val="1FC13951"/>
    <w:rsid w:val="1FC40DE8"/>
    <w:rsid w:val="1FC67467"/>
    <w:rsid w:val="1FD10122"/>
    <w:rsid w:val="1FD12294"/>
    <w:rsid w:val="1FD7745E"/>
    <w:rsid w:val="1FE36846"/>
    <w:rsid w:val="1FE570E4"/>
    <w:rsid w:val="1FED6E75"/>
    <w:rsid w:val="1FEE037E"/>
    <w:rsid w:val="1FF152EE"/>
    <w:rsid w:val="1FF761B1"/>
    <w:rsid w:val="1FFB21FE"/>
    <w:rsid w:val="20090995"/>
    <w:rsid w:val="200B5415"/>
    <w:rsid w:val="20132823"/>
    <w:rsid w:val="201D7F22"/>
    <w:rsid w:val="202C0898"/>
    <w:rsid w:val="203073D1"/>
    <w:rsid w:val="2033110A"/>
    <w:rsid w:val="203641EF"/>
    <w:rsid w:val="20377E99"/>
    <w:rsid w:val="20390EAB"/>
    <w:rsid w:val="204D323B"/>
    <w:rsid w:val="20513C6C"/>
    <w:rsid w:val="20517627"/>
    <w:rsid w:val="20582E82"/>
    <w:rsid w:val="20595A41"/>
    <w:rsid w:val="20597D31"/>
    <w:rsid w:val="205C1318"/>
    <w:rsid w:val="206C07EB"/>
    <w:rsid w:val="206F02C0"/>
    <w:rsid w:val="20783B06"/>
    <w:rsid w:val="207B5036"/>
    <w:rsid w:val="207E3EA3"/>
    <w:rsid w:val="20890F39"/>
    <w:rsid w:val="208A4B7E"/>
    <w:rsid w:val="208F2F3E"/>
    <w:rsid w:val="20932DC3"/>
    <w:rsid w:val="20970524"/>
    <w:rsid w:val="2097165D"/>
    <w:rsid w:val="20A21F2B"/>
    <w:rsid w:val="20A3756C"/>
    <w:rsid w:val="20AC4141"/>
    <w:rsid w:val="20B27F79"/>
    <w:rsid w:val="20C262B7"/>
    <w:rsid w:val="20C27F56"/>
    <w:rsid w:val="20C53697"/>
    <w:rsid w:val="20CC409C"/>
    <w:rsid w:val="20DA76F0"/>
    <w:rsid w:val="20DB1C80"/>
    <w:rsid w:val="20DD0BA8"/>
    <w:rsid w:val="20E10676"/>
    <w:rsid w:val="20E501F1"/>
    <w:rsid w:val="20F63308"/>
    <w:rsid w:val="20F74DC0"/>
    <w:rsid w:val="20FE2C18"/>
    <w:rsid w:val="21015684"/>
    <w:rsid w:val="210C2CCE"/>
    <w:rsid w:val="211851FE"/>
    <w:rsid w:val="211C77C3"/>
    <w:rsid w:val="211F1FF0"/>
    <w:rsid w:val="21217224"/>
    <w:rsid w:val="21313583"/>
    <w:rsid w:val="214463A4"/>
    <w:rsid w:val="214C55D7"/>
    <w:rsid w:val="21522202"/>
    <w:rsid w:val="21524078"/>
    <w:rsid w:val="2155176A"/>
    <w:rsid w:val="215B1FFE"/>
    <w:rsid w:val="216528E8"/>
    <w:rsid w:val="21656488"/>
    <w:rsid w:val="21755ED8"/>
    <w:rsid w:val="2176734E"/>
    <w:rsid w:val="217A2CF1"/>
    <w:rsid w:val="217F4F6F"/>
    <w:rsid w:val="2185733A"/>
    <w:rsid w:val="218D2BE5"/>
    <w:rsid w:val="21930077"/>
    <w:rsid w:val="21984B62"/>
    <w:rsid w:val="219A6860"/>
    <w:rsid w:val="21B66E53"/>
    <w:rsid w:val="21B827C6"/>
    <w:rsid w:val="21B8521A"/>
    <w:rsid w:val="21B90448"/>
    <w:rsid w:val="21BE7461"/>
    <w:rsid w:val="21C03360"/>
    <w:rsid w:val="21C34E19"/>
    <w:rsid w:val="21C55725"/>
    <w:rsid w:val="21C73338"/>
    <w:rsid w:val="21CD0C86"/>
    <w:rsid w:val="21E97FDF"/>
    <w:rsid w:val="21EC78A1"/>
    <w:rsid w:val="21F82FE0"/>
    <w:rsid w:val="21FD4FB1"/>
    <w:rsid w:val="22010D3A"/>
    <w:rsid w:val="220179B3"/>
    <w:rsid w:val="220C4182"/>
    <w:rsid w:val="2210556A"/>
    <w:rsid w:val="22122408"/>
    <w:rsid w:val="221A42DE"/>
    <w:rsid w:val="22264963"/>
    <w:rsid w:val="223952E1"/>
    <w:rsid w:val="22475BCC"/>
    <w:rsid w:val="22535EBE"/>
    <w:rsid w:val="22584C3B"/>
    <w:rsid w:val="225B5F7F"/>
    <w:rsid w:val="22611DB2"/>
    <w:rsid w:val="22656952"/>
    <w:rsid w:val="226701A1"/>
    <w:rsid w:val="22690870"/>
    <w:rsid w:val="226A6612"/>
    <w:rsid w:val="226C3E39"/>
    <w:rsid w:val="227F53D6"/>
    <w:rsid w:val="22814BF4"/>
    <w:rsid w:val="228470DA"/>
    <w:rsid w:val="22861FAE"/>
    <w:rsid w:val="228C1114"/>
    <w:rsid w:val="22960FC7"/>
    <w:rsid w:val="22975C78"/>
    <w:rsid w:val="229B3832"/>
    <w:rsid w:val="22A659F3"/>
    <w:rsid w:val="22AC6921"/>
    <w:rsid w:val="22AF3C0A"/>
    <w:rsid w:val="22B6171D"/>
    <w:rsid w:val="22B75C79"/>
    <w:rsid w:val="22BD0006"/>
    <w:rsid w:val="22C01949"/>
    <w:rsid w:val="22C954FD"/>
    <w:rsid w:val="22CB63B9"/>
    <w:rsid w:val="22E34CB7"/>
    <w:rsid w:val="22ED07D6"/>
    <w:rsid w:val="22EF4948"/>
    <w:rsid w:val="2309199D"/>
    <w:rsid w:val="23167E55"/>
    <w:rsid w:val="23282729"/>
    <w:rsid w:val="232C4F20"/>
    <w:rsid w:val="232D66DF"/>
    <w:rsid w:val="233C79CF"/>
    <w:rsid w:val="234028EC"/>
    <w:rsid w:val="23490658"/>
    <w:rsid w:val="234B24EE"/>
    <w:rsid w:val="23513210"/>
    <w:rsid w:val="235250E6"/>
    <w:rsid w:val="23545E2C"/>
    <w:rsid w:val="23550D1E"/>
    <w:rsid w:val="23551328"/>
    <w:rsid w:val="235A0E8A"/>
    <w:rsid w:val="235B403C"/>
    <w:rsid w:val="236316B4"/>
    <w:rsid w:val="23716934"/>
    <w:rsid w:val="237A16FB"/>
    <w:rsid w:val="23875AD2"/>
    <w:rsid w:val="238D5299"/>
    <w:rsid w:val="23962317"/>
    <w:rsid w:val="23965E8F"/>
    <w:rsid w:val="239A7ACB"/>
    <w:rsid w:val="23A2041E"/>
    <w:rsid w:val="23AB22B6"/>
    <w:rsid w:val="23B02CAD"/>
    <w:rsid w:val="23C061E3"/>
    <w:rsid w:val="23C56317"/>
    <w:rsid w:val="23C778D3"/>
    <w:rsid w:val="23C86907"/>
    <w:rsid w:val="23CA40BC"/>
    <w:rsid w:val="23DB7A74"/>
    <w:rsid w:val="23E75E70"/>
    <w:rsid w:val="23F31594"/>
    <w:rsid w:val="23F83E23"/>
    <w:rsid w:val="24075EB4"/>
    <w:rsid w:val="240E3430"/>
    <w:rsid w:val="24130FEA"/>
    <w:rsid w:val="242322A5"/>
    <w:rsid w:val="243B204D"/>
    <w:rsid w:val="243D2335"/>
    <w:rsid w:val="2443309A"/>
    <w:rsid w:val="2446347C"/>
    <w:rsid w:val="244F38FE"/>
    <w:rsid w:val="24513082"/>
    <w:rsid w:val="245827D8"/>
    <w:rsid w:val="24610ACA"/>
    <w:rsid w:val="2466191C"/>
    <w:rsid w:val="24687872"/>
    <w:rsid w:val="246A24F9"/>
    <w:rsid w:val="246A63B3"/>
    <w:rsid w:val="24792669"/>
    <w:rsid w:val="247A16A9"/>
    <w:rsid w:val="247F2C58"/>
    <w:rsid w:val="249A6C4B"/>
    <w:rsid w:val="249D3479"/>
    <w:rsid w:val="249E6D0C"/>
    <w:rsid w:val="24A03FA5"/>
    <w:rsid w:val="24A71C00"/>
    <w:rsid w:val="24A932B7"/>
    <w:rsid w:val="24AA600E"/>
    <w:rsid w:val="24AC364F"/>
    <w:rsid w:val="24AE12DE"/>
    <w:rsid w:val="24B07D17"/>
    <w:rsid w:val="24B51846"/>
    <w:rsid w:val="24BB10FD"/>
    <w:rsid w:val="24C13142"/>
    <w:rsid w:val="24C32A4A"/>
    <w:rsid w:val="24C414AB"/>
    <w:rsid w:val="24C6124D"/>
    <w:rsid w:val="24C9370F"/>
    <w:rsid w:val="24CA6B43"/>
    <w:rsid w:val="24CA76F9"/>
    <w:rsid w:val="24CC1058"/>
    <w:rsid w:val="24D80DD5"/>
    <w:rsid w:val="24E41214"/>
    <w:rsid w:val="24E86B3E"/>
    <w:rsid w:val="24F73DAC"/>
    <w:rsid w:val="250021E2"/>
    <w:rsid w:val="25004157"/>
    <w:rsid w:val="2506494D"/>
    <w:rsid w:val="250C7027"/>
    <w:rsid w:val="25105ED0"/>
    <w:rsid w:val="25182CDB"/>
    <w:rsid w:val="252B1DAE"/>
    <w:rsid w:val="253271AE"/>
    <w:rsid w:val="25376C72"/>
    <w:rsid w:val="25397F1A"/>
    <w:rsid w:val="2540594A"/>
    <w:rsid w:val="25430FDE"/>
    <w:rsid w:val="25436725"/>
    <w:rsid w:val="254711D6"/>
    <w:rsid w:val="25543102"/>
    <w:rsid w:val="256305A4"/>
    <w:rsid w:val="256467DD"/>
    <w:rsid w:val="25652A69"/>
    <w:rsid w:val="25682F83"/>
    <w:rsid w:val="25703A3C"/>
    <w:rsid w:val="25816459"/>
    <w:rsid w:val="258D7A43"/>
    <w:rsid w:val="258E5141"/>
    <w:rsid w:val="25901A0C"/>
    <w:rsid w:val="25956B51"/>
    <w:rsid w:val="259E1CBE"/>
    <w:rsid w:val="25A00635"/>
    <w:rsid w:val="25A92351"/>
    <w:rsid w:val="25AE73C2"/>
    <w:rsid w:val="25B852EE"/>
    <w:rsid w:val="25BE058C"/>
    <w:rsid w:val="25C128B5"/>
    <w:rsid w:val="25C66AAE"/>
    <w:rsid w:val="25C7222F"/>
    <w:rsid w:val="25C8468A"/>
    <w:rsid w:val="25EE5F74"/>
    <w:rsid w:val="25F04432"/>
    <w:rsid w:val="25FC3A3E"/>
    <w:rsid w:val="26046D25"/>
    <w:rsid w:val="26046F5E"/>
    <w:rsid w:val="26080B04"/>
    <w:rsid w:val="260A76BB"/>
    <w:rsid w:val="26191FCF"/>
    <w:rsid w:val="261C21FE"/>
    <w:rsid w:val="261F27EB"/>
    <w:rsid w:val="262513DB"/>
    <w:rsid w:val="262A5867"/>
    <w:rsid w:val="262F01ED"/>
    <w:rsid w:val="263617E8"/>
    <w:rsid w:val="264006F5"/>
    <w:rsid w:val="2644707D"/>
    <w:rsid w:val="264D4643"/>
    <w:rsid w:val="26652096"/>
    <w:rsid w:val="26663B23"/>
    <w:rsid w:val="266838B4"/>
    <w:rsid w:val="26702169"/>
    <w:rsid w:val="26737E62"/>
    <w:rsid w:val="26744BAF"/>
    <w:rsid w:val="267C2231"/>
    <w:rsid w:val="268717B1"/>
    <w:rsid w:val="268D771D"/>
    <w:rsid w:val="26957D57"/>
    <w:rsid w:val="26A15652"/>
    <w:rsid w:val="26AC2CB6"/>
    <w:rsid w:val="26B85643"/>
    <w:rsid w:val="26C07BA2"/>
    <w:rsid w:val="26C254D1"/>
    <w:rsid w:val="26C707E9"/>
    <w:rsid w:val="26CC4D5C"/>
    <w:rsid w:val="26CF34FF"/>
    <w:rsid w:val="26E017EA"/>
    <w:rsid w:val="26E24C3E"/>
    <w:rsid w:val="26E41D61"/>
    <w:rsid w:val="26E869DF"/>
    <w:rsid w:val="26EF4B06"/>
    <w:rsid w:val="26F84104"/>
    <w:rsid w:val="270506CE"/>
    <w:rsid w:val="27095D2C"/>
    <w:rsid w:val="270F4609"/>
    <w:rsid w:val="271C6904"/>
    <w:rsid w:val="271E0EC9"/>
    <w:rsid w:val="27202B66"/>
    <w:rsid w:val="272A4204"/>
    <w:rsid w:val="273345AD"/>
    <w:rsid w:val="2739389F"/>
    <w:rsid w:val="273F0894"/>
    <w:rsid w:val="27402BFF"/>
    <w:rsid w:val="274644C8"/>
    <w:rsid w:val="275171D5"/>
    <w:rsid w:val="27536060"/>
    <w:rsid w:val="27573A7F"/>
    <w:rsid w:val="27576442"/>
    <w:rsid w:val="275D2BD2"/>
    <w:rsid w:val="275D6077"/>
    <w:rsid w:val="276641ED"/>
    <w:rsid w:val="276661F9"/>
    <w:rsid w:val="27784FDF"/>
    <w:rsid w:val="277E3DF7"/>
    <w:rsid w:val="278C2E38"/>
    <w:rsid w:val="279249A2"/>
    <w:rsid w:val="27B000EB"/>
    <w:rsid w:val="27B22F36"/>
    <w:rsid w:val="27B23B53"/>
    <w:rsid w:val="27C20A35"/>
    <w:rsid w:val="27C37158"/>
    <w:rsid w:val="27D327E3"/>
    <w:rsid w:val="27D85005"/>
    <w:rsid w:val="27DE34B0"/>
    <w:rsid w:val="27DE5314"/>
    <w:rsid w:val="27DF5D72"/>
    <w:rsid w:val="27E05CDD"/>
    <w:rsid w:val="27E510DF"/>
    <w:rsid w:val="28030DB3"/>
    <w:rsid w:val="28033E56"/>
    <w:rsid w:val="28123288"/>
    <w:rsid w:val="281366D6"/>
    <w:rsid w:val="281E25CD"/>
    <w:rsid w:val="2822342F"/>
    <w:rsid w:val="2823117C"/>
    <w:rsid w:val="28256F61"/>
    <w:rsid w:val="283014D3"/>
    <w:rsid w:val="28311A90"/>
    <w:rsid w:val="28472A6F"/>
    <w:rsid w:val="284808CE"/>
    <w:rsid w:val="284C3B50"/>
    <w:rsid w:val="28540300"/>
    <w:rsid w:val="28636F4A"/>
    <w:rsid w:val="286A5BB3"/>
    <w:rsid w:val="286C2CA5"/>
    <w:rsid w:val="28701975"/>
    <w:rsid w:val="28777A06"/>
    <w:rsid w:val="28803BAC"/>
    <w:rsid w:val="288A2C84"/>
    <w:rsid w:val="288A5BA5"/>
    <w:rsid w:val="288F3764"/>
    <w:rsid w:val="28A57595"/>
    <w:rsid w:val="28A605BD"/>
    <w:rsid w:val="28AB3AE7"/>
    <w:rsid w:val="28AC13B7"/>
    <w:rsid w:val="28B65FC6"/>
    <w:rsid w:val="28C540E6"/>
    <w:rsid w:val="28C70F1D"/>
    <w:rsid w:val="28C82BD7"/>
    <w:rsid w:val="28CB1710"/>
    <w:rsid w:val="28CD7089"/>
    <w:rsid w:val="28D611D1"/>
    <w:rsid w:val="28D84894"/>
    <w:rsid w:val="28E36B43"/>
    <w:rsid w:val="28F15C3D"/>
    <w:rsid w:val="28F40857"/>
    <w:rsid w:val="28FD12D1"/>
    <w:rsid w:val="29155788"/>
    <w:rsid w:val="291622D9"/>
    <w:rsid w:val="29172BDF"/>
    <w:rsid w:val="29231903"/>
    <w:rsid w:val="2930503E"/>
    <w:rsid w:val="29403457"/>
    <w:rsid w:val="294109A8"/>
    <w:rsid w:val="29422136"/>
    <w:rsid w:val="29476004"/>
    <w:rsid w:val="294F0248"/>
    <w:rsid w:val="295D338A"/>
    <w:rsid w:val="296427C3"/>
    <w:rsid w:val="296B7014"/>
    <w:rsid w:val="296F0EA1"/>
    <w:rsid w:val="29705DAC"/>
    <w:rsid w:val="298355A2"/>
    <w:rsid w:val="298726B1"/>
    <w:rsid w:val="298B2222"/>
    <w:rsid w:val="298B7B95"/>
    <w:rsid w:val="29933AC8"/>
    <w:rsid w:val="2994602F"/>
    <w:rsid w:val="299461F8"/>
    <w:rsid w:val="29961836"/>
    <w:rsid w:val="2996683D"/>
    <w:rsid w:val="299806B2"/>
    <w:rsid w:val="299D08AF"/>
    <w:rsid w:val="29A46184"/>
    <w:rsid w:val="29A66ABD"/>
    <w:rsid w:val="29A75818"/>
    <w:rsid w:val="29B03533"/>
    <w:rsid w:val="29BC3C7F"/>
    <w:rsid w:val="29BC66B8"/>
    <w:rsid w:val="29C1428E"/>
    <w:rsid w:val="29C2421F"/>
    <w:rsid w:val="29C243A0"/>
    <w:rsid w:val="29C93D04"/>
    <w:rsid w:val="29CD3621"/>
    <w:rsid w:val="29CD7770"/>
    <w:rsid w:val="29CE0DA5"/>
    <w:rsid w:val="29D66788"/>
    <w:rsid w:val="29D840C9"/>
    <w:rsid w:val="29E376E0"/>
    <w:rsid w:val="29E4591E"/>
    <w:rsid w:val="29EE64BD"/>
    <w:rsid w:val="29F15A17"/>
    <w:rsid w:val="29F257DD"/>
    <w:rsid w:val="29F870AC"/>
    <w:rsid w:val="2A05021D"/>
    <w:rsid w:val="2A065604"/>
    <w:rsid w:val="2A155ABB"/>
    <w:rsid w:val="2A223F46"/>
    <w:rsid w:val="2A23091F"/>
    <w:rsid w:val="2A2C5095"/>
    <w:rsid w:val="2A3F524F"/>
    <w:rsid w:val="2A431721"/>
    <w:rsid w:val="2A440ADE"/>
    <w:rsid w:val="2A452E64"/>
    <w:rsid w:val="2A457430"/>
    <w:rsid w:val="2A4C2CA0"/>
    <w:rsid w:val="2A4D6199"/>
    <w:rsid w:val="2A4F44E3"/>
    <w:rsid w:val="2A6546B3"/>
    <w:rsid w:val="2A692D3E"/>
    <w:rsid w:val="2A714C88"/>
    <w:rsid w:val="2A785711"/>
    <w:rsid w:val="2A80799E"/>
    <w:rsid w:val="2A8334DD"/>
    <w:rsid w:val="2A8B6FBB"/>
    <w:rsid w:val="2A8C0C61"/>
    <w:rsid w:val="2A8E7E71"/>
    <w:rsid w:val="2A941105"/>
    <w:rsid w:val="2A96384A"/>
    <w:rsid w:val="2A9A1CF1"/>
    <w:rsid w:val="2A9A30AE"/>
    <w:rsid w:val="2A9D2B0A"/>
    <w:rsid w:val="2AA56C6B"/>
    <w:rsid w:val="2AA74F8B"/>
    <w:rsid w:val="2AAA4AF3"/>
    <w:rsid w:val="2AAD28B2"/>
    <w:rsid w:val="2AB26AEB"/>
    <w:rsid w:val="2AC63977"/>
    <w:rsid w:val="2AC86B42"/>
    <w:rsid w:val="2ACC32C8"/>
    <w:rsid w:val="2AD17049"/>
    <w:rsid w:val="2AD65C22"/>
    <w:rsid w:val="2AD753D9"/>
    <w:rsid w:val="2AFC3C65"/>
    <w:rsid w:val="2AFE23EC"/>
    <w:rsid w:val="2B0020E2"/>
    <w:rsid w:val="2B007E99"/>
    <w:rsid w:val="2B01024E"/>
    <w:rsid w:val="2B147D6D"/>
    <w:rsid w:val="2B1B6120"/>
    <w:rsid w:val="2B284BC9"/>
    <w:rsid w:val="2B3E5548"/>
    <w:rsid w:val="2B436ABF"/>
    <w:rsid w:val="2B44078B"/>
    <w:rsid w:val="2B4F5E07"/>
    <w:rsid w:val="2B517875"/>
    <w:rsid w:val="2B5E6731"/>
    <w:rsid w:val="2B614373"/>
    <w:rsid w:val="2B645BE4"/>
    <w:rsid w:val="2B6834E4"/>
    <w:rsid w:val="2B6C6065"/>
    <w:rsid w:val="2B73090D"/>
    <w:rsid w:val="2B74745A"/>
    <w:rsid w:val="2B777A15"/>
    <w:rsid w:val="2B89131F"/>
    <w:rsid w:val="2B8A21A9"/>
    <w:rsid w:val="2B9B5E5B"/>
    <w:rsid w:val="2BA3126C"/>
    <w:rsid w:val="2BA32A9F"/>
    <w:rsid w:val="2BA50242"/>
    <w:rsid w:val="2BA60C02"/>
    <w:rsid w:val="2BAC1C67"/>
    <w:rsid w:val="2BAE1B33"/>
    <w:rsid w:val="2BB71E7D"/>
    <w:rsid w:val="2BB91C85"/>
    <w:rsid w:val="2BBA2B2B"/>
    <w:rsid w:val="2BC175C3"/>
    <w:rsid w:val="2BC3702D"/>
    <w:rsid w:val="2BC76340"/>
    <w:rsid w:val="2BD410D9"/>
    <w:rsid w:val="2BDE33AD"/>
    <w:rsid w:val="2BE55878"/>
    <w:rsid w:val="2BE55FF5"/>
    <w:rsid w:val="2BEA0098"/>
    <w:rsid w:val="2BF752A2"/>
    <w:rsid w:val="2BF947A4"/>
    <w:rsid w:val="2BFF588E"/>
    <w:rsid w:val="2C060D57"/>
    <w:rsid w:val="2C0D547A"/>
    <w:rsid w:val="2C11398A"/>
    <w:rsid w:val="2C163E61"/>
    <w:rsid w:val="2C23273B"/>
    <w:rsid w:val="2C23500D"/>
    <w:rsid w:val="2C246D1C"/>
    <w:rsid w:val="2C265EF8"/>
    <w:rsid w:val="2C2805AF"/>
    <w:rsid w:val="2C4156FD"/>
    <w:rsid w:val="2C484BC2"/>
    <w:rsid w:val="2C496725"/>
    <w:rsid w:val="2C4B02CB"/>
    <w:rsid w:val="2C547DF8"/>
    <w:rsid w:val="2C575707"/>
    <w:rsid w:val="2C5A7006"/>
    <w:rsid w:val="2C6D0D06"/>
    <w:rsid w:val="2C712530"/>
    <w:rsid w:val="2C751D40"/>
    <w:rsid w:val="2C773BC4"/>
    <w:rsid w:val="2C790970"/>
    <w:rsid w:val="2C7A312A"/>
    <w:rsid w:val="2C7B1FCE"/>
    <w:rsid w:val="2C7B7515"/>
    <w:rsid w:val="2C7B76DC"/>
    <w:rsid w:val="2C7E2555"/>
    <w:rsid w:val="2C8B2935"/>
    <w:rsid w:val="2C8E1C27"/>
    <w:rsid w:val="2C8F6188"/>
    <w:rsid w:val="2C9B47B8"/>
    <w:rsid w:val="2CA01BEB"/>
    <w:rsid w:val="2CA113EB"/>
    <w:rsid w:val="2CA60788"/>
    <w:rsid w:val="2CA85ECA"/>
    <w:rsid w:val="2CA877F6"/>
    <w:rsid w:val="2CB16259"/>
    <w:rsid w:val="2CB23063"/>
    <w:rsid w:val="2CB23400"/>
    <w:rsid w:val="2CBA26EF"/>
    <w:rsid w:val="2CBE288A"/>
    <w:rsid w:val="2CC17BD2"/>
    <w:rsid w:val="2CC22240"/>
    <w:rsid w:val="2CD32E57"/>
    <w:rsid w:val="2CD35EFC"/>
    <w:rsid w:val="2CDF5DAF"/>
    <w:rsid w:val="2CDF720B"/>
    <w:rsid w:val="2CE65139"/>
    <w:rsid w:val="2CE92C2E"/>
    <w:rsid w:val="2CEB4277"/>
    <w:rsid w:val="2CF20450"/>
    <w:rsid w:val="2CF60CDC"/>
    <w:rsid w:val="2CF84FD9"/>
    <w:rsid w:val="2CFA0B2E"/>
    <w:rsid w:val="2D000FBC"/>
    <w:rsid w:val="2D0717E2"/>
    <w:rsid w:val="2D081FAF"/>
    <w:rsid w:val="2D0E11EB"/>
    <w:rsid w:val="2D13369A"/>
    <w:rsid w:val="2D1E4F96"/>
    <w:rsid w:val="2D216CCB"/>
    <w:rsid w:val="2D296E07"/>
    <w:rsid w:val="2D631C74"/>
    <w:rsid w:val="2D767222"/>
    <w:rsid w:val="2D78345C"/>
    <w:rsid w:val="2D783A55"/>
    <w:rsid w:val="2D794A49"/>
    <w:rsid w:val="2D831F72"/>
    <w:rsid w:val="2D876E66"/>
    <w:rsid w:val="2D8F68F8"/>
    <w:rsid w:val="2D9210D0"/>
    <w:rsid w:val="2D927758"/>
    <w:rsid w:val="2D934584"/>
    <w:rsid w:val="2D9634AB"/>
    <w:rsid w:val="2D975579"/>
    <w:rsid w:val="2D9914FE"/>
    <w:rsid w:val="2D9A26D8"/>
    <w:rsid w:val="2D9B155E"/>
    <w:rsid w:val="2D9D30E0"/>
    <w:rsid w:val="2DA152DC"/>
    <w:rsid w:val="2DA77C96"/>
    <w:rsid w:val="2DAB0B53"/>
    <w:rsid w:val="2DAB6696"/>
    <w:rsid w:val="2DB04AEB"/>
    <w:rsid w:val="2DBF7A90"/>
    <w:rsid w:val="2DC02E1A"/>
    <w:rsid w:val="2DC2081E"/>
    <w:rsid w:val="2DCA4F3A"/>
    <w:rsid w:val="2DCC4035"/>
    <w:rsid w:val="2DD37E42"/>
    <w:rsid w:val="2DD71D0C"/>
    <w:rsid w:val="2DD86481"/>
    <w:rsid w:val="2DEB742B"/>
    <w:rsid w:val="2DEE1BD5"/>
    <w:rsid w:val="2DF8285A"/>
    <w:rsid w:val="2DF848FB"/>
    <w:rsid w:val="2E035EC4"/>
    <w:rsid w:val="2E175E39"/>
    <w:rsid w:val="2E187C2E"/>
    <w:rsid w:val="2E1906CB"/>
    <w:rsid w:val="2E1D064E"/>
    <w:rsid w:val="2E2F2194"/>
    <w:rsid w:val="2E363B20"/>
    <w:rsid w:val="2E39729A"/>
    <w:rsid w:val="2E3F0434"/>
    <w:rsid w:val="2E415E0C"/>
    <w:rsid w:val="2E4266E2"/>
    <w:rsid w:val="2E446B6E"/>
    <w:rsid w:val="2E4509B0"/>
    <w:rsid w:val="2E470F41"/>
    <w:rsid w:val="2E494FBF"/>
    <w:rsid w:val="2E514097"/>
    <w:rsid w:val="2E5446A8"/>
    <w:rsid w:val="2E5926C2"/>
    <w:rsid w:val="2E5A025C"/>
    <w:rsid w:val="2E5D7E70"/>
    <w:rsid w:val="2E633EBF"/>
    <w:rsid w:val="2E6648AF"/>
    <w:rsid w:val="2E6B5FCD"/>
    <w:rsid w:val="2E7829E1"/>
    <w:rsid w:val="2E7D29F2"/>
    <w:rsid w:val="2E7F6353"/>
    <w:rsid w:val="2E8F4684"/>
    <w:rsid w:val="2E9D603E"/>
    <w:rsid w:val="2EA2428D"/>
    <w:rsid w:val="2EA546D1"/>
    <w:rsid w:val="2EA5650F"/>
    <w:rsid w:val="2EAC4410"/>
    <w:rsid w:val="2EAF620D"/>
    <w:rsid w:val="2EB00448"/>
    <w:rsid w:val="2EC069C2"/>
    <w:rsid w:val="2EC34894"/>
    <w:rsid w:val="2EC40442"/>
    <w:rsid w:val="2EC84569"/>
    <w:rsid w:val="2EC928EC"/>
    <w:rsid w:val="2EC9574A"/>
    <w:rsid w:val="2ED84A10"/>
    <w:rsid w:val="2EDE38A9"/>
    <w:rsid w:val="2EE14895"/>
    <w:rsid w:val="2EE24FC1"/>
    <w:rsid w:val="2EE272BF"/>
    <w:rsid w:val="2EE47329"/>
    <w:rsid w:val="2EE55D3A"/>
    <w:rsid w:val="2EEA4325"/>
    <w:rsid w:val="2EEE28CD"/>
    <w:rsid w:val="2EF83F17"/>
    <w:rsid w:val="2EFF09B3"/>
    <w:rsid w:val="2F004FDD"/>
    <w:rsid w:val="2F017241"/>
    <w:rsid w:val="2F020F34"/>
    <w:rsid w:val="2F0B7CDB"/>
    <w:rsid w:val="2F0E3EB8"/>
    <w:rsid w:val="2F2346E4"/>
    <w:rsid w:val="2F243649"/>
    <w:rsid w:val="2F2A1598"/>
    <w:rsid w:val="2F312D8F"/>
    <w:rsid w:val="2F316996"/>
    <w:rsid w:val="2F3E4AA7"/>
    <w:rsid w:val="2F4546BD"/>
    <w:rsid w:val="2F5E5311"/>
    <w:rsid w:val="2F627EED"/>
    <w:rsid w:val="2F6D18ED"/>
    <w:rsid w:val="2F717A8A"/>
    <w:rsid w:val="2F754B4F"/>
    <w:rsid w:val="2F796DDC"/>
    <w:rsid w:val="2F7B6F7D"/>
    <w:rsid w:val="2F7F07D3"/>
    <w:rsid w:val="2F7F3760"/>
    <w:rsid w:val="2F8044AF"/>
    <w:rsid w:val="2F8941CC"/>
    <w:rsid w:val="2F8D7F8C"/>
    <w:rsid w:val="2F8F050A"/>
    <w:rsid w:val="2F9A437B"/>
    <w:rsid w:val="2F9B1B81"/>
    <w:rsid w:val="2F9E2154"/>
    <w:rsid w:val="2F9F2726"/>
    <w:rsid w:val="2FAC7DC7"/>
    <w:rsid w:val="2FB420A4"/>
    <w:rsid w:val="2FB907AA"/>
    <w:rsid w:val="2FBB13DF"/>
    <w:rsid w:val="2FC7020B"/>
    <w:rsid w:val="2FC848BA"/>
    <w:rsid w:val="2FCC7CF6"/>
    <w:rsid w:val="2FCF2CC1"/>
    <w:rsid w:val="2FD24BD6"/>
    <w:rsid w:val="2FD73A3C"/>
    <w:rsid w:val="2FDA3859"/>
    <w:rsid w:val="2FE34299"/>
    <w:rsid w:val="2FE74A6E"/>
    <w:rsid w:val="2FE96E98"/>
    <w:rsid w:val="2FEC49AB"/>
    <w:rsid w:val="2FEE2D9A"/>
    <w:rsid w:val="2FF06D8C"/>
    <w:rsid w:val="2FFC29F3"/>
    <w:rsid w:val="2FFF0091"/>
    <w:rsid w:val="30074CCB"/>
    <w:rsid w:val="30111EF0"/>
    <w:rsid w:val="30145D3B"/>
    <w:rsid w:val="301F24F8"/>
    <w:rsid w:val="30230AE9"/>
    <w:rsid w:val="30241F49"/>
    <w:rsid w:val="30267AA4"/>
    <w:rsid w:val="30272D8B"/>
    <w:rsid w:val="302C7971"/>
    <w:rsid w:val="303C3D0D"/>
    <w:rsid w:val="304022F9"/>
    <w:rsid w:val="30430E52"/>
    <w:rsid w:val="304C1113"/>
    <w:rsid w:val="30547AD2"/>
    <w:rsid w:val="305A284A"/>
    <w:rsid w:val="305F0BE3"/>
    <w:rsid w:val="306920A6"/>
    <w:rsid w:val="30741A75"/>
    <w:rsid w:val="30751E57"/>
    <w:rsid w:val="30855938"/>
    <w:rsid w:val="308C31CB"/>
    <w:rsid w:val="309B79AD"/>
    <w:rsid w:val="309E7184"/>
    <w:rsid w:val="30A5280D"/>
    <w:rsid w:val="30A61967"/>
    <w:rsid w:val="30A66B74"/>
    <w:rsid w:val="30A94609"/>
    <w:rsid w:val="30AE60B0"/>
    <w:rsid w:val="30B9255C"/>
    <w:rsid w:val="30BB04D3"/>
    <w:rsid w:val="30BC3BA2"/>
    <w:rsid w:val="30D31D9B"/>
    <w:rsid w:val="30DA6268"/>
    <w:rsid w:val="30DD50A8"/>
    <w:rsid w:val="30E60AD9"/>
    <w:rsid w:val="30E61DD9"/>
    <w:rsid w:val="30E738B4"/>
    <w:rsid w:val="30ED7C6D"/>
    <w:rsid w:val="30EF491C"/>
    <w:rsid w:val="30F11726"/>
    <w:rsid w:val="30F4647E"/>
    <w:rsid w:val="30FA2E2E"/>
    <w:rsid w:val="30FE796E"/>
    <w:rsid w:val="31052AC2"/>
    <w:rsid w:val="310B113D"/>
    <w:rsid w:val="31112199"/>
    <w:rsid w:val="3114166A"/>
    <w:rsid w:val="31157EAB"/>
    <w:rsid w:val="311A5258"/>
    <w:rsid w:val="311F1B8A"/>
    <w:rsid w:val="312367B0"/>
    <w:rsid w:val="31240C5D"/>
    <w:rsid w:val="3129512A"/>
    <w:rsid w:val="313D02CB"/>
    <w:rsid w:val="31446D0B"/>
    <w:rsid w:val="31454B66"/>
    <w:rsid w:val="31492C40"/>
    <w:rsid w:val="31494E53"/>
    <w:rsid w:val="316F591E"/>
    <w:rsid w:val="31765B9F"/>
    <w:rsid w:val="31767BCA"/>
    <w:rsid w:val="31774C16"/>
    <w:rsid w:val="31785418"/>
    <w:rsid w:val="317A5CFA"/>
    <w:rsid w:val="31812AB2"/>
    <w:rsid w:val="31831885"/>
    <w:rsid w:val="31857B6F"/>
    <w:rsid w:val="318B4CF2"/>
    <w:rsid w:val="31911636"/>
    <w:rsid w:val="31923512"/>
    <w:rsid w:val="31951828"/>
    <w:rsid w:val="31962360"/>
    <w:rsid w:val="319C434F"/>
    <w:rsid w:val="31A578CC"/>
    <w:rsid w:val="31B55A5B"/>
    <w:rsid w:val="31BA61F5"/>
    <w:rsid w:val="31C65134"/>
    <w:rsid w:val="31CB6AB4"/>
    <w:rsid w:val="31D14A91"/>
    <w:rsid w:val="31D7668F"/>
    <w:rsid w:val="31D81C36"/>
    <w:rsid w:val="31E34489"/>
    <w:rsid w:val="31E57CF0"/>
    <w:rsid w:val="31E7137E"/>
    <w:rsid w:val="31E75A05"/>
    <w:rsid w:val="31F732A4"/>
    <w:rsid w:val="31F86DC8"/>
    <w:rsid w:val="31FF1771"/>
    <w:rsid w:val="32016CDC"/>
    <w:rsid w:val="32111578"/>
    <w:rsid w:val="3212347B"/>
    <w:rsid w:val="32132B10"/>
    <w:rsid w:val="321A71CA"/>
    <w:rsid w:val="321C0E55"/>
    <w:rsid w:val="32213482"/>
    <w:rsid w:val="322430EC"/>
    <w:rsid w:val="322454A7"/>
    <w:rsid w:val="322A3926"/>
    <w:rsid w:val="323F3187"/>
    <w:rsid w:val="32460A89"/>
    <w:rsid w:val="32607BBE"/>
    <w:rsid w:val="32722AA0"/>
    <w:rsid w:val="327F2DB4"/>
    <w:rsid w:val="3280450E"/>
    <w:rsid w:val="32893228"/>
    <w:rsid w:val="328C02DD"/>
    <w:rsid w:val="328E5C40"/>
    <w:rsid w:val="329B44F8"/>
    <w:rsid w:val="329B7829"/>
    <w:rsid w:val="329C3E2B"/>
    <w:rsid w:val="32A22425"/>
    <w:rsid w:val="32A52B0F"/>
    <w:rsid w:val="32AB5DBB"/>
    <w:rsid w:val="32AF4C10"/>
    <w:rsid w:val="32BC0A0B"/>
    <w:rsid w:val="32CA4713"/>
    <w:rsid w:val="32CA7D95"/>
    <w:rsid w:val="32CE1CCB"/>
    <w:rsid w:val="32CF3DF5"/>
    <w:rsid w:val="32CF6AFF"/>
    <w:rsid w:val="32D11540"/>
    <w:rsid w:val="32D33DC1"/>
    <w:rsid w:val="32D75DFB"/>
    <w:rsid w:val="32E56D8A"/>
    <w:rsid w:val="32EF200C"/>
    <w:rsid w:val="32F57189"/>
    <w:rsid w:val="32FC5BAE"/>
    <w:rsid w:val="3306175A"/>
    <w:rsid w:val="33102385"/>
    <w:rsid w:val="33112981"/>
    <w:rsid w:val="33204A1B"/>
    <w:rsid w:val="3325439A"/>
    <w:rsid w:val="332639AB"/>
    <w:rsid w:val="332C1E86"/>
    <w:rsid w:val="33373F91"/>
    <w:rsid w:val="334625F4"/>
    <w:rsid w:val="33475980"/>
    <w:rsid w:val="33486C78"/>
    <w:rsid w:val="33494311"/>
    <w:rsid w:val="3352409A"/>
    <w:rsid w:val="33545BBB"/>
    <w:rsid w:val="33552D84"/>
    <w:rsid w:val="335613E7"/>
    <w:rsid w:val="335673B3"/>
    <w:rsid w:val="335C3300"/>
    <w:rsid w:val="3361732C"/>
    <w:rsid w:val="336265B4"/>
    <w:rsid w:val="33687816"/>
    <w:rsid w:val="336C2328"/>
    <w:rsid w:val="33732B2A"/>
    <w:rsid w:val="33734E91"/>
    <w:rsid w:val="33796341"/>
    <w:rsid w:val="337964CB"/>
    <w:rsid w:val="33891C2F"/>
    <w:rsid w:val="339422D9"/>
    <w:rsid w:val="3398711E"/>
    <w:rsid w:val="339B7B80"/>
    <w:rsid w:val="339E3FD8"/>
    <w:rsid w:val="339F5A4B"/>
    <w:rsid w:val="33A50765"/>
    <w:rsid w:val="33B43E25"/>
    <w:rsid w:val="33B709D8"/>
    <w:rsid w:val="33BD7844"/>
    <w:rsid w:val="33BE4F62"/>
    <w:rsid w:val="33BE696A"/>
    <w:rsid w:val="33CA34C8"/>
    <w:rsid w:val="33CE6DB8"/>
    <w:rsid w:val="33D06FE1"/>
    <w:rsid w:val="33D15D63"/>
    <w:rsid w:val="33D377B1"/>
    <w:rsid w:val="33D775DC"/>
    <w:rsid w:val="33D82DB3"/>
    <w:rsid w:val="33D85FB3"/>
    <w:rsid w:val="33DD1BBF"/>
    <w:rsid w:val="33DD75F8"/>
    <w:rsid w:val="33E12750"/>
    <w:rsid w:val="33E304E4"/>
    <w:rsid w:val="33E4200B"/>
    <w:rsid w:val="33E6716E"/>
    <w:rsid w:val="33EA417A"/>
    <w:rsid w:val="33EC0D56"/>
    <w:rsid w:val="33ED6A56"/>
    <w:rsid w:val="33F679B6"/>
    <w:rsid w:val="33FF7818"/>
    <w:rsid w:val="340451C7"/>
    <w:rsid w:val="340A6BE6"/>
    <w:rsid w:val="34112A25"/>
    <w:rsid w:val="34127976"/>
    <w:rsid w:val="342A4E54"/>
    <w:rsid w:val="34342FFA"/>
    <w:rsid w:val="343457AD"/>
    <w:rsid w:val="344B0DB9"/>
    <w:rsid w:val="344C72AF"/>
    <w:rsid w:val="3456039B"/>
    <w:rsid w:val="345B04EC"/>
    <w:rsid w:val="34635FE8"/>
    <w:rsid w:val="346428D0"/>
    <w:rsid w:val="346E4E2E"/>
    <w:rsid w:val="346E6076"/>
    <w:rsid w:val="34712A48"/>
    <w:rsid w:val="347156AB"/>
    <w:rsid w:val="347177EE"/>
    <w:rsid w:val="347F6561"/>
    <w:rsid w:val="34832F6B"/>
    <w:rsid w:val="34882765"/>
    <w:rsid w:val="348C70E4"/>
    <w:rsid w:val="34946EEC"/>
    <w:rsid w:val="34A24241"/>
    <w:rsid w:val="34A741A7"/>
    <w:rsid w:val="34BD2C24"/>
    <w:rsid w:val="34C410B2"/>
    <w:rsid w:val="34C516EA"/>
    <w:rsid w:val="34D1521D"/>
    <w:rsid w:val="34D95E3E"/>
    <w:rsid w:val="34DD40FE"/>
    <w:rsid w:val="34EE025F"/>
    <w:rsid w:val="34F70CDD"/>
    <w:rsid w:val="34F958D4"/>
    <w:rsid w:val="34FD12EC"/>
    <w:rsid w:val="34FF2D3C"/>
    <w:rsid w:val="35083255"/>
    <w:rsid w:val="350B6E38"/>
    <w:rsid w:val="35145654"/>
    <w:rsid w:val="35294B51"/>
    <w:rsid w:val="352E2A12"/>
    <w:rsid w:val="35444985"/>
    <w:rsid w:val="35446AB8"/>
    <w:rsid w:val="35467D10"/>
    <w:rsid w:val="355F47C3"/>
    <w:rsid w:val="356116D7"/>
    <w:rsid w:val="3566586F"/>
    <w:rsid w:val="357061CE"/>
    <w:rsid w:val="35776021"/>
    <w:rsid w:val="357B578D"/>
    <w:rsid w:val="358D615B"/>
    <w:rsid w:val="358D68BB"/>
    <w:rsid w:val="35937086"/>
    <w:rsid w:val="35964A71"/>
    <w:rsid w:val="359E5308"/>
    <w:rsid w:val="359F273D"/>
    <w:rsid w:val="35A55319"/>
    <w:rsid w:val="35A902A4"/>
    <w:rsid w:val="35A904AF"/>
    <w:rsid w:val="35B24173"/>
    <w:rsid w:val="35B539E5"/>
    <w:rsid w:val="35B72F75"/>
    <w:rsid w:val="35B942AB"/>
    <w:rsid w:val="35BC3CE0"/>
    <w:rsid w:val="35C24861"/>
    <w:rsid w:val="35CA29F5"/>
    <w:rsid w:val="35D51FAB"/>
    <w:rsid w:val="35D60DFA"/>
    <w:rsid w:val="35DA7276"/>
    <w:rsid w:val="35E32551"/>
    <w:rsid w:val="35EA520E"/>
    <w:rsid w:val="35EF5776"/>
    <w:rsid w:val="35F409B3"/>
    <w:rsid w:val="35F65DF0"/>
    <w:rsid w:val="35FE2EF1"/>
    <w:rsid w:val="35FF6C1E"/>
    <w:rsid w:val="360012E1"/>
    <w:rsid w:val="36014425"/>
    <w:rsid w:val="360358C6"/>
    <w:rsid w:val="36043157"/>
    <w:rsid w:val="360D0962"/>
    <w:rsid w:val="36100621"/>
    <w:rsid w:val="361715BE"/>
    <w:rsid w:val="36182D0A"/>
    <w:rsid w:val="361E35FF"/>
    <w:rsid w:val="36220D23"/>
    <w:rsid w:val="36271E63"/>
    <w:rsid w:val="363C22C9"/>
    <w:rsid w:val="36535709"/>
    <w:rsid w:val="36603D55"/>
    <w:rsid w:val="366170E8"/>
    <w:rsid w:val="366B4D4D"/>
    <w:rsid w:val="36781E53"/>
    <w:rsid w:val="367A558E"/>
    <w:rsid w:val="367F24C7"/>
    <w:rsid w:val="3681401A"/>
    <w:rsid w:val="3682189B"/>
    <w:rsid w:val="36830CB9"/>
    <w:rsid w:val="36881AEA"/>
    <w:rsid w:val="368A41AE"/>
    <w:rsid w:val="3690392F"/>
    <w:rsid w:val="369B2376"/>
    <w:rsid w:val="369C635C"/>
    <w:rsid w:val="36A02B44"/>
    <w:rsid w:val="36A13090"/>
    <w:rsid w:val="36A15675"/>
    <w:rsid w:val="36A261A1"/>
    <w:rsid w:val="36A54856"/>
    <w:rsid w:val="36A87534"/>
    <w:rsid w:val="36B96C62"/>
    <w:rsid w:val="36BF7CCB"/>
    <w:rsid w:val="36C4534B"/>
    <w:rsid w:val="36D12040"/>
    <w:rsid w:val="36D43C9C"/>
    <w:rsid w:val="36DB5029"/>
    <w:rsid w:val="36E75F7B"/>
    <w:rsid w:val="36EB5554"/>
    <w:rsid w:val="36F056D5"/>
    <w:rsid w:val="36F13216"/>
    <w:rsid w:val="36F47618"/>
    <w:rsid w:val="36FE23C3"/>
    <w:rsid w:val="3704191B"/>
    <w:rsid w:val="370E1455"/>
    <w:rsid w:val="370E7CE8"/>
    <w:rsid w:val="37133041"/>
    <w:rsid w:val="371D6112"/>
    <w:rsid w:val="371F2B28"/>
    <w:rsid w:val="372C23F8"/>
    <w:rsid w:val="37305553"/>
    <w:rsid w:val="37331C13"/>
    <w:rsid w:val="373C469D"/>
    <w:rsid w:val="373E5FA5"/>
    <w:rsid w:val="373F3AD3"/>
    <w:rsid w:val="37462327"/>
    <w:rsid w:val="37462B1A"/>
    <w:rsid w:val="37464E17"/>
    <w:rsid w:val="374861FB"/>
    <w:rsid w:val="37614C17"/>
    <w:rsid w:val="37621F0A"/>
    <w:rsid w:val="37633F96"/>
    <w:rsid w:val="376E3ED3"/>
    <w:rsid w:val="37787E5E"/>
    <w:rsid w:val="377C163B"/>
    <w:rsid w:val="377E46D6"/>
    <w:rsid w:val="378713A2"/>
    <w:rsid w:val="378B3501"/>
    <w:rsid w:val="37936BC4"/>
    <w:rsid w:val="379A56DF"/>
    <w:rsid w:val="37A03434"/>
    <w:rsid w:val="37B456A6"/>
    <w:rsid w:val="37B52BF5"/>
    <w:rsid w:val="37C71C0F"/>
    <w:rsid w:val="37C9399C"/>
    <w:rsid w:val="37D225E7"/>
    <w:rsid w:val="37D47294"/>
    <w:rsid w:val="37D9324F"/>
    <w:rsid w:val="37E014C7"/>
    <w:rsid w:val="37E93BCF"/>
    <w:rsid w:val="37EA5C07"/>
    <w:rsid w:val="37FA2A4F"/>
    <w:rsid w:val="38063525"/>
    <w:rsid w:val="380B0779"/>
    <w:rsid w:val="380D3FA7"/>
    <w:rsid w:val="38116983"/>
    <w:rsid w:val="38165EDC"/>
    <w:rsid w:val="38176841"/>
    <w:rsid w:val="38252A79"/>
    <w:rsid w:val="383C7D35"/>
    <w:rsid w:val="384070D8"/>
    <w:rsid w:val="384975DC"/>
    <w:rsid w:val="384A5EB0"/>
    <w:rsid w:val="38551263"/>
    <w:rsid w:val="38774B4E"/>
    <w:rsid w:val="387837E1"/>
    <w:rsid w:val="38822394"/>
    <w:rsid w:val="388B11D3"/>
    <w:rsid w:val="38956F89"/>
    <w:rsid w:val="38A26902"/>
    <w:rsid w:val="38B2503D"/>
    <w:rsid w:val="38B260DA"/>
    <w:rsid w:val="38B953A4"/>
    <w:rsid w:val="38BA3A29"/>
    <w:rsid w:val="38BB509F"/>
    <w:rsid w:val="38C82B5A"/>
    <w:rsid w:val="38D45648"/>
    <w:rsid w:val="38D83A83"/>
    <w:rsid w:val="38D92734"/>
    <w:rsid w:val="38DB54CF"/>
    <w:rsid w:val="38E802D2"/>
    <w:rsid w:val="38EE5CC6"/>
    <w:rsid w:val="38F05B43"/>
    <w:rsid w:val="38F4649A"/>
    <w:rsid w:val="38FE06A3"/>
    <w:rsid w:val="390402C9"/>
    <w:rsid w:val="39092934"/>
    <w:rsid w:val="390B64F9"/>
    <w:rsid w:val="39151766"/>
    <w:rsid w:val="391F49F9"/>
    <w:rsid w:val="3926744C"/>
    <w:rsid w:val="392B145C"/>
    <w:rsid w:val="39372284"/>
    <w:rsid w:val="393F2ADE"/>
    <w:rsid w:val="3942721C"/>
    <w:rsid w:val="39506759"/>
    <w:rsid w:val="395509C3"/>
    <w:rsid w:val="39553817"/>
    <w:rsid w:val="39557422"/>
    <w:rsid w:val="395C45F8"/>
    <w:rsid w:val="395E7700"/>
    <w:rsid w:val="39620CFD"/>
    <w:rsid w:val="3966482A"/>
    <w:rsid w:val="396F310B"/>
    <w:rsid w:val="397234A3"/>
    <w:rsid w:val="39867828"/>
    <w:rsid w:val="398C4627"/>
    <w:rsid w:val="398F4C6A"/>
    <w:rsid w:val="39906111"/>
    <w:rsid w:val="3995449E"/>
    <w:rsid w:val="399958D3"/>
    <w:rsid w:val="399B1010"/>
    <w:rsid w:val="39A26656"/>
    <w:rsid w:val="39AE0EC0"/>
    <w:rsid w:val="39AE6E14"/>
    <w:rsid w:val="39AF5E82"/>
    <w:rsid w:val="39B56CF2"/>
    <w:rsid w:val="39B70CE8"/>
    <w:rsid w:val="39B83AEF"/>
    <w:rsid w:val="39B92F74"/>
    <w:rsid w:val="39CF1AAD"/>
    <w:rsid w:val="39CF3DBF"/>
    <w:rsid w:val="39D33508"/>
    <w:rsid w:val="39D54248"/>
    <w:rsid w:val="39DA08A2"/>
    <w:rsid w:val="39DC70D2"/>
    <w:rsid w:val="39EC34B2"/>
    <w:rsid w:val="39F24C47"/>
    <w:rsid w:val="39F310FE"/>
    <w:rsid w:val="39F83AF2"/>
    <w:rsid w:val="39F92C2D"/>
    <w:rsid w:val="39FA27CE"/>
    <w:rsid w:val="39FB25CF"/>
    <w:rsid w:val="3A082FB5"/>
    <w:rsid w:val="3A0A5239"/>
    <w:rsid w:val="3A0D5571"/>
    <w:rsid w:val="3A0D64B0"/>
    <w:rsid w:val="3A0E45E1"/>
    <w:rsid w:val="3A161A5E"/>
    <w:rsid w:val="3A193866"/>
    <w:rsid w:val="3A1D4555"/>
    <w:rsid w:val="3A272386"/>
    <w:rsid w:val="3A2C7286"/>
    <w:rsid w:val="3A2F47CA"/>
    <w:rsid w:val="3A3308C0"/>
    <w:rsid w:val="3A330A0F"/>
    <w:rsid w:val="3A3A7244"/>
    <w:rsid w:val="3A3B6A3F"/>
    <w:rsid w:val="3A4033EA"/>
    <w:rsid w:val="3A547B45"/>
    <w:rsid w:val="3A6C09ED"/>
    <w:rsid w:val="3A7501C7"/>
    <w:rsid w:val="3A801EAD"/>
    <w:rsid w:val="3A830206"/>
    <w:rsid w:val="3A886D70"/>
    <w:rsid w:val="3A8E760F"/>
    <w:rsid w:val="3A8F6F66"/>
    <w:rsid w:val="3A94123B"/>
    <w:rsid w:val="3A9B3AD8"/>
    <w:rsid w:val="3AA7535E"/>
    <w:rsid w:val="3AAC6A73"/>
    <w:rsid w:val="3AAF630E"/>
    <w:rsid w:val="3AB022C8"/>
    <w:rsid w:val="3AB12004"/>
    <w:rsid w:val="3ABD6EA1"/>
    <w:rsid w:val="3AC00816"/>
    <w:rsid w:val="3AC40DB3"/>
    <w:rsid w:val="3ACF2502"/>
    <w:rsid w:val="3AD214C7"/>
    <w:rsid w:val="3AE414EE"/>
    <w:rsid w:val="3AE5349F"/>
    <w:rsid w:val="3AE56F51"/>
    <w:rsid w:val="3AE570DC"/>
    <w:rsid w:val="3AFA3E1D"/>
    <w:rsid w:val="3AFB5499"/>
    <w:rsid w:val="3AFD18D9"/>
    <w:rsid w:val="3B03629A"/>
    <w:rsid w:val="3B0B4120"/>
    <w:rsid w:val="3B112EA5"/>
    <w:rsid w:val="3B1242AA"/>
    <w:rsid w:val="3B1B3997"/>
    <w:rsid w:val="3B1E57AF"/>
    <w:rsid w:val="3B311500"/>
    <w:rsid w:val="3B3C3F5F"/>
    <w:rsid w:val="3B3D5D51"/>
    <w:rsid w:val="3B3D6647"/>
    <w:rsid w:val="3B3E1ACB"/>
    <w:rsid w:val="3B404BE2"/>
    <w:rsid w:val="3B4150B5"/>
    <w:rsid w:val="3B460D9C"/>
    <w:rsid w:val="3B521A9E"/>
    <w:rsid w:val="3B522F99"/>
    <w:rsid w:val="3B5307DB"/>
    <w:rsid w:val="3B5358C9"/>
    <w:rsid w:val="3B552786"/>
    <w:rsid w:val="3B562BDB"/>
    <w:rsid w:val="3B59226A"/>
    <w:rsid w:val="3B647FCC"/>
    <w:rsid w:val="3B654212"/>
    <w:rsid w:val="3B673E68"/>
    <w:rsid w:val="3B680CC4"/>
    <w:rsid w:val="3B7041EB"/>
    <w:rsid w:val="3B7143A3"/>
    <w:rsid w:val="3B863BD4"/>
    <w:rsid w:val="3B8A3C70"/>
    <w:rsid w:val="3B9433FE"/>
    <w:rsid w:val="3B9953E3"/>
    <w:rsid w:val="3B9C4E9E"/>
    <w:rsid w:val="3BA12FE4"/>
    <w:rsid w:val="3BA25EF9"/>
    <w:rsid w:val="3BA7334D"/>
    <w:rsid w:val="3BAB5C1B"/>
    <w:rsid w:val="3BAF7C94"/>
    <w:rsid w:val="3BB15681"/>
    <w:rsid w:val="3BB2426E"/>
    <w:rsid w:val="3BBA232E"/>
    <w:rsid w:val="3BC42307"/>
    <w:rsid w:val="3BD245D9"/>
    <w:rsid w:val="3BDB222F"/>
    <w:rsid w:val="3BE556B9"/>
    <w:rsid w:val="3BED61DC"/>
    <w:rsid w:val="3BF46074"/>
    <w:rsid w:val="3BFB522D"/>
    <w:rsid w:val="3C02294D"/>
    <w:rsid w:val="3C0D2FA8"/>
    <w:rsid w:val="3C140920"/>
    <w:rsid w:val="3C1A6EC4"/>
    <w:rsid w:val="3C20146E"/>
    <w:rsid w:val="3C28166F"/>
    <w:rsid w:val="3C2828CF"/>
    <w:rsid w:val="3C295835"/>
    <w:rsid w:val="3C2A0C9A"/>
    <w:rsid w:val="3C34209A"/>
    <w:rsid w:val="3C344368"/>
    <w:rsid w:val="3C3945EE"/>
    <w:rsid w:val="3C407043"/>
    <w:rsid w:val="3C4938E1"/>
    <w:rsid w:val="3C4A372C"/>
    <w:rsid w:val="3C62384C"/>
    <w:rsid w:val="3C646200"/>
    <w:rsid w:val="3C680B98"/>
    <w:rsid w:val="3C712FE2"/>
    <w:rsid w:val="3C830BE6"/>
    <w:rsid w:val="3C857F02"/>
    <w:rsid w:val="3C9673DF"/>
    <w:rsid w:val="3C9960E4"/>
    <w:rsid w:val="3CA331C7"/>
    <w:rsid w:val="3CA77D24"/>
    <w:rsid w:val="3CA804B0"/>
    <w:rsid w:val="3CA97A01"/>
    <w:rsid w:val="3CB029B9"/>
    <w:rsid w:val="3CB05A14"/>
    <w:rsid w:val="3CB938CF"/>
    <w:rsid w:val="3CBD7BF1"/>
    <w:rsid w:val="3CBD7C14"/>
    <w:rsid w:val="3CC047A0"/>
    <w:rsid w:val="3CC0764E"/>
    <w:rsid w:val="3CC3113E"/>
    <w:rsid w:val="3CC62688"/>
    <w:rsid w:val="3CC966F4"/>
    <w:rsid w:val="3CCE59BF"/>
    <w:rsid w:val="3CD240F2"/>
    <w:rsid w:val="3CDD05E8"/>
    <w:rsid w:val="3CE26375"/>
    <w:rsid w:val="3CE300E1"/>
    <w:rsid w:val="3CE33CE4"/>
    <w:rsid w:val="3CE53C4F"/>
    <w:rsid w:val="3CF44D68"/>
    <w:rsid w:val="3D00260E"/>
    <w:rsid w:val="3D054E25"/>
    <w:rsid w:val="3D0A52DE"/>
    <w:rsid w:val="3D0C0EC4"/>
    <w:rsid w:val="3D0C7416"/>
    <w:rsid w:val="3D160C59"/>
    <w:rsid w:val="3D1C2F7C"/>
    <w:rsid w:val="3D2F59E2"/>
    <w:rsid w:val="3D35630A"/>
    <w:rsid w:val="3D3846F3"/>
    <w:rsid w:val="3D3C263E"/>
    <w:rsid w:val="3D5126F4"/>
    <w:rsid w:val="3D584EFF"/>
    <w:rsid w:val="3D6017C7"/>
    <w:rsid w:val="3D6C71BD"/>
    <w:rsid w:val="3D72123E"/>
    <w:rsid w:val="3D745AED"/>
    <w:rsid w:val="3D7B4FBC"/>
    <w:rsid w:val="3D81553A"/>
    <w:rsid w:val="3D81694D"/>
    <w:rsid w:val="3D82573B"/>
    <w:rsid w:val="3D830839"/>
    <w:rsid w:val="3D8B1EFB"/>
    <w:rsid w:val="3D94648D"/>
    <w:rsid w:val="3D9A3DE0"/>
    <w:rsid w:val="3DA57F1F"/>
    <w:rsid w:val="3DA74836"/>
    <w:rsid w:val="3DA86A72"/>
    <w:rsid w:val="3DA93E31"/>
    <w:rsid w:val="3DAB16FF"/>
    <w:rsid w:val="3DB27364"/>
    <w:rsid w:val="3DB323FA"/>
    <w:rsid w:val="3DBE6557"/>
    <w:rsid w:val="3DBE6A08"/>
    <w:rsid w:val="3DC04D4F"/>
    <w:rsid w:val="3DC3341C"/>
    <w:rsid w:val="3DC34B78"/>
    <w:rsid w:val="3DC852B5"/>
    <w:rsid w:val="3DCA7256"/>
    <w:rsid w:val="3DCC61A2"/>
    <w:rsid w:val="3DD112D4"/>
    <w:rsid w:val="3DD23A9C"/>
    <w:rsid w:val="3DE96BD4"/>
    <w:rsid w:val="3DF25287"/>
    <w:rsid w:val="3DF61F76"/>
    <w:rsid w:val="3E030ACD"/>
    <w:rsid w:val="3E0717DB"/>
    <w:rsid w:val="3E081FFB"/>
    <w:rsid w:val="3E103F1E"/>
    <w:rsid w:val="3E124BDD"/>
    <w:rsid w:val="3E14340B"/>
    <w:rsid w:val="3E1B4D2E"/>
    <w:rsid w:val="3E1D2684"/>
    <w:rsid w:val="3E1E037F"/>
    <w:rsid w:val="3E224E7F"/>
    <w:rsid w:val="3E2365C4"/>
    <w:rsid w:val="3E256F70"/>
    <w:rsid w:val="3E296F9B"/>
    <w:rsid w:val="3E325093"/>
    <w:rsid w:val="3E522083"/>
    <w:rsid w:val="3E5964CE"/>
    <w:rsid w:val="3E5C4576"/>
    <w:rsid w:val="3E5D20FE"/>
    <w:rsid w:val="3E606D10"/>
    <w:rsid w:val="3E6C3C3A"/>
    <w:rsid w:val="3E72725A"/>
    <w:rsid w:val="3E745C33"/>
    <w:rsid w:val="3E7648FB"/>
    <w:rsid w:val="3E781444"/>
    <w:rsid w:val="3E78437B"/>
    <w:rsid w:val="3E78489F"/>
    <w:rsid w:val="3E7B44DA"/>
    <w:rsid w:val="3E7E297D"/>
    <w:rsid w:val="3E81426F"/>
    <w:rsid w:val="3E8457AA"/>
    <w:rsid w:val="3E88051B"/>
    <w:rsid w:val="3E883DD7"/>
    <w:rsid w:val="3E8F3F60"/>
    <w:rsid w:val="3E942691"/>
    <w:rsid w:val="3E960D1F"/>
    <w:rsid w:val="3E9670AF"/>
    <w:rsid w:val="3E9F0523"/>
    <w:rsid w:val="3E9F21F7"/>
    <w:rsid w:val="3EA45528"/>
    <w:rsid w:val="3EA618BA"/>
    <w:rsid w:val="3EA8519B"/>
    <w:rsid w:val="3EAC6340"/>
    <w:rsid w:val="3EB25800"/>
    <w:rsid w:val="3EB26AE9"/>
    <w:rsid w:val="3EB37C9F"/>
    <w:rsid w:val="3EB90503"/>
    <w:rsid w:val="3EC52356"/>
    <w:rsid w:val="3EC678AB"/>
    <w:rsid w:val="3EC918ED"/>
    <w:rsid w:val="3ECE2E55"/>
    <w:rsid w:val="3ED15355"/>
    <w:rsid w:val="3ED17560"/>
    <w:rsid w:val="3ED27B45"/>
    <w:rsid w:val="3ED7287C"/>
    <w:rsid w:val="3EDA7765"/>
    <w:rsid w:val="3EE40692"/>
    <w:rsid w:val="3EE57653"/>
    <w:rsid w:val="3EE767C7"/>
    <w:rsid w:val="3EE8071A"/>
    <w:rsid w:val="3EE95796"/>
    <w:rsid w:val="3EEF36DD"/>
    <w:rsid w:val="3EF528F7"/>
    <w:rsid w:val="3EF90E17"/>
    <w:rsid w:val="3EFB333B"/>
    <w:rsid w:val="3EFE5A94"/>
    <w:rsid w:val="3F163651"/>
    <w:rsid w:val="3F164641"/>
    <w:rsid w:val="3F1A12EF"/>
    <w:rsid w:val="3F1F290C"/>
    <w:rsid w:val="3F220ACF"/>
    <w:rsid w:val="3F223F5A"/>
    <w:rsid w:val="3F25352E"/>
    <w:rsid w:val="3F342E8A"/>
    <w:rsid w:val="3F3641E5"/>
    <w:rsid w:val="3F4268FB"/>
    <w:rsid w:val="3F4D7341"/>
    <w:rsid w:val="3F59479C"/>
    <w:rsid w:val="3F5D0FA3"/>
    <w:rsid w:val="3F5E5DE7"/>
    <w:rsid w:val="3F687D39"/>
    <w:rsid w:val="3F6B05AA"/>
    <w:rsid w:val="3F6D198E"/>
    <w:rsid w:val="3F710377"/>
    <w:rsid w:val="3F714EA4"/>
    <w:rsid w:val="3F7D0C8A"/>
    <w:rsid w:val="3F7E2015"/>
    <w:rsid w:val="3F8553B0"/>
    <w:rsid w:val="3F863DF2"/>
    <w:rsid w:val="3F887C3A"/>
    <w:rsid w:val="3F8919E3"/>
    <w:rsid w:val="3F8A14F9"/>
    <w:rsid w:val="3F906F3F"/>
    <w:rsid w:val="3F9279F5"/>
    <w:rsid w:val="3F957DCF"/>
    <w:rsid w:val="3F962DCF"/>
    <w:rsid w:val="3F9A4D0E"/>
    <w:rsid w:val="3FBB492E"/>
    <w:rsid w:val="3FBF2AB5"/>
    <w:rsid w:val="3FC70648"/>
    <w:rsid w:val="3FC8288E"/>
    <w:rsid w:val="3FCD388E"/>
    <w:rsid w:val="3FCE5D93"/>
    <w:rsid w:val="3FCE6A40"/>
    <w:rsid w:val="3FD2421A"/>
    <w:rsid w:val="3FE14367"/>
    <w:rsid w:val="3FEA716A"/>
    <w:rsid w:val="3FF56A5D"/>
    <w:rsid w:val="3FF574C1"/>
    <w:rsid w:val="4002048C"/>
    <w:rsid w:val="40021556"/>
    <w:rsid w:val="401C20AD"/>
    <w:rsid w:val="401F0FD7"/>
    <w:rsid w:val="401F723D"/>
    <w:rsid w:val="40224234"/>
    <w:rsid w:val="402C6DE8"/>
    <w:rsid w:val="402E5987"/>
    <w:rsid w:val="403A5A18"/>
    <w:rsid w:val="403D7482"/>
    <w:rsid w:val="40457303"/>
    <w:rsid w:val="404924F4"/>
    <w:rsid w:val="405479DF"/>
    <w:rsid w:val="405D7ED7"/>
    <w:rsid w:val="406110D2"/>
    <w:rsid w:val="40643A13"/>
    <w:rsid w:val="40693E17"/>
    <w:rsid w:val="407512A5"/>
    <w:rsid w:val="40780893"/>
    <w:rsid w:val="407A6F8D"/>
    <w:rsid w:val="407F0042"/>
    <w:rsid w:val="40836F1C"/>
    <w:rsid w:val="40840888"/>
    <w:rsid w:val="40860245"/>
    <w:rsid w:val="40863E32"/>
    <w:rsid w:val="40990D30"/>
    <w:rsid w:val="409A3740"/>
    <w:rsid w:val="40A62155"/>
    <w:rsid w:val="40A64943"/>
    <w:rsid w:val="40B17B16"/>
    <w:rsid w:val="40C03A6C"/>
    <w:rsid w:val="40C81BBB"/>
    <w:rsid w:val="40CC12D3"/>
    <w:rsid w:val="40DA1E4D"/>
    <w:rsid w:val="40DE79BE"/>
    <w:rsid w:val="40E01AA9"/>
    <w:rsid w:val="40EC6253"/>
    <w:rsid w:val="40ED2DE2"/>
    <w:rsid w:val="40F85717"/>
    <w:rsid w:val="40FB31AB"/>
    <w:rsid w:val="41043659"/>
    <w:rsid w:val="41125AF1"/>
    <w:rsid w:val="41141CAB"/>
    <w:rsid w:val="412350CA"/>
    <w:rsid w:val="41381534"/>
    <w:rsid w:val="413B4ABE"/>
    <w:rsid w:val="41505316"/>
    <w:rsid w:val="41564457"/>
    <w:rsid w:val="41591AD6"/>
    <w:rsid w:val="415A4BC8"/>
    <w:rsid w:val="41687DF0"/>
    <w:rsid w:val="41815FE7"/>
    <w:rsid w:val="41833B55"/>
    <w:rsid w:val="418F5F4D"/>
    <w:rsid w:val="41914DDC"/>
    <w:rsid w:val="419A4B8C"/>
    <w:rsid w:val="419C0384"/>
    <w:rsid w:val="41A30748"/>
    <w:rsid w:val="41BB303B"/>
    <w:rsid w:val="41C100C8"/>
    <w:rsid w:val="41C14A7C"/>
    <w:rsid w:val="41C16812"/>
    <w:rsid w:val="41C721D7"/>
    <w:rsid w:val="41CF271E"/>
    <w:rsid w:val="41D3530D"/>
    <w:rsid w:val="41D37156"/>
    <w:rsid w:val="41D91C46"/>
    <w:rsid w:val="41DA6714"/>
    <w:rsid w:val="41DD259D"/>
    <w:rsid w:val="41E2634D"/>
    <w:rsid w:val="42020B3A"/>
    <w:rsid w:val="420220F7"/>
    <w:rsid w:val="42046414"/>
    <w:rsid w:val="4211534F"/>
    <w:rsid w:val="42145011"/>
    <w:rsid w:val="421938ED"/>
    <w:rsid w:val="421E097D"/>
    <w:rsid w:val="421E21AC"/>
    <w:rsid w:val="421F5C88"/>
    <w:rsid w:val="422039AA"/>
    <w:rsid w:val="42242DA6"/>
    <w:rsid w:val="422F41F4"/>
    <w:rsid w:val="42320754"/>
    <w:rsid w:val="423405B8"/>
    <w:rsid w:val="42367196"/>
    <w:rsid w:val="42394416"/>
    <w:rsid w:val="423F2B95"/>
    <w:rsid w:val="42420A94"/>
    <w:rsid w:val="424D71ED"/>
    <w:rsid w:val="4251386A"/>
    <w:rsid w:val="4255556D"/>
    <w:rsid w:val="425A6272"/>
    <w:rsid w:val="425C279A"/>
    <w:rsid w:val="42606855"/>
    <w:rsid w:val="426F0269"/>
    <w:rsid w:val="427108F3"/>
    <w:rsid w:val="42716411"/>
    <w:rsid w:val="4276181B"/>
    <w:rsid w:val="42882BD5"/>
    <w:rsid w:val="428B6C2B"/>
    <w:rsid w:val="428F5DF1"/>
    <w:rsid w:val="42977991"/>
    <w:rsid w:val="429916E1"/>
    <w:rsid w:val="42A00329"/>
    <w:rsid w:val="42A8562E"/>
    <w:rsid w:val="42AB29E7"/>
    <w:rsid w:val="42BF63F2"/>
    <w:rsid w:val="42C95035"/>
    <w:rsid w:val="42CF0B65"/>
    <w:rsid w:val="42CF7727"/>
    <w:rsid w:val="42D356C7"/>
    <w:rsid w:val="42D973B0"/>
    <w:rsid w:val="42E14673"/>
    <w:rsid w:val="42F121C8"/>
    <w:rsid w:val="42F50D31"/>
    <w:rsid w:val="42F52A45"/>
    <w:rsid w:val="42F700E2"/>
    <w:rsid w:val="43006509"/>
    <w:rsid w:val="4304443C"/>
    <w:rsid w:val="430D1AF3"/>
    <w:rsid w:val="430E2B79"/>
    <w:rsid w:val="431254CE"/>
    <w:rsid w:val="431521D1"/>
    <w:rsid w:val="433E3391"/>
    <w:rsid w:val="433E5454"/>
    <w:rsid w:val="4341411A"/>
    <w:rsid w:val="43456F8F"/>
    <w:rsid w:val="434A4791"/>
    <w:rsid w:val="43525B64"/>
    <w:rsid w:val="43542487"/>
    <w:rsid w:val="43562D62"/>
    <w:rsid w:val="43563F69"/>
    <w:rsid w:val="435D0978"/>
    <w:rsid w:val="435E03BF"/>
    <w:rsid w:val="436C4507"/>
    <w:rsid w:val="4370748F"/>
    <w:rsid w:val="438D391C"/>
    <w:rsid w:val="43965416"/>
    <w:rsid w:val="439929D4"/>
    <w:rsid w:val="439E7A2A"/>
    <w:rsid w:val="43A75F5F"/>
    <w:rsid w:val="43AC4524"/>
    <w:rsid w:val="43AD4FA4"/>
    <w:rsid w:val="43BB17FD"/>
    <w:rsid w:val="43BE6232"/>
    <w:rsid w:val="43C4793B"/>
    <w:rsid w:val="43CC5C76"/>
    <w:rsid w:val="43CC658C"/>
    <w:rsid w:val="43E25EFA"/>
    <w:rsid w:val="43E44CAB"/>
    <w:rsid w:val="43E71975"/>
    <w:rsid w:val="43ED6E22"/>
    <w:rsid w:val="43EE5066"/>
    <w:rsid w:val="43F266F6"/>
    <w:rsid w:val="43FA0A6A"/>
    <w:rsid w:val="43FC63C2"/>
    <w:rsid w:val="43FE3479"/>
    <w:rsid w:val="43FE6084"/>
    <w:rsid w:val="43FE6E26"/>
    <w:rsid w:val="43FF7558"/>
    <w:rsid w:val="44020270"/>
    <w:rsid w:val="441959F3"/>
    <w:rsid w:val="441C4437"/>
    <w:rsid w:val="441E00DC"/>
    <w:rsid w:val="44311957"/>
    <w:rsid w:val="443812BC"/>
    <w:rsid w:val="443D611D"/>
    <w:rsid w:val="443E5DE0"/>
    <w:rsid w:val="443F2D81"/>
    <w:rsid w:val="44461445"/>
    <w:rsid w:val="44473745"/>
    <w:rsid w:val="44486C5B"/>
    <w:rsid w:val="4466137E"/>
    <w:rsid w:val="4472799D"/>
    <w:rsid w:val="4477003F"/>
    <w:rsid w:val="447815ED"/>
    <w:rsid w:val="448A2450"/>
    <w:rsid w:val="448F0700"/>
    <w:rsid w:val="44910851"/>
    <w:rsid w:val="449A4ADB"/>
    <w:rsid w:val="449B1AF4"/>
    <w:rsid w:val="44A95199"/>
    <w:rsid w:val="44AC581D"/>
    <w:rsid w:val="44AD7140"/>
    <w:rsid w:val="44B01504"/>
    <w:rsid w:val="44BD0CB6"/>
    <w:rsid w:val="44CC5FFD"/>
    <w:rsid w:val="44CD27A2"/>
    <w:rsid w:val="44CE1DD8"/>
    <w:rsid w:val="44CE7CFE"/>
    <w:rsid w:val="44D16808"/>
    <w:rsid w:val="44D4744B"/>
    <w:rsid w:val="44D5267C"/>
    <w:rsid w:val="44DF6DD8"/>
    <w:rsid w:val="44EB4B90"/>
    <w:rsid w:val="44EC7B3F"/>
    <w:rsid w:val="44EF577E"/>
    <w:rsid w:val="44F0548C"/>
    <w:rsid w:val="44FF2C3E"/>
    <w:rsid w:val="450137BF"/>
    <w:rsid w:val="450200CD"/>
    <w:rsid w:val="45055308"/>
    <w:rsid w:val="45097015"/>
    <w:rsid w:val="450E3BFE"/>
    <w:rsid w:val="450F6312"/>
    <w:rsid w:val="45210513"/>
    <w:rsid w:val="45231B9A"/>
    <w:rsid w:val="45350ED1"/>
    <w:rsid w:val="45366B2A"/>
    <w:rsid w:val="45433729"/>
    <w:rsid w:val="45547693"/>
    <w:rsid w:val="455A6440"/>
    <w:rsid w:val="455D58AB"/>
    <w:rsid w:val="455E2E70"/>
    <w:rsid w:val="45617764"/>
    <w:rsid w:val="45617DD1"/>
    <w:rsid w:val="456261CD"/>
    <w:rsid w:val="45626BD1"/>
    <w:rsid w:val="456710BE"/>
    <w:rsid w:val="45673265"/>
    <w:rsid w:val="45677DF0"/>
    <w:rsid w:val="456B3D4D"/>
    <w:rsid w:val="456F3C82"/>
    <w:rsid w:val="4570687A"/>
    <w:rsid w:val="458E043A"/>
    <w:rsid w:val="45915CAE"/>
    <w:rsid w:val="45A43343"/>
    <w:rsid w:val="45A62093"/>
    <w:rsid w:val="45A660FE"/>
    <w:rsid w:val="45B475D0"/>
    <w:rsid w:val="45C82898"/>
    <w:rsid w:val="45D0289B"/>
    <w:rsid w:val="45D43F5B"/>
    <w:rsid w:val="45E30430"/>
    <w:rsid w:val="45E77C82"/>
    <w:rsid w:val="45F03B95"/>
    <w:rsid w:val="45F123B4"/>
    <w:rsid w:val="45F129CE"/>
    <w:rsid w:val="45F53679"/>
    <w:rsid w:val="46064949"/>
    <w:rsid w:val="46064BAB"/>
    <w:rsid w:val="4615617E"/>
    <w:rsid w:val="46156D0C"/>
    <w:rsid w:val="46285202"/>
    <w:rsid w:val="462D22F9"/>
    <w:rsid w:val="46423AB8"/>
    <w:rsid w:val="46434D5F"/>
    <w:rsid w:val="46487D41"/>
    <w:rsid w:val="46496069"/>
    <w:rsid w:val="4653644A"/>
    <w:rsid w:val="46567357"/>
    <w:rsid w:val="465D24B1"/>
    <w:rsid w:val="4663412E"/>
    <w:rsid w:val="466D4C35"/>
    <w:rsid w:val="467A2C45"/>
    <w:rsid w:val="467F4300"/>
    <w:rsid w:val="46831C08"/>
    <w:rsid w:val="468433B4"/>
    <w:rsid w:val="4686405A"/>
    <w:rsid w:val="468D0E36"/>
    <w:rsid w:val="46900FA4"/>
    <w:rsid w:val="46915E81"/>
    <w:rsid w:val="46976FC7"/>
    <w:rsid w:val="469E27E0"/>
    <w:rsid w:val="469E6008"/>
    <w:rsid w:val="46A33070"/>
    <w:rsid w:val="46AD4DD5"/>
    <w:rsid w:val="46AD7934"/>
    <w:rsid w:val="46BA7C2B"/>
    <w:rsid w:val="46C75527"/>
    <w:rsid w:val="46CC48AC"/>
    <w:rsid w:val="46D325C6"/>
    <w:rsid w:val="46D74CAB"/>
    <w:rsid w:val="46DF5099"/>
    <w:rsid w:val="46E31844"/>
    <w:rsid w:val="46E51D9E"/>
    <w:rsid w:val="46E65FAA"/>
    <w:rsid w:val="46E8090F"/>
    <w:rsid w:val="46F10117"/>
    <w:rsid w:val="46F32D7E"/>
    <w:rsid w:val="46FD6F8F"/>
    <w:rsid w:val="46FE434B"/>
    <w:rsid w:val="4702673C"/>
    <w:rsid w:val="470C6F68"/>
    <w:rsid w:val="47142B73"/>
    <w:rsid w:val="47221FCE"/>
    <w:rsid w:val="47332100"/>
    <w:rsid w:val="47352A41"/>
    <w:rsid w:val="473B2A50"/>
    <w:rsid w:val="47473F8F"/>
    <w:rsid w:val="474C7194"/>
    <w:rsid w:val="474E6AE2"/>
    <w:rsid w:val="47551551"/>
    <w:rsid w:val="47580913"/>
    <w:rsid w:val="47584CE6"/>
    <w:rsid w:val="475B32E5"/>
    <w:rsid w:val="47631819"/>
    <w:rsid w:val="476615BC"/>
    <w:rsid w:val="47690942"/>
    <w:rsid w:val="476E11FE"/>
    <w:rsid w:val="47732F34"/>
    <w:rsid w:val="477A28A2"/>
    <w:rsid w:val="47814105"/>
    <w:rsid w:val="47824B1C"/>
    <w:rsid w:val="47885893"/>
    <w:rsid w:val="47965592"/>
    <w:rsid w:val="479A6BA9"/>
    <w:rsid w:val="47A308B0"/>
    <w:rsid w:val="47A45947"/>
    <w:rsid w:val="47A93F22"/>
    <w:rsid w:val="47B05E7E"/>
    <w:rsid w:val="47BD0C5F"/>
    <w:rsid w:val="47C4383D"/>
    <w:rsid w:val="47CC3D0F"/>
    <w:rsid w:val="47EA3F9B"/>
    <w:rsid w:val="47ED3C6E"/>
    <w:rsid w:val="47F25E93"/>
    <w:rsid w:val="47F7231E"/>
    <w:rsid w:val="47FC13AE"/>
    <w:rsid w:val="48010676"/>
    <w:rsid w:val="480125D1"/>
    <w:rsid w:val="48045471"/>
    <w:rsid w:val="480F6827"/>
    <w:rsid w:val="48145648"/>
    <w:rsid w:val="481D66F2"/>
    <w:rsid w:val="48282FFC"/>
    <w:rsid w:val="48285CF3"/>
    <w:rsid w:val="482F2AC9"/>
    <w:rsid w:val="483262E6"/>
    <w:rsid w:val="48326468"/>
    <w:rsid w:val="483D3D98"/>
    <w:rsid w:val="4840596C"/>
    <w:rsid w:val="4845345D"/>
    <w:rsid w:val="48491BF6"/>
    <w:rsid w:val="484A2C8B"/>
    <w:rsid w:val="48502016"/>
    <w:rsid w:val="48525FE3"/>
    <w:rsid w:val="48551E55"/>
    <w:rsid w:val="485F1667"/>
    <w:rsid w:val="487343C3"/>
    <w:rsid w:val="487B44E7"/>
    <w:rsid w:val="487F7A77"/>
    <w:rsid w:val="48870DC1"/>
    <w:rsid w:val="488A2FA8"/>
    <w:rsid w:val="4892168C"/>
    <w:rsid w:val="48A30606"/>
    <w:rsid w:val="48A50B52"/>
    <w:rsid w:val="48AB6D47"/>
    <w:rsid w:val="48C86599"/>
    <w:rsid w:val="48CC5935"/>
    <w:rsid w:val="48D72510"/>
    <w:rsid w:val="48E15C85"/>
    <w:rsid w:val="48E62ED6"/>
    <w:rsid w:val="48E863AF"/>
    <w:rsid w:val="48EB2D41"/>
    <w:rsid w:val="48F34259"/>
    <w:rsid w:val="48FF115F"/>
    <w:rsid w:val="49061078"/>
    <w:rsid w:val="491674D9"/>
    <w:rsid w:val="49177C78"/>
    <w:rsid w:val="49180067"/>
    <w:rsid w:val="49194A71"/>
    <w:rsid w:val="491F4E03"/>
    <w:rsid w:val="49211E02"/>
    <w:rsid w:val="492360B3"/>
    <w:rsid w:val="49243EF2"/>
    <w:rsid w:val="4926162C"/>
    <w:rsid w:val="49263FAE"/>
    <w:rsid w:val="49376BF6"/>
    <w:rsid w:val="493E3F02"/>
    <w:rsid w:val="49414A45"/>
    <w:rsid w:val="494D708B"/>
    <w:rsid w:val="494E110C"/>
    <w:rsid w:val="49634B5D"/>
    <w:rsid w:val="49646AF0"/>
    <w:rsid w:val="496C0F3A"/>
    <w:rsid w:val="496F373F"/>
    <w:rsid w:val="497025C2"/>
    <w:rsid w:val="49741570"/>
    <w:rsid w:val="4977101C"/>
    <w:rsid w:val="49853CA4"/>
    <w:rsid w:val="498B5BBF"/>
    <w:rsid w:val="49933707"/>
    <w:rsid w:val="499601CA"/>
    <w:rsid w:val="49990079"/>
    <w:rsid w:val="49AC4D93"/>
    <w:rsid w:val="49AE30A6"/>
    <w:rsid w:val="49AF1849"/>
    <w:rsid w:val="49BB1224"/>
    <w:rsid w:val="49BC765E"/>
    <w:rsid w:val="49C32653"/>
    <w:rsid w:val="49C844FD"/>
    <w:rsid w:val="49CC353E"/>
    <w:rsid w:val="49E42F80"/>
    <w:rsid w:val="49E50CE8"/>
    <w:rsid w:val="49EC73F5"/>
    <w:rsid w:val="49F5169E"/>
    <w:rsid w:val="49FB74E0"/>
    <w:rsid w:val="4A0D6676"/>
    <w:rsid w:val="4A0F7C78"/>
    <w:rsid w:val="4A107F05"/>
    <w:rsid w:val="4A145EF5"/>
    <w:rsid w:val="4A150515"/>
    <w:rsid w:val="4A174BB3"/>
    <w:rsid w:val="4A22714C"/>
    <w:rsid w:val="4A2A50D7"/>
    <w:rsid w:val="4A2D6115"/>
    <w:rsid w:val="4A34242F"/>
    <w:rsid w:val="4A356E2A"/>
    <w:rsid w:val="4A3C71E4"/>
    <w:rsid w:val="4A4C059F"/>
    <w:rsid w:val="4A4C3861"/>
    <w:rsid w:val="4A4C484B"/>
    <w:rsid w:val="4A4D01EE"/>
    <w:rsid w:val="4A4D6B0C"/>
    <w:rsid w:val="4A4D7B7C"/>
    <w:rsid w:val="4A4E36B8"/>
    <w:rsid w:val="4A4E5CD2"/>
    <w:rsid w:val="4A4F7722"/>
    <w:rsid w:val="4A510B28"/>
    <w:rsid w:val="4A55753A"/>
    <w:rsid w:val="4A64791A"/>
    <w:rsid w:val="4A696600"/>
    <w:rsid w:val="4A6A773A"/>
    <w:rsid w:val="4A70398D"/>
    <w:rsid w:val="4A7F1A07"/>
    <w:rsid w:val="4A8210EF"/>
    <w:rsid w:val="4A8573D4"/>
    <w:rsid w:val="4A9078F8"/>
    <w:rsid w:val="4A992558"/>
    <w:rsid w:val="4A9C45BF"/>
    <w:rsid w:val="4AA02824"/>
    <w:rsid w:val="4AAA5929"/>
    <w:rsid w:val="4AB0611F"/>
    <w:rsid w:val="4AB51A5D"/>
    <w:rsid w:val="4AB856DB"/>
    <w:rsid w:val="4ABA4F00"/>
    <w:rsid w:val="4ABB0D81"/>
    <w:rsid w:val="4ABC7DF9"/>
    <w:rsid w:val="4AC25FB8"/>
    <w:rsid w:val="4AC524EB"/>
    <w:rsid w:val="4AC65197"/>
    <w:rsid w:val="4AD25D50"/>
    <w:rsid w:val="4ADA4F10"/>
    <w:rsid w:val="4AE4621C"/>
    <w:rsid w:val="4AEB21CF"/>
    <w:rsid w:val="4AEE204A"/>
    <w:rsid w:val="4AEF03AE"/>
    <w:rsid w:val="4AEF29CB"/>
    <w:rsid w:val="4AF25D4E"/>
    <w:rsid w:val="4AF56AD7"/>
    <w:rsid w:val="4B0126AF"/>
    <w:rsid w:val="4B1B68AC"/>
    <w:rsid w:val="4B1F2741"/>
    <w:rsid w:val="4B2E4E07"/>
    <w:rsid w:val="4B3342C8"/>
    <w:rsid w:val="4B3C587F"/>
    <w:rsid w:val="4B3D38E9"/>
    <w:rsid w:val="4B403A89"/>
    <w:rsid w:val="4B44149B"/>
    <w:rsid w:val="4B4B4AA0"/>
    <w:rsid w:val="4B505B6A"/>
    <w:rsid w:val="4B5762A3"/>
    <w:rsid w:val="4B5A7B11"/>
    <w:rsid w:val="4B64604C"/>
    <w:rsid w:val="4B681202"/>
    <w:rsid w:val="4B6A1699"/>
    <w:rsid w:val="4B6E050A"/>
    <w:rsid w:val="4B6F737F"/>
    <w:rsid w:val="4B6F752D"/>
    <w:rsid w:val="4B717155"/>
    <w:rsid w:val="4B762283"/>
    <w:rsid w:val="4B794039"/>
    <w:rsid w:val="4B7A183B"/>
    <w:rsid w:val="4B7F50D9"/>
    <w:rsid w:val="4B81561D"/>
    <w:rsid w:val="4BA43DD5"/>
    <w:rsid w:val="4BA75C92"/>
    <w:rsid w:val="4BA91138"/>
    <w:rsid w:val="4BA934E5"/>
    <w:rsid w:val="4BB76E66"/>
    <w:rsid w:val="4BC4273A"/>
    <w:rsid w:val="4BE91E18"/>
    <w:rsid w:val="4BEB18F3"/>
    <w:rsid w:val="4BF367ED"/>
    <w:rsid w:val="4C01330C"/>
    <w:rsid w:val="4C023EC3"/>
    <w:rsid w:val="4C0874B5"/>
    <w:rsid w:val="4C0B4891"/>
    <w:rsid w:val="4C1061C3"/>
    <w:rsid w:val="4C1202A8"/>
    <w:rsid w:val="4C201E2B"/>
    <w:rsid w:val="4C2243F2"/>
    <w:rsid w:val="4C25281E"/>
    <w:rsid w:val="4C26696E"/>
    <w:rsid w:val="4C2D35EF"/>
    <w:rsid w:val="4C2E2D85"/>
    <w:rsid w:val="4C3035BB"/>
    <w:rsid w:val="4C322544"/>
    <w:rsid w:val="4C325574"/>
    <w:rsid w:val="4C3402F3"/>
    <w:rsid w:val="4C372DC6"/>
    <w:rsid w:val="4C3A0F00"/>
    <w:rsid w:val="4C457AA6"/>
    <w:rsid w:val="4C5050EC"/>
    <w:rsid w:val="4C5176D1"/>
    <w:rsid w:val="4C5216C4"/>
    <w:rsid w:val="4C5237FA"/>
    <w:rsid w:val="4C60664B"/>
    <w:rsid w:val="4C62757F"/>
    <w:rsid w:val="4C646AF6"/>
    <w:rsid w:val="4C6E515C"/>
    <w:rsid w:val="4C700391"/>
    <w:rsid w:val="4C705309"/>
    <w:rsid w:val="4C737807"/>
    <w:rsid w:val="4C794F65"/>
    <w:rsid w:val="4C7A0109"/>
    <w:rsid w:val="4C7B61F7"/>
    <w:rsid w:val="4C8918AC"/>
    <w:rsid w:val="4C9A4BDF"/>
    <w:rsid w:val="4CA032E4"/>
    <w:rsid w:val="4CA65653"/>
    <w:rsid w:val="4CB015DE"/>
    <w:rsid w:val="4CBE2040"/>
    <w:rsid w:val="4CC245DC"/>
    <w:rsid w:val="4CD4453F"/>
    <w:rsid w:val="4CD85FD1"/>
    <w:rsid w:val="4CE01575"/>
    <w:rsid w:val="4CE41EBD"/>
    <w:rsid w:val="4CE4294D"/>
    <w:rsid w:val="4CE766C9"/>
    <w:rsid w:val="4CE87CDE"/>
    <w:rsid w:val="4CEC7D64"/>
    <w:rsid w:val="4CEF19D9"/>
    <w:rsid w:val="4CEF3C9F"/>
    <w:rsid w:val="4CF2653C"/>
    <w:rsid w:val="4CF759B2"/>
    <w:rsid w:val="4CFD43DE"/>
    <w:rsid w:val="4D0109CC"/>
    <w:rsid w:val="4D116EF5"/>
    <w:rsid w:val="4D151ECD"/>
    <w:rsid w:val="4D1D6537"/>
    <w:rsid w:val="4D1F0902"/>
    <w:rsid w:val="4D2073E7"/>
    <w:rsid w:val="4D23559F"/>
    <w:rsid w:val="4D294853"/>
    <w:rsid w:val="4D2C5B36"/>
    <w:rsid w:val="4D2D7AB3"/>
    <w:rsid w:val="4D321C42"/>
    <w:rsid w:val="4D340F30"/>
    <w:rsid w:val="4D3B4DEA"/>
    <w:rsid w:val="4D445F6A"/>
    <w:rsid w:val="4D4A447E"/>
    <w:rsid w:val="4D5246E8"/>
    <w:rsid w:val="4D5E35A5"/>
    <w:rsid w:val="4D5F5FC6"/>
    <w:rsid w:val="4D6774DF"/>
    <w:rsid w:val="4D7149ED"/>
    <w:rsid w:val="4D7F2BBA"/>
    <w:rsid w:val="4D805BB0"/>
    <w:rsid w:val="4D824A31"/>
    <w:rsid w:val="4D8C2551"/>
    <w:rsid w:val="4D8E1D22"/>
    <w:rsid w:val="4DA53336"/>
    <w:rsid w:val="4DA76958"/>
    <w:rsid w:val="4DA85964"/>
    <w:rsid w:val="4DAB12D6"/>
    <w:rsid w:val="4DAF57E8"/>
    <w:rsid w:val="4DB73EBC"/>
    <w:rsid w:val="4DC61500"/>
    <w:rsid w:val="4DCD1314"/>
    <w:rsid w:val="4DD622BD"/>
    <w:rsid w:val="4DE24F7B"/>
    <w:rsid w:val="4DE452AF"/>
    <w:rsid w:val="4DE67A1F"/>
    <w:rsid w:val="4DEB7E26"/>
    <w:rsid w:val="4DEE63A9"/>
    <w:rsid w:val="4DFC2B4B"/>
    <w:rsid w:val="4DFD1216"/>
    <w:rsid w:val="4DFE3BAC"/>
    <w:rsid w:val="4E042867"/>
    <w:rsid w:val="4E057FA2"/>
    <w:rsid w:val="4E0639A3"/>
    <w:rsid w:val="4E0A13AB"/>
    <w:rsid w:val="4E0C14F8"/>
    <w:rsid w:val="4E0D6B17"/>
    <w:rsid w:val="4E103EB9"/>
    <w:rsid w:val="4E14423C"/>
    <w:rsid w:val="4E1A2152"/>
    <w:rsid w:val="4E252331"/>
    <w:rsid w:val="4E3967A4"/>
    <w:rsid w:val="4E454229"/>
    <w:rsid w:val="4E53369E"/>
    <w:rsid w:val="4E642BE2"/>
    <w:rsid w:val="4E682040"/>
    <w:rsid w:val="4E6B2872"/>
    <w:rsid w:val="4E6C6D03"/>
    <w:rsid w:val="4E720139"/>
    <w:rsid w:val="4E72678D"/>
    <w:rsid w:val="4E775D99"/>
    <w:rsid w:val="4E810F6B"/>
    <w:rsid w:val="4E9E262B"/>
    <w:rsid w:val="4EA52F10"/>
    <w:rsid w:val="4EAA704B"/>
    <w:rsid w:val="4EAB6555"/>
    <w:rsid w:val="4EB449EC"/>
    <w:rsid w:val="4EB467EE"/>
    <w:rsid w:val="4EBF27BD"/>
    <w:rsid w:val="4EC019FB"/>
    <w:rsid w:val="4EC12742"/>
    <w:rsid w:val="4EC34724"/>
    <w:rsid w:val="4ED1286B"/>
    <w:rsid w:val="4ED62E1D"/>
    <w:rsid w:val="4EDB4B96"/>
    <w:rsid w:val="4EE007FB"/>
    <w:rsid w:val="4EE035BE"/>
    <w:rsid w:val="4EE04D00"/>
    <w:rsid w:val="4EE3099B"/>
    <w:rsid w:val="4EEB75F1"/>
    <w:rsid w:val="4EF017B0"/>
    <w:rsid w:val="4F005E52"/>
    <w:rsid w:val="4F1D08C0"/>
    <w:rsid w:val="4F2A1A01"/>
    <w:rsid w:val="4F3940D6"/>
    <w:rsid w:val="4F4727B0"/>
    <w:rsid w:val="4F4E0A0C"/>
    <w:rsid w:val="4F4E4E00"/>
    <w:rsid w:val="4F536849"/>
    <w:rsid w:val="4F553ECD"/>
    <w:rsid w:val="4F5A2F8A"/>
    <w:rsid w:val="4F5C4D92"/>
    <w:rsid w:val="4F6A4F1B"/>
    <w:rsid w:val="4F7060AD"/>
    <w:rsid w:val="4F72677C"/>
    <w:rsid w:val="4F7D4F18"/>
    <w:rsid w:val="4F7E274B"/>
    <w:rsid w:val="4F823A88"/>
    <w:rsid w:val="4F941021"/>
    <w:rsid w:val="4F946147"/>
    <w:rsid w:val="4F9A30FB"/>
    <w:rsid w:val="4F9D7D2D"/>
    <w:rsid w:val="4FA13900"/>
    <w:rsid w:val="4FA87AC2"/>
    <w:rsid w:val="4FAD7946"/>
    <w:rsid w:val="4FB170DB"/>
    <w:rsid w:val="4FB463B5"/>
    <w:rsid w:val="4FBC172B"/>
    <w:rsid w:val="4FC40FD8"/>
    <w:rsid w:val="4FC7473C"/>
    <w:rsid w:val="4FC81CB0"/>
    <w:rsid w:val="4FD65CB3"/>
    <w:rsid w:val="4FDB4FE0"/>
    <w:rsid w:val="4FDD0E51"/>
    <w:rsid w:val="4FDF032C"/>
    <w:rsid w:val="4FEF26E0"/>
    <w:rsid w:val="4FFA1A13"/>
    <w:rsid w:val="50010440"/>
    <w:rsid w:val="50032C05"/>
    <w:rsid w:val="500457D1"/>
    <w:rsid w:val="500A111B"/>
    <w:rsid w:val="500B4746"/>
    <w:rsid w:val="500F5F2F"/>
    <w:rsid w:val="501549DA"/>
    <w:rsid w:val="50175FD1"/>
    <w:rsid w:val="502177A2"/>
    <w:rsid w:val="50261170"/>
    <w:rsid w:val="50265973"/>
    <w:rsid w:val="50284BC8"/>
    <w:rsid w:val="5030711F"/>
    <w:rsid w:val="5047385B"/>
    <w:rsid w:val="504822E1"/>
    <w:rsid w:val="50523B6D"/>
    <w:rsid w:val="505445AC"/>
    <w:rsid w:val="50572A37"/>
    <w:rsid w:val="505976CF"/>
    <w:rsid w:val="505D5EFF"/>
    <w:rsid w:val="505E3563"/>
    <w:rsid w:val="50665D69"/>
    <w:rsid w:val="506C2C24"/>
    <w:rsid w:val="50773583"/>
    <w:rsid w:val="507B4ED0"/>
    <w:rsid w:val="508004C6"/>
    <w:rsid w:val="5086355F"/>
    <w:rsid w:val="508C25B4"/>
    <w:rsid w:val="508C52A9"/>
    <w:rsid w:val="508C6BC5"/>
    <w:rsid w:val="50A16313"/>
    <w:rsid w:val="50AD6788"/>
    <w:rsid w:val="50B33EBA"/>
    <w:rsid w:val="50B5201B"/>
    <w:rsid w:val="50BD27B3"/>
    <w:rsid w:val="50C23D8D"/>
    <w:rsid w:val="50C85B28"/>
    <w:rsid w:val="50CC3B90"/>
    <w:rsid w:val="50CF7317"/>
    <w:rsid w:val="50DB09E7"/>
    <w:rsid w:val="50E1207C"/>
    <w:rsid w:val="50E14ABB"/>
    <w:rsid w:val="50EC316C"/>
    <w:rsid w:val="50F77B04"/>
    <w:rsid w:val="50FA6F21"/>
    <w:rsid w:val="50FB7A37"/>
    <w:rsid w:val="50FC3624"/>
    <w:rsid w:val="50FF060F"/>
    <w:rsid w:val="510478E4"/>
    <w:rsid w:val="510D49ED"/>
    <w:rsid w:val="510E65CD"/>
    <w:rsid w:val="51113ECF"/>
    <w:rsid w:val="51237946"/>
    <w:rsid w:val="51262DD0"/>
    <w:rsid w:val="51316720"/>
    <w:rsid w:val="513A0DDD"/>
    <w:rsid w:val="514B5E37"/>
    <w:rsid w:val="515A448B"/>
    <w:rsid w:val="515F58C2"/>
    <w:rsid w:val="51650EB6"/>
    <w:rsid w:val="51670F01"/>
    <w:rsid w:val="517D1ACE"/>
    <w:rsid w:val="518202C4"/>
    <w:rsid w:val="518E0F86"/>
    <w:rsid w:val="518F282E"/>
    <w:rsid w:val="51912280"/>
    <w:rsid w:val="51963F5D"/>
    <w:rsid w:val="519C6BC3"/>
    <w:rsid w:val="519D07FF"/>
    <w:rsid w:val="519D448F"/>
    <w:rsid w:val="51A14825"/>
    <w:rsid w:val="51AE3ECA"/>
    <w:rsid w:val="51B46DB0"/>
    <w:rsid w:val="51BC580B"/>
    <w:rsid w:val="51BD6779"/>
    <w:rsid w:val="51C7050E"/>
    <w:rsid w:val="51C730A3"/>
    <w:rsid w:val="51C95CC2"/>
    <w:rsid w:val="51D23294"/>
    <w:rsid w:val="51D54C23"/>
    <w:rsid w:val="51E52110"/>
    <w:rsid w:val="51EC3479"/>
    <w:rsid w:val="51F11DB5"/>
    <w:rsid w:val="51F33728"/>
    <w:rsid w:val="51F5747B"/>
    <w:rsid w:val="51FF06CE"/>
    <w:rsid w:val="520051E3"/>
    <w:rsid w:val="52033767"/>
    <w:rsid w:val="52083AB2"/>
    <w:rsid w:val="520B20F3"/>
    <w:rsid w:val="520B7241"/>
    <w:rsid w:val="520E5DCA"/>
    <w:rsid w:val="52102850"/>
    <w:rsid w:val="521701FE"/>
    <w:rsid w:val="52182C90"/>
    <w:rsid w:val="521C38ED"/>
    <w:rsid w:val="522307D5"/>
    <w:rsid w:val="522315E7"/>
    <w:rsid w:val="522C4FCC"/>
    <w:rsid w:val="522D593F"/>
    <w:rsid w:val="52360D80"/>
    <w:rsid w:val="5238763F"/>
    <w:rsid w:val="5244301D"/>
    <w:rsid w:val="524D151D"/>
    <w:rsid w:val="525D29ED"/>
    <w:rsid w:val="527609C3"/>
    <w:rsid w:val="527A5AB5"/>
    <w:rsid w:val="527C5806"/>
    <w:rsid w:val="527F4922"/>
    <w:rsid w:val="52893020"/>
    <w:rsid w:val="529D791D"/>
    <w:rsid w:val="52A0360D"/>
    <w:rsid w:val="52A224D5"/>
    <w:rsid w:val="52A34832"/>
    <w:rsid w:val="52AA07AA"/>
    <w:rsid w:val="52AA5640"/>
    <w:rsid w:val="52AB0D1D"/>
    <w:rsid w:val="52AF70BE"/>
    <w:rsid w:val="52B70EB0"/>
    <w:rsid w:val="52BC6D7A"/>
    <w:rsid w:val="52C00FD6"/>
    <w:rsid w:val="52C50C46"/>
    <w:rsid w:val="52C54CF0"/>
    <w:rsid w:val="52CE31C1"/>
    <w:rsid w:val="52D24C66"/>
    <w:rsid w:val="52D25D1A"/>
    <w:rsid w:val="52D725C9"/>
    <w:rsid w:val="52D75C76"/>
    <w:rsid w:val="52DC7E4B"/>
    <w:rsid w:val="52E17F08"/>
    <w:rsid w:val="52E64351"/>
    <w:rsid w:val="52EF55CE"/>
    <w:rsid w:val="52F456BE"/>
    <w:rsid w:val="52F564C8"/>
    <w:rsid w:val="5307570B"/>
    <w:rsid w:val="530A5EFE"/>
    <w:rsid w:val="530C296B"/>
    <w:rsid w:val="53104D58"/>
    <w:rsid w:val="531750BA"/>
    <w:rsid w:val="53194E27"/>
    <w:rsid w:val="531E362F"/>
    <w:rsid w:val="532673D5"/>
    <w:rsid w:val="532B252B"/>
    <w:rsid w:val="532E5F92"/>
    <w:rsid w:val="533651C6"/>
    <w:rsid w:val="533B5708"/>
    <w:rsid w:val="534858FD"/>
    <w:rsid w:val="534917A1"/>
    <w:rsid w:val="535222E1"/>
    <w:rsid w:val="535872C8"/>
    <w:rsid w:val="535D06DA"/>
    <w:rsid w:val="53853C4F"/>
    <w:rsid w:val="538A138D"/>
    <w:rsid w:val="538D0712"/>
    <w:rsid w:val="53975482"/>
    <w:rsid w:val="53981BA4"/>
    <w:rsid w:val="539968E8"/>
    <w:rsid w:val="53A17435"/>
    <w:rsid w:val="53A550E0"/>
    <w:rsid w:val="53A914FA"/>
    <w:rsid w:val="53B00FFB"/>
    <w:rsid w:val="53B473CD"/>
    <w:rsid w:val="53B8682F"/>
    <w:rsid w:val="53C253AD"/>
    <w:rsid w:val="53C25DCC"/>
    <w:rsid w:val="53CA416D"/>
    <w:rsid w:val="53CC05E3"/>
    <w:rsid w:val="53CC5401"/>
    <w:rsid w:val="53DD7C64"/>
    <w:rsid w:val="53FD6547"/>
    <w:rsid w:val="54015241"/>
    <w:rsid w:val="54070869"/>
    <w:rsid w:val="54104380"/>
    <w:rsid w:val="54305BE4"/>
    <w:rsid w:val="54311247"/>
    <w:rsid w:val="543D594D"/>
    <w:rsid w:val="54400AAE"/>
    <w:rsid w:val="54485579"/>
    <w:rsid w:val="544862F1"/>
    <w:rsid w:val="544C42CA"/>
    <w:rsid w:val="54515DD0"/>
    <w:rsid w:val="54545C99"/>
    <w:rsid w:val="54551161"/>
    <w:rsid w:val="54603BCE"/>
    <w:rsid w:val="54656E8D"/>
    <w:rsid w:val="547265A4"/>
    <w:rsid w:val="547708EB"/>
    <w:rsid w:val="54814186"/>
    <w:rsid w:val="548A70F8"/>
    <w:rsid w:val="548F1958"/>
    <w:rsid w:val="5490055C"/>
    <w:rsid w:val="54925047"/>
    <w:rsid w:val="54972624"/>
    <w:rsid w:val="549B4B5B"/>
    <w:rsid w:val="549E214E"/>
    <w:rsid w:val="54A25FF7"/>
    <w:rsid w:val="54A67206"/>
    <w:rsid w:val="54A80001"/>
    <w:rsid w:val="54AB4AB2"/>
    <w:rsid w:val="54B8487B"/>
    <w:rsid w:val="54BB7602"/>
    <w:rsid w:val="54C828F1"/>
    <w:rsid w:val="54D54F04"/>
    <w:rsid w:val="54D91422"/>
    <w:rsid w:val="54E81D9F"/>
    <w:rsid w:val="54E86AB4"/>
    <w:rsid w:val="54EF3CCD"/>
    <w:rsid w:val="54F35AFC"/>
    <w:rsid w:val="5502088A"/>
    <w:rsid w:val="551F1F7A"/>
    <w:rsid w:val="55254BCD"/>
    <w:rsid w:val="552B333A"/>
    <w:rsid w:val="552E0C69"/>
    <w:rsid w:val="553510DD"/>
    <w:rsid w:val="55411E26"/>
    <w:rsid w:val="5545666D"/>
    <w:rsid w:val="55486964"/>
    <w:rsid w:val="554F56E6"/>
    <w:rsid w:val="55556B99"/>
    <w:rsid w:val="55561F37"/>
    <w:rsid w:val="55575D98"/>
    <w:rsid w:val="555E15B2"/>
    <w:rsid w:val="55604127"/>
    <w:rsid w:val="55606B72"/>
    <w:rsid w:val="55713C9E"/>
    <w:rsid w:val="5574123E"/>
    <w:rsid w:val="5578391E"/>
    <w:rsid w:val="557F7512"/>
    <w:rsid w:val="558142B7"/>
    <w:rsid w:val="558A6BCD"/>
    <w:rsid w:val="5593308A"/>
    <w:rsid w:val="55A16B67"/>
    <w:rsid w:val="55A17F08"/>
    <w:rsid w:val="55A227B9"/>
    <w:rsid w:val="55A27B1F"/>
    <w:rsid w:val="55A457B7"/>
    <w:rsid w:val="55A60AAD"/>
    <w:rsid w:val="55A839D5"/>
    <w:rsid w:val="55B87E4D"/>
    <w:rsid w:val="55BF07C7"/>
    <w:rsid w:val="55C33D5F"/>
    <w:rsid w:val="55C9474A"/>
    <w:rsid w:val="55CB30BC"/>
    <w:rsid w:val="55D4370E"/>
    <w:rsid w:val="55DB146F"/>
    <w:rsid w:val="55DE105D"/>
    <w:rsid w:val="55E4227E"/>
    <w:rsid w:val="55E56A71"/>
    <w:rsid w:val="55EC3E4B"/>
    <w:rsid w:val="55EE4D9C"/>
    <w:rsid w:val="55F11D56"/>
    <w:rsid w:val="55F87551"/>
    <w:rsid w:val="55FF68DF"/>
    <w:rsid w:val="56082777"/>
    <w:rsid w:val="560B38B7"/>
    <w:rsid w:val="56101CA8"/>
    <w:rsid w:val="561539F0"/>
    <w:rsid w:val="56157517"/>
    <w:rsid w:val="561B3C35"/>
    <w:rsid w:val="561D6498"/>
    <w:rsid w:val="561F3A50"/>
    <w:rsid w:val="562223B8"/>
    <w:rsid w:val="56246CDD"/>
    <w:rsid w:val="562E6DB4"/>
    <w:rsid w:val="563D72B9"/>
    <w:rsid w:val="563F4FE8"/>
    <w:rsid w:val="56447A1D"/>
    <w:rsid w:val="564779E0"/>
    <w:rsid w:val="56535289"/>
    <w:rsid w:val="56587E86"/>
    <w:rsid w:val="566C111D"/>
    <w:rsid w:val="566C16FA"/>
    <w:rsid w:val="5670095B"/>
    <w:rsid w:val="56707BA1"/>
    <w:rsid w:val="567A0977"/>
    <w:rsid w:val="56833F2A"/>
    <w:rsid w:val="568644F8"/>
    <w:rsid w:val="568B0658"/>
    <w:rsid w:val="569131F9"/>
    <w:rsid w:val="569D1676"/>
    <w:rsid w:val="56A42A57"/>
    <w:rsid w:val="56A46AB3"/>
    <w:rsid w:val="56A679A5"/>
    <w:rsid w:val="56A83147"/>
    <w:rsid w:val="56B0423F"/>
    <w:rsid w:val="56B470FA"/>
    <w:rsid w:val="56BC2FA6"/>
    <w:rsid w:val="56BE5564"/>
    <w:rsid w:val="56C63EC4"/>
    <w:rsid w:val="56C642C7"/>
    <w:rsid w:val="56D0097A"/>
    <w:rsid w:val="56D12F83"/>
    <w:rsid w:val="56D427D0"/>
    <w:rsid w:val="56D7564D"/>
    <w:rsid w:val="56D76356"/>
    <w:rsid w:val="56DA78B0"/>
    <w:rsid w:val="56DB75F4"/>
    <w:rsid w:val="56E12AF9"/>
    <w:rsid w:val="56E2404B"/>
    <w:rsid w:val="56E27456"/>
    <w:rsid w:val="56E760D7"/>
    <w:rsid w:val="56E87343"/>
    <w:rsid w:val="56EF43CD"/>
    <w:rsid w:val="56F85686"/>
    <w:rsid w:val="56FB6370"/>
    <w:rsid w:val="57013EEA"/>
    <w:rsid w:val="570561F6"/>
    <w:rsid w:val="570E3DFC"/>
    <w:rsid w:val="571374EF"/>
    <w:rsid w:val="571453EF"/>
    <w:rsid w:val="571E0DFA"/>
    <w:rsid w:val="571F552A"/>
    <w:rsid w:val="5729621F"/>
    <w:rsid w:val="572B4D8F"/>
    <w:rsid w:val="572C0091"/>
    <w:rsid w:val="572F057C"/>
    <w:rsid w:val="57435472"/>
    <w:rsid w:val="57435DC7"/>
    <w:rsid w:val="5743619C"/>
    <w:rsid w:val="5747463A"/>
    <w:rsid w:val="574E4500"/>
    <w:rsid w:val="574E5837"/>
    <w:rsid w:val="5751308F"/>
    <w:rsid w:val="57543756"/>
    <w:rsid w:val="5754768F"/>
    <w:rsid w:val="5755041D"/>
    <w:rsid w:val="575B0AFB"/>
    <w:rsid w:val="57617885"/>
    <w:rsid w:val="576442A6"/>
    <w:rsid w:val="57646A88"/>
    <w:rsid w:val="576821DB"/>
    <w:rsid w:val="57686A6D"/>
    <w:rsid w:val="576878BB"/>
    <w:rsid w:val="57691D5C"/>
    <w:rsid w:val="576A0216"/>
    <w:rsid w:val="576F3402"/>
    <w:rsid w:val="5775584E"/>
    <w:rsid w:val="57775765"/>
    <w:rsid w:val="577E7A69"/>
    <w:rsid w:val="5783043E"/>
    <w:rsid w:val="57906F24"/>
    <w:rsid w:val="57970540"/>
    <w:rsid w:val="579A5DA1"/>
    <w:rsid w:val="579A63A9"/>
    <w:rsid w:val="579D4F0E"/>
    <w:rsid w:val="579F72CD"/>
    <w:rsid w:val="57A4739C"/>
    <w:rsid w:val="57A81A28"/>
    <w:rsid w:val="57A95AA0"/>
    <w:rsid w:val="57AC07B0"/>
    <w:rsid w:val="57B55E43"/>
    <w:rsid w:val="57BE44F7"/>
    <w:rsid w:val="57C03A12"/>
    <w:rsid w:val="57C30592"/>
    <w:rsid w:val="57C67A94"/>
    <w:rsid w:val="57C83FF4"/>
    <w:rsid w:val="57CD3452"/>
    <w:rsid w:val="57D722D9"/>
    <w:rsid w:val="57D75B76"/>
    <w:rsid w:val="57E842B7"/>
    <w:rsid w:val="57EA3781"/>
    <w:rsid w:val="57EC1B44"/>
    <w:rsid w:val="57F20659"/>
    <w:rsid w:val="57F347A6"/>
    <w:rsid w:val="57F96CCA"/>
    <w:rsid w:val="57FE7D56"/>
    <w:rsid w:val="58057A4D"/>
    <w:rsid w:val="580C7901"/>
    <w:rsid w:val="580D10EA"/>
    <w:rsid w:val="581F74CA"/>
    <w:rsid w:val="58256D8D"/>
    <w:rsid w:val="582763D2"/>
    <w:rsid w:val="58296533"/>
    <w:rsid w:val="582D0832"/>
    <w:rsid w:val="58324F84"/>
    <w:rsid w:val="583E3372"/>
    <w:rsid w:val="584C0277"/>
    <w:rsid w:val="58513947"/>
    <w:rsid w:val="585707B9"/>
    <w:rsid w:val="585D7E71"/>
    <w:rsid w:val="58683F88"/>
    <w:rsid w:val="58691079"/>
    <w:rsid w:val="586C4888"/>
    <w:rsid w:val="5879071D"/>
    <w:rsid w:val="588444B7"/>
    <w:rsid w:val="588478FB"/>
    <w:rsid w:val="58865AA4"/>
    <w:rsid w:val="58982FA4"/>
    <w:rsid w:val="58A851BE"/>
    <w:rsid w:val="58B367DF"/>
    <w:rsid w:val="58B9418B"/>
    <w:rsid w:val="58BB554C"/>
    <w:rsid w:val="58BC4C4A"/>
    <w:rsid w:val="58BE11C9"/>
    <w:rsid w:val="58BF51B5"/>
    <w:rsid w:val="58C24F2F"/>
    <w:rsid w:val="58D152CD"/>
    <w:rsid w:val="58D453BB"/>
    <w:rsid w:val="58D50D84"/>
    <w:rsid w:val="58DF7B84"/>
    <w:rsid w:val="58E21664"/>
    <w:rsid w:val="58E433DE"/>
    <w:rsid w:val="58E65E55"/>
    <w:rsid w:val="58E7075B"/>
    <w:rsid w:val="58E93DFA"/>
    <w:rsid w:val="58F21636"/>
    <w:rsid w:val="58FD57D3"/>
    <w:rsid w:val="59046EB8"/>
    <w:rsid w:val="590A28D5"/>
    <w:rsid w:val="59164DFF"/>
    <w:rsid w:val="591E483E"/>
    <w:rsid w:val="592D0711"/>
    <w:rsid w:val="59334651"/>
    <w:rsid w:val="59336F54"/>
    <w:rsid w:val="593D6208"/>
    <w:rsid w:val="59400FDB"/>
    <w:rsid w:val="594128B4"/>
    <w:rsid w:val="5941649E"/>
    <w:rsid w:val="59450349"/>
    <w:rsid w:val="59480FFF"/>
    <w:rsid w:val="59495562"/>
    <w:rsid w:val="594B2114"/>
    <w:rsid w:val="594B29A3"/>
    <w:rsid w:val="5957324B"/>
    <w:rsid w:val="59655B09"/>
    <w:rsid w:val="596A2DA8"/>
    <w:rsid w:val="596A7BE3"/>
    <w:rsid w:val="59714072"/>
    <w:rsid w:val="59727558"/>
    <w:rsid w:val="597D602E"/>
    <w:rsid w:val="59833E96"/>
    <w:rsid w:val="59864BC2"/>
    <w:rsid w:val="59983CAB"/>
    <w:rsid w:val="599F5B54"/>
    <w:rsid w:val="59A00DD8"/>
    <w:rsid w:val="59A17F7A"/>
    <w:rsid w:val="59B14B2D"/>
    <w:rsid w:val="59B75DAD"/>
    <w:rsid w:val="59C248F1"/>
    <w:rsid w:val="59DA1CF0"/>
    <w:rsid w:val="59E31EC8"/>
    <w:rsid w:val="59E33F72"/>
    <w:rsid w:val="5A001761"/>
    <w:rsid w:val="5A033C8B"/>
    <w:rsid w:val="5A0750F5"/>
    <w:rsid w:val="5A0E02F0"/>
    <w:rsid w:val="5A16570D"/>
    <w:rsid w:val="5A194FCE"/>
    <w:rsid w:val="5A20415B"/>
    <w:rsid w:val="5A241016"/>
    <w:rsid w:val="5A2526B0"/>
    <w:rsid w:val="5A342A30"/>
    <w:rsid w:val="5A3A1DC6"/>
    <w:rsid w:val="5A3D7396"/>
    <w:rsid w:val="5A57289F"/>
    <w:rsid w:val="5A57487B"/>
    <w:rsid w:val="5A5A494A"/>
    <w:rsid w:val="5A5A7226"/>
    <w:rsid w:val="5A602088"/>
    <w:rsid w:val="5A63760A"/>
    <w:rsid w:val="5A6A6087"/>
    <w:rsid w:val="5A6D7079"/>
    <w:rsid w:val="5A745530"/>
    <w:rsid w:val="5A8361B5"/>
    <w:rsid w:val="5A891B78"/>
    <w:rsid w:val="5A895A46"/>
    <w:rsid w:val="5A8B3F81"/>
    <w:rsid w:val="5A8E687B"/>
    <w:rsid w:val="5A8E7BFA"/>
    <w:rsid w:val="5AA25602"/>
    <w:rsid w:val="5AA718BF"/>
    <w:rsid w:val="5AA83605"/>
    <w:rsid w:val="5AB15CAE"/>
    <w:rsid w:val="5AB37268"/>
    <w:rsid w:val="5AB37871"/>
    <w:rsid w:val="5AB572B2"/>
    <w:rsid w:val="5AC233BC"/>
    <w:rsid w:val="5AC62B61"/>
    <w:rsid w:val="5AC66BFB"/>
    <w:rsid w:val="5ACA6217"/>
    <w:rsid w:val="5ACC187E"/>
    <w:rsid w:val="5AD44BB8"/>
    <w:rsid w:val="5AE171C2"/>
    <w:rsid w:val="5AE57D6B"/>
    <w:rsid w:val="5AEC4CE1"/>
    <w:rsid w:val="5AEE6BF7"/>
    <w:rsid w:val="5AF766C7"/>
    <w:rsid w:val="5AFC49C5"/>
    <w:rsid w:val="5AFD68E3"/>
    <w:rsid w:val="5AFF0166"/>
    <w:rsid w:val="5B0C67D4"/>
    <w:rsid w:val="5B157EA6"/>
    <w:rsid w:val="5B210349"/>
    <w:rsid w:val="5B220268"/>
    <w:rsid w:val="5B252C5D"/>
    <w:rsid w:val="5B284020"/>
    <w:rsid w:val="5B2E58F9"/>
    <w:rsid w:val="5B321235"/>
    <w:rsid w:val="5B325027"/>
    <w:rsid w:val="5B3C4A27"/>
    <w:rsid w:val="5B50278E"/>
    <w:rsid w:val="5B634183"/>
    <w:rsid w:val="5B6D13E5"/>
    <w:rsid w:val="5B6E01A1"/>
    <w:rsid w:val="5B6E0DA0"/>
    <w:rsid w:val="5B740233"/>
    <w:rsid w:val="5B7E34F3"/>
    <w:rsid w:val="5B8057EA"/>
    <w:rsid w:val="5B872136"/>
    <w:rsid w:val="5B874B2F"/>
    <w:rsid w:val="5B8E77DD"/>
    <w:rsid w:val="5B8F41D8"/>
    <w:rsid w:val="5B9416E2"/>
    <w:rsid w:val="5B992878"/>
    <w:rsid w:val="5B9D4041"/>
    <w:rsid w:val="5B9D54D6"/>
    <w:rsid w:val="5BA561CF"/>
    <w:rsid w:val="5BAA509D"/>
    <w:rsid w:val="5BB1334A"/>
    <w:rsid w:val="5BB14A56"/>
    <w:rsid w:val="5BB67E3C"/>
    <w:rsid w:val="5BB86022"/>
    <w:rsid w:val="5BB90B01"/>
    <w:rsid w:val="5BBB0D61"/>
    <w:rsid w:val="5BD01648"/>
    <w:rsid w:val="5BD4669C"/>
    <w:rsid w:val="5BDF6B55"/>
    <w:rsid w:val="5BE310B1"/>
    <w:rsid w:val="5BE43200"/>
    <w:rsid w:val="5BE62E1D"/>
    <w:rsid w:val="5BED59B0"/>
    <w:rsid w:val="5BEE3F2B"/>
    <w:rsid w:val="5BFE2BC1"/>
    <w:rsid w:val="5C057741"/>
    <w:rsid w:val="5C0E3674"/>
    <w:rsid w:val="5C0F0B4F"/>
    <w:rsid w:val="5C0F697B"/>
    <w:rsid w:val="5C100447"/>
    <w:rsid w:val="5C107CBE"/>
    <w:rsid w:val="5C163F00"/>
    <w:rsid w:val="5C2048B1"/>
    <w:rsid w:val="5C250242"/>
    <w:rsid w:val="5C294C5F"/>
    <w:rsid w:val="5C2D3A59"/>
    <w:rsid w:val="5C345C7C"/>
    <w:rsid w:val="5C375886"/>
    <w:rsid w:val="5C3B368C"/>
    <w:rsid w:val="5C437F6F"/>
    <w:rsid w:val="5C464795"/>
    <w:rsid w:val="5C465D7E"/>
    <w:rsid w:val="5C4777CE"/>
    <w:rsid w:val="5C4A5A9A"/>
    <w:rsid w:val="5C5122E6"/>
    <w:rsid w:val="5C533EC1"/>
    <w:rsid w:val="5C656ED0"/>
    <w:rsid w:val="5C6C48F1"/>
    <w:rsid w:val="5C6E1EE4"/>
    <w:rsid w:val="5C7A12A1"/>
    <w:rsid w:val="5C7C1114"/>
    <w:rsid w:val="5C7D12B4"/>
    <w:rsid w:val="5C7E776F"/>
    <w:rsid w:val="5C924C6E"/>
    <w:rsid w:val="5C935DD0"/>
    <w:rsid w:val="5C9D1F42"/>
    <w:rsid w:val="5C9D5436"/>
    <w:rsid w:val="5CA129D8"/>
    <w:rsid w:val="5CA41DF5"/>
    <w:rsid w:val="5CAE4F1A"/>
    <w:rsid w:val="5CB13933"/>
    <w:rsid w:val="5CB1634C"/>
    <w:rsid w:val="5CB3649E"/>
    <w:rsid w:val="5CB75810"/>
    <w:rsid w:val="5CB83F2C"/>
    <w:rsid w:val="5CB84EB3"/>
    <w:rsid w:val="5CBD5712"/>
    <w:rsid w:val="5CBE5365"/>
    <w:rsid w:val="5CC60097"/>
    <w:rsid w:val="5CC80D64"/>
    <w:rsid w:val="5CC8577F"/>
    <w:rsid w:val="5CCC395F"/>
    <w:rsid w:val="5CD81E21"/>
    <w:rsid w:val="5CDB6A67"/>
    <w:rsid w:val="5CDC724C"/>
    <w:rsid w:val="5CDD0668"/>
    <w:rsid w:val="5CDE6AB8"/>
    <w:rsid w:val="5CE31DDF"/>
    <w:rsid w:val="5CFA1D34"/>
    <w:rsid w:val="5CFA745A"/>
    <w:rsid w:val="5CFD19EE"/>
    <w:rsid w:val="5D01510E"/>
    <w:rsid w:val="5D0660C8"/>
    <w:rsid w:val="5D0B7ADA"/>
    <w:rsid w:val="5D0D2FE7"/>
    <w:rsid w:val="5D0E3D84"/>
    <w:rsid w:val="5D0F1BB9"/>
    <w:rsid w:val="5D1C1527"/>
    <w:rsid w:val="5D1D38BE"/>
    <w:rsid w:val="5D3A0DD3"/>
    <w:rsid w:val="5D3B3B86"/>
    <w:rsid w:val="5D3B7FC8"/>
    <w:rsid w:val="5D414C44"/>
    <w:rsid w:val="5D5C347A"/>
    <w:rsid w:val="5D706BDF"/>
    <w:rsid w:val="5D76473E"/>
    <w:rsid w:val="5D935EFB"/>
    <w:rsid w:val="5D9A6994"/>
    <w:rsid w:val="5D9B16C8"/>
    <w:rsid w:val="5D9D6F37"/>
    <w:rsid w:val="5DA27EC5"/>
    <w:rsid w:val="5DA718AE"/>
    <w:rsid w:val="5DAF60F3"/>
    <w:rsid w:val="5DB375CE"/>
    <w:rsid w:val="5DC56E3C"/>
    <w:rsid w:val="5DCA4CCE"/>
    <w:rsid w:val="5DCD66E8"/>
    <w:rsid w:val="5DD8706A"/>
    <w:rsid w:val="5DDF4E00"/>
    <w:rsid w:val="5DED3594"/>
    <w:rsid w:val="5DEE51C3"/>
    <w:rsid w:val="5DEF1962"/>
    <w:rsid w:val="5DEF5416"/>
    <w:rsid w:val="5DFD1559"/>
    <w:rsid w:val="5DFD3AF5"/>
    <w:rsid w:val="5E033716"/>
    <w:rsid w:val="5E0365E2"/>
    <w:rsid w:val="5E1A459C"/>
    <w:rsid w:val="5E1B67AE"/>
    <w:rsid w:val="5E27738D"/>
    <w:rsid w:val="5E2C4B5B"/>
    <w:rsid w:val="5E2D77CA"/>
    <w:rsid w:val="5E325597"/>
    <w:rsid w:val="5E3A4FB7"/>
    <w:rsid w:val="5E3A6738"/>
    <w:rsid w:val="5E3D5E09"/>
    <w:rsid w:val="5E4951BD"/>
    <w:rsid w:val="5E4A3873"/>
    <w:rsid w:val="5E4B44CA"/>
    <w:rsid w:val="5E4C4551"/>
    <w:rsid w:val="5E4F0A86"/>
    <w:rsid w:val="5E512341"/>
    <w:rsid w:val="5E5246A8"/>
    <w:rsid w:val="5E562742"/>
    <w:rsid w:val="5E5762E5"/>
    <w:rsid w:val="5E5C2F8C"/>
    <w:rsid w:val="5E5C7D61"/>
    <w:rsid w:val="5E6324B4"/>
    <w:rsid w:val="5E6577DE"/>
    <w:rsid w:val="5E670B94"/>
    <w:rsid w:val="5E7B3289"/>
    <w:rsid w:val="5E801FD8"/>
    <w:rsid w:val="5E825B4A"/>
    <w:rsid w:val="5E846BF5"/>
    <w:rsid w:val="5E850A50"/>
    <w:rsid w:val="5E9125CE"/>
    <w:rsid w:val="5E926626"/>
    <w:rsid w:val="5E9F7624"/>
    <w:rsid w:val="5EA45E20"/>
    <w:rsid w:val="5EA51463"/>
    <w:rsid w:val="5EA61AF8"/>
    <w:rsid w:val="5EBE09CE"/>
    <w:rsid w:val="5EC37A88"/>
    <w:rsid w:val="5EC41D86"/>
    <w:rsid w:val="5EC6133D"/>
    <w:rsid w:val="5EC6790E"/>
    <w:rsid w:val="5ECA6690"/>
    <w:rsid w:val="5ED72153"/>
    <w:rsid w:val="5EDF28DC"/>
    <w:rsid w:val="5EDF6397"/>
    <w:rsid w:val="5EE42FF1"/>
    <w:rsid w:val="5EE46DE8"/>
    <w:rsid w:val="5EE56E31"/>
    <w:rsid w:val="5EF45254"/>
    <w:rsid w:val="5EF6742B"/>
    <w:rsid w:val="5EF80672"/>
    <w:rsid w:val="5EF92CFF"/>
    <w:rsid w:val="5EFC12A9"/>
    <w:rsid w:val="5EFF793D"/>
    <w:rsid w:val="5F020D11"/>
    <w:rsid w:val="5F040C15"/>
    <w:rsid w:val="5F161BC3"/>
    <w:rsid w:val="5F182276"/>
    <w:rsid w:val="5F191EFE"/>
    <w:rsid w:val="5F2616D6"/>
    <w:rsid w:val="5F284849"/>
    <w:rsid w:val="5F2F7265"/>
    <w:rsid w:val="5F3539BE"/>
    <w:rsid w:val="5F354749"/>
    <w:rsid w:val="5F3759B0"/>
    <w:rsid w:val="5F3C6D34"/>
    <w:rsid w:val="5F43305E"/>
    <w:rsid w:val="5F451986"/>
    <w:rsid w:val="5F477D72"/>
    <w:rsid w:val="5F4848E2"/>
    <w:rsid w:val="5F5D446D"/>
    <w:rsid w:val="5F667842"/>
    <w:rsid w:val="5F6A6381"/>
    <w:rsid w:val="5F6C47E2"/>
    <w:rsid w:val="5F6E1F53"/>
    <w:rsid w:val="5F7623BD"/>
    <w:rsid w:val="5F80347F"/>
    <w:rsid w:val="5F86416C"/>
    <w:rsid w:val="5F90328F"/>
    <w:rsid w:val="5F944BE7"/>
    <w:rsid w:val="5F980443"/>
    <w:rsid w:val="5F9808E1"/>
    <w:rsid w:val="5F9875F3"/>
    <w:rsid w:val="5FA15A17"/>
    <w:rsid w:val="5FAE5561"/>
    <w:rsid w:val="5FB30E34"/>
    <w:rsid w:val="5FB61EBC"/>
    <w:rsid w:val="5FB65D77"/>
    <w:rsid w:val="5FBC4D83"/>
    <w:rsid w:val="5FC9230F"/>
    <w:rsid w:val="5FD97B6F"/>
    <w:rsid w:val="5FDE54B9"/>
    <w:rsid w:val="5FE505AA"/>
    <w:rsid w:val="5FFE6EA8"/>
    <w:rsid w:val="60037BB7"/>
    <w:rsid w:val="60091BDA"/>
    <w:rsid w:val="600F3778"/>
    <w:rsid w:val="602236B6"/>
    <w:rsid w:val="603120DC"/>
    <w:rsid w:val="60326093"/>
    <w:rsid w:val="604000FC"/>
    <w:rsid w:val="60433EAF"/>
    <w:rsid w:val="60452A13"/>
    <w:rsid w:val="604E1880"/>
    <w:rsid w:val="6053658D"/>
    <w:rsid w:val="60556C66"/>
    <w:rsid w:val="60581B54"/>
    <w:rsid w:val="60581C79"/>
    <w:rsid w:val="6058608B"/>
    <w:rsid w:val="60672747"/>
    <w:rsid w:val="606E0ACA"/>
    <w:rsid w:val="607C76DB"/>
    <w:rsid w:val="607E7530"/>
    <w:rsid w:val="6081019E"/>
    <w:rsid w:val="608A23A7"/>
    <w:rsid w:val="60910FE8"/>
    <w:rsid w:val="609A5E8F"/>
    <w:rsid w:val="60A32AE1"/>
    <w:rsid w:val="60AA6AA9"/>
    <w:rsid w:val="60AC4026"/>
    <w:rsid w:val="60AE592B"/>
    <w:rsid w:val="60AF603E"/>
    <w:rsid w:val="60B02CD7"/>
    <w:rsid w:val="60B551F3"/>
    <w:rsid w:val="60B954BB"/>
    <w:rsid w:val="60B959C2"/>
    <w:rsid w:val="60C80C8B"/>
    <w:rsid w:val="60D66141"/>
    <w:rsid w:val="60D73C70"/>
    <w:rsid w:val="60E51E9C"/>
    <w:rsid w:val="60E544D7"/>
    <w:rsid w:val="60EA2A7D"/>
    <w:rsid w:val="60FD6917"/>
    <w:rsid w:val="61046012"/>
    <w:rsid w:val="6111367E"/>
    <w:rsid w:val="611768A7"/>
    <w:rsid w:val="611F6E41"/>
    <w:rsid w:val="6128450B"/>
    <w:rsid w:val="61286490"/>
    <w:rsid w:val="612E4AA7"/>
    <w:rsid w:val="61303D35"/>
    <w:rsid w:val="613A28F6"/>
    <w:rsid w:val="613E5272"/>
    <w:rsid w:val="614F5217"/>
    <w:rsid w:val="61531AF8"/>
    <w:rsid w:val="61566977"/>
    <w:rsid w:val="61595759"/>
    <w:rsid w:val="615F046A"/>
    <w:rsid w:val="616346D8"/>
    <w:rsid w:val="61662466"/>
    <w:rsid w:val="616C2C50"/>
    <w:rsid w:val="616D3045"/>
    <w:rsid w:val="61770916"/>
    <w:rsid w:val="618A6406"/>
    <w:rsid w:val="61A26CD2"/>
    <w:rsid w:val="61A7421A"/>
    <w:rsid w:val="61A814C0"/>
    <w:rsid w:val="61AE0881"/>
    <w:rsid w:val="61B21CD2"/>
    <w:rsid w:val="61C15084"/>
    <w:rsid w:val="61C30D74"/>
    <w:rsid w:val="61C34253"/>
    <w:rsid w:val="61C40DA5"/>
    <w:rsid w:val="61C5725E"/>
    <w:rsid w:val="61C6711A"/>
    <w:rsid w:val="61C94072"/>
    <w:rsid w:val="61CA5E67"/>
    <w:rsid w:val="61CD0301"/>
    <w:rsid w:val="61D650C8"/>
    <w:rsid w:val="61D654B7"/>
    <w:rsid w:val="61DA0D65"/>
    <w:rsid w:val="61DA565F"/>
    <w:rsid w:val="61E01635"/>
    <w:rsid w:val="61E87932"/>
    <w:rsid w:val="62006B6C"/>
    <w:rsid w:val="620255F8"/>
    <w:rsid w:val="62057AFC"/>
    <w:rsid w:val="62077984"/>
    <w:rsid w:val="62092C70"/>
    <w:rsid w:val="621336DF"/>
    <w:rsid w:val="621801FB"/>
    <w:rsid w:val="621A58FB"/>
    <w:rsid w:val="622E241D"/>
    <w:rsid w:val="62341954"/>
    <w:rsid w:val="623471B4"/>
    <w:rsid w:val="623912A6"/>
    <w:rsid w:val="624056DD"/>
    <w:rsid w:val="624B2957"/>
    <w:rsid w:val="624C700B"/>
    <w:rsid w:val="625C2D05"/>
    <w:rsid w:val="626C1865"/>
    <w:rsid w:val="626D1623"/>
    <w:rsid w:val="627470BC"/>
    <w:rsid w:val="627B71A0"/>
    <w:rsid w:val="62813ACC"/>
    <w:rsid w:val="6287687C"/>
    <w:rsid w:val="62893E61"/>
    <w:rsid w:val="628A568B"/>
    <w:rsid w:val="628F57CF"/>
    <w:rsid w:val="628F6B65"/>
    <w:rsid w:val="62903C48"/>
    <w:rsid w:val="629410DC"/>
    <w:rsid w:val="6294762C"/>
    <w:rsid w:val="629C634D"/>
    <w:rsid w:val="62A90609"/>
    <w:rsid w:val="62AF4CC5"/>
    <w:rsid w:val="62B35B6C"/>
    <w:rsid w:val="62B52580"/>
    <w:rsid w:val="62BB6337"/>
    <w:rsid w:val="62BE0E15"/>
    <w:rsid w:val="62BF626B"/>
    <w:rsid w:val="62C823D2"/>
    <w:rsid w:val="62C93F9C"/>
    <w:rsid w:val="62D7027F"/>
    <w:rsid w:val="62D7535E"/>
    <w:rsid w:val="62D97FE3"/>
    <w:rsid w:val="62E46388"/>
    <w:rsid w:val="62FB40AB"/>
    <w:rsid w:val="63032448"/>
    <w:rsid w:val="630452C9"/>
    <w:rsid w:val="63077C7D"/>
    <w:rsid w:val="63090141"/>
    <w:rsid w:val="63090F64"/>
    <w:rsid w:val="630D7C59"/>
    <w:rsid w:val="631065CD"/>
    <w:rsid w:val="6311052C"/>
    <w:rsid w:val="631F22D2"/>
    <w:rsid w:val="6323678B"/>
    <w:rsid w:val="63286D8C"/>
    <w:rsid w:val="63343BD2"/>
    <w:rsid w:val="63392E58"/>
    <w:rsid w:val="633E4CE0"/>
    <w:rsid w:val="63414113"/>
    <w:rsid w:val="634A6344"/>
    <w:rsid w:val="634B0C87"/>
    <w:rsid w:val="634C71C5"/>
    <w:rsid w:val="634F0FA9"/>
    <w:rsid w:val="63575279"/>
    <w:rsid w:val="635C6C33"/>
    <w:rsid w:val="635E240D"/>
    <w:rsid w:val="635E287B"/>
    <w:rsid w:val="63631122"/>
    <w:rsid w:val="6368309A"/>
    <w:rsid w:val="637465C3"/>
    <w:rsid w:val="637D5AF2"/>
    <w:rsid w:val="637E022F"/>
    <w:rsid w:val="63887D2D"/>
    <w:rsid w:val="63890B0B"/>
    <w:rsid w:val="639437E9"/>
    <w:rsid w:val="63964613"/>
    <w:rsid w:val="63970DD1"/>
    <w:rsid w:val="639736FC"/>
    <w:rsid w:val="63977B72"/>
    <w:rsid w:val="639D1C40"/>
    <w:rsid w:val="639E0E7F"/>
    <w:rsid w:val="63AB5281"/>
    <w:rsid w:val="63AC198C"/>
    <w:rsid w:val="63B31C1A"/>
    <w:rsid w:val="63B95A93"/>
    <w:rsid w:val="63C048C6"/>
    <w:rsid w:val="63C05FCD"/>
    <w:rsid w:val="63C43540"/>
    <w:rsid w:val="63CD55D9"/>
    <w:rsid w:val="63D405A6"/>
    <w:rsid w:val="63D405EC"/>
    <w:rsid w:val="63D70299"/>
    <w:rsid w:val="63DA6087"/>
    <w:rsid w:val="63DD44DD"/>
    <w:rsid w:val="63E477AE"/>
    <w:rsid w:val="63EA35E3"/>
    <w:rsid w:val="63F34DF4"/>
    <w:rsid w:val="63F964D7"/>
    <w:rsid w:val="63FC2C34"/>
    <w:rsid w:val="640B532D"/>
    <w:rsid w:val="640B61CB"/>
    <w:rsid w:val="640C6583"/>
    <w:rsid w:val="642954D3"/>
    <w:rsid w:val="642C4EA2"/>
    <w:rsid w:val="6434003D"/>
    <w:rsid w:val="6437124C"/>
    <w:rsid w:val="64381DFB"/>
    <w:rsid w:val="643B15C9"/>
    <w:rsid w:val="643F6408"/>
    <w:rsid w:val="64576F35"/>
    <w:rsid w:val="64620AE8"/>
    <w:rsid w:val="646C3781"/>
    <w:rsid w:val="648A3BA9"/>
    <w:rsid w:val="648A4D93"/>
    <w:rsid w:val="64A26DD1"/>
    <w:rsid w:val="64B126C7"/>
    <w:rsid w:val="64B64527"/>
    <w:rsid w:val="64B95353"/>
    <w:rsid w:val="64BA3A7B"/>
    <w:rsid w:val="64BB4B24"/>
    <w:rsid w:val="64C2147C"/>
    <w:rsid w:val="64C26C2F"/>
    <w:rsid w:val="64C54B32"/>
    <w:rsid w:val="64CF0E17"/>
    <w:rsid w:val="64DC425C"/>
    <w:rsid w:val="64E33599"/>
    <w:rsid w:val="64F11A7E"/>
    <w:rsid w:val="64F625D7"/>
    <w:rsid w:val="64F86801"/>
    <w:rsid w:val="6500588D"/>
    <w:rsid w:val="65015340"/>
    <w:rsid w:val="65025312"/>
    <w:rsid w:val="65056A1F"/>
    <w:rsid w:val="65063716"/>
    <w:rsid w:val="650D3F00"/>
    <w:rsid w:val="65197AEA"/>
    <w:rsid w:val="652C0E10"/>
    <w:rsid w:val="653516F4"/>
    <w:rsid w:val="653602D0"/>
    <w:rsid w:val="65367217"/>
    <w:rsid w:val="653815A1"/>
    <w:rsid w:val="653C1094"/>
    <w:rsid w:val="653C5AF5"/>
    <w:rsid w:val="653E54CA"/>
    <w:rsid w:val="653E701E"/>
    <w:rsid w:val="65453521"/>
    <w:rsid w:val="65486602"/>
    <w:rsid w:val="655569E5"/>
    <w:rsid w:val="65565F15"/>
    <w:rsid w:val="655A021E"/>
    <w:rsid w:val="655F03C2"/>
    <w:rsid w:val="656012AA"/>
    <w:rsid w:val="656058A5"/>
    <w:rsid w:val="656327DB"/>
    <w:rsid w:val="658D77E8"/>
    <w:rsid w:val="65966A81"/>
    <w:rsid w:val="65986ACB"/>
    <w:rsid w:val="65995D77"/>
    <w:rsid w:val="65A40941"/>
    <w:rsid w:val="65B3585A"/>
    <w:rsid w:val="65B3790A"/>
    <w:rsid w:val="65B421E6"/>
    <w:rsid w:val="65B74F48"/>
    <w:rsid w:val="65BB558B"/>
    <w:rsid w:val="65C068A1"/>
    <w:rsid w:val="65CE6566"/>
    <w:rsid w:val="65D23D01"/>
    <w:rsid w:val="65D50509"/>
    <w:rsid w:val="65D7601D"/>
    <w:rsid w:val="65DC442B"/>
    <w:rsid w:val="65DC57C3"/>
    <w:rsid w:val="65E0072F"/>
    <w:rsid w:val="65E41004"/>
    <w:rsid w:val="65E80469"/>
    <w:rsid w:val="65E9368C"/>
    <w:rsid w:val="65F26CD0"/>
    <w:rsid w:val="65F8385E"/>
    <w:rsid w:val="65FF0516"/>
    <w:rsid w:val="66010AFD"/>
    <w:rsid w:val="6601698D"/>
    <w:rsid w:val="66017A14"/>
    <w:rsid w:val="66022B5D"/>
    <w:rsid w:val="66085419"/>
    <w:rsid w:val="66085762"/>
    <w:rsid w:val="66130B49"/>
    <w:rsid w:val="66172F97"/>
    <w:rsid w:val="661C20CC"/>
    <w:rsid w:val="661D392D"/>
    <w:rsid w:val="662274C7"/>
    <w:rsid w:val="662562D5"/>
    <w:rsid w:val="663069C1"/>
    <w:rsid w:val="663C777E"/>
    <w:rsid w:val="664B7EA3"/>
    <w:rsid w:val="664E6476"/>
    <w:rsid w:val="664F292B"/>
    <w:rsid w:val="664F5DB1"/>
    <w:rsid w:val="667B61E5"/>
    <w:rsid w:val="668A5F49"/>
    <w:rsid w:val="66937778"/>
    <w:rsid w:val="66970490"/>
    <w:rsid w:val="669B3694"/>
    <w:rsid w:val="669C1D2F"/>
    <w:rsid w:val="66A900C2"/>
    <w:rsid w:val="66AA5FC4"/>
    <w:rsid w:val="66AE076C"/>
    <w:rsid w:val="66B461B9"/>
    <w:rsid w:val="66B77C29"/>
    <w:rsid w:val="66B85AFA"/>
    <w:rsid w:val="66BA40E2"/>
    <w:rsid w:val="66BA582B"/>
    <w:rsid w:val="66BB701C"/>
    <w:rsid w:val="66C03831"/>
    <w:rsid w:val="66C8496E"/>
    <w:rsid w:val="66D72ED1"/>
    <w:rsid w:val="66DD41C8"/>
    <w:rsid w:val="66DE579E"/>
    <w:rsid w:val="66E03B86"/>
    <w:rsid w:val="66E818D1"/>
    <w:rsid w:val="66EC56AB"/>
    <w:rsid w:val="66EE7085"/>
    <w:rsid w:val="66F9552F"/>
    <w:rsid w:val="670303B6"/>
    <w:rsid w:val="67035AE0"/>
    <w:rsid w:val="67050F6D"/>
    <w:rsid w:val="670C18D3"/>
    <w:rsid w:val="671136E5"/>
    <w:rsid w:val="67127E36"/>
    <w:rsid w:val="67133811"/>
    <w:rsid w:val="67230B17"/>
    <w:rsid w:val="672654A6"/>
    <w:rsid w:val="672D01DF"/>
    <w:rsid w:val="673E21AC"/>
    <w:rsid w:val="674D0451"/>
    <w:rsid w:val="674D2CC9"/>
    <w:rsid w:val="674F113F"/>
    <w:rsid w:val="67507503"/>
    <w:rsid w:val="675173F9"/>
    <w:rsid w:val="67520D60"/>
    <w:rsid w:val="67552142"/>
    <w:rsid w:val="67565C10"/>
    <w:rsid w:val="675C6601"/>
    <w:rsid w:val="67695B1E"/>
    <w:rsid w:val="676D1DFC"/>
    <w:rsid w:val="677A6849"/>
    <w:rsid w:val="677E44EF"/>
    <w:rsid w:val="678A0D7A"/>
    <w:rsid w:val="678F3834"/>
    <w:rsid w:val="679055FE"/>
    <w:rsid w:val="67A92C78"/>
    <w:rsid w:val="67BC4427"/>
    <w:rsid w:val="67C5607E"/>
    <w:rsid w:val="67C60729"/>
    <w:rsid w:val="67C923A1"/>
    <w:rsid w:val="67CE0B93"/>
    <w:rsid w:val="67D50709"/>
    <w:rsid w:val="67DE6B09"/>
    <w:rsid w:val="67EE557F"/>
    <w:rsid w:val="67F24CD9"/>
    <w:rsid w:val="67FD7F19"/>
    <w:rsid w:val="67FF5621"/>
    <w:rsid w:val="680E13F4"/>
    <w:rsid w:val="68115CBA"/>
    <w:rsid w:val="68177DE1"/>
    <w:rsid w:val="681B5454"/>
    <w:rsid w:val="681D7956"/>
    <w:rsid w:val="6826600E"/>
    <w:rsid w:val="682B7EB2"/>
    <w:rsid w:val="683F77F0"/>
    <w:rsid w:val="68447057"/>
    <w:rsid w:val="684F38CD"/>
    <w:rsid w:val="685425C4"/>
    <w:rsid w:val="685C35DE"/>
    <w:rsid w:val="68624E5C"/>
    <w:rsid w:val="686D2E2B"/>
    <w:rsid w:val="687149AA"/>
    <w:rsid w:val="68787546"/>
    <w:rsid w:val="6879587C"/>
    <w:rsid w:val="687F2725"/>
    <w:rsid w:val="687F5DB0"/>
    <w:rsid w:val="68847BEC"/>
    <w:rsid w:val="688E6744"/>
    <w:rsid w:val="689631D8"/>
    <w:rsid w:val="689F3A4C"/>
    <w:rsid w:val="68A2112D"/>
    <w:rsid w:val="68AC7A94"/>
    <w:rsid w:val="68AE317E"/>
    <w:rsid w:val="68AE41F0"/>
    <w:rsid w:val="68B84CE2"/>
    <w:rsid w:val="68BF5981"/>
    <w:rsid w:val="68C27B0B"/>
    <w:rsid w:val="68C309B7"/>
    <w:rsid w:val="68C6081E"/>
    <w:rsid w:val="68D16A51"/>
    <w:rsid w:val="68D517AF"/>
    <w:rsid w:val="68D61E55"/>
    <w:rsid w:val="68D864E1"/>
    <w:rsid w:val="68E00EB9"/>
    <w:rsid w:val="68E1689C"/>
    <w:rsid w:val="69115F2D"/>
    <w:rsid w:val="6917406C"/>
    <w:rsid w:val="691B3B11"/>
    <w:rsid w:val="691C6306"/>
    <w:rsid w:val="691E5706"/>
    <w:rsid w:val="6921711C"/>
    <w:rsid w:val="69326A14"/>
    <w:rsid w:val="693543D8"/>
    <w:rsid w:val="69385974"/>
    <w:rsid w:val="693D1B71"/>
    <w:rsid w:val="69422040"/>
    <w:rsid w:val="69442C11"/>
    <w:rsid w:val="694D0DB1"/>
    <w:rsid w:val="695B4298"/>
    <w:rsid w:val="695F21D7"/>
    <w:rsid w:val="69717973"/>
    <w:rsid w:val="6973097F"/>
    <w:rsid w:val="697D5185"/>
    <w:rsid w:val="69831922"/>
    <w:rsid w:val="69874584"/>
    <w:rsid w:val="698C0096"/>
    <w:rsid w:val="699D2E33"/>
    <w:rsid w:val="699E2914"/>
    <w:rsid w:val="69A8274E"/>
    <w:rsid w:val="69A9055C"/>
    <w:rsid w:val="69AD6FCD"/>
    <w:rsid w:val="69AE368E"/>
    <w:rsid w:val="69AE4E24"/>
    <w:rsid w:val="69B21BAA"/>
    <w:rsid w:val="69B72D06"/>
    <w:rsid w:val="69BC5CB6"/>
    <w:rsid w:val="69D40BF7"/>
    <w:rsid w:val="69D461C6"/>
    <w:rsid w:val="69DF72BB"/>
    <w:rsid w:val="69E06B54"/>
    <w:rsid w:val="69E1037C"/>
    <w:rsid w:val="69E5779D"/>
    <w:rsid w:val="69FC116C"/>
    <w:rsid w:val="69FE22F6"/>
    <w:rsid w:val="69FF0C4D"/>
    <w:rsid w:val="6A002D52"/>
    <w:rsid w:val="6A023420"/>
    <w:rsid w:val="6A0572EC"/>
    <w:rsid w:val="6A0D3DF0"/>
    <w:rsid w:val="6A11013A"/>
    <w:rsid w:val="6A182AB8"/>
    <w:rsid w:val="6A214B93"/>
    <w:rsid w:val="6A2F1CB9"/>
    <w:rsid w:val="6A334987"/>
    <w:rsid w:val="6A3741AA"/>
    <w:rsid w:val="6A4070C9"/>
    <w:rsid w:val="6A434044"/>
    <w:rsid w:val="6A4E67BA"/>
    <w:rsid w:val="6A561D46"/>
    <w:rsid w:val="6A5826C9"/>
    <w:rsid w:val="6A5923E8"/>
    <w:rsid w:val="6A5E42B9"/>
    <w:rsid w:val="6A6061B4"/>
    <w:rsid w:val="6A631161"/>
    <w:rsid w:val="6A6512FC"/>
    <w:rsid w:val="6A655470"/>
    <w:rsid w:val="6A6A346E"/>
    <w:rsid w:val="6A6B4416"/>
    <w:rsid w:val="6A6D16D1"/>
    <w:rsid w:val="6A6D23E5"/>
    <w:rsid w:val="6A76158E"/>
    <w:rsid w:val="6A784F50"/>
    <w:rsid w:val="6A7E7577"/>
    <w:rsid w:val="6A81586E"/>
    <w:rsid w:val="6A8E20F5"/>
    <w:rsid w:val="6A912568"/>
    <w:rsid w:val="6A925077"/>
    <w:rsid w:val="6A9C0776"/>
    <w:rsid w:val="6AAD1BF5"/>
    <w:rsid w:val="6AB65297"/>
    <w:rsid w:val="6ABE7B89"/>
    <w:rsid w:val="6AC116BD"/>
    <w:rsid w:val="6AC11713"/>
    <w:rsid w:val="6AC34C22"/>
    <w:rsid w:val="6AD37AB1"/>
    <w:rsid w:val="6ADD4097"/>
    <w:rsid w:val="6ADE4D16"/>
    <w:rsid w:val="6AE92CCD"/>
    <w:rsid w:val="6AF65445"/>
    <w:rsid w:val="6AF87C1C"/>
    <w:rsid w:val="6AFB0809"/>
    <w:rsid w:val="6B063B6D"/>
    <w:rsid w:val="6B1C3469"/>
    <w:rsid w:val="6B2203BE"/>
    <w:rsid w:val="6B24518E"/>
    <w:rsid w:val="6B2D401D"/>
    <w:rsid w:val="6B3019A3"/>
    <w:rsid w:val="6B310BB7"/>
    <w:rsid w:val="6B313EF3"/>
    <w:rsid w:val="6B3550F7"/>
    <w:rsid w:val="6B43228E"/>
    <w:rsid w:val="6B4441D0"/>
    <w:rsid w:val="6B451CFC"/>
    <w:rsid w:val="6B4C0A04"/>
    <w:rsid w:val="6B595819"/>
    <w:rsid w:val="6B5A1020"/>
    <w:rsid w:val="6B5C1810"/>
    <w:rsid w:val="6B675C01"/>
    <w:rsid w:val="6B70090E"/>
    <w:rsid w:val="6B8A4855"/>
    <w:rsid w:val="6B8D0D02"/>
    <w:rsid w:val="6B952025"/>
    <w:rsid w:val="6B957224"/>
    <w:rsid w:val="6B9A2FFE"/>
    <w:rsid w:val="6B9E0A74"/>
    <w:rsid w:val="6B9F0D9F"/>
    <w:rsid w:val="6BA35B05"/>
    <w:rsid w:val="6BA954A5"/>
    <w:rsid w:val="6BB65474"/>
    <w:rsid w:val="6BB861F4"/>
    <w:rsid w:val="6BBB56F7"/>
    <w:rsid w:val="6BCA226E"/>
    <w:rsid w:val="6BE1092E"/>
    <w:rsid w:val="6BE26BB4"/>
    <w:rsid w:val="6BEA085F"/>
    <w:rsid w:val="6BEC4085"/>
    <w:rsid w:val="6BF17018"/>
    <w:rsid w:val="6BF20F91"/>
    <w:rsid w:val="6BF757C5"/>
    <w:rsid w:val="6BFD3560"/>
    <w:rsid w:val="6C004D70"/>
    <w:rsid w:val="6C0132C6"/>
    <w:rsid w:val="6C0D4A48"/>
    <w:rsid w:val="6C100E6F"/>
    <w:rsid w:val="6C1922C4"/>
    <w:rsid w:val="6C26258D"/>
    <w:rsid w:val="6C2D39D9"/>
    <w:rsid w:val="6C39141E"/>
    <w:rsid w:val="6C3B086B"/>
    <w:rsid w:val="6C4F7E69"/>
    <w:rsid w:val="6C576975"/>
    <w:rsid w:val="6C5C2408"/>
    <w:rsid w:val="6C6441BA"/>
    <w:rsid w:val="6C770900"/>
    <w:rsid w:val="6C836D74"/>
    <w:rsid w:val="6C857F63"/>
    <w:rsid w:val="6C9327AE"/>
    <w:rsid w:val="6C9342EE"/>
    <w:rsid w:val="6C955AC8"/>
    <w:rsid w:val="6CB8533D"/>
    <w:rsid w:val="6CBA401F"/>
    <w:rsid w:val="6CBB3BE0"/>
    <w:rsid w:val="6CBB6210"/>
    <w:rsid w:val="6CC7550C"/>
    <w:rsid w:val="6CC81607"/>
    <w:rsid w:val="6CCB1AC4"/>
    <w:rsid w:val="6CD32CCA"/>
    <w:rsid w:val="6CD76D6D"/>
    <w:rsid w:val="6CDA5F1D"/>
    <w:rsid w:val="6CE95E17"/>
    <w:rsid w:val="6CF05300"/>
    <w:rsid w:val="6D064395"/>
    <w:rsid w:val="6D086657"/>
    <w:rsid w:val="6D090B93"/>
    <w:rsid w:val="6D0D43F0"/>
    <w:rsid w:val="6D110A59"/>
    <w:rsid w:val="6D220563"/>
    <w:rsid w:val="6D2323F0"/>
    <w:rsid w:val="6D3767F7"/>
    <w:rsid w:val="6D3E6351"/>
    <w:rsid w:val="6D4B7A24"/>
    <w:rsid w:val="6D4D5A9F"/>
    <w:rsid w:val="6D5C1B84"/>
    <w:rsid w:val="6D6D4DF5"/>
    <w:rsid w:val="6D83097A"/>
    <w:rsid w:val="6D833553"/>
    <w:rsid w:val="6D8513C3"/>
    <w:rsid w:val="6D85215D"/>
    <w:rsid w:val="6D87698F"/>
    <w:rsid w:val="6D8F36CF"/>
    <w:rsid w:val="6D945F85"/>
    <w:rsid w:val="6D9F2117"/>
    <w:rsid w:val="6DA868BE"/>
    <w:rsid w:val="6DAF0D79"/>
    <w:rsid w:val="6DB40F60"/>
    <w:rsid w:val="6DBD5240"/>
    <w:rsid w:val="6DC2202E"/>
    <w:rsid w:val="6DC77328"/>
    <w:rsid w:val="6DCE51FD"/>
    <w:rsid w:val="6DD20732"/>
    <w:rsid w:val="6DF101D0"/>
    <w:rsid w:val="6DF56BF1"/>
    <w:rsid w:val="6DF578DA"/>
    <w:rsid w:val="6DF57B68"/>
    <w:rsid w:val="6E01204E"/>
    <w:rsid w:val="6E0F730D"/>
    <w:rsid w:val="6E105F69"/>
    <w:rsid w:val="6E114451"/>
    <w:rsid w:val="6E16661A"/>
    <w:rsid w:val="6E1F2247"/>
    <w:rsid w:val="6E211357"/>
    <w:rsid w:val="6E394AD8"/>
    <w:rsid w:val="6E3957C8"/>
    <w:rsid w:val="6E4035AF"/>
    <w:rsid w:val="6E415D17"/>
    <w:rsid w:val="6E5127E1"/>
    <w:rsid w:val="6E523AF0"/>
    <w:rsid w:val="6E534E73"/>
    <w:rsid w:val="6E541559"/>
    <w:rsid w:val="6E5A6D9F"/>
    <w:rsid w:val="6E6238DE"/>
    <w:rsid w:val="6E654E3F"/>
    <w:rsid w:val="6E6650D2"/>
    <w:rsid w:val="6E6947DB"/>
    <w:rsid w:val="6E6B4F65"/>
    <w:rsid w:val="6E7250F5"/>
    <w:rsid w:val="6E74067C"/>
    <w:rsid w:val="6E761266"/>
    <w:rsid w:val="6E7660AC"/>
    <w:rsid w:val="6E777E12"/>
    <w:rsid w:val="6E860CED"/>
    <w:rsid w:val="6E8B17EA"/>
    <w:rsid w:val="6E8B4B48"/>
    <w:rsid w:val="6E9074B8"/>
    <w:rsid w:val="6E9231F1"/>
    <w:rsid w:val="6E943ABF"/>
    <w:rsid w:val="6E98018F"/>
    <w:rsid w:val="6EA1428C"/>
    <w:rsid w:val="6EA25716"/>
    <w:rsid w:val="6EB37B5C"/>
    <w:rsid w:val="6EB57B5E"/>
    <w:rsid w:val="6EB80AFD"/>
    <w:rsid w:val="6EBA2B2B"/>
    <w:rsid w:val="6EBA75EA"/>
    <w:rsid w:val="6EC608B2"/>
    <w:rsid w:val="6ECC34CD"/>
    <w:rsid w:val="6ED07703"/>
    <w:rsid w:val="6EDF78AD"/>
    <w:rsid w:val="6EE53BE3"/>
    <w:rsid w:val="6EEA4D0B"/>
    <w:rsid w:val="6EEC0DEC"/>
    <w:rsid w:val="6EF91529"/>
    <w:rsid w:val="6EF93EB1"/>
    <w:rsid w:val="6EFC2F9E"/>
    <w:rsid w:val="6F0B5697"/>
    <w:rsid w:val="6F117204"/>
    <w:rsid w:val="6F131A9F"/>
    <w:rsid w:val="6F19418B"/>
    <w:rsid w:val="6F1A20CD"/>
    <w:rsid w:val="6F2124A2"/>
    <w:rsid w:val="6F2A16E4"/>
    <w:rsid w:val="6F386429"/>
    <w:rsid w:val="6F3B28B7"/>
    <w:rsid w:val="6F3E502E"/>
    <w:rsid w:val="6F440405"/>
    <w:rsid w:val="6F492487"/>
    <w:rsid w:val="6F4B0C04"/>
    <w:rsid w:val="6F4C205F"/>
    <w:rsid w:val="6F4E2B77"/>
    <w:rsid w:val="6F504D27"/>
    <w:rsid w:val="6F533A4A"/>
    <w:rsid w:val="6F571A5D"/>
    <w:rsid w:val="6F5A5715"/>
    <w:rsid w:val="6F5C7D84"/>
    <w:rsid w:val="6F5D00D3"/>
    <w:rsid w:val="6F5D08F0"/>
    <w:rsid w:val="6F636478"/>
    <w:rsid w:val="6F641A9F"/>
    <w:rsid w:val="6F650634"/>
    <w:rsid w:val="6F656C3E"/>
    <w:rsid w:val="6F6940F8"/>
    <w:rsid w:val="6F6A1084"/>
    <w:rsid w:val="6F7C059C"/>
    <w:rsid w:val="6F8E312B"/>
    <w:rsid w:val="6F9D4685"/>
    <w:rsid w:val="6FA42DA4"/>
    <w:rsid w:val="6FB2000C"/>
    <w:rsid w:val="6FB333A3"/>
    <w:rsid w:val="6FB53E1E"/>
    <w:rsid w:val="6FB63E4B"/>
    <w:rsid w:val="6FB95846"/>
    <w:rsid w:val="6FBC407D"/>
    <w:rsid w:val="6FBC6498"/>
    <w:rsid w:val="6FCA2137"/>
    <w:rsid w:val="6FCD7EF0"/>
    <w:rsid w:val="6FDF2219"/>
    <w:rsid w:val="6FE457B3"/>
    <w:rsid w:val="6FE96ED7"/>
    <w:rsid w:val="6FEC546C"/>
    <w:rsid w:val="6FEF02DE"/>
    <w:rsid w:val="6FF14342"/>
    <w:rsid w:val="6FF2667A"/>
    <w:rsid w:val="700004FF"/>
    <w:rsid w:val="70222DCE"/>
    <w:rsid w:val="702C1DCD"/>
    <w:rsid w:val="702E15A2"/>
    <w:rsid w:val="70393BCC"/>
    <w:rsid w:val="703A3170"/>
    <w:rsid w:val="703C7301"/>
    <w:rsid w:val="704579C6"/>
    <w:rsid w:val="704E1491"/>
    <w:rsid w:val="70522887"/>
    <w:rsid w:val="705C0276"/>
    <w:rsid w:val="706C6357"/>
    <w:rsid w:val="706E73BD"/>
    <w:rsid w:val="707274D2"/>
    <w:rsid w:val="707844BF"/>
    <w:rsid w:val="70822E6F"/>
    <w:rsid w:val="709C0183"/>
    <w:rsid w:val="70A43BD9"/>
    <w:rsid w:val="70B33659"/>
    <w:rsid w:val="70B735AF"/>
    <w:rsid w:val="70B9749D"/>
    <w:rsid w:val="70B979F6"/>
    <w:rsid w:val="70BA198B"/>
    <w:rsid w:val="70BF5409"/>
    <w:rsid w:val="70C17C41"/>
    <w:rsid w:val="70CA2E18"/>
    <w:rsid w:val="70CB6A66"/>
    <w:rsid w:val="70CD737F"/>
    <w:rsid w:val="70CE1282"/>
    <w:rsid w:val="70D47C5F"/>
    <w:rsid w:val="70D52C7E"/>
    <w:rsid w:val="70D62694"/>
    <w:rsid w:val="70E34858"/>
    <w:rsid w:val="70E90421"/>
    <w:rsid w:val="70F40BD0"/>
    <w:rsid w:val="70F9408C"/>
    <w:rsid w:val="71006F7B"/>
    <w:rsid w:val="711334CC"/>
    <w:rsid w:val="71163B08"/>
    <w:rsid w:val="71171DC2"/>
    <w:rsid w:val="712C1926"/>
    <w:rsid w:val="71301CCC"/>
    <w:rsid w:val="71362EF0"/>
    <w:rsid w:val="713C1341"/>
    <w:rsid w:val="71486811"/>
    <w:rsid w:val="715A66F8"/>
    <w:rsid w:val="716371C6"/>
    <w:rsid w:val="7164072B"/>
    <w:rsid w:val="716F566D"/>
    <w:rsid w:val="717265BB"/>
    <w:rsid w:val="71780D71"/>
    <w:rsid w:val="718407A2"/>
    <w:rsid w:val="718849DF"/>
    <w:rsid w:val="71891C48"/>
    <w:rsid w:val="718A5E46"/>
    <w:rsid w:val="71901210"/>
    <w:rsid w:val="719243AD"/>
    <w:rsid w:val="71932B70"/>
    <w:rsid w:val="719D43C6"/>
    <w:rsid w:val="71A076A3"/>
    <w:rsid w:val="71AC1EE9"/>
    <w:rsid w:val="71AE1DE2"/>
    <w:rsid w:val="71AE3258"/>
    <w:rsid w:val="71B00D08"/>
    <w:rsid w:val="71B22069"/>
    <w:rsid w:val="71B939E5"/>
    <w:rsid w:val="71BF6EFA"/>
    <w:rsid w:val="71C560EA"/>
    <w:rsid w:val="71C774AA"/>
    <w:rsid w:val="71CA330C"/>
    <w:rsid w:val="71E3202F"/>
    <w:rsid w:val="71E53778"/>
    <w:rsid w:val="71E62363"/>
    <w:rsid w:val="71E96338"/>
    <w:rsid w:val="71F11C2B"/>
    <w:rsid w:val="71F27913"/>
    <w:rsid w:val="71F50C57"/>
    <w:rsid w:val="71FB0D6E"/>
    <w:rsid w:val="720512DE"/>
    <w:rsid w:val="720E1B0F"/>
    <w:rsid w:val="721041E2"/>
    <w:rsid w:val="7211069F"/>
    <w:rsid w:val="72146B29"/>
    <w:rsid w:val="721553DD"/>
    <w:rsid w:val="72167E45"/>
    <w:rsid w:val="721C46DF"/>
    <w:rsid w:val="721E61A8"/>
    <w:rsid w:val="7221107C"/>
    <w:rsid w:val="7226612F"/>
    <w:rsid w:val="72340B1B"/>
    <w:rsid w:val="723744E0"/>
    <w:rsid w:val="724533EE"/>
    <w:rsid w:val="724C1BF7"/>
    <w:rsid w:val="724F29B8"/>
    <w:rsid w:val="72532C7B"/>
    <w:rsid w:val="726034BB"/>
    <w:rsid w:val="7262438C"/>
    <w:rsid w:val="72703E21"/>
    <w:rsid w:val="727A2F9F"/>
    <w:rsid w:val="727D5E6A"/>
    <w:rsid w:val="72820D2E"/>
    <w:rsid w:val="728413FD"/>
    <w:rsid w:val="72844DE6"/>
    <w:rsid w:val="728F6D15"/>
    <w:rsid w:val="7293389F"/>
    <w:rsid w:val="72934AFE"/>
    <w:rsid w:val="72974B16"/>
    <w:rsid w:val="72996ED3"/>
    <w:rsid w:val="729C7DE3"/>
    <w:rsid w:val="729D60ED"/>
    <w:rsid w:val="72A6334A"/>
    <w:rsid w:val="72AB03B4"/>
    <w:rsid w:val="72AD2FAB"/>
    <w:rsid w:val="72B46944"/>
    <w:rsid w:val="72B52370"/>
    <w:rsid w:val="72B715E0"/>
    <w:rsid w:val="72C80FC8"/>
    <w:rsid w:val="72CF73B9"/>
    <w:rsid w:val="72EC6380"/>
    <w:rsid w:val="72ED541B"/>
    <w:rsid w:val="72F25EB9"/>
    <w:rsid w:val="72F534E0"/>
    <w:rsid w:val="72F67222"/>
    <w:rsid w:val="72FE259C"/>
    <w:rsid w:val="72FF1DF6"/>
    <w:rsid w:val="73004976"/>
    <w:rsid w:val="73041A5B"/>
    <w:rsid w:val="73056451"/>
    <w:rsid w:val="7308719D"/>
    <w:rsid w:val="73093BA2"/>
    <w:rsid w:val="73127339"/>
    <w:rsid w:val="7325569E"/>
    <w:rsid w:val="73292A05"/>
    <w:rsid w:val="732D69A5"/>
    <w:rsid w:val="732F3703"/>
    <w:rsid w:val="73317518"/>
    <w:rsid w:val="73360D13"/>
    <w:rsid w:val="733F13DD"/>
    <w:rsid w:val="73406081"/>
    <w:rsid w:val="73476186"/>
    <w:rsid w:val="734A468F"/>
    <w:rsid w:val="734B2D9C"/>
    <w:rsid w:val="734E1A57"/>
    <w:rsid w:val="73575297"/>
    <w:rsid w:val="736E6716"/>
    <w:rsid w:val="736F35FE"/>
    <w:rsid w:val="73763CFB"/>
    <w:rsid w:val="73780368"/>
    <w:rsid w:val="73796A1D"/>
    <w:rsid w:val="737A7AE3"/>
    <w:rsid w:val="73894CDA"/>
    <w:rsid w:val="739910CF"/>
    <w:rsid w:val="739D36B7"/>
    <w:rsid w:val="739F5E49"/>
    <w:rsid w:val="73AD7633"/>
    <w:rsid w:val="73B678F0"/>
    <w:rsid w:val="73C0099C"/>
    <w:rsid w:val="73C3551C"/>
    <w:rsid w:val="73C777EE"/>
    <w:rsid w:val="73C91729"/>
    <w:rsid w:val="73CD4359"/>
    <w:rsid w:val="73CD4AE8"/>
    <w:rsid w:val="73D241D5"/>
    <w:rsid w:val="73D31DF4"/>
    <w:rsid w:val="73D779B5"/>
    <w:rsid w:val="73E042BB"/>
    <w:rsid w:val="73E13BE1"/>
    <w:rsid w:val="73E409D1"/>
    <w:rsid w:val="73E40D16"/>
    <w:rsid w:val="73EC3769"/>
    <w:rsid w:val="73ED4D62"/>
    <w:rsid w:val="73FF719E"/>
    <w:rsid w:val="74015EE3"/>
    <w:rsid w:val="74082A00"/>
    <w:rsid w:val="74101EE5"/>
    <w:rsid w:val="741141C1"/>
    <w:rsid w:val="74124C01"/>
    <w:rsid w:val="74166C0A"/>
    <w:rsid w:val="741A1A94"/>
    <w:rsid w:val="742836ED"/>
    <w:rsid w:val="74342386"/>
    <w:rsid w:val="74344659"/>
    <w:rsid w:val="74385EFB"/>
    <w:rsid w:val="743B2743"/>
    <w:rsid w:val="74464364"/>
    <w:rsid w:val="74482334"/>
    <w:rsid w:val="74491AC4"/>
    <w:rsid w:val="744C30FD"/>
    <w:rsid w:val="746445B0"/>
    <w:rsid w:val="746901C5"/>
    <w:rsid w:val="746E5AFF"/>
    <w:rsid w:val="746E63B3"/>
    <w:rsid w:val="74793CC2"/>
    <w:rsid w:val="747A07AD"/>
    <w:rsid w:val="74840084"/>
    <w:rsid w:val="7486765F"/>
    <w:rsid w:val="748E3DAE"/>
    <w:rsid w:val="749E6711"/>
    <w:rsid w:val="74A84474"/>
    <w:rsid w:val="74BF3CA1"/>
    <w:rsid w:val="74C56464"/>
    <w:rsid w:val="74CB1D64"/>
    <w:rsid w:val="74CB5600"/>
    <w:rsid w:val="74CF2D4B"/>
    <w:rsid w:val="74D72177"/>
    <w:rsid w:val="74DB4792"/>
    <w:rsid w:val="74DE4920"/>
    <w:rsid w:val="74E96D7F"/>
    <w:rsid w:val="74EB3B31"/>
    <w:rsid w:val="74EC577F"/>
    <w:rsid w:val="74EF0495"/>
    <w:rsid w:val="74F30E10"/>
    <w:rsid w:val="74F73F2A"/>
    <w:rsid w:val="74FA0E68"/>
    <w:rsid w:val="75036FBC"/>
    <w:rsid w:val="75037B50"/>
    <w:rsid w:val="75073CD9"/>
    <w:rsid w:val="750842F2"/>
    <w:rsid w:val="750E4239"/>
    <w:rsid w:val="75146EB3"/>
    <w:rsid w:val="75197E2C"/>
    <w:rsid w:val="751D63C9"/>
    <w:rsid w:val="7520686A"/>
    <w:rsid w:val="752851D8"/>
    <w:rsid w:val="75316BAF"/>
    <w:rsid w:val="753B4C1B"/>
    <w:rsid w:val="753E759F"/>
    <w:rsid w:val="753F3F4C"/>
    <w:rsid w:val="75411931"/>
    <w:rsid w:val="754353F3"/>
    <w:rsid w:val="75520813"/>
    <w:rsid w:val="75596FBA"/>
    <w:rsid w:val="755D5289"/>
    <w:rsid w:val="75606E6A"/>
    <w:rsid w:val="757323F8"/>
    <w:rsid w:val="75734575"/>
    <w:rsid w:val="75794F22"/>
    <w:rsid w:val="75804D3D"/>
    <w:rsid w:val="758C2BD6"/>
    <w:rsid w:val="75920BA0"/>
    <w:rsid w:val="75967C18"/>
    <w:rsid w:val="759F4587"/>
    <w:rsid w:val="75AB70E7"/>
    <w:rsid w:val="75AD43DF"/>
    <w:rsid w:val="75B07DBD"/>
    <w:rsid w:val="75B44DFD"/>
    <w:rsid w:val="75BD4F03"/>
    <w:rsid w:val="75C26F51"/>
    <w:rsid w:val="75D22CFB"/>
    <w:rsid w:val="75D31704"/>
    <w:rsid w:val="75DD17FB"/>
    <w:rsid w:val="75DE7890"/>
    <w:rsid w:val="75E65A6B"/>
    <w:rsid w:val="75E931BE"/>
    <w:rsid w:val="75F27695"/>
    <w:rsid w:val="75FB04B0"/>
    <w:rsid w:val="75FB2CC7"/>
    <w:rsid w:val="75FB40CB"/>
    <w:rsid w:val="75FF46A1"/>
    <w:rsid w:val="76012CB5"/>
    <w:rsid w:val="760402C2"/>
    <w:rsid w:val="760955DC"/>
    <w:rsid w:val="76097E5A"/>
    <w:rsid w:val="760C08EB"/>
    <w:rsid w:val="7610697C"/>
    <w:rsid w:val="76163884"/>
    <w:rsid w:val="761B2028"/>
    <w:rsid w:val="761B75A3"/>
    <w:rsid w:val="761C0AB8"/>
    <w:rsid w:val="761C5540"/>
    <w:rsid w:val="76232A78"/>
    <w:rsid w:val="76263C58"/>
    <w:rsid w:val="76280ED9"/>
    <w:rsid w:val="762E28FF"/>
    <w:rsid w:val="762F4713"/>
    <w:rsid w:val="76322266"/>
    <w:rsid w:val="76403362"/>
    <w:rsid w:val="76447D6E"/>
    <w:rsid w:val="764661A4"/>
    <w:rsid w:val="764B6181"/>
    <w:rsid w:val="764F224D"/>
    <w:rsid w:val="76506629"/>
    <w:rsid w:val="76543239"/>
    <w:rsid w:val="76547014"/>
    <w:rsid w:val="765548F3"/>
    <w:rsid w:val="765F69C5"/>
    <w:rsid w:val="76613DE1"/>
    <w:rsid w:val="766543CF"/>
    <w:rsid w:val="76664770"/>
    <w:rsid w:val="766D45EC"/>
    <w:rsid w:val="766F79EF"/>
    <w:rsid w:val="76740D81"/>
    <w:rsid w:val="767F6695"/>
    <w:rsid w:val="7688056B"/>
    <w:rsid w:val="76897606"/>
    <w:rsid w:val="76901C65"/>
    <w:rsid w:val="769955F7"/>
    <w:rsid w:val="76A15573"/>
    <w:rsid w:val="76AA1080"/>
    <w:rsid w:val="76AB5C75"/>
    <w:rsid w:val="76AE745D"/>
    <w:rsid w:val="76B57DD8"/>
    <w:rsid w:val="76C47CE7"/>
    <w:rsid w:val="76CA6BC2"/>
    <w:rsid w:val="76CC1FF2"/>
    <w:rsid w:val="76CE57DB"/>
    <w:rsid w:val="76D75002"/>
    <w:rsid w:val="76DA75CF"/>
    <w:rsid w:val="76DE0CD6"/>
    <w:rsid w:val="76EC47DF"/>
    <w:rsid w:val="76EC56D7"/>
    <w:rsid w:val="76EE2591"/>
    <w:rsid w:val="77011B78"/>
    <w:rsid w:val="7708654F"/>
    <w:rsid w:val="77183DED"/>
    <w:rsid w:val="77192125"/>
    <w:rsid w:val="771D0E1B"/>
    <w:rsid w:val="772250B0"/>
    <w:rsid w:val="772517B9"/>
    <w:rsid w:val="77271C39"/>
    <w:rsid w:val="772D46BA"/>
    <w:rsid w:val="773046E8"/>
    <w:rsid w:val="773917F3"/>
    <w:rsid w:val="773935A6"/>
    <w:rsid w:val="774B1762"/>
    <w:rsid w:val="774D77C1"/>
    <w:rsid w:val="77520BA0"/>
    <w:rsid w:val="77532102"/>
    <w:rsid w:val="775D1E3B"/>
    <w:rsid w:val="77606B8E"/>
    <w:rsid w:val="77757997"/>
    <w:rsid w:val="77774E13"/>
    <w:rsid w:val="77850C31"/>
    <w:rsid w:val="77862EC7"/>
    <w:rsid w:val="77877C6C"/>
    <w:rsid w:val="778B388F"/>
    <w:rsid w:val="77912DB1"/>
    <w:rsid w:val="779525F0"/>
    <w:rsid w:val="77953B32"/>
    <w:rsid w:val="779745EE"/>
    <w:rsid w:val="779B3139"/>
    <w:rsid w:val="779C289D"/>
    <w:rsid w:val="779D7E87"/>
    <w:rsid w:val="779E328C"/>
    <w:rsid w:val="77A05838"/>
    <w:rsid w:val="77A61D46"/>
    <w:rsid w:val="77AD367C"/>
    <w:rsid w:val="77B01D7F"/>
    <w:rsid w:val="77B06AF3"/>
    <w:rsid w:val="77B1759D"/>
    <w:rsid w:val="77B77B45"/>
    <w:rsid w:val="77BC4BA0"/>
    <w:rsid w:val="77BE36CF"/>
    <w:rsid w:val="77CB2D78"/>
    <w:rsid w:val="77CF1761"/>
    <w:rsid w:val="77D17B0F"/>
    <w:rsid w:val="77D67AA8"/>
    <w:rsid w:val="77D87FD7"/>
    <w:rsid w:val="77E855FA"/>
    <w:rsid w:val="77E85A79"/>
    <w:rsid w:val="77E85D5F"/>
    <w:rsid w:val="77F52417"/>
    <w:rsid w:val="77FE6204"/>
    <w:rsid w:val="77FF22C2"/>
    <w:rsid w:val="77FF7B43"/>
    <w:rsid w:val="780F1AC5"/>
    <w:rsid w:val="78171320"/>
    <w:rsid w:val="78276683"/>
    <w:rsid w:val="78342E58"/>
    <w:rsid w:val="783727FB"/>
    <w:rsid w:val="78387A5D"/>
    <w:rsid w:val="783C6829"/>
    <w:rsid w:val="78475C57"/>
    <w:rsid w:val="78485FF0"/>
    <w:rsid w:val="78576220"/>
    <w:rsid w:val="785804B6"/>
    <w:rsid w:val="785A0323"/>
    <w:rsid w:val="78701F3A"/>
    <w:rsid w:val="78732A1B"/>
    <w:rsid w:val="787A6EB7"/>
    <w:rsid w:val="78882C42"/>
    <w:rsid w:val="788835DD"/>
    <w:rsid w:val="78897792"/>
    <w:rsid w:val="788C1676"/>
    <w:rsid w:val="78916A73"/>
    <w:rsid w:val="78932BCE"/>
    <w:rsid w:val="78941453"/>
    <w:rsid w:val="789E0C6C"/>
    <w:rsid w:val="78A56E9E"/>
    <w:rsid w:val="78A8734C"/>
    <w:rsid w:val="78AA35E6"/>
    <w:rsid w:val="78AB0BBB"/>
    <w:rsid w:val="78BB5878"/>
    <w:rsid w:val="78CD68E4"/>
    <w:rsid w:val="78D355CA"/>
    <w:rsid w:val="78D35F58"/>
    <w:rsid w:val="78E31207"/>
    <w:rsid w:val="78E36605"/>
    <w:rsid w:val="78E51D52"/>
    <w:rsid w:val="78E57FEB"/>
    <w:rsid w:val="78EC1F23"/>
    <w:rsid w:val="78EC5159"/>
    <w:rsid w:val="78ED36B0"/>
    <w:rsid w:val="78F86791"/>
    <w:rsid w:val="790C4B61"/>
    <w:rsid w:val="79146CC2"/>
    <w:rsid w:val="793126AB"/>
    <w:rsid w:val="79393FE3"/>
    <w:rsid w:val="79397441"/>
    <w:rsid w:val="794418C4"/>
    <w:rsid w:val="794B79C6"/>
    <w:rsid w:val="794C5284"/>
    <w:rsid w:val="7954456A"/>
    <w:rsid w:val="796430C5"/>
    <w:rsid w:val="7968572F"/>
    <w:rsid w:val="79765839"/>
    <w:rsid w:val="797D4AC6"/>
    <w:rsid w:val="797F469A"/>
    <w:rsid w:val="798858A8"/>
    <w:rsid w:val="798D7C3D"/>
    <w:rsid w:val="79936D80"/>
    <w:rsid w:val="799E5C60"/>
    <w:rsid w:val="79A419E9"/>
    <w:rsid w:val="79A6053D"/>
    <w:rsid w:val="79A774AB"/>
    <w:rsid w:val="79AA6AEB"/>
    <w:rsid w:val="79B26278"/>
    <w:rsid w:val="79B42FA2"/>
    <w:rsid w:val="79B46517"/>
    <w:rsid w:val="79BE5CB6"/>
    <w:rsid w:val="79C340F3"/>
    <w:rsid w:val="79C56A25"/>
    <w:rsid w:val="79C74832"/>
    <w:rsid w:val="79CC71D6"/>
    <w:rsid w:val="79D86FA7"/>
    <w:rsid w:val="79D97419"/>
    <w:rsid w:val="79E11189"/>
    <w:rsid w:val="79E5709D"/>
    <w:rsid w:val="79E70511"/>
    <w:rsid w:val="79E85D78"/>
    <w:rsid w:val="79F376D0"/>
    <w:rsid w:val="79FF0170"/>
    <w:rsid w:val="7A140FBE"/>
    <w:rsid w:val="7A141BD6"/>
    <w:rsid w:val="7A186AEF"/>
    <w:rsid w:val="7A1B1C73"/>
    <w:rsid w:val="7A220B93"/>
    <w:rsid w:val="7A290B46"/>
    <w:rsid w:val="7A2C0EDD"/>
    <w:rsid w:val="7A382698"/>
    <w:rsid w:val="7A3E0082"/>
    <w:rsid w:val="7A406546"/>
    <w:rsid w:val="7A446BCA"/>
    <w:rsid w:val="7A596E74"/>
    <w:rsid w:val="7A5F0930"/>
    <w:rsid w:val="7A5F42D1"/>
    <w:rsid w:val="7A6779C9"/>
    <w:rsid w:val="7A6C31D4"/>
    <w:rsid w:val="7A717D17"/>
    <w:rsid w:val="7A73235B"/>
    <w:rsid w:val="7A76421D"/>
    <w:rsid w:val="7A770E96"/>
    <w:rsid w:val="7A813608"/>
    <w:rsid w:val="7A851B53"/>
    <w:rsid w:val="7A8717DC"/>
    <w:rsid w:val="7A89170A"/>
    <w:rsid w:val="7A8A63AA"/>
    <w:rsid w:val="7A910BF2"/>
    <w:rsid w:val="7A9821D3"/>
    <w:rsid w:val="7AA22FBE"/>
    <w:rsid w:val="7AAF6001"/>
    <w:rsid w:val="7ABC5965"/>
    <w:rsid w:val="7AC60DCD"/>
    <w:rsid w:val="7AC77363"/>
    <w:rsid w:val="7AC90E8D"/>
    <w:rsid w:val="7AC92B1C"/>
    <w:rsid w:val="7AD049BB"/>
    <w:rsid w:val="7AD80E5B"/>
    <w:rsid w:val="7ADE3D74"/>
    <w:rsid w:val="7AEF0E08"/>
    <w:rsid w:val="7AF23C5A"/>
    <w:rsid w:val="7AFA3127"/>
    <w:rsid w:val="7B0307D4"/>
    <w:rsid w:val="7B084D7C"/>
    <w:rsid w:val="7B0F2096"/>
    <w:rsid w:val="7B131587"/>
    <w:rsid w:val="7B1C4E1C"/>
    <w:rsid w:val="7B1C59AD"/>
    <w:rsid w:val="7B2468B1"/>
    <w:rsid w:val="7B25690F"/>
    <w:rsid w:val="7B277734"/>
    <w:rsid w:val="7B2E1873"/>
    <w:rsid w:val="7B2F0E09"/>
    <w:rsid w:val="7B32617E"/>
    <w:rsid w:val="7B3538E9"/>
    <w:rsid w:val="7B372025"/>
    <w:rsid w:val="7B390826"/>
    <w:rsid w:val="7B3F49ED"/>
    <w:rsid w:val="7B427B69"/>
    <w:rsid w:val="7B45755F"/>
    <w:rsid w:val="7B4C0751"/>
    <w:rsid w:val="7B4C2077"/>
    <w:rsid w:val="7B4F0496"/>
    <w:rsid w:val="7B4F17C1"/>
    <w:rsid w:val="7B5F2F6D"/>
    <w:rsid w:val="7B663E48"/>
    <w:rsid w:val="7B666DAD"/>
    <w:rsid w:val="7B690BBA"/>
    <w:rsid w:val="7B6B7E50"/>
    <w:rsid w:val="7B7176BC"/>
    <w:rsid w:val="7B72173C"/>
    <w:rsid w:val="7B7A10F4"/>
    <w:rsid w:val="7B805B66"/>
    <w:rsid w:val="7B8707C3"/>
    <w:rsid w:val="7B9032FC"/>
    <w:rsid w:val="7B9978AB"/>
    <w:rsid w:val="7BA11A57"/>
    <w:rsid w:val="7BAE5C17"/>
    <w:rsid w:val="7BB80FAC"/>
    <w:rsid w:val="7BBE7653"/>
    <w:rsid w:val="7BC266DE"/>
    <w:rsid w:val="7BC469BE"/>
    <w:rsid w:val="7BCC5E19"/>
    <w:rsid w:val="7BD50307"/>
    <w:rsid w:val="7BD85591"/>
    <w:rsid w:val="7BDB04D8"/>
    <w:rsid w:val="7BDB6953"/>
    <w:rsid w:val="7BDE218D"/>
    <w:rsid w:val="7BEE520E"/>
    <w:rsid w:val="7BF0735F"/>
    <w:rsid w:val="7BF2613A"/>
    <w:rsid w:val="7BFB7036"/>
    <w:rsid w:val="7BFC3C8D"/>
    <w:rsid w:val="7C0A6A70"/>
    <w:rsid w:val="7C3350C7"/>
    <w:rsid w:val="7C3373B8"/>
    <w:rsid w:val="7C352233"/>
    <w:rsid w:val="7C421EE5"/>
    <w:rsid w:val="7C4D5B0D"/>
    <w:rsid w:val="7C515273"/>
    <w:rsid w:val="7C546188"/>
    <w:rsid w:val="7C567E0E"/>
    <w:rsid w:val="7C607E92"/>
    <w:rsid w:val="7C62235A"/>
    <w:rsid w:val="7C65185A"/>
    <w:rsid w:val="7C6E7D28"/>
    <w:rsid w:val="7C724903"/>
    <w:rsid w:val="7C780E9F"/>
    <w:rsid w:val="7C824749"/>
    <w:rsid w:val="7C8572D6"/>
    <w:rsid w:val="7C897955"/>
    <w:rsid w:val="7C8D30C9"/>
    <w:rsid w:val="7C99137B"/>
    <w:rsid w:val="7C9B2451"/>
    <w:rsid w:val="7CA80F9E"/>
    <w:rsid w:val="7CA8199C"/>
    <w:rsid w:val="7CA8428A"/>
    <w:rsid w:val="7CAD2A34"/>
    <w:rsid w:val="7CB1311E"/>
    <w:rsid w:val="7CB40AE3"/>
    <w:rsid w:val="7CB61E5D"/>
    <w:rsid w:val="7CB75739"/>
    <w:rsid w:val="7CC21806"/>
    <w:rsid w:val="7CC526BC"/>
    <w:rsid w:val="7CCB4DE2"/>
    <w:rsid w:val="7CCB7EA5"/>
    <w:rsid w:val="7CDA78D7"/>
    <w:rsid w:val="7CE51782"/>
    <w:rsid w:val="7CE537F6"/>
    <w:rsid w:val="7CE85FF3"/>
    <w:rsid w:val="7CE87256"/>
    <w:rsid w:val="7CF51B52"/>
    <w:rsid w:val="7CF7467A"/>
    <w:rsid w:val="7D0B6503"/>
    <w:rsid w:val="7D162E16"/>
    <w:rsid w:val="7D19253D"/>
    <w:rsid w:val="7D1E37CB"/>
    <w:rsid w:val="7D2C059A"/>
    <w:rsid w:val="7D390580"/>
    <w:rsid w:val="7D3D60B8"/>
    <w:rsid w:val="7D592A4D"/>
    <w:rsid w:val="7D5947FB"/>
    <w:rsid w:val="7D605E49"/>
    <w:rsid w:val="7D6307D7"/>
    <w:rsid w:val="7D6808F2"/>
    <w:rsid w:val="7D6B3BBC"/>
    <w:rsid w:val="7D6D0200"/>
    <w:rsid w:val="7D6D6382"/>
    <w:rsid w:val="7D7210CE"/>
    <w:rsid w:val="7D7314E6"/>
    <w:rsid w:val="7D7F6583"/>
    <w:rsid w:val="7D8F5454"/>
    <w:rsid w:val="7D917883"/>
    <w:rsid w:val="7D9558C7"/>
    <w:rsid w:val="7D957DCA"/>
    <w:rsid w:val="7D980E44"/>
    <w:rsid w:val="7D991371"/>
    <w:rsid w:val="7D9F46EB"/>
    <w:rsid w:val="7DA0383E"/>
    <w:rsid w:val="7DA34590"/>
    <w:rsid w:val="7DAB37C4"/>
    <w:rsid w:val="7DC16FF7"/>
    <w:rsid w:val="7DCD3549"/>
    <w:rsid w:val="7DCF2D60"/>
    <w:rsid w:val="7DD02340"/>
    <w:rsid w:val="7DE04795"/>
    <w:rsid w:val="7DE337BA"/>
    <w:rsid w:val="7DE65803"/>
    <w:rsid w:val="7DE94FC5"/>
    <w:rsid w:val="7DF82CF1"/>
    <w:rsid w:val="7E0874F9"/>
    <w:rsid w:val="7E0E0B19"/>
    <w:rsid w:val="7E0F2FEE"/>
    <w:rsid w:val="7E11681B"/>
    <w:rsid w:val="7E137145"/>
    <w:rsid w:val="7E141660"/>
    <w:rsid w:val="7E1E6262"/>
    <w:rsid w:val="7E250751"/>
    <w:rsid w:val="7E262625"/>
    <w:rsid w:val="7E323BFF"/>
    <w:rsid w:val="7E3715A5"/>
    <w:rsid w:val="7E3E2EF3"/>
    <w:rsid w:val="7E3E390B"/>
    <w:rsid w:val="7E4A2D72"/>
    <w:rsid w:val="7E4B4A3D"/>
    <w:rsid w:val="7E504152"/>
    <w:rsid w:val="7E5119E0"/>
    <w:rsid w:val="7E5A2F62"/>
    <w:rsid w:val="7E61543E"/>
    <w:rsid w:val="7E67338C"/>
    <w:rsid w:val="7E6A0E7C"/>
    <w:rsid w:val="7E6A2874"/>
    <w:rsid w:val="7E746A85"/>
    <w:rsid w:val="7E79156B"/>
    <w:rsid w:val="7E7B4056"/>
    <w:rsid w:val="7E887460"/>
    <w:rsid w:val="7E897715"/>
    <w:rsid w:val="7E8B6DD4"/>
    <w:rsid w:val="7E930A56"/>
    <w:rsid w:val="7E940DDD"/>
    <w:rsid w:val="7E9633BF"/>
    <w:rsid w:val="7E9D74BA"/>
    <w:rsid w:val="7EAA2F5F"/>
    <w:rsid w:val="7EAF6653"/>
    <w:rsid w:val="7EBA24C2"/>
    <w:rsid w:val="7EBC2AA3"/>
    <w:rsid w:val="7EBD5EBA"/>
    <w:rsid w:val="7ED04952"/>
    <w:rsid w:val="7EDC3C9F"/>
    <w:rsid w:val="7EDD40D2"/>
    <w:rsid w:val="7EE026F9"/>
    <w:rsid w:val="7EE42E66"/>
    <w:rsid w:val="7EEB1655"/>
    <w:rsid w:val="7EF909F8"/>
    <w:rsid w:val="7F0153FC"/>
    <w:rsid w:val="7F124543"/>
    <w:rsid w:val="7F22498A"/>
    <w:rsid w:val="7F2A321B"/>
    <w:rsid w:val="7F3174D3"/>
    <w:rsid w:val="7F336B23"/>
    <w:rsid w:val="7F3418CB"/>
    <w:rsid w:val="7F3B74A0"/>
    <w:rsid w:val="7F3F713C"/>
    <w:rsid w:val="7F467B03"/>
    <w:rsid w:val="7F511A0E"/>
    <w:rsid w:val="7F54764C"/>
    <w:rsid w:val="7F550A73"/>
    <w:rsid w:val="7F6406A1"/>
    <w:rsid w:val="7F721190"/>
    <w:rsid w:val="7F7763A4"/>
    <w:rsid w:val="7F786935"/>
    <w:rsid w:val="7F874C80"/>
    <w:rsid w:val="7F910FC0"/>
    <w:rsid w:val="7F9A1104"/>
    <w:rsid w:val="7FA076D7"/>
    <w:rsid w:val="7FA871A1"/>
    <w:rsid w:val="7FAD3A27"/>
    <w:rsid w:val="7FB31E7F"/>
    <w:rsid w:val="7FB85D94"/>
    <w:rsid w:val="7FC16512"/>
    <w:rsid w:val="7FD50954"/>
    <w:rsid w:val="7FD77823"/>
    <w:rsid w:val="7FE01A86"/>
    <w:rsid w:val="7FE168A5"/>
    <w:rsid w:val="7FE32969"/>
    <w:rsid w:val="7FE73651"/>
    <w:rsid w:val="7FEB524B"/>
    <w:rsid w:val="7FF31347"/>
    <w:rsid w:val="7FF356B0"/>
    <w:rsid w:val="7FFA49CB"/>
    <w:rsid w:val="7FFD5CF1"/>
    <w:rsid w:val="7FFE0F88"/>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t" stroke="t">
      <v:fill type="gradient" on="t" angle="90" focussize="0f,0f" focusposition="0f,0f">
        <o:fill type="gradientUnscaled" v:ext="backwardCompatible"/>
      </v:fill>
      <v:stroke weight="1.25pt" color="#739CC3"/>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qFormat="1" w:unhideWhenUsed="0" w:uiPriority="99" w:semiHidden="0" w:name="Normal Indent"/>
    <w:lsdException w:uiPriority="0" w:name="footnote text"/>
    <w:lsdException w:qFormat="1" w:uiPriority="0" w:semiHidden="0" w:name="annotation text"/>
    <w:lsdException w:qFormat="1" w:unhideWhenUsed="0" w:uiPriority="0" w:semiHidden="0" w:name="header"/>
    <w:lsdException w:qFormat="1" w:unhideWhenUsed="0" w:uiPriority="0" w:semiHidden="0" w:name="footer"/>
    <w:lsdException w:uiPriority="0" w:name="index heading"/>
    <w:lsdException w:qFormat="1" w:uiPriority="0" w:semiHidden="0" w:name="caption"/>
    <w:lsdException w:uiPriority="0" w:name="table of figures"/>
    <w:lsdException w:uiPriority="0" w:name="envelope address"/>
    <w:lsdException w:uiPriority="0" w:name="envelope return"/>
    <w:lsdException w:uiPriority="0" w:name="footnote reference"/>
    <w:lsdException w:qFormat="1" w:uiPriority="0" w:name="annotation reference"/>
    <w:lsdException w:uiPriority="0" w:name="line number"/>
    <w:lsdException w:qFormat="1" w:unhideWhenUsed="0" w:uiPriority="0" w:semiHidden="0" w:name="page number"/>
    <w:lsdException w:uiPriority="0" w:name="endnote reference"/>
    <w:lsdException w:uiPriority="0" w:name="endnote text"/>
    <w:lsdException w:unhideWhenUsed="0" w:uiPriority="0" w:semiHidden="0" w:name="table of authorities"/>
    <w:lsdException w:uiPriority="0" w:name="macro"/>
    <w:lsdException w:uiPriority="0" w:name="toa heading"/>
    <w:lsdException w:unhideWhenUsed="0" w:uiPriority="0" w:semiHidden="0" w:name="List"/>
    <w:lsdException w:unhideWhenUsed="0" w:uiPriority="0" w:semiHidden="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qFormat="1" w:unhideWhenUsed="0" w:uiPriority="0" w:semiHidden="0" w:name="Body Text"/>
    <w:lsdException w:qFormat="1" w:unhideWhenUsed="0" w:uiPriority="0" w:semiHidden="0" w:name="Body Text Indent"/>
    <w:lsdException w:uiPriority="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iPriority="0" w:name="Message Header"/>
    <w:lsdException w:qFormat="1" w:unhideWhenUsed="0" w:uiPriority="0" w:semiHidden="0" w:name="Subtitle"/>
    <w:lsdException w:uiPriority="0" w:name="Salutation"/>
    <w:lsdException w:qFormat="1" w:unhideWhenUsed="0" w:uiPriority="0" w:semiHidden="0" w:name="Date"/>
    <w:lsdException w:uiPriority="0" w:name="Body Text First Indent"/>
    <w:lsdException w:uiPriority="0" w:name="Body Text First Indent 2"/>
    <w:lsdException w:uiPriority="0" w:name="Note Heading"/>
    <w:lsdException w:qFormat="1" w:uiPriority="0" w:name="Body Text 2"/>
    <w:lsdException w:uiPriority="0" w:name="Body Text 3"/>
    <w:lsdException w:uiPriority="0" w:name="Body Text Indent 2"/>
    <w:lsdException w:uiPriority="0" w:name="Body Text Indent 3"/>
    <w:lsdException w:uiPriority="0" w:name="Block Text"/>
    <w:lsdException w:qFormat="1" w:unhideWhenUsed="0" w:uiPriority="0" w:semiHidden="0" w:name="Hyperlink"/>
    <w:lsdException w:qFormat="1" w:unhideWhenUsed="0" w:uiPriority="0" w:semiHidden="0" w:name="FollowedHyperlink"/>
    <w:lsdException w:qFormat="1" w:unhideWhenUsed="0" w:uiPriority="22" w:semiHidden="0" w:name="Strong"/>
    <w:lsdException w:qFormat="1" w:unhideWhenUsed="0" w:uiPriority="20" w:semiHidden="0" w:name="Emphasis"/>
    <w:lsdException w:uiPriority="0" w:name="Document Map"/>
    <w:lsdException w:qFormat="1" w:unhideWhenUsed="0" w:uiPriority="0" w:semiHidden="0" w:name="Plain Text"/>
    <w:lsdException w:uiPriority="0" w:name="E-mail Signature"/>
    <w:lsdException w:qFormat="1" w:unhideWhenUsed="0" w:uiPriority="0" w:semiHidden="0" w:name="Normal (Web)"/>
    <w:lsdException w:uiPriority="0" w:name="HTML Acronym"/>
    <w:lsdException w:uiPriority="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uiPriority="0" w:name="HTML Keyboard"/>
    <w:lsdException w:qFormat="1" w:unhideWhenUsed="0" w:uiPriority="0" w:semiHidden="0" w:name="HTML Preformatted"/>
    <w:lsdException w:uiPriority="0" w:name="HTML Sample"/>
    <w:lsdException w:uiPriority="0" w:name="HTML Typewriter"/>
    <w:lsdException w:qFormat="1" w:unhideWhenUsed="0" w:uiPriority="0" w:semiHidden="0" w:name="HTML Variable"/>
    <w:lsdException w:qFormat="1" w:uiPriority="99" w:name="Normal Table"/>
    <w:lsdException w:qFormat="1"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qFormat="1" w:unhideWhenUsed="0" w:uiPriority="99"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paragraph" w:styleId="2">
    <w:name w:val="heading 1"/>
    <w:basedOn w:val="1"/>
    <w:next w:val="1"/>
    <w:qFormat/>
    <w:uiPriority w:val="0"/>
    <w:pPr>
      <w:keepNext/>
      <w:jc w:val="center"/>
      <w:outlineLvl w:val="0"/>
    </w:pPr>
    <w:rPr>
      <w:sz w:val="28"/>
    </w:rPr>
  </w:style>
  <w:style w:type="paragraph" w:styleId="3">
    <w:name w:val="heading 2"/>
    <w:basedOn w:val="1"/>
    <w:next w:val="1"/>
    <w:qFormat/>
    <w:uiPriority w:val="0"/>
    <w:pPr>
      <w:keepNext/>
      <w:keepLines/>
      <w:spacing w:before="260" w:after="260" w:line="416" w:lineRule="auto"/>
      <w:outlineLvl w:val="1"/>
    </w:pPr>
    <w:rPr>
      <w:rFonts w:ascii="Arial" w:hAnsi="Arial" w:eastAsia="黑体"/>
      <w:b/>
      <w:bCs/>
      <w:sz w:val="32"/>
      <w:szCs w:val="32"/>
    </w:rPr>
  </w:style>
  <w:style w:type="paragraph" w:styleId="4">
    <w:name w:val="heading 3"/>
    <w:basedOn w:val="1"/>
    <w:next w:val="1"/>
    <w:qFormat/>
    <w:uiPriority w:val="0"/>
    <w:pPr>
      <w:keepNext/>
      <w:keepLines/>
      <w:spacing w:before="260" w:after="260" w:line="415" w:lineRule="auto"/>
      <w:outlineLvl w:val="2"/>
    </w:pPr>
    <w:rPr>
      <w:b/>
      <w:sz w:val="32"/>
    </w:rPr>
  </w:style>
  <w:style w:type="paragraph" w:styleId="5">
    <w:name w:val="heading 8"/>
    <w:basedOn w:val="1"/>
    <w:next w:val="1"/>
    <w:link w:val="86"/>
    <w:semiHidden/>
    <w:unhideWhenUsed/>
    <w:qFormat/>
    <w:uiPriority w:val="0"/>
    <w:pPr>
      <w:keepNext/>
      <w:keepLines/>
      <w:spacing w:before="240" w:after="64" w:line="320" w:lineRule="auto"/>
      <w:outlineLvl w:val="7"/>
    </w:pPr>
    <w:rPr>
      <w:rFonts w:asciiTheme="majorHAnsi" w:hAnsiTheme="majorHAnsi" w:eastAsiaTheme="majorEastAsia" w:cstheme="majorBidi"/>
      <w:sz w:val="24"/>
      <w:szCs w:val="24"/>
    </w:rPr>
  </w:style>
  <w:style w:type="character" w:default="1" w:styleId="23">
    <w:name w:val="Default Paragraph Font"/>
    <w:semiHidden/>
    <w:unhideWhenUsed/>
    <w:qFormat/>
    <w:uiPriority w:val="1"/>
  </w:style>
  <w:style w:type="table" w:default="1" w:styleId="21">
    <w:name w:val="Normal Table"/>
    <w:semiHidden/>
    <w:unhideWhenUsed/>
    <w:qFormat/>
    <w:uiPriority w:val="99"/>
    <w:tblPr>
      <w:tblCellMar>
        <w:top w:w="0" w:type="dxa"/>
        <w:left w:w="108" w:type="dxa"/>
        <w:bottom w:w="0" w:type="dxa"/>
        <w:right w:w="108" w:type="dxa"/>
      </w:tblCellMar>
    </w:tblPr>
  </w:style>
  <w:style w:type="paragraph" w:styleId="6">
    <w:name w:val="Normal Indent"/>
    <w:basedOn w:val="1"/>
    <w:link w:val="93"/>
    <w:qFormat/>
    <w:uiPriority w:val="99"/>
    <w:pPr>
      <w:ind w:firstLine="420"/>
    </w:pPr>
  </w:style>
  <w:style w:type="paragraph" w:styleId="7">
    <w:name w:val="caption"/>
    <w:basedOn w:val="1"/>
    <w:next w:val="1"/>
    <w:unhideWhenUsed/>
    <w:qFormat/>
    <w:uiPriority w:val="0"/>
    <w:rPr>
      <w:rFonts w:eastAsia="黑体" w:asciiTheme="majorHAnsi" w:hAnsiTheme="majorHAnsi" w:cstheme="majorBidi"/>
      <w:sz w:val="20"/>
    </w:rPr>
  </w:style>
  <w:style w:type="paragraph" w:styleId="8">
    <w:name w:val="annotation text"/>
    <w:basedOn w:val="1"/>
    <w:link w:val="96"/>
    <w:unhideWhenUsed/>
    <w:qFormat/>
    <w:uiPriority w:val="0"/>
    <w:pPr>
      <w:jc w:val="left"/>
    </w:pPr>
  </w:style>
  <w:style w:type="paragraph" w:styleId="9">
    <w:name w:val="Body Text"/>
    <w:basedOn w:val="1"/>
    <w:next w:val="1"/>
    <w:link w:val="100"/>
    <w:qFormat/>
    <w:uiPriority w:val="0"/>
    <w:pPr>
      <w:spacing w:after="120"/>
    </w:pPr>
  </w:style>
  <w:style w:type="paragraph" w:styleId="10">
    <w:name w:val="Body Text Indent"/>
    <w:basedOn w:val="1"/>
    <w:qFormat/>
    <w:uiPriority w:val="0"/>
    <w:pPr>
      <w:ind w:firstLine="552"/>
    </w:pPr>
    <w:rPr>
      <w:rFonts w:ascii="宋体"/>
      <w:sz w:val="28"/>
    </w:rPr>
  </w:style>
  <w:style w:type="paragraph" w:styleId="11">
    <w:name w:val="Plain Text"/>
    <w:basedOn w:val="1"/>
    <w:link w:val="89"/>
    <w:qFormat/>
    <w:uiPriority w:val="0"/>
    <w:rPr>
      <w:rFonts w:ascii="宋体" w:hAnsi="Courier New"/>
    </w:rPr>
  </w:style>
  <w:style w:type="paragraph" w:styleId="12">
    <w:name w:val="Date"/>
    <w:basedOn w:val="1"/>
    <w:next w:val="1"/>
    <w:link w:val="94"/>
    <w:qFormat/>
    <w:uiPriority w:val="0"/>
    <w:rPr>
      <w:rFonts w:ascii="宋体"/>
      <w:sz w:val="24"/>
    </w:rPr>
  </w:style>
  <w:style w:type="paragraph" w:styleId="13">
    <w:name w:val="Balloon Text"/>
    <w:basedOn w:val="1"/>
    <w:link w:val="95"/>
    <w:qFormat/>
    <w:uiPriority w:val="0"/>
    <w:rPr>
      <w:sz w:val="18"/>
      <w:szCs w:val="18"/>
    </w:rPr>
  </w:style>
  <w:style w:type="paragraph" w:styleId="14">
    <w:name w:val="footer"/>
    <w:basedOn w:val="1"/>
    <w:qFormat/>
    <w:uiPriority w:val="0"/>
    <w:pPr>
      <w:tabs>
        <w:tab w:val="center" w:pos="4153"/>
        <w:tab w:val="right" w:pos="8306"/>
      </w:tabs>
      <w:adjustRightInd w:val="0"/>
      <w:spacing w:line="240" w:lineRule="atLeast"/>
      <w:jc w:val="left"/>
      <w:textAlignment w:val="baseline"/>
    </w:pPr>
    <w:rPr>
      <w:kern w:val="0"/>
      <w:sz w:val="18"/>
    </w:rPr>
  </w:style>
  <w:style w:type="paragraph" w:styleId="15">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16">
    <w:name w:val="Body Text 2"/>
    <w:basedOn w:val="1"/>
    <w:link w:val="104"/>
    <w:semiHidden/>
    <w:unhideWhenUsed/>
    <w:qFormat/>
    <w:uiPriority w:val="0"/>
    <w:pPr>
      <w:spacing w:after="120" w:line="480" w:lineRule="auto"/>
    </w:pPr>
  </w:style>
  <w:style w:type="paragraph" w:styleId="17">
    <w:name w:val="HTML Preformatted"/>
    <w:basedOn w:val="1"/>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黑体" w:hAnsi="Courier New" w:eastAsia="黑体" w:cs="Courier New"/>
      <w:kern w:val="0"/>
      <w:sz w:val="20"/>
    </w:rPr>
  </w:style>
  <w:style w:type="paragraph" w:styleId="18">
    <w:name w:val="Normal (Web)"/>
    <w:basedOn w:val="1"/>
    <w:qFormat/>
    <w:uiPriority w:val="0"/>
    <w:pPr>
      <w:widowControl/>
      <w:spacing w:before="100" w:beforeAutospacing="1" w:after="100" w:afterAutospacing="1"/>
      <w:jc w:val="left"/>
    </w:pPr>
    <w:rPr>
      <w:rFonts w:ascii="Arial Unicode MS" w:hAnsi="Arial Unicode MS" w:eastAsia="Arial Unicode MS"/>
      <w:kern w:val="0"/>
      <w:sz w:val="24"/>
    </w:rPr>
  </w:style>
  <w:style w:type="paragraph" w:styleId="19">
    <w:name w:val="Title"/>
    <w:basedOn w:val="1"/>
    <w:qFormat/>
    <w:uiPriority w:val="0"/>
    <w:pPr>
      <w:spacing w:beforeLines="30" w:afterLines="30" w:line="360" w:lineRule="auto"/>
      <w:jc w:val="center"/>
      <w:outlineLvl w:val="0"/>
    </w:pPr>
    <w:rPr>
      <w:rFonts w:ascii="Arial" w:hAnsi="Arial" w:cs="Arial"/>
      <w:b/>
      <w:bCs/>
      <w:sz w:val="32"/>
      <w:szCs w:val="32"/>
    </w:rPr>
  </w:style>
  <w:style w:type="paragraph" w:styleId="20">
    <w:name w:val="annotation subject"/>
    <w:basedOn w:val="8"/>
    <w:next w:val="8"/>
    <w:link w:val="97"/>
    <w:semiHidden/>
    <w:unhideWhenUsed/>
    <w:qFormat/>
    <w:uiPriority w:val="0"/>
    <w:rPr>
      <w:b/>
      <w:bCs/>
    </w:rPr>
  </w:style>
  <w:style w:type="table" w:styleId="22">
    <w:name w:val="Table Grid"/>
    <w:basedOn w:val="21"/>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4">
    <w:name w:val="Strong"/>
    <w:basedOn w:val="23"/>
    <w:qFormat/>
    <w:uiPriority w:val="22"/>
    <w:rPr>
      <w:b/>
      <w:bCs/>
    </w:rPr>
  </w:style>
  <w:style w:type="character" w:styleId="25">
    <w:name w:val="page number"/>
    <w:basedOn w:val="23"/>
    <w:qFormat/>
    <w:uiPriority w:val="0"/>
  </w:style>
  <w:style w:type="character" w:styleId="26">
    <w:name w:val="FollowedHyperlink"/>
    <w:qFormat/>
    <w:uiPriority w:val="0"/>
    <w:rPr>
      <w:color w:val="296FBE"/>
      <w:sz w:val="24"/>
      <w:szCs w:val="24"/>
      <w:u w:val="none"/>
    </w:rPr>
  </w:style>
  <w:style w:type="character" w:styleId="27">
    <w:name w:val="Emphasis"/>
    <w:basedOn w:val="23"/>
    <w:qFormat/>
    <w:uiPriority w:val="20"/>
    <w:rPr>
      <w:i/>
      <w:iCs/>
    </w:rPr>
  </w:style>
  <w:style w:type="character" w:styleId="28">
    <w:name w:val="HTML Definition"/>
    <w:qFormat/>
    <w:uiPriority w:val="0"/>
    <w:rPr>
      <w:sz w:val="24"/>
      <w:szCs w:val="24"/>
    </w:rPr>
  </w:style>
  <w:style w:type="character" w:styleId="29">
    <w:name w:val="HTML Variable"/>
    <w:qFormat/>
    <w:uiPriority w:val="0"/>
    <w:rPr>
      <w:sz w:val="24"/>
      <w:szCs w:val="24"/>
    </w:rPr>
  </w:style>
  <w:style w:type="character" w:styleId="30">
    <w:name w:val="Hyperlink"/>
    <w:qFormat/>
    <w:uiPriority w:val="0"/>
    <w:rPr>
      <w:color w:val="296FBE"/>
      <w:sz w:val="24"/>
      <w:szCs w:val="24"/>
      <w:u w:val="none"/>
    </w:rPr>
  </w:style>
  <w:style w:type="character" w:styleId="31">
    <w:name w:val="HTML Code"/>
    <w:qFormat/>
    <w:uiPriority w:val="0"/>
    <w:rPr>
      <w:rFonts w:ascii="微软雅黑" w:hAnsi="微软雅黑" w:eastAsia="微软雅黑" w:cs="微软雅黑"/>
      <w:sz w:val="20"/>
      <w:szCs w:val="24"/>
    </w:rPr>
  </w:style>
  <w:style w:type="character" w:styleId="32">
    <w:name w:val="annotation reference"/>
    <w:basedOn w:val="23"/>
    <w:semiHidden/>
    <w:unhideWhenUsed/>
    <w:qFormat/>
    <w:uiPriority w:val="0"/>
    <w:rPr>
      <w:sz w:val="21"/>
      <w:szCs w:val="21"/>
    </w:rPr>
  </w:style>
  <w:style w:type="character" w:styleId="33">
    <w:name w:val="HTML Cite"/>
    <w:qFormat/>
    <w:uiPriority w:val="0"/>
    <w:rPr>
      <w:sz w:val="24"/>
      <w:szCs w:val="24"/>
    </w:rPr>
  </w:style>
  <w:style w:type="character" w:customStyle="1" w:styleId="34">
    <w:name w:val="active"/>
    <w:basedOn w:val="23"/>
    <w:qFormat/>
    <w:uiPriority w:val="0"/>
    <w:rPr>
      <w:color w:val="00FF00"/>
      <w:shd w:val="clear" w:color="auto" w:fill="111111"/>
    </w:rPr>
  </w:style>
  <w:style w:type="character" w:customStyle="1" w:styleId="35">
    <w:name w:val="active5"/>
    <w:basedOn w:val="23"/>
    <w:qFormat/>
    <w:uiPriority w:val="0"/>
    <w:rPr>
      <w:color w:val="00FF00"/>
      <w:shd w:val="clear" w:color="auto" w:fill="111111"/>
    </w:rPr>
  </w:style>
  <w:style w:type="character" w:customStyle="1" w:styleId="36">
    <w:name w:val="hilite6"/>
    <w:qFormat/>
    <w:uiPriority w:val="0"/>
    <w:rPr>
      <w:color w:val="FFFFFF"/>
      <w:sz w:val="24"/>
      <w:szCs w:val="24"/>
      <w:shd w:val="clear" w:color="auto" w:fill="666677"/>
    </w:rPr>
  </w:style>
  <w:style w:type="character" w:customStyle="1" w:styleId="37">
    <w:name w:val="token-input-delete-token"/>
    <w:qFormat/>
    <w:uiPriority w:val="0"/>
    <w:rPr>
      <w:color w:val="FFFFFF"/>
      <w:sz w:val="24"/>
      <w:szCs w:val="24"/>
    </w:rPr>
  </w:style>
  <w:style w:type="character" w:customStyle="1" w:styleId="38">
    <w:name w:val="hilite4"/>
    <w:qFormat/>
    <w:uiPriority w:val="0"/>
    <w:rPr>
      <w:color w:val="FFFFFF"/>
      <w:sz w:val="24"/>
      <w:szCs w:val="24"/>
      <w:shd w:val="clear" w:color="auto" w:fill="666677"/>
    </w:rPr>
  </w:style>
  <w:style w:type="character" w:customStyle="1" w:styleId="39">
    <w:name w:val="font31"/>
    <w:qFormat/>
    <w:uiPriority w:val="0"/>
    <w:rPr>
      <w:rFonts w:hint="eastAsia" w:ascii="仿宋_GB2312" w:eastAsia="仿宋_GB2312" w:cs="仿宋_GB2312"/>
      <w:color w:val="000000"/>
      <w:sz w:val="20"/>
      <w:szCs w:val="20"/>
      <w:u w:val="none"/>
    </w:rPr>
  </w:style>
  <w:style w:type="character" w:customStyle="1" w:styleId="40">
    <w:name w:val="edit_class"/>
    <w:basedOn w:val="23"/>
    <w:qFormat/>
    <w:uiPriority w:val="0"/>
  </w:style>
  <w:style w:type="character" w:customStyle="1" w:styleId="41">
    <w:name w:val="tmpztreemove_arrow"/>
    <w:basedOn w:val="23"/>
    <w:qFormat/>
    <w:uiPriority w:val="0"/>
  </w:style>
  <w:style w:type="character" w:customStyle="1" w:styleId="42">
    <w:name w:val="browse_class&gt;label"/>
    <w:qFormat/>
    <w:uiPriority w:val="0"/>
    <w:rPr>
      <w:sz w:val="24"/>
      <w:szCs w:val="24"/>
      <w:shd w:val="clear" w:color="auto" w:fill="F8F8F8"/>
    </w:rPr>
  </w:style>
  <w:style w:type="character" w:customStyle="1" w:styleId="43">
    <w:name w:val="browse_class&gt;span"/>
    <w:qFormat/>
    <w:uiPriority w:val="0"/>
    <w:rPr>
      <w:sz w:val="24"/>
      <w:szCs w:val="24"/>
      <w:shd w:val="clear" w:color="auto" w:fill="F8F8F8"/>
    </w:rPr>
  </w:style>
  <w:style w:type="character" w:customStyle="1" w:styleId="44">
    <w:name w:val="ico1655"/>
    <w:basedOn w:val="23"/>
    <w:qFormat/>
    <w:uiPriority w:val="0"/>
  </w:style>
  <w:style w:type="character" w:customStyle="1" w:styleId="45">
    <w:name w:val="w32"/>
    <w:basedOn w:val="23"/>
    <w:qFormat/>
    <w:uiPriority w:val="0"/>
  </w:style>
  <w:style w:type="character" w:customStyle="1" w:styleId="46">
    <w:name w:val="biggerthanmax"/>
    <w:qFormat/>
    <w:uiPriority w:val="0"/>
    <w:rPr>
      <w:sz w:val="24"/>
      <w:szCs w:val="24"/>
      <w:shd w:val="clear" w:color="auto" w:fill="FFFF00"/>
    </w:rPr>
  </w:style>
  <w:style w:type="character" w:customStyle="1" w:styleId="47">
    <w:name w:val="browse_class&gt;input"/>
    <w:qFormat/>
    <w:uiPriority w:val="0"/>
    <w:rPr>
      <w:sz w:val="24"/>
      <w:szCs w:val="24"/>
      <w:shd w:val="clear" w:color="auto" w:fill="F8F8F8"/>
    </w:rPr>
  </w:style>
  <w:style w:type="character" w:customStyle="1" w:styleId="48">
    <w:name w:val="hilite5"/>
    <w:qFormat/>
    <w:uiPriority w:val="0"/>
    <w:rPr>
      <w:color w:val="FFFFFF"/>
      <w:sz w:val="24"/>
      <w:szCs w:val="24"/>
      <w:shd w:val="clear" w:color="auto" w:fill="666677"/>
    </w:rPr>
  </w:style>
  <w:style w:type="character" w:customStyle="1" w:styleId="49">
    <w:name w:val="active12"/>
    <w:qFormat/>
    <w:uiPriority w:val="0"/>
    <w:rPr>
      <w:color w:val="00FF00"/>
      <w:sz w:val="24"/>
      <w:szCs w:val="24"/>
      <w:shd w:val="clear" w:color="auto" w:fill="111111"/>
    </w:rPr>
  </w:style>
  <w:style w:type="character" w:customStyle="1" w:styleId="50">
    <w:name w:val="font61"/>
    <w:qFormat/>
    <w:uiPriority w:val="0"/>
    <w:rPr>
      <w:rFonts w:hint="eastAsia" w:ascii="宋体" w:hAnsi="宋体" w:eastAsia="宋体" w:cs="宋体"/>
      <w:color w:val="000000"/>
      <w:sz w:val="20"/>
      <w:szCs w:val="20"/>
      <w:u w:val="none"/>
    </w:rPr>
  </w:style>
  <w:style w:type="character" w:customStyle="1" w:styleId="51">
    <w:name w:val="active10"/>
    <w:qFormat/>
    <w:uiPriority w:val="0"/>
    <w:rPr>
      <w:color w:val="00FF00"/>
      <w:sz w:val="24"/>
      <w:szCs w:val="24"/>
      <w:shd w:val="clear" w:color="auto" w:fill="111111"/>
    </w:rPr>
  </w:style>
  <w:style w:type="character" w:customStyle="1" w:styleId="52">
    <w:name w:val="active7"/>
    <w:qFormat/>
    <w:uiPriority w:val="0"/>
    <w:rPr>
      <w:color w:val="00FF00"/>
      <w:sz w:val="24"/>
      <w:szCs w:val="24"/>
      <w:shd w:val="clear" w:color="auto" w:fill="111111"/>
    </w:rPr>
  </w:style>
  <w:style w:type="character" w:customStyle="1" w:styleId="53">
    <w:name w:val="font41"/>
    <w:qFormat/>
    <w:uiPriority w:val="0"/>
    <w:rPr>
      <w:rFonts w:hint="eastAsia" w:ascii="仿宋_GB2312" w:eastAsia="仿宋_GB2312" w:cs="仿宋_GB2312"/>
      <w:color w:val="000000"/>
      <w:sz w:val="20"/>
      <w:szCs w:val="20"/>
      <w:u w:val="none"/>
    </w:rPr>
  </w:style>
  <w:style w:type="character" w:customStyle="1" w:styleId="54">
    <w:name w:val="design_class"/>
    <w:basedOn w:val="23"/>
    <w:qFormat/>
    <w:uiPriority w:val="0"/>
  </w:style>
  <w:style w:type="character" w:customStyle="1" w:styleId="55">
    <w:name w:val="ico161"/>
    <w:basedOn w:val="23"/>
    <w:qFormat/>
    <w:uiPriority w:val="0"/>
  </w:style>
  <w:style w:type="character" w:customStyle="1" w:styleId="56">
    <w:name w:val="active4"/>
    <w:qFormat/>
    <w:uiPriority w:val="0"/>
    <w:rPr>
      <w:color w:val="00FF00"/>
      <w:sz w:val="24"/>
      <w:szCs w:val="24"/>
      <w:shd w:val="clear" w:color="auto" w:fill="111111"/>
    </w:rPr>
  </w:style>
  <w:style w:type="character" w:customStyle="1" w:styleId="57">
    <w:name w:val="xdrichtextbox"/>
    <w:qFormat/>
    <w:uiPriority w:val="0"/>
    <w:rPr>
      <w:color w:val="auto"/>
      <w:sz w:val="18"/>
      <w:szCs w:val="18"/>
      <w:u w:val="none"/>
      <w:bdr w:val="single" w:color="DCDCDC" w:sz="8" w:space="0"/>
      <w:shd w:val="clear" w:color="auto" w:fill="auto"/>
    </w:rPr>
  </w:style>
  <w:style w:type="character" w:customStyle="1" w:styleId="58">
    <w:name w:val="ico16"/>
    <w:basedOn w:val="23"/>
    <w:qFormat/>
    <w:uiPriority w:val="0"/>
  </w:style>
  <w:style w:type="character" w:customStyle="1" w:styleId="59">
    <w:name w:val="xdrichtextbox2"/>
    <w:basedOn w:val="23"/>
    <w:qFormat/>
    <w:uiPriority w:val="0"/>
  </w:style>
  <w:style w:type="character" w:customStyle="1" w:styleId="60">
    <w:name w:val="cdropleft"/>
    <w:basedOn w:val="23"/>
    <w:qFormat/>
    <w:uiPriority w:val="0"/>
  </w:style>
  <w:style w:type="character" w:customStyle="1" w:styleId="61">
    <w:name w:val="font81"/>
    <w:qFormat/>
    <w:uiPriority w:val="0"/>
    <w:rPr>
      <w:rFonts w:hint="eastAsia" w:ascii="仿宋_GB2312" w:eastAsia="仿宋_GB2312" w:cs="仿宋_GB2312"/>
      <w:color w:val="00B0F0"/>
      <w:sz w:val="20"/>
      <w:szCs w:val="20"/>
      <w:u w:val="none"/>
    </w:rPr>
  </w:style>
  <w:style w:type="character" w:customStyle="1" w:styleId="62">
    <w:name w:val="pagechatarealistclose_box1"/>
    <w:basedOn w:val="23"/>
    <w:qFormat/>
    <w:uiPriority w:val="0"/>
  </w:style>
  <w:style w:type="character" w:customStyle="1" w:styleId="63">
    <w:name w:val="button"/>
    <w:basedOn w:val="23"/>
    <w:qFormat/>
    <w:uiPriority w:val="0"/>
  </w:style>
  <w:style w:type="character" w:customStyle="1" w:styleId="64">
    <w:name w:val="pagechatarealistclose_box"/>
    <w:basedOn w:val="23"/>
    <w:qFormat/>
    <w:uiPriority w:val="0"/>
  </w:style>
  <w:style w:type="character" w:customStyle="1" w:styleId="65">
    <w:name w:val="ico1652"/>
    <w:basedOn w:val="23"/>
    <w:qFormat/>
    <w:uiPriority w:val="0"/>
  </w:style>
  <w:style w:type="character" w:customStyle="1" w:styleId="66">
    <w:name w:val="drapbtn"/>
    <w:basedOn w:val="23"/>
    <w:qFormat/>
    <w:uiPriority w:val="0"/>
  </w:style>
  <w:style w:type="character" w:customStyle="1" w:styleId="67">
    <w:name w:val="active1"/>
    <w:basedOn w:val="23"/>
    <w:qFormat/>
    <w:uiPriority w:val="0"/>
    <w:rPr>
      <w:color w:val="00FF00"/>
      <w:shd w:val="clear" w:color="auto" w:fill="111111"/>
    </w:rPr>
  </w:style>
  <w:style w:type="character" w:customStyle="1" w:styleId="68">
    <w:name w:val="cy"/>
    <w:basedOn w:val="23"/>
    <w:qFormat/>
    <w:uiPriority w:val="0"/>
  </w:style>
  <w:style w:type="character" w:customStyle="1" w:styleId="69">
    <w:name w:val="ico1653"/>
    <w:basedOn w:val="23"/>
    <w:qFormat/>
    <w:uiPriority w:val="0"/>
  </w:style>
  <w:style w:type="character" w:customStyle="1" w:styleId="70">
    <w:name w:val="active6"/>
    <w:qFormat/>
    <w:uiPriority w:val="0"/>
    <w:rPr>
      <w:color w:val="00FF00"/>
      <w:sz w:val="24"/>
      <w:szCs w:val="24"/>
      <w:shd w:val="clear" w:color="auto" w:fill="111111"/>
    </w:rPr>
  </w:style>
  <w:style w:type="character" w:customStyle="1" w:styleId="71">
    <w:name w:val="ico1654"/>
    <w:basedOn w:val="23"/>
    <w:qFormat/>
    <w:uiPriority w:val="0"/>
  </w:style>
  <w:style w:type="character" w:customStyle="1" w:styleId="72">
    <w:name w:val="hilite"/>
    <w:qFormat/>
    <w:uiPriority w:val="0"/>
    <w:rPr>
      <w:color w:val="FFFFFF"/>
      <w:sz w:val="24"/>
      <w:szCs w:val="24"/>
      <w:shd w:val="clear" w:color="auto" w:fill="666677"/>
    </w:rPr>
  </w:style>
  <w:style w:type="character" w:customStyle="1" w:styleId="73">
    <w:name w:val="cdropright"/>
    <w:basedOn w:val="23"/>
    <w:qFormat/>
    <w:uiPriority w:val="0"/>
  </w:style>
  <w:style w:type="character" w:customStyle="1" w:styleId="74">
    <w:name w:val="button2"/>
    <w:basedOn w:val="23"/>
    <w:qFormat/>
    <w:uiPriority w:val="0"/>
  </w:style>
  <w:style w:type="character" w:customStyle="1" w:styleId="75">
    <w:name w:val="font71"/>
    <w:qFormat/>
    <w:uiPriority w:val="0"/>
    <w:rPr>
      <w:rFonts w:hint="eastAsia" w:ascii="仿宋_GB2312" w:eastAsia="仿宋_GB2312" w:cs="仿宋_GB2312"/>
      <w:color w:val="FF0000"/>
      <w:sz w:val="20"/>
      <w:szCs w:val="20"/>
      <w:u w:val="none"/>
    </w:rPr>
  </w:style>
  <w:style w:type="character" w:customStyle="1" w:styleId="76">
    <w:name w:val="font91"/>
    <w:qFormat/>
    <w:uiPriority w:val="0"/>
    <w:rPr>
      <w:rFonts w:hint="eastAsia" w:ascii="宋体" w:hAnsi="宋体" w:eastAsia="宋体" w:cs="宋体"/>
      <w:color w:val="000000"/>
      <w:sz w:val="18"/>
      <w:szCs w:val="18"/>
      <w:u w:val="none"/>
    </w:rPr>
  </w:style>
  <w:style w:type="character" w:customStyle="1" w:styleId="77">
    <w:name w:val="apple-converted-space"/>
    <w:basedOn w:val="23"/>
    <w:qFormat/>
    <w:uiPriority w:val="0"/>
  </w:style>
  <w:style w:type="paragraph" w:customStyle="1" w:styleId="78">
    <w:name w:val="列出段落1"/>
    <w:basedOn w:val="1"/>
    <w:qFormat/>
    <w:uiPriority w:val="0"/>
    <w:pPr>
      <w:ind w:firstLine="420" w:firstLineChars="200"/>
    </w:pPr>
  </w:style>
  <w:style w:type="paragraph" w:customStyle="1" w:styleId="79">
    <w:name w:val="Char1"/>
    <w:basedOn w:val="1"/>
    <w:qFormat/>
    <w:uiPriority w:val="0"/>
    <w:pPr>
      <w:tabs>
        <w:tab w:val="left" w:pos="360"/>
      </w:tabs>
      <w:ind w:left="360" w:hanging="360" w:hangingChars="200"/>
    </w:pPr>
    <w:rPr>
      <w:sz w:val="24"/>
      <w:szCs w:val="24"/>
    </w:rPr>
  </w:style>
  <w:style w:type="paragraph" w:customStyle="1" w:styleId="80">
    <w:name w:val="Char2"/>
    <w:basedOn w:val="1"/>
    <w:qFormat/>
    <w:uiPriority w:val="0"/>
    <w:rPr>
      <w:rFonts w:ascii="Tahoma" w:hAnsi="Tahoma"/>
      <w:sz w:val="24"/>
    </w:rPr>
  </w:style>
  <w:style w:type="paragraph" w:customStyle="1" w:styleId="81">
    <w:name w:val="列出段落2"/>
    <w:basedOn w:val="1"/>
    <w:qFormat/>
    <w:uiPriority w:val="34"/>
    <w:pPr>
      <w:ind w:firstLine="420" w:firstLineChars="200"/>
    </w:pPr>
  </w:style>
  <w:style w:type="paragraph" w:customStyle="1" w:styleId="82">
    <w:name w:val="Char"/>
    <w:basedOn w:val="1"/>
    <w:qFormat/>
    <w:uiPriority w:val="0"/>
    <w:pPr>
      <w:widowControl/>
      <w:spacing w:after="160" w:line="240" w:lineRule="exact"/>
      <w:jc w:val="left"/>
    </w:pPr>
    <w:rPr>
      <w:rFonts w:ascii="Verdana" w:hAnsi="Verdana" w:eastAsia="仿宋_GB2312"/>
      <w:kern w:val="0"/>
      <w:sz w:val="24"/>
      <w:lang w:eastAsia="en-US"/>
    </w:rPr>
  </w:style>
  <w:style w:type="paragraph" w:customStyle="1" w:styleId="83">
    <w:name w:val="列出段落11"/>
    <w:basedOn w:val="1"/>
    <w:qFormat/>
    <w:uiPriority w:val="34"/>
    <w:pPr>
      <w:ind w:firstLine="420" w:firstLineChars="200"/>
    </w:pPr>
    <w:rPr>
      <w:rFonts w:ascii="Calibri" w:hAnsi="Calibri"/>
    </w:rPr>
  </w:style>
  <w:style w:type="paragraph" w:customStyle="1" w:styleId="84">
    <w:name w:val="Char Char Char"/>
    <w:basedOn w:val="1"/>
    <w:qFormat/>
    <w:uiPriority w:val="0"/>
    <w:rPr>
      <w:rFonts w:ascii="宋体" w:hAnsi="宋体"/>
      <w:b/>
      <w:sz w:val="28"/>
      <w:szCs w:val="28"/>
    </w:rPr>
  </w:style>
  <w:style w:type="paragraph" w:customStyle="1" w:styleId="85">
    <w:name w:val="Char Char Char1"/>
    <w:basedOn w:val="1"/>
    <w:qFormat/>
    <w:uiPriority w:val="0"/>
    <w:rPr>
      <w:rFonts w:ascii="宋体" w:hAnsi="宋体"/>
      <w:b/>
      <w:sz w:val="28"/>
      <w:szCs w:val="28"/>
    </w:rPr>
  </w:style>
  <w:style w:type="character" w:customStyle="1" w:styleId="86">
    <w:name w:val="标题 8 Char"/>
    <w:basedOn w:val="23"/>
    <w:link w:val="5"/>
    <w:semiHidden/>
    <w:qFormat/>
    <w:uiPriority w:val="0"/>
    <w:rPr>
      <w:rFonts w:asciiTheme="majorHAnsi" w:hAnsiTheme="majorHAnsi" w:eastAsiaTheme="majorEastAsia" w:cstheme="majorBidi"/>
      <w:kern w:val="2"/>
      <w:sz w:val="24"/>
      <w:szCs w:val="24"/>
    </w:rPr>
  </w:style>
  <w:style w:type="paragraph" w:customStyle="1" w:styleId="87">
    <w:name w:val="样式 标题 + 四号 两端对齐"/>
    <w:basedOn w:val="19"/>
    <w:qFormat/>
    <w:uiPriority w:val="0"/>
    <w:pPr>
      <w:widowControl/>
      <w:adjustRightInd w:val="0"/>
      <w:snapToGrid w:val="0"/>
      <w:spacing w:beforeLines="0" w:afterLines="0" w:line="240" w:lineRule="auto"/>
    </w:pPr>
    <w:rPr>
      <w:rFonts w:ascii="Cambria" w:hAnsi="Cambria" w:cs="宋体"/>
      <w:kern w:val="0"/>
    </w:rPr>
  </w:style>
  <w:style w:type="paragraph" w:customStyle="1" w:styleId="88">
    <w:name w:val="缺省文本"/>
    <w:basedOn w:val="1"/>
    <w:qFormat/>
    <w:uiPriority w:val="0"/>
    <w:pPr>
      <w:autoSpaceDE w:val="0"/>
      <w:autoSpaceDN w:val="0"/>
      <w:adjustRightInd w:val="0"/>
      <w:jc w:val="left"/>
    </w:pPr>
    <w:rPr>
      <w:rFonts w:ascii="Calibri" w:hAnsi="Calibri"/>
      <w:kern w:val="0"/>
      <w:sz w:val="24"/>
      <w:szCs w:val="24"/>
    </w:rPr>
  </w:style>
  <w:style w:type="character" w:customStyle="1" w:styleId="89">
    <w:name w:val="纯文本 Char"/>
    <w:basedOn w:val="23"/>
    <w:link w:val="11"/>
    <w:qFormat/>
    <w:uiPriority w:val="0"/>
    <w:rPr>
      <w:rFonts w:ascii="宋体" w:hAnsi="Courier New"/>
      <w:kern w:val="2"/>
      <w:sz w:val="21"/>
    </w:rPr>
  </w:style>
  <w:style w:type="paragraph" w:styleId="90">
    <w:name w:val="List Paragraph"/>
    <w:basedOn w:val="1"/>
    <w:link w:val="101"/>
    <w:unhideWhenUsed/>
    <w:qFormat/>
    <w:uiPriority w:val="34"/>
    <w:pPr>
      <w:ind w:firstLine="420" w:firstLineChars="200"/>
    </w:pPr>
  </w:style>
  <w:style w:type="character" w:customStyle="1" w:styleId="91">
    <w:name w:val="in"/>
    <w:basedOn w:val="23"/>
    <w:qFormat/>
    <w:uiPriority w:val="0"/>
    <w:rPr>
      <w:color w:val="FFFFFF"/>
      <w:shd w:val="clear" w:color="auto" w:fill="C0BDBA"/>
    </w:rPr>
  </w:style>
  <w:style w:type="character" w:customStyle="1" w:styleId="92">
    <w:name w:val="on"/>
    <w:basedOn w:val="23"/>
    <w:qFormat/>
    <w:uiPriority w:val="0"/>
    <w:rPr>
      <w:color w:val="FFFFFF"/>
      <w:shd w:val="clear" w:color="auto" w:fill="F17817"/>
    </w:rPr>
  </w:style>
  <w:style w:type="character" w:customStyle="1" w:styleId="93">
    <w:name w:val="正文缩进 Char"/>
    <w:link w:val="6"/>
    <w:qFormat/>
    <w:uiPriority w:val="0"/>
    <w:rPr>
      <w:rFonts w:ascii="Times New Roman" w:hAnsi="Times New Roman"/>
      <w:kern w:val="2"/>
      <w:sz w:val="21"/>
    </w:rPr>
  </w:style>
  <w:style w:type="character" w:customStyle="1" w:styleId="94">
    <w:name w:val="日期 Char"/>
    <w:link w:val="12"/>
    <w:qFormat/>
    <w:locked/>
    <w:uiPriority w:val="0"/>
    <w:rPr>
      <w:rFonts w:ascii="宋体" w:hAnsi="Times New Roman"/>
      <w:kern w:val="2"/>
      <w:sz w:val="24"/>
    </w:rPr>
  </w:style>
  <w:style w:type="character" w:customStyle="1" w:styleId="95">
    <w:name w:val="批注框文本 Char"/>
    <w:basedOn w:val="23"/>
    <w:link w:val="13"/>
    <w:qFormat/>
    <w:uiPriority w:val="0"/>
    <w:rPr>
      <w:rFonts w:ascii="Times New Roman" w:hAnsi="Times New Roman"/>
      <w:kern w:val="2"/>
      <w:sz w:val="18"/>
      <w:szCs w:val="18"/>
    </w:rPr>
  </w:style>
  <w:style w:type="character" w:customStyle="1" w:styleId="96">
    <w:name w:val="批注文字 Char"/>
    <w:basedOn w:val="23"/>
    <w:link w:val="8"/>
    <w:qFormat/>
    <w:uiPriority w:val="0"/>
    <w:rPr>
      <w:rFonts w:ascii="Times New Roman" w:hAnsi="Times New Roman"/>
      <w:kern w:val="2"/>
      <w:sz w:val="21"/>
    </w:rPr>
  </w:style>
  <w:style w:type="character" w:customStyle="1" w:styleId="97">
    <w:name w:val="批注主题 Char"/>
    <w:basedOn w:val="96"/>
    <w:link w:val="20"/>
    <w:semiHidden/>
    <w:qFormat/>
    <w:uiPriority w:val="0"/>
    <w:rPr>
      <w:rFonts w:ascii="Times New Roman" w:hAnsi="Times New Roman"/>
      <w:b/>
      <w:bCs/>
      <w:kern w:val="2"/>
      <w:sz w:val="21"/>
    </w:rPr>
  </w:style>
  <w:style w:type="character" w:customStyle="1" w:styleId="98">
    <w:name w:val="无间隔 Char"/>
    <w:basedOn w:val="23"/>
    <w:link w:val="99"/>
    <w:qFormat/>
    <w:locked/>
    <w:uiPriority w:val="99"/>
    <w:rPr>
      <w:rFonts w:cs="Calibri"/>
      <w:sz w:val="22"/>
      <w:szCs w:val="22"/>
    </w:rPr>
  </w:style>
  <w:style w:type="paragraph" w:styleId="99">
    <w:name w:val="No Spacing"/>
    <w:link w:val="98"/>
    <w:qFormat/>
    <w:uiPriority w:val="99"/>
    <w:rPr>
      <w:rFonts w:ascii="Calibri" w:hAnsi="Calibri" w:eastAsia="宋体" w:cs="Calibri"/>
      <w:sz w:val="22"/>
      <w:szCs w:val="22"/>
      <w:lang w:val="en-US" w:eastAsia="zh-CN" w:bidi="ar-SA"/>
    </w:rPr>
  </w:style>
  <w:style w:type="character" w:customStyle="1" w:styleId="100">
    <w:name w:val="正文文本 Char"/>
    <w:basedOn w:val="23"/>
    <w:link w:val="9"/>
    <w:qFormat/>
    <w:uiPriority w:val="0"/>
    <w:rPr>
      <w:rFonts w:ascii="Times New Roman" w:hAnsi="Times New Roman"/>
      <w:kern w:val="2"/>
      <w:sz w:val="21"/>
    </w:rPr>
  </w:style>
  <w:style w:type="character" w:customStyle="1" w:styleId="101">
    <w:name w:val="列出段落 Char"/>
    <w:link w:val="90"/>
    <w:qFormat/>
    <w:uiPriority w:val="34"/>
    <w:rPr>
      <w:rFonts w:ascii="Times New Roman" w:hAnsi="Times New Roman"/>
      <w:kern w:val="2"/>
      <w:sz w:val="21"/>
    </w:rPr>
  </w:style>
  <w:style w:type="paragraph" w:customStyle="1" w:styleId="102">
    <w:name w:val="修订1"/>
    <w:hidden/>
    <w:semiHidden/>
    <w:qFormat/>
    <w:uiPriority w:val="99"/>
    <w:rPr>
      <w:rFonts w:ascii="Times New Roman" w:hAnsi="Times New Roman" w:eastAsia="宋体" w:cs="Times New Roman"/>
      <w:kern w:val="2"/>
      <w:sz w:val="21"/>
      <w:lang w:val="en-US" w:eastAsia="zh-CN" w:bidi="ar-SA"/>
    </w:rPr>
  </w:style>
  <w:style w:type="paragraph" w:customStyle="1" w:styleId="103">
    <w:name w:val="修订2"/>
    <w:hidden/>
    <w:unhideWhenUsed/>
    <w:qFormat/>
    <w:uiPriority w:val="99"/>
    <w:rPr>
      <w:rFonts w:ascii="Times New Roman" w:hAnsi="Times New Roman" w:eastAsia="宋体" w:cs="Times New Roman"/>
      <w:kern w:val="2"/>
      <w:sz w:val="21"/>
      <w:lang w:val="en-US" w:eastAsia="zh-CN" w:bidi="ar-SA"/>
    </w:rPr>
  </w:style>
  <w:style w:type="character" w:customStyle="1" w:styleId="104">
    <w:name w:val="正文文本 2 Char"/>
    <w:basedOn w:val="23"/>
    <w:link w:val="16"/>
    <w:semiHidden/>
    <w:qFormat/>
    <w:uiPriority w:val="0"/>
    <w:rPr>
      <w:rFonts w:ascii="Times New Roman" w:hAnsi="Times New Roman"/>
      <w:kern w:val="2"/>
      <w:sz w:val="21"/>
    </w:rPr>
  </w:style>
  <w:style w:type="paragraph" w:customStyle="1" w:styleId="105">
    <w:name w:val="修订3"/>
    <w:hidden/>
    <w:unhideWhenUsed/>
    <w:qFormat/>
    <w:uiPriority w:val="99"/>
    <w:rPr>
      <w:rFonts w:ascii="Times New Roman" w:hAnsi="Times New Roman" w:eastAsia="宋体" w:cs="Times New Roman"/>
      <w:kern w:val="2"/>
      <w:sz w:val="21"/>
      <w:lang w:val="en-US" w:eastAsia="zh-CN" w:bidi="ar-SA"/>
    </w:rPr>
  </w:style>
  <w:style w:type="paragraph" w:customStyle="1" w:styleId="106">
    <w:name w:val="表格文字"/>
    <w:basedOn w:val="1"/>
    <w:qFormat/>
    <w:uiPriority w:val="0"/>
    <w:pPr>
      <w:adjustRightInd w:val="0"/>
      <w:snapToGrid w:val="0"/>
    </w:pPr>
    <w:rPr>
      <w:rFonts w:ascii="Calibri" w:hAnsi="Calibri" w:cs="宋体"/>
      <w:kern w:val="0"/>
      <w:sz w:val="20"/>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Sky123.Org</Company>
  <Pages>62</Pages>
  <Words>69</Words>
  <Characters>87</Characters>
  <Lines>197</Lines>
  <Paragraphs>55</Paragraphs>
  <TotalTime>34</TotalTime>
  <ScaleCrop>false</ScaleCrop>
  <LinksUpToDate>false</LinksUpToDate>
  <CharactersWithSpaces>90</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2023-09-12T06:05:00Z</dcterms:created>
  <dc:creator>User</dc:creator>
  <cp:lastModifiedBy>xxxx.</cp:lastModifiedBy>
  <cp:lastPrinted>2023-06-14T07:34:00Z</cp:lastPrinted>
  <dcterms:modified xsi:type="dcterms:W3CDTF">2025-04-29T02:02:00Z</dcterms:modified>
  <dc:title>政府采购货物和服务项目</dc:title>
  <cp:revision>127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ICV">
    <vt:lpwstr>7DC0C696DCA14B658F3FDB9B4C857726_13</vt:lpwstr>
  </property>
  <property fmtid="{D5CDD505-2E9C-101B-9397-08002B2CF9AE}" pid="4" name="KSOTemplateDocerSaveRecord">
    <vt:lpwstr>eyJoZGlkIjoiNDFlZWIzODNkZTk3MmFiYmM2ZGZlNjlmNzYwNmRkNTEiLCJ1c2VySWQiOiIzMjEzMDQ0ODcifQ==</vt:lpwstr>
  </property>
</Properties>
</file>