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6089B">
      <w:pPr>
        <w:spacing w:line="360" w:lineRule="auto"/>
        <w:rPr>
          <w:rFonts w:hint="eastAsia" w:ascii="宋体" w:hAnsi="宋体"/>
          <w:sz w:val="28"/>
          <w:szCs w:val="28"/>
          <w:highlight w:val="none"/>
        </w:rPr>
      </w:pPr>
      <w:r>
        <w:rPr>
          <w:rFonts w:hint="eastAsia" w:ascii="宋体" w:hAnsi="宋体" w:eastAsia="宋体" w:cs="宋体"/>
          <w:color w:val="auto"/>
          <w:highlight w:val="none"/>
          <w:bdr w:val="single" w:color="auto" w:sz="4" w:space="0"/>
          <w:shd w:val="pct10" w:color="auto" w:fill="FFFFFF"/>
        </w:rPr>
        <w:drawing>
          <wp:anchor distT="0" distB="0" distL="114300" distR="114300" simplePos="0" relativeHeight="251659264" behindDoc="0" locked="0" layoutInCell="1" allowOverlap="1">
            <wp:simplePos x="0" y="0"/>
            <wp:positionH relativeFrom="column">
              <wp:posOffset>-10160</wp:posOffset>
            </wp:positionH>
            <wp:positionV relativeFrom="paragraph">
              <wp:posOffset>-16510</wp:posOffset>
            </wp:positionV>
            <wp:extent cx="2240280" cy="478155"/>
            <wp:effectExtent l="0" t="0" r="7620" b="17145"/>
            <wp:wrapTopAndBottom/>
            <wp:docPr id="1" name="图片 2" descr="广联达logo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广联达logo02(1)"/>
                    <pic:cNvPicPr>
                      <a:picLocks noChangeAspect="1"/>
                    </pic:cNvPicPr>
                  </pic:nvPicPr>
                  <pic:blipFill>
                    <a:blip r:embed="rId6"/>
                    <a:stretch>
                      <a:fillRect/>
                    </a:stretch>
                  </pic:blipFill>
                  <pic:spPr>
                    <a:xfrm>
                      <a:off x="0" y="0"/>
                      <a:ext cx="2240280" cy="478155"/>
                    </a:xfrm>
                    <a:prstGeom prst="rect">
                      <a:avLst/>
                    </a:prstGeom>
                    <a:noFill/>
                    <a:ln>
                      <a:noFill/>
                    </a:ln>
                  </pic:spPr>
                </pic:pic>
              </a:graphicData>
            </a:graphic>
          </wp:anchor>
        </w:drawing>
      </w:r>
    </w:p>
    <w:p w14:paraId="050BDA9D">
      <w:pPr>
        <w:spacing w:line="360" w:lineRule="auto"/>
        <w:ind w:firstLine="5040" w:firstLineChars="1800"/>
        <w:rPr>
          <w:rFonts w:hint="eastAsia" w:ascii="宋体" w:hAnsi="宋体" w:eastAsia="宋体"/>
          <w:sz w:val="28"/>
          <w:szCs w:val="28"/>
          <w:highlight w:val="none"/>
          <w:lang w:eastAsia="zh-CN"/>
        </w:rPr>
      </w:pPr>
      <w:r>
        <w:rPr>
          <w:rFonts w:hint="eastAsia" w:ascii="宋体" w:hAnsi="宋体"/>
          <w:sz w:val="28"/>
          <w:szCs w:val="28"/>
          <w:highlight w:val="none"/>
        </w:rPr>
        <w:t>项目</w:t>
      </w:r>
      <w:r>
        <w:rPr>
          <w:rFonts w:ascii="宋体" w:hAnsi="宋体"/>
          <w:sz w:val="28"/>
          <w:szCs w:val="28"/>
          <w:highlight w:val="none"/>
        </w:rPr>
        <w:t>编号：</w:t>
      </w:r>
      <w:r>
        <w:rPr>
          <w:rFonts w:hint="eastAsia" w:ascii="宋体" w:hAnsi="宋体"/>
          <w:sz w:val="28"/>
          <w:szCs w:val="28"/>
          <w:highlight w:val="none"/>
          <w:lang w:eastAsia="zh-CN"/>
        </w:rPr>
        <w:t>GLD2025-011501Z</w:t>
      </w:r>
    </w:p>
    <w:p w14:paraId="66C6C964">
      <w:pPr>
        <w:spacing w:line="360" w:lineRule="auto"/>
        <w:jc w:val="center"/>
        <w:rPr>
          <w:rFonts w:ascii="宋体" w:hAnsi="宋体"/>
          <w:b/>
          <w:highlight w:val="none"/>
        </w:rPr>
      </w:pPr>
    </w:p>
    <w:p w14:paraId="1350EEA5">
      <w:pPr>
        <w:spacing w:line="360" w:lineRule="auto"/>
        <w:rPr>
          <w:rFonts w:ascii="宋体" w:hAnsi="宋体"/>
          <w:b/>
          <w:sz w:val="52"/>
          <w:szCs w:val="52"/>
          <w:highlight w:val="none"/>
        </w:rPr>
      </w:pPr>
    </w:p>
    <w:p w14:paraId="41E2C73D">
      <w:pPr>
        <w:pStyle w:val="50"/>
        <w:rPr>
          <w:highlight w:val="none"/>
        </w:rPr>
      </w:pPr>
    </w:p>
    <w:p w14:paraId="1C350D33">
      <w:pPr>
        <w:spacing w:line="360" w:lineRule="auto"/>
        <w:jc w:val="center"/>
        <w:rPr>
          <w:rFonts w:hint="eastAsia" w:ascii="宋体" w:hAnsi="宋体" w:eastAsia="宋体"/>
          <w:b/>
          <w:sz w:val="52"/>
          <w:szCs w:val="52"/>
          <w:highlight w:val="none"/>
          <w:lang w:eastAsia="zh-CN"/>
        </w:rPr>
      </w:pPr>
      <w:r>
        <w:rPr>
          <w:rFonts w:hint="eastAsia" w:ascii="楷体" w:hAnsi="楷体" w:eastAsia="楷体" w:cs="宋体"/>
          <w:b/>
          <w:bCs/>
          <w:sz w:val="52"/>
          <w:szCs w:val="52"/>
          <w:highlight w:val="none"/>
          <w:lang w:eastAsia="zh-CN"/>
        </w:rPr>
        <w:t>汾渭平原交通污染试点监测能力建设项目（二期）</w:t>
      </w:r>
    </w:p>
    <w:p w14:paraId="386B424D">
      <w:pPr>
        <w:widowControl/>
        <w:jc w:val="both"/>
        <w:rPr>
          <w:rFonts w:ascii="宋体" w:hAnsi="宋体"/>
          <w:b/>
          <w:sz w:val="72"/>
          <w:szCs w:val="72"/>
          <w:highlight w:val="none"/>
        </w:rPr>
      </w:pPr>
    </w:p>
    <w:p w14:paraId="4371D635">
      <w:pPr>
        <w:pStyle w:val="50"/>
        <w:rPr>
          <w:highlight w:val="none"/>
        </w:rPr>
      </w:pPr>
    </w:p>
    <w:p w14:paraId="6C6884C1">
      <w:pPr>
        <w:widowControl/>
        <w:jc w:val="center"/>
        <w:rPr>
          <w:rFonts w:hint="eastAsia" w:ascii="楷体" w:hAnsi="楷体" w:eastAsia="楷体"/>
          <w:b/>
          <w:sz w:val="72"/>
          <w:szCs w:val="72"/>
          <w:highlight w:val="none"/>
          <w14:shadow w14:blurRad="50800" w14:dist="38100" w14:dir="2700000" w14:sx="100000" w14:sy="100000" w14:kx="0" w14:ky="0" w14:algn="tl">
            <w14:srgbClr w14:val="000000">
              <w14:alpha w14:val="60000"/>
            </w14:srgbClr>
          </w14:shadow>
        </w:rPr>
      </w:pPr>
      <w:r>
        <w:rPr>
          <w:rFonts w:hint="eastAsia" w:ascii="楷体" w:hAnsi="楷体" w:eastAsia="楷体" w:cs="华文行楷"/>
          <w:b/>
          <w:sz w:val="72"/>
          <w:szCs w:val="72"/>
          <w:highlight w:val="none"/>
          <w14:shadow w14:blurRad="50800" w14:dist="38100" w14:dir="2700000" w14:sx="100000" w14:sy="100000" w14:kx="0" w14:ky="0" w14:algn="tl">
            <w14:srgbClr w14:val="000000">
              <w14:alpha w14:val="60000"/>
            </w14:srgbClr>
          </w14:shadow>
        </w:rPr>
        <w:t>招标文件</w:t>
      </w:r>
    </w:p>
    <w:p w14:paraId="79BB31AC">
      <w:pPr>
        <w:widowControl/>
        <w:jc w:val="center"/>
        <w:rPr>
          <w:rFonts w:ascii="楷体_GB2312" w:eastAsia="楷体_GB2312"/>
          <w:sz w:val="72"/>
          <w:szCs w:val="72"/>
          <w:highlight w:val="none"/>
        </w:rPr>
      </w:pPr>
    </w:p>
    <w:p w14:paraId="4F504092">
      <w:pPr>
        <w:widowControl/>
        <w:jc w:val="center"/>
        <w:rPr>
          <w:rFonts w:ascii="楷体_GB2312" w:eastAsia="楷体_GB2312"/>
          <w:sz w:val="84"/>
          <w:highlight w:val="none"/>
        </w:rPr>
      </w:pPr>
    </w:p>
    <w:p w14:paraId="6086DADB">
      <w:pPr>
        <w:pStyle w:val="50"/>
        <w:rPr>
          <w:rFonts w:hint="eastAsia" w:ascii="楷体_GB2312" w:eastAsia="楷体_GB2312"/>
          <w:sz w:val="84"/>
          <w:highlight w:val="none"/>
        </w:rPr>
      </w:pPr>
    </w:p>
    <w:p w14:paraId="08F77284">
      <w:pPr>
        <w:rPr>
          <w:rFonts w:hint="eastAsia"/>
          <w:highlight w:val="none"/>
        </w:rPr>
      </w:pPr>
    </w:p>
    <w:p w14:paraId="73382B5B">
      <w:pPr>
        <w:tabs>
          <w:tab w:val="left" w:pos="5145"/>
        </w:tabs>
        <w:spacing w:line="360" w:lineRule="auto"/>
        <w:rPr>
          <w:rFonts w:ascii="宋体" w:hAnsi="宋体"/>
          <w:sz w:val="32"/>
          <w:highlight w:val="none"/>
        </w:rPr>
      </w:pPr>
    </w:p>
    <w:p w14:paraId="1C4392EF">
      <w:pPr>
        <w:tabs>
          <w:tab w:val="left" w:pos="5145"/>
        </w:tabs>
        <w:spacing w:line="360" w:lineRule="auto"/>
        <w:ind w:firstLine="1280" w:firstLineChars="400"/>
        <w:rPr>
          <w:rFonts w:hint="eastAsia" w:ascii="宋体" w:hAnsi="宋体"/>
          <w:sz w:val="32"/>
          <w:highlight w:val="none"/>
          <w:lang w:eastAsia="zh-CN"/>
        </w:rPr>
      </w:pPr>
      <w:r>
        <w:rPr>
          <w:rFonts w:ascii="宋体" w:hAnsi="宋体"/>
          <w:sz w:val="32"/>
          <w:highlight w:val="none"/>
        </w:rPr>
        <w:t xml:space="preserve">采 </w:t>
      </w:r>
      <w:r>
        <w:rPr>
          <w:rFonts w:hint="eastAsia" w:ascii="宋体" w:hAnsi="宋体"/>
          <w:sz w:val="32"/>
          <w:highlight w:val="none"/>
        </w:rPr>
        <w:t xml:space="preserve">  </w:t>
      </w:r>
      <w:r>
        <w:rPr>
          <w:rFonts w:ascii="宋体" w:hAnsi="宋体"/>
          <w:sz w:val="32"/>
          <w:highlight w:val="none"/>
        </w:rPr>
        <w:t>购</w:t>
      </w:r>
      <w:r>
        <w:rPr>
          <w:rFonts w:hint="eastAsia" w:ascii="宋体" w:hAnsi="宋体"/>
          <w:sz w:val="32"/>
          <w:highlight w:val="none"/>
        </w:rPr>
        <w:t xml:space="preserve">  </w:t>
      </w:r>
      <w:r>
        <w:rPr>
          <w:rFonts w:ascii="宋体" w:hAnsi="宋体"/>
          <w:sz w:val="32"/>
          <w:highlight w:val="none"/>
        </w:rPr>
        <w:t xml:space="preserve"> 人：</w:t>
      </w:r>
      <w:r>
        <w:rPr>
          <w:rFonts w:hint="eastAsia" w:ascii="宋体" w:hAnsi="宋体"/>
          <w:sz w:val="32"/>
          <w:highlight w:val="none"/>
          <w:lang w:eastAsia="zh-CN"/>
        </w:rPr>
        <w:t>陕西省西咸新区生态环境局</w:t>
      </w:r>
    </w:p>
    <w:p w14:paraId="3220E7A1">
      <w:pPr>
        <w:tabs>
          <w:tab w:val="left" w:pos="5145"/>
        </w:tabs>
        <w:spacing w:line="360" w:lineRule="auto"/>
        <w:ind w:firstLine="1280" w:firstLineChars="400"/>
        <w:rPr>
          <w:rFonts w:hint="eastAsia" w:ascii="宋体" w:hAnsi="宋体" w:eastAsia="宋体"/>
          <w:sz w:val="32"/>
          <w:highlight w:val="none"/>
          <w:lang w:eastAsia="zh-CN"/>
        </w:rPr>
      </w:pPr>
      <w:r>
        <w:rPr>
          <w:rFonts w:hint="eastAsia" w:ascii="宋体" w:hAnsi="宋体"/>
          <w:sz w:val="32"/>
          <w:highlight w:val="none"/>
        </w:rPr>
        <w:t>采购代理机构</w:t>
      </w:r>
      <w:r>
        <w:rPr>
          <w:rFonts w:ascii="宋体" w:hAnsi="宋体"/>
          <w:sz w:val="32"/>
          <w:highlight w:val="none"/>
        </w:rPr>
        <w:t>：</w:t>
      </w:r>
      <w:r>
        <w:rPr>
          <w:rFonts w:hint="eastAsia" w:ascii="宋体" w:hAnsi="宋体"/>
          <w:sz w:val="32"/>
          <w:highlight w:val="none"/>
          <w:lang w:eastAsia="zh-CN"/>
        </w:rPr>
        <w:t>陕西广联达招标有限公司</w:t>
      </w:r>
    </w:p>
    <w:p w14:paraId="48495156">
      <w:pPr>
        <w:tabs>
          <w:tab w:val="left" w:pos="5145"/>
        </w:tabs>
        <w:spacing w:line="360" w:lineRule="auto"/>
        <w:ind w:firstLine="1280" w:firstLineChars="400"/>
        <w:rPr>
          <w:rFonts w:ascii="宋体" w:hAnsi="宋体"/>
          <w:b/>
          <w:bCs/>
          <w:sz w:val="28"/>
          <w:szCs w:val="28"/>
          <w:highlight w:val="none"/>
          <w:shd w:val="clear" w:color="auto" w:fill="FFFFFF"/>
        </w:rPr>
      </w:pPr>
      <w:r>
        <w:rPr>
          <w:rFonts w:ascii="宋体" w:hAnsi="宋体"/>
          <w:sz w:val="32"/>
          <w:highlight w:val="none"/>
        </w:rPr>
        <w:t xml:space="preserve">日   </w:t>
      </w:r>
      <w:r>
        <w:rPr>
          <w:rFonts w:hint="eastAsia" w:ascii="宋体" w:hAnsi="宋体"/>
          <w:sz w:val="32"/>
          <w:highlight w:val="none"/>
        </w:rPr>
        <w:t xml:space="preserve">    </w:t>
      </w:r>
      <w:r>
        <w:rPr>
          <w:rFonts w:ascii="宋体" w:hAnsi="宋体"/>
          <w:sz w:val="32"/>
          <w:highlight w:val="none"/>
        </w:rPr>
        <w:t xml:space="preserve"> 期：二〇二</w:t>
      </w:r>
      <w:r>
        <w:rPr>
          <w:rFonts w:hint="eastAsia" w:ascii="宋体" w:hAnsi="宋体"/>
          <w:sz w:val="32"/>
          <w:highlight w:val="none"/>
          <w:lang w:val="en-US" w:eastAsia="zh-CN"/>
        </w:rPr>
        <w:t>五</w:t>
      </w:r>
      <w:r>
        <w:rPr>
          <w:rFonts w:ascii="宋体" w:hAnsi="宋体"/>
          <w:sz w:val="32"/>
          <w:highlight w:val="none"/>
        </w:rPr>
        <w:t>年</w:t>
      </w:r>
      <w:r>
        <w:rPr>
          <w:rFonts w:hint="eastAsia" w:ascii="宋体" w:hAnsi="宋体"/>
          <w:sz w:val="32"/>
          <w:highlight w:val="none"/>
          <w:lang w:val="en-US" w:eastAsia="zh-CN"/>
        </w:rPr>
        <w:t>四</w:t>
      </w:r>
      <w:r>
        <w:rPr>
          <w:rFonts w:ascii="宋体" w:hAnsi="宋体"/>
          <w:sz w:val="32"/>
          <w:highlight w:val="none"/>
        </w:rPr>
        <w:t>月</w:t>
      </w:r>
    </w:p>
    <w:p w14:paraId="56BFACF4">
      <w:pPr>
        <w:widowControl/>
        <w:jc w:val="left"/>
        <w:rPr>
          <w:rFonts w:ascii="宋体" w:hAnsi="宋体"/>
          <w:b/>
          <w:bCs/>
          <w:sz w:val="28"/>
          <w:szCs w:val="28"/>
          <w:highlight w:val="none"/>
          <w:shd w:val="clear" w:color="auto" w:fill="FFFFFF"/>
        </w:rPr>
      </w:pPr>
      <w:r>
        <w:rPr>
          <w:rFonts w:ascii="宋体" w:hAnsi="宋体"/>
          <w:b/>
          <w:bCs/>
          <w:sz w:val="28"/>
          <w:szCs w:val="28"/>
          <w:highlight w:val="none"/>
          <w:shd w:val="clear" w:color="auto" w:fill="FFFFFF"/>
        </w:rPr>
        <w:br w:type="page"/>
      </w:r>
    </w:p>
    <w:p w14:paraId="51003F66">
      <w:pPr>
        <w:spacing w:before="240" w:beforeLines="100" w:after="240" w:afterLines="100" w:line="480" w:lineRule="auto"/>
        <w:ind w:left="-2" w:leftChars="-1"/>
        <w:jc w:val="center"/>
        <w:rPr>
          <w:rFonts w:ascii="宋体" w:hAnsi="宋体"/>
          <w:b/>
          <w:bCs/>
          <w:sz w:val="32"/>
          <w:szCs w:val="32"/>
          <w:highlight w:val="none"/>
          <w:shd w:val="clear" w:color="auto" w:fill="FFFFFF"/>
        </w:rPr>
      </w:pPr>
      <w:r>
        <w:rPr>
          <w:rFonts w:hint="eastAsia" w:ascii="宋体" w:hAnsi="宋体"/>
          <w:b/>
          <w:bCs/>
          <w:sz w:val="32"/>
          <w:szCs w:val="32"/>
          <w:highlight w:val="none"/>
          <w:shd w:val="clear" w:color="auto" w:fill="FFFFFF"/>
        </w:rPr>
        <w:t>目  录</w:t>
      </w:r>
    </w:p>
    <w:p w14:paraId="07594775">
      <w:pPr>
        <w:pStyle w:val="28"/>
        <w:tabs>
          <w:tab w:val="right" w:leader="dot" w:pos="8891"/>
        </w:tabs>
        <w:spacing w:line="360" w:lineRule="auto"/>
        <w:ind w:left="426" w:hanging="400"/>
        <w:rPr>
          <w:rFonts w:hint="eastAsia" w:ascii="Calibri" w:hAnsi="Calibri"/>
          <w:sz w:val="32"/>
          <w:szCs w:val="32"/>
          <w:highlight w:val="none"/>
        </w:rPr>
      </w:pPr>
      <w:r>
        <w:rPr>
          <w:highlight w:val="none"/>
        </w:rPr>
        <w:fldChar w:fldCharType="begin"/>
      </w:r>
      <w:r>
        <w:rPr>
          <w:highlight w:val="none"/>
        </w:rPr>
        <w:instrText xml:space="preserve"> TOC \o "1-3" \h \z \u </w:instrText>
      </w:r>
      <w:r>
        <w:rPr>
          <w:highlight w:val="none"/>
        </w:rPr>
        <w:fldChar w:fldCharType="separate"/>
      </w:r>
      <w:r>
        <w:rPr>
          <w:rStyle w:val="47"/>
          <w:sz w:val="32"/>
          <w:szCs w:val="32"/>
          <w:highlight w:val="none"/>
        </w:rPr>
        <w:fldChar w:fldCharType="begin"/>
      </w:r>
      <w:r>
        <w:rPr>
          <w:rStyle w:val="47"/>
          <w:sz w:val="32"/>
          <w:szCs w:val="32"/>
          <w:highlight w:val="none"/>
        </w:rPr>
        <w:instrText xml:space="preserve"> </w:instrText>
      </w:r>
      <w:r>
        <w:rPr>
          <w:sz w:val="32"/>
          <w:szCs w:val="32"/>
          <w:highlight w:val="none"/>
        </w:rPr>
        <w:instrText xml:space="preserve">HYPERLINK \l "_Toc53083675"</w:instrText>
      </w:r>
      <w:r>
        <w:rPr>
          <w:rStyle w:val="47"/>
          <w:sz w:val="32"/>
          <w:szCs w:val="32"/>
          <w:highlight w:val="none"/>
        </w:rPr>
        <w:instrText xml:space="preserve"> </w:instrText>
      </w:r>
      <w:r>
        <w:rPr>
          <w:rStyle w:val="47"/>
          <w:sz w:val="32"/>
          <w:szCs w:val="32"/>
          <w:highlight w:val="none"/>
        </w:rPr>
        <w:fldChar w:fldCharType="separate"/>
      </w:r>
      <w:r>
        <w:rPr>
          <w:rStyle w:val="47"/>
          <w:rFonts w:hint="eastAsia"/>
          <w:sz w:val="32"/>
          <w:szCs w:val="32"/>
          <w:highlight w:val="none"/>
          <w:shd w:val="clear" w:color="auto" w:fill="FFFFFF"/>
        </w:rPr>
        <w:t>第一章</w:t>
      </w:r>
      <w:r>
        <w:rPr>
          <w:rStyle w:val="47"/>
          <w:sz w:val="32"/>
          <w:szCs w:val="32"/>
          <w:highlight w:val="none"/>
          <w:shd w:val="clear" w:color="auto" w:fill="FFFFFF"/>
        </w:rPr>
        <w:t xml:space="preserve">  </w:t>
      </w:r>
      <w:r>
        <w:rPr>
          <w:rStyle w:val="47"/>
          <w:rFonts w:hint="eastAsia"/>
          <w:sz w:val="32"/>
          <w:szCs w:val="32"/>
          <w:highlight w:val="none"/>
          <w:shd w:val="clear" w:color="auto" w:fill="FFFFFF"/>
        </w:rPr>
        <w:t>招标公告</w:t>
      </w:r>
      <w:r>
        <w:rPr>
          <w:sz w:val="32"/>
          <w:szCs w:val="32"/>
          <w:highlight w:val="none"/>
        </w:rPr>
        <w:tab/>
      </w:r>
      <w:r>
        <w:rPr>
          <w:sz w:val="32"/>
          <w:szCs w:val="32"/>
          <w:highlight w:val="none"/>
        </w:rPr>
        <w:fldChar w:fldCharType="begin"/>
      </w:r>
      <w:r>
        <w:rPr>
          <w:sz w:val="32"/>
          <w:szCs w:val="32"/>
          <w:highlight w:val="none"/>
        </w:rPr>
        <w:instrText xml:space="preserve"> PAGEREF _Toc53083675 \h </w:instrText>
      </w:r>
      <w:r>
        <w:rPr>
          <w:sz w:val="32"/>
          <w:szCs w:val="32"/>
          <w:highlight w:val="none"/>
        </w:rPr>
        <w:fldChar w:fldCharType="separate"/>
      </w:r>
      <w:r>
        <w:rPr>
          <w:sz w:val="32"/>
          <w:szCs w:val="32"/>
          <w:highlight w:val="none"/>
        </w:rPr>
        <w:t>2</w:t>
      </w:r>
      <w:r>
        <w:rPr>
          <w:sz w:val="32"/>
          <w:szCs w:val="32"/>
          <w:highlight w:val="none"/>
        </w:rPr>
        <w:fldChar w:fldCharType="end"/>
      </w:r>
      <w:r>
        <w:rPr>
          <w:rStyle w:val="47"/>
          <w:sz w:val="32"/>
          <w:szCs w:val="32"/>
          <w:highlight w:val="none"/>
        </w:rPr>
        <w:fldChar w:fldCharType="end"/>
      </w:r>
    </w:p>
    <w:p w14:paraId="70275B22">
      <w:pPr>
        <w:pStyle w:val="28"/>
        <w:tabs>
          <w:tab w:val="right" w:leader="dot" w:pos="8891"/>
        </w:tabs>
        <w:spacing w:line="360" w:lineRule="auto"/>
        <w:ind w:left="426" w:hanging="400"/>
        <w:rPr>
          <w:rFonts w:hint="eastAsia" w:ascii="Calibri" w:hAnsi="Calibri"/>
          <w:sz w:val="32"/>
          <w:szCs w:val="32"/>
          <w:highlight w:val="none"/>
        </w:rPr>
      </w:pPr>
      <w:r>
        <w:rPr>
          <w:rStyle w:val="47"/>
          <w:sz w:val="32"/>
          <w:szCs w:val="32"/>
          <w:highlight w:val="none"/>
        </w:rPr>
        <w:fldChar w:fldCharType="begin"/>
      </w:r>
      <w:r>
        <w:rPr>
          <w:rStyle w:val="47"/>
          <w:sz w:val="32"/>
          <w:szCs w:val="32"/>
          <w:highlight w:val="none"/>
        </w:rPr>
        <w:instrText xml:space="preserve"> </w:instrText>
      </w:r>
      <w:r>
        <w:rPr>
          <w:sz w:val="32"/>
          <w:szCs w:val="32"/>
          <w:highlight w:val="none"/>
        </w:rPr>
        <w:instrText xml:space="preserve">HYPERLINK \l "_Toc53083676"</w:instrText>
      </w:r>
      <w:r>
        <w:rPr>
          <w:rStyle w:val="47"/>
          <w:sz w:val="32"/>
          <w:szCs w:val="32"/>
          <w:highlight w:val="none"/>
        </w:rPr>
        <w:instrText xml:space="preserve"> </w:instrText>
      </w:r>
      <w:r>
        <w:rPr>
          <w:rStyle w:val="47"/>
          <w:sz w:val="32"/>
          <w:szCs w:val="32"/>
          <w:highlight w:val="none"/>
        </w:rPr>
        <w:fldChar w:fldCharType="separate"/>
      </w:r>
      <w:r>
        <w:rPr>
          <w:rStyle w:val="47"/>
          <w:rFonts w:hint="eastAsia"/>
          <w:sz w:val="32"/>
          <w:szCs w:val="32"/>
          <w:highlight w:val="none"/>
          <w:shd w:val="clear" w:color="auto" w:fill="FFFFFF"/>
        </w:rPr>
        <w:t>第二章</w:t>
      </w:r>
      <w:r>
        <w:rPr>
          <w:rStyle w:val="47"/>
          <w:sz w:val="32"/>
          <w:szCs w:val="32"/>
          <w:highlight w:val="none"/>
          <w:shd w:val="clear" w:color="auto" w:fill="FFFFFF"/>
        </w:rPr>
        <w:t xml:space="preserve">  </w:t>
      </w:r>
      <w:r>
        <w:rPr>
          <w:rStyle w:val="47"/>
          <w:rFonts w:hint="eastAsia"/>
          <w:sz w:val="32"/>
          <w:szCs w:val="32"/>
          <w:highlight w:val="none"/>
          <w:shd w:val="clear" w:color="auto" w:fill="FFFFFF"/>
        </w:rPr>
        <w:t>供应商须知及前附表</w:t>
      </w:r>
      <w:r>
        <w:rPr>
          <w:sz w:val="32"/>
          <w:szCs w:val="32"/>
          <w:highlight w:val="none"/>
        </w:rPr>
        <w:tab/>
      </w:r>
      <w:r>
        <w:rPr>
          <w:sz w:val="32"/>
          <w:szCs w:val="32"/>
          <w:highlight w:val="none"/>
        </w:rPr>
        <w:fldChar w:fldCharType="begin"/>
      </w:r>
      <w:r>
        <w:rPr>
          <w:sz w:val="32"/>
          <w:szCs w:val="32"/>
          <w:highlight w:val="none"/>
        </w:rPr>
        <w:instrText xml:space="preserve"> PAGEREF _Toc53083676 \h </w:instrText>
      </w:r>
      <w:r>
        <w:rPr>
          <w:sz w:val="32"/>
          <w:szCs w:val="32"/>
          <w:highlight w:val="none"/>
        </w:rPr>
        <w:fldChar w:fldCharType="separate"/>
      </w:r>
      <w:r>
        <w:rPr>
          <w:sz w:val="32"/>
          <w:szCs w:val="32"/>
          <w:highlight w:val="none"/>
        </w:rPr>
        <w:t>6</w:t>
      </w:r>
      <w:r>
        <w:rPr>
          <w:sz w:val="32"/>
          <w:szCs w:val="32"/>
          <w:highlight w:val="none"/>
        </w:rPr>
        <w:fldChar w:fldCharType="end"/>
      </w:r>
      <w:r>
        <w:rPr>
          <w:rStyle w:val="47"/>
          <w:sz w:val="32"/>
          <w:szCs w:val="32"/>
          <w:highlight w:val="none"/>
        </w:rPr>
        <w:fldChar w:fldCharType="end"/>
      </w:r>
    </w:p>
    <w:p w14:paraId="7FC5D4CB">
      <w:pPr>
        <w:pStyle w:val="28"/>
        <w:tabs>
          <w:tab w:val="right" w:leader="dot" w:pos="8891"/>
        </w:tabs>
        <w:spacing w:line="360" w:lineRule="auto"/>
        <w:ind w:left="426" w:hanging="400"/>
        <w:rPr>
          <w:rFonts w:hint="eastAsia" w:ascii="Calibri" w:hAnsi="Calibri"/>
          <w:sz w:val="32"/>
          <w:szCs w:val="32"/>
          <w:highlight w:val="none"/>
        </w:rPr>
      </w:pPr>
      <w:r>
        <w:rPr>
          <w:rStyle w:val="47"/>
          <w:sz w:val="32"/>
          <w:szCs w:val="32"/>
          <w:highlight w:val="none"/>
        </w:rPr>
        <w:fldChar w:fldCharType="begin"/>
      </w:r>
      <w:r>
        <w:rPr>
          <w:rStyle w:val="47"/>
          <w:sz w:val="32"/>
          <w:szCs w:val="32"/>
          <w:highlight w:val="none"/>
        </w:rPr>
        <w:instrText xml:space="preserve"> </w:instrText>
      </w:r>
      <w:r>
        <w:rPr>
          <w:sz w:val="32"/>
          <w:szCs w:val="32"/>
          <w:highlight w:val="none"/>
        </w:rPr>
        <w:instrText xml:space="preserve">HYPERLINK \l "_Toc53083684"</w:instrText>
      </w:r>
      <w:r>
        <w:rPr>
          <w:rStyle w:val="47"/>
          <w:sz w:val="32"/>
          <w:szCs w:val="32"/>
          <w:highlight w:val="none"/>
        </w:rPr>
        <w:instrText xml:space="preserve"> </w:instrText>
      </w:r>
      <w:r>
        <w:rPr>
          <w:rStyle w:val="47"/>
          <w:sz w:val="32"/>
          <w:szCs w:val="32"/>
          <w:highlight w:val="none"/>
        </w:rPr>
        <w:fldChar w:fldCharType="separate"/>
      </w:r>
      <w:r>
        <w:rPr>
          <w:rStyle w:val="47"/>
          <w:rFonts w:hint="eastAsia"/>
          <w:sz w:val="32"/>
          <w:szCs w:val="32"/>
          <w:highlight w:val="none"/>
          <w:shd w:val="clear" w:color="auto" w:fill="FFFFFF"/>
        </w:rPr>
        <w:t>第三章</w:t>
      </w:r>
      <w:r>
        <w:rPr>
          <w:rStyle w:val="47"/>
          <w:sz w:val="32"/>
          <w:szCs w:val="32"/>
          <w:highlight w:val="none"/>
          <w:shd w:val="clear" w:color="auto" w:fill="FFFFFF"/>
        </w:rPr>
        <w:t xml:space="preserve">  </w:t>
      </w:r>
      <w:r>
        <w:rPr>
          <w:rStyle w:val="47"/>
          <w:rFonts w:hint="eastAsia"/>
          <w:sz w:val="32"/>
          <w:szCs w:val="32"/>
          <w:highlight w:val="none"/>
          <w:shd w:val="clear" w:color="auto" w:fill="FFFFFF"/>
        </w:rPr>
        <w:t>商务及合同主要条款</w:t>
      </w:r>
      <w:r>
        <w:rPr>
          <w:sz w:val="32"/>
          <w:szCs w:val="32"/>
          <w:highlight w:val="none"/>
        </w:rPr>
        <w:tab/>
      </w:r>
      <w:r>
        <w:rPr>
          <w:sz w:val="32"/>
          <w:szCs w:val="32"/>
          <w:highlight w:val="none"/>
        </w:rPr>
        <w:fldChar w:fldCharType="begin"/>
      </w:r>
      <w:r>
        <w:rPr>
          <w:sz w:val="32"/>
          <w:szCs w:val="32"/>
          <w:highlight w:val="none"/>
        </w:rPr>
        <w:instrText xml:space="preserve"> PAGEREF _Toc53083684 \h </w:instrText>
      </w:r>
      <w:r>
        <w:rPr>
          <w:sz w:val="32"/>
          <w:szCs w:val="32"/>
          <w:highlight w:val="none"/>
        </w:rPr>
        <w:fldChar w:fldCharType="separate"/>
      </w:r>
      <w:r>
        <w:rPr>
          <w:sz w:val="32"/>
          <w:szCs w:val="32"/>
          <w:highlight w:val="none"/>
        </w:rPr>
        <w:t>27</w:t>
      </w:r>
      <w:r>
        <w:rPr>
          <w:sz w:val="32"/>
          <w:szCs w:val="32"/>
          <w:highlight w:val="none"/>
        </w:rPr>
        <w:fldChar w:fldCharType="end"/>
      </w:r>
      <w:r>
        <w:rPr>
          <w:rStyle w:val="47"/>
          <w:sz w:val="32"/>
          <w:szCs w:val="32"/>
          <w:highlight w:val="none"/>
        </w:rPr>
        <w:fldChar w:fldCharType="end"/>
      </w:r>
    </w:p>
    <w:p w14:paraId="6850E66B">
      <w:pPr>
        <w:pStyle w:val="28"/>
        <w:tabs>
          <w:tab w:val="right" w:leader="dot" w:pos="8891"/>
        </w:tabs>
        <w:spacing w:line="360" w:lineRule="auto"/>
        <w:ind w:left="426" w:hanging="400"/>
        <w:rPr>
          <w:rFonts w:hint="eastAsia" w:ascii="Calibri" w:hAnsi="Calibri"/>
          <w:sz w:val="32"/>
          <w:szCs w:val="32"/>
          <w:highlight w:val="none"/>
        </w:rPr>
      </w:pPr>
      <w:r>
        <w:rPr>
          <w:rStyle w:val="47"/>
          <w:sz w:val="32"/>
          <w:szCs w:val="32"/>
          <w:highlight w:val="none"/>
        </w:rPr>
        <w:fldChar w:fldCharType="begin"/>
      </w:r>
      <w:r>
        <w:rPr>
          <w:rStyle w:val="47"/>
          <w:sz w:val="32"/>
          <w:szCs w:val="32"/>
          <w:highlight w:val="none"/>
        </w:rPr>
        <w:instrText xml:space="preserve"> </w:instrText>
      </w:r>
      <w:r>
        <w:rPr>
          <w:sz w:val="32"/>
          <w:szCs w:val="32"/>
          <w:highlight w:val="none"/>
        </w:rPr>
        <w:instrText xml:space="preserve">HYPERLINK \l "_Toc53083686"</w:instrText>
      </w:r>
      <w:r>
        <w:rPr>
          <w:rStyle w:val="47"/>
          <w:sz w:val="32"/>
          <w:szCs w:val="32"/>
          <w:highlight w:val="none"/>
        </w:rPr>
        <w:instrText xml:space="preserve"> </w:instrText>
      </w:r>
      <w:r>
        <w:rPr>
          <w:rStyle w:val="47"/>
          <w:sz w:val="32"/>
          <w:szCs w:val="32"/>
          <w:highlight w:val="none"/>
        </w:rPr>
        <w:fldChar w:fldCharType="separate"/>
      </w:r>
      <w:r>
        <w:rPr>
          <w:rStyle w:val="47"/>
          <w:rFonts w:hint="eastAsia"/>
          <w:sz w:val="32"/>
          <w:szCs w:val="32"/>
          <w:highlight w:val="none"/>
          <w:shd w:val="clear" w:color="auto" w:fill="FFFFFF"/>
        </w:rPr>
        <w:t>第四章</w:t>
      </w:r>
      <w:r>
        <w:rPr>
          <w:rStyle w:val="47"/>
          <w:sz w:val="32"/>
          <w:szCs w:val="32"/>
          <w:highlight w:val="none"/>
          <w:shd w:val="clear" w:color="auto" w:fill="FFFFFF"/>
        </w:rPr>
        <w:t xml:space="preserve">  </w:t>
      </w:r>
      <w:r>
        <w:rPr>
          <w:rStyle w:val="47"/>
          <w:rFonts w:hint="eastAsia"/>
          <w:sz w:val="32"/>
          <w:szCs w:val="32"/>
          <w:highlight w:val="none"/>
          <w:shd w:val="clear" w:color="auto" w:fill="FFFFFF"/>
        </w:rPr>
        <w:t>投标文件格式</w:t>
      </w:r>
      <w:r>
        <w:rPr>
          <w:sz w:val="32"/>
          <w:szCs w:val="32"/>
          <w:highlight w:val="none"/>
        </w:rPr>
        <w:tab/>
      </w:r>
      <w:r>
        <w:rPr>
          <w:sz w:val="32"/>
          <w:szCs w:val="32"/>
          <w:highlight w:val="none"/>
        </w:rPr>
        <w:fldChar w:fldCharType="begin"/>
      </w:r>
      <w:r>
        <w:rPr>
          <w:sz w:val="32"/>
          <w:szCs w:val="32"/>
          <w:highlight w:val="none"/>
        </w:rPr>
        <w:instrText xml:space="preserve"> PAGEREF _Toc53083686 \h </w:instrText>
      </w:r>
      <w:r>
        <w:rPr>
          <w:sz w:val="32"/>
          <w:szCs w:val="32"/>
          <w:highlight w:val="none"/>
        </w:rPr>
        <w:fldChar w:fldCharType="separate"/>
      </w:r>
      <w:r>
        <w:rPr>
          <w:sz w:val="32"/>
          <w:szCs w:val="32"/>
          <w:highlight w:val="none"/>
        </w:rPr>
        <w:t>28</w:t>
      </w:r>
      <w:r>
        <w:rPr>
          <w:sz w:val="32"/>
          <w:szCs w:val="32"/>
          <w:highlight w:val="none"/>
        </w:rPr>
        <w:fldChar w:fldCharType="end"/>
      </w:r>
      <w:r>
        <w:rPr>
          <w:rStyle w:val="47"/>
          <w:sz w:val="32"/>
          <w:szCs w:val="32"/>
          <w:highlight w:val="none"/>
        </w:rPr>
        <w:fldChar w:fldCharType="end"/>
      </w:r>
    </w:p>
    <w:p w14:paraId="467D54D1">
      <w:pPr>
        <w:pStyle w:val="28"/>
        <w:tabs>
          <w:tab w:val="right" w:leader="dot" w:pos="8891"/>
        </w:tabs>
        <w:spacing w:line="360" w:lineRule="auto"/>
        <w:ind w:left="426" w:hanging="400"/>
        <w:rPr>
          <w:rFonts w:hint="eastAsia" w:ascii="Calibri" w:hAnsi="Calibri"/>
          <w:sz w:val="32"/>
          <w:szCs w:val="32"/>
          <w:highlight w:val="none"/>
        </w:rPr>
      </w:pPr>
      <w:r>
        <w:rPr>
          <w:rStyle w:val="47"/>
          <w:sz w:val="32"/>
          <w:szCs w:val="32"/>
          <w:highlight w:val="none"/>
        </w:rPr>
        <w:fldChar w:fldCharType="begin"/>
      </w:r>
      <w:r>
        <w:rPr>
          <w:rStyle w:val="47"/>
          <w:sz w:val="32"/>
          <w:szCs w:val="32"/>
          <w:highlight w:val="none"/>
        </w:rPr>
        <w:instrText xml:space="preserve"> </w:instrText>
      </w:r>
      <w:r>
        <w:rPr>
          <w:sz w:val="32"/>
          <w:szCs w:val="32"/>
          <w:highlight w:val="none"/>
        </w:rPr>
        <w:instrText xml:space="preserve">HYPERLINK \l "_Toc53083687"</w:instrText>
      </w:r>
      <w:r>
        <w:rPr>
          <w:rStyle w:val="47"/>
          <w:sz w:val="32"/>
          <w:szCs w:val="32"/>
          <w:highlight w:val="none"/>
        </w:rPr>
        <w:instrText xml:space="preserve"> </w:instrText>
      </w:r>
      <w:r>
        <w:rPr>
          <w:rStyle w:val="47"/>
          <w:sz w:val="32"/>
          <w:szCs w:val="32"/>
          <w:highlight w:val="none"/>
        </w:rPr>
        <w:fldChar w:fldCharType="separate"/>
      </w:r>
      <w:r>
        <w:rPr>
          <w:rStyle w:val="47"/>
          <w:rFonts w:hint="eastAsia"/>
          <w:sz w:val="32"/>
          <w:szCs w:val="32"/>
          <w:highlight w:val="none"/>
          <w:shd w:val="clear" w:color="auto" w:fill="FFFFFF"/>
        </w:rPr>
        <w:t>第五章</w:t>
      </w:r>
      <w:r>
        <w:rPr>
          <w:rStyle w:val="47"/>
          <w:sz w:val="32"/>
          <w:szCs w:val="32"/>
          <w:highlight w:val="none"/>
          <w:shd w:val="clear" w:color="auto" w:fill="FFFFFF"/>
        </w:rPr>
        <w:t xml:space="preserve">  </w:t>
      </w:r>
      <w:r>
        <w:rPr>
          <w:rStyle w:val="47"/>
          <w:rFonts w:hint="eastAsia"/>
          <w:sz w:val="32"/>
          <w:szCs w:val="32"/>
          <w:highlight w:val="none"/>
          <w:shd w:val="clear" w:color="auto" w:fill="FFFFFF"/>
        </w:rPr>
        <w:t>招标内容</w:t>
      </w:r>
      <w:r>
        <w:rPr>
          <w:sz w:val="32"/>
          <w:szCs w:val="32"/>
          <w:highlight w:val="none"/>
        </w:rPr>
        <w:tab/>
      </w:r>
      <w:r>
        <w:rPr>
          <w:sz w:val="32"/>
          <w:szCs w:val="32"/>
          <w:highlight w:val="none"/>
        </w:rPr>
        <w:fldChar w:fldCharType="begin"/>
      </w:r>
      <w:r>
        <w:rPr>
          <w:sz w:val="32"/>
          <w:szCs w:val="32"/>
          <w:highlight w:val="none"/>
        </w:rPr>
        <w:instrText xml:space="preserve"> PAGEREF _Toc53083687 \h </w:instrText>
      </w:r>
      <w:r>
        <w:rPr>
          <w:sz w:val="32"/>
          <w:szCs w:val="32"/>
          <w:highlight w:val="none"/>
        </w:rPr>
        <w:fldChar w:fldCharType="separate"/>
      </w:r>
      <w:r>
        <w:rPr>
          <w:sz w:val="32"/>
          <w:szCs w:val="32"/>
          <w:highlight w:val="none"/>
        </w:rPr>
        <w:t>57</w:t>
      </w:r>
      <w:r>
        <w:rPr>
          <w:sz w:val="32"/>
          <w:szCs w:val="32"/>
          <w:highlight w:val="none"/>
        </w:rPr>
        <w:fldChar w:fldCharType="end"/>
      </w:r>
      <w:r>
        <w:rPr>
          <w:rStyle w:val="47"/>
          <w:sz w:val="32"/>
          <w:szCs w:val="32"/>
          <w:highlight w:val="none"/>
        </w:rPr>
        <w:fldChar w:fldCharType="end"/>
      </w:r>
    </w:p>
    <w:p w14:paraId="78A93BC4">
      <w:pPr>
        <w:pStyle w:val="28"/>
        <w:tabs>
          <w:tab w:val="right" w:leader="dot" w:pos="8891"/>
        </w:tabs>
        <w:spacing w:line="360" w:lineRule="auto"/>
        <w:ind w:left="426" w:hanging="400"/>
        <w:rPr>
          <w:rFonts w:ascii="Calibri" w:hAnsi="Calibri"/>
          <w:szCs w:val="22"/>
          <w:highlight w:val="none"/>
        </w:rPr>
      </w:pPr>
      <w:r>
        <w:rPr>
          <w:rStyle w:val="47"/>
          <w:sz w:val="32"/>
          <w:szCs w:val="32"/>
          <w:highlight w:val="none"/>
        </w:rPr>
        <w:fldChar w:fldCharType="begin"/>
      </w:r>
      <w:r>
        <w:rPr>
          <w:rStyle w:val="47"/>
          <w:sz w:val="32"/>
          <w:szCs w:val="32"/>
          <w:highlight w:val="none"/>
        </w:rPr>
        <w:instrText xml:space="preserve"> </w:instrText>
      </w:r>
      <w:r>
        <w:rPr>
          <w:sz w:val="32"/>
          <w:szCs w:val="32"/>
          <w:highlight w:val="none"/>
        </w:rPr>
        <w:instrText xml:space="preserve">HYPERLINK \l "_Toc53083688"</w:instrText>
      </w:r>
      <w:r>
        <w:rPr>
          <w:rStyle w:val="47"/>
          <w:sz w:val="32"/>
          <w:szCs w:val="32"/>
          <w:highlight w:val="none"/>
        </w:rPr>
        <w:instrText xml:space="preserve"> </w:instrText>
      </w:r>
      <w:r>
        <w:rPr>
          <w:rStyle w:val="47"/>
          <w:sz w:val="32"/>
          <w:szCs w:val="32"/>
          <w:highlight w:val="none"/>
        </w:rPr>
        <w:fldChar w:fldCharType="separate"/>
      </w:r>
      <w:r>
        <w:rPr>
          <w:rStyle w:val="47"/>
          <w:rFonts w:hint="eastAsia"/>
          <w:sz w:val="32"/>
          <w:szCs w:val="32"/>
          <w:highlight w:val="none"/>
          <w:shd w:val="clear" w:color="auto" w:fill="FFFFFF"/>
        </w:rPr>
        <w:t>第六章</w:t>
      </w:r>
      <w:r>
        <w:rPr>
          <w:rStyle w:val="47"/>
          <w:sz w:val="32"/>
          <w:szCs w:val="32"/>
          <w:highlight w:val="none"/>
          <w:shd w:val="clear" w:color="auto" w:fill="FFFFFF"/>
        </w:rPr>
        <w:t xml:space="preserve">  </w:t>
      </w:r>
      <w:r>
        <w:rPr>
          <w:rStyle w:val="47"/>
          <w:rFonts w:hint="eastAsia"/>
          <w:sz w:val="32"/>
          <w:szCs w:val="32"/>
          <w:highlight w:val="none"/>
          <w:shd w:val="clear" w:color="auto" w:fill="FFFFFF"/>
        </w:rPr>
        <w:t>评标方法</w:t>
      </w:r>
      <w:r>
        <w:rPr>
          <w:sz w:val="32"/>
          <w:szCs w:val="32"/>
          <w:highlight w:val="none"/>
        </w:rPr>
        <w:tab/>
      </w:r>
      <w:r>
        <w:rPr>
          <w:sz w:val="32"/>
          <w:szCs w:val="32"/>
          <w:highlight w:val="none"/>
        </w:rPr>
        <w:fldChar w:fldCharType="begin"/>
      </w:r>
      <w:r>
        <w:rPr>
          <w:sz w:val="32"/>
          <w:szCs w:val="32"/>
          <w:highlight w:val="none"/>
        </w:rPr>
        <w:instrText xml:space="preserve"> PAGEREF _Toc53083688 \h </w:instrText>
      </w:r>
      <w:r>
        <w:rPr>
          <w:sz w:val="32"/>
          <w:szCs w:val="32"/>
          <w:highlight w:val="none"/>
        </w:rPr>
        <w:fldChar w:fldCharType="separate"/>
      </w:r>
      <w:r>
        <w:rPr>
          <w:sz w:val="32"/>
          <w:szCs w:val="32"/>
          <w:highlight w:val="none"/>
        </w:rPr>
        <w:t>89</w:t>
      </w:r>
      <w:r>
        <w:rPr>
          <w:sz w:val="32"/>
          <w:szCs w:val="32"/>
          <w:highlight w:val="none"/>
        </w:rPr>
        <w:fldChar w:fldCharType="end"/>
      </w:r>
      <w:r>
        <w:rPr>
          <w:rStyle w:val="47"/>
          <w:sz w:val="32"/>
          <w:szCs w:val="32"/>
          <w:highlight w:val="none"/>
        </w:rPr>
        <w:fldChar w:fldCharType="end"/>
      </w:r>
    </w:p>
    <w:p w14:paraId="1EC0A097">
      <w:pPr>
        <w:rPr>
          <w:highlight w:val="none"/>
        </w:rPr>
      </w:pPr>
      <w:r>
        <w:rPr>
          <w:highlight w:val="none"/>
        </w:rPr>
        <w:fldChar w:fldCharType="end"/>
      </w:r>
    </w:p>
    <w:p w14:paraId="0CD665DE">
      <w:pPr>
        <w:spacing w:before="240" w:beforeLines="100" w:after="240" w:afterLines="100" w:line="480" w:lineRule="auto"/>
        <w:ind w:left="-2" w:leftChars="-1"/>
        <w:jc w:val="center"/>
        <w:rPr>
          <w:rFonts w:ascii="宋体" w:hAnsi="宋体"/>
          <w:b/>
          <w:bCs/>
          <w:sz w:val="32"/>
          <w:szCs w:val="32"/>
          <w:highlight w:val="none"/>
          <w:shd w:val="clear" w:color="auto" w:fill="FFFFFF"/>
        </w:rPr>
      </w:pPr>
    </w:p>
    <w:p w14:paraId="3D238DC0">
      <w:pPr>
        <w:pStyle w:val="37"/>
        <w:rPr>
          <w:rFonts w:ascii="华文楷体" w:hAnsi="华文楷体" w:eastAsia="华文楷体"/>
          <w:highlight w:val="none"/>
          <w:shd w:val="clear" w:color="auto" w:fill="FFFFFF"/>
        </w:rPr>
      </w:pPr>
      <w:r>
        <w:rPr>
          <w:highlight w:val="none"/>
          <w:shd w:val="clear" w:color="auto" w:fill="FFFFFF"/>
        </w:rPr>
        <w:br w:type="page"/>
      </w:r>
      <w:bookmarkStart w:id="0" w:name="_Toc53083675"/>
      <w:r>
        <w:rPr>
          <w:rFonts w:hint="eastAsia" w:ascii="华文楷体" w:hAnsi="华文楷体" w:eastAsia="华文楷体"/>
          <w:highlight w:val="none"/>
          <w:shd w:val="clear" w:color="auto" w:fill="FFFFFF"/>
        </w:rPr>
        <w:t>第一章  招标公告</w:t>
      </w:r>
      <w:bookmarkEnd w:id="0"/>
    </w:p>
    <w:p w14:paraId="1E0263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0" w:afterAutospacing="0" w:line="360" w:lineRule="auto"/>
        <w:ind w:left="0" w:right="0" w:firstLine="0"/>
        <w:jc w:val="left"/>
        <w:textAlignment w:val="baseline"/>
        <w:rPr>
          <w:rStyle w:val="44"/>
          <w:rFonts w:hint="eastAsia" w:ascii="宋体" w:hAnsi="宋体" w:eastAsia="宋体" w:cs="宋体"/>
          <w:b/>
          <w:bCs/>
          <w:i w:val="0"/>
          <w:iCs w:val="0"/>
          <w:caps w:val="0"/>
          <w:color w:val="333333"/>
          <w:spacing w:val="0"/>
          <w:sz w:val="24"/>
          <w:szCs w:val="24"/>
          <w:highlight w:val="none"/>
          <w:shd w:val="clear" w:color="auto" w:fill="FFFFFF"/>
          <w:vertAlign w:val="baseline"/>
        </w:rPr>
      </w:pPr>
      <w:r>
        <w:rPr>
          <w:rStyle w:val="44"/>
          <w:rFonts w:hint="eastAsia" w:ascii="宋体" w:hAnsi="宋体" w:eastAsia="宋体" w:cs="宋体"/>
          <w:b/>
          <w:bCs/>
          <w:i w:val="0"/>
          <w:iCs w:val="0"/>
          <w:caps w:val="0"/>
          <w:color w:val="333333"/>
          <w:spacing w:val="0"/>
          <w:sz w:val="24"/>
          <w:szCs w:val="24"/>
          <w:highlight w:val="none"/>
          <w:shd w:val="clear" w:color="auto" w:fill="FFFFFF"/>
          <w:vertAlign w:val="baseline"/>
        </w:rPr>
        <w:t>项目概况</w:t>
      </w:r>
    </w:p>
    <w:p w14:paraId="74C987F2">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cs="宋体"/>
          <w:i w:val="0"/>
          <w:iCs w:val="0"/>
          <w:caps w:val="0"/>
          <w:color w:val="333333"/>
          <w:spacing w:val="0"/>
          <w:sz w:val="24"/>
          <w:szCs w:val="24"/>
          <w:highlight w:val="none"/>
          <w:shd w:val="clear" w:color="auto" w:fill="FFFFFF"/>
          <w:vertAlign w:val="baseline"/>
          <w:lang w:eastAsia="zh-CN"/>
        </w:rPr>
        <w:t>汾渭平原交通污染试点监测能力建设项目（二期）</w:t>
      </w:r>
      <w:r>
        <w:rPr>
          <w:rFonts w:hint="eastAsia" w:ascii="宋体" w:hAnsi="宋体" w:eastAsia="宋体" w:cs="宋体"/>
          <w:i w:val="0"/>
          <w:iCs w:val="0"/>
          <w:caps w:val="0"/>
          <w:color w:val="333333"/>
          <w:spacing w:val="0"/>
          <w:sz w:val="24"/>
          <w:szCs w:val="24"/>
          <w:highlight w:val="none"/>
          <w:shd w:val="clear" w:color="auto" w:fill="FFFFFF"/>
          <w:vertAlign w:val="baseline"/>
        </w:rPr>
        <w:t>采购项目的潜在供应商应在全国公共资源交易平台（陕西省·西咸新区）公共资源交易中心自行下载获取采购文件，并于202</w:t>
      </w:r>
      <w:r>
        <w:rPr>
          <w:rFonts w:hint="eastAsia" w:cs="宋体"/>
          <w:i w:val="0"/>
          <w:iCs w:val="0"/>
          <w:caps w:val="0"/>
          <w:color w:val="333333"/>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color="auto" w:fill="FFFFFF"/>
          <w:vertAlign w:val="baseline"/>
        </w:rPr>
        <w:t>年</w:t>
      </w:r>
      <w:r>
        <w:rPr>
          <w:rFonts w:hint="eastAsia" w:cs="宋体"/>
          <w:i w:val="0"/>
          <w:iCs w:val="0"/>
          <w:caps w:val="0"/>
          <w:color w:val="333333"/>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color="auto" w:fill="FFFFFF"/>
          <w:vertAlign w:val="baseline"/>
        </w:rPr>
        <w:t>月</w:t>
      </w:r>
      <w:r>
        <w:rPr>
          <w:rFonts w:hint="eastAsia" w:cs="宋体"/>
          <w:i w:val="0"/>
          <w:iCs w:val="0"/>
          <w:caps w:val="0"/>
          <w:color w:val="333333"/>
          <w:spacing w:val="0"/>
          <w:sz w:val="24"/>
          <w:szCs w:val="24"/>
          <w:highlight w:val="none"/>
          <w:shd w:val="clear" w:color="auto" w:fill="FFFFFF"/>
          <w:vertAlign w:val="baseline"/>
          <w:lang w:val="en-US" w:eastAsia="zh-CN"/>
        </w:rPr>
        <w:t xml:space="preserve"> 14 </w:t>
      </w:r>
      <w:r>
        <w:rPr>
          <w:rFonts w:hint="eastAsia" w:ascii="宋体" w:hAnsi="宋体" w:eastAsia="宋体" w:cs="宋体"/>
          <w:i w:val="0"/>
          <w:iCs w:val="0"/>
          <w:caps w:val="0"/>
          <w:color w:val="333333"/>
          <w:spacing w:val="0"/>
          <w:sz w:val="24"/>
          <w:szCs w:val="24"/>
          <w:highlight w:val="none"/>
          <w:shd w:val="clear" w:color="auto" w:fill="FFFFFF"/>
          <w:vertAlign w:val="baseline"/>
        </w:rPr>
        <w:t>日14时</w:t>
      </w:r>
      <w:r>
        <w:rPr>
          <w:rFonts w:hint="eastAsia" w:cs="宋体"/>
          <w:i w:val="0"/>
          <w:iCs w:val="0"/>
          <w:caps w:val="0"/>
          <w:color w:val="333333"/>
          <w:spacing w:val="0"/>
          <w:sz w:val="24"/>
          <w:szCs w:val="24"/>
          <w:highlight w:val="none"/>
          <w:shd w:val="clear" w:color="auto" w:fill="FFFFFF"/>
          <w:vertAlign w:val="baseline"/>
          <w:lang w:val="en-US" w:eastAsia="zh-CN"/>
        </w:rPr>
        <w:t>0</w:t>
      </w:r>
      <w:r>
        <w:rPr>
          <w:rFonts w:hint="eastAsia" w:ascii="宋体" w:hAnsi="宋体" w:eastAsia="宋体" w:cs="宋体"/>
          <w:i w:val="0"/>
          <w:iCs w:val="0"/>
          <w:caps w:val="0"/>
          <w:color w:val="333333"/>
          <w:spacing w:val="0"/>
          <w:sz w:val="24"/>
          <w:szCs w:val="24"/>
          <w:highlight w:val="none"/>
          <w:shd w:val="clear" w:color="auto" w:fill="FFFFFF"/>
          <w:vertAlign w:val="baseline"/>
        </w:rPr>
        <w:t>0分（北京时间）前提交响应文件。</w:t>
      </w:r>
    </w:p>
    <w:p w14:paraId="552C69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0" w:afterAutospacing="0" w:line="360" w:lineRule="auto"/>
        <w:ind w:left="0" w:right="0" w:firstLine="0"/>
        <w:jc w:val="left"/>
        <w:textAlignment w:val="baseline"/>
        <w:rPr>
          <w:rStyle w:val="44"/>
          <w:rFonts w:hint="eastAsia" w:ascii="宋体" w:hAnsi="宋体" w:eastAsia="宋体" w:cs="宋体"/>
          <w:b/>
          <w:bCs/>
          <w:i w:val="0"/>
          <w:iCs w:val="0"/>
          <w:caps w:val="0"/>
          <w:color w:val="333333"/>
          <w:spacing w:val="0"/>
          <w:sz w:val="24"/>
          <w:szCs w:val="24"/>
          <w:highlight w:val="none"/>
          <w:shd w:val="clear" w:color="auto" w:fill="FFFFFF"/>
          <w:vertAlign w:val="baseline"/>
        </w:rPr>
      </w:pPr>
      <w:r>
        <w:rPr>
          <w:rStyle w:val="44"/>
          <w:rFonts w:hint="eastAsia" w:ascii="宋体" w:hAnsi="宋体" w:eastAsia="宋体" w:cs="宋体"/>
          <w:b/>
          <w:bCs/>
          <w:i w:val="0"/>
          <w:iCs w:val="0"/>
          <w:caps w:val="0"/>
          <w:color w:val="333333"/>
          <w:spacing w:val="0"/>
          <w:sz w:val="24"/>
          <w:szCs w:val="24"/>
          <w:highlight w:val="none"/>
          <w:shd w:val="clear" w:color="auto" w:fill="FFFFFF"/>
          <w:vertAlign w:val="baseline"/>
        </w:rPr>
        <w:t>一、项目基本情况</w:t>
      </w:r>
    </w:p>
    <w:p w14:paraId="7B11917D">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vertAlign w:val="baseline"/>
        </w:rPr>
        <w:t>项目编号：</w:t>
      </w:r>
      <w:r>
        <w:rPr>
          <w:rFonts w:hint="eastAsia" w:cs="宋体"/>
          <w:i w:val="0"/>
          <w:iCs w:val="0"/>
          <w:caps w:val="0"/>
          <w:color w:val="333333"/>
          <w:spacing w:val="0"/>
          <w:sz w:val="24"/>
          <w:szCs w:val="24"/>
          <w:highlight w:val="none"/>
          <w:shd w:val="clear" w:color="auto" w:fill="FFFFFF"/>
          <w:vertAlign w:val="baseline"/>
          <w:lang w:eastAsia="zh-CN"/>
        </w:rPr>
        <w:t>GLD2025-011501Z</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 xml:space="preserve"> </w:t>
      </w:r>
    </w:p>
    <w:p w14:paraId="64FFFDB1">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项目名称：</w:t>
      </w:r>
      <w:r>
        <w:rPr>
          <w:rFonts w:hint="eastAsia" w:cs="宋体"/>
          <w:i w:val="0"/>
          <w:iCs w:val="0"/>
          <w:caps w:val="0"/>
          <w:color w:val="333333"/>
          <w:spacing w:val="0"/>
          <w:sz w:val="24"/>
          <w:szCs w:val="24"/>
          <w:highlight w:val="none"/>
          <w:shd w:val="clear" w:color="auto" w:fill="FFFFFF"/>
          <w:vertAlign w:val="baseline"/>
          <w:lang w:eastAsia="zh-CN"/>
        </w:rPr>
        <w:t>汾渭平原交通污染试点监测能力建设项目（二期）</w:t>
      </w:r>
    </w:p>
    <w:p w14:paraId="396135EC">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eastAsia="宋体" w:cs="宋体"/>
          <w:i w:val="0"/>
          <w:iCs w:val="0"/>
          <w:caps w:val="0"/>
          <w:color w:val="333333"/>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333333"/>
          <w:spacing w:val="0"/>
          <w:sz w:val="24"/>
          <w:szCs w:val="24"/>
          <w:highlight w:val="none"/>
          <w:shd w:val="clear" w:color="auto" w:fill="FFFFFF"/>
          <w:vertAlign w:val="baseline"/>
        </w:rPr>
        <w:t>采购方式：</w:t>
      </w:r>
      <w:r>
        <w:rPr>
          <w:rFonts w:hint="eastAsia" w:eastAsia="宋体" w:cs="宋体"/>
          <w:i w:val="0"/>
          <w:iCs w:val="0"/>
          <w:caps w:val="0"/>
          <w:color w:val="333333"/>
          <w:spacing w:val="0"/>
          <w:sz w:val="24"/>
          <w:szCs w:val="24"/>
          <w:highlight w:val="none"/>
          <w:shd w:val="clear" w:color="auto" w:fill="FFFFFF"/>
          <w:vertAlign w:val="baseline"/>
          <w:lang w:val="en-US" w:eastAsia="zh-CN"/>
        </w:rPr>
        <w:t>公开招标</w:t>
      </w:r>
    </w:p>
    <w:p w14:paraId="5C341E4B">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auto"/>
          <w:spacing w:val="0"/>
          <w:sz w:val="24"/>
          <w:szCs w:val="24"/>
          <w:highlight w:val="none"/>
          <w:shd w:val="clear" w:color="auto" w:fill="FFFFFF"/>
        </w:rPr>
        <w:t>预算金</w:t>
      </w:r>
      <w:r>
        <w:rPr>
          <w:rFonts w:hint="eastAsia" w:ascii="宋体" w:hAnsi="宋体" w:eastAsia="宋体" w:cs="宋体"/>
          <w:i w:val="0"/>
          <w:iCs w:val="0"/>
          <w:caps w:val="0"/>
          <w:color w:val="333333"/>
          <w:spacing w:val="0"/>
          <w:sz w:val="24"/>
          <w:szCs w:val="24"/>
          <w:highlight w:val="none"/>
          <w:shd w:val="clear" w:color="auto" w:fill="FFFFFF"/>
          <w:vertAlign w:val="baseline"/>
        </w:rPr>
        <w:t>额：</w:t>
      </w:r>
      <w:r>
        <w:rPr>
          <w:rFonts w:hint="eastAsia" w:cs="宋体"/>
          <w:i w:val="0"/>
          <w:iCs w:val="0"/>
          <w:caps w:val="0"/>
          <w:color w:val="333333"/>
          <w:spacing w:val="0"/>
          <w:sz w:val="24"/>
          <w:szCs w:val="24"/>
          <w:highlight w:val="none"/>
          <w:shd w:val="clear" w:color="auto" w:fill="FFFFFF"/>
          <w:vertAlign w:val="baseline"/>
          <w:lang w:val="en-US" w:eastAsia="zh-CN"/>
        </w:rPr>
        <w:t>3,925,000.00</w:t>
      </w:r>
      <w:r>
        <w:rPr>
          <w:rFonts w:hint="eastAsia" w:ascii="宋体" w:hAnsi="宋体" w:eastAsia="宋体" w:cs="宋体"/>
          <w:i w:val="0"/>
          <w:iCs w:val="0"/>
          <w:caps w:val="0"/>
          <w:color w:val="333333"/>
          <w:spacing w:val="0"/>
          <w:sz w:val="24"/>
          <w:szCs w:val="24"/>
          <w:highlight w:val="none"/>
          <w:shd w:val="clear" w:color="auto" w:fill="FFFFFF"/>
          <w:vertAlign w:val="baseline"/>
        </w:rPr>
        <w:t>元</w:t>
      </w:r>
    </w:p>
    <w:p w14:paraId="41D58344">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rPr>
        <w:t>采购需求：</w:t>
      </w:r>
    </w:p>
    <w:p w14:paraId="351CFFDB">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rPr>
        <w:t>合同包1(</w:t>
      </w:r>
      <w:r>
        <w:rPr>
          <w:rFonts w:hint="eastAsia" w:cs="宋体"/>
          <w:i w:val="0"/>
          <w:iCs w:val="0"/>
          <w:caps w:val="0"/>
          <w:color w:val="333333"/>
          <w:spacing w:val="0"/>
          <w:sz w:val="24"/>
          <w:szCs w:val="24"/>
          <w:highlight w:val="none"/>
          <w:shd w:val="clear" w:color="auto" w:fill="FFFFFF"/>
          <w:vertAlign w:val="baseline"/>
          <w:lang w:eastAsia="zh-CN"/>
        </w:rPr>
        <w:t>汾渭平原交通污染试点监测能力建设项目（二期）</w:t>
      </w:r>
      <w:r>
        <w:rPr>
          <w:rFonts w:hint="eastAsia" w:ascii="宋体" w:hAnsi="宋体" w:eastAsia="宋体" w:cs="宋体"/>
          <w:i w:val="0"/>
          <w:iCs w:val="0"/>
          <w:caps w:val="0"/>
          <w:color w:val="333333"/>
          <w:spacing w:val="0"/>
          <w:sz w:val="24"/>
          <w:szCs w:val="24"/>
          <w:highlight w:val="none"/>
          <w:shd w:val="clear" w:color="auto" w:fill="FFFFFF"/>
          <w:vertAlign w:val="baseline"/>
        </w:rPr>
        <w:t>):</w:t>
      </w:r>
    </w:p>
    <w:p w14:paraId="32AF783A">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rPr>
        <w:t>合同包预算金额：</w:t>
      </w:r>
      <w:r>
        <w:rPr>
          <w:rFonts w:hint="eastAsia" w:cs="宋体"/>
          <w:i w:val="0"/>
          <w:iCs w:val="0"/>
          <w:caps w:val="0"/>
          <w:color w:val="333333"/>
          <w:spacing w:val="0"/>
          <w:sz w:val="24"/>
          <w:szCs w:val="24"/>
          <w:highlight w:val="none"/>
          <w:shd w:val="clear" w:color="auto" w:fill="FFFFFF"/>
          <w:vertAlign w:val="baseline"/>
          <w:lang w:val="en-US" w:eastAsia="zh-CN"/>
        </w:rPr>
        <w:t>3,925,000.00</w:t>
      </w:r>
      <w:r>
        <w:rPr>
          <w:rFonts w:hint="eastAsia" w:ascii="宋体" w:hAnsi="宋体" w:eastAsia="宋体" w:cs="宋体"/>
          <w:i w:val="0"/>
          <w:iCs w:val="0"/>
          <w:caps w:val="0"/>
          <w:color w:val="333333"/>
          <w:spacing w:val="0"/>
          <w:sz w:val="24"/>
          <w:szCs w:val="24"/>
          <w:highlight w:val="none"/>
          <w:shd w:val="clear" w:color="auto" w:fill="FFFFFF"/>
          <w:vertAlign w:val="baseline"/>
        </w:rPr>
        <w:t>元</w:t>
      </w:r>
    </w:p>
    <w:p w14:paraId="767D84AD">
      <w:pPr>
        <w:pStyle w:val="3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rPr>
        <w:t>合同包最高限价：</w:t>
      </w:r>
      <w:r>
        <w:rPr>
          <w:rFonts w:hint="eastAsia" w:cs="宋体"/>
          <w:i w:val="0"/>
          <w:iCs w:val="0"/>
          <w:caps w:val="0"/>
          <w:color w:val="333333"/>
          <w:spacing w:val="0"/>
          <w:sz w:val="24"/>
          <w:szCs w:val="24"/>
          <w:highlight w:val="none"/>
          <w:shd w:val="clear" w:color="auto" w:fill="FFFFFF"/>
          <w:vertAlign w:val="baseline"/>
          <w:lang w:val="en-US" w:eastAsia="zh-CN"/>
        </w:rPr>
        <w:t>3,925,000.00</w:t>
      </w:r>
      <w:r>
        <w:rPr>
          <w:rFonts w:hint="eastAsia" w:ascii="宋体" w:hAnsi="宋体" w:eastAsia="宋体" w:cs="宋体"/>
          <w:i w:val="0"/>
          <w:iCs w:val="0"/>
          <w:caps w:val="0"/>
          <w:color w:val="333333"/>
          <w:spacing w:val="0"/>
          <w:sz w:val="24"/>
          <w:szCs w:val="24"/>
          <w:highlight w:val="none"/>
          <w:shd w:val="clear" w:color="auto" w:fill="FFFFFF"/>
          <w:vertAlign w:val="baseline"/>
        </w:rPr>
        <w:t>元</w:t>
      </w:r>
    </w:p>
    <w:tbl>
      <w:tblPr>
        <w:tblStyle w:val="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3"/>
        <w:gridCol w:w="1231"/>
        <w:gridCol w:w="1814"/>
        <w:gridCol w:w="1338"/>
        <w:gridCol w:w="1487"/>
        <w:gridCol w:w="1200"/>
        <w:gridCol w:w="1168"/>
      </w:tblGrid>
      <w:tr w14:paraId="6AC3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5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7A11B5">
            <w:pPr>
              <w:keepNext w:val="0"/>
              <w:keepLines w:val="0"/>
              <w:widowControl/>
              <w:suppressLineNumbers w:val="0"/>
              <w:wordWrap w:val="0"/>
              <w:spacing w:before="0" w:beforeAutospacing="0" w:after="0" w:afterAutospacing="0" w:line="360" w:lineRule="auto"/>
              <w:ind w:left="0" w:right="0"/>
              <w:jc w:val="center"/>
              <w:textAlignment w:val="center"/>
              <w:rPr>
                <w:b/>
                <w:bCs/>
                <w:sz w:val="21"/>
                <w:szCs w:val="21"/>
                <w:highlight w:val="none"/>
              </w:rPr>
            </w:pPr>
            <w:r>
              <w:rPr>
                <w:rFonts w:ascii="宋体" w:hAnsi="宋体" w:eastAsia="宋体" w:cs="宋体"/>
                <w:b/>
                <w:bCs/>
                <w:kern w:val="0"/>
                <w:sz w:val="21"/>
                <w:szCs w:val="21"/>
                <w:highlight w:val="none"/>
                <w:lang w:val="en-US" w:eastAsia="zh-CN" w:bidi="ar"/>
              </w:rPr>
              <w:t>品目号</w:t>
            </w:r>
          </w:p>
        </w:tc>
        <w:tc>
          <w:tcPr>
            <w:tcW w:w="12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C717CC">
            <w:pPr>
              <w:keepNext w:val="0"/>
              <w:keepLines w:val="0"/>
              <w:widowControl/>
              <w:suppressLineNumbers w:val="0"/>
              <w:wordWrap w:val="0"/>
              <w:spacing w:before="0" w:beforeAutospacing="0" w:after="0" w:afterAutospacing="0" w:line="360" w:lineRule="auto"/>
              <w:ind w:left="0" w:right="0"/>
              <w:jc w:val="center"/>
              <w:textAlignment w:val="center"/>
              <w:rPr>
                <w:b/>
                <w:bCs/>
                <w:sz w:val="21"/>
                <w:szCs w:val="21"/>
                <w:highlight w:val="none"/>
              </w:rPr>
            </w:pPr>
            <w:r>
              <w:rPr>
                <w:rFonts w:ascii="宋体" w:hAnsi="宋体" w:eastAsia="宋体" w:cs="宋体"/>
                <w:b/>
                <w:bCs/>
                <w:kern w:val="0"/>
                <w:sz w:val="21"/>
                <w:szCs w:val="21"/>
                <w:highlight w:val="none"/>
                <w:lang w:val="en-US" w:eastAsia="zh-CN" w:bidi="ar"/>
              </w:rPr>
              <w:t>品目名称</w:t>
            </w:r>
          </w:p>
        </w:tc>
        <w:tc>
          <w:tcPr>
            <w:tcW w:w="18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B352096">
            <w:pPr>
              <w:keepNext w:val="0"/>
              <w:keepLines w:val="0"/>
              <w:widowControl/>
              <w:suppressLineNumbers w:val="0"/>
              <w:wordWrap w:val="0"/>
              <w:spacing w:before="0" w:beforeAutospacing="0" w:after="0" w:afterAutospacing="0" w:line="360" w:lineRule="auto"/>
              <w:ind w:left="0" w:right="0"/>
              <w:jc w:val="center"/>
              <w:textAlignment w:val="center"/>
              <w:rPr>
                <w:b/>
                <w:bCs/>
                <w:sz w:val="21"/>
                <w:szCs w:val="21"/>
                <w:highlight w:val="none"/>
              </w:rPr>
            </w:pPr>
            <w:r>
              <w:rPr>
                <w:rFonts w:ascii="宋体" w:hAnsi="宋体" w:eastAsia="宋体" w:cs="宋体"/>
                <w:b/>
                <w:bCs/>
                <w:kern w:val="0"/>
                <w:sz w:val="21"/>
                <w:szCs w:val="21"/>
                <w:highlight w:val="none"/>
                <w:lang w:val="en-US" w:eastAsia="zh-CN" w:bidi="ar"/>
              </w:rPr>
              <w:t>采购标的</w:t>
            </w:r>
          </w:p>
        </w:tc>
        <w:tc>
          <w:tcPr>
            <w:tcW w:w="13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F81DBF7">
            <w:pPr>
              <w:keepNext w:val="0"/>
              <w:keepLines w:val="0"/>
              <w:widowControl/>
              <w:suppressLineNumbers w:val="0"/>
              <w:wordWrap w:val="0"/>
              <w:spacing w:before="0" w:beforeAutospacing="0" w:after="0" w:afterAutospacing="0" w:line="360" w:lineRule="auto"/>
              <w:ind w:left="0" w:right="0"/>
              <w:jc w:val="center"/>
              <w:textAlignment w:val="center"/>
              <w:rPr>
                <w:b/>
                <w:bCs/>
                <w:sz w:val="21"/>
                <w:szCs w:val="21"/>
                <w:highlight w:val="none"/>
              </w:rPr>
            </w:pPr>
            <w:r>
              <w:rPr>
                <w:rFonts w:ascii="宋体" w:hAnsi="宋体" w:eastAsia="宋体" w:cs="宋体"/>
                <w:b/>
                <w:bCs/>
                <w:kern w:val="0"/>
                <w:sz w:val="21"/>
                <w:szCs w:val="21"/>
                <w:highlight w:val="none"/>
                <w:lang w:val="en-US" w:eastAsia="zh-CN" w:bidi="ar"/>
              </w:rPr>
              <w:t>数量（单位）</w:t>
            </w:r>
          </w:p>
        </w:tc>
        <w:tc>
          <w:tcPr>
            <w:tcW w:w="14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085471">
            <w:pPr>
              <w:keepNext w:val="0"/>
              <w:keepLines w:val="0"/>
              <w:widowControl/>
              <w:suppressLineNumbers w:val="0"/>
              <w:wordWrap w:val="0"/>
              <w:spacing w:before="0" w:beforeAutospacing="0" w:after="0" w:afterAutospacing="0" w:line="360" w:lineRule="auto"/>
              <w:ind w:left="0" w:right="0"/>
              <w:jc w:val="center"/>
              <w:textAlignment w:val="center"/>
              <w:rPr>
                <w:b/>
                <w:bCs/>
                <w:sz w:val="21"/>
                <w:szCs w:val="21"/>
                <w:highlight w:val="none"/>
              </w:rPr>
            </w:pPr>
            <w:r>
              <w:rPr>
                <w:rFonts w:ascii="宋体" w:hAnsi="宋体" w:eastAsia="宋体" w:cs="宋体"/>
                <w:b/>
                <w:bCs/>
                <w:kern w:val="0"/>
                <w:sz w:val="21"/>
                <w:szCs w:val="21"/>
                <w:highlight w:val="none"/>
                <w:lang w:val="en-US" w:eastAsia="zh-CN" w:bidi="ar"/>
              </w:rPr>
              <w:t>技术规格、参数及要求</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BA15866">
            <w:pPr>
              <w:keepNext w:val="0"/>
              <w:keepLines w:val="0"/>
              <w:widowControl/>
              <w:suppressLineNumbers w:val="0"/>
              <w:wordWrap w:val="0"/>
              <w:spacing w:before="0" w:beforeAutospacing="0" w:after="0" w:afterAutospacing="0" w:line="360" w:lineRule="auto"/>
              <w:ind w:left="0" w:right="0"/>
              <w:jc w:val="center"/>
              <w:textAlignment w:val="center"/>
              <w:rPr>
                <w:b/>
                <w:bCs/>
                <w:sz w:val="21"/>
                <w:szCs w:val="21"/>
                <w:highlight w:val="none"/>
              </w:rPr>
            </w:pPr>
            <w:r>
              <w:rPr>
                <w:rFonts w:ascii="宋体" w:hAnsi="宋体" w:eastAsia="宋体" w:cs="宋体"/>
                <w:b/>
                <w:bCs/>
                <w:kern w:val="0"/>
                <w:sz w:val="21"/>
                <w:szCs w:val="21"/>
                <w:highlight w:val="none"/>
                <w:lang w:val="en-US" w:eastAsia="zh-CN" w:bidi="ar"/>
              </w:rPr>
              <w:t>品目预算(元)</w:t>
            </w:r>
          </w:p>
        </w:tc>
        <w:tc>
          <w:tcPr>
            <w:tcW w:w="11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FCF0B6">
            <w:pPr>
              <w:keepNext w:val="0"/>
              <w:keepLines w:val="0"/>
              <w:widowControl/>
              <w:suppressLineNumbers w:val="0"/>
              <w:wordWrap w:val="0"/>
              <w:spacing w:before="0" w:beforeAutospacing="0" w:after="0" w:afterAutospacing="0" w:line="360" w:lineRule="auto"/>
              <w:ind w:left="0" w:right="0"/>
              <w:jc w:val="center"/>
              <w:textAlignment w:val="center"/>
              <w:rPr>
                <w:b/>
                <w:bCs/>
                <w:sz w:val="21"/>
                <w:szCs w:val="21"/>
                <w:highlight w:val="none"/>
              </w:rPr>
            </w:pPr>
            <w:r>
              <w:rPr>
                <w:rFonts w:ascii="宋体" w:hAnsi="宋体" w:eastAsia="宋体" w:cs="宋体"/>
                <w:b/>
                <w:bCs/>
                <w:kern w:val="0"/>
                <w:sz w:val="21"/>
                <w:szCs w:val="21"/>
                <w:highlight w:val="none"/>
                <w:lang w:val="en-US" w:eastAsia="zh-CN" w:bidi="ar"/>
              </w:rPr>
              <w:t>最高限价(元)</w:t>
            </w:r>
          </w:p>
        </w:tc>
      </w:tr>
      <w:tr w14:paraId="6FA6C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DA29CC">
            <w:pPr>
              <w:keepNext w:val="0"/>
              <w:keepLines w:val="0"/>
              <w:widowControl/>
              <w:suppressLineNumbers w:val="0"/>
              <w:wordWrap w:val="0"/>
              <w:spacing w:before="0" w:beforeAutospacing="0" w:after="0" w:afterAutospacing="0" w:line="360" w:lineRule="auto"/>
              <w:ind w:left="0" w:right="0"/>
              <w:jc w:val="center"/>
              <w:textAlignment w:val="center"/>
              <w:rPr>
                <w:sz w:val="21"/>
                <w:szCs w:val="21"/>
                <w:highlight w:val="none"/>
              </w:rPr>
            </w:pPr>
            <w:r>
              <w:rPr>
                <w:rFonts w:ascii="宋体" w:hAnsi="宋体" w:eastAsia="宋体" w:cs="宋体"/>
                <w:kern w:val="0"/>
                <w:sz w:val="21"/>
                <w:szCs w:val="21"/>
                <w:highlight w:val="none"/>
                <w:lang w:val="en-US" w:eastAsia="zh-CN" w:bidi="ar"/>
              </w:rPr>
              <w:t>1-1</w:t>
            </w:r>
          </w:p>
        </w:tc>
        <w:tc>
          <w:tcPr>
            <w:tcW w:w="12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6A9C9C">
            <w:pPr>
              <w:keepNext w:val="0"/>
              <w:keepLines w:val="0"/>
              <w:widowControl/>
              <w:suppressLineNumbers w:val="0"/>
              <w:jc w:val="left"/>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大气污染防治设备</w:t>
            </w:r>
          </w:p>
        </w:tc>
        <w:tc>
          <w:tcPr>
            <w:tcW w:w="181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38E91E">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货物</w:t>
            </w:r>
          </w:p>
        </w:tc>
        <w:tc>
          <w:tcPr>
            <w:tcW w:w="133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3565F3">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1(批)</w:t>
            </w:r>
          </w:p>
        </w:tc>
        <w:tc>
          <w:tcPr>
            <w:tcW w:w="148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A747A2">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详见采购文件</w:t>
            </w:r>
          </w:p>
        </w:tc>
        <w:tc>
          <w:tcPr>
            <w:tcW w:w="12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FF98A3">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3,925,000.00</w:t>
            </w:r>
          </w:p>
        </w:tc>
        <w:tc>
          <w:tcPr>
            <w:tcW w:w="116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13B09BA">
            <w:pPr>
              <w:keepNext w:val="0"/>
              <w:keepLines w:val="0"/>
              <w:widowControl/>
              <w:suppressLineNumbers w:val="0"/>
              <w:wordWrap w:val="0"/>
              <w:spacing w:before="0" w:beforeAutospacing="0" w:after="0" w:afterAutospacing="0" w:line="360" w:lineRule="auto"/>
              <w:ind w:left="0" w:right="0"/>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3,925,000.00</w:t>
            </w:r>
          </w:p>
        </w:tc>
      </w:tr>
    </w:tbl>
    <w:p w14:paraId="3E3EC295">
      <w:pPr>
        <w:pStyle w:val="3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本合同包不接受联合体投标</w:t>
      </w:r>
    </w:p>
    <w:p w14:paraId="1A79AF7B">
      <w:pPr>
        <w:keepNext w:val="0"/>
        <w:keepLines w:val="0"/>
        <w:pageBreakBefore w:val="0"/>
        <w:widowControl w:val="0"/>
        <w:kinsoku/>
        <w:wordWrap/>
        <w:overflowPunct/>
        <w:topLinePunct w:val="0"/>
        <w:autoSpaceDE/>
        <w:autoSpaceDN/>
        <w:bidi w:val="0"/>
        <w:spacing w:line="360" w:lineRule="auto"/>
        <w:ind w:firstLine="480" w:firstLineChars="200"/>
        <w:rPr>
          <w:rFonts w:hint="eastAsia" w:eastAsia="宋体" w:cs="宋体"/>
          <w:i w:val="0"/>
          <w:iCs w:val="0"/>
          <w:caps w:val="0"/>
          <w:color w:val="333333"/>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rPr>
        <w:t>合同履行期限：自</w:t>
      </w:r>
      <w:r>
        <w:rPr>
          <w:rFonts w:hint="eastAsia" w:ascii="宋体" w:hAnsi="宋体" w:eastAsia="宋体" w:cs="宋体"/>
          <w:i w:val="0"/>
          <w:iCs w:val="0"/>
          <w:caps w:val="0"/>
          <w:color w:val="auto"/>
          <w:spacing w:val="0"/>
          <w:sz w:val="24"/>
          <w:szCs w:val="24"/>
          <w:highlight w:val="none"/>
          <w:shd w:val="clear" w:color="auto" w:fill="FFFFFF"/>
          <w:lang w:val="en-US" w:eastAsia="zh-CN"/>
        </w:rPr>
        <w:t>合同签订</w:t>
      </w:r>
      <w:r>
        <w:rPr>
          <w:rFonts w:hint="eastAsia" w:ascii="宋体" w:hAnsi="宋体" w:eastAsia="宋体" w:cs="宋体"/>
          <w:i w:val="0"/>
          <w:iCs w:val="0"/>
          <w:caps w:val="0"/>
          <w:color w:val="auto"/>
          <w:spacing w:val="0"/>
          <w:sz w:val="24"/>
          <w:szCs w:val="24"/>
          <w:highlight w:val="none"/>
          <w:shd w:val="clear" w:color="auto" w:fill="FFFFFF"/>
        </w:rPr>
        <w:t>之日起</w:t>
      </w:r>
      <w:r>
        <w:rPr>
          <w:rFonts w:hint="eastAsia" w:cs="宋体"/>
          <w:i w:val="0"/>
          <w:iCs w:val="0"/>
          <w:caps w:val="0"/>
          <w:color w:val="auto"/>
          <w:spacing w:val="0"/>
          <w:sz w:val="24"/>
          <w:szCs w:val="24"/>
          <w:highlight w:val="none"/>
          <w:shd w:val="clear" w:color="auto" w:fill="FFFFFF"/>
          <w:lang w:val="en-US" w:eastAsia="zh-CN"/>
        </w:rPr>
        <w:t>60</w:t>
      </w:r>
      <w:r>
        <w:rPr>
          <w:rFonts w:hint="eastAsia" w:ascii="宋体" w:hAnsi="宋体" w:eastAsia="宋体" w:cs="宋体"/>
          <w:i w:val="0"/>
          <w:iCs w:val="0"/>
          <w:caps w:val="0"/>
          <w:color w:val="auto"/>
          <w:spacing w:val="0"/>
          <w:sz w:val="24"/>
          <w:szCs w:val="24"/>
          <w:highlight w:val="none"/>
          <w:shd w:val="clear" w:color="auto" w:fill="FFFFFF"/>
        </w:rPr>
        <w:t>个日历日内</w:t>
      </w:r>
      <w:r>
        <w:rPr>
          <w:rFonts w:hint="eastAsia" w:ascii="宋体" w:hAnsi="宋体" w:eastAsia="宋体" w:cs="宋体"/>
          <w:spacing w:val="-1"/>
          <w:sz w:val="24"/>
          <w:szCs w:val="24"/>
          <w:highlight w:val="none"/>
          <w:lang w:val="en-US" w:eastAsia="zh-CN"/>
        </w:rPr>
        <w:t>完成安装调试</w:t>
      </w:r>
      <w:r>
        <w:rPr>
          <w:rFonts w:hint="eastAsia" w:ascii="宋体" w:hAnsi="宋体" w:cs="宋体"/>
          <w:spacing w:val="-1"/>
          <w:sz w:val="24"/>
          <w:szCs w:val="24"/>
          <w:highlight w:val="none"/>
          <w:lang w:val="en-US" w:eastAsia="zh-CN"/>
        </w:rPr>
        <w:t>联网并向省市报送数据</w:t>
      </w:r>
      <w:r>
        <w:rPr>
          <w:rFonts w:hint="eastAsia" w:ascii="宋体" w:hAnsi="宋体" w:eastAsia="宋体" w:cs="宋体"/>
          <w:sz w:val="24"/>
          <w:szCs w:val="24"/>
          <w:highlight w:val="none"/>
        </w:rPr>
        <w:t>。运维期</w:t>
      </w:r>
      <w:r>
        <w:rPr>
          <w:rFonts w:hint="eastAsia" w:ascii="宋体" w:hAnsi="宋体" w:cs="宋体"/>
          <w:sz w:val="24"/>
          <w:szCs w:val="24"/>
          <w:highlight w:val="none"/>
          <w:lang w:val="en-US" w:eastAsia="zh-CN"/>
        </w:rPr>
        <w:t>为</w:t>
      </w:r>
      <w:r>
        <w:rPr>
          <w:rFonts w:hint="eastAsia" w:ascii="宋体" w:hAnsi="宋体" w:eastAsia="宋体" w:cs="宋体"/>
          <w:sz w:val="24"/>
          <w:szCs w:val="24"/>
          <w:highlight w:val="none"/>
        </w:rPr>
        <w:t>验收合格次日起一年运行维护</w:t>
      </w:r>
      <w:r>
        <w:rPr>
          <w:rFonts w:hint="eastAsia" w:ascii="宋体" w:hAnsi="宋体" w:eastAsia="宋体" w:cs="宋体"/>
          <w:i w:val="0"/>
          <w:iCs w:val="0"/>
          <w:caps w:val="0"/>
          <w:color w:val="auto"/>
          <w:spacing w:val="0"/>
          <w:sz w:val="24"/>
          <w:szCs w:val="24"/>
          <w:highlight w:val="none"/>
          <w:shd w:val="clear" w:color="auto" w:fill="FFFFFF"/>
        </w:rPr>
        <w:t>。</w:t>
      </w:r>
    </w:p>
    <w:p w14:paraId="1411612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0" w:afterAutospacing="0" w:line="360" w:lineRule="auto"/>
        <w:ind w:left="0" w:right="0" w:firstLine="0"/>
        <w:jc w:val="left"/>
        <w:textAlignment w:val="baseline"/>
        <w:rPr>
          <w:rStyle w:val="44"/>
          <w:rFonts w:hint="eastAsia" w:ascii="宋体" w:hAnsi="宋体" w:eastAsia="宋体" w:cs="宋体"/>
          <w:b/>
          <w:bCs/>
          <w:i w:val="0"/>
          <w:iCs w:val="0"/>
          <w:caps w:val="0"/>
          <w:color w:val="333333"/>
          <w:spacing w:val="0"/>
          <w:sz w:val="24"/>
          <w:szCs w:val="24"/>
          <w:highlight w:val="none"/>
          <w:shd w:val="clear" w:color="auto" w:fill="FFFFFF"/>
          <w:vertAlign w:val="baseline"/>
        </w:rPr>
      </w:pPr>
      <w:r>
        <w:rPr>
          <w:rStyle w:val="44"/>
          <w:rFonts w:hint="eastAsia" w:ascii="宋体" w:hAnsi="宋体" w:eastAsia="宋体" w:cs="宋体"/>
          <w:b/>
          <w:bCs/>
          <w:i w:val="0"/>
          <w:iCs w:val="0"/>
          <w:caps w:val="0"/>
          <w:color w:val="333333"/>
          <w:spacing w:val="0"/>
          <w:sz w:val="24"/>
          <w:szCs w:val="24"/>
          <w:highlight w:val="none"/>
          <w:shd w:val="clear" w:color="auto" w:fill="FFFFFF"/>
          <w:vertAlign w:val="baseline"/>
        </w:rPr>
        <w:t>二、申请人的资格要求：</w:t>
      </w:r>
    </w:p>
    <w:p w14:paraId="7F1574E1">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vertAlign w:val="baseline"/>
        </w:rPr>
        <w:t>1.满足《中华人民共和国政府釆购法》第二十二条规定;</w:t>
      </w:r>
    </w:p>
    <w:p w14:paraId="5EF530BC">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vertAlign w:val="baseline"/>
        </w:rPr>
        <w:t>2.落实政府采购政策需满足的资格要求：</w:t>
      </w:r>
    </w:p>
    <w:p w14:paraId="26FEF86B">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vertAlign w:val="baseline"/>
        </w:rPr>
        <w:t>合同包1(</w:t>
      </w:r>
      <w:r>
        <w:rPr>
          <w:rFonts w:hint="eastAsia" w:cs="宋体"/>
          <w:i w:val="0"/>
          <w:iCs w:val="0"/>
          <w:caps w:val="0"/>
          <w:color w:val="333333"/>
          <w:spacing w:val="0"/>
          <w:sz w:val="24"/>
          <w:szCs w:val="24"/>
          <w:highlight w:val="none"/>
          <w:shd w:val="clear" w:color="auto" w:fill="FFFFFF"/>
          <w:vertAlign w:val="baseline"/>
          <w:lang w:eastAsia="zh-CN"/>
        </w:rPr>
        <w:t>汾渭平原交通污染试点监测能力建设项目（二期）</w:t>
      </w:r>
      <w:r>
        <w:rPr>
          <w:rFonts w:hint="eastAsia" w:ascii="宋体" w:hAnsi="宋体" w:eastAsia="宋体" w:cs="宋体"/>
          <w:i w:val="0"/>
          <w:iCs w:val="0"/>
          <w:caps w:val="0"/>
          <w:color w:val="333333"/>
          <w:spacing w:val="0"/>
          <w:sz w:val="24"/>
          <w:szCs w:val="24"/>
          <w:highlight w:val="none"/>
          <w:shd w:val="clear" w:color="auto" w:fill="FFFFFF"/>
          <w:vertAlign w:val="baseline"/>
        </w:rPr>
        <w:t>)落实政府采购政策需满足的资格要求如下:</w:t>
      </w:r>
    </w:p>
    <w:p w14:paraId="4D3E1511">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rPr>
        <w:t>本合同包不专门面向中小企业采购</w:t>
      </w:r>
    </w:p>
    <w:p w14:paraId="153BD137">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vertAlign w:val="baseline"/>
        </w:rPr>
        <w:t>3.本项目的特定资格要求：</w:t>
      </w:r>
    </w:p>
    <w:p w14:paraId="59E86ED5">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39" w:leftChars="114" w:right="0" w:firstLine="307" w:firstLineChars="128"/>
        <w:jc w:val="both"/>
        <w:textAlignment w:val="baseline"/>
        <w:rPr>
          <w:rFonts w:hint="eastAsia" w:cs="宋体"/>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rPr>
        <w:t>合同包1(</w:t>
      </w:r>
      <w:r>
        <w:rPr>
          <w:rFonts w:hint="eastAsia" w:cs="宋体"/>
          <w:i w:val="0"/>
          <w:iCs w:val="0"/>
          <w:caps w:val="0"/>
          <w:color w:val="auto"/>
          <w:spacing w:val="0"/>
          <w:sz w:val="24"/>
          <w:szCs w:val="24"/>
          <w:highlight w:val="none"/>
          <w:shd w:val="clear" w:color="auto" w:fill="FFFFFF"/>
          <w:vertAlign w:val="baseline"/>
          <w:lang w:eastAsia="zh-CN"/>
        </w:rPr>
        <w:t>汾渭平原交通污染试点监测能力建设项目（二期）</w:t>
      </w:r>
      <w:r>
        <w:rPr>
          <w:rFonts w:hint="eastAsia" w:ascii="宋体" w:hAnsi="宋体" w:eastAsia="宋体" w:cs="宋体"/>
          <w:i w:val="0"/>
          <w:iCs w:val="0"/>
          <w:caps w:val="0"/>
          <w:color w:val="auto"/>
          <w:spacing w:val="0"/>
          <w:sz w:val="24"/>
          <w:szCs w:val="24"/>
          <w:highlight w:val="none"/>
          <w:shd w:val="clear" w:color="auto" w:fill="FFFFFF"/>
          <w:vertAlign w:val="baseline"/>
        </w:rPr>
        <w:t>)特定资格要求如下:</w:t>
      </w:r>
      <w:r>
        <w:rPr>
          <w:rFonts w:hint="eastAsia" w:ascii="宋体" w:hAnsi="宋体" w:eastAsia="宋体" w:cs="宋体"/>
          <w:sz w:val="24"/>
          <w:szCs w:val="24"/>
          <w:highlight w:val="none"/>
          <w:shd w:val="clear" w:color="auto" w:fill="FFFFFF"/>
        </w:rPr>
        <w:t xml:space="preserve"> </w:t>
      </w:r>
      <w:r>
        <w:rPr>
          <w:rFonts w:hint="eastAsia" w:cs="宋体"/>
          <w:sz w:val="24"/>
          <w:szCs w:val="24"/>
          <w:highlight w:val="none"/>
          <w:shd w:val="clear" w:color="auto" w:fill="FFFFFF"/>
          <w:lang w:val="en-US" w:eastAsia="zh-CN"/>
        </w:rPr>
        <w:t xml:space="preserve"> </w:t>
      </w:r>
    </w:p>
    <w:p w14:paraId="27E59C4E">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39" w:leftChars="114" w:right="0" w:firstLine="307" w:firstLineChars="128"/>
        <w:jc w:val="both"/>
        <w:textAlignment w:val="baseline"/>
        <w:rPr>
          <w:rFonts w:hint="eastAsia" w:ascii="宋体" w:hAnsi="宋体" w:eastAsia="宋体" w:cs="宋体"/>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333333"/>
          <w:spacing w:val="0"/>
          <w:sz w:val="24"/>
          <w:szCs w:val="24"/>
          <w:highlight w:val="none"/>
          <w:shd w:val="clear" w:color="auto" w:fill="FFFFFF"/>
          <w:vertAlign w:val="baseline"/>
          <w:lang w:val="en-US" w:eastAsia="zh-CN"/>
        </w:rPr>
        <w:t>1</w:t>
      </w:r>
      <w:r>
        <w:rPr>
          <w:rFonts w:hint="eastAsia" w:ascii="宋体" w:hAnsi="宋体" w:eastAsia="宋体" w:cs="宋体"/>
          <w:i w:val="0"/>
          <w:iCs w:val="0"/>
          <w:caps w:val="0"/>
          <w:color w:val="333333"/>
          <w:spacing w:val="0"/>
          <w:sz w:val="24"/>
          <w:szCs w:val="24"/>
          <w:highlight w:val="none"/>
          <w:shd w:val="clear" w:color="auto" w:fill="FFFFFF"/>
          <w:vertAlign w:val="baseline"/>
          <w:lang w:eastAsia="zh-CN"/>
        </w:rPr>
        <w:t>）</w:t>
      </w:r>
      <w:r>
        <w:rPr>
          <w:rFonts w:hint="eastAsia" w:ascii="宋体" w:hAnsi="宋体" w:eastAsia="宋体" w:cs="宋体"/>
          <w:i w:val="0"/>
          <w:iCs w:val="0"/>
          <w:caps w:val="0"/>
          <w:color w:val="333333"/>
          <w:spacing w:val="0"/>
          <w:sz w:val="24"/>
          <w:szCs w:val="24"/>
          <w:highlight w:val="none"/>
          <w:shd w:val="clear" w:color="auto" w:fill="FFFFFF"/>
          <w:vertAlign w:val="baseline"/>
        </w:rPr>
        <w:t>法定代表人授权书及被授权人身份证（法定代表人直接参加投标的须提供其法人身份证），非法人单位参照执行。</w:t>
      </w:r>
    </w:p>
    <w:p w14:paraId="7F625A6F">
      <w:pPr>
        <w:pStyle w:val="3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39" w:leftChars="114" w:right="0" w:firstLine="307" w:firstLineChars="128"/>
        <w:jc w:val="both"/>
        <w:textAlignment w:val="baseline"/>
        <w:rPr>
          <w:rStyle w:val="44"/>
          <w:rFonts w:hint="eastAsia" w:ascii="宋体" w:hAnsi="宋体" w:eastAsia="宋体" w:cs="宋体"/>
          <w:b/>
          <w:bCs/>
          <w:i w:val="0"/>
          <w:iCs w:val="0"/>
          <w:caps w:val="0"/>
          <w:color w:val="333333"/>
          <w:spacing w:val="0"/>
          <w:sz w:val="24"/>
          <w:szCs w:val="24"/>
          <w:highlight w:val="none"/>
          <w:shd w:val="clear" w:color="auto" w:fill="FFFFFF"/>
          <w:vertAlign w:val="baseline"/>
        </w:rPr>
      </w:pPr>
      <w:r>
        <w:rPr>
          <w:rFonts w:hint="eastAsia" w:ascii="宋体" w:hAnsi="宋体" w:eastAsia="宋体" w:cs="宋体"/>
          <w:i w:val="0"/>
          <w:iCs w:val="0"/>
          <w:caps w:val="0"/>
          <w:color w:val="333333"/>
          <w:spacing w:val="0"/>
          <w:sz w:val="24"/>
          <w:szCs w:val="24"/>
          <w:highlight w:val="none"/>
          <w:shd w:val="clear" w:color="auto" w:fill="FFFFFF"/>
          <w:vertAlign w:val="baseline"/>
          <w:lang w:eastAsia="zh-CN"/>
        </w:rPr>
        <w:t>（2）供应商不得为“信用中国”网站（www.creditchina.gov.cn）中列入失信被执行人（中国执行信息公开网http：//zxgk.court.gov.cn）和重大税收违法失信主体名单的供应商，不得为中国政府采购网（www.ccgp.gov.cn）政府采购严重违法失信行为记录名单中被财政部门禁止参加政府采购活动的供应商；</w:t>
      </w:r>
    </w:p>
    <w:p w14:paraId="53E68F31">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left"/>
        <w:rPr>
          <w:rFonts w:hint="eastAsia" w:ascii="宋体" w:hAnsi="宋体" w:eastAsia="宋体" w:cs="宋体"/>
          <w:b w:val="0"/>
          <w:sz w:val="24"/>
          <w:szCs w:val="24"/>
          <w:highlight w:val="none"/>
        </w:rPr>
      </w:pPr>
      <w:r>
        <w:rPr>
          <w:rStyle w:val="44"/>
          <w:rFonts w:hint="eastAsia" w:ascii="宋体" w:hAnsi="宋体" w:eastAsia="宋体" w:cs="宋体"/>
          <w:b/>
          <w:bCs w:val="0"/>
          <w:spacing w:val="0"/>
          <w:sz w:val="24"/>
          <w:szCs w:val="24"/>
          <w:highlight w:val="none"/>
          <w:shd w:val="clear" w:color="auto" w:fill="FFFFFF"/>
        </w:rPr>
        <w:t>三、获取采购文件</w:t>
      </w:r>
    </w:p>
    <w:p w14:paraId="6EF5858C">
      <w:pPr>
        <w:pStyle w:val="3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firstLineChars="200"/>
        <w:rPr>
          <w:rFonts w:hint="eastAsia" w:cs="宋体"/>
          <w:highlight w:val="none"/>
          <w:shd w:val="clear" w:color="auto" w:fill="FFFFFF"/>
          <w:lang w:val="en-US" w:eastAsia="zh-CN"/>
        </w:rPr>
      </w:pPr>
      <w:r>
        <w:rPr>
          <w:rFonts w:hint="eastAsia" w:ascii="宋体" w:hAnsi="宋体" w:eastAsia="宋体" w:cs="宋体"/>
          <w:highlight w:val="none"/>
          <w:shd w:val="clear" w:color="auto" w:fill="FFFFFF"/>
        </w:rPr>
        <w:t>时间：202</w:t>
      </w:r>
      <w:r>
        <w:rPr>
          <w:rFonts w:hint="eastAsia" w:cs="宋体"/>
          <w:highlight w:val="none"/>
          <w:shd w:val="clear" w:color="auto" w:fill="FFFFFF"/>
          <w:lang w:val="en-US" w:eastAsia="zh-CN"/>
        </w:rPr>
        <w:t>5</w:t>
      </w:r>
      <w:r>
        <w:rPr>
          <w:rFonts w:hint="eastAsia" w:ascii="宋体" w:hAnsi="宋体" w:eastAsia="宋体" w:cs="宋体"/>
          <w:highlight w:val="none"/>
          <w:shd w:val="clear" w:color="auto" w:fill="FFFFFF"/>
        </w:rPr>
        <w:t>年</w:t>
      </w:r>
      <w:r>
        <w:rPr>
          <w:rFonts w:hint="eastAsia" w:cs="宋体"/>
          <w:highlight w:val="none"/>
          <w:shd w:val="clear" w:color="auto" w:fill="FFFFFF"/>
          <w:lang w:val="en-US" w:eastAsia="zh-CN"/>
        </w:rPr>
        <w:t>4</w:t>
      </w:r>
      <w:r>
        <w:rPr>
          <w:rFonts w:hint="eastAsia" w:ascii="宋体" w:hAnsi="宋体" w:eastAsia="宋体" w:cs="宋体"/>
          <w:highlight w:val="none"/>
          <w:shd w:val="clear" w:color="auto" w:fill="FFFFFF"/>
        </w:rPr>
        <w:t>月</w:t>
      </w:r>
      <w:r>
        <w:rPr>
          <w:rFonts w:hint="eastAsia" w:cs="宋体"/>
          <w:highlight w:val="none"/>
          <w:shd w:val="clear" w:color="auto" w:fill="FFFFFF"/>
          <w:lang w:val="en-US" w:eastAsia="zh-CN"/>
        </w:rPr>
        <w:t>24</w:t>
      </w:r>
      <w:r>
        <w:rPr>
          <w:rFonts w:hint="eastAsia" w:ascii="宋体" w:hAnsi="宋体" w:eastAsia="宋体" w:cs="宋体"/>
          <w:highlight w:val="none"/>
          <w:shd w:val="clear" w:color="auto" w:fill="FFFFFF"/>
        </w:rPr>
        <w:t>日至202</w:t>
      </w:r>
      <w:r>
        <w:rPr>
          <w:rFonts w:hint="eastAsia" w:cs="宋体"/>
          <w:highlight w:val="none"/>
          <w:shd w:val="clear" w:color="auto" w:fill="FFFFFF"/>
          <w:lang w:val="en-US" w:eastAsia="zh-CN"/>
        </w:rPr>
        <w:t>5</w:t>
      </w:r>
      <w:r>
        <w:rPr>
          <w:rFonts w:hint="eastAsia" w:ascii="宋体" w:hAnsi="宋体" w:eastAsia="宋体" w:cs="宋体"/>
          <w:highlight w:val="none"/>
          <w:shd w:val="clear" w:color="auto" w:fill="FFFFFF"/>
        </w:rPr>
        <w:t>年</w:t>
      </w:r>
      <w:r>
        <w:rPr>
          <w:rFonts w:hint="eastAsia" w:cs="宋体"/>
          <w:highlight w:val="none"/>
          <w:shd w:val="clear" w:color="auto" w:fill="FFFFFF"/>
          <w:lang w:val="en-US" w:eastAsia="zh-CN"/>
        </w:rPr>
        <w:t>4</w:t>
      </w:r>
      <w:r>
        <w:rPr>
          <w:rFonts w:hint="eastAsia" w:ascii="宋体" w:hAnsi="宋体" w:eastAsia="宋体" w:cs="宋体"/>
          <w:highlight w:val="none"/>
          <w:shd w:val="clear" w:color="auto" w:fill="FFFFFF"/>
        </w:rPr>
        <w:t>月</w:t>
      </w:r>
      <w:r>
        <w:rPr>
          <w:rFonts w:hint="eastAsia" w:cs="宋体"/>
          <w:highlight w:val="none"/>
          <w:shd w:val="clear" w:color="auto" w:fill="FFFFFF"/>
          <w:lang w:val="en-US" w:eastAsia="zh-CN"/>
        </w:rPr>
        <w:t>29</w:t>
      </w:r>
      <w:r>
        <w:rPr>
          <w:rFonts w:hint="eastAsia" w:ascii="宋体" w:hAnsi="宋体" w:eastAsia="宋体" w:cs="宋体"/>
          <w:highlight w:val="none"/>
          <w:shd w:val="clear" w:color="auto" w:fill="FFFFFF"/>
        </w:rPr>
        <w:t>日</w:t>
      </w:r>
      <w:r>
        <w:rPr>
          <w:rFonts w:hint="eastAsia" w:cs="宋体"/>
          <w:highlight w:val="none"/>
          <w:shd w:val="clear" w:color="auto" w:fill="FFFFFF"/>
          <w:lang w:val="en-US" w:eastAsia="zh-CN"/>
        </w:rPr>
        <w:t>，每天上午00:00:00至12:00:00，下午12:00:00至23:59:59（北京时间）</w:t>
      </w:r>
    </w:p>
    <w:p w14:paraId="72F309FE">
      <w:pPr>
        <w:pStyle w:val="3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途径：全国公共资源交易平台（陕西省·西咸新区）公共资源交易中心自行下载</w:t>
      </w:r>
    </w:p>
    <w:p w14:paraId="1ADFBD57">
      <w:pPr>
        <w:pStyle w:val="3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方式：在线获取</w:t>
      </w:r>
    </w:p>
    <w:p w14:paraId="01BD8FB2">
      <w:pPr>
        <w:pStyle w:val="3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售价：免费获取</w:t>
      </w:r>
    </w:p>
    <w:p w14:paraId="70F25C0E">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left"/>
        <w:rPr>
          <w:rStyle w:val="44"/>
          <w:rFonts w:hint="eastAsia" w:ascii="宋体" w:hAnsi="宋体" w:eastAsia="宋体" w:cs="宋体"/>
          <w:b/>
          <w:bCs/>
          <w:spacing w:val="0"/>
          <w:sz w:val="24"/>
          <w:szCs w:val="24"/>
          <w:highlight w:val="none"/>
          <w:shd w:val="clear" w:color="auto" w:fill="FFFFFF"/>
        </w:rPr>
      </w:pPr>
      <w:r>
        <w:rPr>
          <w:rStyle w:val="44"/>
          <w:rFonts w:hint="eastAsia" w:ascii="宋体" w:hAnsi="宋体" w:eastAsia="宋体" w:cs="宋体"/>
          <w:b/>
          <w:bCs/>
          <w:spacing w:val="0"/>
          <w:sz w:val="24"/>
          <w:szCs w:val="24"/>
          <w:highlight w:val="none"/>
          <w:shd w:val="clear" w:color="auto" w:fill="FFFFFF"/>
        </w:rPr>
        <w:t>四、提交投标文件截止时间、开标时间和地点</w:t>
      </w:r>
    </w:p>
    <w:p w14:paraId="716C4454">
      <w:pPr>
        <w:pStyle w:val="3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时间：202</w:t>
      </w:r>
      <w:r>
        <w:rPr>
          <w:rFonts w:hint="eastAsia" w:cs="宋体"/>
          <w:highlight w:val="none"/>
          <w:shd w:val="clear" w:color="auto" w:fill="FFFFFF"/>
          <w:lang w:val="en-US" w:eastAsia="zh-CN"/>
        </w:rPr>
        <w:t>5</w:t>
      </w:r>
      <w:r>
        <w:rPr>
          <w:rFonts w:hint="eastAsia" w:ascii="宋体" w:hAnsi="宋体" w:eastAsia="宋体" w:cs="宋体"/>
          <w:highlight w:val="none"/>
          <w:shd w:val="clear" w:color="auto" w:fill="FFFFFF"/>
        </w:rPr>
        <w:t>年</w:t>
      </w:r>
      <w:r>
        <w:rPr>
          <w:rFonts w:hint="eastAsia" w:cs="宋体"/>
          <w:highlight w:val="none"/>
          <w:shd w:val="clear" w:color="auto" w:fill="FFFFFF"/>
          <w:lang w:val="en-US" w:eastAsia="zh-CN"/>
        </w:rPr>
        <w:t xml:space="preserve">5 </w:t>
      </w:r>
      <w:r>
        <w:rPr>
          <w:rFonts w:hint="eastAsia" w:ascii="宋体" w:hAnsi="宋体" w:eastAsia="宋体" w:cs="宋体"/>
          <w:highlight w:val="none"/>
          <w:shd w:val="clear" w:color="auto" w:fill="FFFFFF"/>
        </w:rPr>
        <w:t>月</w:t>
      </w:r>
      <w:r>
        <w:rPr>
          <w:rFonts w:hint="eastAsia" w:cs="宋体"/>
          <w:highlight w:val="none"/>
          <w:shd w:val="clear" w:color="auto" w:fill="FFFFFF"/>
          <w:lang w:val="en-US" w:eastAsia="zh-CN"/>
        </w:rPr>
        <w:t xml:space="preserve"> 14 </w:t>
      </w:r>
      <w:r>
        <w:rPr>
          <w:rFonts w:hint="eastAsia" w:ascii="宋体" w:hAnsi="宋体" w:eastAsia="宋体" w:cs="宋体"/>
          <w:highlight w:val="none"/>
          <w:shd w:val="clear" w:color="auto" w:fill="FFFFFF"/>
        </w:rPr>
        <w:t>日 1</w:t>
      </w:r>
      <w:r>
        <w:rPr>
          <w:rFonts w:hint="eastAsia" w:eastAsia="宋体" w:cs="宋体"/>
          <w:highlight w:val="none"/>
          <w:shd w:val="clear" w:color="auto" w:fill="FFFFFF"/>
          <w:lang w:val="en-US" w:eastAsia="zh-CN"/>
        </w:rPr>
        <w:t>4</w:t>
      </w:r>
      <w:r>
        <w:rPr>
          <w:rFonts w:hint="eastAsia" w:ascii="宋体" w:hAnsi="宋体" w:eastAsia="宋体" w:cs="宋体"/>
          <w:highlight w:val="none"/>
          <w:shd w:val="clear" w:color="auto" w:fill="FFFFFF"/>
        </w:rPr>
        <w:t>时</w:t>
      </w:r>
      <w:r>
        <w:rPr>
          <w:rFonts w:hint="eastAsia" w:cs="宋体"/>
          <w:highlight w:val="none"/>
          <w:shd w:val="clear" w:color="auto" w:fill="FFFFFF"/>
          <w:lang w:val="en-US" w:eastAsia="zh-CN"/>
        </w:rPr>
        <w:t>0</w:t>
      </w:r>
      <w:r>
        <w:rPr>
          <w:rFonts w:hint="eastAsia" w:ascii="宋体" w:hAnsi="宋体" w:eastAsia="宋体" w:cs="宋体"/>
          <w:highlight w:val="none"/>
          <w:shd w:val="clear" w:color="auto" w:fill="FFFFFF"/>
        </w:rPr>
        <w:t>0分00秒 （北京时间）</w:t>
      </w:r>
    </w:p>
    <w:p w14:paraId="18328F9C">
      <w:pPr>
        <w:pStyle w:val="3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提交投标文件地点：全国公共资源交易平台（陕西省·西咸新区）不见面开标大厅</w:t>
      </w:r>
    </w:p>
    <w:p w14:paraId="05BD9218">
      <w:pPr>
        <w:pStyle w:val="3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开标地点：全国公共资源交易平台（陕西省·西咸新区）不见面开标大厅</w:t>
      </w:r>
    </w:p>
    <w:p w14:paraId="4A9436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Style w:val="44"/>
          <w:rFonts w:hint="eastAsia" w:ascii="宋体" w:hAnsi="宋体" w:eastAsia="宋体" w:cs="宋体"/>
          <w:b/>
          <w:bCs/>
          <w:i w:val="0"/>
          <w:iCs w:val="0"/>
          <w:caps w:val="0"/>
          <w:color w:val="333333"/>
          <w:spacing w:val="0"/>
          <w:sz w:val="24"/>
          <w:szCs w:val="24"/>
          <w:highlight w:val="none"/>
          <w:shd w:val="clear" w:color="auto" w:fill="FFFFFF"/>
          <w:vertAlign w:val="baseline"/>
        </w:rPr>
      </w:pPr>
      <w:r>
        <w:rPr>
          <w:rStyle w:val="44"/>
          <w:rFonts w:hint="eastAsia" w:ascii="宋体" w:hAnsi="宋体" w:eastAsia="宋体" w:cs="宋体"/>
          <w:b/>
          <w:bCs/>
          <w:i w:val="0"/>
          <w:iCs w:val="0"/>
          <w:caps w:val="0"/>
          <w:color w:val="333333"/>
          <w:spacing w:val="0"/>
          <w:sz w:val="24"/>
          <w:szCs w:val="24"/>
          <w:highlight w:val="none"/>
          <w:shd w:val="clear" w:color="auto" w:fill="FFFFFF"/>
          <w:vertAlign w:val="baseline"/>
          <w:lang w:val="en-US" w:eastAsia="zh-CN"/>
        </w:rPr>
        <w:t>五</w:t>
      </w:r>
      <w:r>
        <w:rPr>
          <w:rStyle w:val="44"/>
          <w:rFonts w:hint="eastAsia" w:ascii="宋体" w:hAnsi="宋体" w:eastAsia="宋体" w:cs="宋体"/>
          <w:b/>
          <w:bCs/>
          <w:i w:val="0"/>
          <w:iCs w:val="0"/>
          <w:caps w:val="0"/>
          <w:color w:val="333333"/>
          <w:spacing w:val="0"/>
          <w:sz w:val="24"/>
          <w:szCs w:val="24"/>
          <w:highlight w:val="none"/>
          <w:shd w:val="clear" w:color="auto" w:fill="FFFFFF"/>
          <w:vertAlign w:val="baseline"/>
        </w:rPr>
        <w:t>、公告期限</w:t>
      </w:r>
    </w:p>
    <w:p w14:paraId="18416A45">
      <w:pPr>
        <w:pStyle w:val="3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color="auto" w:fill="FFFFFF"/>
          <w:vertAlign w:val="baseline"/>
        </w:rPr>
        <w:t>自本公告发布之日起</w:t>
      </w:r>
      <w:r>
        <w:rPr>
          <w:rFonts w:hint="eastAsia" w:eastAsia="宋体" w:cs="宋体"/>
          <w:i w:val="0"/>
          <w:iCs w:val="0"/>
          <w:caps w:val="0"/>
          <w:color w:val="333333"/>
          <w:spacing w:val="0"/>
          <w:sz w:val="24"/>
          <w:szCs w:val="24"/>
          <w:highlight w:val="none"/>
          <w:shd w:val="clear" w:color="auto" w:fill="FFFFFF"/>
          <w:vertAlign w:val="baseline"/>
          <w:lang w:val="en-US" w:eastAsia="zh-CN"/>
        </w:rPr>
        <w:t>5</w:t>
      </w:r>
      <w:r>
        <w:rPr>
          <w:rFonts w:hint="eastAsia" w:ascii="宋体" w:hAnsi="宋体" w:eastAsia="宋体" w:cs="宋体"/>
          <w:i w:val="0"/>
          <w:iCs w:val="0"/>
          <w:caps w:val="0"/>
          <w:color w:val="333333"/>
          <w:spacing w:val="0"/>
          <w:sz w:val="24"/>
          <w:szCs w:val="24"/>
          <w:highlight w:val="none"/>
          <w:shd w:val="clear" w:color="auto" w:fill="FFFFFF"/>
          <w:vertAlign w:val="baseline"/>
        </w:rPr>
        <w:t>个工作日。</w:t>
      </w:r>
    </w:p>
    <w:p w14:paraId="70B0C9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0" w:afterAutospacing="0" w:line="360" w:lineRule="auto"/>
        <w:ind w:left="0" w:right="0" w:firstLine="0"/>
        <w:jc w:val="left"/>
        <w:textAlignment w:val="baseline"/>
        <w:rPr>
          <w:rStyle w:val="44"/>
          <w:rFonts w:hint="eastAsia" w:ascii="宋体" w:hAnsi="宋体" w:eastAsia="宋体" w:cs="宋体"/>
          <w:b/>
          <w:bCs/>
          <w:i w:val="0"/>
          <w:iCs w:val="0"/>
          <w:caps w:val="0"/>
          <w:color w:val="333333"/>
          <w:spacing w:val="0"/>
          <w:sz w:val="24"/>
          <w:szCs w:val="24"/>
          <w:highlight w:val="none"/>
          <w:shd w:val="clear" w:color="auto" w:fill="FFFFFF"/>
          <w:vertAlign w:val="baseline"/>
        </w:rPr>
      </w:pPr>
      <w:r>
        <w:rPr>
          <w:rStyle w:val="44"/>
          <w:rFonts w:hint="eastAsia" w:ascii="宋体" w:hAnsi="宋体" w:eastAsia="宋体" w:cs="宋体"/>
          <w:b/>
          <w:bCs/>
          <w:i w:val="0"/>
          <w:iCs w:val="0"/>
          <w:caps w:val="0"/>
          <w:color w:val="333333"/>
          <w:spacing w:val="0"/>
          <w:sz w:val="24"/>
          <w:szCs w:val="24"/>
          <w:highlight w:val="none"/>
          <w:shd w:val="clear" w:color="auto" w:fill="FFFFFF"/>
          <w:vertAlign w:val="baseline"/>
          <w:lang w:val="en-US" w:eastAsia="zh-CN"/>
        </w:rPr>
        <w:t>六</w:t>
      </w:r>
      <w:r>
        <w:rPr>
          <w:rStyle w:val="44"/>
          <w:rFonts w:hint="eastAsia" w:ascii="宋体" w:hAnsi="宋体" w:eastAsia="宋体" w:cs="宋体"/>
          <w:b/>
          <w:bCs/>
          <w:i w:val="0"/>
          <w:iCs w:val="0"/>
          <w:caps w:val="0"/>
          <w:color w:val="333333"/>
          <w:spacing w:val="0"/>
          <w:sz w:val="24"/>
          <w:szCs w:val="24"/>
          <w:highlight w:val="none"/>
          <w:shd w:val="clear" w:color="auto" w:fill="FFFFFF"/>
          <w:vertAlign w:val="baseline"/>
        </w:rPr>
        <w:t>、其他补充事宜</w:t>
      </w:r>
    </w:p>
    <w:p w14:paraId="5944F112">
      <w:pPr>
        <w:pStyle w:val="3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1.落实的政府采购政策：（1）《政府采购促进中小企业发展管理办法》（财库〔2020〕46号）；（2）《关于进一步加大政府采购支持中小企业力度的通知》（财库〔2022〕19号；（3）《陕西省财政厅关于进一步加大政府采购支持中小企业力度的通知》（陕财办采〔2022〕5号）；（4）《财政部 司法部关于政府采购支持监狱企业发展有关问题的通知》（财库〔2014〕68号）；（5）《三部门联合发布关于促进残疾人就业政府采购政策的通知》（财库〔2017〕141号）；（6）《国务院办公厅关于建立政府强制采购节能产品制度的通知》（国发办〔2007〕51号）；（7）《财政部 发展改革委 生态环境部 市场监管总局关于调整优化节能产品、环境标志产品政府采购执行机制的通知》（财库〔2019〕9号）；（8）《关于运用政府采购政策支持乡村产业振兴的通知》（财库〔2021〕19 号）；（9）《财政部农业农村部国家 乡村振兴局 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陕西省财政厅关于印发《陕西省中小企业政府采购信用融资办法》（陕财办采〔2018〕23号）；（13）陕西省财政厅《关于加快推进我省中小企业政府采购信用融资工作的通知》（陕财办采〔2020〕15号）；（14）其他需要落实的政府采购政策，详见招标文件。</w:t>
      </w:r>
    </w:p>
    <w:p w14:paraId="4C0859D4">
      <w:pPr>
        <w:pStyle w:val="3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2.融资平台：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w:t>
      </w:r>
    </w:p>
    <w:p w14:paraId="24A9AA7B">
      <w:pPr>
        <w:pStyle w:val="3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3.请供应商按照陕西省财政厅关于政府采购供应商注册登记有关事项的通知中的要求，通过陕西省政府采购网（http://www.ccgp-shaanxi.gov.cn/）注册登记加入陕西省政府采购供应商库。</w:t>
      </w:r>
    </w:p>
    <w:p w14:paraId="6B82A614">
      <w:pPr>
        <w:pStyle w:val="3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4.网上投标确认流程：登录全国公共资源交易平台（陕西省·西咸新区）（http://xxxq.sxggzyjy.cn/），选择“电子交易平台-陕西政府采购交易系统”进行登录，登录后选择“交易乙方”选择本项目选择“我要投标”填写相关信息后提交确认。</w:t>
      </w:r>
    </w:p>
    <w:p w14:paraId="79C823D8">
      <w:pPr>
        <w:pStyle w:val="3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5.获取采购文件方式：选择本项目点击“项目流程”进入采购文件下载页面，点击“交易文件下载”即可下载该项目发布的电子采购文件。投标人须在获取采购文件时限内（即发售时间内）登录陕西省西咸新区公共资源交易中心平台系统，直接下载采购文件。逾期下载通道将关闭，未及时下载采购文件将会影响后续开评标活动。</w:t>
      </w:r>
    </w:p>
    <w:p w14:paraId="7D865B6C">
      <w:pPr>
        <w:pStyle w:val="3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6.办理CA锁方式：供应商初次使用交易平台，需前往陕西省数字证书认证中心股份有限公司办理 CA 锁，办理地址及咨询电话如下：西安市高新三路九号新时代大厦六楼，咨询电话:4006369888 ；西安市长安北路14号省体育公寓B 座一楼，咨询电话：029-88661241 ；西安市公共资源交易中心：西安市文景北路16号白桦林国际B座2楼最右12号窗口，电话：029-86510073转80211。</w:t>
      </w:r>
    </w:p>
    <w:p w14:paraId="7248E3D4">
      <w:pPr>
        <w:pStyle w:val="3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7.本项目采用“不见面开标”方式，各供应商可登录（http://ggzyjy.xixianxinqu.gov.cn/xwzx/002002/20210721/d7421699-e891-4f40-b441-dccc415e05b3.html）下载操作手册,并在投标截止时间前通过全国公共资源交易平台（陕西省·西咸新区）递交电子</w:t>
      </w:r>
      <w:r>
        <w:rPr>
          <w:rFonts w:hint="eastAsia" w:cs="宋体"/>
          <w:highlight w:val="none"/>
          <w:shd w:val="clear" w:color="auto" w:fill="FFFFFF"/>
          <w:lang w:val="en-US" w:eastAsia="zh-CN"/>
        </w:rPr>
        <w:t>投标</w:t>
      </w:r>
      <w:r>
        <w:rPr>
          <w:rFonts w:hint="eastAsia" w:ascii="宋体" w:hAnsi="宋体" w:eastAsia="宋体" w:cs="宋体"/>
          <w:highlight w:val="none"/>
          <w:shd w:val="clear" w:color="auto" w:fill="FFFFFF"/>
          <w:lang w:val="en-US" w:eastAsia="zh-CN"/>
        </w:rPr>
        <w:t>文件。因投标人自身设施故障或自身原因导致无法完成投标的，由投标人自行承担后果。</w:t>
      </w:r>
    </w:p>
    <w:p w14:paraId="14938903">
      <w:pPr>
        <w:pStyle w:val="35"/>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480"/>
        <w:rPr>
          <w:rFonts w:hint="eastAsia" w:ascii="宋体" w:hAnsi="宋体" w:eastAsia="宋体" w:cs="宋体"/>
          <w:highlight w:val="none"/>
          <w:shd w:val="clear" w:color="auto" w:fill="FFFFFF"/>
          <w:lang w:val="en-US" w:eastAsia="zh-CN"/>
        </w:rPr>
      </w:pPr>
      <w:r>
        <w:rPr>
          <w:rFonts w:hint="eastAsia" w:ascii="宋体" w:hAnsi="宋体" w:eastAsia="宋体" w:cs="宋体"/>
          <w:highlight w:val="none"/>
          <w:shd w:val="clear" w:color="auto" w:fill="FFFFFF"/>
          <w:lang w:val="en-US" w:eastAsia="zh-CN"/>
        </w:rPr>
        <w:t>8.为了保证远程不见面开标顺利进行，供应商需使用配备相关设备的电脑提前一小时登录网络开标大厅。相关操作流程详见全国公共资源交易平台（陕西省·西咸新区）西咸公共资源交易中心网，技术咨询电话：4009980000。</w:t>
      </w:r>
    </w:p>
    <w:p w14:paraId="4F6642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0" w:beforeAutospacing="0" w:after="0" w:afterAutospacing="0" w:line="360" w:lineRule="auto"/>
        <w:ind w:left="0" w:right="0" w:firstLine="0"/>
        <w:jc w:val="left"/>
        <w:textAlignment w:val="baseline"/>
        <w:rPr>
          <w:rStyle w:val="44"/>
          <w:rFonts w:hint="eastAsia" w:ascii="宋体" w:hAnsi="宋体" w:eastAsia="宋体" w:cs="宋体"/>
          <w:b/>
          <w:bCs/>
          <w:i w:val="0"/>
          <w:iCs w:val="0"/>
          <w:caps w:val="0"/>
          <w:color w:val="auto"/>
          <w:spacing w:val="0"/>
          <w:sz w:val="24"/>
          <w:szCs w:val="24"/>
          <w:highlight w:val="none"/>
          <w:shd w:val="clear" w:color="auto" w:fill="FFFFFF"/>
          <w:vertAlign w:val="baseline"/>
        </w:rPr>
      </w:pPr>
      <w:r>
        <w:rPr>
          <w:rStyle w:val="44"/>
          <w:rFonts w:hint="eastAsia" w:ascii="宋体" w:hAnsi="宋体" w:eastAsia="宋体" w:cs="宋体"/>
          <w:b/>
          <w:bCs/>
          <w:i w:val="0"/>
          <w:iCs w:val="0"/>
          <w:caps w:val="0"/>
          <w:color w:val="auto"/>
          <w:spacing w:val="0"/>
          <w:sz w:val="24"/>
          <w:szCs w:val="24"/>
          <w:highlight w:val="none"/>
          <w:shd w:val="clear" w:color="auto" w:fill="FFFFFF"/>
          <w:vertAlign w:val="baseline"/>
          <w:lang w:val="en-US" w:eastAsia="zh-CN"/>
        </w:rPr>
        <w:t>七</w:t>
      </w:r>
      <w:r>
        <w:rPr>
          <w:rStyle w:val="44"/>
          <w:rFonts w:hint="eastAsia" w:ascii="宋体" w:hAnsi="宋体" w:eastAsia="宋体" w:cs="宋体"/>
          <w:b/>
          <w:bCs/>
          <w:i w:val="0"/>
          <w:iCs w:val="0"/>
          <w:caps w:val="0"/>
          <w:color w:val="auto"/>
          <w:spacing w:val="0"/>
          <w:sz w:val="24"/>
          <w:szCs w:val="24"/>
          <w:highlight w:val="none"/>
          <w:shd w:val="clear" w:color="auto" w:fill="FFFFFF"/>
          <w:vertAlign w:val="baseline"/>
        </w:rPr>
        <w:t>、凡对本次采购提出询问，请按以下方式联系。</w:t>
      </w:r>
    </w:p>
    <w:p w14:paraId="72FF41C7">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65"/>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1.釆购人信息</w:t>
      </w:r>
    </w:p>
    <w:p w14:paraId="477DC151">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65"/>
        <w:textAlignment w:val="auto"/>
        <w:rPr>
          <w:rFonts w:hint="eastAsia"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名称：</w:t>
      </w:r>
      <w:r>
        <w:rPr>
          <w:rFonts w:hint="eastAsia" w:cs="宋体"/>
          <w:color w:val="auto"/>
          <w:sz w:val="24"/>
          <w:szCs w:val="24"/>
          <w:highlight w:val="none"/>
          <w:shd w:val="clear" w:color="auto" w:fill="FFFFFF"/>
          <w:lang w:val="en-US" w:eastAsia="zh-CN"/>
        </w:rPr>
        <w:t>陕西省西咸新区生态环境局</w:t>
      </w:r>
    </w:p>
    <w:p w14:paraId="5F3E7D2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65"/>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地址：</w:t>
      </w:r>
      <w:r>
        <w:rPr>
          <w:rFonts w:hint="eastAsia" w:cs="宋体"/>
          <w:color w:val="auto"/>
          <w:sz w:val="24"/>
          <w:szCs w:val="24"/>
          <w:highlight w:val="none"/>
          <w:shd w:val="clear" w:color="auto" w:fill="FFFFFF"/>
          <w:lang w:val="en-US" w:eastAsia="zh-CN"/>
        </w:rPr>
        <w:t>陕西省西咸新区能源金融贸易区能源路201号西咸大厦</w:t>
      </w:r>
    </w:p>
    <w:p w14:paraId="097A411E">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65"/>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联系方式：</w:t>
      </w:r>
      <w:r>
        <w:rPr>
          <w:rFonts w:hint="eastAsia" w:cs="宋体"/>
          <w:color w:val="auto"/>
          <w:sz w:val="24"/>
          <w:szCs w:val="24"/>
          <w:highlight w:val="none"/>
          <w:shd w:val="clear" w:color="auto" w:fill="FFFFFF"/>
          <w:lang w:val="en-US" w:eastAsia="zh-CN"/>
        </w:rPr>
        <w:t>029-33585034</w:t>
      </w:r>
    </w:p>
    <w:p w14:paraId="0E2EDEF8">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65"/>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2.釆购代理机构信息</w:t>
      </w:r>
    </w:p>
    <w:p w14:paraId="4F3389A2">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65"/>
        <w:textAlignment w:val="auto"/>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名称：</w:t>
      </w:r>
      <w:r>
        <w:rPr>
          <w:rFonts w:hint="eastAsia" w:cs="宋体"/>
          <w:sz w:val="24"/>
          <w:szCs w:val="24"/>
          <w:highlight w:val="none"/>
          <w:shd w:val="clear" w:color="auto" w:fill="FFFFFF"/>
          <w:lang w:val="en-US" w:eastAsia="zh-CN"/>
        </w:rPr>
        <w:t>陕西广联达招标有限公司</w:t>
      </w:r>
    </w:p>
    <w:p w14:paraId="6911C37A">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65"/>
        <w:textAlignment w:val="auto"/>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联系地址：</w:t>
      </w:r>
      <w:r>
        <w:rPr>
          <w:rFonts w:hint="eastAsia" w:cs="宋体"/>
          <w:sz w:val="24"/>
          <w:szCs w:val="24"/>
          <w:highlight w:val="none"/>
          <w:shd w:val="clear" w:color="auto" w:fill="FFFFFF"/>
          <w:lang w:val="en-US" w:eastAsia="zh-CN"/>
        </w:rPr>
        <w:t>西安经济技术开发区明光路55号天朗经开中心25层2505室</w:t>
      </w:r>
    </w:p>
    <w:p w14:paraId="306D0E27">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65"/>
        <w:textAlignment w:val="auto"/>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联系方式：</w:t>
      </w:r>
      <w:r>
        <w:rPr>
          <w:rFonts w:hint="eastAsia" w:cs="宋体"/>
          <w:sz w:val="24"/>
          <w:szCs w:val="24"/>
          <w:highlight w:val="none"/>
          <w:shd w:val="clear" w:color="auto" w:fill="FFFFFF"/>
          <w:lang w:val="en-US" w:eastAsia="zh-CN"/>
        </w:rPr>
        <w:t>029-83666003</w:t>
      </w:r>
    </w:p>
    <w:p w14:paraId="237ACB45">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65"/>
        <w:textAlignment w:val="auto"/>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3.项目联系方式</w:t>
      </w:r>
    </w:p>
    <w:p w14:paraId="53F723DD">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65"/>
        <w:textAlignment w:val="auto"/>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项目联系人：</w:t>
      </w:r>
      <w:r>
        <w:rPr>
          <w:rFonts w:hint="eastAsia" w:cs="宋体"/>
          <w:sz w:val="24"/>
          <w:szCs w:val="24"/>
          <w:highlight w:val="none"/>
          <w:shd w:val="clear" w:color="auto" w:fill="FFFFFF"/>
          <w:lang w:val="en-US" w:eastAsia="zh-CN"/>
        </w:rPr>
        <w:t>张工</w:t>
      </w:r>
    </w:p>
    <w:p w14:paraId="5789EEA6">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65"/>
        <w:textAlignment w:val="auto"/>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电 话：</w:t>
      </w:r>
      <w:r>
        <w:rPr>
          <w:rFonts w:hint="eastAsia" w:cs="宋体"/>
          <w:sz w:val="24"/>
          <w:szCs w:val="24"/>
          <w:highlight w:val="none"/>
          <w:shd w:val="clear" w:color="auto" w:fill="FFFFFF"/>
          <w:lang w:val="en-US" w:eastAsia="zh-CN"/>
        </w:rPr>
        <w:t>029-83666003</w:t>
      </w:r>
    </w:p>
    <w:p w14:paraId="1A2B79A8">
      <w:pPr>
        <w:pStyle w:val="35"/>
        <w:spacing w:before="0" w:beforeAutospacing="0" w:after="0" w:afterAutospacing="0" w:line="360" w:lineRule="auto"/>
        <w:ind w:firstLine="480"/>
        <w:jc w:val="both"/>
        <w:textAlignment w:val="baseline"/>
        <w:rPr>
          <w:rFonts w:hint="eastAsia"/>
          <w:highlight w:val="none"/>
        </w:rPr>
      </w:pPr>
    </w:p>
    <w:p w14:paraId="3CBD3DEC">
      <w:pPr>
        <w:pStyle w:val="35"/>
        <w:spacing w:line="360" w:lineRule="auto"/>
        <w:rPr>
          <w:rFonts w:hint="eastAsia" w:cs="Times New Roman"/>
          <w:kern w:val="2"/>
          <w:sz w:val="21"/>
          <w:szCs w:val="21"/>
          <w:highlight w:val="none"/>
          <w:shd w:val="clear" w:color="auto" w:fill="FFFFFF"/>
        </w:rPr>
      </w:pPr>
    </w:p>
    <w:p w14:paraId="65527E26">
      <w:pPr>
        <w:pStyle w:val="37"/>
        <w:rPr>
          <w:rFonts w:ascii="华文楷体" w:hAnsi="华文楷体" w:eastAsia="华文楷体"/>
          <w:sz w:val="44"/>
          <w:highlight w:val="none"/>
          <w:shd w:val="clear" w:color="auto" w:fill="FFFFFF"/>
        </w:rPr>
      </w:pPr>
      <w:r>
        <w:rPr>
          <w:highlight w:val="none"/>
          <w:shd w:val="clear" w:color="auto" w:fill="FFFFFF"/>
        </w:rPr>
        <w:br w:type="page"/>
      </w:r>
      <w:bookmarkStart w:id="1" w:name="_Toc53083676"/>
      <w:r>
        <w:rPr>
          <w:rFonts w:hint="eastAsia" w:ascii="华文楷体" w:hAnsi="华文楷体" w:eastAsia="华文楷体"/>
          <w:highlight w:val="none"/>
          <w:shd w:val="clear" w:color="auto" w:fill="FFFFFF"/>
        </w:rPr>
        <w:t>第二章  供应商须知及前附表</w:t>
      </w:r>
      <w:bookmarkEnd w:id="1"/>
    </w:p>
    <w:p w14:paraId="699DF570">
      <w:pPr>
        <w:spacing w:line="360" w:lineRule="auto"/>
        <w:jc w:val="center"/>
        <w:outlineLvl w:val="1"/>
        <w:rPr>
          <w:rFonts w:ascii="宋体" w:hAnsi="宋体"/>
          <w:b/>
          <w:sz w:val="24"/>
          <w:szCs w:val="24"/>
          <w:highlight w:val="none"/>
          <w:shd w:val="clear" w:color="auto" w:fill="FFFFFF"/>
        </w:rPr>
      </w:pPr>
      <w:bookmarkStart w:id="2" w:name="_Toc53083414"/>
      <w:bookmarkStart w:id="3" w:name="_Toc53083506"/>
      <w:bookmarkStart w:id="4" w:name="_Toc53083677"/>
      <w:r>
        <w:rPr>
          <w:rFonts w:hint="eastAsia" w:ascii="宋体" w:hAnsi="宋体"/>
          <w:b/>
          <w:sz w:val="24"/>
          <w:szCs w:val="24"/>
          <w:highlight w:val="none"/>
          <w:shd w:val="clear" w:color="auto" w:fill="FFFFFF"/>
        </w:rPr>
        <w:t>供应商须知前附表</w:t>
      </w:r>
      <w:bookmarkEnd w:id="2"/>
      <w:bookmarkEnd w:id="3"/>
      <w:bookmarkEnd w:id="4"/>
    </w:p>
    <w:p w14:paraId="0D03B15E">
      <w:pPr>
        <w:spacing w:line="360" w:lineRule="auto"/>
        <w:rPr>
          <w:rFonts w:ascii="宋体" w:hAnsi="宋体"/>
          <w:szCs w:val="21"/>
          <w:highlight w:val="none"/>
          <w:shd w:val="clear" w:color="auto" w:fill="FFFFFF"/>
        </w:rPr>
      </w:pPr>
      <w:r>
        <w:rPr>
          <w:rFonts w:hint="eastAsia" w:ascii="宋体" w:hAnsi="宋体"/>
          <w:szCs w:val="21"/>
          <w:highlight w:val="none"/>
          <w:shd w:val="clear" w:color="auto" w:fill="FFFFFF"/>
        </w:rPr>
        <w:t>（本表是对供应商须知的提示、补充和修改，如有矛盾，应以本表为准。）</w:t>
      </w:r>
    </w:p>
    <w:tbl>
      <w:tblPr>
        <w:tblStyle w:val="4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60"/>
        <w:gridCol w:w="1985"/>
        <w:gridCol w:w="6155"/>
      </w:tblGrid>
      <w:tr w14:paraId="4521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tblHeader/>
          <w:jc w:val="center"/>
        </w:trPr>
        <w:tc>
          <w:tcPr>
            <w:tcW w:w="860" w:type="dxa"/>
            <w:noWrap w:val="0"/>
            <w:vAlign w:val="center"/>
          </w:tcPr>
          <w:p w14:paraId="0FBE6E31">
            <w:pPr>
              <w:spacing w:line="360" w:lineRule="auto"/>
              <w:jc w:val="center"/>
              <w:rPr>
                <w:rFonts w:ascii="宋体" w:hAnsi="宋体"/>
                <w:b/>
                <w:sz w:val="24"/>
                <w:szCs w:val="24"/>
                <w:highlight w:val="none"/>
                <w:shd w:val="clear" w:color="auto" w:fill="FFFFFF"/>
              </w:rPr>
            </w:pPr>
            <w:r>
              <w:rPr>
                <w:rFonts w:hint="eastAsia" w:ascii="宋体" w:hAnsi="宋体"/>
                <w:b/>
                <w:sz w:val="24"/>
                <w:szCs w:val="24"/>
                <w:highlight w:val="none"/>
                <w:shd w:val="clear" w:color="auto" w:fill="FFFFFF"/>
              </w:rPr>
              <w:t>条款号</w:t>
            </w:r>
          </w:p>
        </w:tc>
        <w:tc>
          <w:tcPr>
            <w:tcW w:w="1985" w:type="dxa"/>
            <w:noWrap w:val="0"/>
            <w:vAlign w:val="center"/>
          </w:tcPr>
          <w:p w14:paraId="792D0E90">
            <w:pPr>
              <w:spacing w:line="360" w:lineRule="auto"/>
              <w:jc w:val="center"/>
              <w:rPr>
                <w:rFonts w:ascii="宋体" w:hAnsi="宋体"/>
                <w:b/>
                <w:sz w:val="24"/>
                <w:szCs w:val="24"/>
                <w:highlight w:val="none"/>
                <w:shd w:val="clear" w:color="auto" w:fill="FFFFFF"/>
              </w:rPr>
            </w:pPr>
            <w:r>
              <w:rPr>
                <w:rFonts w:hint="eastAsia" w:ascii="宋体" w:hAnsi="宋体"/>
                <w:b/>
                <w:sz w:val="24"/>
                <w:szCs w:val="24"/>
                <w:highlight w:val="none"/>
                <w:shd w:val="clear" w:color="auto" w:fill="FFFFFF"/>
              </w:rPr>
              <w:t>条款内容提示</w:t>
            </w:r>
          </w:p>
        </w:tc>
        <w:tc>
          <w:tcPr>
            <w:tcW w:w="6155" w:type="dxa"/>
            <w:noWrap w:val="0"/>
            <w:vAlign w:val="center"/>
          </w:tcPr>
          <w:p w14:paraId="5214AEF4">
            <w:pPr>
              <w:spacing w:line="360" w:lineRule="auto"/>
              <w:jc w:val="center"/>
              <w:rPr>
                <w:rFonts w:ascii="宋体" w:hAnsi="宋体"/>
                <w:b/>
                <w:sz w:val="24"/>
                <w:szCs w:val="24"/>
                <w:highlight w:val="none"/>
                <w:shd w:val="clear" w:color="auto" w:fill="FFFFFF"/>
              </w:rPr>
            </w:pPr>
            <w:r>
              <w:rPr>
                <w:rFonts w:hint="eastAsia" w:ascii="宋体" w:hAnsi="宋体"/>
                <w:b/>
                <w:sz w:val="24"/>
                <w:szCs w:val="24"/>
                <w:highlight w:val="none"/>
                <w:shd w:val="clear" w:color="auto" w:fill="FFFFFF"/>
              </w:rPr>
              <w:t>编列内容</w:t>
            </w:r>
          </w:p>
        </w:tc>
      </w:tr>
      <w:tr w14:paraId="4C59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noWrap w:val="0"/>
            <w:vAlign w:val="center"/>
          </w:tcPr>
          <w:p w14:paraId="53FD363E">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1.1</w:t>
            </w:r>
          </w:p>
        </w:tc>
        <w:tc>
          <w:tcPr>
            <w:tcW w:w="1985" w:type="dxa"/>
            <w:noWrap w:val="0"/>
            <w:vAlign w:val="center"/>
          </w:tcPr>
          <w:p w14:paraId="007FD743">
            <w:pPr>
              <w:spacing w:line="360" w:lineRule="auto"/>
              <w:ind w:left="113" w:leftChars="54"/>
              <w:rPr>
                <w:rFonts w:ascii="宋体" w:hAnsi="宋体"/>
                <w:sz w:val="24"/>
                <w:szCs w:val="24"/>
                <w:highlight w:val="none"/>
                <w:shd w:val="clear" w:color="auto" w:fill="FFFFFF"/>
              </w:rPr>
            </w:pPr>
            <w:r>
              <w:rPr>
                <w:rFonts w:hint="eastAsia" w:ascii="宋体" w:hAnsi="宋体"/>
                <w:sz w:val="24"/>
                <w:szCs w:val="24"/>
                <w:highlight w:val="none"/>
                <w:shd w:val="clear" w:color="auto" w:fill="FFFFFF"/>
              </w:rPr>
              <w:t>采 购 人</w:t>
            </w:r>
          </w:p>
        </w:tc>
        <w:tc>
          <w:tcPr>
            <w:tcW w:w="6155" w:type="dxa"/>
            <w:noWrap w:val="0"/>
            <w:vAlign w:val="center"/>
          </w:tcPr>
          <w:p w14:paraId="342D955D">
            <w:pPr>
              <w:spacing w:line="360" w:lineRule="auto"/>
              <w:rPr>
                <w:rFonts w:hint="eastAsia" w:ascii="宋体" w:hAnsi="宋体" w:eastAsia="宋体"/>
                <w:sz w:val="24"/>
                <w:szCs w:val="24"/>
                <w:highlight w:val="none"/>
                <w:lang w:eastAsia="zh-CN"/>
              </w:rPr>
            </w:pPr>
            <w:r>
              <w:rPr>
                <w:rFonts w:hint="eastAsia" w:ascii="宋体" w:hAnsi="宋体"/>
                <w:sz w:val="24"/>
                <w:szCs w:val="24"/>
                <w:highlight w:val="none"/>
              </w:rPr>
              <w:t>名  称：</w:t>
            </w:r>
            <w:r>
              <w:rPr>
                <w:rFonts w:hint="eastAsia" w:ascii="宋体" w:hAnsi="宋体"/>
                <w:sz w:val="24"/>
                <w:szCs w:val="24"/>
                <w:highlight w:val="none"/>
                <w:lang w:eastAsia="zh-CN"/>
              </w:rPr>
              <w:t>陕西省西咸新区生态环境局</w:t>
            </w:r>
          </w:p>
          <w:p w14:paraId="2E8754BC">
            <w:pPr>
              <w:spacing w:line="360" w:lineRule="auto"/>
              <w:rPr>
                <w:rFonts w:hint="eastAsia" w:ascii="宋体" w:hAnsi="宋体" w:eastAsia="宋体"/>
                <w:sz w:val="24"/>
                <w:szCs w:val="24"/>
                <w:highlight w:val="none"/>
                <w:lang w:eastAsia="zh-CN"/>
              </w:rPr>
            </w:pPr>
            <w:r>
              <w:rPr>
                <w:rFonts w:hint="eastAsia" w:ascii="宋体" w:hAnsi="宋体"/>
                <w:sz w:val="24"/>
                <w:szCs w:val="24"/>
                <w:highlight w:val="none"/>
              </w:rPr>
              <w:t>地  址：</w:t>
            </w:r>
            <w:r>
              <w:rPr>
                <w:rFonts w:hint="eastAsia" w:ascii="宋体" w:hAnsi="宋体" w:cs="宋体"/>
                <w:color w:val="auto"/>
                <w:sz w:val="24"/>
                <w:szCs w:val="24"/>
                <w:highlight w:val="none"/>
                <w:shd w:val="clear" w:color="auto" w:fill="FFFFFF"/>
                <w:lang w:val="en-US" w:eastAsia="zh-CN"/>
              </w:rPr>
              <w:t>陕西省西咸新区能源金融贸易区能源路201号西咸大厦</w:t>
            </w:r>
          </w:p>
        </w:tc>
      </w:tr>
      <w:tr w14:paraId="4ECB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noWrap w:val="0"/>
            <w:vAlign w:val="center"/>
          </w:tcPr>
          <w:p w14:paraId="38280280">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1.2</w:t>
            </w:r>
          </w:p>
        </w:tc>
        <w:tc>
          <w:tcPr>
            <w:tcW w:w="1985" w:type="dxa"/>
            <w:noWrap w:val="0"/>
            <w:vAlign w:val="center"/>
          </w:tcPr>
          <w:p w14:paraId="22F79106">
            <w:pPr>
              <w:spacing w:line="360" w:lineRule="auto"/>
              <w:ind w:left="113" w:leftChars="54"/>
              <w:rPr>
                <w:rFonts w:ascii="宋体" w:hAnsi="宋体"/>
                <w:sz w:val="24"/>
                <w:szCs w:val="24"/>
                <w:highlight w:val="none"/>
                <w:shd w:val="clear" w:color="auto" w:fill="FFFFFF"/>
              </w:rPr>
            </w:pPr>
            <w:r>
              <w:rPr>
                <w:rFonts w:hint="eastAsia" w:ascii="宋体" w:hAnsi="宋体"/>
                <w:sz w:val="24"/>
                <w:szCs w:val="24"/>
                <w:highlight w:val="none"/>
                <w:shd w:val="clear" w:color="auto" w:fill="FFFFFF"/>
              </w:rPr>
              <w:t>采购代理机构</w:t>
            </w:r>
          </w:p>
        </w:tc>
        <w:tc>
          <w:tcPr>
            <w:tcW w:w="6155" w:type="dxa"/>
            <w:noWrap w:val="0"/>
            <w:vAlign w:val="center"/>
          </w:tcPr>
          <w:p w14:paraId="23329DF6">
            <w:pPr>
              <w:spacing w:line="360" w:lineRule="auto"/>
              <w:rPr>
                <w:rFonts w:hint="eastAsia" w:ascii="宋体" w:hAnsi="宋体" w:eastAsia="宋体"/>
                <w:sz w:val="24"/>
                <w:szCs w:val="24"/>
                <w:highlight w:val="none"/>
                <w:lang w:eastAsia="zh-CN"/>
              </w:rPr>
            </w:pPr>
            <w:r>
              <w:rPr>
                <w:rFonts w:hint="eastAsia" w:ascii="宋体" w:hAnsi="宋体"/>
                <w:sz w:val="24"/>
                <w:szCs w:val="24"/>
                <w:highlight w:val="none"/>
              </w:rPr>
              <w:t>名  称：</w:t>
            </w:r>
            <w:r>
              <w:rPr>
                <w:rFonts w:hint="eastAsia" w:ascii="宋体" w:hAnsi="宋体"/>
                <w:sz w:val="24"/>
                <w:szCs w:val="24"/>
                <w:highlight w:val="none"/>
                <w:lang w:eastAsia="zh-CN"/>
              </w:rPr>
              <w:t>陕西广联达招标有限公司</w:t>
            </w:r>
          </w:p>
          <w:p w14:paraId="79D34BFF">
            <w:pPr>
              <w:spacing w:line="360" w:lineRule="auto"/>
              <w:rPr>
                <w:rFonts w:hint="eastAsia" w:ascii="宋体" w:hAnsi="宋体" w:eastAsia="宋体"/>
                <w:sz w:val="24"/>
                <w:szCs w:val="24"/>
                <w:highlight w:val="none"/>
                <w:lang w:eastAsia="zh-CN"/>
              </w:rPr>
            </w:pPr>
            <w:r>
              <w:rPr>
                <w:rFonts w:hint="eastAsia" w:ascii="宋体" w:hAnsi="宋体"/>
                <w:sz w:val="24"/>
                <w:szCs w:val="24"/>
                <w:highlight w:val="none"/>
              </w:rPr>
              <w:t>地  址：</w:t>
            </w:r>
            <w:r>
              <w:rPr>
                <w:rFonts w:hint="eastAsia" w:ascii="宋体" w:hAnsi="宋体"/>
                <w:sz w:val="24"/>
                <w:szCs w:val="24"/>
                <w:highlight w:val="none"/>
                <w:lang w:eastAsia="zh-CN"/>
              </w:rPr>
              <w:t>西安经济技术开发区明光路55号天朗经开中心25层2505室</w:t>
            </w:r>
          </w:p>
          <w:p w14:paraId="1AC1ADED">
            <w:pPr>
              <w:spacing w:line="360" w:lineRule="auto"/>
              <w:rPr>
                <w:rFonts w:hint="eastAsia" w:ascii="宋体" w:hAnsi="宋体" w:eastAsia="宋体"/>
                <w:sz w:val="24"/>
                <w:szCs w:val="24"/>
                <w:highlight w:val="none"/>
                <w:lang w:eastAsia="zh-CN"/>
              </w:rPr>
            </w:pPr>
            <w:r>
              <w:rPr>
                <w:rFonts w:hint="eastAsia" w:ascii="宋体" w:hAnsi="宋体"/>
                <w:sz w:val="24"/>
                <w:szCs w:val="24"/>
                <w:highlight w:val="none"/>
              </w:rPr>
              <w:t>联系人：</w:t>
            </w:r>
            <w:r>
              <w:rPr>
                <w:rFonts w:hint="eastAsia" w:cs="宋体"/>
                <w:sz w:val="24"/>
                <w:szCs w:val="24"/>
                <w:highlight w:val="none"/>
                <w:shd w:val="clear" w:color="auto" w:fill="FFFFFF"/>
                <w:lang w:val="en-US" w:eastAsia="zh-CN"/>
              </w:rPr>
              <w:t>张工</w:t>
            </w:r>
          </w:p>
          <w:p w14:paraId="35CD3CFC">
            <w:pPr>
              <w:spacing w:line="360" w:lineRule="auto"/>
              <w:rPr>
                <w:rFonts w:hint="eastAsia" w:ascii="宋体" w:hAnsi="宋体" w:eastAsia="宋体"/>
                <w:sz w:val="24"/>
                <w:szCs w:val="24"/>
                <w:highlight w:val="none"/>
                <w:lang w:eastAsia="zh-CN"/>
              </w:rPr>
            </w:pPr>
            <w:r>
              <w:rPr>
                <w:rFonts w:hint="eastAsia" w:ascii="宋体" w:hAnsi="宋体"/>
                <w:sz w:val="24"/>
                <w:szCs w:val="24"/>
                <w:highlight w:val="none"/>
              </w:rPr>
              <w:t>联系方式：</w:t>
            </w:r>
            <w:r>
              <w:rPr>
                <w:rFonts w:hint="eastAsia" w:ascii="宋体" w:hAnsi="宋体"/>
                <w:sz w:val="24"/>
                <w:szCs w:val="24"/>
                <w:highlight w:val="none"/>
                <w:lang w:eastAsia="zh-CN"/>
              </w:rPr>
              <w:t>029-83666003</w:t>
            </w:r>
          </w:p>
          <w:p w14:paraId="56662BFD">
            <w:pPr>
              <w:spacing w:line="360" w:lineRule="auto"/>
              <w:rPr>
                <w:rFonts w:hint="eastAsia" w:ascii="宋体" w:hAnsi="宋体"/>
                <w:sz w:val="24"/>
                <w:szCs w:val="24"/>
                <w:highlight w:val="none"/>
              </w:rPr>
            </w:pPr>
            <w:r>
              <w:rPr>
                <w:rFonts w:hint="eastAsia" w:ascii="宋体" w:hAnsi="宋体"/>
                <w:sz w:val="24"/>
                <w:szCs w:val="24"/>
                <w:highlight w:val="none"/>
              </w:rPr>
              <w:t>传  真：/</w:t>
            </w:r>
          </w:p>
        </w:tc>
      </w:tr>
      <w:tr w14:paraId="6726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113" w:hRule="atLeast"/>
          <w:jc w:val="center"/>
        </w:trPr>
        <w:tc>
          <w:tcPr>
            <w:tcW w:w="860" w:type="dxa"/>
            <w:vMerge w:val="restart"/>
            <w:noWrap w:val="0"/>
            <w:vAlign w:val="center"/>
          </w:tcPr>
          <w:p w14:paraId="5D09C9C6">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2.1</w:t>
            </w:r>
          </w:p>
        </w:tc>
        <w:tc>
          <w:tcPr>
            <w:tcW w:w="1985" w:type="dxa"/>
            <w:noWrap w:val="0"/>
            <w:vAlign w:val="center"/>
          </w:tcPr>
          <w:p w14:paraId="4AFCB0C7">
            <w:pPr>
              <w:spacing w:line="360" w:lineRule="auto"/>
              <w:ind w:left="113" w:leftChars="54" w:right="113" w:rightChars="54"/>
              <w:jc w:val="left"/>
              <w:rPr>
                <w:rFonts w:ascii="宋体" w:hAnsi="宋体"/>
                <w:sz w:val="24"/>
                <w:szCs w:val="24"/>
                <w:highlight w:val="none"/>
                <w:shd w:val="clear" w:color="auto" w:fill="FFFFFF"/>
              </w:rPr>
            </w:pPr>
            <w:r>
              <w:rPr>
                <w:rFonts w:ascii="宋体" w:hAnsi="宋体"/>
                <w:sz w:val="24"/>
                <w:szCs w:val="24"/>
                <w:highlight w:val="none"/>
                <w:shd w:val="clear" w:color="auto" w:fill="FFFFFF"/>
              </w:rPr>
              <w:t>中华人民共和国法律、行政法规规定的其他条件</w:t>
            </w:r>
          </w:p>
        </w:tc>
        <w:tc>
          <w:tcPr>
            <w:tcW w:w="6155" w:type="dxa"/>
            <w:noWrap w:val="0"/>
            <w:vAlign w:val="center"/>
          </w:tcPr>
          <w:p w14:paraId="3318BC19">
            <w:pPr>
              <w:spacing w:line="360" w:lineRule="auto"/>
              <w:rPr>
                <w:rFonts w:hint="eastAsia" w:ascii="宋体" w:hAnsi="宋体"/>
                <w:sz w:val="24"/>
                <w:szCs w:val="24"/>
                <w:highlight w:val="none"/>
              </w:rPr>
            </w:pPr>
            <w:r>
              <w:rPr>
                <w:rFonts w:hint="eastAsia" w:ascii="宋体" w:hAnsi="宋体" w:eastAsia="宋体" w:cs="宋体"/>
                <w:kern w:val="0"/>
                <w:sz w:val="24"/>
                <w:szCs w:val="24"/>
                <w:highlight w:val="none"/>
              </w:rPr>
              <w:t>符合《中华人民共和国政府采购法》第二十二条规定</w:t>
            </w:r>
          </w:p>
        </w:tc>
      </w:tr>
      <w:tr w14:paraId="7CC4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vMerge w:val="continue"/>
            <w:noWrap w:val="0"/>
            <w:vAlign w:val="center"/>
          </w:tcPr>
          <w:p w14:paraId="6C98490B">
            <w:pPr>
              <w:spacing w:line="360" w:lineRule="auto"/>
              <w:jc w:val="center"/>
              <w:rPr>
                <w:rFonts w:ascii="宋体" w:hAnsi="宋体"/>
                <w:sz w:val="24"/>
                <w:szCs w:val="24"/>
                <w:highlight w:val="none"/>
                <w:shd w:val="clear" w:color="auto" w:fill="FFFFFF"/>
              </w:rPr>
            </w:pPr>
          </w:p>
        </w:tc>
        <w:tc>
          <w:tcPr>
            <w:tcW w:w="1985" w:type="dxa"/>
            <w:noWrap w:val="0"/>
            <w:vAlign w:val="center"/>
          </w:tcPr>
          <w:p w14:paraId="221E13D2">
            <w:pPr>
              <w:spacing w:line="360" w:lineRule="auto"/>
              <w:ind w:left="113" w:leftChars="54"/>
              <w:rPr>
                <w:rFonts w:ascii="宋体" w:hAnsi="宋体"/>
                <w:sz w:val="24"/>
                <w:szCs w:val="24"/>
                <w:highlight w:val="none"/>
                <w:shd w:val="clear" w:color="auto" w:fill="FFFFFF"/>
              </w:rPr>
            </w:pPr>
            <w:r>
              <w:rPr>
                <w:rFonts w:hint="eastAsia" w:ascii="宋体" w:hAnsi="宋体"/>
                <w:sz w:val="24"/>
                <w:szCs w:val="24"/>
                <w:highlight w:val="none"/>
                <w:shd w:val="clear" w:color="auto" w:fill="FFFFFF"/>
              </w:rPr>
              <w:t>本项目特定条件</w:t>
            </w:r>
          </w:p>
        </w:tc>
        <w:tc>
          <w:tcPr>
            <w:tcW w:w="6155" w:type="dxa"/>
            <w:noWrap w:val="0"/>
            <w:vAlign w:val="center"/>
          </w:tcPr>
          <w:p w14:paraId="03644BE8">
            <w:pPr>
              <w:spacing w:line="360" w:lineRule="auto"/>
              <w:rPr>
                <w:rFonts w:hint="eastAsia" w:ascii="宋体" w:hAnsi="宋体"/>
                <w:sz w:val="24"/>
                <w:szCs w:val="24"/>
                <w:highlight w:val="none"/>
              </w:rPr>
            </w:pPr>
            <w:r>
              <w:rPr>
                <w:rFonts w:hint="eastAsia" w:ascii="宋体" w:hAnsi="宋体"/>
                <w:sz w:val="24"/>
                <w:szCs w:val="24"/>
                <w:highlight w:val="none"/>
              </w:rPr>
              <w:t>无</w:t>
            </w:r>
          </w:p>
        </w:tc>
      </w:tr>
      <w:tr w14:paraId="312F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shd w:val="clear" w:color="auto" w:fill="auto"/>
            <w:noWrap w:val="0"/>
            <w:vAlign w:val="center"/>
          </w:tcPr>
          <w:p w14:paraId="56C8E9BF">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3</w:t>
            </w:r>
          </w:p>
        </w:tc>
        <w:tc>
          <w:tcPr>
            <w:tcW w:w="1985" w:type="dxa"/>
            <w:shd w:val="clear" w:color="auto" w:fill="FFFFFF"/>
            <w:noWrap w:val="0"/>
            <w:vAlign w:val="center"/>
          </w:tcPr>
          <w:p w14:paraId="087E152F">
            <w:pPr>
              <w:spacing w:line="360" w:lineRule="auto"/>
              <w:ind w:left="113" w:leftChars="54"/>
              <w:rPr>
                <w:rFonts w:ascii="宋体" w:hAnsi="宋体"/>
                <w:sz w:val="24"/>
                <w:szCs w:val="24"/>
                <w:highlight w:val="none"/>
                <w:shd w:val="clear" w:color="auto" w:fill="FFFFFF"/>
              </w:rPr>
            </w:pPr>
            <w:r>
              <w:rPr>
                <w:rFonts w:hint="eastAsia" w:ascii="宋体" w:hAnsi="宋体"/>
                <w:sz w:val="24"/>
                <w:szCs w:val="24"/>
                <w:highlight w:val="none"/>
                <w:shd w:val="clear" w:color="auto" w:fill="FFFFFF"/>
              </w:rPr>
              <w:t>供应商信用记录</w:t>
            </w:r>
          </w:p>
          <w:p w14:paraId="40DABB27">
            <w:pPr>
              <w:spacing w:line="360" w:lineRule="auto"/>
              <w:ind w:left="113" w:leftChars="54"/>
              <w:rPr>
                <w:rFonts w:ascii="宋体" w:hAnsi="宋体"/>
                <w:spacing w:val="-6"/>
                <w:sz w:val="24"/>
                <w:szCs w:val="24"/>
                <w:highlight w:val="none"/>
                <w:shd w:val="clear" w:color="auto" w:fill="FFFFFF"/>
              </w:rPr>
            </w:pPr>
            <w:r>
              <w:rPr>
                <w:rFonts w:hint="eastAsia" w:ascii="宋体" w:hAnsi="宋体"/>
                <w:sz w:val="24"/>
                <w:szCs w:val="24"/>
                <w:highlight w:val="none"/>
                <w:shd w:val="clear" w:color="auto" w:fill="FFFFFF"/>
              </w:rPr>
              <w:t>查询</w:t>
            </w:r>
          </w:p>
        </w:tc>
        <w:tc>
          <w:tcPr>
            <w:tcW w:w="6155" w:type="dxa"/>
            <w:shd w:val="clear" w:color="auto" w:fill="FFFFFF"/>
            <w:noWrap w:val="0"/>
            <w:vAlign w:val="center"/>
          </w:tcPr>
          <w:p w14:paraId="480534F1">
            <w:pPr>
              <w:spacing w:line="360" w:lineRule="auto"/>
              <w:ind w:left="113" w:leftChars="54"/>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信用中国”网站（https://www.creditchina.gov.cn/）和“中国政府采购网”（http://www.ccgp.gov.cn/）为投标人信用信息查询渠道，如果投标人被查实在投标截止时间列入失信被执行人、重大税收违法案件当事人名单（重大税收违法失信主体）、政府采购严重违法失信行为记录名单，其投标为无效。</w:t>
            </w:r>
          </w:p>
          <w:p w14:paraId="7B538890">
            <w:pPr>
              <w:spacing w:line="360" w:lineRule="auto"/>
              <w:ind w:left="113" w:leftChars="54"/>
              <w:rPr>
                <w:rFonts w:ascii="宋体" w:hAnsi="宋体"/>
                <w:sz w:val="24"/>
                <w:szCs w:val="24"/>
                <w:highlight w:val="none"/>
                <w:shd w:val="clear" w:color="auto" w:fill="FFFFFF"/>
              </w:rPr>
            </w:pPr>
            <w:r>
              <w:rPr>
                <w:rFonts w:hint="eastAsia" w:ascii="宋体" w:hAnsi="宋体" w:eastAsia="宋体" w:cs="宋体"/>
                <w:kern w:val="0"/>
                <w:sz w:val="24"/>
                <w:szCs w:val="24"/>
                <w:highlight w:val="none"/>
              </w:rPr>
              <w:t>注：“信用中国”网站失信被执行人查询跳转至“中国执行信息公开网”网站（http://zxgk.court.gov.cn/shixin/）</w:t>
            </w:r>
          </w:p>
        </w:tc>
      </w:tr>
      <w:tr w14:paraId="751C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8" w:hRule="atLeast"/>
          <w:jc w:val="center"/>
        </w:trPr>
        <w:tc>
          <w:tcPr>
            <w:tcW w:w="860" w:type="dxa"/>
            <w:noWrap w:val="0"/>
            <w:vAlign w:val="center"/>
          </w:tcPr>
          <w:p w14:paraId="10BE8DB9">
            <w:pPr>
              <w:spacing w:line="420" w:lineRule="exact"/>
              <w:jc w:val="center"/>
              <w:rPr>
                <w:rFonts w:hint="eastAsia" w:ascii="宋体" w:hAnsi="宋体"/>
                <w:sz w:val="24"/>
                <w:szCs w:val="24"/>
                <w:highlight w:val="none"/>
                <w:shd w:val="clear" w:color="auto" w:fill="FFFFFF"/>
              </w:rPr>
            </w:pPr>
            <w:r>
              <w:rPr>
                <w:rFonts w:hint="eastAsia" w:ascii="宋体" w:hAnsi="宋体" w:cs="宋体"/>
                <w:sz w:val="24"/>
                <w:szCs w:val="24"/>
                <w:highlight w:val="none"/>
              </w:rPr>
              <w:t>6.3</w:t>
            </w:r>
          </w:p>
        </w:tc>
        <w:tc>
          <w:tcPr>
            <w:tcW w:w="1985" w:type="dxa"/>
            <w:noWrap w:val="0"/>
            <w:vAlign w:val="center"/>
          </w:tcPr>
          <w:p w14:paraId="041A35B1">
            <w:pPr>
              <w:spacing w:line="420" w:lineRule="exact"/>
              <w:rPr>
                <w:rFonts w:hint="eastAsia" w:ascii="宋体" w:hAnsi="宋体" w:cs="宋体"/>
                <w:sz w:val="24"/>
                <w:szCs w:val="24"/>
                <w:highlight w:val="none"/>
              </w:rPr>
            </w:pPr>
            <w:r>
              <w:rPr>
                <w:rFonts w:hint="eastAsia" w:ascii="宋体" w:hAnsi="宋体" w:cs="宋体"/>
                <w:sz w:val="24"/>
                <w:szCs w:val="24"/>
                <w:highlight w:val="none"/>
              </w:rPr>
              <w:t>招标内容的实质性响应要求</w:t>
            </w:r>
          </w:p>
        </w:tc>
        <w:tc>
          <w:tcPr>
            <w:tcW w:w="6155" w:type="dxa"/>
            <w:noWrap w:val="0"/>
            <w:vAlign w:val="center"/>
          </w:tcPr>
          <w:p w14:paraId="0379691F">
            <w:pPr>
              <w:spacing w:line="360" w:lineRule="auto"/>
              <w:ind w:left="113" w:leftChars="54"/>
              <w:rPr>
                <w:rFonts w:hint="eastAsia" w:ascii="宋体" w:hAnsi="宋体" w:cs="宋体"/>
                <w:kern w:val="0"/>
                <w:sz w:val="24"/>
                <w:szCs w:val="24"/>
                <w:highlight w:val="none"/>
              </w:rPr>
            </w:pPr>
            <w:r>
              <w:rPr>
                <w:rFonts w:hint="eastAsia" w:ascii="宋体" w:hAnsi="宋体" w:cs="宋体"/>
                <w:kern w:val="0"/>
                <w:sz w:val="24"/>
                <w:szCs w:val="24"/>
                <w:highlight w:val="none"/>
              </w:rPr>
              <w:t>招标文件第五章“招标内容”中</w:t>
            </w:r>
            <w:r>
              <w:rPr>
                <w:rFonts w:hint="eastAsia" w:ascii="宋体" w:hAnsi="宋体" w:cs="宋体"/>
                <w:kern w:val="0"/>
                <w:sz w:val="24"/>
                <w:szCs w:val="24"/>
                <w:highlight w:val="none"/>
                <w:lang w:val="en-US" w:eastAsia="zh-CN"/>
              </w:rPr>
              <w:t>若</w:t>
            </w:r>
            <w:r>
              <w:rPr>
                <w:rFonts w:hint="eastAsia" w:ascii="宋体" w:hAnsi="宋体" w:cs="宋体"/>
                <w:kern w:val="0"/>
                <w:sz w:val="24"/>
                <w:szCs w:val="24"/>
                <w:highlight w:val="none"/>
              </w:rPr>
              <w:t>以“</w:t>
            </w:r>
            <w:r>
              <w:rPr>
                <w:rFonts w:hint="eastAsia" w:hAnsi="宋体"/>
                <w:szCs w:val="24"/>
                <w:highlight w:val="none"/>
              </w:rPr>
              <w:t>★</w:t>
            </w:r>
            <w:r>
              <w:rPr>
                <w:rFonts w:hint="eastAsia" w:ascii="宋体" w:hAnsi="宋体" w:cs="宋体"/>
                <w:kern w:val="0"/>
                <w:sz w:val="24"/>
                <w:szCs w:val="24"/>
                <w:highlight w:val="none"/>
              </w:rPr>
              <w:t xml:space="preserve">”号标记的条款为不允许偏离的技术和商务的实质性要求和条件，不满足实质性要求和条件的投标为无效投标。 </w:t>
            </w:r>
          </w:p>
        </w:tc>
      </w:tr>
      <w:tr w14:paraId="4941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8" w:hRule="atLeast"/>
          <w:jc w:val="center"/>
        </w:trPr>
        <w:tc>
          <w:tcPr>
            <w:tcW w:w="860" w:type="dxa"/>
            <w:noWrap w:val="0"/>
            <w:vAlign w:val="center"/>
          </w:tcPr>
          <w:p w14:paraId="1F5A058B">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8.1</w:t>
            </w:r>
          </w:p>
        </w:tc>
        <w:tc>
          <w:tcPr>
            <w:tcW w:w="1985" w:type="dxa"/>
            <w:noWrap w:val="0"/>
            <w:vAlign w:val="center"/>
          </w:tcPr>
          <w:p w14:paraId="59E7BC45">
            <w:pPr>
              <w:spacing w:line="360" w:lineRule="auto"/>
              <w:rPr>
                <w:rFonts w:hint="eastAsia" w:ascii="宋体" w:hAnsi="宋体"/>
                <w:sz w:val="24"/>
                <w:szCs w:val="24"/>
                <w:highlight w:val="none"/>
              </w:rPr>
            </w:pPr>
            <w:r>
              <w:rPr>
                <w:rFonts w:hint="eastAsia" w:ascii="宋体" w:hAnsi="宋体" w:cs="宋体"/>
                <w:sz w:val="24"/>
                <w:szCs w:val="24"/>
                <w:highlight w:val="none"/>
              </w:rPr>
              <w:t>供应商提出询问和质疑的时间</w:t>
            </w:r>
          </w:p>
        </w:tc>
        <w:tc>
          <w:tcPr>
            <w:tcW w:w="6155" w:type="dxa"/>
            <w:noWrap w:val="0"/>
            <w:vAlign w:val="center"/>
          </w:tcPr>
          <w:p w14:paraId="5D098DF9">
            <w:pPr>
              <w:spacing w:line="360" w:lineRule="auto"/>
              <w:ind w:left="113" w:leftChars="54"/>
              <w:rPr>
                <w:rFonts w:hint="eastAsia" w:ascii="宋体" w:hAnsi="宋体" w:cs="宋体"/>
                <w:kern w:val="0"/>
                <w:sz w:val="24"/>
                <w:szCs w:val="24"/>
                <w:highlight w:val="none"/>
              </w:rPr>
            </w:pPr>
            <w:r>
              <w:rPr>
                <w:rFonts w:hint="eastAsia" w:ascii="宋体" w:hAnsi="宋体" w:cs="宋体"/>
                <w:kern w:val="0"/>
                <w:sz w:val="24"/>
                <w:szCs w:val="24"/>
                <w:highlight w:val="none"/>
              </w:rPr>
              <w:t>1、已经领取招标文件的供应商对招标文件有询问或者质疑的，可以在本项目招标文件公告期限届满之日起七个工作日内，以书面形式向采购代理机构一次性提出，在此之后提出的询问和质疑均为无效，采购代理机构不予受理。</w:t>
            </w:r>
          </w:p>
          <w:p w14:paraId="31F07944">
            <w:pPr>
              <w:spacing w:line="360" w:lineRule="auto"/>
              <w:ind w:left="113" w:leftChars="54"/>
              <w:rPr>
                <w:rFonts w:hint="eastAsia" w:ascii="宋体" w:hAnsi="宋体" w:cs="宋体"/>
                <w:kern w:val="0"/>
                <w:sz w:val="24"/>
                <w:szCs w:val="24"/>
                <w:highlight w:val="none"/>
              </w:rPr>
            </w:pPr>
            <w:r>
              <w:rPr>
                <w:rFonts w:hint="eastAsia" w:ascii="宋体" w:hAnsi="宋体" w:cs="宋体"/>
                <w:kern w:val="0"/>
                <w:sz w:val="24"/>
                <w:szCs w:val="24"/>
                <w:highlight w:val="none"/>
              </w:rPr>
              <w:t>2、接收质疑函的方式：书面形式</w:t>
            </w:r>
          </w:p>
          <w:p w14:paraId="6AA1EDC6">
            <w:pPr>
              <w:spacing w:line="360" w:lineRule="auto"/>
              <w:ind w:left="113" w:leftChars="54"/>
              <w:rPr>
                <w:rFonts w:hint="eastAsia" w:ascii="宋体" w:hAnsi="宋体" w:cs="宋体"/>
                <w:kern w:val="0"/>
                <w:sz w:val="24"/>
                <w:szCs w:val="24"/>
                <w:highlight w:val="none"/>
              </w:rPr>
            </w:pPr>
            <w:r>
              <w:rPr>
                <w:rFonts w:hint="eastAsia" w:ascii="宋体" w:hAnsi="宋体" w:cs="宋体"/>
                <w:kern w:val="0"/>
                <w:sz w:val="24"/>
                <w:szCs w:val="24"/>
                <w:highlight w:val="none"/>
              </w:rPr>
              <w:t>格式：见“中国政府采购网（www.ccgp.gov.cn）下载专区”</w:t>
            </w:r>
          </w:p>
          <w:p w14:paraId="7CBD9591">
            <w:pPr>
              <w:spacing w:line="360" w:lineRule="auto"/>
              <w:ind w:left="113" w:leftChars="54"/>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3、联系人：</w:t>
            </w:r>
            <w:r>
              <w:rPr>
                <w:rFonts w:hint="eastAsia" w:ascii="宋体" w:hAnsi="宋体" w:cs="宋体"/>
                <w:kern w:val="0"/>
                <w:sz w:val="24"/>
                <w:szCs w:val="24"/>
                <w:highlight w:val="none"/>
                <w:lang w:eastAsia="zh-CN"/>
              </w:rPr>
              <w:t>张工</w:t>
            </w:r>
          </w:p>
          <w:p w14:paraId="07DE948B">
            <w:pPr>
              <w:spacing w:line="360" w:lineRule="auto"/>
              <w:ind w:left="113" w:leftChars="54"/>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4、联系电话：</w:t>
            </w:r>
            <w:r>
              <w:rPr>
                <w:rFonts w:hint="eastAsia" w:ascii="宋体" w:hAnsi="宋体" w:cs="宋体"/>
                <w:kern w:val="0"/>
                <w:sz w:val="24"/>
                <w:szCs w:val="24"/>
                <w:highlight w:val="none"/>
                <w:lang w:eastAsia="zh-CN"/>
              </w:rPr>
              <w:t>029-83666003</w:t>
            </w:r>
          </w:p>
          <w:p w14:paraId="452E7E0E">
            <w:pPr>
              <w:spacing w:line="360" w:lineRule="auto"/>
              <w:ind w:left="113" w:leftChars="54"/>
              <w:rPr>
                <w:rFonts w:hint="eastAsia" w:ascii="宋体" w:hAnsi="宋体" w:cs="宋体"/>
                <w:kern w:val="0"/>
                <w:sz w:val="24"/>
                <w:szCs w:val="24"/>
                <w:highlight w:val="none"/>
              </w:rPr>
            </w:pPr>
            <w:r>
              <w:rPr>
                <w:rFonts w:hint="eastAsia" w:ascii="宋体" w:hAnsi="宋体" w:cs="宋体"/>
                <w:kern w:val="0"/>
                <w:sz w:val="24"/>
                <w:szCs w:val="24"/>
                <w:highlight w:val="none"/>
              </w:rPr>
              <w:t>5、通讯地址：</w:t>
            </w:r>
            <w:r>
              <w:rPr>
                <w:rFonts w:hint="eastAsia" w:ascii="宋体" w:hAnsi="宋体" w:cs="宋体"/>
                <w:kern w:val="0"/>
                <w:sz w:val="24"/>
                <w:szCs w:val="24"/>
                <w:highlight w:val="none"/>
                <w:lang w:eastAsia="zh-CN"/>
              </w:rPr>
              <w:t>西安经济技术开发区明光路55号天朗经开中心25层2505室</w:t>
            </w:r>
            <w:r>
              <w:rPr>
                <w:rFonts w:hint="eastAsia" w:ascii="宋体" w:hAnsi="宋体" w:cs="宋体"/>
                <w:kern w:val="0"/>
                <w:sz w:val="24"/>
                <w:szCs w:val="24"/>
                <w:highlight w:val="none"/>
              </w:rPr>
              <w:t>。</w:t>
            </w:r>
          </w:p>
        </w:tc>
      </w:tr>
      <w:tr w14:paraId="3586D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noWrap w:val="0"/>
            <w:vAlign w:val="center"/>
          </w:tcPr>
          <w:p w14:paraId="4011FC6F">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8.2</w:t>
            </w:r>
          </w:p>
        </w:tc>
        <w:tc>
          <w:tcPr>
            <w:tcW w:w="1985" w:type="dxa"/>
            <w:noWrap w:val="0"/>
            <w:vAlign w:val="center"/>
          </w:tcPr>
          <w:p w14:paraId="61D69563">
            <w:pPr>
              <w:spacing w:line="360" w:lineRule="auto"/>
              <w:ind w:left="113" w:leftChars="54" w:right="113" w:rightChars="54"/>
              <w:rPr>
                <w:rFonts w:ascii="宋体" w:hAnsi="宋体"/>
                <w:sz w:val="24"/>
                <w:szCs w:val="24"/>
                <w:highlight w:val="none"/>
                <w:shd w:val="clear" w:color="auto" w:fill="FFFFFF"/>
              </w:rPr>
            </w:pPr>
            <w:r>
              <w:rPr>
                <w:rFonts w:hint="eastAsia" w:ascii="宋体" w:hAnsi="宋体"/>
                <w:sz w:val="24"/>
                <w:szCs w:val="24"/>
                <w:highlight w:val="none"/>
                <w:shd w:val="clear" w:color="auto" w:fill="FFFFFF"/>
              </w:rPr>
              <w:t>质疑内容要求</w:t>
            </w:r>
          </w:p>
        </w:tc>
        <w:tc>
          <w:tcPr>
            <w:tcW w:w="6155" w:type="dxa"/>
            <w:noWrap w:val="0"/>
            <w:vAlign w:val="center"/>
          </w:tcPr>
          <w:p w14:paraId="0B8E827E">
            <w:pPr>
              <w:spacing w:line="360" w:lineRule="auto"/>
              <w:ind w:left="113" w:leftChars="54"/>
              <w:rPr>
                <w:rFonts w:hint="eastAsia" w:ascii="宋体" w:hAnsi="宋体" w:cs="宋体"/>
                <w:kern w:val="0"/>
                <w:sz w:val="24"/>
                <w:szCs w:val="24"/>
                <w:highlight w:val="none"/>
              </w:rPr>
            </w:pPr>
            <w:r>
              <w:rPr>
                <w:rFonts w:hint="eastAsia" w:ascii="宋体" w:hAnsi="宋体" w:cs="宋体"/>
                <w:kern w:val="0"/>
                <w:sz w:val="24"/>
                <w:szCs w:val="24"/>
                <w:highlight w:val="none"/>
              </w:rPr>
              <w:t>供应商提出质疑应当提交质疑函和必要的证明材料原件，代理机构不接受传真、电子邮件、复印件等形式的质疑材料。</w:t>
            </w:r>
          </w:p>
          <w:p w14:paraId="4800082E">
            <w:pPr>
              <w:spacing w:line="360" w:lineRule="auto"/>
              <w:ind w:left="113" w:leftChars="54"/>
              <w:rPr>
                <w:rFonts w:hint="eastAsia" w:ascii="宋体" w:hAnsi="宋体" w:cs="宋体"/>
                <w:kern w:val="0"/>
                <w:sz w:val="24"/>
                <w:szCs w:val="24"/>
                <w:highlight w:val="none"/>
              </w:rPr>
            </w:pPr>
            <w:r>
              <w:rPr>
                <w:rFonts w:hint="eastAsia" w:ascii="宋体" w:hAnsi="宋体" w:cs="宋体"/>
                <w:kern w:val="0"/>
                <w:sz w:val="24"/>
                <w:szCs w:val="24"/>
                <w:highlight w:val="none"/>
              </w:rPr>
              <w:t>质疑函应当包括下列内容：</w:t>
            </w:r>
          </w:p>
          <w:p w14:paraId="3A1EB269">
            <w:pPr>
              <w:spacing w:line="360" w:lineRule="auto"/>
              <w:ind w:left="113" w:leftChars="54"/>
              <w:rPr>
                <w:rFonts w:hint="eastAsia" w:ascii="宋体" w:hAnsi="宋体" w:cs="宋体"/>
                <w:kern w:val="0"/>
                <w:sz w:val="24"/>
                <w:szCs w:val="24"/>
                <w:highlight w:val="none"/>
              </w:rPr>
            </w:pPr>
            <w:r>
              <w:rPr>
                <w:rFonts w:hint="eastAsia" w:ascii="宋体" w:hAnsi="宋体" w:cs="宋体"/>
                <w:kern w:val="0"/>
                <w:sz w:val="24"/>
                <w:szCs w:val="24"/>
                <w:highlight w:val="none"/>
              </w:rPr>
              <w:t>（一）供应商的姓名或者名称、地址、邮编、联系人及联系电话；</w:t>
            </w:r>
          </w:p>
          <w:p w14:paraId="49E94F20">
            <w:pPr>
              <w:spacing w:line="360" w:lineRule="auto"/>
              <w:ind w:left="113" w:leftChars="54"/>
              <w:rPr>
                <w:rFonts w:hint="eastAsia" w:ascii="宋体" w:hAnsi="宋体" w:cs="宋体"/>
                <w:kern w:val="0"/>
                <w:sz w:val="24"/>
                <w:szCs w:val="24"/>
                <w:highlight w:val="none"/>
              </w:rPr>
            </w:pPr>
            <w:r>
              <w:rPr>
                <w:rFonts w:hint="eastAsia" w:ascii="宋体" w:hAnsi="宋体" w:cs="宋体"/>
                <w:kern w:val="0"/>
                <w:sz w:val="24"/>
                <w:szCs w:val="24"/>
                <w:highlight w:val="none"/>
              </w:rPr>
              <w:t>（二）质疑项目的名称、编号；</w:t>
            </w:r>
          </w:p>
          <w:p w14:paraId="5EA9F041">
            <w:pPr>
              <w:spacing w:line="360" w:lineRule="auto"/>
              <w:ind w:left="113" w:leftChars="54"/>
              <w:rPr>
                <w:rFonts w:hint="eastAsia" w:ascii="宋体" w:hAnsi="宋体" w:cs="宋体"/>
                <w:kern w:val="0"/>
                <w:sz w:val="24"/>
                <w:szCs w:val="24"/>
                <w:highlight w:val="none"/>
              </w:rPr>
            </w:pPr>
            <w:r>
              <w:rPr>
                <w:rFonts w:hint="eastAsia" w:ascii="宋体" w:hAnsi="宋体" w:cs="宋体"/>
                <w:kern w:val="0"/>
                <w:sz w:val="24"/>
                <w:szCs w:val="24"/>
                <w:highlight w:val="none"/>
              </w:rPr>
              <w:t>（三）具体、明确的质疑事项和与质疑事项相关的请求；</w:t>
            </w:r>
          </w:p>
          <w:p w14:paraId="0BE4F287">
            <w:pPr>
              <w:spacing w:line="360" w:lineRule="auto"/>
              <w:ind w:left="113" w:leftChars="54"/>
              <w:rPr>
                <w:rFonts w:hint="eastAsia" w:ascii="宋体" w:hAnsi="宋体" w:cs="宋体"/>
                <w:kern w:val="0"/>
                <w:sz w:val="24"/>
                <w:szCs w:val="24"/>
                <w:highlight w:val="none"/>
              </w:rPr>
            </w:pPr>
            <w:r>
              <w:rPr>
                <w:rFonts w:hint="eastAsia" w:ascii="宋体" w:hAnsi="宋体" w:cs="宋体"/>
                <w:kern w:val="0"/>
                <w:sz w:val="24"/>
                <w:szCs w:val="24"/>
                <w:highlight w:val="none"/>
              </w:rPr>
              <w:t>（四）事实依据；</w:t>
            </w:r>
          </w:p>
          <w:p w14:paraId="5732B525">
            <w:pPr>
              <w:spacing w:line="360" w:lineRule="auto"/>
              <w:ind w:left="113" w:leftChars="54"/>
              <w:rPr>
                <w:rFonts w:hint="eastAsia" w:ascii="宋体" w:hAnsi="宋体" w:cs="宋体"/>
                <w:kern w:val="0"/>
                <w:sz w:val="24"/>
                <w:szCs w:val="24"/>
                <w:highlight w:val="none"/>
              </w:rPr>
            </w:pPr>
            <w:r>
              <w:rPr>
                <w:rFonts w:hint="eastAsia" w:ascii="宋体" w:hAnsi="宋体" w:cs="宋体"/>
                <w:kern w:val="0"/>
                <w:sz w:val="24"/>
                <w:szCs w:val="24"/>
                <w:highlight w:val="none"/>
              </w:rPr>
              <w:t>（五）必要的法律依据；</w:t>
            </w:r>
          </w:p>
          <w:p w14:paraId="47E16B04">
            <w:pPr>
              <w:spacing w:line="360" w:lineRule="auto"/>
              <w:ind w:left="113" w:leftChars="54"/>
              <w:rPr>
                <w:rFonts w:hint="eastAsia" w:ascii="宋体" w:hAnsi="宋体" w:cs="宋体"/>
                <w:kern w:val="0"/>
                <w:sz w:val="24"/>
                <w:szCs w:val="24"/>
                <w:highlight w:val="none"/>
              </w:rPr>
            </w:pPr>
            <w:r>
              <w:rPr>
                <w:rFonts w:hint="eastAsia" w:ascii="宋体" w:hAnsi="宋体" w:cs="宋体"/>
                <w:kern w:val="0"/>
                <w:sz w:val="24"/>
                <w:szCs w:val="24"/>
                <w:highlight w:val="none"/>
              </w:rPr>
              <w:t>（六）提出质疑的日期。</w:t>
            </w:r>
          </w:p>
          <w:p w14:paraId="5FCAB02C">
            <w:pPr>
              <w:spacing w:line="360" w:lineRule="auto"/>
              <w:ind w:left="113" w:leftChars="54"/>
              <w:rPr>
                <w:rFonts w:hint="eastAsia" w:ascii="宋体" w:hAnsi="宋体" w:cs="宋体"/>
                <w:kern w:val="0"/>
                <w:sz w:val="24"/>
                <w:szCs w:val="24"/>
                <w:highlight w:val="none"/>
              </w:rPr>
            </w:pPr>
            <w:r>
              <w:rPr>
                <w:rFonts w:hint="eastAsia" w:ascii="宋体" w:hAnsi="宋体" w:cs="宋体"/>
                <w:kern w:val="0"/>
                <w:sz w:val="24"/>
                <w:szCs w:val="24"/>
                <w:highlight w:val="none"/>
              </w:rPr>
              <w:t>供应商为自然人的，应当由本人签字；供应商为法人或者其他组织的，应当由法定代表人、主要负责人，或者其授权代表（附法人代表授权书）签字或者盖章（鲜章），并加盖公章（鲜章）。</w:t>
            </w:r>
          </w:p>
          <w:p w14:paraId="229C5D2A">
            <w:pPr>
              <w:spacing w:line="360" w:lineRule="auto"/>
              <w:ind w:left="113" w:leftChars="54"/>
              <w:rPr>
                <w:rFonts w:hint="eastAsia" w:ascii="宋体" w:hAnsi="宋体"/>
                <w:sz w:val="24"/>
                <w:szCs w:val="24"/>
                <w:highlight w:val="none"/>
                <w:shd w:val="clear" w:color="auto" w:fill="FFFFFF"/>
              </w:rPr>
            </w:pPr>
            <w:r>
              <w:rPr>
                <w:rFonts w:hint="eastAsia" w:ascii="宋体" w:hAnsi="宋体" w:cs="宋体"/>
                <w:kern w:val="0"/>
                <w:sz w:val="24"/>
                <w:szCs w:val="24"/>
                <w:highlight w:val="none"/>
              </w:rPr>
              <w:t>质疑函格式应符合“政府采购供应商质疑函范本”要求，详见“中国政府采购网（www.ccgp.gov.cn）”下载专区。</w:t>
            </w:r>
          </w:p>
        </w:tc>
      </w:tr>
      <w:tr w14:paraId="4FD6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noWrap w:val="0"/>
            <w:vAlign w:val="center"/>
          </w:tcPr>
          <w:p w14:paraId="2F689570">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8.3</w:t>
            </w:r>
          </w:p>
        </w:tc>
        <w:tc>
          <w:tcPr>
            <w:tcW w:w="1985" w:type="dxa"/>
            <w:noWrap w:val="0"/>
            <w:vAlign w:val="center"/>
          </w:tcPr>
          <w:p w14:paraId="68C36A3E">
            <w:pPr>
              <w:spacing w:line="360" w:lineRule="auto"/>
              <w:ind w:firstLine="120" w:firstLineChars="50"/>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采购代理机构答疑的时间</w:t>
            </w:r>
          </w:p>
        </w:tc>
        <w:tc>
          <w:tcPr>
            <w:tcW w:w="6155" w:type="dxa"/>
            <w:noWrap w:val="0"/>
            <w:vAlign w:val="center"/>
          </w:tcPr>
          <w:p w14:paraId="34BDC24C">
            <w:pPr>
              <w:spacing w:line="360" w:lineRule="auto"/>
              <w:ind w:left="112" w:leftChars="50" w:right="172" w:rightChars="82" w:hanging="7" w:hangingChars="3"/>
              <w:rPr>
                <w:rFonts w:ascii="宋体" w:hAnsi="宋体" w:cs="宋体"/>
                <w:kern w:val="0"/>
                <w:sz w:val="24"/>
                <w:szCs w:val="24"/>
                <w:highlight w:val="none"/>
                <w:shd w:val="clear" w:color="auto" w:fill="FFFFFF"/>
              </w:rPr>
            </w:pPr>
            <w:r>
              <w:rPr>
                <w:rFonts w:hint="eastAsia" w:ascii="宋体" w:hAnsi="宋体" w:cs="宋体"/>
                <w:kern w:val="0"/>
                <w:sz w:val="24"/>
                <w:szCs w:val="24"/>
                <w:highlight w:val="none"/>
                <w:shd w:val="clear" w:color="auto" w:fill="FFFFFF"/>
              </w:rPr>
              <w:t>对于供应商在规定时间内依法提出的询问和质疑，采购代理机构将在三个工作日内答复询问，七个工作日内答复质疑。</w:t>
            </w:r>
          </w:p>
        </w:tc>
      </w:tr>
      <w:tr w14:paraId="0EEC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shd w:val="clear" w:color="auto" w:fill="auto"/>
            <w:noWrap w:val="0"/>
            <w:vAlign w:val="center"/>
          </w:tcPr>
          <w:p w14:paraId="504482E3">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11.1</w:t>
            </w:r>
          </w:p>
        </w:tc>
        <w:tc>
          <w:tcPr>
            <w:tcW w:w="1985" w:type="dxa"/>
            <w:shd w:val="clear" w:color="auto" w:fill="FFFFFF"/>
            <w:noWrap w:val="0"/>
            <w:vAlign w:val="center"/>
          </w:tcPr>
          <w:p w14:paraId="21464B17">
            <w:pPr>
              <w:spacing w:line="360" w:lineRule="auto"/>
              <w:ind w:firstLine="120" w:firstLineChars="50"/>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报价要求</w:t>
            </w:r>
          </w:p>
        </w:tc>
        <w:tc>
          <w:tcPr>
            <w:tcW w:w="6155" w:type="dxa"/>
            <w:shd w:val="clear" w:color="auto" w:fill="FFFFFF"/>
            <w:noWrap w:val="0"/>
            <w:vAlign w:val="center"/>
          </w:tcPr>
          <w:p w14:paraId="1C62C224">
            <w:pPr>
              <w:spacing w:line="360" w:lineRule="auto"/>
              <w:ind w:right="172" w:rightChars="82"/>
              <w:rPr>
                <w:rFonts w:ascii="宋体" w:hAnsi="宋体"/>
                <w:sz w:val="24"/>
                <w:szCs w:val="24"/>
                <w:highlight w:val="none"/>
              </w:rPr>
            </w:pPr>
            <w:r>
              <w:rPr>
                <w:rFonts w:hint="eastAsia" w:ascii="宋体" w:hAnsi="宋体"/>
                <w:sz w:val="24"/>
                <w:szCs w:val="24"/>
                <w:highlight w:val="none"/>
              </w:rPr>
              <w:t>1、</w:t>
            </w:r>
            <w:r>
              <w:rPr>
                <w:rFonts w:hint="eastAsia" w:ascii="宋体" w:hAnsi="宋体" w:cs="宋体"/>
                <w:b/>
                <w:sz w:val="24"/>
                <w:szCs w:val="24"/>
                <w:highlight w:val="none"/>
              </w:rPr>
              <w:t>固定总价，</w:t>
            </w:r>
            <w:r>
              <w:rPr>
                <w:rFonts w:hint="eastAsia" w:ascii="宋体" w:hAnsi="宋体" w:cs="宋体"/>
                <w:bCs/>
                <w:sz w:val="24"/>
                <w:szCs w:val="24"/>
                <w:highlight w:val="none"/>
              </w:rPr>
              <w:t>包含本包所有采购内容货到采购人指定地点的供货、运输、装卸、保险、安装调试、技术服务、税费等一切相关费用</w:t>
            </w:r>
            <w:r>
              <w:rPr>
                <w:rFonts w:hint="eastAsia" w:ascii="宋体" w:hAnsi="宋体"/>
                <w:sz w:val="24"/>
                <w:szCs w:val="24"/>
                <w:highlight w:val="none"/>
              </w:rPr>
              <w:t>。</w:t>
            </w:r>
          </w:p>
          <w:p w14:paraId="068824BF">
            <w:pPr>
              <w:spacing w:line="360" w:lineRule="auto"/>
              <w:ind w:right="172" w:rightChars="82"/>
              <w:rPr>
                <w:rFonts w:ascii="宋体" w:hAnsi="宋体"/>
                <w:b/>
                <w:sz w:val="24"/>
                <w:szCs w:val="24"/>
                <w:highlight w:val="none"/>
              </w:rPr>
            </w:pPr>
            <w:r>
              <w:rPr>
                <w:rFonts w:hint="eastAsia" w:ascii="宋体" w:hAnsi="宋体"/>
                <w:b/>
                <w:sz w:val="24"/>
                <w:szCs w:val="24"/>
                <w:highlight w:val="none"/>
              </w:rPr>
              <w:t>2、报价不得超过本项目采购预算</w:t>
            </w:r>
            <w:r>
              <w:rPr>
                <w:rFonts w:hint="eastAsia" w:ascii="宋体" w:hAnsi="宋体"/>
                <w:b/>
                <w:sz w:val="24"/>
                <w:szCs w:val="24"/>
                <w:highlight w:val="none"/>
                <w:lang w:val="en-US" w:eastAsia="zh-CN"/>
              </w:rPr>
              <w:t>及最高限价</w:t>
            </w:r>
            <w:r>
              <w:rPr>
                <w:rFonts w:hint="eastAsia" w:ascii="宋体" w:hAnsi="宋体"/>
                <w:b/>
                <w:sz w:val="24"/>
                <w:szCs w:val="24"/>
                <w:highlight w:val="none"/>
              </w:rPr>
              <w:t>，否则按照无效</w:t>
            </w:r>
            <w:r>
              <w:rPr>
                <w:rFonts w:hint="eastAsia" w:ascii="宋体" w:hAnsi="宋体"/>
                <w:b/>
                <w:sz w:val="24"/>
                <w:szCs w:val="24"/>
                <w:highlight w:val="none"/>
                <w:lang w:val="en-US" w:eastAsia="zh-CN"/>
              </w:rPr>
              <w:t>投标</w:t>
            </w:r>
            <w:r>
              <w:rPr>
                <w:rFonts w:hint="eastAsia" w:ascii="宋体" w:hAnsi="宋体"/>
                <w:b/>
                <w:sz w:val="24"/>
                <w:szCs w:val="24"/>
                <w:highlight w:val="none"/>
              </w:rPr>
              <w:t>处理。</w:t>
            </w:r>
          </w:p>
          <w:p w14:paraId="1D3E6D01">
            <w:pPr>
              <w:spacing w:line="360" w:lineRule="auto"/>
              <w:ind w:right="172" w:rightChars="82"/>
              <w:rPr>
                <w:rFonts w:ascii="宋体" w:hAnsi="宋体" w:cs="宋体"/>
                <w:kern w:val="0"/>
                <w:sz w:val="24"/>
                <w:szCs w:val="24"/>
                <w:highlight w:val="none"/>
              </w:rPr>
            </w:pPr>
            <w:r>
              <w:rPr>
                <w:rFonts w:hint="eastAsia" w:ascii="宋体" w:hAnsi="宋体"/>
                <w:sz w:val="24"/>
                <w:szCs w:val="24"/>
                <w:highlight w:val="none"/>
              </w:rPr>
              <w:t>3、凡因供应商对招标文件阅读疏忽或误解，或因对市场行情等了解不清而造成的后果和风险，由供应商负责；如供应商因此而提出索赔或服务期限延长，采购人将不予批准。</w:t>
            </w:r>
          </w:p>
        </w:tc>
      </w:tr>
      <w:tr w14:paraId="787F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noWrap w:val="0"/>
            <w:vAlign w:val="center"/>
          </w:tcPr>
          <w:p w14:paraId="126698AE">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11.3</w:t>
            </w:r>
          </w:p>
        </w:tc>
        <w:tc>
          <w:tcPr>
            <w:tcW w:w="1985" w:type="dxa"/>
            <w:noWrap w:val="0"/>
            <w:vAlign w:val="center"/>
          </w:tcPr>
          <w:p w14:paraId="60FD1F82">
            <w:pPr>
              <w:spacing w:line="360" w:lineRule="auto"/>
              <w:ind w:right="113" w:rightChars="54"/>
              <w:rPr>
                <w:rFonts w:ascii="宋体" w:hAnsi="宋体"/>
                <w:sz w:val="24"/>
                <w:szCs w:val="24"/>
                <w:highlight w:val="none"/>
                <w:shd w:val="clear" w:color="auto" w:fill="FFFFFF"/>
              </w:rPr>
            </w:pPr>
            <w:r>
              <w:rPr>
                <w:rFonts w:hint="eastAsia" w:ascii="宋体" w:hAnsi="宋体"/>
                <w:sz w:val="24"/>
                <w:szCs w:val="24"/>
                <w:highlight w:val="none"/>
                <w:shd w:val="clear" w:color="auto" w:fill="FFFFFF"/>
              </w:rPr>
              <w:t>是否允许备选方案</w:t>
            </w:r>
          </w:p>
        </w:tc>
        <w:tc>
          <w:tcPr>
            <w:tcW w:w="6155" w:type="dxa"/>
            <w:noWrap w:val="0"/>
            <w:vAlign w:val="center"/>
          </w:tcPr>
          <w:p w14:paraId="4E2321BB">
            <w:pPr>
              <w:spacing w:line="360" w:lineRule="auto"/>
              <w:ind w:left="345" w:leftChars="50" w:hanging="240" w:hangingChars="100"/>
              <w:rPr>
                <w:rFonts w:ascii="宋体" w:hAnsi="宋体"/>
                <w:sz w:val="24"/>
                <w:szCs w:val="24"/>
                <w:highlight w:val="none"/>
                <w:shd w:val="clear" w:color="auto" w:fill="FFFFFF"/>
              </w:rPr>
            </w:pPr>
            <w:r>
              <w:rPr>
                <w:rFonts w:hint="eastAsia" w:ascii="宋体" w:hAnsi="宋体"/>
                <w:sz w:val="24"/>
                <w:szCs w:val="24"/>
                <w:highlight w:val="none"/>
                <w:shd w:val="clear" w:color="auto" w:fill="FFFFFF"/>
              </w:rPr>
              <w:t>否</w:t>
            </w:r>
          </w:p>
        </w:tc>
      </w:tr>
      <w:tr w14:paraId="3B2F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noWrap w:val="0"/>
            <w:vAlign w:val="center"/>
          </w:tcPr>
          <w:p w14:paraId="5BB5521B">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12.2</w:t>
            </w:r>
          </w:p>
        </w:tc>
        <w:tc>
          <w:tcPr>
            <w:tcW w:w="1985" w:type="dxa"/>
            <w:noWrap w:val="0"/>
            <w:vAlign w:val="center"/>
          </w:tcPr>
          <w:p w14:paraId="2D50E345">
            <w:pPr>
              <w:spacing w:line="360" w:lineRule="auto"/>
              <w:ind w:right="113" w:rightChars="54"/>
              <w:rPr>
                <w:rFonts w:ascii="宋体" w:hAnsi="宋体"/>
                <w:spacing w:val="-6"/>
                <w:sz w:val="24"/>
                <w:szCs w:val="24"/>
                <w:highlight w:val="none"/>
                <w:shd w:val="clear" w:color="auto" w:fill="FFFFFF"/>
              </w:rPr>
            </w:pPr>
            <w:r>
              <w:rPr>
                <w:rFonts w:hint="eastAsia" w:ascii="宋体" w:hAnsi="宋体"/>
                <w:spacing w:val="-6"/>
                <w:sz w:val="24"/>
                <w:szCs w:val="24"/>
                <w:highlight w:val="none"/>
                <w:shd w:val="clear" w:color="auto" w:fill="FFFFFF"/>
              </w:rPr>
              <w:t>供应商资格证明文件</w:t>
            </w:r>
          </w:p>
        </w:tc>
        <w:tc>
          <w:tcPr>
            <w:tcW w:w="6155" w:type="dxa"/>
            <w:noWrap w:val="0"/>
            <w:vAlign w:val="center"/>
          </w:tcPr>
          <w:p w14:paraId="7621A94A">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满足《中华人民共和国政府采购法》第二十二条规定并提供下列材料：</w:t>
            </w:r>
          </w:p>
          <w:p w14:paraId="392AB0B6">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1、注册登记凭证（营业执照/其他组织经营的合法凭证/自然人的提供身份证明文件）；</w:t>
            </w:r>
          </w:p>
          <w:p w14:paraId="6DDBDB57">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lang w:val="en-US" w:eastAsia="zh-CN"/>
              </w:rPr>
            </w:pPr>
            <w:r>
              <w:rPr>
                <w:rFonts w:hint="eastAsia" w:ascii="宋体" w:hAnsi="宋体" w:eastAsia="宋体" w:cs="宋体"/>
                <w:kern w:val="0"/>
                <w:sz w:val="24"/>
                <w:szCs w:val="24"/>
                <w:highlight w:val="none"/>
                <w:shd w:val="clear" w:color="auto" w:fill="FFFFFF"/>
                <w:lang w:val="en-US" w:eastAsia="zh-CN"/>
              </w:rPr>
              <w:t>2、基本资格条件：提供《基本资格条件承诺函》，供应商应对承诺内容的真实性、合法性、有效性负责。经调查核实为虚假承诺的，视同为“提供虚假材料谋取中标、成交”的违法行为，依照《中华人民共和国政府采购法》等法律法规追究相应责任。承诺函格式详情见招标文件第四章投标文件格式。不提供《基本资格条件承诺函》的供应商需提交如下资格证明文件：</w:t>
            </w:r>
          </w:p>
          <w:p w14:paraId="6AB76657">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lang w:val="en-US" w:eastAsia="zh-CN"/>
              </w:rPr>
            </w:pPr>
            <w:r>
              <w:rPr>
                <w:rFonts w:hint="eastAsia" w:ascii="宋体" w:hAnsi="宋体" w:eastAsia="宋体" w:cs="宋体"/>
                <w:kern w:val="0"/>
                <w:sz w:val="24"/>
                <w:szCs w:val="24"/>
                <w:highlight w:val="none"/>
                <w:shd w:val="clear" w:color="auto" w:fill="FFFFFF"/>
                <w:lang w:val="en-US" w:eastAsia="zh-CN"/>
              </w:rPr>
              <w:t>①财务状况报告：</w:t>
            </w:r>
            <w:r>
              <w:rPr>
                <w:rFonts w:hint="eastAsia" w:ascii="宋体" w:hAnsi="宋体" w:eastAsia="宋体" w:cs="宋体"/>
                <w:kern w:val="0"/>
                <w:sz w:val="24"/>
                <w:szCs w:val="24"/>
                <w:highlight w:val="none"/>
                <w:shd w:val="clear" w:color="auto" w:fill="FFFFFF"/>
              </w:rPr>
              <w:t>提供</w:t>
            </w:r>
            <w:r>
              <w:rPr>
                <w:rFonts w:hint="eastAsia" w:ascii="宋体" w:hAnsi="宋体" w:eastAsia="宋体" w:cs="宋体"/>
                <w:kern w:val="0"/>
                <w:sz w:val="24"/>
                <w:szCs w:val="24"/>
                <w:highlight w:val="none"/>
                <w:shd w:val="clear" w:color="auto" w:fill="FFFFFF"/>
                <w:lang w:eastAsia="zh-CN"/>
              </w:rPr>
              <w:t>2023年或2024年</w:t>
            </w:r>
            <w:r>
              <w:rPr>
                <w:rFonts w:hint="eastAsia" w:ascii="宋体" w:hAnsi="宋体" w:eastAsia="宋体" w:cs="宋体"/>
                <w:kern w:val="0"/>
                <w:sz w:val="24"/>
                <w:szCs w:val="24"/>
                <w:highlight w:val="none"/>
                <w:shd w:val="clear" w:color="auto" w:fill="FFFFFF"/>
              </w:rPr>
              <w:t>度经审计的财务报告；/或其基本存款账户开户银行出具的资信证明及基本存款账户开户许可证（基本账户信息表）；/或财政部门认可的政府采购专业担保机构出具的投标担保函（以上三种形式的资料提供任何一种即可）</w:t>
            </w:r>
            <w:r>
              <w:rPr>
                <w:rFonts w:hint="eastAsia" w:ascii="宋体" w:hAnsi="宋体" w:eastAsia="宋体" w:cs="宋体"/>
                <w:kern w:val="0"/>
                <w:sz w:val="24"/>
                <w:szCs w:val="24"/>
                <w:highlight w:val="none"/>
                <w:shd w:val="clear" w:color="auto" w:fill="FFFFFF"/>
                <w:lang w:val="en-US" w:eastAsia="zh-CN"/>
              </w:rPr>
              <w:t>；</w:t>
            </w:r>
          </w:p>
          <w:p w14:paraId="552E2921">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lang w:val="en-US" w:eastAsia="zh-CN"/>
              </w:rPr>
            </w:pPr>
            <w:r>
              <w:rPr>
                <w:rFonts w:hint="eastAsia" w:ascii="宋体" w:hAnsi="宋体" w:eastAsia="宋体" w:cs="宋体"/>
                <w:kern w:val="0"/>
                <w:sz w:val="24"/>
                <w:szCs w:val="24"/>
                <w:highlight w:val="none"/>
                <w:shd w:val="clear" w:color="auto" w:fill="FFFFFF"/>
                <w:lang w:val="en-US" w:eastAsia="zh-CN"/>
              </w:rPr>
              <w:t>②</w:t>
            </w:r>
            <w:r>
              <w:rPr>
                <w:rFonts w:hint="eastAsia" w:ascii="宋体" w:hAnsi="宋体" w:eastAsia="宋体" w:cs="宋体"/>
                <w:kern w:val="0"/>
                <w:sz w:val="24"/>
                <w:szCs w:val="24"/>
                <w:highlight w:val="none"/>
                <w:shd w:val="clear" w:color="auto" w:fill="FFFFFF"/>
              </w:rPr>
              <w:t>提供投标截止日前一年内已缴纳的至少一个月的纳税证明或完税证明，依法免税的单位应提供相关证明材料</w:t>
            </w:r>
            <w:r>
              <w:rPr>
                <w:rFonts w:hint="eastAsia" w:ascii="宋体" w:hAnsi="宋体" w:eastAsia="宋体" w:cs="宋体"/>
                <w:kern w:val="0"/>
                <w:sz w:val="24"/>
                <w:szCs w:val="24"/>
                <w:highlight w:val="none"/>
                <w:shd w:val="clear" w:color="auto" w:fill="FFFFFF"/>
                <w:lang w:val="en-US" w:eastAsia="zh-CN"/>
              </w:rPr>
              <w:t>；</w:t>
            </w:r>
          </w:p>
          <w:p w14:paraId="29CA175D">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lang w:val="en-US" w:eastAsia="zh-CN"/>
              </w:rPr>
            </w:pPr>
            <w:r>
              <w:rPr>
                <w:rFonts w:hint="eastAsia" w:ascii="宋体" w:hAnsi="宋体" w:eastAsia="宋体" w:cs="宋体"/>
                <w:kern w:val="0"/>
                <w:sz w:val="24"/>
                <w:szCs w:val="24"/>
                <w:highlight w:val="none"/>
                <w:shd w:val="clear" w:color="auto" w:fill="FFFFFF"/>
                <w:lang w:val="en-US" w:eastAsia="zh-CN"/>
              </w:rPr>
              <w:t>③</w:t>
            </w:r>
            <w:r>
              <w:rPr>
                <w:rFonts w:hint="eastAsia" w:ascii="宋体" w:hAnsi="宋体" w:eastAsia="宋体" w:cs="宋体"/>
                <w:kern w:val="0"/>
                <w:sz w:val="24"/>
                <w:szCs w:val="24"/>
                <w:highlight w:val="none"/>
                <w:shd w:val="clear" w:color="auto" w:fill="FFFFFF"/>
              </w:rPr>
              <w:t>提供投标截止日前一年内已缴存的至少一个月的社会保障资金缴存单据或社保机构开具的社会保险参保缴费情况证明，依法不需要缴纳社会保障资金的单位应提供相关证明材料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kern w:val="0"/>
                <w:sz w:val="24"/>
                <w:szCs w:val="24"/>
                <w:highlight w:val="none"/>
                <w:shd w:val="clear" w:color="auto" w:fill="FFFFFF"/>
                <w:lang w:val="en-US" w:eastAsia="zh-CN"/>
              </w:rPr>
              <w:t>；</w:t>
            </w:r>
          </w:p>
          <w:p w14:paraId="2AAEDA33">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lang w:val="en-US" w:eastAsia="zh-CN"/>
              </w:rPr>
            </w:pPr>
            <w:r>
              <w:rPr>
                <w:rFonts w:hint="eastAsia" w:ascii="宋体" w:hAnsi="宋体" w:eastAsia="宋体" w:cs="宋体"/>
                <w:kern w:val="0"/>
                <w:sz w:val="24"/>
                <w:szCs w:val="24"/>
                <w:highlight w:val="none"/>
                <w:shd w:val="clear" w:color="auto" w:fill="FFFFFF"/>
                <w:lang w:val="en-US" w:eastAsia="zh-CN"/>
              </w:rPr>
              <w:t>④</w:t>
            </w:r>
            <w:r>
              <w:rPr>
                <w:rFonts w:hint="eastAsia" w:ascii="宋体" w:hAnsi="宋体" w:eastAsia="宋体" w:cs="宋体"/>
                <w:kern w:val="0"/>
                <w:sz w:val="24"/>
                <w:szCs w:val="24"/>
                <w:highlight w:val="none"/>
                <w:shd w:val="clear" w:color="auto" w:fill="FFFFFF"/>
              </w:rPr>
              <w:t>参加政府采购活动前3年内在经营活动中没有重大违法记录的书面声明</w:t>
            </w:r>
            <w:r>
              <w:rPr>
                <w:rFonts w:hint="eastAsia" w:ascii="宋体" w:hAnsi="宋体" w:eastAsia="宋体" w:cs="宋体"/>
                <w:kern w:val="0"/>
                <w:sz w:val="24"/>
                <w:szCs w:val="24"/>
                <w:highlight w:val="none"/>
                <w:shd w:val="clear" w:color="auto" w:fill="FFFFFF"/>
                <w:lang w:val="en-US" w:eastAsia="zh-CN"/>
              </w:rPr>
              <w:t>；</w:t>
            </w:r>
          </w:p>
          <w:p w14:paraId="3459A653">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val="en-US" w:eastAsia="zh-CN"/>
              </w:rPr>
              <w:t>⑤</w:t>
            </w:r>
            <w:r>
              <w:rPr>
                <w:rFonts w:hint="eastAsia" w:ascii="宋体" w:hAnsi="宋体" w:eastAsia="宋体" w:cs="宋体"/>
                <w:kern w:val="0"/>
                <w:sz w:val="24"/>
                <w:szCs w:val="24"/>
                <w:highlight w:val="none"/>
                <w:shd w:val="clear" w:color="auto" w:fill="FFFFFF"/>
              </w:rPr>
              <w:t>提供具有履行本合同所必需的设备和专业技术能力的承诺书加盖公章</w:t>
            </w:r>
            <w:r>
              <w:rPr>
                <w:rFonts w:hint="eastAsia" w:ascii="宋体" w:hAnsi="宋体" w:eastAsia="宋体" w:cs="宋体"/>
                <w:kern w:val="0"/>
                <w:sz w:val="24"/>
                <w:szCs w:val="24"/>
                <w:highlight w:val="none"/>
                <w:shd w:val="clear" w:color="auto" w:fill="FFFFFF"/>
                <w:lang w:val="en-US" w:eastAsia="zh-CN"/>
              </w:rPr>
              <w:t>。</w:t>
            </w:r>
          </w:p>
          <w:p w14:paraId="5E119AEC">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lang w:val="en-US" w:eastAsia="zh-CN"/>
              </w:rPr>
            </w:pPr>
            <w:r>
              <w:rPr>
                <w:rFonts w:hint="eastAsia" w:ascii="宋体" w:hAnsi="宋体" w:eastAsia="宋体" w:cs="宋体"/>
                <w:kern w:val="0"/>
                <w:sz w:val="24"/>
                <w:szCs w:val="24"/>
                <w:highlight w:val="none"/>
                <w:shd w:val="clear" w:color="auto" w:fill="FFFFFF"/>
                <w:lang w:val="en-US" w:eastAsia="zh-CN"/>
              </w:rPr>
              <w:t>3、</w:t>
            </w:r>
            <w:r>
              <w:rPr>
                <w:rFonts w:hint="eastAsia" w:ascii="宋体" w:hAnsi="宋体" w:eastAsia="宋体" w:cs="宋体"/>
                <w:kern w:val="0"/>
                <w:sz w:val="24"/>
                <w:szCs w:val="24"/>
                <w:highlight w:val="none"/>
                <w:shd w:val="clear" w:color="auto" w:fill="FFFFFF"/>
              </w:rPr>
              <w:t>法定代表人授权书及被授权人身份证（法定代表人直接参加的须提供其法人身份证），非法人单位参照执行；；</w:t>
            </w:r>
            <w:r>
              <w:rPr>
                <w:rFonts w:hint="eastAsia" w:ascii="宋体" w:hAnsi="宋体" w:eastAsia="宋体" w:cs="宋体"/>
                <w:kern w:val="0"/>
                <w:sz w:val="24"/>
                <w:szCs w:val="24"/>
                <w:highlight w:val="none"/>
                <w:shd w:val="clear" w:color="auto" w:fill="FFFFFF"/>
                <w:lang w:val="en-US" w:eastAsia="zh-CN"/>
              </w:rPr>
              <w:t xml:space="preserve">  </w:t>
            </w:r>
          </w:p>
          <w:p w14:paraId="6317B874">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val="en-US" w:eastAsia="zh-CN"/>
              </w:rPr>
              <w:t>4、</w:t>
            </w:r>
            <w:r>
              <w:rPr>
                <w:rFonts w:hint="eastAsia" w:ascii="宋体" w:hAnsi="宋体" w:eastAsia="宋体" w:cs="宋体"/>
                <w:kern w:val="0"/>
                <w:sz w:val="24"/>
                <w:szCs w:val="24"/>
                <w:highlight w:val="none"/>
                <w:shd w:val="clear" w:color="auto" w:fill="FFFFFF"/>
              </w:rPr>
              <w:t>信用记录：供应商不得为“信用中国”网站（www.creditchina.gov.cn）中列入失信被执行人（页面跳转至“中国执行信息公开网”http://zxgk.court.gov.cn/shixin/）和重大税收违法</w:t>
            </w:r>
            <w:r>
              <w:rPr>
                <w:rFonts w:hint="eastAsia" w:ascii="宋体" w:hAnsi="宋体" w:eastAsia="宋体" w:cs="宋体"/>
                <w:kern w:val="0"/>
                <w:sz w:val="24"/>
                <w:szCs w:val="24"/>
                <w:highlight w:val="none"/>
                <w:shd w:val="clear" w:color="auto" w:fill="FFFFFF"/>
                <w:lang w:val="en-US" w:eastAsia="zh-CN"/>
              </w:rPr>
              <w:t>失信主体</w:t>
            </w:r>
            <w:r>
              <w:rPr>
                <w:rFonts w:hint="eastAsia" w:ascii="宋体" w:hAnsi="宋体" w:eastAsia="宋体" w:cs="宋体"/>
                <w:kern w:val="0"/>
                <w:sz w:val="24"/>
                <w:szCs w:val="24"/>
                <w:highlight w:val="none"/>
                <w:shd w:val="clear" w:color="auto" w:fill="FFFFFF"/>
              </w:rPr>
              <w:t>名单的供应商，不得为中国政府采购网（www.ccgp.gov.cn）政府采购严重违法失信行为记录名单中被财政部门禁止参加政府采购活动的供应商；</w:t>
            </w:r>
          </w:p>
          <w:p w14:paraId="263E921C">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val="en-US" w:eastAsia="zh-CN"/>
              </w:rPr>
              <w:t>5、</w:t>
            </w:r>
            <w:r>
              <w:rPr>
                <w:rFonts w:hint="eastAsia" w:ascii="宋体" w:hAnsi="宋体" w:eastAsia="宋体" w:cs="宋体"/>
                <w:kern w:val="0"/>
                <w:sz w:val="24"/>
                <w:szCs w:val="24"/>
                <w:highlight w:val="none"/>
                <w:shd w:val="clear" w:color="auto" w:fill="FFFFFF"/>
              </w:rPr>
              <w:t>控股管理关系：单位负责人为同一人或者存在直接控股、管理关系的供应商，不得参加同一合同下的政府采购活动；</w:t>
            </w:r>
          </w:p>
          <w:p w14:paraId="084FC66F">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val="en-US" w:eastAsia="zh-CN"/>
              </w:rPr>
              <w:t>6、</w:t>
            </w:r>
            <w:r>
              <w:rPr>
                <w:rFonts w:hint="eastAsia" w:ascii="宋体" w:hAnsi="宋体" w:eastAsia="宋体" w:cs="宋体"/>
                <w:kern w:val="0"/>
                <w:sz w:val="24"/>
                <w:szCs w:val="24"/>
                <w:highlight w:val="none"/>
                <w:shd w:val="clear" w:color="auto" w:fill="FFFFFF"/>
              </w:rPr>
              <w:t>供应商书面声明：供应商未为本项目提供整体设计、规范编制或者项目管理、监理、检测等服务的书面声明；</w:t>
            </w:r>
          </w:p>
          <w:p w14:paraId="6196AD0A">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注:</w:t>
            </w:r>
          </w:p>
          <w:p w14:paraId="48409AF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以上资格证明文件人必须完全提供，缺一项或某项达不到要求，按无效文件处理，资格条件证明文件附到投标文件正本资格部分。</w:t>
            </w:r>
          </w:p>
        </w:tc>
      </w:tr>
      <w:tr w14:paraId="4A62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noWrap w:val="0"/>
            <w:vAlign w:val="center"/>
          </w:tcPr>
          <w:p w14:paraId="73D95ADB">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12.3</w:t>
            </w:r>
          </w:p>
        </w:tc>
        <w:tc>
          <w:tcPr>
            <w:tcW w:w="1985" w:type="dxa"/>
            <w:noWrap w:val="0"/>
            <w:vAlign w:val="center"/>
          </w:tcPr>
          <w:p w14:paraId="10B9B52E">
            <w:pPr>
              <w:spacing w:line="360" w:lineRule="auto"/>
              <w:rPr>
                <w:rFonts w:ascii="宋体" w:hAnsi="宋体"/>
                <w:sz w:val="24"/>
                <w:szCs w:val="24"/>
                <w:highlight w:val="none"/>
                <w:shd w:val="clear" w:color="auto" w:fill="FFFFFF"/>
              </w:rPr>
            </w:pPr>
            <w:r>
              <w:rPr>
                <w:rFonts w:hint="eastAsia" w:ascii="宋体" w:hAnsi="宋体"/>
                <w:sz w:val="24"/>
                <w:szCs w:val="24"/>
                <w:highlight w:val="none"/>
                <w:shd w:val="clear" w:color="auto" w:fill="FFFFFF"/>
              </w:rPr>
              <w:t>商务响应证明文件</w:t>
            </w:r>
          </w:p>
        </w:tc>
        <w:tc>
          <w:tcPr>
            <w:tcW w:w="6155" w:type="dxa"/>
            <w:noWrap w:val="0"/>
            <w:vAlign w:val="center"/>
          </w:tcPr>
          <w:p w14:paraId="2B8A5268">
            <w:pPr>
              <w:widowControl/>
              <w:spacing w:line="360" w:lineRule="auto"/>
              <w:ind w:left="15" w:leftChars="7" w:firstLine="120" w:firstLineChars="50"/>
              <w:jc w:val="left"/>
              <w:rPr>
                <w:rFonts w:ascii="宋体" w:hAnsi="宋体"/>
                <w:sz w:val="24"/>
                <w:szCs w:val="24"/>
                <w:highlight w:val="none"/>
                <w:shd w:val="clear" w:color="auto" w:fill="FFFFFF"/>
              </w:rPr>
            </w:pPr>
            <w:r>
              <w:rPr>
                <w:rFonts w:hint="eastAsia" w:ascii="宋体" w:hAnsi="宋体"/>
                <w:sz w:val="24"/>
                <w:szCs w:val="24"/>
                <w:highlight w:val="none"/>
                <w:shd w:val="clear" w:color="auto" w:fill="FFFFFF"/>
              </w:rPr>
              <w:t>/</w:t>
            </w:r>
            <w:r>
              <w:rPr>
                <w:rFonts w:hint="eastAsia" w:ascii="宋体" w:hAnsi="宋体" w:cs="宋体"/>
                <w:kern w:val="0"/>
                <w:sz w:val="24"/>
                <w:szCs w:val="24"/>
                <w:highlight w:val="none"/>
                <w:shd w:val="clear" w:color="auto" w:fill="FFFFFF"/>
              </w:rPr>
              <w:t>　</w:t>
            </w:r>
          </w:p>
        </w:tc>
      </w:tr>
      <w:tr w14:paraId="265F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noWrap w:val="0"/>
            <w:vAlign w:val="center"/>
          </w:tcPr>
          <w:p w14:paraId="50890712">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15.1</w:t>
            </w:r>
          </w:p>
        </w:tc>
        <w:tc>
          <w:tcPr>
            <w:tcW w:w="1985" w:type="dxa"/>
            <w:noWrap w:val="0"/>
            <w:vAlign w:val="center"/>
          </w:tcPr>
          <w:p w14:paraId="03A3705C">
            <w:pPr>
              <w:spacing w:line="360" w:lineRule="auto"/>
              <w:rPr>
                <w:rFonts w:ascii="宋体" w:hAnsi="宋体"/>
                <w:spacing w:val="-6"/>
                <w:sz w:val="24"/>
                <w:szCs w:val="24"/>
                <w:highlight w:val="none"/>
                <w:shd w:val="clear" w:color="auto" w:fill="FFFFFF"/>
              </w:rPr>
            </w:pPr>
            <w:r>
              <w:rPr>
                <w:rFonts w:hint="eastAsia" w:ascii="宋体" w:hAnsi="宋体"/>
                <w:spacing w:val="-6"/>
                <w:sz w:val="24"/>
                <w:szCs w:val="24"/>
                <w:highlight w:val="none"/>
                <w:shd w:val="clear" w:color="auto" w:fill="FFFFFF"/>
              </w:rPr>
              <w:t>是否要求投标保证金</w:t>
            </w:r>
          </w:p>
        </w:tc>
        <w:tc>
          <w:tcPr>
            <w:tcW w:w="6155" w:type="dxa"/>
            <w:noWrap w:val="0"/>
            <w:vAlign w:val="center"/>
          </w:tcPr>
          <w:p w14:paraId="51F922AE">
            <w:pPr>
              <w:spacing w:line="360" w:lineRule="auto"/>
              <w:rPr>
                <w:rFonts w:hint="eastAsia" w:ascii="宋体" w:hAnsi="宋体"/>
                <w:color w:val="FF0000"/>
                <w:sz w:val="24"/>
                <w:szCs w:val="24"/>
                <w:highlight w:val="none"/>
              </w:rPr>
            </w:pPr>
            <w:r>
              <w:rPr>
                <w:rFonts w:hint="eastAsia" w:ascii="宋体" w:hAnsi="宋体"/>
                <w:sz w:val="24"/>
                <w:szCs w:val="24"/>
                <w:highlight w:val="none"/>
              </w:rPr>
              <w:t>本次项目不要求提交投标保证金</w:t>
            </w:r>
          </w:p>
        </w:tc>
      </w:tr>
      <w:tr w14:paraId="21AF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noWrap w:val="0"/>
            <w:vAlign w:val="center"/>
          </w:tcPr>
          <w:p w14:paraId="1B2A529C">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15.2</w:t>
            </w:r>
          </w:p>
        </w:tc>
        <w:tc>
          <w:tcPr>
            <w:tcW w:w="1985" w:type="dxa"/>
            <w:noWrap w:val="0"/>
            <w:vAlign w:val="center"/>
          </w:tcPr>
          <w:p w14:paraId="33E2E8D9">
            <w:pPr>
              <w:spacing w:line="360" w:lineRule="auto"/>
              <w:ind w:left="113" w:leftChars="54" w:right="113" w:rightChars="54"/>
              <w:rPr>
                <w:rFonts w:ascii="宋体" w:hAnsi="宋体"/>
                <w:sz w:val="24"/>
                <w:szCs w:val="24"/>
                <w:highlight w:val="none"/>
                <w:shd w:val="clear" w:color="auto" w:fill="FFFFFF"/>
              </w:rPr>
            </w:pPr>
            <w:r>
              <w:rPr>
                <w:rFonts w:hint="eastAsia" w:ascii="宋体" w:hAnsi="宋体"/>
                <w:sz w:val="24"/>
                <w:szCs w:val="24"/>
                <w:highlight w:val="none"/>
                <w:shd w:val="clear" w:color="auto" w:fill="FFFFFF"/>
              </w:rPr>
              <w:t>关于保证金的相关要求</w:t>
            </w:r>
          </w:p>
        </w:tc>
        <w:tc>
          <w:tcPr>
            <w:tcW w:w="6155" w:type="dxa"/>
            <w:noWrap w:val="0"/>
            <w:vAlign w:val="center"/>
          </w:tcPr>
          <w:p w14:paraId="1F98107B">
            <w:pPr>
              <w:spacing w:line="360" w:lineRule="auto"/>
              <w:rPr>
                <w:rFonts w:hint="eastAsia" w:ascii="宋体" w:hAnsi="宋体"/>
                <w:color w:val="FF0000"/>
                <w:sz w:val="24"/>
                <w:szCs w:val="24"/>
                <w:highlight w:val="none"/>
              </w:rPr>
            </w:pPr>
            <w:r>
              <w:rPr>
                <w:rFonts w:hint="eastAsia" w:ascii="宋体" w:hAnsi="宋体" w:cs="宋体"/>
                <w:sz w:val="24"/>
                <w:szCs w:val="24"/>
                <w:highlight w:val="none"/>
              </w:rPr>
              <w:t>/不适用</w:t>
            </w:r>
          </w:p>
        </w:tc>
      </w:tr>
      <w:tr w14:paraId="40BE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noWrap w:val="0"/>
            <w:vAlign w:val="center"/>
          </w:tcPr>
          <w:p w14:paraId="19856F1E">
            <w:pPr>
              <w:spacing w:line="360" w:lineRule="auto"/>
              <w:ind w:left="113" w:leftChars="54" w:right="113" w:rightChars="54"/>
              <w:rPr>
                <w:rFonts w:hint="eastAsia" w:ascii="宋体" w:hAnsi="宋体" w:eastAsia="宋体"/>
                <w:sz w:val="24"/>
                <w:szCs w:val="24"/>
                <w:highlight w:val="none"/>
                <w:shd w:val="clear" w:color="auto" w:fill="FFFFFF"/>
              </w:rPr>
            </w:pPr>
            <w:r>
              <w:rPr>
                <w:rFonts w:hint="eastAsia" w:ascii="宋体" w:hAnsi="宋体" w:eastAsia="宋体"/>
                <w:sz w:val="24"/>
                <w:szCs w:val="24"/>
                <w:highlight w:val="none"/>
                <w:shd w:val="clear" w:color="auto" w:fill="FFFFFF"/>
              </w:rPr>
              <w:t>/</w:t>
            </w:r>
          </w:p>
        </w:tc>
        <w:tc>
          <w:tcPr>
            <w:tcW w:w="1985" w:type="dxa"/>
            <w:noWrap w:val="0"/>
            <w:vAlign w:val="center"/>
          </w:tcPr>
          <w:p w14:paraId="76E6C56E">
            <w:pPr>
              <w:spacing w:line="360" w:lineRule="auto"/>
              <w:ind w:left="113" w:leftChars="54" w:right="113" w:rightChars="54"/>
              <w:rPr>
                <w:rFonts w:hint="eastAsia" w:ascii="宋体" w:hAnsi="宋体" w:eastAsia="宋体"/>
                <w:sz w:val="24"/>
                <w:szCs w:val="24"/>
                <w:highlight w:val="none"/>
                <w:shd w:val="clear" w:color="auto" w:fill="FFFFFF"/>
              </w:rPr>
            </w:pPr>
            <w:r>
              <w:rPr>
                <w:rFonts w:hint="eastAsia" w:ascii="宋体" w:hAnsi="宋体" w:eastAsia="宋体"/>
                <w:sz w:val="24"/>
                <w:szCs w:val="24"/>
                <w:highlight w:val="none"/>
                <w:shd w:val="clear" w:color="auto" w:fill="FFFFFF"/>
              </w:rPr>
              <w:t>政府采购政策功能</w:t>
            </w:r>
          </w:p>
        </w:tc>
        <w:tc>
          <w:tcPr>
            <w:tcW w:w="6155" w:type="dxa"/>
            <w:noWrap w:val="0"/>
            <w:vAlign w:val="center"/>
          </w:tcPr>
          <w:p w14:paraId="1850F7E7">
            <w:pPr>
              <w:spacing w:line="360" w:lineRule="auto"/>
              <w:ind w:left="113" w:leftChars="54" w:right="113" w:rightChars="54"/>
              <w:rPr>
                <w:rFonts w:hint="eastAsia" w:ascii="宋体" w:hAnsi="宋体" w:eastAsia="宋体"/>
                <w:sz w:val="24"/>
                <w:szCs w:val="24"/>
                <w:highlight w:val="none"/>
                <w:shd w:val="clear" w:color="auto" w:fill="FFFFFF"/>
              </w:rPr>
            </w:pPr>
            <w:r>
              <w:rPr>
                <w:rFonts w:hint="eastAsia" w:ascii="宋体" w:hAnsi="宋体" w:eastAsia="宋体"/>
                <w:sz w:val="24"/>
                <w:szCs w:val="24"/>
                <w:highlight w:val="none"/>
                <w:shd w:val="clear" w:color="auto" w:fill="FFFFFF"/>
              </w:rPr>
              <w:t>1.根据《陕西省财政厅关于印发&lt;陕西省中小企业政府采购信用融资办法&gt;的通知》（陕财办采〔2018〕23 号，详见本章附件一</w:t>
            </w:r>
          </w:p>
          <w:p w14:paraId="05B1F905">
            <w:pPr>
              <w:spacing w:line="360" w:lineRule="auto"/>
              <w:ind w:left="113" w:leftChars="54" w:right="113" w:rightChars="54"/>
              <w:rPr>
                <w:rFonts w:hint="eastAsia" w:ascii="宋体" w:hAnsi="宋体" w:eastAsia="宋体"/>
                <w:sz w:val="24"/>
                <w:szCs w:val="24"/>
                <w:highlight w:val="none"/>
                <w:shd w:val="clear" w:color="auto" w:fill="FFFFFF"/>
              </w:rPr>
            </w:pPr>
            <w:r>
              <w:rPr>
                <w:rFonts w:hint="eastAsia" w:ascii="宋体" w:hAnsi="宋体" w:eastAsia="宋体"/>
                <w:sz w:val="24"/>
                <w:szCs w:val="24"/>
                <w:highlight w:val="none"/>
                <w:shd w:val="clear" w:color="auto" w:fill="FFFFFF"/>
              </w:rPr>
              <w:t>）相关规定，有融资需求的供应商可根据自身情况，在陕西省政府采购信用融资平台http://www.ccgp-shaanxi.gov.cn/zcdservice/zcd/shanxi/）自主选择金融机构及其融资产品，凭政府采购中标（成交）通知书或政府采购合同提出融资申请。</w:t>
            </w:r>
          </w:p>
          <w:p w14:paraId="3FFA862D">
            <w:pPr>
              <w:spacing w:line="360" w:lineRule="auto"/>
              <w:ind w:left="113" w:leftChars="54" w:right="113" w:rightChars="54"/>
              <w:rPr>
                <w:rFonts w:hint="eastAsia" w:ascii="宋体" w:hAnsi="宋体" w:eastAsia="宋体"/>
                <w:sz w:val="24"/>
                <w:szCs w:val="24"/>
                <w:highlight w:val="none"/>
                <w:shd w:val="clear" w:color="auto" w:fill="FFFFFF"/>
              </w:rPr>
            </w:pPr>
            <w:r>
              <w:rPr>
                <w:rFonts w:hint="eastAsia" w:ascii="宋体" w:hAnsi="宋体" w:eastAsia="宋体"/>
                <w:sz w:val="24"/>
                <w:szCs w:val="24"/>
                <w:highlight w:val="none"/>
                <w:shd w:val="clear" w:color="auto" w:fill="FFFFFF"/>
              </w:rPr>
              <w:t>2.对于供应商符合政府采购政策关于小微企业、残疾人福利性单位及监狱企业等规定的，在评标时给予相应的价格折扣，具体办法详见第</w:t>
            </w:r>
            <w:r>
              <w:rPr>
                <w:rFonts w:hint="eastAsia" w:ascii="宋体" w:hAnsi="宋体" w:eastAsia="宋体"/>
                <w:sz w:val="24"/>
                <w:szCs w:val="24"/>
                <w:highlight w:val="none"/>
                <w:shd w:val="clear" w:color="auto" w:fill="FFFFFF"/>
                <w:lang w:val="en-US" w:eastAsia="zh-CN"/>
              </w:rPr>
              <w:t>六</w:t>
            </w:r>
            <w:r>
              <w:rPr>
                <w:rFonts w:hint="eastAsia" w:ascii="宋体" w:hAnsi="宋体" w:eastAsia="宋体"/>
                <w:sz w:val="24"/>
                <w:szCs w:val="24"/>
                <w:highlight w:val="none"/>
                <w:shd w:val="clear" w:color="auto" w:fill="FFFFFF"/>
              </w:rPr>
              <w:t>章“评标办法”。若为专门面向中小企业采购的项目,不再执行上述价格折扣的办法。</w:t>
            </w:r>
          </w:p>
        </w:tc>
      </w:tr>
      <w:tr w14:paraId="7A9A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noWrap w:val="0"/>
            <w:vAlign w:val="center"/>
          </w:tcPr>
          <w:p w14:paraId="05CC6ACD">
            <w:pPr>
              <w:spacing w:line="360" w:lineRule="auto"/>
              <w:jc w:val="center"/>
              <w:rPr>
                <w:rFonts w:ascii="宋体" w:hAnsi="宋体"/>
                <w:sz w:val="24"/>
                <w:szCs w:val="24"/>
                <w:highlight w:val="none"/>
                <w:shd w:val="clear" w:color="auto" w:fill="FFFFFF"/>
              </w:rPr>
            </w:pPr>
            <w:r>
              <w:rPr>
                <w:rFonts w:ascii="宋体" w:hAnsi="宋体"/>
                <w:sz w:val="24"/>
                <w:szCs w:val="24"/>
                <w:highlight w:val="none"/>
                <w:shd w:val="clear" w:color="auto" w:fill="FFFFFF"/>
              </w:rPr>
              <w:t>1</w:t>
            </w:r>
            <w:r>
              <w:rPr>
                <w:rFonts w:hint="eastAsia" w:ascii="宋体" w:hAnsi="宋体"/>
                <w:sz w:val="24"/>
                <w:szCs w:val="24"/>
                <w:highlight w:val="none"/>
                <w:shd w:val="clear" w:color="auto" w:fill="FFFFFF"/>
              </w:rPr>
              <w:t>6</w:t>
            </w:r>
            <w:r>
              <w:rPr>
                <w:rFonts w:ascii="宋体" w:hAnsi="宋体"/>
                <w:sz w:val="24"/>
                <w:szCs w:val="24"/>
                <w:highlight w:val="none"/>
                <w:shd w:val="clear" w:color="auto" w:fill="FFFFFF"/>
              </w:rPr>
              <w:t>.1</w:t>
            </w:r>
          </w:p>
        </w:tc>
        <w:tc>
          <w:tcPr>
            <w:tcW w:w="1985" w:type="dxa"/>
            <w:noWrap w:val="0"/>
            <w:vAlign w:val="center"/>
          </w:tcPr>
          <w:p w14:paraId="7F6BBB31">
            <w:pPr>
              <w:spacing w:line="360" w:lineRule="auto"/>
              <w:ind w:left="113" w:leftChars="54"/>
              <w:rPr>
                <w:rFonts w:ascii="宋体" w:hAnsi="宋体"/>
                <w:sz w:val="24"/>
                <w:szCs w:val="24"/>
                <w:highlight w:val="none"/>
                <w:shd w:val="clear" w:color="auto" w:fill="FFFFFF"/>
              </w:rPr>
            </w:pPr>
            <w:r>
              <w:rPr>
                <w:rFonts w:hint="eastAsia" w:ascii="宋体" w:hAnsi="宋体"/>
                <w:sz w:val="24"/>
                <w:szCs w:val="24"/>
                <w:highlight w:val="none"/>
                <w:shd w:val="clear" w:color="auto" w:fill="FFFFFF"/>
              </w:rPr>
              <w:t>投标有效期</w:t>
            </w:r>
          </w:p>
        </w:tc>
        <w:tc>
          <w:tcPr>
            <w:tcW w:w="6155" w:type="dxa"/>
            <w:noWrap w:val="0"/>
            <w:vAlign w:val="center"/>
          </w:tcPr>
          <w:p w14:paraId="7D5F08BB">
            <w:pPr>
              <w:spacing w:line="360" w:lineRule="auto"/>
              <w:ind w:left="113" w:leftChars="54"/>
              <w:rPr>
                <w:rFonts w:ascii="宋体" w:hAnsi="宋体"/>
                <w:sz w:val="24"/>
                <w:szCs w:val="24"/>
                <w:highlight w:val="none"/>
                <w:shd w:val="clear" w:color="auto" w:fill="FFFFFF"/>
              </w:rPr>
            </w:pPr>
            <w:r>
              <w:rPr>
                <w:rFonts w:hint="eastAsia" w:ascii="宋体" w:hAnsi="宋体" w:cs="仿宋_GB2312"/>
                <w:sz w:val="24"/>
                <w:szCs w:val="24"/>
                <w:highlight w:val="none"/>
                <w:shd w:val="clear" w:color="auto" w:fill="FFFFFF"/>
              </w:rPr>
              <w:t>90日历天（自投标文件递交截止之日算起）</w:t>
            </w:r>
          </w:p>
        </w:tc>
      </w:tr>
      <w:tr w14:paraId="28D0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shd w:val="clear" w:color="auto" w:fill="auto"/>
            <w:noWrap w:val="0"/>
            <w:vAlign w:val="center"/>
          </w:tcPr>
          <w:p w14:paraId="4E4F53E9">
            <w:pPr>
              <w:spacing w:line="360" w:lineRule="auto"/>
              <w:jc w:val="center"/>
              <w:rPr>
                <w:rFonts w:ascii="宋体" w:hAnsi="宋体"/>
                <w:sz w:val="24"/>
                <w:szCs w:val="24"/>
                <w:highlight w:val="none"/>
                <w:shd w:val="clear" w:color="auto" w:fill="FFFFFF"/>
              </w:rPr>
            </w:pPr>
            <w:r>
              <w:rPr>
                <w:rFonts w:ascii="宋体" w:hAnsi="宋体"/>
                <w:sz w:val="24"/>
                <w:szCs w:val="24"/>
                <w:highlight w:val="none"/>
                <w:shd w:val="clear" w:color="auto" w:fill="FFFFFF"/>
              </w:rPr>
              <w:t>1</w:t>
            </w:r>
            <w:r>
              <w:rPr>
                <w:rFonts w:hint="eastAsia" w:ascii="宋体" w:hAnsi="宋体"/>
                <w:sz w:val="24"/>
                <w:szCs w:val="24"/>
                <w:highlight w:val="none"/>
                <w:shd w:val="clear" w:color="auto" w:fill="FFFFFF"/>
              </w:rPr>
              <w:t>7</w:t>
            </w:r>
            <w:r>
              <w:rPr>
                <w:rFonts w:ascii="宋体" w:hAnsi="宋体"/>
                <w:sz w:val="24"/>
                <w:szCs w:val="24"/>
                <w:highlight w:val="none"/>
                <w:shd w:val="clear" w:color="auto" w:fill="FFFFFF"/>
              </w:rPr>
              <w:t>.1</w:t>
            </w:r>
          </w:p>
        </w:tc>
        <w:tc>
          <w:tcPr>
            <w:tcW w:w="1985" w:type="dxa"/>
            <w:shd w:val="clear" w:color="auto" w:fill="FFFFFF"/>
            <w:noWrap w:val="0"/>
            <w:vAlign w:val="center"/>
          </w:tcPr>
          <w:p w14:paraId="42C398D3">
            <w:pPr>
              <w:spacing w:line="360" w:lineRule="auto"/>
              <w:ind w:firstLine="120" w:firstLineChars="50"/>
              <w:rPr>
                <w:rFonts w:ascii="宋体" w:hAnsi="宋体"/>
                <w:sz w:val="24"/>
                <w:szCs w:val="24"/>
                <w:highlight w:val="none"/>
                <w:shd w:val="clear" w:color="auto" w:fill="FFFFFF"/>
              </w:rPr>
            </w:pPr>
            <w:r>
              <w:rPr>
                <w:rFonts w:hint="eastAsia" w:ascii="宋体" w:hAnsi="宋体"/>
                <w:sz w:val="24"/>
                <w:szCs w:val="24"/>
                <w:highlight w:val="none"/>
                <w:shd w:val="clear" w:color="auto" w:fill="FFFFFF"/>
              </w:rPr>
              <w:t>投标文件份数</w:t>
            </w:r>
          </w:p>
        </w:tc>
        <w:tc>
          <w:tcPr>
            <w:tcW w:w="6155" w:type="dxa"/>
            <w:shd w:val="clear" w:color="auto" w:fill="FFFFFF"/>
            <w:noWrap w:val="0"/>
            <w:vAlign w:val="center"/>
          </w:tcPr>
          <w:p w14:paraId="004C53A7">
            <w:pPr>
              <w:spacing w:line="360" w:lineRule="auto"/>
              <w:ind w:left="111" w:leftChars="53"/>
              <w:rPr>
                <w:rFonts w:hint="eastAsia" w:ascii="宋体" w:hAnsi="宋体" w:eastAsia="宋体"/>
                <w:sz w:val="24"/>
                <w:szCs w:val="24"/>
                <w:highlight w:val="none"/>
                <w:shd w:val="clear" w:color="auto" w:fill="FFFFFF"/>
                <w:lang w:eastAsia="zh-CN"/>
              </w:rPr>
            </w:pPr>
            <w:r>
              <w:rPr>
                <w:rFonts w:hint="eastAsia" w:ascii="宋体" w:hAnsi="宋体"/>
                <w:sz w:val="24"/>
                <w:szCs w:val="24"/>
                <w:highlight w:val="none"/>
                <w:shd w:val="clear" w:color="auto" w:fill="FFFFFF"/>
                <w:lang w:val="en-US" w:eastAsia="zh-CN"/>
              </w:rPr>
              <w:t>/</w:t>
            </w:r>
          </w:p>
        </w:tc>
      </w:tr>
      <w:tr w14:paraId="62AA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noWrap w:val="0"/>
            <w:vAlign w:val="center"/>
          </w:tcPr>
          <w:p w14:paraId="61DF5073">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17.2</w:t>
            </w:r>
          </w:p>
        </w:tc>
        <w:tc>
          <w:tcPr>
            <w:tcW w:w="1985" w:type="dxa"/>
            <w:noWrap w:val="0"/>
            <w:vAlign w:val="center"/>
          </w:tcPr>
          <w:p w14:paraId="43C0CC79">
            <w:pPr>
              <w:spacing w:line="360" w:lineRule="auto"/>
              <w:rPr>
                <w:rFonts w:hint="eastAsia" w:ascii="宋体" w:hAnsi="宋体"/>
                <w:sz w:val="24"/>
                <w:szCs w:val="24"/>
                <w:highlight w:val="none"/>
              </w:rPr>
            </w:pPr>
            <w:r>
              <w:rPr>
                <w:rFonts w:hint="eastAsia" w:ascii="宋体" w:hAnsi="宋体"/>
                <w:sz w:val="24"/>
                <w:szCs w:val="24"/>
                <w:highlight w:val="none"/>
              </w:rPr>
              <w:t>电子版文件要求</w:t>
            </w:r>
          </w:p>
        </w:tc>
        <w:tc>
          <w:tcPr>
            <w:tcW w:w="6155" w:type="dxa"/>
            <w:noWrap w:val="0"/>
            <w:vAlign w:val="center"/>
          </w:tcPr>
          <w:p w14:paraId="6F1FEDFD">
            <w:pPr>
              <w:spacing w:line="360" w:lineRule="auto"/>
              <w:rPr>
                <w:rFonts w:hint="eastAsia" w:ascii="宋体" w:hAnsi="宋体" w:eastAsia="宋体"/>
                <w:color w:val="FF0000"/>
                <w:sz w:val="24"/>
                <w:szCs w:val="24"/>
                <w:highlight w:val="none"/>
                <w:lang w:val="en-US" w:eastAsia="zh-CN"/>
              </w:rPr>
            </w:pPr>
            <w:r>
              <w:rPr>
                <w:rFonts w:hint="eastAsia" w:ascii="宋体" w:hAnsi="宋体"/>
                <w:sz w:val="24"/>
                <w:szCs w:val="24"/>
                <w:highlight w:val="none"/>
                <w:lang w:val="en-US" w:eastAsia="zh-CN"/>
              </w:rPr>
              <w:t>/</w:t>
            </w:r>
          </w:p>
        </w:tc>
      </w:tr>
      <w:tr w14:paraId="4582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noWrap w:val="0"/>
            <w:vAlign w:val="center"/>
          </w:tcPr>
          <w:p w14:paraId="6C361DCC">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17.3</w:t>
            </w:r>
          </w:p>
        </w:tc>
        <w:tc>
          <w:tcPr>
            <w:tcW w:w="1985" w:type="dxa"/>
            <w:noWrap w:val="0"/>
            <w:vAlign w:val="center"/>
          </w:tcPr>
          <w:p w14:paraId="55F60762">
            <w:pPr>
              <w:spacing w:line="360" w:lineRule="auto"/>
              <w:ind w:firstLine="120" w:firstLineChars="50"/>
              <w:rPr>
                <w:rFonts w:ascii="宋体" w:hAnsi="宋体"/>
                <w:sz w:val="24"/>
                <w:szCs w:val="24"/>
                <w:highlight w:val="none"/>
                <w:shd w:val="clear" w:color="auto" w:fill="FFFFFF"/>
              </w:rPr>
            </w:pPr>
            <w:r>
              <w:rPr>
                <w:rFonts w:hint="eastAsia" w:ascii="宋体" w:hAnsi="宋体"/>
                <w:sz w:val="24"/>
                <w:szCs w:val="24"/>
                <w:highlight w:val="none"/>
                <w:shd w:val="clear" w:color="auto" w:fill="FFFFFF"/>
              </w:rPr>
              <w:t>法人代表签字要求</w:t>
            </w:r>
          </w:p>
        </w:tc>
        <w:tc>
          <w:tcPr>
            <w:tcW w:w="6155" w:type="dxa"/>
            <w:noWrap w:val="0"/>
            <w:vAlign w:val="center"/>
          </w:tcPr>
          <w:p w14:paraId="00C397CB">
            <w:pPr>
              <w:spacing w:line="360" w:lineRule="auto"/>
              <w:ind w:left="113" w:leftChars="54" w:right="172" w:rightChars="82"/>
              <w:jc w:val="left"/>
              <w:rPr>
                <w:rFonts w:ascii="宋体" w:hAnsi="宋体"/>
                <w:sz w:val="24"/>
                <w:szCs w:val="24"/>
                <w:highlight w:val="none"/>
                <w:shd w:val="clear" w:color="auto" w:fill="FFFFFF"/>
              </w:rPr>
            </w:pPr>
            <w:r>
              <w:rPr>
                <w:rFonts w:hint="eastAsia" w:ascii="宋体" w:hAnsi="宋体"/>
                <w:sz w:val="24"/>
                <w:szCs w:val="24"/>
                <w:highlight w:val="none"/>
              </w:rPr>
              <w:t>所有要求法人代表签字（名）处，均须由签字（名）者本人用不褪色的蓝(黑)色墨水(汁)书写，也可以加盖法人代表名章代替签名。</w:t>
            </w:r>
          </w:p>
        </w:tc>
      </w:tr>
      <w:tr w14:paraId="60BB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noWrap w:val="0"/>
            <w:vAlign w:val="center"/>
          </w:tcPr>
          <w:p w14:paraId="328CC8B5">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18.1</w:t>
            </w:r>
          </w:p>
        </w:tc>
        <w:tc>
          <w:tcPr>
            <w:tcW w:w="1985" w:type="dxa"/>
            <w:noWrap w:val="0"/>
            <w:vAlign w:val="center"/>
          </w:tcPr>
          <w:p w14:paraId="2ACF6573">
            <w:pPr>
              <w:spacing w:line="360" w:lineRule="auto"/>
              <w:rPr>
                <w:rFonts w:hint="eastAsia" w:ascii="宋体" w:hAnsi="宋体"/>
                <w:sz w:val="24"/>
                <w:szCs w:val="24"/>
                <w:highlight w:val="none"/>
              </w:rPr>
            </w:pPr>
            <w:r>
              <w:rPr>
                <w:rFonts w:hint="eastAsia" w:ascii="宋体" w:hAnsi="宋体"/>
                <w:sz w:val="24"/>
                <w:szCs w:val="24"/>
                <w:highlight w:val="none"/>
              </w:rPr>
              <w:t>投标文件装订及包装密封要求</w:t>
            </w:r>
          </w:p>
        </w:tc>
        <w:tc>
          <w:tcPr>
            <w:tcW w:w="6155" w:type="dxa"/>
            <w:noWrap w:val="0"/>
            <w:vAlign w:val="center"/>
          </w:tcPr>
          <w:p w14:paraId="66911322">
            <w:pPr>
              <w:spacing w:line="360" w:lineRule="auto"/>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w:t>
            </w:r>
          </w:p>
        </w:tc>
      </w:tr>
      <w:tr w14:paraId="3FBC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08" w:hRule="atLeast"/>
          <w:jc w:val="center"/>
        </w:trPr>
        <w:tc>
          <w:tcPr>
            <w:tcW w:w="860" w:type="dxa"/>
            <w:noWrap w:val="0"/>
            <w:vAlign w:val="center"/>
          </w:tcPr>
          <w:p w14:paraId="7E962748">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19.1</w:t>
            </w:r>
          </w:p>
        </w:tc>
        <w:tc>
          <w:tcPr>
            <w:tcW w:w="1985" w:type="dxa"/>
            <w:noWrap w:val="0"/>
            <w:vAlign w:val="center"/>
          </w:tcPr>
          <w:p w14:paraId="6AB81B9C">
            <w:pPr>
              <w:spacing w:line="360" w:lineRule="auto"/>
              <w:ind w:firstLine="120" w:firstLineChars="50"/>
              <w:rPr>
                <w:rFonts w:ascii="宋体" w:hAnsi="宋体"/>
                <w:sz w:val="24"/>
                <w:szCs w:val="24"/>
                <w:highlight w:val="none"/>
                <w:shd w:val="clear" w:color="auto" w:fill="FFFFFF"/>
              </w:rPr>
            </w:pPr>
            <w:r>
              <w:rPr>
                <w:rFonts w:hint="eastAsia" w:ascii="宋体" w:hAnsi="宋体"/>
                <w:sz w:val="24"/>
                <w:szCs w:val="24"/>
                <w:highlight w:val="none"/>
                <w:shd w:val="clear" w:color="auto" w:fill="FFFFFF"/>
              </w:rPr>
              <w:t>投标文件的递交</w:t>
            </w:r>
          </w:p>
        </w:tc>
        <w:tc>
          <w:tcPr>
            <w:tcW w:w="6155" w:type="dxa"/>
            <w:noWrap w:val="0"/>
            <w:vAlign w:val="center"/>
          </w:tcPr>
          <w:p w14:paraId="749001C6">
            <w:pPr>
              <w:spacing w:line="360" w:lineRule="auto"/>
              <w:ind w:left="113" w:leftChars="54" w:right="172" w:rightChars="82"/>
              <w:jc w:val="left"/>
              <w:rPr>
                <w:rFonts w:hint="eastAsia" w:ascii="宋体" w:hAnsi="宋体" w:eastAsia="宋体"/>
                <w:sz w:val="24"/>
                <w:szCs w:val="24"/>
                <w:highlight w:val="none"/>
              </w:rPr>
            </w:pPr>
            <w:r>
              <w:rPr>
                <w:rFonts w:hint="eastAsia" w:ascii="宋体" w:hAnsi="宋体" w:eastAsia="宋体"/>
                <w:sz w:val="24"/>
                <w:szCs w:val="24"/>
                <w:highlight w:val="none"/>
              </w:rPr>
              <w:t>投标文件递交截止时间:202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w:t>
            </w:r>
            <w:r>
              <w:rPr>
                <w:rFonts w:hint="eastAsia" w:ascii="宋体" w:hAnsi="宋体"/>
                <w:sz w:val="24"/>
                <w:szCs w:val="24"/>
                <w:highlight w:val="none"/>
                <w:lang w:val="en-US" w:eastAsia="zh-CN"/>
              </w:rPr>
              <w:t>5</w:t>
            </w:r>
            <w:r>
              <w:rPr>
                <w:rFonts w:hint="eastAsia" w:ascii="宋体" w:hAnsi="宋体" w:eastAsia="宋体"/>
                <w:sz w:val="24"/>
                <w:szCs w:val="24"/>
                <w:highlight w:val="none"/>
              </w:rPr>
              <w:t>月</w:t>
            </w:r>
            <w:r>
              <w:rPr>
                <w:rFonts w:hint="eastAsia" w:ascii="宋体" w:hAnsi="宋体"/>
                <w:sz w:val="24"/>
                <w:szCs w:val="24"/>
                <w:highlight w:val="none"/>
                <w:lang w:val="en-US" w:eastAsia="zh-CN"/>
              </w:rPr>
              <w:t>14</w:t>
            </w:r>
            <w:r>
              <w:rPr>
                <w:rFonts w:hint="eastAsia" w:ascii="宋体" w:hAnsi="宋体" w:eastAsia="宋体"/>
                <w:sz w:val="24"/>
                <w:szCs w:val="24"/>
                <w:highlight w:val="none"/>
              </w:rPr>
              <w:t>日14时</w:t>
            </w:r>
            <w:r>
              <w:rPr>
                <w:rFonts w:hint="eastAsia" w:ascii="宋体" w:hAnsi="宋体"/>
                <w:sz w:val="24"/>
                <w:szCs w:val="24"/>
                <w:highlight w:val="none"/>
                <w:lang w:val="en-US" w:eastAsia="zh-CN"/>
              </w:rPr>
              <w:t>0</w:t>
            </w:r>
            <w:r>
              <w:rPr>
                <w:rFonts w:hint="eastAsia" w:ascii="宋体" w:hAnsi="宋体" w:eastAsia="宋体"/>
                <w:sz w:val="24"/>
                <w:szCs w:val="24"/>
                <w:highlight w:val="none"/>
              </w:rPr>
              <w:t>0分整</w:t>
            </w:r>
          </w:p>
          <w:p w14:paraId="218392A7">
            <w:pPr>
              <w:spacing w:line="360" w:lineRule="auto"/>
              <w:ind w:left="113" w:leftChars="54" w:right="172" w:rightChars="82"/>
              <w:jc w:val="left"/>
              <w:rPr>
                <w:rFonts w:hint="eastAsia" w:ascii="宋体" w:hAnsi="宋体" w:eastAsia="宋体"/>
                <w:sz w:val="24"/>
                <w:szCs w:val="24"/>
                <w:highlight w:val="none"/>
              </w:rPr>
            </w:pPr>
            <w:r>
              <w:rPr>
                <w:rFonts w:hint="eastAsia" w:ascii="宋体" w:hAnsi="宋体" w:eastAsia="宋体"/>
                <w:sz w:val="24"/>
                <w:szCs w:val="24"/>
                <w:highlight w:val="none"/>
              </w:rPr>
              <w:t>投标文件递交地点:电子版响应文件上传至陕西省西咸新区公共资源交易平台</w:t>
            </w:r>
          </w:p>
          <w:p w14:paraId="7AC84A01">
            <w:pPr>
              <w:spacing w:line="360" w:lineRule="auto"/>
              <w:ind w:left="113" w:leftChars="54" w:right="172" w:rightChars="82"/>
              <w:jc w:val="left"/>
              <w:rPr>
                <w:rFonts w:hint="eastAsia" w:ascii="宋体" w:hAnsi="宋体" w:eastAsia="宋体"/>
                <w:sz w:val="24"/>
                <w:szCs w:val="24"/>
                <w:highlight w:val="none"/>
              </w:rPr>
            </w:pPr>
            <w:r>
              <w:rPr>
                <w:rFonts w:hint="eastAsia" w:ascii="宋体" w:hAnsi="宋体" w:eastAsia="宋体"/>
                <w:sz w:val="24"/>
                <w:szCs w:val="24"/>
                <w:highlight w:val="none"/>
              </w:rPr>
              <w:t>注：1、本项目采用电子化投标。供应商须使用数字认证证书对电子投标文件进行签封、加密、递交及开标时解密等相关事宜，电子投标文件递交应在投标文件递交截止时间之前。如出现电子投标文件与纸质投标文件内容不一致，以电子投标文件为准。</w:t>
            </w:r>
          </w:p>
          <w:p w14:paraId="3916FEDD">
            <w:pPr>
              <w:spacing w:line="360" w:lineRule="auto"/>
              <w:ind w:left="113" w:leftChars="54" w:right="172" w:rightChars="82"/>
              <w:jc w:val="left"/>
              <w:rPr>
                <w:rFonts w:hint="eastAsia" w:ascii="宋体" w:hAnsi="宋体" w:eastAsia="宋体"/>
                <w:sz w:val="24"/>
                <w:szCs w:val="24"/>
                <w:highlight w:val="none"/>
              </w:rPr>
            </w:pPr>
            <w:r>
              <w:rPr>
                <w:rFonts w:hint="eastAsia" w:ascii="宋体" w:hAnsi="宋体" w:eastAsia="宋体"/>
                <w:sz w:val="24"/>
                <w:szCs w:val="24"/>
                <w:highlight w:val="none"/>
              </w:rPr>
              <w:t>2、制作电子投标文件。供应商须在“陕西省西咸新区公共资源交易中心平台（http://xxxq.sxggzyjy.cn/）”的“服务指南”栏目“下载专区”中，免费下载“陕西省公共资源交易平台政府采购电子标书制作工具”，并升级至最新版本，使用该客户端制作电子投标文件，制作扩展名为“.SXSTF”的电子投标文件。递交电子投标文件。登录陕西省西咸新区公共资源交易中心平台（http://xxxq.sxggzyjy.cn/），选择“电子交易平台-陕西政府采购交易系统-陕西省西咸新区公共资源交易平台-供应商”进行登录，登录后选择“交易乙方”身份进入，选择“上传投标文件”菜单页面，上传加密的电子投标文件。同时将非加密电子投标文件拷贝自带。上传成功后，电子化平台将予以记录。</w:t>
            </w:r>
          </w:p>
          <w:p w14:paraId="56B3AEE2">
            <w:pPr>
              <w:spacing w:line="360" w:lineRule="auto"/>
              <w:ind w:left="113" w:leftChars="54" w:right="172" w:rightChars="82"/>
              <w:jc w:val="left"/>
              <w:rPr>
                <w:rFonts w:hint="eastAsia" w:ascii="宋体" w:hAnsi="宋体" w:eastAsia="宋体"/>
                <w:sz w:val="24"/>
                <w:szCs w:val="24"/>
                <w:highlight w:val="none"/>
              </w:rPr>
            </w:pPr>
            <w:r>
              <w:rPr>
                <w:rFonts w:hint="eastAsia" w:ascii="宋体" w:hAnsi="宋体" w:eastAsia="宋体"/>
                <w:sz w:val="24"/>
                <w:szCs w:val="24"/>
                <w:highlight w:val="none"/>
              </w:rPr>
              <w:t>3、供应商须在陕西省西咸新区公共资源交易中心、陕西省政府采购网进行注册。</w:t>
            </w:r>
          </w:p>
          <w:p w14:paraId="0CB6066E">
            <w:pPr>
              <w:spacing w:line="360" w:lineRule="auto"/>
              <w:ind w:left="113" w:leftChars="54" w:right="172" w:rightChars="82"/>
              <w:jc w:val="left"/>
              <w:rPr>
                <w:rFonts w:hint="eastAsia" w:ascii="宋体" w:hAnsi="宋体" w:eastAsia="宋体"/>
                <w:sz w:val="24"/>
                <w:szCs w:val="24"/>
                <w:highlight w:val="none"/>
              </w:rPr>
            </w:pPr>
            <w:r>
              <w:rPr>
                <w:rFonts w:hint="eastAsia" w:ascii="宋体" w:hAnsi="宋体" w:eastAsia="宋体"/>
                <w:sz w:val="24"/>
                <w:szCs w:val="24"/>
                <w:highlight w:val="none"/>
              </w:rPr>
              <w:t>4、本次招标采用“不见面开标”方式。“不见面开标大厅”登录方式：全国公共资源交易平台（陕西省西咸新区）-电子交易平台-西咸新区公共资源交易平台不见面开标系统。电子响应文件在截止时间前签章加密上传至全国公共资源交易平台（陕西省西咸新区）。关于使用不见面开标方式的相关事项详见“http://xxxq.sxggzyjy.cn/fwzn/004003/20210721/ab3c3cb9-7ef6-4def-a822-9a25e26c8bb4.html”内容。</w:t>
            </w:r>
          </w:p>
          <w:p w14:paraId="3DB8BA92">
            <w:pPr>
              <w:spacing w:line="360" w:lineRule="auto"/>
              <w:ind w:left="113" w:leftChars="54" w:right="172" w:rightChars="82"/>
              <w:jc w:val="left"/>
              <w:rPr>
                <w:rFonts w:hint="eastAsia" w:ascii="宋体" w:hAnsi="宋体" w:eastAsia="宋体"/>
                <w:sz w:val="24"/>
                <w:szCs w:val="24"/>
                <w:highlight w:val="none"/>
              </w:rPr>
            </w:pPr>
            <w:r>
              <w:rPr>
                <w:rFonts w:hint="eastAsia" w:ascii="宋体" w:hAnsi="宋体" w:eastAsia="宋体"/>
                <w:sz w:val="24"/>
                <w:szCs w:val="24"/>
                <w:highlight w:val="none"/>
              </w:rPr>
              <w:t>5、中标人须在中标通知书发出后七个工作日内，向招标代理递交纸质投标文件一正一副（分别装订成册，装订应牢固、不易拆散和换页，不得采用活页装订）及电子版U盘（与上传电子版响应文件一致的PDF及Word格式，且盖章、签字处必须扫描并清晰可辨）一份。送至或邮寄至</w:t>
            </w:r>
            <w:r>
              <w:rPr>
                <w:rFonts w:hint="eastAsia" w:ascii="宋体" w:hAnsi="宋体" w:eastAsia="宋体"/>
                <w:sz w:val="24"/>
                <w:szCs w:val="24"/>
                <w:highlight w:val="none"/>
                <w:lang w:val="en-US" w:eastAsia="zh-CN"/>
              </w:rPr>
              <w:t>西安经济技术开发区明光路55号天朗经开中心25层2505室</w:t>
            </w:r>
            <w:r>
              <w:rPr>
                <w:rFonts w:hint="eastAsia" w:ascii="宋体" w:hAnsi="宋体" w:eastAsia="宋体"/>
                <w:sz w:val="24"/>
                <w:szCs w:val="24"/>
                <w:highlight w:val="none"/>
              </w:rPr>
              <w:t>；联系人：</w:t>
            </w:r>
            <w:r>
              <w:rPr>
                <w:rFonts w:hint="eastAsia" w:ascii="宋体" w:hAnsi="宋体"/>
                <w:sz w:val="24"/>
                <w:szCs w:val="24"/>
                <w:highlight w:val="none"/>
                <w:lang w:val="en-US" w:eastAsia="zh-CN"/>
              </w:rPr>
              <w:t>张工</w:t>
            </w:r>
            <w:r>
              <w:rPr>
                <w:rFonts w:hint="eastAsia" w:ascii="宋体" w:hAnsi="宋体" w:eastAsia="宋体"/>
                <w:sz w:val="24"/>
                <w:szCs w:val="24"/>
                <w:highlight w:val="none"/>
              </w:rPr>
              <w:t>；联系方式：</w:t>
            </w:r>
            <w:r>
              <w:rPr>
                <w:rFonts w:hint="eastAsia" w:ascii="宋体" w:hAnsi="宋体" w:eastAsia="宋体"/>
                <w:sz w:val="24"/>
                <w:szCs w:val="24"/>
                <w:highlight w:val="none"/>
                <w:lang w:val="en-US" w:eastAsia="zh-CN"/>
              </w:rPr>
              <w:t>029-83666003</w:t>
            </w:r>
            <w:r>
              <w:rPr>
                <w:rFonts w:hint="eastAsia" w:ascii="宋体" w:hAnsi="宋体" w:eastAsia="宋体"/>
                <w:sz w:val="24"/>
                <w:szCs w:val="24"/>
                <w:highlight w:val="none"/>
              </w:rPr>
              <w:t>。</w:t>
            </w:r>
          </w:p>
          <w:p w14:paraId="56D50F68">
            <w:pPr>
              <w:spacing w:line="360" w:lineRule="auto"/>
              <w:ind w:left="113" w:leftChars="54" w:right="172" w:rightChars="82"/>
              <w:jc w:val="left"/>
              <w:rPr>
                <w:rFonts w:hint="eastAsia"/>
                <w:highlight w:val="none"/>
              </w:rPr>
            </w:pPr>
            <w:r>
              <w:rPr>
                <w:rFonts w:hint="eastAsia" w:ascii="宋体" w:hAnsi="宋体" w:eastAsia="宋体"/>
                <w:sz w:val="24"/>
                <w:szCs w:val="24"/>
                <w:highlight w:val="none"/>
              </w:rPr>
              <w:t>6、当上传至陕西省西咸新区公共资源交易中心平台的文件与纸质版不一致时，以平台上传电子版为准。</w:t>
            </w:r>
          </w:p>
        </w:tc>
      </w:tr>
      <w:tr w14:paraId="79E4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22" w:hRule="atLeast"/>
          <w:jc w:val="center"/>
        </w:trPr>
        <w:tc>
          <w:tcPr>
            <w:tcW w:w="860" w:type="dxa"/>
            <w:noWrap w:val="0"/>
            <w:vAlign w:val="center"/>
          </w:tcPr>
          <w:p w14:paraId="7514203A">
            <w:pPr>
              <w:spacing w:line="360" w:lineRule="auto"/>
              <w:jc w:val="center"/>
              <w:rPr>
                <w:rFonts w:ascii="宋体" w:hAnsi="宋体"/>
                <w:sz w:val="24"/>
                <w:szCs w:val="24"/>
                <w:highlight w:val="none"/>
                <w:shd w:val="clear" w:color="auto" w:fill="FFFFFF"/>
              </w:rPr>
            </w:pPr>
            <w:r>
              <w:rPr>
                <w:rFonts w:ascii="宋体" w:hAnsi="宋体"/>
                <w:sz w:val="24"/>
                <w:szCs w:val="24"/>
                <w:highlight w:val="none"/>
                <w:shd w:val="clear" w:color="auto" w:fill="FFFFFF"/>
              </w:rPr>
              <w:t>21.1</w:t>
            </w:r>
          </w:p>
        </w:tc>
        <w:tc>
          <w:tcPr>
            <w:tcW w:w="1985" w:type="dxa"/>
            <w:noWrap w:val="0"/>
            <w:vAlign w:val="center"/>
          </w:tcPr>
          <w:p w14:paraId="795A039A">
            <w:pPr>
              <w:spacing w:line="360" w:lineRule="auto"/>
              <w:ind w:firstLine="120" w:firstLineChars="50"/>
              <w:rPr>
                <w:rFonts w:ascii="宋体" w:hAnsi="宋体"/>
                <w:sz w:val="24"/>
                <w:szCs w:val="24"/>
                <w:highlight w:val="none"/>
                <w:shd w:val="clear" w:color="auto" w:fill="FFFFFF"/>
              </w:rPr>
            </w:pPr>
            <w:r>
              <w:rPr>
                <w:rFonts w:hint="eastAsia" w:ascii="宋体" w:hAnsi="宋体"/>
                <w:sz w:val="24"/>
                <w:szCs w:val="24"/>
                <w:highlight w:val="none"/>
                <w:shd w:val="clear" w:color="auto" w:fill="FFFFFF"/>
              </w:rPr>
              <w:t>开标时间和地点</w:t>
            </w:r>
          </w:p>
        </w:tc>
        <w:tc>
          <w:tcPr>
            <w:tcW w:w="6155" w:type="dxa"/>
            <w:noWrap w:val="0"/>
            <w:vAlign w:val="center"/>
          </w:tcPr>
          <w:p w14:paraId="1654DE10">
            <w:pPr>
              <w:spacing w:line="360" w:lineRule="auto"/>
              <w:rPr>
                <w:rFonts w:hint="eastAsia" w:ascii="宋体" w:hAnsi="宋体"/>
                <w:sz w:val="24"/>
                <w:szCs w:val="24"/>
                <w:highlight w:val="none"/>
              </w:rPr>
            </w:pPr>
            <w:r>
              <w:rPr>
                <w:rFonts w:hint="eastAsia" w:ascii="宋体" w:hAnsi="宋体"/>
                <w:sz w:val="24"/>
                <w:szCs w:val="24"/>
                <w:highlight w:val="none"/>
              </w:rPr>
              <w:t>开标时间</w:t>
            </w:r>
            <w:r>
              <w:rPr>
                <w:rFonts w:ascii="宋体" w:hAnsi="宋体"/>
                <w:sz w:val="24"/>
                <w:szCs w:val="24"/>
                <w:highlight w:val="none"/>
              </w:rPr>
              <w:t xml:space="preserve">: </w:t>
            </w:r>
            <w:r>
              <w:rPr>
                <w:rFonts w:hint="eastAsia" w:ascii="宋体" w:hAnsi="宋体"/>
                <w:sz w:val="24"/>
                <w:szCs w:val="24"/>
                <w:highlight w:val="none"/>
              </w:rPr>
              <w:t>同投标文件递交截止时间</w:t>
            </w:r>
          </w:p>
          <w:p w14:paraId="0E67352A">
            <w:pPr>
              <w:spacing w:line="360" w:lineRule="auto"/>
              <w:rPr>
                <w:rFonts w:hint="eastAsia" w:ascii="宋体" w:hAnsi="宋体"/>
                <w:sz w:val="24"/>
                <w:szCs w:val="24"/>
                <w:highlight w:val="none"/>
              </w:rPr>
            </w:pPr>
            <w:r>
              <w:rPr>
                <w:rFonts w:hint="eastAsia" w:ascii="宋体" w:hAnsi="宋体"/>
                <w:sz w:val="24"/>
                <w:szCs w:val="24"/>
                <w:highlight w:val="none"/>
              </w:rPr>
              <w:t>开标地点</w:t>
            </w:r>
            <w:r>
              <w:rPr>
                <w:rFonts w:ascii="宋体" w:hAnsi="宋体"/>
                <w:sz w:val="24"/>
                <w:szCs w:val="24"/>
                <w:highlight w:val="none"/>
              </w:rPr>
              <w:t xml:space="preserve">: </w:t>
            </w:r>
            <w:r>
              <w:rPr>
                <w:rFonts w:hint="eastAsia" w:ascii="宋体" w:hAnsi="宋体"/>
                <w:sz w:val="24"/>
                <w:szCs w:val="24"/>
                <w:highlight w:val="none"/>
              </w:rPr>
              <w:t>同投标文件递交地点</w:t>
            </w:r>
          </w:p>
        </w:tc>
      </w:tr>
      <w:tr w14:paraId="5CF85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noWrap w:val="0"/>
            <w:vAlign w:val="center"/>
          </w:tcPr>
          <w:p w14:paraId="4A87A3C1">
            <w:pPr>
              <w:spacing w:line="360" w:lineRule="auto"/>
              <w:jc w:val="center"/>
              <w:rPr>
                <w:rFonts w:hint="eastAsia" w:ascii="宋体" w:hAnsi="宋体" w:eastAsia="宋体"/>
                <w:sz w:val="24"/>
                <w:szCs w:val="24"/>
                <w:highlight w:val="none"/>
                <w:shd w:val="clear" w:color="auto" w:fill="FFFFFF"/>
                <w:lang w:eastAsia="zh-CN"/>
              </w:rPr>
            </w:pPr>
            <w:r>
              <w:rPr>
                <w:rFonts w:hint="eastAsia" w:ascii="宋体" w:hAnsi="宋体"/>
                <w:sz w:val="24"/>
                <w:szCs w:val="24"/>
                <w:highlight w:val="none"/>
                <w:shd w:val="clear" w:color="auto" w:fill="FFFFFF"/>
              </w:rPr>
              <w:t>21.</w:t>
            </w:r>
            <w:r>
              <w:rPr>
                <w:rFonts w:hint="eastAsia" w:ascii="宋体" w:hAnsi="宋体"/>
                <w:sz w:val="24"/>
                <w:szCs w:val="24"/>
                <w:highlight w:val="none"/>
                <w:shd w:val="clear" w:color="auto" w:fill="FFFFFF"/>
                <w:lang w:val="en-US" w:eastAsia="zh-CN"/>
              </w:rPr>
              <w:t>5</w:t>
            </w:r>
          </w:p>
        </w:tc>
        <w:tc>
          <w:tcPr>
            <w:tcW w:w="1985" w:type="dxa"/>
            <w:noWrap w:val="0"/>
            <w:vAlign w:val="center"/>
          </w:tcPr>
          <w:p w14:paraId="5F3E7915">
            <w:pPr>
              <w:spacing w:line="360" w:lineRule="auto"/>
              <w:ind w:left="112" w:leftChars="50" w:right="113" w:rightChars="54" w:hanging="7" w:hangingChars="3"/>
              <w:rPr>
                <w:rFonts w:ascii="宋体" w:hAnsi="宋体"/>
                <w:sz w:val="24"/>
                <w:szCs w:val="24"/>
                <w:highlight w:val="none"/>
                <w:shd w:val="clear" w:color="auto" w:fill="FFFFFF"/>
              </w:rPr>
            </w:pPr>
            <w:r>
              <w:rPr>
                <w:rFonts w:hint="eastAsia" w:ascii="宋体" w:hAnsi="宋体"/>
                <w:sz w:val="24"/>
                <w:szCs w:val="24"/>
                <w:highlight w:val="none"/>
                <w:shd w:val="clear" w:color="auto" w:fill="FFFFFF"/>
              </w:rPr>
              <w:t>供应商资格审查</w:t>
            </w:r>
          </w:p>
        </w:tc>
        <w:tc>
          <w:tcPr>
            <w:tcW w:w="6155" w:type="dxa"/>
            <w:noWrap w:val="0"/>
            <w:vAlign w:val="center"/>
          </w:tcPr>
          <w:p w14:paraId="37B74FC4">
            <w:pPr>
              <w:numPr>
                <w:ilvl w:val="0"/>
                <w:numId w:val="1"/>
              </w:numPr>
              <w:spacing w:line="420" w:lineRule="exact"/>
              <w:ind w:left="0"/>
              <w:rPr>
                <w:rFonts w:hint="eastAsia" w:ascii="宋体" w:hAnsi="宋体" w:cs="宋体"/>
                <w:sz w:val="24"/>
                <w:szCs w:val="24"/>
                <w:highlight w:val="none"/>
              </w:rPr>
            </w:pPr>
            <w:r>
              <w:rPr>
                <w:rFonts w:hint="eastAsia" w:ascii="宋体" w:hAnsi="宋体" w:cs="宋体"/>
                <w:sz w:val="24"/>
                <w:szCs w:val="24"/>
                <w:highlight w:val="none"/>
              </w:rPr>
              <w:t>审查时间：开标结束后；</w:t>
            </w:r>
          </w:p>
          <w:p w14:paraId="1ACDE7BE">
            <w:pPr>
              <w:numPr>
                <w:ilvl w:val="0"/>
                <w:numId w:val="1"/>
              </w:numPr>
              <w:spacing w:line="420" w:lineRule="exact"/>
              <w:ind w:left="0"/>
              <w:rPr>
                <w:rFonts w:hint="eastAsia" w:ascii="宋体" w:hAnsi="宋体" w:cs="宋体"/>
                <w:sz w:val="24"/>
                <w:szCs w:val="24"/>
                <w:highlight w:val="none"/>
              </w:rPr>
            </w:pPr>
            <w:r>
              <w:rPr>
                <w:rFonts w:hint="eastAsia" w:ascii="宋体" w:hAnsi="宋体" w:cs="宋体"/>
                <w:sz w:val="24"/>
                <w:szCs w:val="24"/>
                <w:highlight w:val="none"/>
              </w:rPr>
              <w:t>审查内容：</w:t>
            </w:r>
          </w:p>
          <w:p w14:paraId="71C7223B">
            <w:pPr>
              <w:spacing w:line="420" w:lineRule="exact"/>
              <w:rPr>
                <w:rFonts w:hint="eastAsia" w:ascii="宋体" w:hAnsi="宋体" w:cs="宋体"/>
                <w:sz w:val="24"/>
                <w:szCs w:val="24"/>
                <w:highlight w:val="none"/>
              </w:rPr>
            </w:pPr>
            <w:r>
              <w:rPr>
                <w:rFonts w:hint="eastAsia" w:ascii="宋体" w:hAnsi="宋体" w:cs="宋体"/>
                <w:sz w:val="24"/>
                <w:szCs w:val="24"/>
                <w:highlight w:val="none"/>
              </w:rPr>
              <w:t xml:space="preserve">2.1 </w:t>
            </w:r>
            <w:r>
              <w:rPr>
                <w:rFonts w:hint="eastAsia" w:ascii="宋体" w:hAnsi="宋体" w:cs="宋体"/>
                <w:spacing w:val="4"/>
                <w:sz w:val="24"/>
                <w:highlight w:val="none"/>
              </w:rPr>
              <w:t>在</w:t>
            </w:r>
            <w:r>
              <w:rPr>
                <w:rFonts w:hint="eastAsia" w:ascii="宋体" w:hAnsi="宋体" w:cs="宋体"/>
                <w:kern w:val="0"/>
                <w:sz w:val="24"/>
                <w:szCs w:val="24"/>
                <w:highlight w:val="none"/>
              </w:rPr>
              <w:t>“信用中国”网站（www.creditchina.gov.cn）和“中国政府采购网”（www.ccgp.gov.cn）对投标人信用信息进行查询，如果投标人被查实在投标截止时间前列入失信被执行人、重大税收违法案件当事人名单、政府采购严重违法失信行为记录名单，其投标为无效。</w:t>
            </w:r>
          </w:p>
          <w:p w14:paraId="0B86603C">
            <w:pPr>
              <w:spacing w:line="420" w:lineRule="exact"/>
              <w:rPr>
                <w:rFonts w:hint="eastAsia" w:ascii="宋体" w:hAnsi="宋体" w:cs="宋体"/>
                <w:spacing w:val="4"/>
                <w:sz w:val="24"/>
                <w:highlight w:val="none"/>
              </w:rPr>
            </w:pPr>
            <w:r>
              <w:rPr>
                <w:rFonts w:hint="eastAsia" w:ascii="宋体" w:hAnsi="宋体" w:cs="宋体"/>
                <w:spacing w:val="4"/>
                <w:sz w:val="24"/>
                <w:highlight w:val="none"/>
              </w:rPr>
              <w:t>2.2 审查投标人资格证明文件是否符合国家法律法规和招标文件的要求，并且齐全、真实、有效。资格证明文件不合格的，其投标为无效。</w:t>
            </w:r>
          </w:p>
          <w:p w14:paraId="1C784B09">
            <w:pPr>
              <w:spacing w:line="360" w:lineRule="auto"/>
              <w:ind w:right="172" w:rightChars="82" w:firstLine="124" w:firstLineChars="50"/>
              <w:rPr>
                <w:rFonts w:ascii="宋体" w:hAnsi="宋体"/>
                <w:sz w:val="24"/>
                <w:szCs w:val="24"/>
                <w:highlight w:val="none"/>
                <w:shd w:val="clear" w:color="auto" w:fill="FFFFFF"/>
              </w:rPr>
            </w:pPr>
            <w:r>
              <w:rPr>
                <w:rFonts w:hint="eastAsia" w:ascii="宋体" w:hAnsi="宋体" w:cs="宋体"/>
                <w:spacing w:val="4"/>
                <w:sz w:val="24"/>
                <w:szCs w:val="24"/>
                <w:highlight w:val="none"/>
              </w:rPr>
              <w:t>3、通过资格审查的</w:t>
            </w:r>
            <w:r>
              <w:rPr>
                <w:rFonts w:hint="eastAsia" w:ascii="宋体" w:hAnsi="宋体" w:cs="宋体"/>
                <w:sz w:val="24"/>
                <w:szCs w:val="24"/>
                <w:highlight w:val="none"/>
              </w:rPr>
              <w:t>投标人不足三家的，不进行评标。</w:t>
            </w:r>
          </w:p>
        </w:tc>
      </w:tr>
      <w:tr w14:paraId="06F2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noWrap w:val="0"/>
            <w:vAlign w:val="center"/>
          </w:tcPr>
          <w:p w14:paraId="1AC4D6A0">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24.1</w:t>
            </w:r>
          </w:p>
        </w:tc>
        <w:tc>
          <w:tcPr>
            <w:tcW w:w="1985" w:type="dxa"/>
            <w:noWrap w:val="0"/>
            <w:vAlign w:val="center"/>
          </w:tcPr>
          <w:p w14:paraId="2EEC1A56">
            <w:pPr>
              <w:spacing w:line="360" w:lineRule="auto"/>
              <w:ind w:firstLine="120" w:firstLineChars="50"/>
              <w:rPr>
                <w:rFonts w:ascii="宋体" w:hAnsi="宋体"/>
                <w:sz w:val="24"/>
                <w:szCs w:val="24"/>
                <w:highlight w:val="none"/>
                <w:shd w:val="clear" w:color="auto" w:fill="FFFFFF"/>
              </w:rPr>
            </w:pPr>
            <w:r>
              <w:rPr>
                <w:rFonts w:hint="eastAsia" w:ascii="宋体" w:hAnsi="宋体"/>
                <w:sz w:val="24"/>
                <w:szCs w:val="24"/>
                <w:highlight w:val="none"/>
                <w:shd w:val="clear" w:color="auto" w:fill="FFFFFF"/>
              </w:rPr>
              <w:t>评标方法</w:t>
            </w:r>
          </w:p>
        </w:tc>
        <w:tc>
          <w:tcPr>
            <w:tcW w:w="6155" w:type="dxa"/>
            <w:noWrap w:val="0"/>
            <w:vAlign w:val="center"/>
          </w:tcPr>
          <w:p w14:paraId="25366502">
            <w:pPr>
              <w:spacing w:line="360" w:lineRule="auto"/>
              <w:ind w:firstLine="120" w:firstLineChars="50"/>
              <w:rPr>
                <w:rFonts w:ascii="宋体" w:hAnsi="宋体"/>
                <w:sz w:val="24"/>
                <w:szCs w:val="24"/>
                <w:highlight w:val="none"/>
                <w:shd w:val="clear" w:color="auto" w:fill="FFFFFF"/>
              </w:rPr>
            </w:pPr>
            <w:r>
              <w:rPr>
                <w:rFonts w:hint="eastAsia" w:ascii="宋体" w:hAnsi="宋体"/>
                <w:sz w:val="24"/>
                <w:szCs w:val="24"/>
                <w:highlight w:val="none"/>
                <w:shd w:val="clear" w:color="auto" w:fill="FFFFFF"/>
              </w:rPr>
              <w:t>综合评分法（详见第六章评标方法）。</w:t>
            </w:r>
          </w:p>
        </w:tc>
      </w:tr>
      <w:tr w14:paraId="4B6C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noWrap w:val="0"/>
            <w:vAlign w:val="center"/>
          </w:tcPr>
          <w:p w14:paraId="714D00BB">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26.1</w:t>
            </w:r>
          </w:p>
        </w:tc>
        <w:tc>
          <w:tcPr>
            <w:tcW w:w="1985" w:type="dxa"/>
            <w:noWrap w:val="0"/>
            <w:vAlign w:val="center"/>
          </w:tcPr>
          <w:p w14:paraId="72326A65">
            <w:pPr>
              <w:spacing w:line="360" w:lineRule="auto"/>
              <w:ind w:firstLine="120" w:firstLineChars="50"/>
              <w:rPr>
                <w:rFonts w:ascii="宋体" w:hAnsi="宋体"/>
                <w:sz w:val="24"/>
                <w:szCs w:val="24"/>
                <w:highlight w:val="none"/>
                <w:shd w:val="clear" w:color="auto" w:fill="FFFFFF"/>
              </w:rPr>
            </w:pPr>
            <w:r>
              <w:rPr>
                <w:rFonts w:hint="eastAsia" w:ascii="宋体" w:hAnsi="宋体"/>
                <w:sz w:val="24"/>
                <w:szCs w:val="24"/>
                <w:highlight w:val="none"/>
                <w:shd w:val="clear" w:color="auto" w:fill="FFFFFF"/>
              </w:rPr>
              <w:t>中标候选人数量</w:t>
            </w:r>
          </w:p>
        </w:tc>
        <w:tc>
          <w:tcPr>
            <w:tcW w:w="6155" w:type="dxa"/>
            <w:noWrap w:val="0"/>
            <w:vAlign w:val="center"/>
          </w:tcPr>
          <w:p w14:paraId="09A8EBB1">
            <w:pPr>
              <w:spacing w:line="360" w:lineRule="auto"/>
              <w:ind w:firstLine="120" w:firstLineChars="50"/>
              <w:rPr>
                <w:rFonts w:ascii="宋体" w:hAnsi="宋体"/>
                <w:sz w:val="24"/>
                <w:szCs w:val="24"/>
                <w:highlight w:val="none"/>
                <w:shd w:val="clear" w:color="auto" w:fill="FFFFFF"/>
              </w:rPr>
            </w:pPr>
            <w:r>
              <w:rPr>
                <w:rFonts w:hint="eastAsia" w:ascii="宋体" w:hAnsi="宋体"/>
                <w:sz w:val="24"/>
                <w:szCs w:val="24"/>
                <w:highlight w:val="none"/>
                <w:shd w:val="clear" w:color="auto" w:fill="FFFFFF"/>
              </w:rPr>
              <w:t>推荐</w:t>
            </w:r>
            <w:r>
              <w:rPr>
                <w:rFonts w:hint="eastAsia" w:ascii="宋体" w:hAnsi="宋体"/>
                <w:sz w:val="24"/>
                <w:szCs w:val="24"/>
                <w:highlight w:val="none"/>
                <w:u w:val="single"/>
                <w:shd w:val="clear" w:color="auto" w:fill="FFFFFF"/>
              </w:rPr>
              <w:t>3</w:t>
            </w:r>
            <w:r>
              <w:rPr>
                <w:rFonts w:hint="eastAsia" w:ascii="宋体" w:hAnsi="宋体"/>
                <w:sz w:val="24"/>
                <w:szCs w:val="24"/>
                <w:highlight w:val="none"/>
                <w:shd w:val="clear" w:color="auto" w:fill="FFFFFF"/>
              </w:rPr>
              <w:t>名中标候选人。</w:t>
            </w:r>
          </w:p>
        </w:tc>
      </w:tr>
      <w:tr w14:paraId="1927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67" w:hRule="atLeast"/>
          <w:jc w:val="center"/>
        </w:trPr>
        <w:tc>
          <w:tcPr>
            <w:tcW w:w="860" w:type="dxa"/>
            <w:noWrap w:val="0"/>
            <w:vAlign w:val="center"/>
          </w:tcPr>
          <w:p w14:paraId="1723FBD8">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26.7</w:t>
            </w:r>
          </w:p>
        </w:tc>
        <w:tc>
          <w:tcPr>
            <w:tcW w:w="1985" w:type="dxa"/>
            <w:noWrap w:val="0"/>
            <w:vAlign w:val="center"/>
          </w:tcPr>
          <w:p w14:paraId="7180DD8E">
            <w:pPr>
              <w:spacing w:line="360" w:lineRule="auto"/>
              <w:ind w:firstLine="120" w:firstLineChars="50"/>
              <w:rPr>
                <w:rFonts w:ascii="宋体" w:hAnsi="宋体"/>
                <w:sz w:val="24"/>
                <w:szCs w:val="24"/>
                <w:highlight w:val="none"/>
                <w:shd w:val="clear" w:color="auto" w:fill="FFFFFF"/>
              </w:rPr>
            </w:pPr>
            <w:r>
              <w:rPr>
                <w:rFonts w:hint="eastAsia" w:ascii="宋体" w:hAnsi="宋体"/>
                <w:sz w:val="24"/>
                <w:szCs w:val="24"/>
                <w:highlight w:val="none"/>
                <w:shd w:val="clear" w:color="auto" w:fill="FFFFFF"/>
              </w:rPr>
              <w:t>评标特别规定</w:t>
            </w:r>
          </w:p>
        </w:tc>
        <w:tc>
          <w:tcPr>
            <w:tcW w:w="6155" w:type="dxa"/>
            <w:noWrap w:val="0"/>
            <w:vAlign w:val="center"/>
          </w:tcPr>
          <w:p w14:paraId="4EFCEF76">
            <w:pPr>
              <w:spacing w:line="360" w:lineRule="auto"/>
              <w:ind w:firstLine="120" w:firstLineChars="50"/>
              <w:rPr>
                <w:rFonts w:ascii="宋体" w:hAnsi="宋体"/>
                <w:sz w:val="24"/>
                <w:szCs w:val="24"/>
                <w:highlight w:val="none"/>
                <w:shd w:val="clear" w:color="auto" w:fill="FFFFFF"/>
              </w:rPr>
            </w:pPr>
            <w:r>
              <w:rPr>
                <w:rFonts w:hint="eastAsia" w:ascii="宋体" w:hAnsi="宋体"/>
                <w:sz w:val="24"/>
                <w:szCs w:val="24"/>
                <w:highlight w:val="none"/>
                <w:shd w:val="clear" w:color="auto" w:fill="FFFFFF"/>
              </w:rPr>
              <w:t>无</w:t>
            </w:r>
          </w:p>
        </w:tc>
      </w:tr>
      <w:tr w14:paraId="0992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noWrap w:val="0"/>
            <w:vAlign w:val="center"/>
          </w:tcPr>
          <w:p w14:paraId="5456D1EC">
            <w:pPr>
              <w:spacing w:line="360" w:lineRule="auto"/>
              <w:jc w:val="center"/>
              <w:rPr>
                <w:rFonts w:ascii="宋体" w:hAnsi="宋体"/>
                <w:sz w:val="24"/>
                <w:szCs w:val="24"/>
                <w:highlight w:val="none"/>
                <w:shd w:val="clear" w:color="auto" w:fill="FFFFFF"/>
              </w:rPr>
            </w:pPr>
            <w:r>
              <w:rPr>
                <w:rFonts w:hint="eastAsia" w:ascii="宋体" w:hAnsi="宋体"/>
                <w:sz w:val="24"/>
                <w:szCs w:val="24"/>
                <w:highlight w:val="none"/>
                <w:shd w:val="clear" w:color="auto" w:fill="FFFFFF"/>
              </w:rPr>
              <w:t>30</w:t>
            </w:r>
          </w:p>
        </w:tc>
        <w:tc>
          <w:tcPr>
            <w:tcW w:w="1985" w:type="dxa"/>
            <w:noWrap w:val="0"/>
            <w:vAlign w:val="center"/>
          </w:tcPr>
          <w:p w14:paraId="00298C56">
            <w:pPr>
              <w:spacing w:line="360" w:lineRule="auto"/>
              <w:ind w:firstLine="120" w:firstLineChars="50"/>
              <w:rPr>
                <w:rFonts w:ascii="宋体" w:hAnsi="宋体"/>
                <w:sz w:val="24"/>
                <w:szCs w:val="24"/>
                <w:highlight w:val="none"/>
                <w:shd w:val="clear" w:color="auto" w:fill="FFFFFF"/>
              </w:rPr>
            </w:pPr>
            <w:r>
              <w:rPr>
                <w:rFonts w:hint="eastAsia" w:ascii="宋体" w:hAnsi="宋体"/>
                <w:sz w:val="24"/>
                <w:szCs w:val="24"/>
                <w:highlight w:val="none"/>
                <w:shd w:val="clear" w:color="auto" w:fill="FFFFFF"/>
              </w:rPr>
              <w:t>招标代理服务费</w:t>
            </w:r>
          </w:p>
        </w:tc>
        <w:tc>
          <w:tcPr>
            <w:tcW w:w="6155" w:type="dxa"/>
            <w:noWrap w:val="0"/>
            <w:vAlign w:val="center"/>
          </w:tcPr>
          <w:p w14:paraId="5095C779">
            <w:pPr>
              <w:spacing w:line="360" w:lineRule="auto"/>
              <w:ind w:left="113" w:leftChars="54" w:right="172" w:rightChars="82"/>
              <w:rPr>
                <w:rFonts w:hint="eastAsia" w:ascii="宋体" w:hAnsi="宋体"/>
                <w:sz w:val="24"/>
                <w:szCs w:val="24"/>
                <w:highlight w:val="none"/>
              </w:rPr>
            </w:pPr>
            <w:r>
              <w:rPr>
                <w:rFonts w:hint="eastAsia" w:ascii="宋体" w:hAnsi="宋体"/>
                <w:sz w:val="24"/>
                <w:szCs w:val="24"/>
                <w:highlight w:val="none"/>
              </w:rPr>
              <w:t>确定中标人后3个工作日内，由中标人按国家计委颁发的《招标代理服务收费管理暂行办法》（计价格[2002]1980号）和国家发展改革委员会办公厅颁发的《关于招标代理服务收费有关问题的通知》（发改办价格[2003] 857号）的有关规定标准，向采购代理机构一次付清招标代理服务费。</w:t>
            </w:r>
          </w:p>
          <w:p w14:paraId="7102E645">
            <w:pPr>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开户名称：</w:t>
            </w:r>
            <w:r>
              <w:rPr>
                <w:rFonts w:hint="eastAsia" w:ascii="宋体" w:hAnsi="宋体"/>
                <w:sz w:val="24"/>
                <w:szCs w:val="24"/>
                <w:highlight w:val="none"/>
                <w:lang w:eastAsia="zh-CN"/>
              </w:rPr>
              <w:t>陕西广联达招标有限公司</w:t>
            </w:r>
          </w:p>
          <w:p w14:paraId="76885769">
            <w:pPr>
              <w:spacing w:line="360" w:lineRule="auto"/>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开户银行：</w:t>
            </w:r>
            <w:r>
              <w:rPr>
                <w:rFonts w:hint="eastAsia" w:ascii="宋体" w:hAnsi="宋体"/>
                <w:sz w:val="24"/>
                <w:szCs w:val="24"/>
                <w:highlight w:val="none"/>
                <w:lang w:eastAsia="zh-CN"/>
              </w:rPr>
              <w:t>中国银行股份有限公司西安万寿路支行</w:t>
            </w:r>
          </w:p>
          <w:p w14:paraId="79CA74EB">
            <w:pPr>
              <w:spacing w:line="360" w:lineRule="auto"/>
              <w:ind w:left="113" w:leftChars="54" w:right="172" w:rightChars="82"/>
              <w:rPr>
                <w:rFonts w:hint="eastAsia" w:ascii="宋体" w:hAnsi="宋体" w:eastAsia="宋体"/>
                <w:sz w:val="24"/>
                <w:szCs w:val="24"/>
                <w:highlight w:val="none"/>
                <w:lang w:eastAsia="zh-CN"/>
              </w:rPr>
            </w:pPr>
            <w:r>
              <w:rPr>
                <w:rFonts w:hint="eastAsia" w:ascii="宋体" w:hAnsi="宋体"/>
                <w:sz w:val="24"/>
                <w:szCs w:val="24"/>
                <w:highlight w:val="none"/>
              </w:rPr>
              <w:t xml:space="preserve">   账    号：</w:t>
            </w:r>
            <w:r>
              <w:rPr>
                <w:rFonts w:hint="eastAsia" w:ascii="宋体" w:hAnsi="宋体"/>
                <w:sz w:val="24"/>
                <w:szCs w:val="24"/>
                <w:highlight w:val="none"/>
                <w:lang w:eastAsia="zh-CN"/>
              </w:rPr>
              <w:t>1028 4964 6773</w:t>
            </w:r>
          </w:p>
        </w:tc>
      </w:tr>
      <w:tr w14:paraId="72DE7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0" w:hRule="atLeast"/>
          <w:jc w:val="center"/>
        </w:trPr>
        <w:tc>
          <w:tcPr>
            <w:tcW w:w="860" w:type="dxa"/>
            <w:noWrap w:val="0"/>
            <w:vAlign w:val="center"/>
          </w:tcPr>
          <w:p w14:paraId="57595E9C">
            <w:pPr>
              <w:spacing w:line="360" w:lineRule="auto"/>
              <w:jc w:val="center"/>
              <w:rPr>
                <w:rFonts w:hint="eastAsia" w:ascii="宋体" w:hAnsi="宋体"/>
                <w:b w:val="0"/>
                <w:bCs/>
                <w:sz w:val="24"/>
                <w:szCs w:val="24"/>
                <w:highlight w:val="none"/>
                <w:shd w:val="clear" w:color="auto" w:fill="FFFFFF"/>
              </w:rPr>
            </w:pPr>
            <w:r>
              <w:rPr>
                <w:rFonts w:hint="eastAsia" w:ascii="宋体" w:hAnsi="宋体" w:cs="宋体"/>
                <w:b w:val="0"/>
                <w:bCs/>
                <w:sz w:val="24"/>
                <w:szCs w:val="24"/>
                <w:highlight w:val="none"/>
                <w:shd w:val="clear" w:color="auto" w:fill="FFFFFF"/>
              </w:rPr>
              <w:t>32</w:t>
            </w:r>
          </w:p>
        </w:tc>
        <w:tc>
          <w:tcPr>
            <w:tcW w:w="1985" w:type="dxa"/>
            <w:noWrap w:val="0"/>
            <w:vAlign w:val="center"/>
          </w:tcPr>
          <w:p w14:paraId="7F090C20">
            <w:pPr>
              <w:spacing w:line="360" w:lineRule="auto"/>
              <w:jc w:val="center"/>
              <w:rPr>
                <w:rFonts w:hint="eastAsia" w:ascii="宋体" w:hAnsi="宋体"/>
                <w:b w:val="0"/>
                <w:bCs/>
                <w:sz w:val="24"/>
                <w:szCs w:val="24"/>
                <w:highlight w:val="none"/>
                <w:shd w:val="clear" w:color="auto" w:fill="FFFFFF"/>
              </w:rPr>
            </w:pPr>
            <w:r>
              <w:rPr>
                <w:rFonts w:hint="eastAsia" w:ascii="宋体" w:hAnsi="宋体" w:cs="宋体"/>
                <w:b w:val="0"/>
                <w:bCs/>
                <w:sz w:val="24"/>
                <w:szCs w:val="24"/>
                <w:highlight w:val="none"/>
                <w:shd w:val="clear" w:color="auto" w:fill="FFFFFF"/>
              </w:rPr>
              <w:t>需要补充的其他内容</w:t>
            </w:r>
          </w:p>
        </w:tc>
        <w:tc>
          <w:tcPr>
            <w:tcW w:w="6155" w:type="dxa"/>
            <w:noWrap w:val="0"/>
            <w:vAlign w:val="center"/>
          </w:tcPr>
          <w:p w14:paraId="28B9E543">
            <w:pPr>
              <w:pStyle w:val="39"/>
              <w:spacing w:line="360" w:lineRule="auto"/>
              <w:rPr>
                <w:rFonts w:hint="eastAsia"/>
                <w:highlight w:val="none"/>
              </w:rPr>
            </w:pPr>
            <w:r>
              <w:rPr>
                <w:rFonts w:hint="eastAsia" w:ascii="宋体" w:hAnsi="宋体" w:eastAsia="宋体" w:cs="Times New Roman"/>
                <w:kern w:val="2"/>
                <w:sz w:val="24"/>
                <w:szCs w:val="24"/>
                <w:highlight w:val="none"/>
                <w:lang w:val="en-US" w:eastAsia="zh-CN" w:bidi="ar-SA"/>
              </w:rPr>
              <w:t>本项目采购标的所属行业为：</w:t>
            </w:r>
            <w:r>
              <w:rPr>
                <w:rFonts w:hint="eastAsia" w:ascii="宋体" w:hAnsi="宋体" w:cs="Times New Roman"/>
                <w:kern w:val="2"/>
                <w:sz w:val="24"/>
                <w:szCs w:val="24"/>
                <w:highlight w:val="none"/>
                <w:lang w:val="en-US" w:eastAsia="zh-CN" w:bidi="ar-SA"/>
              </w:rPr>
              <w:t>工业</w:t>
            </w:r>
            <w:r>
              <w:rPr>
                <w:rFonts w:hint="eastAsia" w:ascii="宋体" w:hAnsi="宋体" w:eastAsia="宋体" w:cs="Times New Roman"/>
                <w:kern w:val="2"/>
                <w:sz w:val="24"/>
                <w:szCs w:val="24"/>
                <w:highlight w:val="none"/>
                <w:lang w:val="en-US" w:eastAsia="zh-CN" w:bidi="ar-SA"/>
              </w:rPr>
              <w:t>。</w:t>
            </w:r>
          </w:p>
        </w:tc>
      </w:tr>
    </w:tbl>
    <w:p w14:paraId="2F73578D">
      <w:pPr>
        <w:rPr>
          <w:rFonts w:ascii="宋体" w:hAnsi="宋体"/>
          <w:b/>
          <w:sz w:val="36"/>
          <w:highlight w:val="none"/>
          <w:shd w:val="clear" w:color="auto" w:fill="FFFFFF"/>
        </w:rPr>
      </w:pPr>
      <w:r>
        <w:rPr>
          <w:rFonts w:ascii="宋体" w:hAnsi="宋体"/>
          <w:b/>
          <w:sz w:val="36"/>
          <w:highlight w:val="none"/>
          <w:shd w:val="clear" w:color="auto" w:fill="FFFFFF"/>
        </w:rPr>
        <w:br w:type="page"/>
      </w:r>
    </w:p>
    <w:p w14:paraId="49742C16">
      <w:pPr>
        <w:spacing w:line="360" w:lineRule="auto"/>
        <w:jc w:val="center"/>
        <w:rPr>
          <w:rFonts w:hint="eastAsia" w:ascii="宋体" w:hAnsi="宋体" w:cs="宋体"/>
          <w:b/>
          <w:bCs/>
          <w:color w:val="auto"/>
          <w:sz w:val="22"/>
          <w:szCs w:val="22"/>
          <w:highlight w:val="none"/>
          <w:shd w:val="clear" w:color="auto" w:fill="FFFFFF"/>
        </w:rPr>
      </w:pPr>
      <w:r>
        <w:rPr>
          <w:rFonts w:hint="eastAsia" w:ascii="宋体" w:hAnsi="宋体" w:cs="宋体"/>
          <w:b/>
          <w:bCs/>
          <w:color w:val="auto"/>
          <w:sz w:val="22"/>
          <w:szCs w:val="22"/>
          <w:highlight w:val="none"/>
          <w:shd w:val="clear" w:color="auto" w:fill="FFFFFF"/>
        </w:rPr>
        <w:t>陕西省政府采购支持中小企业信用融资合作银行名单说明</w:t>
      </w:r>
    </w:p>
    <w:p w14:paraId="13BBF0D8">
      <w:pPr>
        <w:spacing w:line="360" w:lineRule="auto"/>
        <w:ind w:firstLine="330" w:firstLineChars="150"/>
        <w:rPr>
          <w:rFonts w:hint="eastAsia" w:ascii="宋体" w:hAnsi="宋体" w:cs="宋体"/>
          <w:b/>
          <w:bCs/>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根据中办、国办《关于促进中小企业健康发展的指导意见》、</w:t>
      </w:r>
      <w:r>
        <w:rPr>
          <w:rFonts w:hint="eastAsia" w:ascii="宋体" w:hAnsi="宋体" w:cs="宋体"/>
          <w:color w:val="auto"/>
          <w:sz w:val="22"/>
          <w:szCs w:val="22"/>
          <w:highlight w:val="none"/>
        </w:rPr>
        <w:t>财政部、工信部《政府采购促进中小企业发展管理办法》（财库〔2020〕46号）、关于进一步加大政府采购支持中小企业力度的通知（财库〔2022〕19号）、</w:t>
      </w:r>
      <w:r>
        <w:rPr>
          <w:rFonts w:hint="eastAsia" w:ascii="宋体" w:hAnsi="宋体" w:cs="宋体"/>
          <w:color w:val="auto"/>
          <w:sz w:val="22"/>
          <w:szCs w:val="22"/>
          <w:highlight w:val="none"/>
          <w:shd w:val="clear" w:color="auto" w:fill="FFFFFF"/>
        </w:rPr>
        <w:t>陕西省政府《应对新冠肺炎疫情支持中小微企业稳定健康发展若干措施》（陕政办发〔2020〕4号）、陕西省财政厅《陕西省中小企业政府采购信用融资办法》（陕财办采〔2018〕23号）等有关规定，陕西省政府采购支持中小企业信用融资合作银行名单以陕西省政府采购网发布的最新名单为准，供应商具体可登陆陕西省政府采购网(www.ccgp-shaanxi.gov.cn/）重要通知专栏查询。</w:t>
      </w:r>
    </w:p>
    <w:p w14:paraId="5AE14ABF">
      <w:pPr>
        <w:widowControl/>
        <w:jc w:val="left"/>
        <w:rPr>
          <w:rFonts w:hint="eastAsia"/>
          <w:color w:val="auto"/>
          <w:highlight w:val="none"/>
        </w:rPr>
      </w:pPr>
    </w:p>
    <w:p w14:paraId="21C87E47">
      <w:pPr>
        <w:jc w:val="left"/>
        <w:rPr>
          <w:rFonts w:hint="eastAsia"/>
          <w:b/>
          <w:bCs/>
          <w:color w:val="auto"/>
          <w:sz w:val="24"/>
          <w:szCs w:val="32"/>
          <w:highlight w:val="none"/>
        </w:rPr>
      </w:pPr>
      <w:r>
        <w:rPr>
          <w:rFonts w:hint="eastAsia" w:ascii="宋体" w:hAnsi="宋体" w:cs="宋体"/>
          <w:b/>
          <w:color w:val="auto"/>
          <w:szCs w:val="21"/>
          <w:highlight w:val="none"/>
        </w:rPr>
        <w:br w:type="page"/>
      </w:r>
      <w:r>
        <w:rPr>
          <w:rFonts w:hint="eastAsia"/>
          <w:b/>
          <w:bCs/>
          <w:color w:val="auto"/>
          <w:sz w:val="24"/>
          <w:szCs w:val="32"/>
          <w:highlight w:val="none"/>
        </w:rPr>
        <w:t>附件一：</w:t>
      </w:r>
    </w:p>
    <w:p w14:paraId="015FA2F0">
      <w:pPr>
        <w:jc w:val="center"/>
        <w:rPr>
          <w:rFonts w:hint="eastAsia"/>
          <w:b/>
          <w:bCs/>
          <w:color w:val="auto"/>
          <w:highlight w:val="none"/>
        </w:rPr>
      </w:pPr>
      <w:r>
        <w:rPr>
          <w:rFonts w:hint="eastAsia"/>
          <w:b/>
          <w:bCs/>
          <w:color w:val="auto"/>
          <w:highlight w:val="none"/>
        </w:rPr>
        <w:t>陕西省财政厅关于印发《陕西省中小企业政府采购信用融资办法》</w:t>
      </w:r>
    </w:p>
    <w:p w14:paraId="42E54248">
      <w:pPr>
        <w:pStyle w:val="35"/>
        <w:spacing w:before="0" w:beforeAutospacing="0" w:after="0" w:afterAutospacing="0"/>
        <w:jc w:val="center"/>
        <w:rPr>
          <w:rFonts w:hint="eastAsia"/>
          <w:color w:val="auto"/>
          <w:sz w:val="21"/>
          <w:szCs w:val="21"/>
          <w:highlight w:val="none"/>
        </w:rPr>
      </w:pPr>
    </w:p>
    <w:p w14:paraId="430ABA17">
      <w:pPr>
        <w:pStyle w:val="35"/>
        <w:spacing w:before="0" w:beforeAutospacing="0" w:after="0" w:afterAutospacing="0"/>
        <w:jc w:val="center"/>
        <w:rPr>
          <w:rFonts w:hint="eastAsia"/>
          <w:color w:val="auto"/>
          <w:sz w:val="21"/>
          <w:szCs w:val="21"/>
          <w:highlight w:val="none"/>
        </w:rPr>
      </w:pPr>
      <w:r>
        <w:rPr>
          <w:rFonts w:hint="eastAsia"/>
          <w:color w:val="auto"/>
          <w:sz w:val="21"/>
          <w:szCs w:val="21"/>
          <w:highlight w:val="none"/>
        </w:rPr>
        <w:t>陕财办采〔2018〕23号</w:t>
      </w:r>
    </w:p>
    <w:p w14:paraId="6C8752F1">
      <w:pPr>
        <w:pStyle w:val="35"/>
        <w:spacing w:before="0" w:beforeAutospacing="0" w:after="0" w:afterAutospacing="0"/>
        <w:jc w:val="center"/>
        <w:rPr>
          <w:rFonts w:hint="eastAsia"/>
          <w:color w:val="auto"/>
          <w:sz w:val="21"/>
          <w:szCs w:val="21"/>
          <w:highlight w:val="none"/>
        </w:rPr>
      </w:pPr>
    </w:p>
    <w:p w14:paraId="3F61FE42">
      <w:pPr>
        <w:pStyle w:val="35"/>
        <w:spacing w:before="0" w:beforeAutospacing="0" w:after="0" w:afterAutospacing="0"/>
        <w:jc w:val="center"/>
        <w:rPr>
          <w:rFonts w:hint="eastAsia"/>
          <w:color w:val="auto"/>
          <w:sz w:val="21"/>
          <w:szCs w:val="21"/>
          <w:highlight w:val="none"/>
        </w:rPr>
      </w:pPr>
    </w:p>
    <w:p w14:paraId="31F89D69">
      <w:pPr>
        <w:widowControl/>
        <w:spacing w:line="360" w:lineRule="auto"/>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各设区市、西咸新区、韩城市财政局，省级各部门、单位，各有关金融机构、有关企业：</w:t>
      </w:r>
    </w:p>
    <w:p w14:paraId="05CBCA92">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自2012年起，我省启动了政府采购信用担保融资试点工作，取得了一定成效。为进一步贯彻落实国务院和我省关于支持中小企业发展的政策措施，发挥政府采购政策导向作用，充分利用信息化技术，通过搭建信息对称、相互对接的平台，有效缓解中小企业融资难、融资贵问题。结合我省政府采购信息化建设实际，我们制定了《陕西省中小企业政府采购信用融资办法》，现印发给你们，请遵照执行。</w:t>
      </w:r>
    </w:p>
    <w:p w14:paraId="7C9B7ABB">
      <w:pPr>
        <w:pStyle w:val="35"/>
        <w:spacing w:before="0" w:beforeAutospacing="0" w:after="0" w:afterAutospacing="0" w:line="360" w:lineRule="auto"/>
        <w:jc w:val="right"/>
        <w:rPr>
          <w:rFonts w:hint="eastAsia"/>
          <w:color w:val="auto"/>
          <w:sz w:val="21"/>
          <w:szCs w:val="21"/>
          <w:highlight w:val="none"/>
        </w:rPr>
      </w:pPr>
      <w:r>
        <w:rPr>
          <w:rFonts w:hint="eastAsia"/>
          <w:color w:val="auto"/>
          <w:sz w:val="21"/>
          <w:szCs w:val="21"/>
          <w:highlight w:val="none"/>
        </w:rPr>
        <w:t>陕西省财政厅</w:t>
      </w:r>
    </w:p>
    <w:p w14:paraId="4A34FE04">
      <w:pPr>
        <w:pStyle w:val="35"/>
        <w:spacing w:before="0" w:beforeAutospacing="0" w:after="0" w:afterAutospacing="0" w:line="360" w:lineRule="auto"/>
        <w:jc w:val="right"/>
        <w:rPr>
          <w:rFonts w:hint="eastAsia"/>
          <w:color w:val="auto"/>
          <w:sz w:val="21"/>
          <w:szCs w:val="21"/>
          <w:highlight w:val="none"/>
        </w:rPr>
      </w:pPr>
      <w:r>
        <w:rPr>
          <w:rFonts w:hint="eastAsia"/>
          <w:color w:val="auto"/>
          <w:sz w:val="21"/>
          <w:szCs w:val="21"/>
          <w:highlight w:val="none"/>
        </w:rPr>
        <w:t>2018年10月8日</w:t>
      </w:r>
    </w:p>
    <w:p w14:paraId="68640D8F">
      <w:pPr>
        <w:widowControl/>
        <w:spacing w:line="360" w:lineRule="auto"/>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陕西省中小企业政府采购信用融资办法</w:t>
      </w:r>
    </w:p>
    <w:p w14:paraId="0DF14F66">
      <w:pPr>
        <w:widowControl/>
        <w:spacing w:line="360" w:lineRule="auto"/>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第二条  本办法所称“中小企业”包括中型、小型及微型企业，其划型标准按照《关于印发中小企业划型标准规定的通知》（工信部联企业〔2011〕300号）规定执行。</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第四条  开展政府采购信用融资的银行，应当为在陕西省境内注册或设立分支机构，并经财政部门审核且在我省政府采购信息系统搭建服务链接窗口的金融机构。</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第五条  政府采购信用融资应当坚持“财政引导，市场运行，银企自愿，互惠共赢”的原则。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第六条 省财政厅以全省统一的电子化政府采购系统为平台，对接银行信息化系统，推进政府采购中标成交信息、合同信息、融资信息、支付信息和信用信息等信息资源共享。</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第七条 各级财政部门应当以政府采购诚信考核和信息化建设为基础，积极为中小企业信用融资搭建平台，提供银企对接的机会和相关的服务支持，但不得为相关贷款项目提供任何形式的担保。</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第十条 银行为参与政府采购融资的中小企业提供的产品，应以信用贷款为主，贷款利率应当优于一般中小企业的贷款利率水平，并将产品信息（包括贷款发放条件、利率优惠、贷款金额）等在陕西政府采购网予以展示。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第十二条 银行应按规定对申请信用融资的供应商的政府采购合同信息进行审查，必要时可通过陕西政府采购网对该政府采购合同进行审核，以确保政府采购合同的真实性和有效性。</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第十五条 省本级政府采购资金支付时，各采购单位必须将采购资金支付到备案合同中指定的融资银行及收款账号，以保障贷款资金的安全回收。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第十六条 各市县操作程序由各地结合本地实际自行拟定，但应当体现“便捷高效、监管有效、风险可控”的原则。</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第十八条 本办法由陕西省财政厅负责解释。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第十九条 本办法自2018年11月1日起施行。</w:t>
      </w:r>
    </w:p>
    <w:p w14:paraId="3D745708">
      <w:pPr>
        <w:spacing w:before="240" w:beforeLines="100" w:line="360" w:lineRule="auto"/>
        <w:jc w:val="center"/>
        <w:outlineLvl w:val="1"/>
        <w:rPr>
          <w:rFonts w:ascii="宋体" w:hAnsi="宋体"/>
          <w:b/>
          <w:sz w:val="24"/>
          <w:szCs w:val="24"/>
          <w:highlight w:val="none"/>
          <w:shd w:val="clear" w:color="auto" w:fill="FFFFFF"/>
        </w:rPr>
      </w:pPr>
      <w:r>
        <w:rPr>
          <w:rFonts w:ascii="宋体" w:hAnsi="宋体"/>
          <w:b/>
          <w:sz w:val="36"/>
          <w:highlight w:val="none"/>
          <w:shd w:val="clear" w:color="auto" w:fill="FFFFFF"/>
        </w:rPr>
        <w:br w:type="page"/>
      </w:r>
      <w:bookmarkStart w:id="5" w:name="_Toc53083678"/>
      <w:bookmarkStart w:id="6" w:name="_Toc53083507"/>
      <w:bookmarkStart w:id="7" w:name="_Toc53083415"/>
      <w:r>
        <w:rPr>
          <w:rFonts w:hint="eastAsia" w:ascii="宋体" w:hAnsi="宋体"/>
          <w:b/>
          <w:sz w:val="24"/>
          <w:szCs w:val="24"/>
          <w:highlight w:val="none"/>
          <w:shd w:val="clear" w:color="auto" w:fill="FFFFFF"/>
        </w:rPr>
        <w:t>一.总  则</w:t>
      </w:r>
      <w:bookmarkEnd w:id="5"/>
      <w:bookmarkEnd w:id="6"/>
      <w:bookmarkEnd w:id="7"/>
    </w:p>
    <w:p w14:paraId="06075C38">
      <w:pPr>
        <w:spacing w:after="120" w:afterLines="50" w:line="360" w:lineRule="auto"/>
        <w:rPr>
          <w:rFonts w:hint="eastAsia" w:ascii="宋体" w:hAnsi="宋体" w:cs="宋体"/>
          <w:b/>
          <w:sz w:val="24"/>
          <w:szCs w:val="24"/>
          <w:highlight w:val="none"/>
          <w:shd w:val="clear" w:color="auto" w:fill="FFFFFF"/>
        </w:rPr>
      </w:pPr>
      <w:r>
        <w:rPr>
          <w:rFonts w:hint="eastAsia" w:ascii="宋体" w:hAnsi="宋体" w:cs="宋体"/>
          <w:b/>
          <w:sz w:val="24"/>
          <w:szCs w:val="24"/>
          <w:highlight w:val="none"/>
          <w:shd w:val="clear" w:color="auto" w:fill="FFFFFF"/>
        </w:rPr>
        <w:t>1.采购人、采购代理机构和资金来源</w:t>
      </w:r>
    </w:p>
    <w:p w14:paraId="5BED68CF">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1.1采购人名称、地址：见供应商须知前附表。</w:t>
      </w:r>
    </w:p>
    <w:p w14:paraId="73E6CDA4">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1.2</w:t>
      </w:r>
      <w:r>
        <w:rPr>
          <w:rFonts w:hint="eastAsia" w:ascii="宋体" w:hAnsi="宋体" w:cs="宋体"/>
          <w:spacing w:val="-2"/>
          <w:sz w:val="24"/>
          <w:szCs w:val="24"/>
          <w:highlight w:val="none"/>
          <w:shd w:val="clear" w:color="auto" w:fill="FFFFFF"/>
        </w:rPr>
        <w:t>实施本次招标的采购代理机构</w:t>
      </w:r>
      <w:r>
        <w:rPr>
          <w:rFonts w:hint="eastAsia" w:ascii="宋体" w:hAnsi="宋体" w:cs="宋体"/>
          <w:sz w:val="24"/>
          <w:szCs w:val="24"/>
          <w:highlight w:val="none"/>
          <w:shd w:val="clear" w:color="auto" w:fill="FFFFFF"/>
        </w:rPr>
        <w:t>为</w:t>
      </w:r>
      <w:r>
        <w:rPr>
          <w:rFonts w:hint="eastAsia" w:ascii="宋体" w:hAnsi="宋体" w:cs="宋体"/>
          <w:sz w:val="24"/>
          <w:szCs w:val="24"/>
          <w:highlight w:val="none"/>
          <w:shd w:val="clear" w:color="auto" w:fill="FFFFFF"/>
          <w:lang w:eastAsia="zh-CN"/>
        </w:rPr>
        <w:t>陕西广联达招标有限公司</w:t>
      </w:r>
      <w:r>
        <w:rPr>
          <w:rFonts w:hint="eastAsia" w:ascii="宋体" w:hAnsi="宋体" w:cs="宋体"/>
          <w:sz w:val="24"/>
          <w:szCs w:val="24"/>
          <w:highlight w:val="none"/>
          <w:shd w:val="clear" w:color="auto" w:fill="FFFFFF"/>
        </w:rPr>
        <w:t>。</w:t>
      </w:r>
      <w:r>
        <w:rPr>
          <w:rFonts w:hint="eastAsia" w:ascii="宋体" w:hAnsi="宋体" w:cs="宋体"/>
          <w:sz w:val="24"/>
          <w:szCs w:val="24"/>
          <w:highlight w:val="none"/>
          <w:shd w:val="clear" w:color="auto" w:fill="FFFFFF"/>
          <w:lang w:eastAsia="zh-CN"/>
        </w:rPr>
        <w:t>陕西广联达招标有限公司</w:t>
      </w:r>
      <w:r>
        <w:rPr>
          <w:rFonts w:hint="eastAsia" w:ascii="宋体" w:hAnsi="宋体" w:cs="宋体"/>
          <w:sz w:val="24"/>
          <w:szCs w:val="24"/>
          <w:highlight w:val="none"/>
          <w:shd w:val="clear" w:color="auto" w:fill="FFFFFF"/>
        </w:rPr>
        <w:t>是在陕西省政府采购网备案的代理机构。</w:t>
      </w:r>
    </w:p>
    <w:p w14:paraId="7D2872A5">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1.3 本次招标采购所签订合同将使用财政性资金支付，资金已落实到位。</w:t>
      </w:r>
    </w:p>
    <w:p w14:paraId="4809B852">
      <w:pPr>
        <w:spacing w:line="360" w:lineRule="auto"/>
        <w:rPr>
          <w:rFonts w:hint="eastAsia" w:ascii="宋体" w:hAnsi="宋体" w:cs="宋体"/>
          <w:b/>
          <w:sz w:val="24"/>
          <w:szCs w:val="24"/>
          <w:highlight w:val="none"/>
        </w:rPr>
      </w:pPr>
      <w:r>
        <w:rPr>
          <w:rFonts w:hint="eastAsia" w:ascii="宋体" w:hAnsi="宋体" w:cs="宋体"/>
          <w:b/>
          <w:sz w:val="24"/>
          <w:szCs w:val="24"/>
          <w:highlight w:val="none"/>
        </w:rPr>
        <w:t>2.合格的投标人</w:t>
      </w:r>
    </w:p>
    <w:p w14:paraId="3D8E594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2.1合格投标人条件</w:t>
      </w:r>
    </w:p>
    <w:p w14:paraId="56F0971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1）具有独立承担民事责任的能力；</w:t>
      </w:r>
    </w:p>
    <w:p w14:paraId="2A367E5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2）具有良好的商业信誉和健全的财务会计制度；</w:t>
      </w:r>
    </w:p>
    <w:p w14:paraId="66CCA2A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3）具有履行合同所必需的设备和专业技术能力；</w:t>
      </w:r>
    </w:p>
    <w:p w14:paraId="606352A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4）有依法缴纳税收和社会保障资金的良好纪录；</w:t>
      </w:r>
    </w:p>
    <w:p w14:paraId="0569406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5）参加政府采购活动前三年内，在经营活动中没有重大违法纪录；</w:t>
      </w:r>
    </w:p>
    <w:p w14:paraId="0ADAB2E1">
      <w:pPr>
        <w:spacing w:line="360" w:lineRule="auto"/>
        <w:ind w:left="1439" w:leftChars="228" w:hanging="960" w:hangingChars="400"/>
        <w:rPr>
          <w:rFonts w:hint="eastAsia" w:ascii="宋体" w:hAnsi="宋体" w:cs="宋体"/>
          <w:sz w:val="24"/>
          <w:szCs w:val="24"/>
          <w:highlight w:val="none"/>
        </w:rPr>
      </w:pPr>
      <w:r>
        <w:rPr>
          <w:rFonts w:hint="eastAsia" w:ascii="宋体" w:hAnsi="宋体" w:cs="宋体"/>
          <w:sz w:val="24"/>
          <w:szCs w:val="24"/>
          <w:highlight w:val="none"/>
        </w:rPr>
        <w:t>6）中华人民共和国法律、行政法规规定的其他条件（见供应商须知前附表）；</w:t>
      </w:r>
    </w:p>
    <w:p w14:paraId="3DF30616">
      <w:pPr>
        <w:spacing w:line="360" w:lineRule="auto"/>
        <w:ind w:firstLine="477" w:firstLineChars="199"/>
        <w:rPr>
          <w:rFonts w:hint="eastAsia" w:ascii="宋体" w:hAnsi="宋体" w:cs="宋体"/>
          <w:sz w:val="24"/>
          <w:szCs w:val="24"/>
          <w:highlight w:val="none"/>
        </w:rPr>
      </w:pPr>
      <w:r>
        <w:rPr>
          <w:rFonts w:hint="eastAsia" w:ascii="宋体" w:hAnsi="宋体" w:cs="宋体"/>
          <w:sz w:val="24"/>
          <w:szCs w:val="24"/>
          <w:highlight w:val="none"/>
        </w:rPr>
        <w:t>7）根据本次采购项目的特殊要求，规定的供应商特定条件（见供应商须知前附表）。</w:t>
      </w:r>
    </w:p>
    <w:p w14:paraId="7069322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2.2单位负责人为同一人或者存在直接控股、管理关系的不同供应商，不得参加本项目同一合同项下的投标。如果投标人在投标中隐瞒了上述关系，则该投标无效。</w:t>
      </w:r>
    </w:p>
    <w:p w14:paraId="55DADA2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2.3为本采购项目提供整体设计、规范编制或者项目管理、监理、检测等服务的供应商，不得再参加本采购项目的投标</w:t>
      </w:r>
      <w:r>
        <w:rPr>
          <w:rFonts w:hint="eastAsia" w:ascii="宋体" w:hAnsi="宋体" w:cs="宋体"/>
          <w:kern w:val="0"/>
          <w:sz w:val="24"/>
          <w:szCs w:val="24"/>
          <w:highlight w:val="none"/>
        </w:rPr>
        <w:t>。</w:t>
      </w:r>
      <w:r>
        <w:rPr>
          <w:rFonts w:hint="eastAsia" w:ascii="宋体" w:hAnsi="宋体" w:cs="宋体"/>
          <w:sz w:val="24"/>
          <w:szCs w:val="24"/>
          <w:highlight w:val="none"/>
        </w:rPr>
        <w:t>如果投标人在投标中隐瞒了上述事实，则该投标无效。</w:t>
      </w:r>
    </w:p>
    <w:p w14:paraId="7DE3207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2.4投标人必须在</w:t>
      </w:r>
      <w:r>
        <w:rPr>
          <w:rFonts w:hint="eastAsia" w:ascii="宋体" w:hAnsi="宋体" w:cs="宋体"/>
          <w:sz w:val="24"/>
          <w:szCs w:val="24"/>
          <w:highlight w:val="none"/>
          <w:lang w:eastAsia="zh-CN"/>
        </w:rPr>
        <w:t>陕西广联达招标有限公司</w:t>
      </w:r>
      <w:r>
        <w:rPr>
          <w:rFonts w:hint="eastAsia" w:ascii="宋体" w:hAnsi="宋体" w:cs="宋体"/>
          <w:sz w:val="24"/>
          <w:szCs w:val="24"/>
          <w:highlight w:val="none"/>
        </w:rPr>
        <w:t>领取招标文件，方可参加投标。</w:t>
      </w:r>
    </w:p>
    <w:p w14:paraId="5D6E2B4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2.5投标费用自理。不论投标的结果如何，投标人均应自行承担所有与参加投标有关的费用。</w:t>
      </w:r>
    </w:p>
    <w:p w14:paraId="4FB1043C">
      <w:pPr>
        <w:spacing w:line="360" w:lineRule="auto"/>
        <w:rPr>
          <w:rFonts w:hint="eastAsia" w:ascii="宋体" w:hAnsi="宋体" w:cs="宋体"/>
          <w:b/>
          <w:sz w:val="24"/>
          <w:szCs w:val="24"/>
          <w:highlight w:val="none"/>
        </w:rPr>
      </w:pPr>
      <w:r>
        <w:rPr>
          <w:rFonts w:hint="eastAsia" w:ascii="宋体" w:hAnsi="宋体" w:cs="宋体"/>
          <w:b/>
          <w:sz w:val="24"/>
          <w:szCs w:val="24"/>
          <w:highlight w:val="none"/>
        </w:rPr>
        <w:t>3.投标人信用记录查询及使用</w:t>
      </w:r>
    </w:p>
    <w:p w14:paraId="7B253AEE">
      <w:pPr>
        <w:spacing w:line="360" w:lineRule="auto"/>
        <w:ind w:firstLine="352" w:firstLineChars="147"/>
        <w:rPr>
          <w:rFonts w:hint="eastAsia" w:ascii="宋体" w:hAnsi="宋体" w:cs="宋体"/>
          <w:b/>
          <w:sz w:val="24"/>
          <w:szCs w:val="24"/>
          <w:highlight w:val="none"/>
        </w:rPr>
      </w:pPr>
      <w:bookmarkStart w:id="8" w:name="_Hlk36454126"/>
      <w:r>
        <w:rPr>
          <w:rFonts w:hint="eastAsia" w:ascii="宋体" w:hAnsi="宋体" w:cs="宋体"/>
          <w:kern w:val="0"/>
          <w:sz w:val="24"/>
          <w:szCs w:val="24"/>
          <w:highlight w:val="none"/>
        </w:rPr>
        <w:t>“信用中国”网站（www.creditchina.gov.cn）和“中国政府采购网”（ccgp.gov.cn）为投标人信用信息查询渠道，如果投标人被查实在投标截止时间列入、失信被执行人、重大税收违法案件当事人名单、政府采购严重违法失信行为记录名单，其投标为无效。采购代理机构将打印查询记录作为证据留存。</w:t>
      </w:r>
      <w:r>
        <w:rPr>
          <w:rFonts w:hint="eastAsia" w:ascii="宋体" w:hAnsi="宋体" w:cs="宋体"/>
          <w:b/>
          <w:sz w:val="24"/>
          <w:szCs w:val="24"/>
          <w:highlight w:val="none"/>
        </w:rPr>
        <w:t xml:space="preserve"> </w:t>
      </w:r>
    </w:p>
    <w:bookmarkEnd w:id="8"/>
    <w:p w14:paraId="6D99EF62">
      <w:pPr>
        <w:spacing w:line="360" w:lineRule="auto"/>
        <w:rPr>
          <w:rFonts w:hint="eastAsia" w:ascii="宋体" w:hAnsi="宋体" w:cs="宋体"/>
          <w:b/>
          <w:sz w:val="24"/>
          <w:szCs w:val="24"/>
          <w:highlight w:val="none"/>
        </w:rPr>
      </w:pPr>
      <w:r>
        <w:rPr>
          <w:rFonts w:hint="eastAsia" w:ascii="宋体" w:hAnsi="宋体" w:cs="宋体"/>
          <w:b/>
          <w:sz w:val="24"/>
          <w:szCs w:val="24"/>
          <w:highlight w:val="none"/>
        </w:rPr>
        <w:t>4.投标文件内容的真实性</w:t>
      </w:r>
    </w:p>
    <w:p w14:paraId="71D0819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4.1投标人应保证其投标文件中所提供的所有有关投标的资料、信息是真实的，并且来源于合法的渠道。因投标文件中所提供的有关投标的资料、信息不真实，或者其来源不合法而导致的所有法律责任，由投标人自行承担。</w:t>
      </w:r>
    </w:p>
    <w:p w14:paraId="51DA0CF1">
      <w:pPr>
        <w:spacing w:line="360" w:lineRule="auto"/>
        <w:rPr>
          <w:rFonts w:hint="eastAsia" w:ascii="宋体" w:hAnsi="宋体" w:cs="宋体"/>
          <w:b/>
          <w:sz w:val="24"/>
          <w:szCs w:val="24"/>
          <w:highlight w:val="none"/>
        </w:rPr>
      </w:pPr>
      <w:r>
        <w:rPr>
          <w:rFonts w:hint="eastAsia" w:ascii="宋体" w:hAnsi="宋体" w:cs="宋体"/>
          <w:b/>
          <w:sz w:val="24"/>
          <w:szCs w:val="24"/>
          <w:highlight w:val="none"/>
        </w:rPr>
        <w:t>5.招标过程的监督和管理</w:t>
      </w:r>
    </w:p>
    <w:p w14:paraId="75FA6A90">
      <w:pPr>
        <w:spacing w:line="360" w:lineRule="auto"/>
        <w:ind w:firstLine="480" w:firstLineChars="200"/>
        <w:rPr>
          <w:rFonts w:hint="eastAsia" w:ascii="宋体" w:hAnsi="宋体" w:cs="宋体"/>
          <w:b/>
          <w:sz w:val="24"/>
          <w:szCs w:val="24"/>
          <w:highlight w:val="none"/>
          <w:shd w:val="clear" w:color="auto" w:fill="FFFFFF"/>
        </w:rPr>
      </w:pPr>
      <w:r>
        <w:rPr>
          <w:rFonts w:hint="eastAsia" w:ascii="宋体" w:hAnsi="宋体" w:cs="宋体"/>
          <w:sz w:val="24"/>
          <w:szCs w:val="24"/>
          <w:highlight w:val="none"/>
        </w:rPr>
        <w:t xml:space="preserve">5.1同级人民政府财政部门及有关部门依法履行对招标过程的监督管理职责。 </w:t>
      </w:r>
      <w:r>
        <w:rPr>
          <w:rFonts w:hint="eastAsia" w:ascii="宋体" w:hAnsi="宋体" w:cs="宋体"/>
          <w:sz w:val="24"/>
          <w:szCs w:val="24"/>
          <w:highlight w:val="none"/>
          <w:shd w:val="clear" w:color="auto" w:fill="FFFFFF"/>
        </w:rPr>
        <w:t xml:space="preserve"> </w:t>
      </w:r>
    </w:p>
    <w:p w14:paraId="243BB550">
      <w:pPr>
        <w:spacing w:before="240" w:beforeLines="100" w:line="360" w:lineRule="auto"/>
        <w:jc w:val="center"/>
        <w:outlineLvl w:val="1"/>
        <w:rPr>
          <w:rFonts w:hint="eastAsia" w:ascii="宋体" w:hAnsi="宋体" w:cs="宋体"/>
          <w:b/>
          <w:sz w:val="24"/>
          <w:szCs w:val="24"/>
          <w:highlight w:val="none"/>
          <w:shd w:val="clear" w:color="auto" w:fill="FFFFFF"/>
        </w:rPr>
      </w:pPr>
      <w:bookmarkStart w:id="9" w:name="_Toc53083416"/>
      <w:bookmarkStart w:id="10" w:name="_Toc53083679"/>
      <w:bookmarkStart w:id="11" w:name="_Toc53083508"/>
      <w:r>
        <w:rPr>
          <w:rFonts w:hint="eastAsia" w:ascii="宋体" w:hAnsi="宋体" w:cs="宋体"/>
          <w:b/>
          <w:sz w:val="24"/>
          <w:szCs w:val="24"/>
          <w:highlight w:val="none"/>
          <w:shd w:val="clear" w:color="auto" w:fill="FFFFFF"/>
        </w:rPr>
        <w:t>二.招标文件</w:t>
      </w:r>
      <w:bookmarkEnd w:id="9"/>
      <w:bookmarkEnd w:id="10"/>
      <w:bookmarkEnd w:id="11"/>
    </w:p>
    <w:p w14:paraId="2B82B430">
      <w:pPr>
        <w:spacing w:before="120" w:beforeLines="50" w:after="120" w:afterLines="50" w:line="360" w:lineRule="auto"/>
        <w:rPr>
          <w:rFonts w:hint="eastAsia" w:ascii="宋体" w:hAnsi="宋体" w:cs="宋体"/>
          <w:b/>
          <w:sz w:val="24"/>
          <w:szCs w:val="24"/>
          <w:highlight w:val="none"/>
          <w:shd w:val="clear" w:color="auto" w:fill="FFFFFF"/>
        </w:rPr>
      </w:pPr>
      <w:r>
        <w:rPr>
          <w:rFonts w:hint="eastAsia" w:ascii="宋体" w:hAnsi="宋体" w:cs="宋体"/>
          <w:b/>
          <w:sz w:val="24"/>
          <w:szCs w:val="24"/>
          <w:highlight w:val="none"/>
          <w:shd w:val="clear" w:color="auto" w:fill="FFFFFF"/>
        </w:rPr>
        <w:t>6.招标文件构成　　</w:t>
      </w:r>
    </w:p>
    <w:p w14:paraId="2A6B2FA5">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6.1 招标文件规定了要求提供的服务，招标程序和合同条件在招标文件中均有说明。招标文件共六章，内容如下：</w:t>
      </w:r>
    </w:p>
    <w:p w14:paraId="5AD68F08">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第一章 招标公告</w:t>
      </w:r>
    </w:p>
    <w:p w14:paraId="14D2EB88">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第二章 供应商须知及前附表</w:t>
      </w:r>
    </w:p>
    <w:p w14:paraId="5A83322A">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第三章 合同主要条款</w:t>
      </w:r>
    </w:p>
    <w:p w14:paraId="3970A515">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第四章 投标文件格式</w:t>
      </w:r>
    </w:p>
    <w:p w14:paraId="4479CF55">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第五章 招标内容</w:t>
      </w:r>
    </w:p>
    <w:p w14:paraId="462E6C61">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第六章 评标方法</w:t>
      </w:r>
    </w:p>
    <w:p w14:paraId="00211DA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6.2投标人应认真阅读招标文件中所有的事项、格式、条款和规范等要求。如果投标人没有按照招标文件的要求提交全部必要的资料，由此带来的不利于投标人的评标结果，其风险由投标人承担。</w:t>
      </w:r>
    </w:p>
    <w:p w14:paraId="4DC8BF3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6.3如果投标文件没有对招标内容做出实质性响应，其投标为无效投标。</w:t>
      </w:r>
    </w:p>
    <w:p w14:paraId="057C97D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6.4本招标文件的解释权归</w:t>
      </w:r>
      <w:r>
        <w:rPr>
          <w:rFonts w:hint="eastAsia" w:ascii="宋体" w:hAnsi="宋体" w:cs="宋体"/>
          <w:sz w:val="24"/>
          <w:szCs w:val="24"/>
          <w:highlight w:val="none"/>
          <w:lang w:eastAsia="zh-CN"/>
        </w:rPr>
        <w:t>陕西广联达招标有限公司</w:t>
      </w:r>
      <w:r>
        <w:rPr>
          <w:rFonts w:hint="eastAsia" w:ascii="宋体" w:hAnsi="宋体" w:cs="宋体"/>
          <w:sz w:val="24"/>
          <w:szCs w:val="24"/>
          <w:highlight w:val="none"/>
        </w:rPr>
        <w:t>。</w:t>
      </w:r>
    </w:p>
    <w:p w14:paraId="0B39DD00">
      <w:pPr>
        <w:spacing w:line="360" w:lineRule="auto"/>
        <w:rPr>
          <w:rFonts w:hint="eastAsia" w:ascii="宋体" w:hAnsi="宋体" w:cs="宋体"/>
          <w:b/>
          <w:sz w:val="24"/>
          <w:szCs w:val="24"/>
          <w:highlight w:val="none"/>
        </w:rPr>
      </w:pPr>
      <w:r>
        <w:rPr>
          <w:rFonts w:hint="eastAsia" w:ascii="宋体" w:hAnsi="宋体" w:cs="宋体"/>
          <w:b/>
          <w:sz w:val="24"/>
          <w:szCs w:val="24"/>
          <w:highlight w:val="none"/>
        </w:rPr>
        <w:t>7.招标文件的澄清修改</w:t>
      </w:r>
    </w:p>
    <w:p w14:paraId="2CA7FCA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7.1采购人如果对已发出的招标文件进行必要的澄清或者修改，将在原公告发布媒体上发布澄清公告。澄清或者修改的内容为招标文件的组成部分。</w:t>
      </w:r>
    </w:p>
    <w:p w14:paraId="6E8FF87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7.2澄清或者修改的内容可能影响投标文件编制的，采购代理机构将在投标截止时间至少15日前，以书面形式通知所有获取招标文件的潜在投标人；不足15日的，采购代理机构将顺延提交投标文件的截止时间。</w:t>
      </w:r>
    </w:p>
    <w:p w14:paraId="7DFF1E2A">
      <w:pPr>
        <w:spacing w:line="360" w:lineRule="auto"/>
        <w:rPr>
          <w:rFonts w:hint="eastAsia" w:ascii="宋体" w:hAnsi="宋体" w:cs="宋体"/>
          <w:b/>
          <w:sz w:val="24"/>
          <w:szCs w:val="24"/>
          <w:highlight w:val="none"/>
        </w:rPr>
      </w:pPr>
      <w:r>
        <w:rPr>
          <w:rFonts w:hint="eastAsia" w:ascii="宋体" w:hAnsi="宋体" w:cs="宋体"/>
          <w:b/>
          <w:sz w:val="24"/>
          <w:szCs w:val="24"/>
          <w:highlight w:val="none"/>
        </w:rPr>
        <w:t>8.招标文件的质疑答复</w:t>
      </w:r>
    </w:p>
    <w:p w14:paraId="140992E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8.1 已经领取招标文件的供应商对招标文件有疑问或者认为招标文件使自己的权益受到损害的，应当在“供应商须知前附表”规定的时间内，以书面形式向采购代理机构指定的联系部门提出询问或者质疑，在此之后提出的询问或者质疑均为无效，采购代理机构不予受理。</w:t>
      </w:r>
    </w:p>
    <w:p w14:paraId="051679B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8.2供应商提出质疑应当按照“供应商须知前附表”的要求提交质疑函和必要的证明材料。</w:t>
      </w:r>
    </w:p>
    <w:p w14:paraId="4EEAA467">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sz w:val="24"/>
          <w:szCs w:val="24"/>
          <w:highlight w:val="none"/>
        </w:rPr>
        <w:t>8.3对于在规定时间内收到的供应商依法提出的询问或者质疑，采购代理机构将按程序在规定的时间内予以答复。</w:t>
      </w:r>
    </w:p>
    <w:p w14:paraId="0CA34A61">
      <w:pPr>
        <w:spacing w:before="240" w:beforeLines="100" w:line="360" w:lineRule="auto"/>
        <w:jc w:val="center"/>
        <w:outlineLvl w:val="1"/>
        <w:rPr>
          <w:rFonts w:hint="eastAsia" w:ascii="宋体" w:hAnsi="宋体" w:cs="宋体"/>
          <w:b/>
          <w:sz w:val="24"/>
          <w:szCs w:val="24"/>
          <w:highlight w:val="none"/>
          <w:shd w:val="clear" w:color="auto" w:fill="FFFFFF"/>
        </w:rPr>
      </w:pPr>
      <w:bookmarkStart w:id="12" w:name="_Toc53083680"/>
      <w:bookmarkStart w:id="13" w:name="_Toc53083509"/>
      <w:bookmarkStart w:id="14" w:name="_Toc53083417"/>
      <w:r>
        <w:rPr>
          <w:rFonts w:hint="eastAsia" w:ascii="宋体" w:hAnsi="宋体" w:cs="宋体"/>
          <w:b/>
          <w:sz w:val="24"/>
          <w:szCs w:val="24"/>
          <w:highlight w:val="none"/>
          <w:shd w:val="clear" w:color="auto" w:fill="FFFFFF"/>
        </w:rPr>
        <w:t>三.投标文件的编制</w:t>
      </w:r>
      <w:bookmarkEnd w:id="12"/>
      <w:bookmarkEnd w:id="13"/>
      <w:bookmarkEnd w:id="14"/>
    </w:p>
    <w:p w14:paraId="1664DD72">
      <w:pPr>
        <w:spacing w:before="120" w:beforeLines="50" w:after="120" w:afterLines="50" w:line="360" w:lineRule="auto"/>
        <w:rPr>
          <w:rFonts w:hint="eastAsia" w:ascii="宋体" w:hAnsi="宋体" w:cs="宋体"/>
          <w:b/>
          <w:sz w:val="24"/>
          <w:szCs w:val="24"/>
          <w:highlight w:val="none"/>
          <w:shd w:val="clear" w:color="auto" w:fill="FFFFFF"/>
        </w:rPr>
      </w:pPr>
      <w:r>
        <w:rPr>
          <w:rFonts w:hint="eastAsia" w:ascii="宋体" w:hAnsi="宋体" w:cs="宋体"/>
          <w:b/>
          <w:sz w:val="24"/>
          <w:szCs w:val="24"/>
          <w:highlight w:val="none"/>
          <w:shd w:val="clear" w:color="auto" w:fill="FFFFFF"/>
        </w:rPr>
        <w:t>9.语言和货币</w:t>
      </w:r>
    </w:p>
    <w:p w14:paraId="65AC49B2">
      <w:pP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9.1投标人提交的投标文件以及投标人与采购代理机构就有关投标的所有来往函电均应使用中文。对不同文字文本投标文件（包括产品样本、彩页、说明书等）的解释发生异议的，以中文文本为准。</w:t>
      </w:r>
    </w:p>
    <w:p w14:paraId="7B29388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9.2投标应以人民币报价。任何包含非人民币报价的投标均按照无效投标处理。</w:t>
      </w:r>
    </w:p>
    <w:p w14:paraId="372FCA00">
      <w:pPr>
        <w:spacing w:line="360" w:lineRule="auto"/>
        <w:rPr>
          <w:rFonts w:hint="eastAsia" w:ascii="宋体" w:hAnsi="宋体" w:cs="宋体"/>
          <w:b/>
          <w:sz w:val="24"/>
          <w:szCs w:val="24"/>
          <w:highlight w:val="none"/>
        </w:rPr>
      </w:pPr>
      <w:r>
        <w:rPr>
          <w:rFonts w:hint="eastAsia" w:ascii="宋体" w:hAnsi="宋体" w:cs="宋体"/>
          <w:b/>
          <w:sz w:val="24"/>
          <w:szCs w:val="24"/>
          <w:highlight w:val="none"/>
        </w:rPr>
        <w:t>10.投标文件格式</w:t>
      </w:r>
    </w:p>
    <w:p w14:paraId="4B02C28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10.1 投标人应按照招标文件中“投标文件格式”所提供的格式和要求制作投标文件，明确表达投标意愿，详细说明投标方案和投标价格。</w:t>
      </w:r>
    </w:p>
    <w:p w14:paraId="0BDEDC4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10.2 投标人应完整地提供招标文件要求的所有数据和资料。</w:t>
      </w:r>
    </w:p>
    <w:p w14:paraId="31B07F09">
      <w:pPr>
        <w:spacing w:line="360" w:lineRule="auto"/>
        <w:rPr>
          <w:rFonts w:hint="eastAsia" w:ascii="宋体" w:hAnsi="宋体" w:cs="宋体"/>
          <w:b/>
          <w:sz w:val="24"/>
          <w:szCs w:val="24"/>
          <w:highlight w:val="none"/>
        </w:rPr>
      </w:pPr>
      <w:r>
        <w:rPr>
          <w:rFonts w:hint="eastAsia" w:ascii="宋体" w:hAnsi="宋体" w:cs="宋体"/>
          <w:b/>
          <w:sz w:val="24"/>
          <w:szCs w:val="24"/>
          <w:highlight w:val="none"/>
        </w:rPr>
        <w:t>11.投标报价和投标方案要求</w:t>
      </w:r>
    </w:p>
    <w:p w14:paraId="660D9B2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11.1投标人应按照“供应商须知前附表”中的规定和要求报价，任何不符合报价要求的投标将按照无效投标处理。</w:t>
      </w:r>
    </w:p>
    <w:p w14:paraId="585325E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11.2投标人应按照投标报价表的内容标明投标的所有单项价格和总价。投标报价表中标明的价格应为履行合同的固定价格，不得以任何理由予以变更。任何有选择的报价及以可调整价格提交的投标均按照无效投标处理。</w:t>
      </w:r>
    </w:p>
    <w:p w14:paraId="2586335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11.3 如果在招标文件中没有允许提供备选方案，则每个投标人只允许提交一个投标方案，否则，其投标按照无效投标处理。如果允许提供备选方案，则按照评标方法中的规定对备选方案进行评审。</w:t>
      </w:r>
    </w:p>
    <w:p w14:paraId="7FDC8099">
      <w:pPr>
        <w:spacing w:line="360" w:lineRule="auto"/>
        <w:ind w:firstLine="480" w:firstLineChars="200"/>
        <w:rPr>
          <w:rFonts w:hint="eastAsia" w:ascii="宋体" w:hAnsi="宋体" w:cs="宋体"/>
          <w:sz w:val="24"/>
          <w:szCs w:val="24"/>
          <w:highlight w:val="none"/>
        </w:rPr>
      </w:pPr>
    </w:p>
    <w:p w14:paraId="6E063576">
      <w:pPr>
        <w:spacing w:line="360" w:lineRule="auto"/>
        <w:rPr>
          <w:rFonts w:hint="eastAsia" w:ascii="宋体" w:hAnsi="宋体" w:cs="宋体"/>
          <w:b/>
          <w:sz w:val="24"/>
          <w:szCs w:val="24"/>
          <w:highlight w:val="none"/>
        </w:rPr>
      </w:pPr>
      <w:r>
        <w:rPr>
          <w:rFonts w:hint="eastAsia" w:ascii="宋体" w:hAnsi="宋体" w:cs="宋体"/>
          <w:b/>
          <w:sz w:val="24"/>
          <w:szCs w:val="24"/>
          <w:highlight w:val="none"/>
        </w:rPr>
        <w:t>12.投标文件的构成</w:t>
      </w:r>
    </w:p>
    <w:p w14:paraId="7C737982">
      <w:pPr>
        <w:spacing w:line="360" w:lineRule="auto"/>
        <w:ind w:firstLine="360" w:firstLineChars="150"/>
        <w:rPr>
          <w:rFonts w:hint="eastAsia" w:ascii="宋体" w:hAnsi="宋体" w:cs="宋体"/>
          <w:sz w:val="24"/>
          <w:szCs w:val="24"/>
          <w:highlight w:val="none"/>
        </w:rPr>
      </w:pPr>
      <w:r>
        <w:rPr>
          <w:rFonts w:hint="eastAsia" w:ascii="宋体" w:hAnsi="宋体" w:cs="宋体"/>
          <w:sz w:val="24"/>
          <w:szCs w:val="24"/>
          <w:highlight w:val="none"/>
        </w:rPr>
        <w:t xml:space="preserve"> 投标人提交的投标文件应包括下列内容：</w:t>
      </w:r>
    </w:p>
    <w:p w14:paraId="65807C9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12.1按照投标人须知的要求和投标文件规定格式填写的投标书、投标报价表；按要求格式出具的法人代表授权书。</w:t>
      </w:r>
    </w:p>
    <w:p w14:paraId="229B032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12.2按照招标文件要求提交的资格证明文件（详见“供应商须知前附表”）。</w:t>
      </w:r>
    </w:p>
    <w:p w14:paraId="0EAB8AFD">
      <w:pPr>
        <w:spacing w:line="360" w:lineRule="auto"/>
        <w:ind w:left="479" w:leftChars="228"/>
        <w:rPr>
          <w:rFonts w:hint="eastAsia" w:ascii="宋体" w:hAnsi="宋体" w:cs="宋体"/>
          <w:sz w:val="24"/>
          <w:szCs w:val="24"/>
          <w:highlight w:val="none"/>
        </w:rPr>
      </w:pPr>
      <w:r>
        <w:rPr>
          <w:rFonts w:hint="eastAsia" w:ascii="宋体" w:hAnsi="宋体" w:cs="宋体"/>
          <w:sz w:val="24"/>
          <w:szCs w:val="24"/>
          <w:highlight w:val="none"/>
        </w:rPr>
        <w:t>12.3按照招标文件要求提交的商务响应证明文件。</w:t>
      </w:r>
    </w:p>
    <w:p w14:paraId="01024E6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12.4按照招标文件的要求编制的投标方案说明书。</w:t>
      </w:r>
    </w:p>
    <w:p w14:paraId="5DC7C25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12.4.1投标人应在投标文件中提交货物满足招标文件要求并符合国家法律法规、行业管理部门要求的其他强制性标准的证明及文件。缺少上述证明及文件或证明及文件不合格的投标，与招标文件要求有重大偏离的投标，不符合国家法律法规、行业管理部门要求的其他强制性标准的投标将按照无效投标处理。</w:t>
      </w:r>
    </w:p>
    <w:p w14:paraId="36C29EE0">
      <w:pPr>
        <w:spacing w:line="360" w:lineRule="auto"/>
        <w:ind w:left="2" w:firstLine="477" w:firstLineChars="199"/>
        <w:rPr>
          <w:rFonts w:hint="eastAsia" w:ascii="宋体" w:hAnsi="宋体" w:cs="宋体"/>
          <w:sz w:val="24"/>
          <w:szCs w:val="24"/>
          <w:highlight w:val="none"/>
        </w:rPr>
      </w:pPr>
      <w:r>
        <w:rPr>
          <w:rFonts w:hint="eastAsia" w:ascii="宋体" w:hAnsi="宋体" w:cs="宋体"/>
          <w:sz w:val="24"/>
          <w:szCs w:val="24"/>
          <w:highlight w:val="none"/>
        </w:rPr>
        <w:t>12.4.2上述证明可以是文字资料、图纸、图片和数据，也可以是实物，它包括：</w:t>
      </w:r>
    </w:p>
    <w:p w14:paraId="789E07DB">
      <w:pPr>
        <w:spacing w:line="360" w:lineRule="auto"/>
        <w:ind w:left="959" w:leftChars="228" w:hanging="480" w:hangingChars="200"/>
        <w:rPr>
          <w:rFonts w:hint="eastAsia" w:ascii="宋体" w:hAnsi="宋体" w:cs="宋体"/>
          <w:sz w:val="24"/>
          <w:szCs w:val="24"/>
          <w:highlight w:val="none"/>
        </w:rPr>
      </w:pPr>
      <w:r>
        <w:rPr>
          <w:rFonts w:hint="eastAsia" w:ascii="宋体" w:hAnsi="宋体" w:cs="宋体"/>
          <w:sz w:val="24"/>
          <w:szCs w:val="24"/>
          <w:highlight w:val="none"/>
        </w:rPr>
        <w:t>1) 本次采购特别要求的货物合格性证明文件；</w:t>
      </w:r>
    </w:p>
    <w:p w14:paraId="620BAD99">
      <w:pPr>
        <w:spacing w:line="360" w:lineRule="auto"/>
        <w:ind w:left="1319" w:leftChars="228" w:hanging="840" w:hangingChars="350"/>
        <w:rPr>
          <w:rFonts w:hint="eastAsia" w:ascii="宋体" w:hAnsi="宋体" w:cs="宋体"/>
          <w:sz w:val="24"/>
          <w:szCs w:val="24"/>
          <w:highlight w:val="none"/>
        </w:rPr>
      </w:pPr>
      <w:r>
        <w:rPr>
          <w:rFonts w:hint="eastAsia" w:ascii="宋体" w:hAnsi="宋体" w:cs="宋体"/>
          <w:sz w:val="24"/>
          <w:szCs w:val="24"/>
          <w:highlight w:val="none"/>
        </w:rPr>
        <w:t>2）货物主要技术指标和性能的详细说明；</w:t>
      </w:r>
    </w:p>
    <w:p w14:paraId="35BA629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3）国家法定检验机构出具的检验报告；</w:t>
      </w:r>
    </w:p>
    <w:p w14:paraId="1498FD6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 逐条对招标文件提出的技术要求和商务要求进行应答，说明所提供的货物和服务对招标的技术和商务要求是否做出了实质性响应并提供支持文件；</w:t>
      </w:r>
    </w:p>
    <w:p w14:paraId="57F86A2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5）服务成果模型等。</w:t>
      </w:r>
    </w:p>
    <w:p w14:paraId="5101B8ED">
      <w:pPr>
        <w:spacing w:line="360" w:lineRule="auto"/>
        <w:rPr>
          <w:rFonts w:hint="eastAsia" w:ascii="宋体" w:hAnsi="宋体" w:cs="宋体"/>
          <w:b/>
          <w:sz w:val="24"/>
          <w:szCs w:val="24"/>
          <w:highlight w:val="none"/>
        </w:rPr>
      </w:pPr>
      <w:r>
        <w:rPr>
          <w:rFonts w:hint="eastAsia" w:ascii="宋体" w:hAnsi="宋体" w:cs="宋体"/>
          <w:b/>
          <w:sz w:val="24"/>
          <w:szCs w:val="24"/>
          <w:highlight w:val="none"/>
        </w:rPr>
        <w:t>13.落实优先采购节能、环保产品的政策</w:t>
      </w:r>
    </w:p>
    <w:p w14:paraId="493BE4F9">
      <w:pPr>
        <w:spacing w:line="360" w:lineRule="auto"/>
        <w:ind w:firstLine="480" w:firstLineChars="200"/>
        <w:rPr>
          <w:rFonts w:hint="eastAsia" w:ascii="宋体" w:hAnsi="宋体" w:cs="宋体"/>
          <w:sz w:val="24"/>
          <w:szCs w:val="24"/>
          <w:highlight w:val="none"/>
        </w:rPr>
      </w:pPr>
      <w:bookmarkStart w:id="15" w:name="_Hlk36454160"/>
      <w:r>
        <w:rPr>
          <w:rFonts w:hint="eastAsia" w:ascii="宋体" w:hAnsi="宋体" w:cs="宋体"/>
          <w:sz w:val="24"/>
          <w:szCs w:val="24"/>
          <w:highlight w:val="none"/>
        </w:rPr>
        <w:t xml:space="preserve">按照政府采购政策，优先采购节能产品，环境标志产品。投标产品进入“节能产品政府采购品目清单”的；进入“环境标志产品政府采购品目清单”的，提供证明文件，在评标中给予加分优惠或者价格折扣（详见评标方法）。 </w:t>
      </w:r>
    </w:p>
    <w:bookmarkEnd w:id="15"/>
    <w:p w14:paraId="45A8E180">
      <w:pPr>
        <w:spacing w:line="360" w:lineRule="auto"/>
        <w:rPr>
          <w:rFonts w:hint="eastAsia" w:ascii="宋体" w:hAnsi="宋体" w:cs="宋体"/>
          <w:sz w:val="24"/>
          <w:szCs w:val="24"/>
          <w:highlight w:val="none"/>
        </w:rPr>
      </w:pPr>
      <w:r>
        <w:rPr>
          <w:rFonts w:hint="eastAsia" w:ascii="宋体" w:hAnsi="宋体" w:cs="宋体"/>
          <w:b/>
          <w:sz w:val="24"/>
          <w:szCs w:val="24"/>
          <w:highlight w:val="none"/>
        </w:rPr>
        <w:t>14.</w:t>
      </w:r>
      <w:r>
        <w:rPr>
          <w:rFonts w:hint="eastAsia" w:ascii="宋体" w:hAnsi="宋体" w:cs="宋体"/>
          <w:sz w:val="24"/>
          <w:szCs w:val="24"/>
          <w:highlight w:val="none"/>
        </w:rPr>
        <w:t xml:space="preserve"> </w:t>
      </w:r>
      <w:r>
        <w:rPr>
          <w:rFonts w:hint="eastAsia" w:ascii="宋体" w:hAnsi="宋体" w:cs="宋体"/>
          <w:b/>
          <w:sz w:val="24"/>
          <w:szCs w:val="24"/>
          <w:highlight w:val="none"/>
        </w:rPr>
        <w:t>落实促进支持小微企业、监狱企业、残疾人企业发展的政策</w:t>
      </w:r>
    </w:p>
    <w:p w14:paraId="20307CF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按照政府采购政策，在评标中对于符合文件要求的小微企业投标的产品和服务，给予价格折扣优惠 (详见评标方法)。投标单位属于（财库〔2020〕46号）文件规定的小微企业的，提供中小企业声明函；投标单位属于（财库〔2014〕68号）文件规定的监狱企业的，提供由省级以上监狱管理局、</w:t>
      </w:r>
      <w:r>
        <w:rPr>
          <w:rFonts w:hint="eastAsia" w:ascii="宋体" w:hAnsi="宋体" w:cs="宋体"/>
          <w:spacing w:val="4"/>
          <w:sz w:val="24"/>
          <w:szCs w:val="24"/>
          <w:highlight w:val="none"/>
        </w:rPr>
        <w:t>戒毒管理局（含新疆生产建设兵团）</w:t>
      </w:r>
      <w:r>
        <w:rPr>
          <w:rFonts w:hint="eastAsia" w:ascii="宋体" w:hAnsi="宋体" w:cs="宋体"/>
          <w:sz w:val="24"/>
          <w:szCs w:val="24"/>
          <w:highlight w:val="none"/>
        </w:rPr>
        <w:t>出具的属于监狱企业的证明文件，视同小微企业；投标单位属于（财库〔2017〕141号）文件规定的残疾人福利性单位的，提供《残疾人福利性单位声明函》，视同小微企业。</w:t>
      </w:r>
    </w:p>
    <w:p w14:paraId="436C12FA">
      <w:pPr>
        <w:spacing w:line="360" w:lineRule="auto"/>
        <w:rPr>
          <w:rFonts w:hint="eastAsia" w:ascii="宋体" w:hAnsi="宋体" w:cs="宋体"/>
          <w:b/>
          <w:sz w:val="24"/>
          <w:szCs w:val="24"/>
          <w:highlight w:val="none"/>
        </w:rPr>
      </w:pPr>
      <w:r>
        <w:rPr>
          <w:rFonts w:hint="eastAsia" w:ascii="宋体" w:hAnsi="宋体" w:cs="宋体"/>
          <w:b/>
          <w:sz w:val="24"/>
          <w:szCs w:val="24"/>
          <w:highlight w:val="none"/>
        </w:rPr>
        <w:t xml:space="preserve"> 15.投标保证金</w:t>
      </w:r>
    </w:p>
    <w:p w14:paraId="661140D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15.1如果招标文件有要求，投标人应按照“供应商须知前附表”的要求，在投标时向</w:t>
      </w:r>
      <w:r>
        <w:rPr>
          <w:rFonts w:hint="eastAsia" w:ascii="宋体" w:hAnsi="宋体" w:cs="宋体"/>
          <w:sz w:val="24"/>
          <w:szCs w:val="24"/>
          <w:highlight w:val="none"/>
          <w:lang w:eastAsia="zh-CN"/>
        </w:rPr>
        <w:t>陕西广联达招标有限公司</w:t>
      </w:r>
      <w:r>
        <w:rPr>
          <w:rFonts w:hint="eastAsia" w:ascii="宋体" w:hAnsi="宋体" w:cs="宋体"/>
          <w:sz w:val="24"/>
          <w:szCs w:val="24"/>
          <w:highlight w:val="none"/>
        </w:rPr>
        <w:t>提交投标保证金,其有效期与投标有效期一致，并作为其投标的一部分。</w:t>
      </w:r>
    </w:p>
    <w:p w14:paraId="4787C08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15.2投标保证金的数额、形式、交纳办法和交纳时间见“供应商须知前附表”。</w:t>
      </w:r>
    </w:p>
    <w:p w14:paraId="65F3E56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15.3联合体投标的，可以由联合体中的一方或者共同提交投标保证金，以一方名义提交投标保证金的，对联合体各方均具有约束力。</w:t>
      </w:r>
    </w:p>
    <w:p w14:paraId="10FE185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15.4开标后经审查，未按照</w:t>
      </w:r>
      <w:r>
        <w:rPr>
          <w:rFonts w:hint="eastAsia" w:ascii="宋体" w:hAnsi="宋体" w:cs="宋体"/>
          <w:sz w:val="24"/>
          <w:szCs w:val="24"/>
          <w:highlight w:val="none"/>
          <w:lang w:val="en-US" w:eastAsia="zh-CN"/>
        </w:rPr>
        <w:t>招标文件</w:t>
      </w:r>
      <w:r>
        <w:rPr>
          <w:rFonts w:hint="eastAsia" w:ascii="宋体" w:hAnsi="宋体" w:cs="宋体"/>
          <w:sz w:val="24"/>
          <w:szCs w:val="24"/>
          <w:highlight w:val="none"/>
        </w:rPr>
        <w:t>的要求交纳投标保证金的、已交纳的投标保证金金额不足的或有效期不足的，其投标按照无效投标处理。</w:t>
      </w:r>
    </w:p>
    <w:p w14:paraId="293EAC7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15.5未中标人的投标保证金，在中标通知书发出后五个工作日内退还；中标人的投标保证金，在采购合同签订后五个工作日内退还。</w:t>
      </w:r>
    </w:p>
    <w:p w14:paraId="1261729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15.6有下列情形之一的，投标保证金不予退还： </w:t>
      </w:r>
    </w:p>
    <w:p w14:paraId="7AF1463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15.6.1投标人在提交投标文件截止时间后撤回其投标的；</w:t>
      </w:r>
    </w:p>
    <w:p w14:paraId="7AB736B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15.6.2投标人在投标文件中提供虚假材料的；</w:t>
      </w:r>
    </w:p>
    <w:p w14:paraId="256E904D">
      <w:pPr>
        <w:spacing w:line="360" w:lineRule="auto"/>
        <w:ind w:firstLine="477" w:firstLineChars="199"/>
        <w:rPr>
          <w:rFonts w:hint="eastAsia" w:ascii="宋体" w:hAnsi="宋体" w:cs="宋体"/>
          <w:sz w:val="24"/>
          <w:szCs w:val="24"/>
          <w:highlight w:val="none"/>
        </w:rPr>
      </w:pPr>
      <w:r>
        <w:rPr>
          <w:rFonts w:hint="eastAsia" w:ascii="宋体" w:hAnsi="宋体" w:cs="宋体"/>
          <w:sz w:val="24"/>
          <w:szCs w:val="24"/>
          <w:highlight w:val="none"/>
        </w:rPr>
        <w:t>15.6.3除因不可抗力或招标文件认可的情形以外，中标供应商不与采购人签订合同的；</w:t>
      </w:r>
    </w:p>
    <w:p w14:paraId="6514BD4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15.6.4投标人与采购人、其他投标人恶意串通的；</w:t>
      </w:r>
    </w:p>
    <w:p w14:paraId="0023C587">
      <w:pPr>
        <w:spacing w:line="360" w:lineRule="auto"/>
        <w:ind w:left="1319" w:leftChars="228" w:hanging="840" w:hangingChars="350"/>
        <w:rPr>
          <w:rFonts w:hint="eastAsia" w:ascii="宋体" w:hAnsi="宋体" w:cs="宋体"/>
          <w:sz w:val="24"/>
          <w:szCs w:val="24"/>
          <w:highlight w:val="none"/>
        </w:rPr>
      </w:pPr>
      <w:r>
        <w:rPr>
          <w:rFonts w:hint="eastAsia" w:ascii="宋体" w:hAnsi="宋体" w:cs="宋体"/>
          <w:sz w:val="24"/>
          <w:szCs w:val="24"/>
          <w:highlight w:val="none"/>
        </w:rPr>
        <w:t>15.6.5中标供应商未能按规定交纳代理服务费的。</w:t>
      </w:r>
    </w:p>
    <w:p w14:paraId="28507CB6">
      <w:pPr>
        <w:spacing w:line="360" w:lineRule="auto"/>
        <w:rPr>
          <w:rFonts w:hint="eastAsia" w:ascii="宋体" w:hAnsi="宋体" w:cs="宋体"/>
          <w:b/>
          <w:sz w:val="24"/>
          <w:szCs w:val="24"/>
          <w:highlight w:val="none"/>
        </w:rPr>
      </w:pPr>
      <w:r>
        <w:rPr>
          <w:rFonts w:hint="eastAsia" w:ascii="宋体" w:hAnsi="宋体" w:cs="宋体"/>
          <w:b/>
          <w:sz w:val="24"/>
          <w:szCs w:val="24"/>
          <w:highlight w:val="none"/>
        </w:rPr>
        <w:t>16.投标有效期</w:t>
      </w:r>
    </w:p>
    <w:p w14:paraId="4EF138E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16.1投标应在 “供应商须知前附表”中规定的投标有效期内保持有效。不满足规定有效期的投标将按照无效投标处理。</w:t>
      </w:r>
    </w:p>
    <w:p w14:paraId="5997B9F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16.2在特殊情况下，在原投标有效期期满之前，采购代理机构可向投标人提出延长投标有效期的要求。这种要求与答复均应以书面的形式。投标人可以拒绝采购代理机构的这种要求,其投标保证金予以退还。同意延长的投标人既不能要求也不允许修改其投标文件，但要相应延长其投标保证金的有效期。</w:t>
      </w:r>
    </w:p>
    <w:p w14:paraId="78DF2F70">
      <w:pPr>
        <w:spacing w:line="360" w:lineRule="auto"/>
        <w:rPr>
          <w:rFonts w:hint="eastAsia" w:ascii="宋体" w:hAnsi="宋体" w:cs="宋体"/>
          <w:b/>
          <w:sz w:val="24"/>
          <w:szCs w:val="24"/>
          <w:highlight w:val="none"/>
        </w:rPr>
      </w:pPr>
      <w:r>
        <w:rPr>
          <w:rFonts w:hint="eastAsia" w:ascii="宋体" w:hAnsi="宋体" w:cs="宋体"/>
          <w:b/>
          <w:sz w:val="24"/>
          <w:szCs w:val="24"/>
          <w:highlight w:val="none"/>
        </w:rPr>
        <w:t>17.投标文件的格式和签署</w:t>
      </w:r>
    </w:p>
    <w:p w14:paraId="7C20A6D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17.1投标人应按照投标人须知的要求, 准备一份投标文件正本和“供应商须知前附表”中规定数量的副本，副本可以是正本的复印件。每套投标文件须清楚地标明“正本”或“副本”。如果发生正本与副本不一致的情况，以正本为准。</w:t>
      </w:r>
    </w:p>
    <w:p w14:paraId="3D9933B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17.2如果招标文件有要求，还应按照“供应商须知前附表”的要求准备相应格式和载体的电子版文件。</w:t>
      </w:r>
    </w:p>
    <w:p w14:paraId="46DBB11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17.3投标文件正本需打印或用不褪色的蓝(黑)色墨水(汁)书写,并由投标人法人代表或经法人代表正式授权的代表签字。授权代表须将按招标文件规定的格式出具的“法人代表授权书”附在投标文件中。法人代表签字要求见“供应商须知前附表”</w:t>
      </w:r>
    </w:p>
    <w:p w14:paraId="319379C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17.4任何行间插字、涂改和增删，必须由投标文件的签字人在旁边签字才有效。</w:t>
      </w:r>
    </w:p>
    <w:p w14:paraId="3EE7024C">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sz w:val="24"/>
          <w:szCs w:val="24"/>
          <w:highlight w:val="none"/>
        </w:rPr>
        <w:t>17.5因字迹潦草、表述不清或不按招标文件格式编制的投标文件，所引起的对投标人不利的后果，由投标人自行负责。</w:t>
      </w:r>
    </w:p>
    <w:p w14:paraId="51532FE0">
      <w:pPr>
        <w:spacing w:before="240" w:beforeLines="100" w:line="360" w:lineRule="auto"/>
        <w:jc w:val="center"/>
        <w:outlineLvl w:val="1"/>
        <w:rPr>
          <w:rFonts w:hint="eastAsia" w:ascii="宋体" w:hAnsi="宋体" w:cs="宋体"/>
          <w:b/>
          <w:sz w:val="24"/>
          <w:szCs w:val="24"/>
          <w:highlight w:val="none"/>
          <w:shd w:val="clear" w:color="auto" w:fill="FFFFFF"/>
        </w:rPr>
      </w:pPr>
      <w:r>
        <w:rPr>
          <w:rFonts w:hint="eastAsia" w:ascii="宋体" w:hAnsi="宋体" w:cs="宋体"/>
          <w:b/>
          <w:sz w:val="24"/>
          <w:szCs w:val="24"/>
          <w:highlight w:val="none"/>
          <w:shd w:val="clear" w:color="auto" w:fill="FFFFFF"/>
        </w:rPr>
        <w:t>四.投标文件的递交</w:t>
      </w:r>
    </w:p>
    <w:p w14:paraId="28A0F262">
      <w:pPr>
        <w:spacing w:before="120" w:beforeLines="50" w:after="120" w:afterLines="50" w:line="360" w:lineRule="auto"/>
        <w:rPr>
          <w:rFonts w:hint="eastAsia" w:ascii="宋体" w:hAnsi="宋体" w:cs="宋体"/>
          <w:b/>
          <w:sz w:val="24"/>
          <w:szCs w:val="24"/>
          <w:highlight w:val="none"/>
          <w:shd w:val="clear" w:color="auto" w:fill="FFFFFF"/>
        </w:rPr>
      </w:pPr>
      <w:r>
        <w:rPr>
          <w:rFonts w:hint="eastAsia" w:ascii="宋体" w:hAnsi="宋体" w:cs="宋体"/>
          <w:b/>
          <w:sz w:val="24"/>
          <w:szCs w:val="24"/>
          <w:highlight w:val="none"/>
          <w:shd w:val="clear" w:color="auto" w:fill="FFFFFF"/>
        </w:rPr>
        <w:t>18.投标文件的装订、密封和标记</w:t>
      </w:r>
    </w:p>
    <w:p w14:paraId="2D1B847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18.1投标文件的正本与副本应分别装订成册，并编制目录，具体装订、包装、密封和标记要求见本须知“供应商须知前附表”规定。</w:t>
      </w:r>
    </w:p>
    <w:p w14:paraId="7A2A4A3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18.2如果投标人未对投标文件按上述要求进行完好密封，由此而引起的投标文件误投、提前开启或投标资料泄露等不良后果，由投标人自行承担。</w:t>
      </w:r>
    </w:p>
    <w:p w14:paraId="764CE6CB">
      <w:pPr>
        <w:spacing w:line="360" w:lineRule="auto"/>
        <w:rPr>
          <w:rFonts w:hint="eastAsia" w:ascii="宋体" w:hAnsi="宋体" w:cs="宋体"/>
          <w:b/>
          <w:sz w:val="24"/>
          <w:szCs w:val="24"/>
          <w:highlight w:val="none"/>
        </w:rPr>
      </w:pPr>
      <w:r>
        <w:rPr>
          <w:rFonts w:hint="eastAsia" w:ascii="宋体" w:hAnsi="宋体" w:cs="宋体"/>
          <w:b/>
          <w:sz w:val="24"/>
          <w:szCs w:val="24"/>
          <w:highlight w:val="none"/>
        </w:rPr>
        <w:t>19．投标文件递交方式和投标截止时间</w:t>
      </w:r>
    </w:p>
    <w:p w14:paraId="2D5D683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19.1投标人必须派出代表，在本须知 “供应商须知前附表”规定的投标截止时间前，将全部投标文件和投标资料、物品等递交至投标地点并签字确认。投标地点见“供应商须知前附表”指明的地址或采购代理机构另行通知的地址。</w:t>
      </w:r>
    </w:p>
    <w:p w14:paraId="2A2C35D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19.</w:t>
      </w:r>
      <w:r>
        <w:rPr>
          <w:rFonts w:hint="eastAsia" w:ascii="宋体" w:hAnsi="宋体" w:cs="宋体"/>
          <w:sz w:val="24"/>
          <w:szCs w:val="24"/>
          <w:highlight w:val="none"/>
          <w:lang w:val="en-US" w:eastAsia="zh-CN"/>
        </w:rPr>
        <w:t>2</w:t>
      </w:r>
      <w:r>
        <w:rPr>
          <w:rFonts w:hint="eastAsia" w:ascii="宋体" w:hAnsi="宋体" w:cs="宋体"/>
          <w:sz w:val="24"/>
          <w:szCs w:val="24"/>
          <w:highlight w:val="none"/>
        </w:rPr>
        <w:t>采购代理机构拒绝接收在规定的投标截止时间后递交的投标文件和投标资料。</w:t>
      </w:r>
    </w:p>
    <w:p w14:paraId="2F20465E">
      <w:pPr>
        <w:spacing w:line="360" w:lineRule="auto"/>
        <w:rPr>
          <w:rFonts w:hint="eastAsia" w:ascii="宋体" w:hAnsi="宋体" w:cs="宋体"/>
          <w:b/>
          <w:sz w:val="24"/>
          <w:szCs w:val="24"/>
          <w:highlight w:val="none"/>
        </w:rPr>
      </w:pPr>
      <w:r>
        <w:rPr>
          <w:rFonts w:hint="eastAsia" w:ascii="宋体" w:hAnsi="宋体" w:cs="宋体"/>
          <w:b/>
          <w:sz w:val="24"/>
          <w:szCs w:val="24"/>
          <w:highlight w:val="none"/>
        </w:rPr>
        <w:t>20．投标的修改与撤回</w:t>
      </w:r>
    </w:p>
    <w:p w14:paraId="1E7E551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20.1投标人在递交投标文件后，可以修改或撤回其投标文件，也可以提出价格变动声明，但投标人必须在规定的投标截止时间之前将修改或撤回或变动价格的书面通知文件递交到采购代理机构。</w:t>
      </w:r>
    </w:p>
    <w:p w14:paraId="15DACB8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20.2 投标人的修改或撤回或变动价格的通知应按本须知第17条和18条的规定编制、密封、标记和递交。</w:t>
      </w:r>
    </w:p>
    <w:p w14:paraId="03C229B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20.3 在投标截止时间之后，投标人不得对其投标做任何修改或撤回。</w:t>
      </w:r>
    </w:p>
    <w:p w14:paraId="340CC243">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sz w:val="24"/>
          <w:szCs w:val="24"/>
          <w:highlight w:val="none"/>
        </w:rPr>
        <w:t>20.4在开标之后，对于投标人正常经营活动必须的资质和其他证明文件原件（包括但不限于：营业执照、税务登记证、经营许可证、资质等级证书、中标通知书、合同等），经审查后予以退还。其他投标文件和资料一律不予退还。</w:t>
      </w:r>
    </w:p>
    <w:p w14:paraId="3FB83D03">
      <w:pPr>
        <w:spacing w:before="240" w:beforeLines="100" w:line="360" w:lineRule="auto"/>
        <w:jc w:val="center"/>
        <w:outlineLvl w:val="1"/>
        <w:rPr>
          <w:rFonts w:hint="eastAsia" w:ascii="宋体" w:hAnsi="宋体" w:cs="宋体"/>
          <w:b/>
          <w:sz w:val="24"/>
          <w:szCs w:val="24"/>
          <w:highlight w:val="none"/>
          <w:shd w:val="clear" w:color="auto" w:fill="FFFFFF"/>
        </w:rPr>
      </w:pPr>
      <w:r>
        <w:rPr>
          <w:rFonts w:hint="eastAsia" w:ascii="宋体" w:hAnsi="宋体" w:cs="宋体"/>
          <w:b/>
          <w:sz w:val="24"/>
          <w:szCs w:val="24"/>
          <w:highlight w:val="none"/>
          <w:shd w:val="clear" w:color="auto" w:fill="FFFFFF"/>
        </w:rPr>
        <w:t>五.开标、审查与评标</w:t>
      </w:r>
    </w:p>
    <w:p w14:paraId="5165C784">
      <w:pPr>
        <w:spacing w:before="120" w:beforeLines="50" w:after="120" w:afterLines="50" w:line="360" w:lineRule="auto"/>
        <w:rPr>
          <w:rFonts w:hint="eastAsia" w:ascii="宋体" w:hAnsi="宋体" w:cs="宋体"/>
          <w:b/>
          <w:sz w:val="24"/>
          <w:szCs w:val="24"/>
          <w:highlight w:val="none"/>
          <w:shd w:val="clear" w:color="auto" w:fill="FFFFFF"/>
        </w:rPr>
      </w:pPr>
      <w:r>
        <w:rPr>
          <w:rFonts w:hint="eastAsia" w:ascii="宋体" w:hAnsi="宋体" w:cs="宋体"/>
          <w:b/>
          <w:sz w:val="24"/>
          <w:szCs w:val="24"/>
          <w:highlight w:val="none"/>
          <w:shd w:val="clear" w:color="auto" w:fill="FFFFFF"/>
        </w:rPr>
        <w:t>21.开标</w:t>
      </w:r>
    </w:p>
    <w:p w14:paraId="387748A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21.1 本项目采取线上不见面模式开标，由采购代理机构组织开标工作，供应商须在投标截止时间前登录陕西省公共资源交易中心平台（西咸新区）“不见面开标大厅”进入开标大厅进行电子签到。注：供应商参加开标时须使用生成投标文件的数字证书认证锁（CA锁），用于响应文件解密时使用。供应商在开标现场因CA锁未及时更新或其他供应商自身因素导致无法解密或解密失败的，否决其投标。</w:t>
      </w:r>
    </w:p>
    <w:p w14:paraId="2AA7929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21.2采购代理机构将当众拆封投标文件，宣布投标人名称、投标价格、修改或撤回或变动价格的书面通知（如果有），以及本须知“投标人须知前附表”规定的需要宣布的其他内容。未在开标时宣读的投标价格和价格折扣，评标时不予承认。</w:t>
      </w:r>
    </w:p>
    <w:p w14:paraId="47BBCA1E">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21.3 采购代理机构将做开标记录，存档备查。</w:t>
      </w:r>
    </w:p>
    <w:p w14:paraId="42C1905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21.4投标人未参加开标的，视同认可开标结果。</w:t>
      </w:r>
    </w:p>
    <w:p w14:paraId="39EC7E7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21.5开标结束后，采购人或者采购代理机构将依法对投标人的资格和投标保证金缴纳情况进行审查。合格投标人不足三家的，不进行评标。</w:t>
      </w:r>
    </w:p>
    <w:p w14:paraId="46DA70E0">
      <w:pPr>
        <w:spacing w:line="360" w:lineRule="auto"/>
        <w:rPr>
          <w:rFonts w:hint="eastAsia" w:ascii="宋体" w:hAnsi="宋体" w:cs="宋体"/>
          <w:b/>
          <w:sz w:val="24"/>
          <w:szCs w:val="24"/>
          <w:highlight w:val="none"/>
        </w:rPr>
      </w:pPr>
      <w:r>
        <w:rPr>
          <w:rFonts w:hint="eastAsia" w:ascii="宋体" w:hAnsi="宋体" w:cs="宋体"/>
          <w:b/>
          <w:sz w:val="24"/>
          <w:szCs w:val="24"/>
          <w:highlight w:val="none"/>
        </w:rPr>
        <w:t>22．评标组织及评标原则</w:t>
      </w:r>
    </w:p>
    <w:p w14:paraId="2F7D3B3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22.1按照《中华人民共和国政府采购法》、《中华人民共和国政府采购法实施条例》和《政府采购货物和服务招标投标管理办法》的规定，依法组建评标委员会。评标委员会按照招标文件规定的评标方法独立进行评标工作。</w:t>
      </w:r>
    </w:p>
    <w:p w14:paraId="551D41C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22.2招标文件和投标文件是评标的依据。在评标中，不得改变招标文件中规定的评标标准、方法和中标条件。投标人不得在开标后使用任何方式对投标文件的实质性内容做任何更改。</w:t>
      </w:r>
    </w:p>
    <w:p w14:paraId="0787CB9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22.3在评标期间，对于投标文件中含义不明确、同类问题表述不一致或者有明显文字和计算错误的内容，评标委员会应当以书面形式（由评标委员会专家签字）要求投标人做出必要的澄清、说明或者纠正。投标人的澄清、说明或者补正应当采用书面形式，由其法人代表或其授权的代表签署全名。投标人的澄清、说明或者补正不得超出投标文件的范围或者改变投标文件的实质性内容。</w:t>
      </w:r>
    </w:p>
    <w:p w14:paraId="3513E1D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22.4如果投标人在规定时限内，未能答复或拒绝答复评委会提出的澄清、说明或者补正的要求，将由评委会根据其投标文件按最大风险进行评标。</w:t>
      </w:r>
    </w:p>
    <w:p w14:paraId="279730E4">
      <w:pPr>
        <w:spacing w:line="360" w:lineRule="auto"/>
        <w:rPr>
          <w:rFonts w:hint="eastAsia" w:ascii="宋体" w:hAnsi="宋体" w:cs="宋体"/>
          <w:b/>
          <w:sz w:val="24"/>
          <w:szCs w:val="24"/>
          <w:highlight w:val="none"/>
        </w:rPr>
      </w:pPr>
      <w:r>
        <w:rPr>
          <w:rFonts w:hint="eastAsia" w:ascii="宋体" w:hAnsi="宋体" w:cs="宋体"/>
          <w:b/>
          <w:sz w:val="24"/>
          <w:szCs w:val="24"/>
          <w:highlight w:val="none"/>
        </w:rPr>
        <w:t>23．评标过程的保密</w:t>
      </w:r>
    </w:p>
    <w:p w14:paraId="5FCBA35E">
      <w:pPr>
        <w:spacing w:line="360" w:lineRule="auto"/>
        <w:ind w:firstLine="600" w:firstLineChars="250"/>
        <w:rPr>
          <w:rFonts w:hint="eastAsia" w:ascii="宋体" w:hAnsi="宋体" w:cs="宋体"/>
          <w:sz w:val="24"/>
          <w:szCs w:val="24"/>
          <w:highlight w:val="none"/>
        </w:rPr>
      </w:pPr>
      <w:r>
        <w:rPr>
          <w:rFonts w:hint="eastAsia" w:ascii="宋体" w:hAnsi="宋体" w:cs="宋体"/>
          <w:sz w:val="24"/>
          <w:szCs w:val="24"/>
          <w:highlight w:val="none"/>
        </w:rPr>
        <w:t>23.1评标委员会成员、采购人与采购代理机构有关人员对评标情况以及在评标过程中获悉的国家秘密、商业秘密负有保密责任。</w:t>
      </w:r>
    </w:p>
    <w:p w14:paraId="041B356B">
      <w:pPr>
        <w:spacing w:line="360" w:lineRule="auto"/>
        <w:ind w:left="210" w:leftChars="100" w:firstLine="360" w:firstLineChars="150"/>
        <w:rPr>
          <w:rFonts w:hint="eastAsia" w:ascii="宋体" w:hAnsi="宋体" w:cs="宋体"/>
          <w:sz w:val="24"/>
          <w:szCs w:val="24"/>
          <w:highlight w:val="none"/>
        </w:rPr>
      </w:pPr>
      <w:r>
        <w:rPr>
          <w:rFonts w:hint="eastAsia" w:ascii="宋体" w:hAnsi="宋体" w:cs="宋体"/>
          <w:sz w:val="24"/>
          <w:szCs w:val="24"/>
          <w:highlight w:val="none"/>
        </w:rPr>
        <w:t>23.2在评标过程中，如果投标人试图在投标文件的评审和比较、中标候选人的推荐以及与评标有关的其他方面，向评标人、采购人和采购代理机构施加任何影响，其投标将按照无效投标处理。</w:t>
      </w:r>
    </w:p>
    <w:p w14:paraId="5F78F9CA">
      <w:pPr>
        <w:spacing w:line="360" w:lineRule="auto"/>
        <w:rPr>
          <w:rFonts w:hint="eastAsia" w:ascii="宋体" w:hAnsi="宋体" w:cs="宋体"/>
          <w:b/>
          <w:sz w:val="24"/>
          <w:szCs w:val="24"/>
          <w:highlight w:val="none"/>
        </w:rPr>
      </w:pPr>
      <w:r>
        <w:rPr>
          <w:rFonts w:hint="eastAsia" w:ascii="宋体" w:hAnsi="宋体" w:cs="宋体"/>
          <w:b/>
          <w:sz w:val="24"/>
          <w:szCs w:val="24"/>
          <w:highlight w:val="none"/>
        </w:rPr>
        <w:t>24．评标方法</w:t>
      </w:r>
    </w:p>
    <w:p w14:paraId="033A5FD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24.1按照《中华人民共和国政府采购法》、《中华人民共和国政府采购法实施条例》和《政府采购货物和服务招标投标管理办法》的规定，本次评标采用以下评标方法中的一种：具体见“供应商须知前附表”。</w:t>
      </w:r>
    </w:p>
    <w:p w14:paraId="3ADB908A">
      <w:pPr>
        <w:spacing w:line="360" w:lineRule="auto"/>
        <w:ind w:firstLine="480" w:firstLineChars="200"/>
        <w:rPr>
          <w:rFonts w:hint="eastAsia" w:ascii="宋体" w:hAnsi="宋体" w:cs="宋体"/>
          <w:kern w:val="0"/>
          <w:sz w:val="24"/>
          <w:szCs w:val="24"/>
          <w:highlight w:val="none"/>
        </w:rPr>
      </w:pPr>
      <w:r>
        <w:rPr>
          <w:rFonts w:hint="eastAsia" w:ascii="宋体" w:hAnsi="宋体" w:cs="宋体"/>
          <w:sz w:val="24"/>
          <w:szCs w:val="24"/>
          <w:highlight w:val="none"/>
        </w:rPr>
        <w:t>1） 最低评标价法，</w:t>
      </w:r>
      <w:r>
        <w:rPr>
          <w:rFonts w:hint="eastAsia" w:ascii="宋体" w:hAnsi="宋体" w:cs="宋体"/>
          <w:kern w:val="0"/>
          <w:sz w:val="24"/>
          <w:szCs w:val="24"/>
          <w:highlight w:val="none"/>
        </w:rPr>
        <w:t>是指投标文件满足招标文件全部实质性要求，且投标报价最低的投标人为中标候选人的评标方法。</w:t>
      </w:r>
    </w:p>
    <w:p w14:paraId="295F892B">
      <w:pPr>
        <w:spacing w:line="360" w:lineRule="auto"/>
        <w:ind w:firstLine="480" w:firstLineChars="200"/>
        <w:rPr>
          <w:rFonts w:hint="eastAsia" w:ascii="宋体" w:hAnsi="宋体" w:cs="宋体"/>
          <w:kern w:val="0"/>
          <w:sz w:val="24"/>
          <w:szCs w:val="24"/>
          <w:highlight w:val="none"/>
        </w:rPr>
      </w:pPr>
      <w:r>
        <w:rPr>
          <w:rFonts w:hint="eastAsia" w:ascii="宋体" w:hAnsi="宋体" w:cs="宋体"/>
          <w:sz w:val="24"/>
          <w:szCs w:val="24"/>
          <w:highlight w:val="none"/>
        </w:rPr>
        <w:t>2） 综合评分法，</w:t>
      </w:r>
      <w:r>
        <w:rPr>
          <w:rFonts w:hint="eastAsia" w:ascii="宋体" w:hAnsi="宋体" w:cs="宋体"/>
          <w:kern w:val="0"/>
          <w:sz w:val="24"/>
          <w:szCs w:val="24"/>
          <w:highlight w:val="none"/>
        </w:rPr>
        <w:t>是指投标文件满足招标文件全部实质性要求，且按照评审因素的量化指标评审得分最高的投标人为中标候选人的评标方法。</w:t>
      </w:r>
    </w:p>
    <w:p w14:paraId="5FD70841">
      <w:pPr>
        <w:spacing w:line="360" w:lineRule="auto"/>
        <w:rPr>
          <w:rFonts w:hint="eastAsia" w:ascii="宋体" w:hAnsi="宋体" w:cs="宋体"/>
          <w:b/>
          <w:sz w:val="24"/>
          <w:szCs w:val="24"/>
          <w:highlight w:val="none"/>
        </w:rPr>
      </w:pPr>
      <w:r>
        <w:rPr>
          <w:rFonts w:hint="eastAsia" w:ascii="宋体" w:hAnsi="宋体" w:cs="宋体"/>
          <w:b/>
          <w:sz w:val="24"/>
          <w:szCs w:val="24"/>
          <w:highlight w:val="none"/>
        </w:rPr>
        <w:t>25．评标程序</w:t>
      </w:r>
    </w:p>
    <w:p w14:paraId="29EDB1E5">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sz w:val="24"/>
          <w:szCs w:val="24"/>
          <w:highlight w:val="none"/>
        </w:rPr>
        <w:t>评标程序为投标文件审查、澄清、比较与评价、确定中标候选人名单。</w:t>
      </w:r>
    </w:p>
    <w:p w14:paraId="2CCC48A3">
      <w:pPr>
        <w:spacing w:before="240" w:beforeLines="100" w:line="360" w:lineRule="auto"/>
        <w:jc w:val="center"/>
        <w:outlineLvl w:val="1"/>
        <w:rPr>
          <w:rFonts w:hint="eastAsia" w:ascii="宋体" w:hAnsi="宋体" w:cs="宋体"/>
          <w:b/>
          <w:sz w:val="24"/>
          <w:szCs w:val="24"/>
          <w:highlight w:val="none"/>
          <w:shd w:val="clear" w:color="auto" w:fill="FFFFFF"/>
        </w:rPr>
      </w:pPr>
      <w:r>
        <w:rPr>
          <w:rFonts w:hint="eastAsia" w:ascii="宋体" w:hAnsi="宋体" w:cs="宋体"/>
          <w:b/>
          <w:sz w:val="24"/>
          <w:szCs w:val="24"/>
          <w:highlight w:val="none"/>
          <w:shd w:val="clear" w:color="auto" w:fill="FFFFFF"/>
        </w:rPr>
        <w:t>六.定标、中标通知与签约</w:t>
      </w:r>
    </w:p>
    <w:p w14:paraId="58653BD0">
      <w:pPr>
        <w:spacing w:before="120" w:beforeLines="50" w:after="120" w:afterLines="50" w:line="360" w:lineRule="auto"/>
        <w:rPr>
          <w:rFonts w:hint="eastAsia" w:ascii="宋体" w:hAnsi="宋体" w:cs="宋体"/>
          <w:b/>
          <w:sz w:val="24"/>
          <w:szCs w:val="24"/>
          <w:highlight w:val="none"/>
          <w:shd w:val="clear" w:color="auto" w:fill="FFFFFF"/>
        </w:rPr>
      </w:pPr>
      <w:r>
        <w:rPr>
          <w:rFonts w:hint="eastAsia" w:ascii="宋体" w:hAnsi="宋体" w:cs="宋体"/>
          <w:b/>
          <w:sz w:val="24"/>
          <w:szCs w:val="24"/>
          <w:highlight w:val="none"/>
          <w:shd w:val="clear" w:color="auto" w:fill="FFFFFF"/>
        </w:rPr>
        <w:t>26．定标</w:t>
      </w:r>
    </w:p>
    <w:p w14:paraId="5A0D881E">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26.1评委会根据评标方法的规定对投标人进行评审排序，推荐1～3名中标候选人，作为评标结果。评标结果由全体评委签字确认。</w:t>
      </w:r>
    </w:p>
    <w:p w14:paraId="2BF3DFF9">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26.2采购人应当自收到评标报告之日起5个工作日内，在评标报告确定的中标候选人名单中按顺序确定中标人。中标候选人并列的，由采购人自行确定中标人。</w:t>
      </w:r>
    </w:p>
    <w:p w14:paraId="6221395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26.3</w:t>
      </w:r>
      <w:r>
        <w:rPr>
          <w:rFonts w:hint="eastAsia" w:ascii="宋体" w:hAnsi="宋体" w:cs="宋体"/>
          <w:spacing w:val="4"/>
          <w:sz w:val="24"/>
          <w:szCs w:val="24"/>
          <w:highlight w:val="none"/>
        </w:rPr>
        <w:t>采购人也可以委托评委会直接确定中标人。</w:t>
      </w:r>
    </w:p>
    <w:p w14:paraId="4655D37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26.4中标人确定之后，中标结果将在省级以上财政部门指定的媒体上公告。</w:t>
      </w:r>
    </w:p>
    <w:p w14:paraId="583FEE92">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26.5投标人对中标公告有异议的，按照《中华人民共和国政府采购法》第五十二条之规定执行。提出质疑的投标人应当有明确的请求和必要的证明材料，应保证提出的质疑内容及相应证明材料的真实性及来源的合法性，并承担相应的法律责任。</w:t>
      </w:r>
    </w:p>
    <w:p w14:paraId="3F8122E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26.6中标供应商拒绝与采购人签订合同的，采购人可以按照评审报告推荐的中标候选人名单排序，确定下一候选人为中标人，也可以重新开展政府采购活动。</w:t>
      </w:r>
    </w:p>
    <w:p w14:paraId="64586F3A">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26.7关于本次评标的特别规定（见“供应商须知前附表）。</w:t>
      </w:r>
    </w:p>
    <w:p w14:paraId="560799A2">
      <w:pPr>
        <w:spacing w:line="360" w:lineRule="auto"/>
        <w:rPr>
          <w:rFonts w:hint="eastAsia" w:ascii="宋体" w:hAnsi="宋体" w:cs="宋体"/>
          <w:b/>
          <w:sz w:val="24"/>
          <w:szCs w:val="24"/>
          <w:highlight w:val="none"/>
        </w:rPr>
      </w:pPr>
      <w:r>
        <w:rPr>
          <w:rFonts w:hint="eastAsia" w:ascii="宋体" w:hAnsi="宋体" w:cs="宋体"/>
          <w:b/>
          <w:sz w:val="24"/>
          <w:szCs w:val="24"/>
          <w:highlight w:val="none"/>
        </w:rPr>
        <w:t>27．中标与落标通知</w:t>
      </w:r>
    </w:p>
    <w:p w14:paraId="30CDFDC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27.1中标人确定之后，</w:t>
      </w:r>
      <w:r>
        <w:rPr>
          <w:rFonts w:hint="eastAsia" w:ascii="宋体" w:hAnsi="宋体" w:cs="宋体"/>
          <w:sz w:val="24"/>
          <w:szCs w:val="24"/>
          <w:highlight w:val="none"/>
          <w:lang w:eastAsia="zh-CN"/>
        </w:rPr>
        <w:t>陕西广联达招标有限公司</w:t>
      </w:r>
      <w:r>
        <w:rPr>
          <w:rFonts w:hint="eastAsia" w:ascii="宋体" w:hAnsi="宋体" w:cs="宋体"/>
          <w:sz w:val="24"/>
          <w:szCs w:val="24"/>
          <w:highlight w:val="none"/>
        </w:rPr>
        <w:t xml:space="preserve">将发出《中标通知书》。 </w:t>
      </w:r>
    </w:p>
    <w:p w14:paraId="7C59907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27.2中标通知书对采购人和中标人具有同等法律效力。中标通知书发出之后，采购人改变中标结果，或者中标人放弃中标，应当承担相应的法律责任。</w:t>
      </w:r>
    </w:p>
    <w:p w14:paraId="467C695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27.3 中标通知书发出后五个工作日内，</w:t>
      </w:r>
      <w:r>
        <w:rPr>
          <w:rFonts w:hint="eastAsia" w:ascii="宋体" w:hAnsi="宋体" w:cs="宋体"/>
          <w:sz w:val="24"/>
          <w:szCs w:val="24"/>
          <w:highlight w:val="none"/>
          <w:lang w:eastAsia="zh-CN"/>
        </w:rPr>
        <w:t>陕西广联达招标有限公司</w:t>
      </w:r>
      <w:r>
        <w:rPr>
          <w:rFonts w:hint="eastAsia" w:ascii="宋体" w:hAnsi="宋体" w:cs="宋体"/>
          <w:sz w:val="24"/>
          <w:szCs w:val="24"/>
          <w:highlight w:val="none"/>
        </w:rPr>
        <w:t>将通知未中标的投标人，并退还其投标保证金。中标人的投标保证金将在合同签订之后五个工作日内退还。</w:t>
      </w:r>
    </w:p>
    <w:p w14:paraId="55622EC1">
      <w:pPr>
        <w:spacing w:line="360" w:lineRule="auto"/>
        <w:rPr>
          <w:rFonts w:hint="eastAsia" w:ascii="宋体" w:hAnsi="宋体" w:cs="宋体"/>
          <w:b/>
          <w:sz w:val="24"/>
          <w:szCs w:val="24"/>
          <w:highlight w:val="none"/>
        </w:rPr>
      </w:pPr>
      <w:r>
        <w:rPr>
          <w:rFonts w:hint="eastAsia" w:ascii="宋体" w:hAnsi="宋体" w:cs="宋体"/>
          <w:b/>
          <w:sz w:val="24"/>
          <w:szCs w:val="24"/>
          <w:highlight w:val="none"/>
        </w:rPr>
        <w:t>28. 中标合同的签订</w:t>
      </w:r>
    </w:p>
    <w:p w14:paraId="05414AE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28.1采购人应当自中标通知书发出之日起三十日内，按照招标文件和中标人投标文件（包括评标中形成的澄清文件）的规定，与中标人签订书面合同。所签订的合同不得对招标文件确定的事项和中标人投标文件作实质性修改。</w:t>
      </w:r>
    </w:p>
    <w:p w14:paraId="7B188D8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28.2采购人自政府采购合同签订之日起2个工作日内，将政府采购合同在省级以上人民政府财政部门指定的媒体上公告，但政府采购合同中涉及国家秘密、商业秘密的内容除外。</w:t>
      </w:r>
    </w:p>
    <w:p w14:paraId="14792C49">
      <w:pPr>
        <w:spacing w:line="360" w:lineRule="auto"/>
        <w:rPr>
          <w:rFonts w:hint="eastAsia" w:ascii="宋体" w:hAnsi="宋体" w:cs="宋体"/>
          <w:b/>
          <w:sz w:val="24"/>
          <w:szCs w:val="24"/>
          <w:highlight w:val="none"/>
        </w:rPr>
      </w:pPr>
      <w:r>
        <w:rPr>
          <w:rFonts w:hint="eastAsia" w:ascii="宋体" w:hAnsi="宋体" w:cs="宋体"/>
          <w:b/>
          <w:sz w:val="24"/>
          <w:szCs w:val="24"/>
          <w:highlight w:val="none"/>
        </w:rPr>
        <w:t>29．中标合同的履约验收</w:t>
      </w:r>
    </w:p>
    <w:p w14:paraId="7283DD45">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29.1</w:t>
      </w:r>
      <w:r>
        <w:rPr>
          <w:rFonts w:hint="eastAsia" w:ascii="宋体" w:hAnsi="宋体" w:cs="宋体"/>
          <w:kern w:val="0"/>
          <w:sz w:val="24"/>
          <w:szCs w:val="24"/>
          <w:highlight w:val="none"/>
        </w:rPr>
        <w:t>政府采购合同的履行、违约责任和解决争议的方法等适用《中华人民共和国合同法》。</w:t>
      </w:r>
      <w:r>
        <w:rPr>
          <w:rFonts w:hint="eastAsia" w:ascii="宋体" w:hAnsi="宋体" w:cs="宋体"/>
          <w:sz w:val="24"/>
          <w:szCs w:val="24"/>
          <w:highlight w:val="none"/>
        </w:rPr>
        <w:t>采购人按照政府采购合同规定的技术、服务、安全标准组织对供应商履约情况进行验收，并出具验收书。</w:t>
      </w:r>
    </w:p>
    <w:p w14:paraId="59488F27">
      <w:pPr>
        <w:spacing w:line="360" w:lineRule="auto"/>
        <w:rPr>
          <w:rFonts w:hint="eastAsia" w:ascii="宋体" w:hAnsi="宋体" w:cs="宋体"/>
          <w:b/>
          <w:sz w:val="24"/>
          <w:szCs w:val="24"/>
          <w:highlight w:val="none"/>
        </w:rPr>
      </w:pPr>
      <w:r>
        <w:rPr>
          <w:rFonts w:hint="eastAsia" w:ascii="宋体" w:hAnsi="宋体" w:cs="宋体"/>
          <w:b/>
          <w:sz w:val="24"/>
          <w:szCs w:val="24"/>
          <w:highlight w:val="none"/>
        </w:rPr>
        <w:t>30．招标代理服务费</w:t>
      </w:r>
    </w:p>
    <w:p w14:paraId="23A7228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30.1中标单位应在收到中标通知书3日内，向</w:t>
      </w:r>
      <w:r>
        <w:rPr>
          <w:rFonts w:hint="eastAsia" w:ascii="宋体" w:hAnsi="宋体" w:cs="宋体"/>
          <w:sz w:val="24"/>
          <w:szCs w:val="24"/>
          <w:highlight w:val="none"/>
          <w:lang w:eastAsia="zh-CN"/>
        </w:rPr>
        <w:t>陕西广联达招标有限公司</w:t>
      </w:r>
      <w:r>
        <w:rPr>
          <w:rFonts w:hint="eastAsia" w:ascii="宋体" w:hAnsi="宋体" w:cs="宋体"/>
          <w:sz w:val="24"/>
          <w:szCs w:val="24"/>
          <w:highlight w:val="none"/>
        </w:rPr>
        <w:t>一次性支付招标代理服务费。</w:t>
      </w:r>
    </w:p>
    <w:p w14:paraId="7D44BC9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30.2招标代理服务费的金额见前附表。</w:t>
      </w:r>
    </w:p>
    <w:p w14:paraId="1275073B">
      <w:pPr>
        <w:spacing w:line="360" w:lineRule="auto"/>
        <w:rPr>
          <w:rFonts w:hint="eastAsia" w:ascii="宋体" w:hAnsi="宋体" w:cs="宋体"/>
          <w:b/>
          <w:sz w:val="24"/>
          <w:szCs w:val="24"/>
          <w:highlight w:val="none"/>
        </w:rPr>
      </w:pPr>
      <w:r>
        <w:rPr>
          <w:rFonts w:hint="eastAsia" w:ascii="宋体" w:hAnsi="宋体" w:cs="宋体"/>
          <w:b/>
          <w:sz w:val="24"/>
          <w:szCs w:val="24"/>
          <w:highlight w:val="none"/>
        </w:rPr>
        <w:t>31.废标与采购方式的变更</w:t>
      </w:r>
    </w:p>
    <w:p w14:paraId="7224416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31.1在招标采购中，出现下列情形之一的，应予废标：　　</w:t>
      </w:r>
    </w:p>
    <w:p w14:paraId="2E90EE84">
      <w:pPr>
        <w:spacing w:line="360" w:lineRule="auto"/>
        <w:ind w:left="2" w:firstLine="477" w:firstLineChars="199"/>
        <w:rPr>
          <w:rFonts w:hint="eastAsia" w:ascii="宋体" w:hAnsi="宋体" w:cs="宋体"/>
          <w:sz w:val="24"/>
          <w:szCs w:val="24"/>
          <w:highlight w:val="none"/>
        </w:rPr>
      </w:pPr>
      <w:r>
        <w:rPr>
          <w:rFonts w:hint="eastAsia" w:ascii="宋体" w:hAnsi="宋体" w:cs="宋体"/>
          <w:sz w:val="24"/>
          <w:szCs w:val="24"/>
          <w:highlight w:val="none"/>
        </w:rPr>
        <w:t xml:space="preserve">（一）符合专业条件的供应商或者对招标文件作实质响应的供应商不足三家的； </w:t>
      </w:r>
    </w:p>
    <w:p w14:paraId="7113676C">
      <w:pPr>
        <w:spacing w:line="360" w:lineRule="auto"/>
        <w:ind w:left="1079" w:leftChars="228" w:hanging="600" w:hangingChars="250"/>
        <w:rPr>
          <w:rFonts w:hint="eastAsia" w:ascii="宋体" w:hAnsi="宋体" w:cs="宋体"/>
          <w:sz w:val="24"/>
          <w:szCs w:val="24"/>
          <w:highlight w:val="none"/>
        </w:rPr>
      </w:pPr>
      <w:r>
        <w:rPr>
          <w:rFonts w:hint="eastAsia" w:ascii="宋体" w:hAnsi="宋体" w:cs="宋体"/>
          <w:sz w:val="24"/>
          <w:szCs w:val="24"/>
          <w:highlight w:val="none"/>
        </w:rPr>
        <w:t xml:space="preserve">（二）出现影响采购公正的违法、违规行为的； </w:t>
      </w:r>
    </w:p>
    <w:p w14:paraId="2EE2B5F9">
      <w:pPr>
        <w:spacing w:line="360" w:lineRule="auto"/>
        <w:ind w:left="1079" w:leftChars="228" w:hanging="600" w:hangingChars="250"/>
        <w:rPr>
          <w:rFonts w:hint="eastAsia" w:ascii="宋体" w:hAnsi="宋体" w:cs="宋体"/>
          <w:sz w:val="24"/>
          <w:szCs w:val="24"/>
          <w:highlight w:val="none"/>
        </w:rPr>
      </w:pPr>
      <w:r>
        <w:rPr>
          <w:rFonts w:hint="eastAsia" w:ascii="宋体" w:hAnsi="宋体" w:cs="宋体"/>
          <w:sz w:val="24"/>
          <w:szCs w:val="24"/>
          <w:highlight w:val="none"/>
        </w:rPr>
        <w:t>（三）投标人的报价均超过了采购预算，采购人不能支付的；</w:t>
      </w:r>
    </w:p>
    <w:p w14:paraId="688AF131">
      <w:pPr>
        <w:spacing w:line="360" w:lineRule="auto"/>
        <w:ind w:left="1079" w:leftChars="228" w:hanging="600" w:hangingChars="250"/>
        <w:rPr>
          <w:rFonts w:hint="eastAsia" w:ascii="宋体" w:hAnsi="宋体" w:cs="宋体"/>
          <w:sz w:val="24"/>
          <w:szCs w:val="24"/>
          <w:highlight w:val="none"/>
        </w:rPr>
      </w:pPr>
      <w:r>
        <w:rPr>
          <w:rFonts w:hint="eastAsia" w:ascii="宋体" w:hAnsi="宋体" w:cs="宋体"/>
          <w:sz w:val="24"/>
          <w:szCs w:val="24"/>
          <w:highlight w:val="none"/>
        </w:rPr>
        <w:t xml:space="preserve">（四）因重大变故，采购任务取消的。 </w:t>
      </w:r>
    </w:p>
    <w:p w14:paraId="0BAFB1FC">
      <w:pPr>
        <w:spacing w:line="360" w:lineRule="auto"/>
        <w:ind w:left="1079" w:leftChars="228" w:hanging="600" w:hangingChars="250"/>
        <w:rPr>
          <w:rFonts w:hint="eastAsia" w:ascii="宋体" w:hAnsi="宋体" w:cs="宋体"/>
          <w:sz w:val="24"/>
          <w:szCs w:val="24"/>
          <w:highlight w:val="none"/>
        </w:rPr>
      </w:pPr>
      <w:r>
        <w:rPr>
          <w:rFonts w:hint="eastAsia" w:ascii="宋体" w:hAnsi="宋体" w:cs="宋体"/>
          <w:sz w:val="24"/>
          <w:szCs w:val="24"/>
          <w:highlight w:val="none"/>
        </w:rPr>
        <w:t>31.2 废标后，除采购任务取消情形外，按照以下方式处理：</w:t>
      </w:r>
    </w:p>
    <w:p w14:paraId="1EB4965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（一）招标文件存在不合理条款或者招标程序不符合规定的，采购人、采购代理机构改正后依法重新招标；</w:t>
      </w:r>
    </w:p>
    <w:p w14:paraId="0A931A63">
      <w:pPr>
        <w:spacing w:line="360" w:lineRule="auto"/>
        <w:ind w:firstLine="480" w:firstLineChars="200"/>
        <w:rPr>
          <w:rFonts w:hint="eastAsia" w:ascii="宋体" w:hAnsi="宋体" w:cs="宋体"/>
          <w:b/>
          <w:sz w:val="24"/>
          <w:szCs w:val="24"/>
          <w:highlight w:val="none"/>
        </w:rPr>
      </w:pPr>
      <w:r>
        <w:rPr>
          <w:rFonts w:hint="eastAsia" w:ascii="宋体" w:hAnsi="宋体" w:cs="宋体"/>
          <w:sz w:val="24"/>
          <w:szCs w:val="24"/>
          <w:highlight w:val="none"/>
        </w:rPr>
        <w:t>（二）招标文件没有不合理条款、招标程序符合规定，需要重新招标的，依法重新招标；需要采用其他采购方式采购的，采购人应当依法报财政部门批准。</w:t>
      </w:r>
    </w:p>
    <w:p w14:paraId="7FF08837">
      <w:pPr>
        <w:spacing w:line="360" w:lineRule="auto"/>
        <w:rPr>
          <w:rFonts w:hint="eastAsia" w:ascii="宋体" w:hAnsi="宋体" w:cs="宋体"/>
          <w:b/>
          <w:sz w:val="24"/>
          <w:szCs w:val="24"/>
          <w:highlight w:val="none"/>
        </w:rPr>
      </w:pPr>
      <w:r>
        <w:rPr>
          <w:rFonts w:hint="eastAsia" w:ascii="宋体" w:hAnsi="宋体" w:cs="宋体"/>
          <w:b/>
          <w:sz w:val="24"/>
          <w:szCs w:val="24"/>
          <w:highlight w:val="none"/>
        </w:rPr>
        <w:t>32.其它</w:t>
      </w:r>
    </w:p>
    <w:p w14:paraId="397C875B">
      <w:pPr>
        <w:spacing w:line="360" w:lineRule="auto"/>
        <w:ind w:firstLine="352" w:firstLineChars="147"/>
        <w:rPr>
          <w:rFonts w:hint="eastAsia" w:ascii="宋体" w:hAnsi="宋体" w:cs="宋体"/>
          <w:sz w:val="24"/>
          <w:szCs w:val="24"/>
          <w:highlight w:val="none"/>
        </w:rPr>
      </w:pPr>
      <w:r>
        <w:rPr>
          <w:rFonts w:hint="eastAsia" w:ascii="宋体" w:hAnsi="宋体" w:cs="宋体"/>
          <w:sz w:val="24"/>
          <w:szCs w:val="24"/>
          <w:highlight w:val="none"/>
        </w:rPr>
        <w:t xml:space="preserve"> 32.1采用最低评标价法的采购项目，提供相同品牌产品的不同投标人参加同一合同项（标包）下投标的，以其中通过资格审查、符合性审查且报价最低的参加评标；报价相同的，由采购人自行确定一个参加评标的投标人。其他投标无效。</w:t>
      </w:r>
    </w:p>
    <w:p w14:paraId="11FDBA7C">
      <w:pPr>
        <w:spacing w:line="360" w:lineRule="auto"/>
        <w:ind w:firstLine="472" w:firstLineChars="197"/>
        <w:rPr>
          <w:rFonts w:hint="eastAsia" w:ascii="宋体" w:hAnsi="宋体" w:cs="宋体"/>
          <w:kern w:val="0"/>
          <w:sz w:val="24"/>
          <w:szCs w:val="24"/>
          <w:highlight w:val="none"/>
        </w:rPr>
      </w:pPr>
      <w:r>
        <w:rPr>
          <w:rFonts w:hint="eastAsia" w:ascii="宋体" w:hAnsi="宋体" w:cs="宋体"/>
          <w:sz w:val="24"/>
          <w:szCs w:val="24"/>
          <w:highlight w:val="none"/>
        </w:rPr>
        <w:t>32.2</w:t>
      </w:r>
      <w:r>
        <w:rPr>
          <w:rFonts w:hint="eastAsia" w:ascii="宋体" w:hAnsi="宋体" w:cs="宋体"/>
          <w:kern w:val="0"/>
          <w:sz w:val="24"/>
          <w:szCs w:val="24"/>
          <w:highlight w:val="none"/>
        </w:rPr>
        <w:t>使用综合评分法的采购项目，提供相同品牌产品且通过资格审查、符合性审查的不同投标人参加同一合同项（标包）下投标的，按一家投标人计算，评审后得分最高的同品牌投标人获得中标人推荐资格；评审得分相同的，由采购人自行确定一个投标人获得中标人推荐资格，其他同品牌投标人不作为中标候选人。</w:t>
      </w:r>
    </w:p>
    <w:p w14:paraId="5B15A3CF">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kern w:val="0"/>
          <w:sz w:val="24"/>
          <w:szCs w:val="24"/>
          <w:highlight w:val="none"/>
        </w:rPr>
        <w:t>32.3非单一产品采购项目，在第五章招标内容 招标内容一览表中载明核心产品，投标人提供的核心产品的品牌全部相同，相关投标人将被认定为属于提供相同品牌产品，按以上规定处理。</w:t>
      </w:r>
    </w:p>
    <w:p w14:paraId="6FCCB834">
      <w:pPr>
        <w:spacing w:before="120" w:beforeLines="50" w:after="120" w:afterLines="50" w:line="360" w:lineRule="auto"/>
        <w:rPr>
          <w:rFonts w:hint="eastAsia" w:ascii="宋体" w:hAnsi="宋体" w:cs="宋体"/>
          <w:b/>
          <w:sz w:val="24"/>
          <w:szCs w:val="24"/>
          <w:highlight w:val="none"/>
          <w:shd w:val="clear" w:color="auto" w:fill="FFFFFF"/>
        </w:rPr>
      </w:pPr>
      <w:r>
        <w:rPr>
          <w:rFonts w:hint="eastAsia" w:ascii="宋体" w:hAnsi="宋体" w:cs="宋体"/>
          <w:b/>
          <w:sz w:val="24"/>
          <w:szCs w:val="24"/>
          <w:highlight w:val="none"/>
          <w:shd w:val="clear" w:color="auto" w:fill="FFFFFF"/>
        </w:rPr>
        <w:t>33.需要补充的其他内容</w:t>
      </w:r>
    </w:p>
    <w:p w14:paraId="2ED71B3D">
      <w:pPr>
        <w:spacing w:line="360" w:lineRule="auto"/>
        <w:ind w:firstLine="480" w:firstLineChars="200"/>
        <w:rPr>
          <w:rFonts w:hint="eastAsia" w:ascii="宋体" w:hAnsi="宋体" w:cs="宋体"/>
          <w:sz w:val="24"/>
          <w:szCs w:val="24"/>
          <w:highlight w:val="none"/>
          <w:shd w:val="clear" w:color="auto" w:fill="FFFFFF"/>
        </w:rPr>
      </w:pPr>
      <w:r>
        <w:rPr>
          <w:rFonts w:hint="eastAsia" w:ascii="宋体" w:hAnsi="宋体" w:cs="宋体"/>
          <w:sz w:val="24"/>
          <w:szCs w:val="24"/>
          <w:highlight w:val="none"/>
          <w:shd w:val="clear" w:color="auto" w:fill="FFFFFF"/>
        </w:rPr>
        <w:t>需要补充的其他内容：见“供应商须知前附表”。</w:t>
      </w:r>
    </w:p>
    <w:p w14:paraId="4BFAC519">
      <w:pPr>
        <w:pStyle w:val="37"/>
        <w:rPr>
          <w:rFonts w:ascii="华文楷体" w:hAnsi="华文楷体" w:eastAsia="华文楷体"/>
          <w:highlight w:val="none"/>
          <w:shd w:val="clear" w:color="auto" w:fill="FFFFFF"/>
        </w:rPr>
      </w:pPr>
      <w:r>
        <w:rPr>
          <w:sz w:val="44"/>
          <w:highlight w:val="none"/>
          <w:shd w:val="clear" w:color="auto" w:fill="FFFFFF"/>
        </w:rPr>
        <w:br w:type="page"/>
      </w:r>
      <w:bookmarkStart w:id="16" w:name="_Toc40775545"/>
      <w:bookmarkStart w:id="17" w:name="_Toc53083684"/>
      <w:r>
        <w:rPr>
          <w:rFonts w:hint="eastAsia" w:ascii="华文楷体" w:hAnsi="华文楷体" w:eastAsia="华文楷体"/>
          <w:highlight w:val="none"/>
          <w:shd w:val="clear" w:color="auto" w:fill="FFFFFF"/>
        </w:rPr>
        <w:t xml:space="preserve">第三章  </w:t>
      </w:r>
      <w:bookmarkEnd w:id="16"/>
      <w:r>
        <w:rPr>
          <w:rFonts w:hint="eastAsia" w:ascii="华文楷体" w:hAnsi="华文楷体" w:eastAsia="华文楷体"/>
          <w:highlight w:val="none"/>
          <w:shd w:val="clear" w:color="auto" w:fill="FFFFFF"/>
        </w:rPr>
        <w:t>合同主要条款</w:t>
      </w:r>
      <w:bookmarkEnd w:id="17"/>
    </w:p>
    <w:p w14:paraId="4591D6E1">
      <w:pPr>
        <w:pStyle w:val="78"/>
        <w:rPr>
          <w:rFonts w:hint="eastAsia"/>
          <w:highlight w:val="none"/>
        </w:rPr>
      </w:pPr>
    </w:p>
    <w:p w14:paraId="743D32DB">
      <w:pPr>
        <w:pStyle w:val="78"/>
        <w:rPr>
          <w:rFonts w:hint="eastAsia"/>
          <w:highlight w:val="none"/>
        </w:rPr>
      </w:pPr>
    </w:p>
    <w:p w14:paraId="780B0C69">
      <w:pPr>
        <w:pStyle w:val="78"/>
        <w:rPr>
          <w:rFonts w:hint="eastAsia"/>
          <w:highlight w:val="none"/>
        </w:rPr>
      </w:pPr>
    </w:p>
    <w:p w14:paraId="16ECD7A5">
      <w:pPr>
        <w:pStyle w:val="78"/>
        <w:rPr>
          <w:rFonts w:hint="eastAsia"/>
          <w:highlight w:val="none"/>
        </w:rPr>
      </w:pPr>
    </w:p>
    <w:p w14:paraId="6153B2BF">
      <w:pPr>
        <w:spacing w:line="640" w:lineRule="exact"/>
        <w:ind w:right="-29" w:rightChars="-14"/>
        <w:jc w:val="center"/>
        <w:rPr>
          <w:rFonts w:hint="eastAsia" w:ascii="宋体" w:hAnsi="宋体" w:cs="黑体"/>
          <w:b/>
          <w:color w:val="000000"/>
          <w:kern w:val="0"/>
          <w:sz w:val="44"/>
          <w:szCs w:val="44"/>
          <w:highlight w:val="none"/>
          <w:lang w:eastAsia="zh-CN"/>
        </w:rPr>
      </w:pPr>
      <w:r>
        <w:rPr>
          <w:rFonts w:hint="eastAsia" w:ascii="宋体" w:hAnsi="宋体" w:cs="黑体"/>
          <w:b/>
          <w:color w:val="000000"/>
          <w:kern w:val="0"/>
          <w:sz w:val="44"/>
          <w:szCs w:val="44"/>
          <w:highlight w:val="none"/>
          <w:lang w:eastAsia="zh-CN"/>
        </w:rPr>
        <w:t xml:space="preserve">汾渭平原交通污染试点监测能力建设项目 </w:t>
      </w:r>
    </w:p>
    <w:p w14:paraId="11370E35">
      <w:pPr>
        <w:spacing w:line="640" w:lineRule="exact"/>
        <w:ind w:right="-29" w:rightChars="-14"/>
        <w:jc w:val="center"/>
        <w:rPr>
          <w:rFonts w:hint="eastAsia" w:ascii="宋体" w:hAnsi="宋体" w:eastAsia="宋体" w:cs="黑体"/>
          <w:b/>
          <w:color w:val="000000"/>
          <w:kern w:val="0"/>
          <w:sz w:val="44"/>
          <w:szCs w:val="44"/>
          <w:highlight w:val="none"/>
          <w:lang w:eastAsia="zh-CN"/>
        </w:rPr>
      </w:pPr>
      <w:r>
        <w:rPr>
          <w:rFonts w:hint="eastAsia" w:ascii="宋体" w:hAnsi="宋体" w:cs="黑体"/>
          <w:b/>
          <w:color w:val="000000"/>
          <w:kern w:val="0"/>
          <w:sz w:val="44"/>
          <w:szCs w:val="44"/>
          <w:highlight w:val="none"/>
          <w:lang w:eastAsia="zh-CN"/>
        </w:rPr>
        <w:t>（二期）</w:t>
      </w:r>
    </w:p>
    <w:p w14:paraId="2B22CD5F">
      <w:pPr>
        <w:rPr>
          <w:highlight w:val="none"/>
        </w:rPr>
      </w:pPr>
    </w:p>
    <w:p w14:paraId="081E67E3">
      <w:pPr>
        <w:pStyle w:val="17"/>
        <w:rPr>
          <w:highlight w:val="none"/>
        </w:rPr>
      </w:pPr>
    </w:p>
    <w:p w14:paraId="21F997A2">
      <w:pPr>
        <w:spacing w:before="120" w:beforeLines="50"/>
        <w:rPr>
          <w:rFonts w:ascii="黑体" w:hAnsi="黑体" w:eastAsia="黑体" w:cs="黑体"/>
          <w:color w:val="000000"/>
          <w:kern w:val="0"/>
          <w:sz w:val="48"/>
          <w:szCs w:val="48"/>
          <w:highlight w:val="none"/>
        </w:rPr>
      </w:pPr>
    </w:p>
    <w:p w14:paraId="03E8A787">
      <w:pPr>
        <w:spacing w:before="120" w:beforeLines="50"/>
        <w:jc w:val="center"/>
        <w:rPr>
          <w:rFonts w:ascii="黑体" w:hAnsi="黑体" w:eastAsia="黑体" w:cs="黑体"/>
          <w:color w:val="000000"/>
          <w:kern w:val="0"/>
          <w:sz w:val="48"/>
          <w:szCs w:val="48"/>
          <w:highlight w:val="none"/>
        </w:rPr>
      </w:pPr>
    </w:p>
    <w:p w14:paraId="79F41F18">
      <w:pPr>
        <w:spacing w:before="120" w:beforeLines="50"/>
        <w:jc w:val="center"/>
        <w:rPr>
          <w:rFonts w:ascii="黑体" w:hAnsi="黑体" w:eastAsia="黑体" w:cs="黑体"/>
          <w:color w:val="000000"/>
          <w:kern w:val="0"/>
          <w:sz w:val="48"/>
          <w:szCs w:val="48"/>
          <w:highlight w:val="none"/>
        </w:rPr>
      </w:pPr>
    </w:p>
    <w:p w14:paraId="14B2CAB5">
      <w:pPr>
        <w:spacing w:before="120" w:beforeLines="50"/>
        <w:jc w:val="center"/>
        <w:rPr>
          <w:rFonts w:ascii="宋体" w:hAnsi="宋体"/>
          <w:color w:val="000000"/>
          <w:kern w:val="0"/>
          <w:sz w:val="48"/>
          <w:szCs w:val="48"/>
          <w:highlight w:val="none"/>
        </w:rPr>
      </w:pPr>
      <w:r>
        <w:rPr>
          <w:rFonts w:hint="eastAsia" w:ascii="宋体" w:hAnsi="宋体" w:cs="黑体"/>
          <w:color w:val="000000"/>
          <w:kern w:val="0"/>
          <w:sz w:val="48"/>
          <w:szCs w:val="48"/>
          <w:highlight w:val="none"/>
        </w:rPr>
        <w:t>采 购 合 同</w:t>
      </w:r>
    </w:p>
    <w:p w14:paraId="3CF46531">
      <w:pPr>
        <w:rPr>
          <w:rFonts w:ascii="宋体" w:hAnsi="宋体"/>
          <w:color w:val="000000"/>
          <w:kern w:val="0"/>
          <w:sz w:val="36"/>
          <w:szCs w:val="36"/>
          <w:highlight w:val="none"/>
        </w:rPr>
      </w:pPr>
    </w:p>
    <w:p w14:paraId="71930412">
      <w:pPr>
        <w:rPr>
          <w:rFonts w:ascii="宋体" w:hAnsi="宋体"/>
          <w:color w:val="000000"/>
          <w:kern w:val="0"/>
          <w:sz w:val="36"/>
          <w:szCs w:val="36"/>
          <w:highlight w:val="none"/>
        </w:rPr>
      </w:pPr>
    </w:p>
    <w:p w14:paraId="0160F593">
      <w:pPr>
        <w:rPr>
          <w:rFonts w:ascii="宋体" w:hAnsi="宋体"/>
          <w:color w:val="000000"/>
          <w:kern w:val="0"/>
          <w:sz w:val="36"/>
          <w:szCs w:val="36"/>
          <w:highlight w:val="none"/>
        </w:rPr>
      </w:pPr>
    </w:p>
    <w:p w14:paraId="552598DE">
      <w:pPr>
        <w:pStyle w:val="17"/>
        <w:ind w:left="63" w:right="63"/>
        <w:rPr>
          <w:rFonts w:ascii="宋体" w:hAnsi="宋体"/>
          <w:highlight w:val="none"/>
        </w:rPr>
      </w:pPr>
    </w:p>
    <w:p w14:paraId="755772E5">
      <w:pPr>
        <w:rPr>
          <w:rFonts w:ascii="宋体" w:hAnsi="宋体"/>
          <w:color w:val="000000"/>
          <w:kern w:val="0"/>
          <w:sz w:val="36"/>
          <w:szCs w:val="36"/>
          <w:highlight w:val="none"/>
        </w:rPr>
      </w:pPr>
    </w:p>
    <w:p w14:paraId="3BE96623">
      <w:pPr>
        <w:pStyle w:val="17"/>
        <w:ind w:left="63" w:right="63"/>
        <w:rPr>
          <w:rFonts w:ascii="宋体" w:hAnsi="宋体"/>
          <w:highlight w:val="none"/>
        </w:rPr>
      </w:pPr>
    </w:p>
    <w:p w14:paraId="6E80B56C">
      <w:pPr>
        <w:pStyle w:val="17"/>
        <w:ind w:left="63" w:right="63"/>
        <w:rPr>
          <w:rFonts w:ascii="宋体" w:hAnsi="宋体"/>
          <w:highlight w:val="none"/>
        </w:rPr>
      </w:pPr>
    </w:p>
    <w:p w14:paraId="0CB00528">
      <w:pPr>
        <w:pStyle w:val="17"/>
        <w:ind w:left="63" w:right="63"/>
        <w:rPr>
          <w:rFonts w:ascii="宋体" w:hAnsi="宋体"/>
          <w:highlight w:val="none"/>
        </w:rPr>
      </w:pPr>
    </w:p>
    <w:p w14:paraId="1DBC0829">
      <w:pPr>
        <w:pStyle w:val="17"/>
        <w:ind w:left="63" w:right="63"/>
        <w:rPr>
          <w:rFonts w:ascii="宋体" w:hAnsi="宋体"/>
          <w:highlight w:val="none"/>
        </w:rPr>
      </w:pPr>
    </w:p>
    <w:p w14:paraId="475FB680">
      <w:pPr>
        <w:rPr>
          <w:rFonts w:ascii="宋体" w:hAnsi="宋体"/>
          <w:highlight w:val="none"/>
        </w:rPr>
      </w:pPr>
    </w:p>
    <w:p w14:paraId="17DCA8BE">
      <w:pPr>
        <w:rPr>
          <w:rFonts w:ascii="宋体" w:hAnsi="宋体"/>
          <w:highlight w:val="none"/>
        </w:rPr>
      </w:pPr>
    </w:p>
    <w:p w14:paraId="2576859D">
      <w:pPr>
        <w:spacing w:line="360" w:lineRule="auto"/>
        <w:ind w:firstLine="1269" w:firstLineChars="395"/>
        <w:rPr>
          <w:rFonts w:hint="eastAsia" w:ascii="宋体" w:hAnsi="宋体"/>
          <w:b/>
          <w:color w:val="000000"/>
          <w:kern w:val="0"/>
          <w:sz w:val="32"/>
          <w:szCs w:val="32"/>
          <w:highlight w:val="none"/>
          <w:lang w:eastAsia="zh-CN"/>
        </w:rPr>
      </w:pPr>
      <w:r>
        <w:rPr>
          <w:rFonts w:hint="eastAsia" w:ascii="宋体" w:hAnsi="宋体"/>
          <w:b/>
          <w:color w:val="000000"/>
          <w:kern w:val="0"/>
          <w:sz w:val="32"/>
          <w:szCs w:val="32"/>
          <w:highlight w:val="none"/>
        </w:rPr>
        <w:t>甲    方：</w:t>
      </w:r>
      <w:r>
        <w:rPr>
          <w:rFonts w:hint="eastAsia" w:ascii="宋体" w:hAnsi="宋体"/>
          <w:b/>
          <w:color w:val="000000"/>
          <w:kern w:val="0"/>
          <w:sz w:val="32"/>
          <w:szCs w:val="32"/>
          <w:highlight w:val="none"/>
          <w:lang w:eastAsia="zh-CN"/>
        </w:rPr>
        <w:t>陕西省西咸新区生态环境局</w:t>
      </w:r>
    </w:p>
    <w:p w14:paraId="252DBF47">
      <w:pPr>
        <w:spacing w:line="360" w:lineRule="auto"/>
        <w:ind w:firstLine="1269" w:firstLineChars="395"/>
        <w:rPr>
          <w:rFonts w:ascii="宋体" w:hAnsi="宋体"/>
          <w:bCs/>
          <w:color w:val="000000"/>
          <w:kern w:val="0"/>
          <w:sz w:val="32"/>
          <w:szCs w:val="32"/>
          <w:highlight w:val="none"/>
        </w:rPr>
      </w:pPr>
      <w:r>
        <w:rPr>
          <w:rFonts w:hint="eastAsia" w:ascii="宋体" w:hAnsi="宋体"/>
          <w:b/>
          <w:color w:val="000000"/>
          <w:kern w:val="0"/>
          <w:sz w:val="32"/>
          <w:szCs w:val="32"/>
          <w:highlight w:val="none"/>
        </w:rPr>
        <w:t>乙    方：</w:t>
      </w:r>
      <w:r>
        <w:rPr>
          <w:rFonts w:hint="eastAsia" w:ascii="宋体" w:hAnsi="宋体"/>
          <w:b/>
          <w:color w:val="000000"/>
          <w:kern w:val="0"/>
          <w:sz w:val="32"/>
          <w:szCs w:val="32"/>
          <w:highlight w:val="none"/>
          <w:u w:val="single"/>
        </w:rPr>
        <w:t xml:space="preserve">                  </w:t>
      </w:r>
    </w:p>
    <w:p w14:paraId="6F93CA08">
      <w:pPr>
        <w:spacing w:line="360" w:lineRule="auto"/>
        <w:ind w:firstLine="2720" w:firstLineChars="850"/>
        <w:rPr>
          <w:rFonts w:ascii="宋体" w:hAnsi="宋体" w:cs="楷体_GB2312"/>
          <w:kern w:val="0"/>
          <w:sz w:val="32"/>
          <w:szCs w:val="32"/>
          <w:highlight w:val="none"/>
        </w:rPr>
      </w:pPr>
      <w:r>
        <w:rPr>
          <w:rFonts w:hint="eastAsia" w:ascii="宋体" w:hAnsi="宋体"/>
          <w:kern w:val="0"/>
          <w:sz w:val="32"/>
          <w:szCs w:val="32"/>
          <w:highlight w:val="none"/>
        </w:rPr>
        <w:t>二Ｏ二</w:t>
      </w:r>
      <w:r>
        <w:rPr>
          <w:rFonts w:hint="eastAsia" w:ascii="宋体" w:hAnsi="宋体"/>
          <w:kern w:val="0"/>
          <w:sz w:val="32"/>
          <w:szCs w:val="32"/>
          <w:highlight w:val="none"/>
          <w:lang w:val="en-US" w:eastAsia="zh-CN"/>
        </w:rPr>
        <w:t>五</w:t>
      </w:r>
      <w:r>
        <w:rPr>
          <w:rFonts w:hint="eastAsia" w:ascii="宋体" w:hAnsi="宋体" w:cs="楷体_GB2312"/>
          <w:kern w:val="0"/>
          <w:sz w:val="32"/>
          <w:szCs w:val="32"/>
          <w:highlight w:val="none"/>
        </w:rPr>
        <w:t>年   月</w:t>
      </w:r>
    </w:p>
    <w:p w14:paraId="792877A9">
      <w:pPr>
        <w:spacing w:line="440" w:lineRule="exact"/>
        <w:jc w:val="center"/>
        <w:rPr>
          <w:rFonts w:hint="eastAsia" w:ascii="宋体" w:hAnsi="宋体"/>
          <w:b/>
          <w:sz w:val="44"/>
          <w:highlight w:val="none"/>
        </w:rPr>
      </w:pPr>
    </w:p>
    <w:p w14:paraId="0E18E204">
      <w:pPr>
        <w:spacing w:line="360" w:lineRule="auto"/>
        <w:jc w:val="center"/>
        <w:rPr>
          <w:rFonts w:hint="eastAsia" w:ascii="宋体" w:hAnsi="宋体"/>
          <w:color w:val="000000"/>
          <w:highlight w:val="none"/>
        </w:rPr>
      </w:pPr>
      <w:r>
        <w:rPr>
          <w:rFonts w:hint="eastAsia" w:ascii="宋体" w:hAnsi="宋体" w:eastAsia="宋体" w:cs="宋体"/>
          <w:sz w:val="24"/>
          <w:szCs w:val="24"/>
          <w:highlight w:val="none"/>
        </w:rPr>
        <w:t>（此合同仅供参考，具体事情甲乙双方协商确定）</w:t>
      </w:r>
    </w:p>
    <w:p w14:paraId="2D00E80D">
      <w:pPr>
        <w:pStyle w:val="78"/>
        <w:rPr>
          <w:rFonts w:hint="eastAsia"/>
          <w:highlight w:val="none"/>
        </w:rPr>
      </w:pPr>
    </w:p>
    <w:p w14:paraId="00E7AC9C">
      <w:pPr>
        <w:pStyle w:val="22"/>
        <w:snapToGrid w:val="0"/>
        <w:spacing w:line="360" w:lineRule="auto"/>
        <w:jc w:val="center"/>
        <w:rPr>
          <w:rFonts w:hint="eastAsia" w:hAnsi="宋体"/>
          <w:sz w:val="24"/>
          <w:szCs w:val="24"/>
          <w:highlight w:val="none"/>
        </w:rPr>
      </w:pPr>
      <w:r>
        <w:rPr>
          <w:rFonts w:hint="eastAsia" w:ascii="黑体" w:eastAsia="黑体"/>
          <w:b/>
          <w:sz w:val="32"/>
          <w:szCs w:val="32"/>
          <w:highlight w:val="none"/>
        </w:rPr>
        <w:t>合 同 条 款</w:t>
      </w:r>
    </w:p>
    <w:p w14:paraId="2FF6666D">
      <w:pPr>
        <w:pStyle w:val="22"/>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发包人(全称，以下简称甲方)：</w:t>
      </w:r>
      <w:r>
        <w:rPr>
          <w:rFonts w:hint="eastAsia" w:ascii="宋体" w:hAnsi="宋体" w:eastAsia="宋体" w:cs="宋体"/>
          <w:sz w:val="24"/>
          <w:szCs w:val="24"/>
          <w:highlight w:val="none"/>
          <w:u w:val="single"/>
        </w:rPr>
        <w:t xml:space="preserve">                           </w:t>
      </w:r>
    </w:p>
    <w:p w14:paraId="18B6AEC4">
      <w:pPr>
        <w:pStyle w:val="22"/>
        <w:keepNext w:val="0"/>
        <w:keepLines w:val="0"/>
        <w:pageBreakBefore w:val="0"/>
        <w:widowControl w:val="0"/>
        <w:kinsoku/>
        <w:wordWrap/>
        <w:overflowPunct/>
        <w:topLinePunct w:val="0"/>
        <w:autoSpaceDE/>
        <w:autoSpaceDN/>
        <w:bidi w:val="0"/>
        <w:snapToGrid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承包人(全称，以下简称乙方)：</w:t>
      </w:r>
      <w:r>
        <w:rPr>
          <w:rFonts w:hint="eastAsia" w:ascii="宋体" w:hAnsi="宋体" w:eastAsia="宋体" w:cs="宋体"/>
          <w:sz w:val="24"/>
          <w:szCs w:val="24"/>
          <w:highlight w:val="none"/>
          <w:u w:val="single"/>
        </w:rPr>
        <w:t xml:space="preserve">                           </w:t>
      </w:r>
    </w:p>
    <w:p w14:paraId="73B494C6">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highlight w:val="none"/>
        </w:rPr>
      </w:pPr>
      <w:bookmarkStart w:id="18" w:name="_Toc53083686"/>
      <w:r>
        <w:rPr>
          <w:rFonts w:hint="eastAsia" w:ascii="宋体" w:hAnsi="宋体" w:eastAsia="宋体" w:cs="宋体"/>
          <w:sz w:val="24"/>
          <w:szCs w:val="24"/>
          <w:highlight w:val="none"/>
        </w:rPr>
        <w:t>依据《中华人民共和国</w:t>
      </w:r>
      <w:r>
        <w:rPr>
          <w:rFonts w:hint="eastAsia" w:ascii="宋体" w:hAnsi="宋体" w:eastAsia="宋体" w:cs="宋体"/>
          <w:sz w:val="24"/>
          <w:szCs w:val="24"/>
          <w:highlight w:val="none"/>
          <w:lang w:val="en-US" w:eastAsia="zh-CN"/>
        </w:rPr>
        <w:t>民法典</w:t>
      </w:r>
      <w:r>
        <w:rPr>
          <w:rFonts w:hint="eastAsia" w:ascii="宋体" w:hAnsi="宋体" w:eastAsia="宋体" w:cs="宋体"/>
          <w:sz w:val="24"/>
          <w:szCs w:val="24"/>
          <w:highlight w:val="none"/>
        </w:rPr>
        <w:t>》，经甲、乙双方共同协商，按下述条款和条件签署本合同。</w:t>
      </w:r>
    </w:p>
    <w:p w14:paraId="6AB7EFD5">
      <w:pPr>
        <w:keepNext w:val="0"/>
        <w:keepLines w:val="0"/>
        <w:pageBreakBefore w:val="0"/>
        <w:widowControl w:val="0"/>
        <w:kinsoku/>
        <w:wordWrap/>
        <w:overflowPunct/>
        <w:topLinePunct w:val="0"/>
        <w:autoSpaceDE/>
        <w:autoSpaceDN/>
        <w:bidi w:val="0"/>
        <w:spacing w:line="360" w:lineRule="auto"/>
        <w:ind w:firstLine="470" w:firstLineChars="200"/>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一、</w:t>
      </w:r>
      <w:r>
        <w:rPr>
          <w:rFonts w:hint="eastAsia" w:ascii="宋体" w:hAnsi="宋体" w:eastAsia="宋体" w:cs="宋体"/>
          <w:spacing w:val="-3"/>
          <w:sz w:val="24"/>
          <w:szCs w:val="24"/>
          <w:highlight w:val="none"/>
        </w:rPr>
        <w:t xml:space="preserve">  </w:t>
      </w:r>
      <w:r>
        <w:rPr>
          <w:rFonts w:hint="eastAsia" w:ascii="宋体" w:hAnsi="宋体" w:eastAsia="宋体" w:cs="宋体"/>
          <w:b/>
          <w:bCs/>
          <w:spacing w:val="-3"/>
          <w:sz w:val="24"/>
          <w:szCs w:val="24"/>
          <w:highlight w:val="none"/>
        </w:rPr>
        <w:t>合同标的及数量</w:t>
      </w:r>
    </w:p>
    <w:p w14:paraId="1E26EE8B">
      <w:pPr>
        <w:keepNext w:val="0"/>
        <w:keepLines w:val="0"/>
        <w:pageBreakBefore w:val="0"/>
        <w:widowControl w:val="0"/>
        <w:kinsoku/>
        <w:wordWrap/>
        <w:overflowPunct/>
        <w:topLinePunct w:val="0"/>
        <w:autoSpaceDE/>
        <w:autoSpaceDN/>
        <w:bidi w:val="0"/>
        <w:spacing w:line="360" w:lineRule="auto"/>
        <w:ind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乙方向甲方提供下列货物（设备）或服务：</w:t>
      </w:r>
    </w:p>
    <w:p w14:paraId="3F3E1DF0">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bl>
      <w:tblPr>
        <w:tblStyle w:val="217"/>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728"/>
        <w:gridCol w:w="1194"/>
        <w:gridCol w:w="1780"/>
        <w:gridCol w:w="710"/>
        <w:gridCol w:w="708"/>
        <w:gridCol w:w="1135"/>
        <w:gridCol w:w="1420"/>
      </w:tblGrid>
      <w:tr w14:paraId="43E7E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652" w:type="dxa"/>
            <w:vAlign w:val="top"/>
          </w:tcPr>
          <w:p w14:paraId="7B57602C">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p w14:paraId="11A20A74">
            <w:pPr>
              <w:pStyle w:val="219"/>
              <w:keepNext w:val="0"/>
              <w:keepLines w:val="0"/>
              <w:pageBreakBefore w:val="0"/>
              <w:widowControl w:val="0"/>
              <w:kinsoku/>
              <w:wordWrap/>
              <w:overflowPunct/>
              <w:topLinePunct w:val="0"/>
              <w:autoSpaceDE/>
              <w:autoSpaceDN/>
              <w:bidi w:val="0"/>
              <w:spacing w:line="360" w:lineRule="auto"/>
              <w:ind w:left="11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序号</w:t>
            </w:r>
          </w:p>
        </w:tc>
        <w:tc>
          <w:tcPr>
            <w:tcW w:w="1728" w:type="dxa"/>
            <w:vAlign w:val="top"/>
          </w:tcPr>
          <w:p w14:paraId="07C1DB44">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p w14:paraId="660F5DDB">
            <w:pPr>
              <w:pStyle w:val="219"/>
              <w:keepNext w:val="0"/>
              <w:keepLines w:val="0"/>
              <w:pageBreakBefore w:val="0"/>
              <w:widowControl w:val="0"/>
              <w:kinsoku/>
              <w:wordWrap/>
              <w:overflowPunct/>
              <w:topLinePunct w:val="0"/>
              <w:autoSpaceDE/>
              <w:autoSpaceDN/>
              <w:bidi w:val="0"/>
              <w:spacing w:line="360" w:lineRule="auto"/>
              <w:ind w:left="44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产品名称</w:t>
            </w:r>
          </w:p>
        </w:tc>
        <w:tc>
          <w:tcPr>
            <w:tcW w:w="1194" w:type="dxa"/>
            <w:vAlign w:val="top"/>
          </w:tcPr>
          <w:p w14:paraId="20B3F1D9">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p w14:paraId="16E80DCA">
            <w:pPr>
              <w:pStyle w:val="219"/>
              <w:keepNext w:val="0"/>
              <w:keepLines w:val="0"/>
              <w:pageBreakBefore w:val="0"/>
              <w:widowControl w:val="0"/>
              <w:kinsoku/>
              <w:wordWrap/>
              <w:overflowPunct/>
              <w:topLinePunct w:val="0"/>
              <w:autoSpaceDE/>
              <w:autoSpaceDN/>
              <w:bidi w:val="0"/>
              <w:spacing w:line="360" w:lineRule="auto"/>
              <w:ind w:left="144"/>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品牌/商号</w:t>
            </w:r>
          </w:p>
        </w:tc>
        <w:tc>
          <w:tcPr>
            <w:tcW w:w="1780" w:type="dxa"/>
            <w:vAlign w:val="top"/>
          </w:tcPr>
          <w:p w14:paraId="5E9C5A42">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p w14:paraId="53BCC9FB">
            <w:pPr>
              <w:pStyle w:val="219"/>
              <w:keepNext w:val="0"/>
              <w:keepLines w:val="0"/>
              <w:pageBreakBefore w:val="0"/>
              <w:widowControl w:val="0"/>
              <w:kinsoku/>
              <w:wordWrap/>
              <w:overflowPunct/>
              <w:topLinePunct w:val="0"/>
              <w:autoSpaceDE/>
              <w:autoSpaceDN/>
              <w:bidi w:val="0"/>
              <w:spacing w:line="360" w:lineRule="auto"/>
              <w:ind w:left="482"/>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型号规格</w:t>
            </w:r>
          </w:p>
        </w:tc>
        <w:tc>
          <w:tcPr>
            <w:tcW w:w="710" w:type="dxa"/>
            <w:vAlign w:val="top"/>
          </w:tcPr>
          <w:p w14:paraId="4C299C88">
            <w:pPr>
              <w:pStyle w:val="219"/>
              <w:keepNext w:val="0"/>
              <w:keepLines w:val="0"/>
              <w:pageBreakBefore w:val="0"/>
              <w:widowControl w:val="0"/>
              <w:kinsoku/>
              <w:wordWrap/>
              <w:overflowPunct/>
              <w:topLinePunct w:val="0"/>
              <w:autoSpaceDE/>
              <w:autoSpaceDN/>
              <w:bidi w:val="0"/>
              <w:spacing w:line="360" w:lineRule="auto"/>
              <w:ind w:left="154" w:right="137" w:hanging="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计量</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单位</w:t>
            </w:r>
          </w:p>
        </w:tc>
        <w:tc>
          <w:tcPr>
            <w:tcW w:w="708" w:type="dxa"/>
            <w:vAlign w:val="top"/>
          </w:tcPr>
          <w:p w14:paraId="302C8F3E">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p w14:paraId="0E5262DD">
            <w:pPr>
              <w:pStyle w:val="219"/>
              <w:keepNext w:val="0"/>
              <w:keepLines w:val="0"/>
              <w:pageBreakBefore w:val="0"/>
              <w:widowControl w:val="0"/>
              <w:kinsoku/>
              <w:wordWrap/>
              <w:overflowPunct/>
              <w:topLinePunct w:val="0"/>
              <w:autoSpaceDE/>
              <w:autoSpaceDN/>
              <w:bidi w:val="0"/>
              <w:spacing w:line="360" w:lineRule="auto"/>
              <w:ind w:left="15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数量</w:t>
            </w:r>
          </w:p>
        </w:tc>
        <w:tc>
          <w:tcPr>
            <w:tcW w:w="1135" w:type="dxa"/>
            <w:vAlign w:val="top"/>
          </w:tcPr>
          <w:p w14:paraId="37CE9B0F">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p w14:paraId="34E1290D">
            <w:pPr>
              <w:pStyle w:val="219"/>
              <w:keepNext w:val="0"/>
              <w:keepLines w:val="0"/>
              <w:pageBreakBefore w:val="0"/>
              <w:widowControl w:val="0"/>
              <w:kinsoku/>
              <w:wordWrap/>
              <w:overflowPunct/>
              <w:topLinePunct w:val="0"/>
              <w:autoSpaceDE/>
              <w:autoSpaceDN/>
              <w:bidi w:val="0"/>
              <w:spacing w:line="360" w:lineRule="auto"/>
              <w:ind w:right="5"/>
              <w:jc w:val="right"/>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单价（元）</w:t>
            </w:r>
          </w:p>
        </w:tc>
        <w:tc>
          <w:tcPr>
            <w:tcW w:w="1420" w:type="dxa"/>
            <w:vAlign w:val="top"/>
          </w:tcPr>
          <w:p w14:paraId="1F5E4629">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p w14:paraId="31B001B7">
            <w:pPr>
              <w:pStyle w:val="219"/>
              <w:keepNext w:val="0"/>
              <w:keepLines w:val="0"/>
              <w:pageBreakBefore w:val="0"/>
              <w:widowControl w:val="0"/>
              <w:kinsoku/>
              <w:wordWrap/>
              <w:overflowPunct/>
              <w:topLinePunct w:val="0"/>
              <w:autoSpaceDE/>
              <w:autoSpaceDN/>
              <w:bidi w:val="0"/>
              <w:spacing w:line="360" w:lineRule="auto"/>
              <w:ind w:left="245"/>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金额</w:t>
            </w:r>
            <w:r>
              <w:rPr>
                <w:rFonts w:hint="eastAsia" w:ascii="宋体" w:hAnsi="宋体" w:eastAsia="宋体" w:cs="宋体"/>
                <w:spacing w:val="47"/>
                <w:sz w:val="24"/>
                <w:szCs w:val="24"/>
                <w:highlight w:val="none"/>
              </w:rPr>
              <w:t xml:space="preserve"> </w:t>
            </w:r>
            <w:r>
              <w:rPr>
                <w:rFonts w:hint="eastAsia" w:ascii="宋体" w:hAnsi="宋体" w:eastAsia="宋体" w:cs="宋体"/>
                <w:spacing w:val="-11"/>
                <w:sz w:val="24"/>
                <w:szCs w:val="24"/>
                <w:highlight w:val="none"/>
              </w:rPr>
              <w:t>(元)</w:t>
            </w:r>
          </w:p>
        </w:tc>
      </w:tr>
      <w:tr w14:paraId="164AB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2" w:type="dxa"/>
            <w:vAlign w:val="top"/>
          </w:tcPr>
          <w:p w14:paraId="1D70C1BC">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728" w:type="dxa"/>
            <w:vAlign w:val="top"/>
          </w:tcPr>
          <w:p w14:paraId="7499C832">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194" w:type="dxa"/>
            <w:vAlign w:val="top"/>
          </w:tcPr>
          <w:p w14:paraId="4503CEEF">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780" w:type="dxa"/>
            <w:vAlign w:val="top"/>
          </w:tcPr>
          <w:p w14:paraId="1C5F082A">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710" w:type="dxa"/>
            <w:vAlign w:val="top"/>
          </w:tcPr>
          <w:p w14:paraId="709405A5">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708" w:type="dxa"/>
            <w:vAlign w:val="top"/>
          </w:tcPr>
          <w:p w14:paraId="53795A22">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135" w:type="dxa"/>
            <w:vAlign w:val="top"/>
          </w:tcPr>
          <w:p w14:paraId="2D1DFA01">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420" w:type="dxa"/>
            <w:vAlign w:val="top"/>
          </w:tcPr>
          <w:p w14:paraId="63221794">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r>
      <w:tr w14:paraId="03A2A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52" w:type="dxa"/>
            <w:vAlign w:val="top"/>
          </w:tcPr>
          <w:p w14:paraId="377C607F">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728" w:type="dxa"/>
            <w:vAlign w:val="top"/>
          </w:tcPr>
          <w:p w14:paraId="591C2A9A">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194" w:type="dxa"/>
            <w:vAlign w:val="top"/>
          </w:tcPr>
          <w:p w14:paraId="408FB868">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780" w:type="dxa"/>
            <w:vAlign w:val="top"/>
          </w:tcPr>
          <w:p w14:paraId="3A582039">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710" w:type="dxa"/>
            <w:vAlign w:val="top"/>
          </w:tcPr>
          <w:p w14:paraId="7D379BC0">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708" w:type="dxa"/>
            <w:vAlign w:val="top"/>
          </w:tcPr>
          <w:p w14:paraId="08E2C9AC">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135" w:type="dxa"/>
            <w:vAlign w:val="top"/>
          </w:tcPr>
          <w:p w14:paraId="6927FE65">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420" w:type="dxa"/>
            <w:vAlign w:val="top"/>
          </w:tcPr>
          <w:p w14:paraId="54DC8B11">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r>
      <w:tr w14:paraId="7CDD4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2" w:type="dxa"/>
            <w:vAlign w:val="top"/>
          </w:tcPr>
          <w:p w14:paraId="009F9CFA">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728" w:type="dxa"/>
            <w:vAlign w:val="top"/>
          </w:tcPr>
          <w:p w14:paraId="641D1909">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194" w:type="dxa"/>
            <w:vAlign w:val="top"/>
          </w:tcPr>
          <w:p w14:paraId="6853C977">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780" w:type="dxa"/>
            <w:vAlign w:val="top"/>
          </w:tcPr>
          <w:p w14:paraId="047CD428">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710" w:type="dxa"/>
            <w:vAlign w:val="top"/>
          </w:tcPr>
          <w:p w14:paraId="09148E8C">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708" w:type="dxa"/>
            <w:vAlign w:val="top"/>
          </w:tcPr>
          <w:p w14:paraId="6BB7E97C">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135" w:type="dxa"/>
            <w:vAlign w:val="top"/>
          </w:tcPr>
          <w:p w14:paraId="0204F554">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420" w:type="dxa"/>
            <w:vAlign w:val="top"/>
          </w:tcPr>
          <w:p w14:paraId="3699CB2A">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r>
      <w:tr w14:paraId="5ABA4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52" w:type="dxa"/>
            <w:vAlign w:val="top"/>
          </w:tcPr>
          <w:p w14:paraId="2F8F7DBB">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728" w:type="dxa"/>
            <w:vAlign w:val="top"/>
          </w:tcPr>
          <w:p w14:paraId="1F6D6C2E">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194" w:type="dxa"/>
            <w:vAlign w:val="top"/>
          </w:tcPr>
          <w:p w14:paraId="08F4D98E">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780" w:type="dxa"/>
            <w:vAlign w:val="top"/>
          </w:tcPr>
          <w:p w14:paraId="046164D4">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710" w:type="dxa"/>
            <w:vAlign w:val="top"/>
          </w:tcPr>
          <w:p w14:paraId="4F58C849">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708" w:type="dxa"/>
            <w:vAlign w:val="top"/>
          </w:tcPr>
          <w:p w14:paraId="26A5AF76">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135" w:type="dxa"/>
            <w:vAlign w:val="top"/>
          </w:tcPr>
          <w:p w14:paraId="029A7D13">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1420" w:type="dxa"/>
            <w:vAlign w:val="top"/>
          </w:tcPr>
          <w:p w14:paraId="68841F22">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r>
      <w:tr w14:paraId="32CC3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52" w:type="dxa"/>
            <w:vAlign w:val="top"/>
          </w:tcPr>
          <w:p w14:paraId="738CD3F5">
            <w:pPr>
              <w:keepNext w:val="0"/>
              <w:keepLines w:val="0"/>
              <w:pageBreakBefore w:val="0"/>
              <w:widowControl w:val="0"/>
              <w:kinsoku/>
              <w:wordWrap/>
              <w:overflowPunct/>
              <w:topLinePunct w:val="0"/>
              <w:autoSpaceDE/>
              <w:autoSpaceDN/>
              <w:bidi w:val="0"/>
              <w:spacing w:line="360" w:lineRule="auto"/>
              <w:rPr>
                <w:rFonts w:hint="eastAsia" w:ascii="宋体" w:hAnsi="宋体" w:eastAsia="宋体" w:cs="宋体"/>
                <w:sz w:val="24"/>
                <w:szCs w:val="24"/>
                <w:highlight w:val="none"/>
              </w:rPr>
            </w:pPr>
          </w:p>
        </w:tc>
        <w:tc>
          <w:tcPr>
            <w:tcW w:w="6120" w:type="dxa"/>
            <w:gridSpan w:val="5"/>
            <w:vAlign w:val="top"/>
          </w:tcPr>
          <w:p w14:paraId="77E2E293">
            <w:pPr>
              <w:pStyle w:val="219"/>
              <w:keepNext w:val="0"/>
              <w:keepLines w:val="0"/>
              <w:pageBreakBefore w:val="0"/>
              <w:widowControl w:val="0"/>
              <w:kinsoku/>
              <w:wordWrap/>
              <w:overflowPunct/>
              <w:topLinePunct w:val="0"/>
              <w:autoSpaceDE/>
              <w:autoSpaceDN/>
              <w:bidi w:val="0"/>
              <w:spacing w:line="360" w:lineRule="auto"/>
              <w:ind w:left="114"/>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大写：</w:t>
            </w:r>
          </w:p>
        </w:tc>
        <w:tc>
          <w:tcPr>
            <w:tcW w:w="2555" w:type="dxa"/>
            <w:gridSpan w:val="2"/>
            <w:vAlign w:val="top"/>
          </w:tcPr>
          <w:p w14:paraId="07F9E762">
            <w:pPr>
              <w:pStyle w:val="219"/>
              <w:keepNext w:val="0"/>
              <w:keepLines w:val="0"/>
              <w:pageBreakBefore w:val="0"/>
              <w:widowControl w:val="0"/>
              <w:kinsoku/>
              <w:wordWrap/>
              <w:overflowPunct/>
              <w:topLinePunct w:val="0"/>
              <w:autoSpaceDE/>
              <w:autoSpaceDN/>
              <w:bidi w:val="0"/>
              <w:spacing w:line="360" w:lineRule="auto"/>
              <w:ind w:left="12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小写：¥</w:t>
            </w:r>
          </w:p>
        </w:tc>
      </w:tr>
    </w:tbl>
    <w:p w14:paraId="1FA5F579">
      <w:pPr>
        <w:pStyle w:val="17"/>
        <w:keepNext w:val="0"/>
        <w:keepLines w:val="0"/>
        <w:pageBreakBefore w:val="0"/>
        <w:widowControl w:val="0"/>
        <w:kinsoku/>
        <w:wordWrap/>
        <w:overflowPunct/>
        <w:topLinePunct w:val="0"/>
        <w:autoSpaceDE/>
        <w:autoSpaceDN/>
        <w:bidi w:val="0"/>
        <w:spacing w:after="0" w:line="360" w:lineRule="auto"/>
        <w:rPr>
          <w:rFonts w:hint="eastAsia" w:ascii="宋体" w:hAnsi="宋体" w:eastAsia="宋体" w:cs="宋体"/>
          <w:sz w:val="24"/>
          <w:szCs w:val="24"/>
          <w:highlight w:val="none"/>
        </w:rPr>
      </w:pPr>
    </w:p>
    <w:p w14:paraId="71EB9FDA">
      <w:pPr>
        <w:keepNext w:val="0"/>
        <w:keepLines w:val="0"/>
        <w:pageBreakBefore w:val="0"/>
        <w:widowControl w:val="0"/>
        <w:kinsoku/>
        <w:wordWrap/>
        <w:overflowPunct/>
        <w:topLinePunct w:val="0"/>
        <w:autoSpaceDE/>
        <w:autoSpaceDN/>
        <w:bidi w:val="0"/>
        <w:spacing w:line="360" w:lineRule="auto"/>
        <w:ind w:left="577"/>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二、服务时间：</w:t>
      </w:r>
    </w:p>
    <w:p w14:paraId="38D0607A">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1.交货期：</w:t>
      </w:r>
      <w:r>
        <w:rPr>
          <w:rFonts w:hint="eastAsia" w:ascii="宋体" w:hAnsi="宋体" w:eastAsia="宋体" w:cs="宋体"/>
          <w:i w:val="0"/>
          <w:iCs w:val="0"/>
          <w:caps w:val="0"/>
          <w:color w:val="auto"/>
          <w:spacing w:val="0"/>
          <w:sz w:val="24"/>
          <w:szCs w:val="24"/>
          <w:highlight w:val="none"/>
          <w:shd w:val="clear" w:color="auto" w:fill="FFFFFF"/>
        </w:rPr>
        <w:t>自</w:t>
      </w:r>
      <w:r>
        <w:rPr>
          <w:rFonts w:hint="eastAsia" w:ascii="宋体" w:hAnsi="宋体" w:eastAsia="宋体" w:cs="宋体"/>
          <w:i w:val="0"/>
          <w:iCs w:val="0"/>
          <w:caps w:val="0"/>
          <w:color w:val="auto"/>
          <w:spacing w:val="0"/>
          <w:sz w:val="24"/>
          <w:szCs w:val="24"/>
          <w:highlight w:val="none"/>
          <w:shd w:val="clear" w:color="auto" w:fill="FFFFFF"/>
          <w:lang w:val="en-US" w:eastAsia="zh-CN"/>
        </w:rPr>
        <w:t>合同签订</w:t>
      </w:r>
      <w:r>
        <w:rPr>
          <w:rFonts w:hint="eastAsia" w:ascii="宋体" w:hAnsi="宋体" w:eastAsia="宋体" w:cs="宋体"/>
          <w:i w:val="0"/>
          <w:iCs w:val="0"/>
          <w:caps w:val="0"/>
          <w:color w:val="auto"/>
          <w:spacing w:val="0"/>
          <w:sz w:val="24"/>
          <w:szCs w:val="24"/>
          <w:highlight w:val="none"/>
          <w:shd w:val="clear" w:color="auto" w:fill="FFFFFF"/>
        </w:rPr>
        <w:t>之日起</w:t>
      </w:r>
      <w:r>
        <w:rPr>
          <w:rFonts w:hint="eastAsia" w:cs="宋体"/>
          <w:i w:val="0"/>
          <w:iCs w:val="0"/>
          <w:caps w:val="0"/>
          <w:color w:val="auto"/>
          <w:spacing w:val="0"/>
          <w:sz w:val="24"/>
          <w:szCs w:val="24"/>
          <w:highlight w:val="none"/>
          <w:shd w:val="clear" w:color="auto" w:fill="FFFFFF"/>
          <w:lang w:val="en-US" w:eastAsia="zh-CN"/>
        </w:rPr>
        <w:t>60</w:t>
      </w:r>
      <w:r>
        <w:rPr>
          <w:rFonts w:hint="eastAsia" w:ascii="宋体" w:hAnsi="宋体" w:eastAsia="宋体" w:cs="宋体"/>
          <w:i w:val="0"/>
          <w:iCs w:val="0"/>
          <w:caps w:val="0"/>
          <w:color w:val="auto"/>
          <w:spacing w:val="0"/>
          <w:sz w:val="24"/>
          <w:szCs w:val="24"/>
          <w:highlight w:val="none"/>
          <w:shd w:val="clear" w:color="auto" w:fill="FFFFFF"/>
        </w:rPr>
        <w:t>个日历日内</w:t>
      </w:r>
      <w:r>
        <w:rPr>
          <w:rFonts w:hint="eastAsia" w:ascii="宋体" w:hAnsi="宋体" w:eastAsia="宋体" w:cs="宋体"/>
          <w:spacing w:val="-1"/>
          <w:sz w:val="24"/>
          <w:szCs w:val="24"/>
          <w:highlight w:val="none"/>
          <w:lang w:val="en-US" w:eastAsia="zh-CN"/>
        </w:rPr>
        <w:t>完成安装调试</w:t>
      </w:r>
      <w:r>
        <w:rPr>
          <w:rFonts w:hint="eastAsia" w:ascii="宋体" w:hAnsi="宋体" w:cs="宋体"/>
          <w:spacing w:val="-1"/>
          <w:sz w:val="24"/>
          <w:szCs w:val="24"/>
          <w:highlight w:val="none"/>
          <w:lang w:val="en-US" w:eastAsia="zh-CN"/>
        </w:rPr>
        <w:t>联网并向省市报送数据</w:t>
      </w:r>
      <w:r>
        <w:rPr>
          <w:rFonts w:hint="eastAsia" w:ascii="宋体" w:hAnsi="宋体" w:eastAsia="宋体" w:cs="宋体"/>
          <w:sz w:val="24"/>
          <w:szCs w:val="24"/>
          <w:highlight w:val="none"/>
        </w:rPr>
        <w:t xml:space="preserve">。 </w:t>
      </w:r>
    </w:p>
    <w:p w14:paraId="6CD44D4E">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2.运维期：验收合格次日起一年运行维护。</w:t>
      </w:r>
    </w:p>
    <w:p w14:paraId="328DAA37">
      <w:pPr>
        <w:keepNext w:val="0"/>
        <w:keepLines w:val="0"/>
        <w:pageBreakBefore w:val="0"/>
        <w:widowControl w:val="0"/>
        <w:kinsoku/>
        <w:wordWrap/>
        <w:overflowPunct/>
        <w:topLinePunct w:val="0"/>
        <w:autoSpaceDE/>
        <w:autoSpaceDN/>
        <w:bidi w:val="0"/>
        <w:spacing w:line="360" w:lineRule="auto"/>
        <w:ind w:left="573"/>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三、合同价款：</w:t>
      </w:r>
    </w:p>
    <w:p w14:paraId="13CD7669">
      <w:pPr>
        <w:keepNext w:val="0"/>
        <w:keepLines w:val="0"/>
        <w:pageBreakBefore w:val="0"/>
        <w:widowControl w:val="0"/>
        <w:kinsoku/>
        <w:wordWrap/>
        <w:overflowPunct/>
        <w:topLinePunct w:val="0"/>
        <w:autoSpaceDE/>
        <w:autoSpaceDN/>
        <w:bidi w:val="0"/>
        <w:spacing w:line="360" w:lineRule="auto"/>
        <w:ind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1.合同总价：大写：</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09"/>
          <w:sz w:val="24"/>
          <w:szCs w:val="24"/>
          <w:highlight w:val="none"/>
        </w:rPr>
        <w:t xml:space="preserve"> </w:t>
      </w:r>
      <w:r>
        <w:rPr>
          <w:rFonts w:hint="eastAsia" w:ascii="宋体" w:hAnsi="宋体" w:eastAsia="宋体" w:cs="宋体"/>
          <w:spacing w:val="-1"/>
          <w:sz w:val="24"/>
          <w:szCs w:val="24"/>
          <w:highlight w:val="none"/>
        </w:rPr>
        <w:t>元（小写：</w:t>
      </w:r>
      <w:r>
        <w:rPr>
          <w:rFonts w:hint="eastAsia" w:ascii="宋体" w:hAnsi="宋体" w:eastAsia="宋体" w:cs="宋体"/>
          <w:spacing w:val="-2"/>
          <w:sz w:val="24"/>
          <w:szCs w:val="24"/>
          <w:highlight w:val="none"/>
        </w:rPr>
        <w:t>¥</w:t>
      </w:r>
      <w:r>
        <w:rPr>
          <w:rFonts w:hint="eastAsia" w:ascii="宋体" w:hAnsi="宋体" w:eastAsia="宋体" w:cs="宋体"/>
          <w:spacing w:val="-2"/>
          <w:sz w:val="24"/>
          <w:szCs w:val="24"/>
          <w:highlight w:val="none"/>
          <w:u w:val="single" w:color="auto"/>
        </w:rPr>
        <w:t xml:space="preserve">            </w:t>
      </w:r>
      <w:r>
        <w:rPr>
          <w:rFonts w:hint="eastAsia" w:ascii="宋体" w:hAnsi="宋体" w:eastAsia="宋体" w:cs="宋体"/>
          <w:spacing w:val="-85"/>
          <w:sz w:val="24"/>
          <w:szCs w:val="24"/>
          <w:highlight w:val="none"/>
        </w:rPr>
        <w:t xml:space="preserve"> </w:t>
      </w:r>
      <w:r>
        <w:rPr>
          <w:rFonts w:hint="eastAsia" w:ascii="宋体" w:hAnsi="宋体" w:eastAsia="宋体" w:cs="宋体"/>
          <w:spacing w:val="-2"/>
          <w:sz w:val="24"/>
          <w:szCs w:val="24"/>
          <w:highlight w:val="none"/>
        </w:rPr>
        <w:t>)。</w:t>
      </w:r>
    </w:p>
    <w:p w14:paraId="4F6A6DBE">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2.本合同总价是货物（产品）设计、材料、制造、包装、运</w:t>
      </w:r>
      <w:r>
        <w:rPr>
          <w:rFonts w:hint="eastAsia" w:ascii="宋体" w:hAnsi="宋体" w:eastAsia="宋体" w:cs="宋体"/>
          <w:spacing w:val="-2"/>
          <w:sz w:val="24"/>
          <w:szCs w:val="24"/>
          <w:highlight w:val="none"/>
        </w:rPr>
        <w:t>输、安装、调试、检测、</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验收合格交付使用之前及保修期内保修服务与备用物件等其他有关各项的</w:t>
      </w:r>
      <w:r>
        <w:rPr>
          <w:rFonts w:hint="eastAsia" w:ascii="宋体" w:hAnsi="宋体" w:eastAsia="宋体" w:cs="宋体"/>
          <w:spacing w:val="-2"/>
          <w:sz w:val="24"/>
          <w:szCs w:val="24"/>
          <w:highlight w:val="none"/>
        </w:rPr>
        <w:t>含税费用。</w:t>
      </w:r>
    </w:p>
    <w:p w14:paraId="42A016B7">
      <w:pPr>
        <w:keepNext w:val="0"/>
        <w:keepLines w:val="0"/>
        <w:pageBreakBefore w:val="0"/>
        <w:widowControl w:val="0"/>
        <w:kinsoku/>
        <w:wordWrap/>
        <w:overflowPunct/>
        <w:topLinePunct w:val="0"/>
        <w:autoSpaceDE/>
        <w:autoSpaceDN/>
        <w:bidi w:val="0"/>
        <w:spacing w:line="360" w:lineRule="auto"/>
        <w:ind w:right="44"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3.本合同总价还包含乙方应当提供的伴随服务、售后服务费用等完成采购所有内容的</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全部费用。</w:t>
      </w:r>
    </w:p>
    <w:p w14:paraId="528C2CA4">
      <w:pPr>
        <w:keepNext w:val="0"/>
        <w:keepLines w:val="0"/>
        <w:pageBreakBefore w:val="0"/>
        <w:widowControl w:val="0"/>
        <w:kinsoku/>
        <w:wordWrap/>
        <w:overflowPunct/>
        <w:topLinePunct w:val="0"/>
        <w:autoSpaceDE/>
        <w:autoSpaceDN/>
        <w:bidi w:val="0"/>
        <w:spacing w:line="360" w:lineRule="auto"/>
        <w:ind w:right="44" w:firstLine="472" w:firstLineChars="20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4.本合同执行期间合同总价不变，甲方无须另向乙方支付本合同规定之外的其他任何</w:t>
      </w:r>
      <w:r>
        <w:rPr>
          <w:rFonts w:hint="eastAsia" w:ascii="宋体" w:hAnsi="宋体" w:eastAsia="宋体" w:cs="宋体"/>
          <w:spacing w:val="6"/>
          <w:sz w:val="24"/>
          <w:szCs w:val="24"/>
          <w:highlight w:val="none"/>
        </w:rPr>
        <w:t xml:space="preserve"> </w:t>
      </w:r>
      <w:r>
        <w:rPr>
          <w:rFonts w:hint="eastAsia" w:ascii="宋体" w:hAnsi="宋体" w:eastAsia="宋体" w:cs="宋体"/>
          <w:spacing w:val="-13"/>
          <w:sz w:val="24"/>
          <w:szCs w:val="24"/>
          <w:highlight w:val="none"/>
        </w:rPr>
        <w:t>费用。</w:t>
      </w:r>
    </w:p>
    <w:p w14:paraId="723E79D1">
      <w:pPr>
        <w:keepNext w:val="0"/>
        <w:keepLines w:val="0"/>
        <w:pageBreakBefore w:val="0"/>
        <w:widowControl w:val="0"/>
        <w:kinsoku/>
        <w:wordWrap/>
        <w:overflowPunct/>
        <w:topLinePunct w:val="0"/>
        <w:autoSpaceDE/>
        <w:autoSpaceDN/>
        <w:bidi w:val="0"/>
        <w:spacing w:line="360" w:lineRule="auto"/>
        <w:ind w:firstLine="454" w:firstLineChars="200"/>
        <w:rPr>
          <w:rFonts w:hint="eastAsia" w:ascii="宋体" w:hAnsi="宋体" w:eastAsia="宋体" w:cs="宋体"/>
          <w:sz w:val="24"/>
          <w:szCs w:val="24"/>
          <w:highlight w:val="none"/>
        </w:rPr>
      </w:pPr>
      <w:r>
        <w:rPr>
          <w:rFonts w:hint="eastAsia" w:ascii="宋体" w:hAnsi="宋体" w:eastAsia="宋体" w:cs="宋体"/>
          <w:b/>
          <w:bCs/>
          <w:spacing w:val="-7"/>
          <w:sz w:val="24"/>
          <w:szCs w:val="24"/>
          <w:highlight w:val="none"/>
        </w:rPr>
        <w:t>四、付款方式：</w:t>
      </w:r>
    </w:p>
    <w:p w14:paraId="16B9F764">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lang w:val="en-US" w:eastAsia="zh-CN"/>
        </w:rPr>
      </w:pPr>
      <w:r>
        <w:rPr>
          <w:rFonts w:hint="eastAsia" w:ascii="宋体" w:hAnsi="宋体" w:eastAsia="宋体" w:cs="宋体"/>
          <w:spacing w:val="-1"/>
          <w:sz w:val="24"/>
          <w:szCs w:val="24"/>
          <w:highlight w:val="none"/>
          <w:lang w:val="en-US" w:eastAsia="zh-CN"/>
        </w:rPr>
        <w:t>1、</w:t>
      </w:r>
      <w:r>
        <w:rPr>
          <w:rFonts w:hint="eastAsia" w:ascii="宋体" w:hAnsi="宋体" w:cs="宋体"/>
          <w:spacing w:val="-1"/>
          <w:sz w:val="24"/>
          <w:szCs w:val="24"/>
          <w:highlight w:val="none"/>
          <w:lang w:eastAsia="zh-CN"/>
        </w:rPr>
        <w:t>合同签订生效后 30 个工作日内，支付合同总价的 30%</w:t>
      </w:r>
      <w:r>
        <w:rPr>
          <w:rFonts w:hint="eastAsia" w:ascii="宋体" w:hAnsi="宋体" w:eastAsia="宋体" w:cs="宋体"/>
          <w:spacing w:val="-1"/>
          <w:sz w:val="24"/>
          <w:szCs w:val="24"/>
          <w:highlight w:val="none"/>
          <w:lang w:val="en-US" w:eastAsia="zh-CN"/>
        </w:rPr>
        <w:t>；</w:t>
      </w:r>
    </w:p>
    <w:p w14:paraId="1DC75100">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lang w:val="en-US" w:eastAsia="zh-CN"/>
        </w:rPr>
      </w:pPr>
      <w:r>
        <w:rPr>
          <w:rFonts w:hint="eastAsia" w:ascii="宋体" w:hAnsi="宋体" w:cs="宋体"/>
          <w:spacing w:val="-1"/>
          <w:sz w:val="24"/>
          <w:szCs w:val="24"/>
          <w:highlight w:val="none"/>
          <w:lang w:val="en-US" w:eastAsia="zh-CN"/>
        </w:rPr>
        <w:t>2</w:t>
      </w:r>
      <w:r>
        <w:rPr>
          <w:rFonts w:hint="eastAsia" w:ascii="宋体" w:hAnsi="宋体" w:eastAsia="宋体" w:cs="宋体"/>
          <w:spacing w:val="-1"/>
          <w:sz w:val="24"/>
          <w:szCs w:val="24"/>
          <w:highlight w:val="none"/>
          <w:lang w:val="en-US" w:eastAsia="zh-CN"/>
        </w:rPr>
        <w:t>、</w:t>
      </w:r>
      <w:r>
        <w:rPr>
          <w:rFonts w:hint="eastAsia" w:ascii="宋体" w:hAnsi="宋体" w:cs="宋体"/>
          <w:spacing w:val="-1"/>
          <w:sz w:val="24"/>
          <w:szCs w:val="24"/>
          <w:highlight w:val="none"/>
          <w:lang w:val="en-US" w:eastAsia="zh-CN"/>
        </w:rPr>
        <w:t>合同签订60日内，完成安装调试联网并向省市报送数据，验收通过，支付合同总价的65%;</w:t>
      </w:r>
      <w:bookmarkStart w:id="66" w:name="_GoBack"/>
      <w:bookmarkEnd w:id="66"/>
    </w:p>
    <w:p w14:paraId="70EE4957">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lang w:eastAsia="zh-CN"/>
        </w:rPr>
      </w:pPr>
      <w:r>
        <w:rPr>
          <w:rFonts w:hint="eastAsia" w:ascii="宋体" w:hAnsi="宋体" w:cs="宋体"/>
          <w:spacing w:val="-1"/>
          <w:sz w:val="24"/>
          <w:szCs w:val="24"/>
          <w:highlight w:val="none"/>
          <w:lang w:val="en-US" w:eastAsia="zh-CN"/>
        </w:rPr>
        <w:t>3</w:t>
      </w:r>
      <w:r>
        <w:rPr>
          <w:rFonts w:hint="eastAsia" w:ascii="宋体" w:hAnsi="宋体" w:eastAsia="宋体" w:cs="宋体"/>
          <w:spacing w:val="-1"/>
          <w:sz w:val="24"/>
          <w:szCs w:val="24"/>
          <w:highlight w:val="none"/>
        </w:rPr>
        <w:t>、</w:t>
      </w:r>
      <w:r>
        <w:rPr>
          <w:rFonts w:hint="eastAsia" w:ascii="宋体" w:hAnsi="宋体" w:cs="宋体"/>
          <w:spacing w:val="-1"/>
          <w:sz w:val="24"/>
          <w:szCs w:val="24"/>
          <w:highlight w:val="none"/>
          <w:lang w:eastAsia="zh-CN"/>
        </w:rPr>
        <w:t>试运行1个月，验收合格且乙方出具一年运维承诺与质量保证函后，支付合同总价的5%</w:t>
      </w:r>
      <w:r>
        <w:rPr>
          <w:rFonts w:hint="eastAsia" w:ascii="宋体" w:hAnsi="宋体" w:cs="宋体"/>
          <w:spacing w:val="-1"/>
          <w:sz w:val="24"/>
          <w:szCs w:val="24"/>
          <w:highlight w:val="none"/>
          <w:lang w:val="en-US" w:eastAsia="zh-CN"/>
        </w:rPr>
        <w:t>。</w:t>
      </w:r>
    </w:p>
    <w:p w14:paraId="2F92DB5B">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乙方账户信息：</w:t>
      </w:r>
    </w:p>
    <w:p w14:paraId="339A9C96">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账户：</w:t>
      </w:r>
    </w:p>
    <w:p w14:paraId="2594697F">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账号：</w:t>
      </w:r>
    </w:p>
    <w:p w14:paraId="5FE54F09">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开户行：</w:t>
      </w:r>
    </w:p>
    <w:p w14:paraId="08B6C14C">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双方以人民币结算一切开支。</w:t>
      </w:r>
    </w:p>
    <w:p w14:paraId="74B8DE34">
      <w:pPr>
        <w:keepNext w:val="0"/>
        <w:keepLines w:val="0"/>
        <w:pageBreakBefore w:val="0"/>
        <w:widowControl w:val="0"/>
        <w:kinsoku/>
        <w:wordWrap/>
        <w:overflowPunct/>
        <w:topLinePunct w:val="0"/>
        <w:autoSpaceDE/>
        <w:autoSpaceDN/>
        <w:bidi w:val="0"/>
        <w:spacing w:line="360" w:lineRule="auto"/>
        <w:ind w:left="486"/>
        <w:rPr>
          <w:rFonts w:hint="eastAsia" w:ascii="宋体" w:hAnsi="宋体" w:eastAsia="宋体" w:cs="宋体"/>
          <w:sz w:val="24"/>
          <w:szCs w:val="24"/>
          <w:highlight w:val="none"/>
        </w:rPr>
      </w:pPr>
      <w:r>
        <w:rPr>
          <w:rFonts w:hint="eastAsia" w:ascii="宋体" w:hAnsi="宋体" w:eastAsia="宋体" w:cs="宋体"/>
          <w:b/>
          <w:bCs/>
          <w:spacing w:val="-11"/>
          <w:sz w:val="24"/>
          <w:szCs w:val="24"/>
          <w:highlight w:val="none"/>
        </w:rPr>
        <w:t>五、运输：</w:t>
      </w:r>
    </w:p>
    <w:p w14:paraId="70F1F4CF">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1、乙方负责所有货物的运输。确保货物安全、完整到达使用地点，运杂费用包含在总价内，包括货物从供货地点到使用地点的运输费、搬运费、保险费、安装费、培训费、 利润税金等一切费用。</w:t>
      </w:r>
    </w:p>
    <w:p w14:paraId="35D77B63">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2、所有货物在运输、搬运、安装的过程中，造成甲方损失的，由乙方为甲方修复或更新。</w:t>
      </w:r>
    </w:p>
    <w:p w14:paraId="1829E40D">
      <w:pPr>
        <w:keepNext w:val="0"/>
        <w:keepLines w:val="0"/>
        <w:pageBreakBefore w:val="0"/>
        <w:widowControl w:val="0"/>
        <w:kinsoku/>
        <w:wordWrap/>
        <w:overflowPunct/>
        <w:topLinePunct w:val="0"/>
        <w:autoSpaceDE/>
        <w:autoSpaceDN/>
        <w:bidi w:val="0"/>
        <w:spacing w:line="360" w:lineRule="auto"/>
        <w:ind w:left="484"/>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六、质量保证：</w:t>
      </w:r>
    </w:p>
    <w:p w14:paraId="3D459180">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1、质保期：终验合格后不少于12个月，招标文件另有约定、厂家或投标人另有承诺 的除外。</w:t>
      </w:r>
    </w:p>
    <w:p w14:paraId="263DC3E8">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2、货物的设计、制造应遵照行业的现行规范和标准。所有货物及辅材必须是未使用 过的，是用最新工艺生产的最新产品，质量优良、渠道正当，配置合理。</w:t>
      </w:r>
    </w:p>
    <w:p w14:paraId="741D690E">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3、货物制造质量出现问题，乙方应负责三包（包修、包换、包退），费用由乙方负担， 甲方有权到乙方生产场地检查货物质量和生产进度。</w:t>
      </w:r>
    </w:p>
    <w:p w14:paraId="43BD4477">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4、在质保期内免费提供货物维修、更换零部件等服务，质保期后以优惠价提供上述 服务。</w:t>
      </w:r>
    </w:p>
    <w:p w14:paraId="3E695D8D">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5、包装要求</w:t>
      </w:r>
    </w:p>
    <w:p w14:paraId="42761295">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1）除合同另有规定外，乙方提供的全部货物均应按标准保护措施进行包装，该包装 应适应于远距离运输、防潮、防震、防锈和防野蛮装卸，以确保货物安全运抵指定地点。</w:t>
      </w:r>
    </w:p>
    <w:p w14:paraId="68F4F6ED">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2）每一包装单元应附详细的装箱单和质量合格证。</w:t>
      </w:r>
    </w:p>
    <w:p w14:paraId="25B91982">
      <w:pPr>
        <w:keepNext w:val="0"/>
        <w:keepLines w:val="0"/>
        <w:pageBreakBefore w:val="0"/>
        <w:widowControl w:val="0"/>
        <w:kinsoku/>
        <w:wordWrap/>
        <w:overflowPunct/>
        <w:topLinePunct w:val="0"/>
        <w:autoSpaceDE/>
        <w:autoSpaceDN/>
        <w:bidi w:val="0"/>
        <w:spacing w:line="360" w:lineRule="auto"/>
        <w:ind w:left="48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3）货物（产品）运输方式：</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5F1A3D7F">
      <w:pPr>
        <w:keepNext w:val="0"/>
        <w:keepLines w:val="0"/>
        <w:pageBreakBefore w:val="0"/>
        <w:widowControl w:val="0"/>
        <w:kinsoku/>
        <w:wordWrap/>
        <w:overflowPunct/>
        <w:topLinePunct w:val="0"/>
        <w:autoSpaceDE/>
        <w:autoSpaceDN/>
        <w:bidi w:val="0"/>
        <w:spacing w:line="360" w:lineRule="auto"/>
        <w:ind w:left="479"/>
        <w:rPr>
          <w:rFonts w:hint="eastAsia" w:ascii="宋体" w:hAnsi="宋体" w:eastAsia="宋体" w:cs="宋体"/>
          <w:sz w:val="24"/>
          <w:szCs w:val="24"/>
          <w:highlight w:val="none"/>
        </w:rPr>
      </w:pPr>
      <w:r>
        <w:rPr>
          <w:rFonts w:hint="eastAsia" w:ascii="宋体" w:hAnsi="宋体" w:eastAsia="宋体" w:cs="宋体"/>
          <w:sz w:val="24"/>
          <w:szCs w:val="24"/>
          <w:highlight w:val="none"/>
        </w:rPr>
        <w:t>4）乙方负责货物（产品）运输，货物运输的合理损耗及计算方法</w:t>
      </w:r>
      <w:r>
        <w:rPr>
          <w:rFonts w:hint="eastAsia" w:ascii="宋体" w:hAnsi="宋体" w:eastAsia="宋体" w:cs="宋体"/>
          <w:spacing w:val="-119"/>
          <w:sz w:val="24"/>
          <w:szCs w:val="24"/>
          <w:highlight w:val="none"/>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
          <w:sz w:val="24"/>
          <w:szCs w:val="24"/>
          <w:highlight w:val="none"/>
          <w:u w:val="single" w:color="auto"/>
        </w:rPr>
        <w:t xml:space="preserve">        </w:t>
      </w:r>
      <w:r>
        <w:rPr>
          <w:rFonts w:hint="eastAsia" w:ascii="宋体" w:hAnsi="宋体" w:eastAsia="宋体" w:cs="宋体"/>
          <w:spacing w:val="-1"/>
          <w:sz w:val="24"/>
          <w:szCs w:val="24"/>
          <w:highlight w:val="none"/>
        </w:rPr>
        <w:t>。</w:t>
      </w:r>
    </w:p>
    <w:p w14:paraId="5E98596B">
      <w:pPr>
        <w:keepNext w:val="0"/>
        <w:keepLines w:val="0"/>
        <w:pageBreakBefore w:val="0"/>
        <w:widowControl w:val="0"/>
        <w:kinsoku/>
        <w:wordWrap/>
        <w:overflowPunct/>
        <w:topLinePunct w:val="0"/>
        <w:autoSpaceDE/>
        <w:autoSpaceDN/>
        <w:bidi w:val="0"/>
        <w:spacing w:line="360" w:lineRule="auto"/>
        <w:ind w:left="481"/>
        <w:rPr>
          <w:rFonts w:hint="eastAsia" w:ascii="宋体" w:hAnsi="宋体" w:eastAsia="宋体" w:cs="宋体"/>
          <w:sz w:val="24"/>
          <w:szCs w:val="24"/>
          <w:highlight w:val="none"/>
        </w:rPr>
      </w:pPr>
      <w:r>
        <w:rPr>
          <w:rFonts w:hint="eastAsia" w:ascii="宋体" w:hAnsi="宋体" w:eastAsia="宋体" w:cs="宋体"/>
          <w:b/>
          <w:bCs/>
          <w:spacing w:val="-4"/>
          <w:sz w:val="24"/>
          <w:szCs w:val="24"/>
          <w:highlight w:val="none"/>
        </w:rPr>
        <w:t>七、技术服务：</w:t>
      </w:r>
    </w:p>
    <w:p w14:paraId="6D8240C6">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1、对技术服务的要求：</w:t>
      </w:r>
    </w:p>
    <w:p w14:paraId="7C2B5D01">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2、技术资料：</w:t>
      </w:r>
    </w:p>
    <w:p w14:paraId="59C1BAA8">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1）产品合格证及检验报告；</w:t>
      </w:r>
    </w:p>
    <w:p w14:paraId="7983EF44">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2）产品使用说明书（中文）；</w:t>
      </w:r>
    </w:p>
    <w:p w14:paraId="37E4FB69">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3）其它资料。</w:t>
      </w:r>
    </w:p>
    <w:p w14:paraId="21E09DDD">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3、技术培训：</w:t>
      </w:r>
    </w:p>
    <w:p w14:paraId="5EB7B42E">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1）培训内容：</w:t>
      </w:r>
    </w:p>
    <w:p w14:paraId="4089FA52">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2）培训地点：</w:t>
      </w:r>
    </w:p>
    <w:p w14:paraId="3A4E31D2">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3）培训时间：</w:t>
      </w:r>
    </w:p>
    <w:p w14:paraId="548F8A7A">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4）培训人数：</w:t>
      </w:r>
    </w:p>
    <w:p w14:paraId="73DD0B8B">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5）培训费用：受训人员的食宿费、资料费、培训场地费、耗材（包括水电费等）费 等已包含在合同总价中，甲方不再另行支付。</w:t>
      </w:r>
    </w:p>
    <w:p w14:paraId="66F37812">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4、售后服务</w:t>
      </w:r>
    </w:p>
    <w:p w14:paraId="1EC92275">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1）设备相关辅助设施的维护、保养、维修；</w:t>
      </w:r>
    </w:p>
    <w:p w14:paraId="24798108">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2）在设备出现异常情况时，4个小时内到达现场并组织相关人员进行紧急情况处理；</w:t>
      </w:r>
    </w:p>
    <w:p w14:paraId="4EBF2595">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3）在设备运行期间对设备进行定期巡回检查和不定期的抽查。</w:t>
      </w:r>
    </w:p>
    <w:p w14:paraId="4D272AE5">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5、伴随服务</w:t>
      </w:r>
    </w:p>
    <w:p w14:paraId="730C9B2F">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1）乙方应随同每套货物提供相应的中文的技术文件。</w:t>
      </w:r>
    </w:p>
    <w:p w14:paraId="335C1E33">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1-1、完整的操作使用手册和维护、修理技术文件，图纸、保修卡等。</w:t>
      </w:r>
    </w:p>
    <w:p w14:paraId="0ABA0D32">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1-2、制造厂的检验、测试报告、设备检验合格证书，计量合格等级证书，质量保证书等文件须随设备装箱提供。</w:t>
      </w:r>
    </w:p>
    <w:p w14:paraId="57C3ECF1">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1-3、必须的其它技术资料。</w:t>
      </w:r>
    </w:p>
    <w:p w14:paraId="42917F50">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2）伴随服务的费用已含在合同价中，不单独进行支付。</w:t>
      </w:r>
    </w:p>
    <w:p w14:paraId="145402F6">
      <w:pPr>
        <w:keepNext w:val="0"/>
        <w:keepLines w:val="0"/>
        <w:pageBreakBefore w:val="0"/>
        <w:widowControl w:val="0"/>
        <w:kinsoku/>
        <w:wordWrap/>
        <w:overflowPunct/>
        <w:topLinePunct w:val="0"/>
        <w:autoSpaceDE/>
        <w:autoSpaceDN/>
        <w:bidi w:val="0"/>
        <w:spacing w:line="360" w:lineRule="auto"/>
        <w:ind w:left="424"/>
        <w:rPr>
          <w:rFonts w:hint="eastAsia" w:ascii="宋体" w:hAnsi="宋体" w:eastAsia="宋体" w:cs="宋体"/>
          <w:sz w:val="24"/>
          <w:szCs w:val="24"/>
          <w:highlight w:val="none"/>
        </w:rPr>
      </w:pPr>
      <w:r>
        <w:rPr>
          <w:rFonts w:hint="eastAsia" w:ascii="宋体" w:hAnsi="宋体" w:eastAsia="宋体" w:cs="宋体"/>
          <w:b/>
          <w:bCs/>
          <w:spacing w:val="-12"/>
          <w:sz w:val="24"/>
          <w:szCs w:val="24"/>
          <w:highlight w:val="none"/>
        </w:rPr>
        <w:t>八、验收：</w:t>
      </w:r>
    </w:p>
    <w:p w14:paraId="03CD0377">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1、乙方整个项目完毕后，进行自检，合格后准备验收文件，并书面通知甲方。</w:t>
      </w:r>
    </w:p>
    <w:p w14:paraId="1B16013D">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2、乙方安装完毕进行初验，初验合格后进行终验。</w:t>
      </w:r>
    </w:p>
    <w:p w14:paraId="59A4F99D">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3、乙方对最终的产品质量负完全责任。</w:t>
      </w:r>
    </w:p>
    <w:p w14:paraId="48C57AC4">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4、验收依据：</w:t>
      </w:r>
    </w:p>
    <w:p w14:paraId="47147D01">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1）招标文件、投标文件、澄清表（函）；</w:t>
      </w:r>
    </w:p>
    <w:p w14:paraId="2EA9A7A0">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2）本合同及附件文本；</w:t>
      </w:r>
    </w:p>
    <w:p w14:paraId="3683C1AF">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3)合同签订时国家及行业现行的标准和技术规范。</w:t>
      </w:r>
    </w:p>
    <w:p w14:paraId="70F8BC1B">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5、验收时提供以下技术资料：</w:t>
      </w:r>
    </w:p>
    <w:p w14:paraId="6C0F4CCF">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1）货物到达采购人指定的地点时必须提供渠道证明文件原件和售后服务证明文件原 件；</w:t>
      </w:r>
    </w:p>
    <w:p w14:paraId="49EC1D7F">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2）进口货物需提供相关报关手续的资料；</w:t>
      </w:r>
    </w:p>
    <w:p w14:paraId="4B8B5F9A">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3）装箱清单；</w:t>
      </w:r>
    </w:p>
    <w:p w14:paraId="645DBC94">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4）产品合格证；</w:t>
      </w:r>
    </w:p>
    <w:p w14:paraId="7FA69153">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5）安装使用说明书；</w:t>
      </w:r>
    </w:p>
    <w:p w14:paraId="0EC97854">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6）安装时根据采购人的要求派技术人员现场指导。</w:t>
      </w:r>
    </w:p>
    <w:p w14:paraId="29C9D8F6">
      <w:pPr>
        <w:keepNext w:val="0"/>
        <w:keepLines w:val="0"/>
        <w:pageBreakBefore w:val="0"/>
        <w:widowControl w:val="0"/>
        <w:kinsoku/>
        <w:wordWrap/>
        <w:overflowPunct/>
        <w:topLinePunct w:val="0"/>
        <w:autoSpaceDE/>
        <w:autoSpaceDN/>
        <w:bidi w:val="0"/>
        <w:spacing w:line="360" w:lineRule="auto"/>
        <w:ind w:left="489"/>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九、违约责任：</w:t>
      </w:r>
    </w:p>
    <w:p w14:paraId="5537186B">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1、按《中华人民共和国</w:t>
      </w:r>
      <w:r>
        <w:rPr>
          <w:rFonts w:hint="eastAsia" w:ascii="宋体" w:hAnsi="宋体" w:eastAsia="宋体" w:cs="宋体"/>
          <w:spacing w:val="-1"/>
          <w:sz w:val="24"/>
          <w:szCs w:val="24"/>
          <w:highlight w:val="none"/>
          <w:lang w:val="en-US" w:eastAsia="zh-CN"/>
        </w:rPr>
        <w:t>民法典</w:t>
      </w:r>
      <w:r>
        <w:rPr>
          <w:rFonts w:hint="eastAsia" w:ascii="宋体" w:hAnsi="宋体" w:eastAsia="宋体" w:cs="宋体"/>
          <w:spacing w:val="-1"/>
          <w:sz w:val="24"/>
          <w:szCs w:val="24"/>
          <w:highlight w:val="none"/>
        </w:rPr>
        <w:t>》中的相关条款执行。</w:t>
      </w:r>
    </w:p>
    <w:p w14:paraId="71DFBB15">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2、乙方履约延误</w:t>
      </w:r>
    </w:p>
    <w:p w14:paraId="1B678711">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1）如乙方事先未征得甲方同意并得到甲方的谅解而单方面延迟交货，将按违约终止 合同。</w:t>
      </w:r>
    </w:p>
    <w:p w14:paraId="388AEA1F">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2）在履行合同过程中，如果乙方遇到可能妨碍按时交货和提供服务的情况，应及时 以书面形式将拖延的事实，可能拖延的期限和理由通知甲方。甲方在收到乙方通知后， 应 尽快对情况进行评价，并确定是否通过修改合同，酌情延长交货时间或对乙方加收误期赔 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14:paraId="4C981AA3">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3）违约终止合同：未按合同要求提供货物或质量不能满足技术要求，甲方会同监督 机构有权终止合同，对乙方违约行为进行追究，同时按政府采购法的有关规定进行相应的处罚。</w:t>
      </w:r>
    </w:p>
    <w:p w14:paraId="7C4D3A5B">
      <w:pPr>
        <w:keepNext w:val="0"/>
        <w:keepLines w:val="0"/>
        <w:pageBreakBefore w:val="0"/>
        <w:widowControl w:val="0"/>
        <w:kinsoku/>
        <w:wordWrap/>
        <w:overflowPunct/>
        <w:topLinePunct w:val="0"/>
        <w:autoSpaceDE/>
        <w:autoSpaceDN/>
        <w:bidi w:val="0"/>
        <w:spacing w:line="360" w:lineRule="auto"/>
        <w:ind w:left="484"/>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十、其他事项：</w:t>
      </w:r>
      <w:r>
        <w:rPr>
          <w:rFonts w:hint="eastAsia" w:ascii="宋体" w:hAnsi="宋体" w:eastAsia="宋体" w:cs="宋体"/>
          <w:spacing w:val="-2"/>
          <w:sz w:val="24"/>
          <w:szCs w:val="24"/>
          <w:highlight w:val="none"/>
        </w:rPr>
        <w:t>乙方不得转让、分包给其它单位</w:t>
      </w:r>
      <w:r>
        <w:rPr>
          <w:rFonts w:hint="eastAsia" w:ascii="宋体" w:hAnsi="宋体" w:eastAsia="宋体" w:cs="宋体"/>
          <w:spacing w:val="-3"/>
          <w:sz w:val="24"/>
          <w:szCs w:val="24"/>
          <w:highlight w:val="none"/>
        </w:rPr>
        <w:t>或个人。</w:t>
      </w:r>
    </w:p>
    <w:p w14:paraId="2B39BF11">
      <w:pPr>
        <w:keepNext w:val="0"/>
        <w:keepLines w:val="0"/>
        <w:pageBreakBefore w:val="0"/>
        <w:widowControl w:val="0"/>
        <w:kinsoku/>
        <w:wordWrap/>
        <w:overflowPunct/>
        <w:topLinePunct w:val="0"/>
        <w:autoSpaceDE/>
        <w:autoSpaceDN/>
        <w:bidi w:val="0"/>
        <w:spacing w:line="360" w:lineRule="auto"/>
        <w:ind w:left="484"/>
        <w:rPr>
          <w:rFonts w:hint="eastAsia" w:ascii="宋体" w:hAnsi="宋体" w:eastAsia="宋体" w:cs="宋体"/>
          <w:b/>
          <w:bCs/>
          <w:spacing w:val="-2"/>
          <w:sz w:val="24"/>
          <w:szCs w:val="24"/>
          <w:highlight w:val="none"/>
        </w:rPr>
      </w:pPr>
      <w:r>
        <w:rPr>
          <w:rFonts w:hint="eastAsia" w:ascii="宋体" w:hAnsi="宋体" w:eastAsia="宋体" w:cs="宋体"/>
          <w:b/>
          <w:bCs/>
          <w:spacing w:val="-7"/>
          <w:sz w:val="24"/>
          <w:szCs w:val="24"/>
          <w:highlight w:val="none"/>
        </w:rPr>
        <w:t>十</w:t>
      </w:r>
      <w:r>
        <w:rPr>
          <w:rFonts w:hint="eastAsia" w:ascii="宋体" w:hAnsi="宋体" w:eastAsia="宋体" w:cs="宋体"/>
          <w:b/>
          <w:bCs/>
          <w:spacing w:val="-2"/>
          <w:sz w:val="24"/>
          <w:szCs w:val="24"/>
          <w:highlight w:val="none"/>
        </w:rPr>
        <w:t>一、合同组成：</w:t>
      </w:r>
    </w:p>
    <w:p w14:paraId="2EE465E5">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1.本合同书</w:t>
      </w:r>
    </w:p>
    <w:p w14:paraId="16215EA8">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 xml:space="preserve">2.中标通知书 </w:t>
      </w:r>
    </w:p>
    <w:p w14:paraId="62D0AFDC">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3.协议</w:t>
      </w:r>
    </w:p>
    <w:p w14:paraId="4EE893C8">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4.招标文件(含澄清或者修改文件)</w:t>
      </w:r>
    </w:p>
    <w:p w14:paraId="348D2D70">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5.投标文件</w:t>
      </w:r>
    </w:p>
    <w:p w14:paraId="6A4ED34C">
      <w:pPr>
        <w:keepNext w:val="0"/>
        <w:keepLines w:val="0"/>
        <w:pageBreakBefore w:val="0"/>
        <w:widowControl w:val="0"/>
        <w:kinsoku/>
        <w:wordWrap/>
        <w:overflowPunct/>
        <w:topLinePunct w:val="0"/>
        <w:autoSpaceDE/>
        <w:autoSpaceDN/>
        <w:bidi w:val="0"/>
        <w:spacing w:line="360" w:lineRule="auto"/>
        <w:ind w:left="484"/>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十二、合同争议解决的方式：</w:t>
      </w:r>
    </w:p>
    <w:p w14:paraId="6DB7B009">
      <w:pPr>
        <w:keepNext w:val="0"/>
        <w:keepLines w:val="0"/>
        <w:pageBreakBefore w:val="0"/>
        <w:widowControl w:val="0"/>
        <w:kinsoku/>
        <w:wordWrap/>
        <w:overflowPunct/>
        <w:topLinePunct w:val="0"/>
        <w:autoSpaceDE/>
        <w:autoSpaceDN/>
        <w:bidi w:val="0"/>
        <w:spacing w:line="360" w:lineRule="auto"/>
        <w:ind w:right="44" w:firstLine="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本合同在履行过程中发生的争议，由甲、乙双方当事人协商解决，协商不成的按下列</w:t>
      </w:r>
      <w:r>
        <w:rPr>
          <w:rFonts w:hint="eastAsia" w:ascii="宋体" w:hAnsi="宋体" w:eastAsia="宋体" w:cs="宋体"/>
          <w:spacing w:val="2"/>
          <w:sz w:val="24"/>
          <w:szCs w:val="24"/>
          <w:highlight w:val="none"/>
        </w:rPr>
        <w:t xml:space="preserve"> </w:t>
      </w:r>
      <w:r>
        <w:rPr>
          <w:rFonts w:hint="eastAsia" w:ascii="宋体" w:hAnsi="宋体" w:eastAsia="宋体" w:cs="宋体"/>
          <w:spacing w:val="-6"/>
          <w:sz w:val="24"/>
          <w:szCs w:val="24"/>
          <w:highlight w:val="none"/>
        </w:rPr>
        <w:t>第</w:t>
      </w:r>
      <w:r>
        <w:rPr>
          <w:rFonts w:hint="eastAsia" w:ascii="宋体" w:hAnsi="宋体" w:eastAsia="宋体" w:cs="宋体"/>
          <w:spacing w:val="-6"/>
          <w:sz w:val="24"/>
          <w:szCs w:val="24"/>
          <w:highlight w:val="none"/>
          <w:u w:val="single" w:color="auto"/>
        </w:rPr>
        <w:t>（二）</w:t>
      </w:r>
      <w:r>
        <w:rPr>
          <w:rFonts w:hint="eastAsia" w:ascii="宋体" w:hAnsi="宋体" w:eastAsia="宋体" w:cs="宋体"/>
          <w:spacing w:val="-6"/>
          <w:sz w:val="24"/>
          <w:szCs w:val="24"/>
          <w:highlight w:val="none"/>
        </w:rPr>
        <w:t>种方式解决：</w:t>
      </w:r>
    </w:p>
    <w:p w14:paraId="2DAACC68">
      <w:pPr>
        <w:keepNext w:val="0"/>
        <w:keepLines w:val="0"/>
        <w:pageBreakBefore w:val="0"/>
        <w:widowControl w:val="0"/>
        <w:kinsoku/>
        <w:wordWrap/>
        <w:overflowPunct/>
        <w:topLinePunct w:val="0"/>
        <w:autoSpaceDE/>
        <w:autoSpaceDN/>
        <w:bidi w:val="0"/>
        <w:spacing w:line="360" w:lineRule="auto"/>
        <w:ind w:left="486"/>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（一）提交西安仲裁委员会仲裁；</w:t>
      </w:r>
    </w:p>
    <w:p w14:paraId="0905F189">
      <w:pPr>
        <w:keepNext w:val="0"/>
        <w:keepLines w:val="0"/>
        <w:pageBreakBefore w:val="0"/>
        <w:widowControl w:val="0"/>
        <w:kinsoku/>
        <w:wordWrap/>
        <w:overflowPunct/>
        <w:topLinePunct w:val="0"/>
        <w:autoSpaceDE/>
        <w:autoSpaceDN/>
        <w:bidi w:val="0"/>
        <w:spacing w:line="360" w:lineRule="auto"/>
        <w:ind w:left="486"/>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（二）依法向甲方所在地人民法院起诉。</w:t>
      </w:r>
    </w:p>
    <w:p w14:paraId="0D9D7AEE">
      <w:pPr>
        <w:keepNext w:val="0"/>
        <w:keepLines w:val="0"/>
        <w:pageBreakBefore w:val="0"/>
        <w:widowControl w:val="0"/>
        <w:kinsoku/>
        <w:wordWrap/>
        <w:overflowPunct/>
        <w:topLinePunct w:val="0"/>
        <w:autoSpaceDE/>
        <w:autoSpaceDN/>
        <w:bidi w:val="0"/>
        <w:spacing w:line="360" w:lineRule="auto"/>
        <w:ind w:left="484"/>
        <w:rPr>
          <w:rFonts w:hint="eastAsia" w:ascii="宋体" w:hAnsi="宋体" w:eastAsia="宋体" w:cs="宋体"/>
          <w:sz w:val="24"/>
          <w:szCs w:val="24"/>
          <w:highlight w:val="none"/>
        </w:rPr>
      </w:pPr>
      <w:r>
        <w:rPr>
          <w:rFonts w:hint="eastAsia" w:ascii="宋体" w:hAnsi="宋体" w:eastAsia="宋体" w:cs="宋体"/>
          <w:b/>
          <w:bCs/>
          <w:spacing w:val="-3"/>
          <w:sz w:val="24"/>
          <w:szCs w:val="24"/>
          <w:highlight w:val="none"/>
        </w:rPr>
        <w:t>十三、合同生效：</w:t>
      </w:r>
    </w:p>
    <w:p w14:paraId="4CB3C172">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1、本合同经双方签字盖章后生效。</w:t>
      </w:r>
    </w:p>
    <w:p w14:paraId="6840E218">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2、本合同须经甲、乙双方的法定代表人（授权代理人）在合同书上签字并加盖本单 位公章后正实生效。</w:t>
      </w:r>
    </w:p>
    <w:p w14:paraId="32A4CB47">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3、合同生效后，甲、乙双方须严格执行本合同条款的规定，全面履行合同，违者按《中华人民共和国</w:t>
      </w:r>
      <w:r>
        <w:rPr>
          <w:rFonts w:hint="eastAsia" w:ascii="宋体" w:hAnsi="宋体" w:eastAsia="宋体" w:cs="宋体"/>
          <w:spacing w:val="-1"/>
          <w:sz w:val="24"/>
          <w:szCs w:val="24"/>
          <w:highlight w:val="none"/>
          <w:lang w:val="en-US" w:eastAsia="zh-CN"/>
        </w:rPr>
        <w:t>民法典</w:t>
      </w:r>
      <w:r>
        <w:rPr>
          <w:rFonts w:hint="eastAsia" w:ascii="宋体" w:hAnsi="宋体" w:eastAsia="宋体" w:cs="宋体"/>
          <w:spacing w:val="-1"/>
          <w:sz w:val="24"/>
          <w:szCs w:val="24"/>
          <w:highlight w:val="none"/>
        </w:rPr>
        <w:t>》的有关规定承担相应责任。</w:t>
      </w:r>
    </w:p>
    <w:p w14:paraId="31D075AC">
      <w:pPr>
        <w:keepNext w:val="0"/>
        <w:keepLines w:val="0"/>
        <w:pageBreakBefore w:val="0"/>
        <w:widowControl w:val="0"/>
        <w:kinsoku/>
        <w:wordWrap/>
        <w:overflowPunct/>
        <w:topLinePunct w:val="0"/>
        <w:autoSpaceDE/>
        <w:autoSpaceDN/>
        <w:bidi w:val="0"/>
        <w:spacing w:line="360" w:lineRule="auto"/>
        <w:ind w:left="479"/>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4、本合同一式</w:t>
      </w:r>
      <w:r>
        <w:rPr>
          <w:rFonts w:hint="eastAsia" w:ascii="宋体" w:hAnsi="宋体" w:eastAsia="宋体" w:cs="宋体"/>
          <w:spacing w:val="-3"/>
          <w:sz w:val="24"/>
          <w:szCs w:val="24"/>
          <w:highlight w:val="none"/>
          <w:u w:val="single" w:color="auto"/>
        </w:rPr>
        <w:t xml:space="preserve">  </w:t>
      </w:r>
      <w:r>
        <w:rPr>
          <w:rFonts w:hint="eastAsia" w:ascii="宋体" w:hAnsi="宋体" w:eastAsia="宋体" w:cs="宋体"/>
          <w:spacing w:val="-94"/>
          <w:sz w:val="24"/>
          <w:szCs w:val="24"/>
          <w:highlight w:val="none"/>
        </w:rPr>
        <w:t xml:space="preserve"> </w:t>
      </w:r>
      <w:r>
        <w:rPr>
          <w:rFonts w:hint="eastAsia" w:ascii="宋体" w:hAnsi="宋体" w:eastAsia="宋体" w:cs="宋体"/>
          <w:spacing w:val="-3"/>
          <w:sz w:val="24"/>
          <w:szCs w:val="24"/>
          <w:highlight w:val="none"/>
        </w:rPr>
        <w:t>份，甲乙双方各执</w:t>
      </w:r>
      <w:r>
        <w:rPr>
          <w:rFonts w:hint="eastAsia" w:ascii="宋体" w:hAnsi="宋体" w:eastAsia="宋体" w:cs="宋体"/>
          <w:spacing w:val="-120"/>
          <w:sz w:val="24"/>
          <w:szCs w:val="24"/>
          <w:highlight w:val="none"/>
        </w:rPr>
        <w:t xml:space="preserve"> </w:t>
      </w:r>
      <w:r>
        <w:rPr>
          <w:rFonts w:hint="eastAsia" w:ascii="宋体" w:hAnsi="宋体" w:eastAsia="宋体" w:cs="宋体"/>
          <w:sz w:val="24"/>
          <w:szCs w:val="24"/>
          <w:highlight w:val="none"/>
          <w:u w:val="single" w:color="auto"/>
        </w:rPr>
        <w:t xml:space="preserve">  </w:t>
      </w:r>
      <w:r>
        <w:rPr>
          <w:rFonts w:hint="eastAsia" w:ascii="宋体" w:hAnsi="宋体" w:eastAsia="宋体" w:cs="宋体"/>
          <w:spacing w:val="-111"/>
          <w:sz w:val="24"/>
          <w:szCs w:val="24"/>
          <w:highlight w:val="none"/>
        </w:rPr>
        <w:t xml:space="preserve"> </w:t>
      </w:r>
      <w:r>
        <w:rPr>
          <w:rFonts w:hint="eastAsia" w:ascii="宋体" w:hAnsi="宋体" w:eastAsia="宋体" w:cs="宋体"/>
          <w:spacing w:val="-3"/>
          <w:sz w:val="24"/>
          <w:szCs w:val="24"/>
          <w:highlight w:val="none"/>
        </w:rPr>
        <w:t>份。</w:t>
      </w:r>
    </w:p>
    <w:p w14:paraId="7CEF832A">
      <w:pPr>
        <w:keepNext w:val="0"/>
        <w:keepLines w:val="0"/>
        <w:pageBreakBefore w:val="0"/>
        <w:widowControl w:val="0"/>
        <w:kinsoku/>
        <w:wordWrap/>
        <w:overflowPunct/>
        <w:topLinePunct w:val="0"/>
        <w:autoSpaceDE/>
        <w:autoSpaceDN/>
        <w:bidi w:val="0"/>
        <w:spacing w:line="360" w:lineRule="auto"/>
        <w:ind w:firstLine="468" w:firstLineChars="200"/>
        <w:jc w:val="left"/>
        <w:rPr>
          <w:rFonts w:hint="eastAsia" w:ascii="宋体" w:hAnsi="宋体" w:eastAsia="宋体" w:cs="宋体"/>
          <w:spacing w:val="1"/>
          <w:sz w:val="24"/>
          <w:szCs w:val="24"/>
          <w:highlight w:val="none"/>
        </w:rPr>
      </w:pPr>
      <w:r>
        <w:rPr>
          <w:rFonts w:hint="eastAsia" w:ascii="宋体" w:hAnsi="宋体" w:eastAsia="宋体" w:cs="宋体"/>
          <w:spacing w:val="-3"/>
          <w:sz w:val="24"/>
          <w:szCs w:val="24"/>
          <w:highlight w:val="none"/>
        </w:rPr>
        <w:t>5、本合同如有未尽事宜，甲、乙双方协商解决。</w:t>
      </w:r>
    </w:p>
    <w:p w14:paraId="00902E3D">
      <w:pPr>
        <w:keepNext w:val="0"/>
        <w:keepLines w:val="0"/>
        <w:pageBreakBefore w:val="0"/>
        <w:widowControl w:val="0"/>
        <w:kinsoku/>
        <w:wordWrap/>
        <w:overflowPunct/>
        <w:topLinePunct w:val="0"/>
        <w:autoSpaceDE/>
        <w:autoSpaceDN/>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w:t>
      </w:r>
    </w:p>
    <w:p w14:paraId="5C2DB57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甲方：   （盖章）   </w:t>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ab/>
      </w:r>
      <w:r>
        <w:rPr>
          <w:rFonts w:hint="eastAsia" w:ascii="宋体" w:hAnsi="宋体" w:eastAsia="宋体" w:cs="宋体"/>
          <w:color w:val="000000"/>
          <w:sz w:val="24"/>
          <w:szCs w:val="24"/>
          <w:highlight w:val="none"/>
        </w:rPr>
        <w:t xml:space="preserve">              乙方：   （盖章）</w:t>
      </w:r>
    </w:p>
    <w:p w14:paraId="3917657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法定代表人（委托代理人）：                法定代表人（委托代理人）：</w:t>
      </w:r>
    </w:p>
    <w:p w14:paraId="0CEDD45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                                地    址：</w:t>
      </w:r>
    </w:p>
    <w:p w14:paraId="6E09055A">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                                开户银行：</w:t>
      </w:r>
    </w:p>
    <w:p w14:paraId="4CF5975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                                    账号：</w:t>
      </w:r>
    </w:p>
    <w:p w14:paraId="23C3184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                                电    话：</w:t>
      </w:r>
    </w:p>
    <w:p w14:paraId="4D69C167">
      <w:pPr>
        <w:pStyle w:val="37"/>
        <w:spacing w:line="360" w:lineRule="auto"/>
        <w:ind w:firstLine="480" w:firstLineChars="200"/>
        <w:jc w:val="both"/>
        <w:rPr>
          <w:rFonts w:hint="eastAsia" w:ascii="宋体" w:hAnsi="宋体" w:eastAsia="宋体" w:cs="宋体"/>
          <w:color w:val="000000"/>
          <w:kern w:val="2"/>
          <w:sz w:val="24"/>
          <w:szCs w:val="24"/>
          <w:highlight w:val="none"/>
        </w:rPr>
      </w:pPr>
      <w:r>
        <w:rPr>
          <w:rFonts w:hint="eastAsia" w:ascii="宋体" w:hAnsi="宋体" w:eastAsia="宋体" w:cs="宋体"/>
          <w:b w:val="0"/>
          <w:color w:val="000000"/>
          <w:kern w:val="2"/>
          <w:sz w:val="24"/>
          <w:szCs w:val="24"/>
          <w:highlight w:val="none"/>
          <w:lang w:val="en-US" w:eastAsia="zh-CN" w:bidi="ar-SA"/>
        </w:rPr>
        <w:t>签约日期：    年   月   日                签约日期：    年   月   日</w:t>
      </w:r>
    </w:p>
    <w:p w14:paraId="23239A29">
      <w:pPr>
        <w:pStyle w:val="37"/>
        <w:rPr>
          <w:rFonts w:ascii="华文楷体" w:hAnsi="华文楷体" w:eastAsia="华文楷体"/>
          <w:highlight w:val="none"/>
          <w:shd w:val="clear" w:color="auto" w:fill="FFFFFF"/>
        </w:rPr>
      </w:pPr>
      <w:r>
        <w:rPr>
          <w:rFonts w:hint="eastAsia"/>
          <w:highlight w:val="none"/>
          <w:shd w:val="clear" w:color="auto" w:fill="FFFFFF"/>
        </w:rPr>
        <w:br w:type="page"/>
      </w:r>
      <w:r>
        <w:rPr>
          <w:rFonts w:hint="eastAsia" w:ascii="华文楷体" w:hAnsi="华文楷体" w:eastAsia="华文楷体"/>
          <w:highlight w:val="none"/>
          <w:shd w:val="clear" w:color="auto" w:fill="FFFFFF"/>
        </w:rPr>
        <w:t>第四章  投标文件格式</w:t>
      </w:r>
      <w:bookmarkEnd w:id="18"/>
    </w:p>
    <w:p w14:paraId="558A6B24">
      <w:pPr>
        <w:spacing w:line="360" w:lineRule="atLeast"/>
        <w:rPr>
          <w:rFonts w:hint="eastAsia" w:ascii="宋体" w:hAnsi="宋体"/>
          <w:sz w:val="32"/>
          <w:szCs w:val="32"/>
          <w:highlight w:val="none"/>
        </w:rPr>
      </w:pPr>
      <w:r>
        <w:rPr>
          <w:rFonts w:ascii="宋体" w:hAnsi="宋体"/>
          <w:b/>
          <w:highlight w:val="none"/>
          <w:shd w:val="clear" w:color="auto" w:fill="FFFFFF"/>
        </w:rPr>
        <w:br w:type="page"/>
      </w:r>
      <w:r>
        <w:rPr>
          <w:rFonts w:hint="eastAsia" w:ascii="宋体" w:hAnsi="宋体"/>
          <w:sz w:val="32"/>
          <w:szCs w:val="32"/>
          <w:highlight w:val="none"/>
        </w:rPr>
        <w:t>项目编号：</w:t>
      </w:r>
      <w:r>
        <w:rPr>
          <w:rFonts w:hint="eastAsia" w:ascii="宋体" w:hAnsi="宋体"/>
          <w:sz w:val="28"/>
          <w:szCs w:val="28"/>
          <w:highlight w:val="none"/>
          <w:lang w:eastAsia="zh-CN"/>
        </w:rPr>
        <w:t>GLD2025-011501Z</w:t>
      </w:r>
      <w:r>
        <w:rPr>
          <w:rFonts w:hint="eastAsia" w:ascii="宋体" w:hAnsi="宋体" w:cs="Arial"/>
          <w:kern w:val="0"/>
          <w:sz w:val="30"/>
          <w:szCs w:val="30"/>
          <w:highlight w:val="none"/>
        </w:rPr>
        <w:t xml:space="preserve">                </w:t>
      </w:r>
    </w:p>
    <w:p w14:paraId="3EB91EE2">
      <w:pPr>
        <w:spacing w:line="360" w:lineRule="atLeast"/>
        <w:rPr>
          <w:rFonts w:hint="eastAsia" w:ascii="宋体" w:hAnsi="宋体"/>
          <w:b/>
          <w:sz w:val="28"/>
          <w:szCs w:val="28"/>
          <w:highlight w:val="none"/>
        </w:rPr>
      </w:pPr>
      <w:r>
        <w:rPr>
          <w:rFonts w:hint="eastAsia" w:ascii="宋体" w:hAnsi="宋体"/>
          <w:szCs w:val="21"/>
          <w:highlight w:val="none"/>
        </w:rPr>
        <w:t xml:space="preserve">                                                             </w:t>
      </w:r>
      <w:r>
        <w:rPr>
          <w:rFonts w:hint="eastAsia" w:ascii="宋体" w:hAnsi="宋体"/>
          <w:b/>
          <w:sz w:val="28"/>
          <w:szCs w:val="28"/>
          <w:highlight w:val="none"/>
        </w:rPr>
        <w:t>（正本或副本）</w:t>
      </w:r>
    </w:p>
    <w:p w14:paraId="6DECC6DF">
      <w:pPr>
        <w:spacing w:line="360" w:lineRule="atLeast"/>
        <w:rPr>
          <w:rFonts w:hint="eastAsia" w:ascii="宋体" w:hAnsi="宋体"/>
          <w:szCs w:val="21"/>
          <w:highlight w:val="none"/>
        </w:rPr>
      </w:pPr>
    </w:p>
    <w:p w14:paraId="1D694DFB">
      <w:pPr>
        <w:spacing w:line="360" w:lineRule="atLeast"/>
        <w:rPr>
          <w:rFonts w:hint="eastAsia" w:ascii="宋体" w:hAnsi="宋体"/>
          <w:szCs w:val="21"/>
          <w:highlight w:val="none"/>
        </w:rPr>
      </w:pPr>
    </w:p>
    <w:p w14:paraId="458EBF3E">
      <w:pPr>
        <w:spacing w:line="360" w:lineRule="atLeast"/>
        <w:rPr>
          <w:rFonts w:hint="eastAsia" w:ascii="宋体" w:hAnsi="宋体"/>
          <w:szCs w:val="21"/>
          <w:highlight w:val="none"/>
        </w:rPr>
      </w:pPr>
    </w:p>
    <w:p w14:paraId="48A63CC8">
      <w:pPr>
        <w:jc w:val="center"/>
        <w:rPr>
          <w:rFonts w:hint="eastAsia" w:ascii="宋体" w:hAnsi="宋体"/>
          <w:sz w:val="44"/>
          <w:highlight w:val="none"/>
          <w14:shadow w14:blurRad="50800" w14:dist="38100" w14:dir="2700000" w14:sx="100000" w14:sy="100000" w14:kx="0" w14:ky="0" w14:algn="tl">
            <w14:srgbClr w14:val="000000">
              <w14:alpha w14:val="60000"/>
            </w14:srgbClr>
          </w14:shadow>
        </w:rPr>
      </w:pPr>
    </w:p>
    <w:p w14:paraId="2EA840EC">
      <w:pPr>
        <w:ind w:firstLine="1791" w:firstLineChars="343"/>
        <w:rPr>
          <w:rFonts w:hint="eastAsia" w:ascii="宋体" w:hAnsi="宋体"/>
          <w:b/>
          <w:sz w:val="52"/>
          <w:szCs w:val="52"/>
          <w:highlight w:val="none"/>
          <w:u w:val="single"/>
        </w:rPr>
      </w:pPr>
    </w:p>
    <w:p w14:paraId="1C3C48D4">
      <w:pPr>
        <w:ind w:firstLine="1791" w:firstLineChars="343"/>
        <w:rPr>
          <w:rFonts w:hint="eastAsia" w:ascii="宋体" w:hAnsi="宋体"/>
          <w:b/>
          <w:sz w:val="52"/>
          <w:szCs w:val="52"/>
          <w:highlight w:val="none"/>
        </w:rPr>
      </w:pPr>
      <w:r>
        <w:rPr>
          <w:rFonts w:hint="eastAsia" w:ascii="宋体" w:hAnsi="宋体"/>
          <w:b/>
          <w:sz w:val="52"/>
          <w:szCs w:val="52"/>
          <w:highlight w:val="none"/>
          <w:u w:val="single"/>
        </w:rPr>
        <w:t xml:space="preserve">                  </w:t>
      </w:r>
      <w:r>
        <w:rPr>
          <w:rFonts w:hint="eastAsia" w:ascii="宋体" w:hAnsi="宋体"/>
          <w:b/>
          <w:sz w:val="52"/>
          <w:szCs w:val="52"/>
          <w:highlight w:val="none"/>
        </w:rPr>
        <w:t>项目</w:t>
      </w:r>
    </w:p>
    <w:p w14:paraId="1C609F63">
      <w:pPr>
        <w:pStyle w:val="17"/>
        <w:ind w:left="63" w:right="63"/>
        <w:rPr>
          <w:rFonts w:ascii="宋体" w:hAnsi="宋体"/>
          <w:b/>
          <w:sz w:val="52"/>
          <w:szCs w:val="52"/>
          <w:highlight w:val="none"/>
          <w:lang w:val="en-US" w:eastAsia="zh-CN"/>
        </w:rPr>
      </w:pPr>
    </w:p>
    <w:p w14:paraId="62EEB2B3">
      <w:pPr>
        <w:pStyle w:val="24"/>
        <w:ind w:firstLine="0"/>
        <w:rPr>
          <w:rFonts w:hint="eastAsia"/>
          <w:highlight w:val="none"/>
        </w:rPr>
      </w:pPr>
    </w:p>
    <w:p w14:paraId="0158F6F4">
      <w:pPr>
        <w:ind w:firstLine="2073" w:firstLineChars="288"/>
        <w:rPr>
          <w:rFonts w:hint="eastAsia" w:ascii="宋体" w:hAnsi="宋体"/>
          <w:sz w:val="72"/>
          <w:szCs w:val="72"/>
          <w:highlight w:val="none"/>
        </w:rPr>
      </w:pPr>
    </w:p>
    <w:p w14:paraId="03AFE755">
      <w:pPr>
        <w:spacing w:line="360" w:lineRule="atLeast"/>
        <w:jc w:val="center"/>
        <w:rPr>
          <w:rFonts w:hint="eastAsia" w:ascii="宋体" w:hAnsi="宋体"/>
          <w:b/>
          <w:sz w:val="52"/>
          <w:szCs w:val="52"/>
          <w:highlight w:val="none"/>
        </w:rPr>
      </w:pPr>
    </w:p>
    <w:p w14:paraId="677200FE">
      <w:pPr>
        <w:spacing w:line="360" w:lineRule="atLeast"/>
        <w:jc w:val="center"/>
        <w:rPr>
          <w:rFonts w:hint="eastAsia" w:ascii="宋体" w:hAnsi="宋体"/>
          <w:b/>
          <w:sz w:val="52"/>
          <w:szCs w:val="52"/>
          <w:highlight w:val="none"/>
        </w:rPr>
      </w:pPr>
    </w:p>
    <w:p w14:paraId="32618F69">
      <w:pPr>
        <w:spacing w:line="360" w:lineRule="atLeast"/>
        <w:jc w:val="center"/>
        <w:rPr>
          <w:rFonts w:hint="eastAsia" w:ascii="宋体" w:hAnsi="宋体"/>
          <w:b/>
          <w:sz w:val="52"/>
          <w:szCs w:val="52"/>
          <w:highlight w:val="none"/>
        </w:rPr>
      </w:pPr>
    </w:p>
    <w:p w14:paraId="6CA42228">
      <w:pPr>
        <w:spacing w:line="360" w:lineRule="atLeast"/>
        <w:jc w:val="center"/>
        <w:rPr>
          <w:rFonts w:hint="eastAsia" w:ascii="宋体" w:hAnsi="宋体"/>
          <w:b/>
          <w:sz w:val="52"/>
          <w:szCs w:val="52"/>
          <w:highlight w:val="none"/>
        </w:rPr>
      </w:pPr>
      <w:r>
        <w:rPr>
          <w:rFonts w:hint="eastAsia" w:ascii="宋体" w:hAnsi="宋体"/>
          <w:b/>
          <w:sz w:val="52"/>
          <w:szCs w:val="52"/>
          <w:highlight w:val="none"/>
        </w:rPr>
        <w:t>投标文件</w:t>
      </w:r>
    </w:p>
    <w:p w14:paraId="7B8FEDC2">
      <w:pPr>
        <w:spacing w:line="360" w:lineRule="atLeast"/>
        <w:jc w:val="center"/>
        <w:rPr>
          <w:rFonts w:ascii="宋体" w:hAnsi="宋体"/>
          <w:sz w:val="52"/>
          <w:szCs w:val="52"/>
          <w:highlight w:val="none"/>
        </w:rPr>
      </w:pPr>
    </w:p>
    <w:p w14:paraId="3848D822">
      <w:pPr>
        <w:spacing w:line="360" w:lineRule="atLeast"/>
        <w:rPr>
          <w:rFonts w:ascii="宋体" w:hAnsi="宋体"/>
          <w:sz w:val="52"/>
          <w:szCs w:val="52"/>
          <w:highlight w:val="none"/>
        </w:rPr>
      </w:pPr>
    </w:p>
    <w:p w14:paraId="46FE838A">
      <w:pPr>
        <w:spacing w:line="360" w:lineRule="atLeast"/>
        <w:jc w:val="center"/>
        <w:rPr>
          <w:rFonts w:ascii="宋体" w:hAnsi="宋体"/>
          <w:sz w:val="52"/>
          <w:szCs w:val="52"/>
          <w:highlight w:val="none"/>
        </w:rPr>
      </w:pPr>
    </w:p>
    <w:p w14:paraId="29ED3A9C">
      <w:pPr>
        <w:spacing w:line="360" w:lineRule="atLeast"/>
        <w:rPr>
          <w:rFonts w:hint="eastAsia" w:ascii="宋体" w:hAnsi="宋体"/>
          <w:sz w:val="52"/>
          <w:szCs w:val="52"/>
          <w:highlight w:val="none"/>
        </w:rPr>
      </w:pPr>
    </w:p>
    <w:p w14:paraId="43298AF9">
      <w:pPr>
        <w:pStyle w:val="24"/>
        <w:rPr>
          <w:rFonts w:hint="eastAsia"/>
          <w:highlight w:val="none"/>
          <w:lang w:val="en-US" w:eastAsia="zh-CN"/>
        </w:rPr>
      </w:pPr>
    </w:p>
    <w:p w14:paraId="0BD487C8">
      <w:pPr>
        <w:pStyle w:val="24"/>
        <w:rPr>
          <w:rFonts w:hint="eastAsia"/>
          <w:highlight w:val="none"/>
          <w:lang w:val="en-US" w:eastAsia="zh-CN"/>
        </w:rPr>
      </w:pPr>
    </w:p>
    <w:p w14:paraId="6413160D">
      <w:pPr>
        <w:spacing w:line="360" w:lineRule="atLeast"/>
        <w:ind w:firstLine="1280" w:firstLineChars="400"/>
        <w:rPr>
          <w:rFonts w:hint="eastAsia" w:ascii="宋体" w:hAnsi="宋体"/>
          <w:sz w:val="32"/>
          <w:szCs w:val="32"/>
          <w:highlight w:val="none"/>
          <w:u w:val="single"/>
        </w:rPr>
      </w:pPr>
      <w:r>
        <w:rPr>
          <w:rFonts w:hint="eastAsia" w:ascii="宋体" w:hAnsi="宋体"/>
          <w:sz w:val="32"/>
          <w:szCs w:val="32"/>
          <w:highlight w:val="none"/>
        </w:rPr>
        <w:t>供应商（公章）：</w:t>
      </w:r>
      <w:r>
        <w:rPr>
          <w:rFonts w:hint="eastAsia" w:ascii="宋体" w:hAnsi="宋体"/>
          <w:sz w:val="32"/>
          <w:szCs w:val="32"/>
          <w:highlight w:val="none"/>
          <w:u w:val="single"/>
        </w:rPr>
        <w:t xml:space="preserve">                     </w:t>
      </w:r>
      <w:r>
        <w:rPr>
          <w:rFonts w:ascii="宋体" w:hAnsi="宋体"/>
          <w:sz w:val="32"/>
          <w:szCs w:val="32"/>
          <w:highlight w:val="none"/>
          <w:u w:val="single"/>
        </w:rPr>
        <w:t xml:space="preserve"> </w:t>
      </w:r>
      <w:r>
        <w:rPr>
          <w:rFonts w:hint="eastAsia" w:ascii="宋体" w:hAnsi="宋体"/>
          <w:sz w:val="32"/>
          <w:szCs w:val="32"/>
          <w:highlight w:val="none"/>
          <w:u w:val="single"/>
        </w:rPr>
        <w:t xml:space="preserve">     </w:t>
      </w:r>
    </w:p>
    <w:p w14:paraId="6EAE9DEF">
      <w:pPr>
        <w:spacing w:line="360" w:lineRule="atLeast"/>
        <w:ind w:firstLine="1280" w:firstLineChars="400"/>
        <w:rPr>
          <w:rFonts w:ascii="宋体" w:hAnsi="宋体"/>
          <w:sz w:val="32"/>
          <w:szCs w:val="32"/>
          <w:highlight w:val="none"/>
          <w:u w:val="single"/>
        </w:rPr>
      </w:pPr>
      <w:r>
        <w:rPr>
          <w:rFonts w:hint="eastAsia" w:ascii="宋体" w:hAnsi="宋体"/>
          <w:sz w:val="32"/>
          <w:szCs w:val="32"/>
          <w:highlight w:val="none"/>
        </w:rPr>
        <w:t xml:space="preserve">时  </w:t>
      </w:r>
      <w:r>
        <w:rPr>
          <w:rFonts w:ascii="宋体" w:hAnsi="宋体"/>
          <w:sz w:val="32"/>
          <w:szCs w:val="32"/>
          <w:highlight w:val="none"/>
        </w:rPr>
        <w:t xml:space="preserve">    </w:t>
      </w:r>
      <w:r>
        <w:rPr>
          <w:rFonts w:hint="eastAsia" w:ascii="宋体" w:hAnsi="宋体"/>
          <w:sz w:val="32"/>
          <w:szCs w:val="32"/>
          <w:highlight w:val="none"/>
          <w:lang w:val="en-US" w:eastAsia="zh-CN"/>
        </w:rPr>
        <w:t xml:space="preserve"> </w:t>
      </w:r>
      <w:r>
        <w:rPr>
          <w:rFonts w:ascii="宋体" w:hAnsi="宋体"/>
          <w:sz w:val="32"/>
          <w:szCs w:val="32"/>
          <w:highlight w:val="none"/>
        </w:rPr>
        <w:t xml:space="preserve">   </w:t>
      </w:r>
      <w:r>
        <w:rPr>
          <w:rFonts w:hint="eastAsia" w:ascii="宋体" w:hAnsi="宋体"/>
          <w:sz w:val="32"/>
          <w:szCs w:val="32"/>
          <w:highlight w:val="none"/>
        </w:rPr>
        <w:t>间：</w:t>
      </w:r>
      <w:r>
        <w:rPr>
          <w:rFonts w:hint="eastAsia" w:ascii="宋体" w:hAnsi="宋体"/>
          <w:sz w:val="32"/>
          <w:szCs w:val="32"/>
          <w:highlight w:val="none"/>
          <w:u w:val="single"/>
        </w:rPr>
        <w:t xml:space="preserve">                  </w:t>
      </w:r>
      <w:r>
        <w:rPr>
          <w:rFonts w:ascii="宋体" w:hAnsi="宋体"/>
          <w:sz w:val="32"/>
          <w:szCs w:val="32"/>
          <w:highlight w:val="none"/>
          <w:u w:val="single"/>
        </w:rPr>
        <w:t xml:space="preserve">        </w:t>
      </w:r>
      <w:r>
        <w:rPr>
          <w:rFonts w:hint="eastAsia" w:ascii="宋体" w:hAnsi="宋体"/>
          <w:sz w:val="32"/>
          <w:szCs w:val="32"/>
          <w:highlight w:val="none"/>
          <w:u w:val="single"/>
        </w:rPr>
        <w:t xml:space="preserve"> </w:t>
      </w:r>
    </w:p>
    <w:p w14:paraId="4F5C7F03">
      <w:pPr>
        <w:spacing w:before="120" w:beforeLines="50" w:after="120" w:afterLines="50" w:line="360" w:lineRule="auto"/>
        <w:rPr>
          <w:rFonts w:ascii="宋体" w:hAnsi="宋体"/>
          <w:b/>
          <w:bCs/>
          <w:spacing w:val="4"/>
          <w:sz w:val="30"/>
          <w:szCs w:val="30"/>
          <w:highlight w:val="none"/>
          <w:shd w:val="clear" w:color="auto" w:fill="FFFFFF"/>
        </w:rPr>
      </w:pPr>
    </w:p>
    <w:p w14:paraId="164BE7FF">
      <w:pPr>
        <w:spacing w:before="120" w:beforeLines="50" w:after="120" w:afterLines="50" w:line="360" w:lineRule="auto"/>
        <w:jc w:val="center"/>
        <w:rPr>
          <w:rFonts w:ascii="宋体" w:hAnsi="宋体"/>
          <w:b/>
          <w:bCs/>
          <w:spacing w:val="4"/>
          <w:sz w:val="36"/>
          <w:szCs w:val="36"/>
          <w:highlight w:val="none"/>
          <w:shd w:val="clear" w:color="auto" w:fill="FFFFFF"/>
        </w:rPr>
      </w:pPr>
      <w:r>
        <w:rPr>
          <w:rFonts w:hint="eastAsia" w:ascii="宋体" w:hAnsi="宋体"/>
          <w:b/>
          <w:bCs/>
          <w:spacing w:val="4"/>
          <w:sz w:val="36"/>
          <w:szCs w:val="36"/>
          <w:highlight w:val="none"/>
          <w:shd w:val="clear" w:color="auto" w:fill="FFFFFF"/>
        </w:rPr>
        <w:t>目  录</w:t>
      </w:r>
    </w:p>
    <w:p w14:paraId="67E46F28">
      <w:pPr>
        <w:spacing w:line="480" w:lineRule="auto"/>
        <w:ind w:firstLine="1090" w:firstLineChars="500"/>
        <w:rPr>
          <w:rFonts w:ascii="宋体" w:hAnsi="宋体"/>
          <w:spacing w:val="4"/>
          <w:szCs w:val="21"/>
          <w:highlight w:val="none"/>
          <w:shd w:val="clear" w:color="auto" w:fill="FFFFFF"/>
        </w:rPr>
      </w:pPr>
    </w:p>
    <w:p w14:paraId="1A47740A">
      <w:pPr>
        <w:spacing w:line="400" w:lineRule="exact"/>
        <w:ind w:right="456" w:firstLine="1958" w:firstLineChars="650"/>
        <w:rPr>
          <w:rFonts w:hint="eastAsia" w:ascii="宋体" w:hAnsi="宋体"/>
          <w:b/>
          <w:bCs/>
          <w:sz w:val="30"/>
          <w:szCs w:val="30"/>
          <w:highlight w:val="none"/>
        </w:rPr>
      </w:pPr>
    </w:p>
    <w:p w14:paraId="01BAC747">
      <w:pPr>
        <w:tabs>
          <w:tab w:val="right" w:leader="hyphen" w:pos="8504"/>
        </w:tabs>
        <w:spacing w:line="360" w:lineRule="auto"/>
        <w:ind w:right="630" w:rightChars="300" w:firstLine="473" w:firstLineChars="148"/>
        <w:rPr>
          <w:rFonts w:ascii="宋体" w:hAnsi="宋体"/>
          <w:sz w:val="32"/>
          <w:szCs w:val="32"/>
          <w:highlight w:val="none"/>
        </w:rPr>
      </w:pPr>
      <w:r>
        <w:rPr>
          <w:rFonts w:ascii="宋体" w:hAnsi="宋体"/>
          <w:sz w:val="32"/>
          <w:szCs w:val="32"/>
          <w:highlight w:val="none"/>
        </w:rPr>
        <w:t>第一部分</w:t>
      </w:r>
      <w:r>
        <w:rPr>
          <w:rFonts w:hint="eastAsia" w:ascii="宋体" w:hAnsi="宋体"/>
          <w:sz w:val="32"/>
          <w:szCs w:val="32"/>
          <w:highlight w:val="none"/>
        </w:rPr>
        <w:t xml:space="preserve"> 投标函</w:t>
      </w:r>
      <w:r>
        <w:rPr>
          <w:rFonts w:ascii="宋体" w:hAnsi="宋体"/>
          <w:sz w:val="32"/>
          <w:szCs w:val="32"/>
          <w:highlight w:val="none"/>
        </w:rPr>
        <w:tab/>
      </w:r>
      <w:r>
        <w:rPr>
          <w:rFonts w:ascii="宋体" w:hAnsi="宋体"/>
          <w:sz w:val="32"/>
          <w:szCs w:val="32"/>
          <w:highlight w:val="none"/>
        </w:rPr>
        <w:t>X</w:t>
      </w:r>
    </w:p>
    <w:p w14:paraId="078B3C74">
      <w:pPr>
        <w:tabs>
          <w:tab w:val="right" w:leader="hyphen" w:pos="8504"/>
        </w:tabs>
        <w:spacing w:line="360" w:lineRule="auto"/>
        <w:ind w:left="2020" w:leftChars="200" w:right="630" w:rightChars="300" w:hanging="1600" w:hangingChars="500"/>
        <w:rPr>
          <w:rFonts w:ascii="宋体" w:hAnsi="宋体"/>
          <w:sz w:val="32"/>
          <w:szCs w:val="32"/>
          <w:highlight w:val="none"/>
        </w:rPr>
      </w:pPr>
    </w:p>
    <w:p w14:paraId="170BE83D">
      <w:pPr>
        <w:tabs>
          <w:tab w:val="right" w:leader="hyphen" w:pos="8504"/>
        </w:tabs>
        <w:spacing w:line="360" w:lineRule="auto"/>
        <w:ind w:left="2020" w:leftChars="200" w:right="630" w:rightChars="300" w:hanging="1600" w:hangingChars="500"/>
        <w:rPr>
          <w:rFonts w:ascii="宋体" w:hAnsi="宋体"/>
          <w:sz w:val="32"/>
          <w:szCs w:val="32"/>
          <w:highlight w:val="none"/>
        </w:rPr>
      </w:pPr>
      <w:r>
        <w:rPr>
          <w:rFonts w:ascii="宋体" w:hAnsi="宋体"/>
          <w:sz w:val="32"/>
          <w:szCs w:val="32"/>
          <w:highlight w:val="none"/>
        </w:rPr>
        <w:t>第二部分</w:t>
      </w:r>
      <w:r>
        <w:rPr>
          <w:rFonts w:hint="eastAsia" w:ascii="宋体" w:hAnsi="宋体"/>
          <w:sz w:val="32"/>
          <w:szCs w:val="32"/>
          <w:highlight w:val="none"/>
        </w:rPr>
        <w:t xml:space="preserve"> 开标一览表（报价表）</w:t>
      </w:r>
      <w:r>
        <w:rPr>
          <w:rFonts w:ascii="宋体" w:hAnsi="宋体"/>
          <w:sz w:val="32"/>
          <w:szCs w:val="32"/>
          <w:highlight w:val="none"/>
        </w:rPr>
        <w:tab/>
      </w:r>
      <w:r>
        <w:rPr>
          <w:rFonts w:ascii="宋体" w:hAnsi="宋体"/>
          <w:sz w:val="32"/>
          <w:szCs w:val="32"/>
          <w:highlight w:val="none"/>
        </w:rPr>
        <w:t>X</w:t>
      </w:r>
    </w:p>
    <w:p w14:paraId="0E843346">
      <w:pPr>
        <w:tabs>
          <w:tab w:val="right" w:leader="hyphen" w:pos="8504"/>
        </w:tabs>
        <w:spacing w:line="360" w:lineRule="auto"/>
        <w:ind w:left="2020" w:leftChars="200" w:right="630" w:rightChars="300" w:hanging="1600" w:hangingChars="500"/>
        <w:rPr>
          <w:rFonts w:ascii="宋体" w:hAnsi="宋体"/>
          <w:sz w:val="32"/>
          <w:szCs w:val="32"/>
          <w:highlight w:val="none"/>
        </w:rPr>
      </w:pPr>
    </w:p>
    <w:p w14:paraId="0EA01BAD">
      <w:pPr>
        <w:tabs>
          <w:tab w:val="right" w:leader="hyphen" w:pos="8504"/>
        </w:tabs>
        <w:spacing w:line="360" w:lineRule="auto"/>
        <w:ind w:left="2020" w:leftChars="200" w:right="630" w:rightChars="300" w:hanging="1600" w:hangingChars="500"/>
        <w:rPr>
          <w:rFonts w:ascii="宋体" w:hAnsi="宋体"/>
          <w:sz w:val="32"/>
          <w:szCs w:val="32"/>
          <w:highlight w:val="none"/>
        </w:rPr>
      </w:pPr>
      <w:r>
        <w:rPr>
          <w:rFonts w:ascii="宋体" w:hAnsi="宋体"/>
          <w:sz w:val="32"/>
          <w:szCs w:val="32"/>
          <w:highlight w:val="none"/>
        </w:rPr>
        <w:t>第三部分</w:t>
      </w:r>
      <w:r>
        <w:rPr>
          <w:rFonts w:hint="eastAsia" w:ascii="宋体" w:hAnsi="宋体"/>
          <w:sz w:val="32"/>
          <w:szCs w:val="32"/>
          <w:highlight w:val="none"/>
        </w:rPr>
        <w:t xml:space="preserve"> </w:t>
      </w:r>
      <w:r>
        <w:rPr>
          <w:rFonts w:ascii="宋体" w:hAnsi="宋体"/>
          <w:sz w:val="32"/>
          <w:szCs w:val="32"/>
          <w:highlight w:val="none"/>
        </w:rPr>
        <w:t>资格证明文件</w:t>
      </w:r>
      <w:r>
        <w:rPr>
          <w:rFonts w:ascii="宋体" w:hAnsi="宋体"/>
          <w:sz w:val="32"/>
          <w:szCs w:val="32"/>
          <w:highlight w:val="none"/>
        </w:rPr>
        <w:tab/>
      </w:r>
      <w:r>
        <w:rPr>
          <w:rFonts w:ascii="宋体" w:hAnsi="宋体"/>
          <w:sz w:val="32"/>
          <w:szCs w:val="32"/>
          <w:highlight w:val="none"/>
        </w:rPr>
        <w:t>X</w:t>
      </w:r>
    </w:p>
    <w:p w14:paraId="1C826DB8">
      <w:pPr>
        <w:pStyle w:val="22"/>
        <w:spacing w:line="400" w:lineRule="exact"/>
        <w:ind w:firstLine="2080" w:firstLineChars="650"/>
        <w:rPr>
          <w:rFonts w:hint="eastAsia" w:hAnsi="宋体"/>
          <w:b/>
          <w:bCs/>
          <w:sz w:val="30"/>
          <w:szCs w:val="30"/>
          <w:highlight w:val="none"/>
        </w:rPr>
      </w:pPr>
      <w:r>
        <w:rPr>
          <w:rFonts w:hAnsi="宋体"/>
          <w:sz w:val="32"/>
          <w:szCs w:val="32"/>
          <w:highlight w:val="none"/>
        </w:rPr>
        <w:t>　　　　</w:t>
      </w:r>
    </w:p>
    <w:p w14:paraId="5E32E701">
      <w:pPr>
        <w:pStyle w:val="22"/>
        <w:spacing w:line="400" w:lineRule="exact"/>
        <w:rPr>
          <w:rFonts w:hint="eastAsia" w:hAnsi="宋体"/>
          <w:b/>
          <w:bCs/>
          <w:sz w:val="30"/>
          <w:szCs w:val="30"/>
          <w:highlight w:val="none"/>
        </w:rPr>
      </w:pPr>
    </w:p>
    <w:p w14:paraId="245BB4F7">
      <w:pPr>
        <w:tabs>
          <w:tab w:val="right" w:leader="hyphen" w:pos="8504"/>
        </w:tabs>
        <w:spacing w:line="360" w:lineRule="auto"/>
        <w:ind w:left="2020" w:leftChars="200" w:right="630" w:rightChars="300" w:hanging="1600" w:hangingChars="500"/>
        <w:rPr>
          <w:rFonts w:hint="eastAsia" w:ascii="宋体" w:hAnsi="宋体"/>
          <w:sz w:val="32"/>
          <w:szCs w:val="32"/>
          <w:highlight w:val="none"/>
        </w:rPr>
      </w:pPr>
      <w:r>
        <w:rPr>
          <w:rFonts w:ascii="宋体" w:hAnsi="宋体"/>
          <w:sz w:val="32"/>
          <w:szCs w:val="32"/>
          <w:highlight w:val="none"/>
        </w:rPr>
        <w:t>第</w:t>
      </w:r>
      <w:r>
        <w:rPr>
          <w:rFonts w:hint="eastAsia" w:ascii="宋体" w:hAnsi="宋体"/>
          <w:sz w:val="32"/>
          <w:szCs w:val="32"/>
          <w:highlight w:val="none"/>
        </w:rPr>
        <w:t>四</w:t>
      </w:r>
      <w:r>
        <w:rPr>
          <w:rFonts w:ascii="宋体" w:hAnsi="宋体"/>
          <w:sz w:val="32"/>
          <w:szCs w:val="32"/>
          <w:highlight w:val="none"/>
        </w:rPr>
        <w:t>部分</w:t>
      </w:r>
      <w:r>
        <w:rPr>
          <w:rFonts w:hint="eastAsia" w:ascii="宋体" w:hAnsi="宋体"/>
          <w:sz w:val="32"/>
          <w:szCs w:val="32"/>
          <w:highlight w:val="none"/>
        </w:rPr>
        <w:t xml:space="preserve"> 投标方案说明</w:t>
      </w:r>
      <w:r>
        <w:rPr>
          <w:rFonts w:ascii="宋体" w:hAnsi="宋体"/>
          <w:sz w:val="32"/>
          <w:szCs w:val="32"/>
          <w:highlight w:val="none"/>
        </w:rPr>
        <w:tab/>
      </w:r>
      <w:r>
        <w:rPr>
          <w:rFonts w:ascii="宋体" w:hAnsi="宋体"/>
          <w:sz w:val="32"/>
          <w:szCs w:val="32"/>
          <w:highlight w:val="none"/>
        </w:rPr>
        <w:t>X</w:t>
      </w:r>
    </w:p>
    <w:p w14:paraId="50340D5C">
      <w:pPr>
        <w:tabs>
          <w:tab w:val="right" w:leader="hyphen" w:pos="8504"/>
        </w:tabs>
        <w:spacing w:line="360" w:lineRule="auto"/>
        <w:ind w:right="630" w:rightChars="300"/>
        <w:rPr>
          <w:rFonts w:ascii="宋体" w:hAnsi="宋体"/>
          <w:sz w:val="32"/>
          <w:szCs w:val="32"/>
          <w:highlight w:val="none"/>
        </w:rPr>
      </w:pPr>
    </w:p>
    <w:p w14:paraId="00ADDAA3">
      <w:pPr>
        <w:tabs>
          <w:tab w:val="right" w:leader="hyphen" w:pos="8504"/>
        </w:tabs>
        <w:spacing w:line="360" w:lineRule="auto"/>
        <w:ind w:left="2020" w:leftChars="200" w:right="630" w:rightChars="300" w:hanging="1600" w:hangingChars="500"/>
        <w:rPr>
          <w:rFonts w:hint="eastAsia" w:ascii="宋体" w:hAnsi="宋体"/>
          <w:sz w:val="32"/>
          <w:szCs w:val="32"/>
          <w:highlight w:val="none"/>
        </w:rPr>
      </w:pPr>
      <w:r>
        <w:rPr>
          <w:rFonts w:ascii="宋体" w:hAnsi="宋体"/>
          <w:sz w:val="32"/>
          <w:szCs w:val="32"/>
          <w:highlight w:val="none"/>
        </w:rPr>
        <w:t>第</w:t>
      </w:r>
      <w:r>
        <w:rPr>
          <w:rFonts w:hint="eastAsia" w:ascii="宋体" w:hAnsi="宋体"/>
          <w:sz w:val="32"/>
          <w:szCs w:val="32"/>
          <w:highlight w:val="none"/>
        </w:rPr>
        <w:t>五</w:t>
      </w:r>
      <w:r>
        <w:rPr>
          <w:rFonts w:ascii="宋体" w:hAnsi="宋体"/>
          <w:sz w:val="32"/>
          <w:szCs w:val="32"/>
          <w:highlight w:val="none"/>
        </w:rPr>
        <w:t>部分</w:t>
      </w:r>
      <w:r>
        <w:rPr>
          <w:rFonts w:hint="eastAsia" w:ascii="宋体" w:hAnsi="宋体"/>
          <w:sz w:val="32"/>
          <w:szCs w:val="32"/>
          <w:highlight w:val="none"/>
        </w:rPr>
        <w:t xml:space="preserve"> 供应商承诺书</w:t>
      </w:r>
      <w:r>
        <w:rPr>
          <w:rFonts w:ascii="宋体" w:hAnsi="宋体"/>
          <w:sz w:val="32"/>
          <w:szCs w:val="32"/>
          <w:highlight w:val="none"/>
        </w:rPr>
        <w:tab/>
      </w:r>
      <w:r>
        <w:rPr>
          <w:rFonts w:ascii="宋体" w:hAnsi="宋体"/>
          <w:sz w:val="32"/>
          <w:szCs w:val="32"/>
          <w:highlight w:val="none"/>
        </w:rPr>
        <w:t>X</w:t>
      </w:r>
    </w:p>
    <w:p w14:paraId="30301455">
      <w:pPr>
        <w:tabs>
          <w:tab w:val="right" w:leader="hyphen" w:pos="8504"/>
        </w:tabs>
        <w:spacing w:line="360" w:lineRule="auto"/>
        <w:ind w:left="2020" w:leftChars="200" w:right="630" w:rightChars="300" w:hanging="1600" w:hangingChars="500"/>
        <w:rPr>
          <w:rFonts w:hint="eastAsia" w:ascii="宋体" w:hAnsi="宋体"/>
          <w:sz w:val="32"/>
          <w:szCs w:val="32"/>
          <w:highlight w:val="none"/>
        </w:rPr>
      </w:pPr>
    </w:p>
    <w:p w14:paraId="66A3434B">
      <w:pPr>
        <w:tabs>
          <w:tab w:val="right" w:leader="hyphen" w:pos="8504"/>
        </w:tabs>
        <w:spacing w:line="360" w:lineRule="auto"/>
        <w:ind w:left="2020" w:leftChars="200" w:right="630" w:rightChars="300" w:hanging="1600" w:hangingChars="500"/>
        <w:rPr>
          <w:rFonts w:ascii="宋体" w:hAnsi="宋体"/>
          <w:sz w:val="32"/>
          <w:szCs w:val="32"/>
          <w:highlight w:val="none"/>
        </w:rPr>
      </w:pPr>
      <w:r>
        <w:rPr>
          <w:rFonts w:ascii="宋体" w:hAnsi="宋体"/>
          <w:sz w:val="32"/>
          <w:szCs w:val="32"/>
          <w:highlight w:val="none"/>
        </w:rPr>
        <w:t>第</w:t>
      </w:r>
      <w:r>
        <w:rPr>
          <w:rFonts w:hint="eastAsia" w:ascii="宋体" w:hAnsi="宋体"/>
          <w:sz w:val="32"/>
          <w:szCs w:val="32"/>
          <w:highlight w:val="none"/>
        </w:rPr>
        <w:t>六</w:t>
      </w:r>
      <w:r>
        <w:rPr>
          <w:rFonts w:ascii="宋体" w:hAnsi="宋体"/>
          <w:sz w:val="32"/>
          <w:szCs w:val="32"/>
          <w:highlight w:val="none"/>
        </w:rPr>
        <w:t>部分</w:t>
      </w:r>
      <w:r>
        <w:rPr>
          <w:rFonts w:hint="eastAsia" w:ascii="宋体" w:hAnsi="宋体"/>
          <w:sz w:val="32"/>
          <w:szCs w:val="32"/>
          <w:highlight w:val="none"/>
        </w:rPr>
        <w:t xml:space="preserve"> 附件</w:t>
      </w:r>
      <w:r>
        <w:rPr>
          <w:rFonts w:ascii="宋体" w:hAnsi="宋体"/>
          <w:sz w:val="32"/>
          <w:szCs w:val="32"/>
          <w:highlight w:val="none"/>
        </w:rPr>
        <w:tab/>
      </w:r>
      <w:r>
        <w:rPr>
          <w:rFonts w:ascii="宋体" w:hAnsi="宋体"/>
          <w:sz w:val="32"/>
          <w:szCs w:val="32"/>
          <w:highlight w:val="none"/>
        </w:rPr>
        <w:t>X</w:t>
      </w:r>
    </w:p>
    <w:p w14:paraId="7B22B378">
      <w:pPr>
        <w:spacing w:line="480" w:lineRule="auto"/>
        <w:ind w:firstLine="1090" w:firstLineChars="500"/>
        <w:rPr>
          <w:rFonts w:ascii="宋体" w:hAnsi="宋体"/>
          <w:spacing w:val="4"/>
          <w:szCs w:val="21"/>
          <w:highlight w:val="none"/>
          <w:shd w:val="clear" w:color="auto" w:fill="FFFFFF"/>
        </w:rPr>
      </w:pPr>
    </w:p>
    <w:p w14:paraId="351CCB86">
      <w:pPr>
        <w:spacing w:line="400" w:lineRule="exact"/>
        <w:jc w:val="center"/>
        <w:rPr>
          <w:rFonts w:hint="eastAsia" w:ascii="宋体" w:hAnsi="宋体"/>
          <w:b/>
          <w:sz w:val="32"/>
          <w:szCs w:val="32"/>
          <w:highlight w:val="none"/>
        </w:rPr>
      </w:pPr>
      <w:r>
        <w:rPr>
          <w:rFonts w:hint="eastAsia" w:ascii="宋体" w:hAnsi="宋体"/>
          <w:sz w:val="28"/>
          <w:highlight w:val="none"/>
          <w:shd w:val="clear" w:color="auto" w:fill="FFFFFF"/>
        </w:rPr>
        <w:br w:type="page"/>
      </w:r>
      <w:r>
        <w:rPr>
          <w:rFonts w:hint="eastAsia" w:ascii="宋体" w:hAnsi="宋体"/>
          <w:b/>
          <w:sz w:val="32"/>
          <w:szCs w:val="32"/>
          <w:highlight w:val="none"/>
        </w:rPr>
        <w:t>第一部分   投标函</w:t>
      </w:r>
    </w:p>
    <w:p w14:paraId="21E70C63">
      <w:pPr>
        <w:kinsoku w:val="0"/>
        <w:spacing w:line="360" w:lineRule="auto"/>
        <w:jc w:val="left"/>
        <w:rPr>
          <w:rFonts w:hint="eastAsia" w:ascii="宋体" w:hAnsi="宋体"/>
          <w:sz w:val="24"/>
          <w:szCs w:val="24"/>
          <w:highlight w:val="none"/>
        </w:rPr>
      </w:pPr>
      <w:r>
        <w:rPr>
          <w:rFonts w:hint="eastAsia" w:ascii="宋体" w:hAnsi="宋体"/>
          <w:sz w:val="24"/>
          <w:szCs w:val="24"/>
          <w:highlight w:val="none"/>
          <w:lang w:eastAsia="zh-CN"/>
        </w:rPr>
        <w:t>陕西广联达招标有限公司</w:t>
      </w:r>
      <w:r>
        <w:rPr>
          <w:rFonts w:hint="eastAsia" w:ascii="宋体" w:hAnsi="宋体"/>
          <w:sz w:val="24"/>
          <w:szCs w:val="24"/>
          <w:highlight w:val="none"/>
        </w:rPr>
        <w:t>：</w:t>
      </w:r>
    </w:p>
    <w:p w14:paraId="7EAF8397">
      <w:pPr>
        <w:spacing w:line="360" w:lineRule="auto"/>
        <w:ind w:firstLine="496" w:firstLineChars="200"/>
        <w:jc w:val="left"/>
        <w:rPr>
          <w:rFonts w:hint="eastAsia" w:ascii="宋体" w:hAnsi="宋体"/>
          <w:spacing w:val="4"/>
          <w:sz w:val="24"/>
          <w:szCs w:val="24"/>
          <w:highlight w:val="none"/>
          <w:u w:val="none"/>
        </w:rPr>
      </w:pPr>
      <w:r>
        <w:rPr>
          <w:rFonts w:hint="eastAsia" w:ascii="宋体" w:hAnsi="宋体"/>
          <w:spacing w:val="4"/>
          <w:sz w:val="24"/>
          <w:szCs w:val="24"/>
          <w:highlight w:val="none"/>
        </w:rPr>
        <w:t>根据贵方为</w:t>
      </w:r>
      <w:r>
        <w:rPr>
          <w:rFonts w:hint="eastAsia" w:ascii="宋体" w:hAnsi="宋体"/>
          <w:spacing w:val="4"/>
          <w:sz w:val="24"/>
          <w:szCs w:val="24"/>
          <w:highlight w:val="none"/>
          <w:u w:val="single"/>
        </w:rPr>
        <w:t xml:space="preserve">（项目名称）(项目编号)  </w:t>
      </w:r>
      <w:r>
        <w:rPr>
          <w:rFonts w:hint="eastAsia" w:ascii="宋体" w:hAnsi="宋体"/>
          <w:spacing w:val="4"/>
          <w:sz w:val="24"/>
          <w:szCs w:val="24"/>
          <w:highlight w:val="none"/>
        </w:rPr>
        <w:t>项目招标采购货物及服务的招标邀请，签字代表</w:t>
      </w:r>
      <w:r>
        <w:rPr>
          <w:rFonts w:hint="eastAsia" w:ascii="宋体" w:hAnsi="宋体"/>
          <w:spacing w:val="4"/>
          <w:sz w:val="24"/>
          <w:szCs w:val="24"/>
          <w:highlight w:val="none"/>
          <w:u w:val="single"/>
        </w:rPr>
        <w:t xml:space="preserve">（姓名、职务）   </w:t>
      </w:r>
      <w:r>
        <w:rPr>
          <w:rFonts w:hint="eastAsia" w:ascii="宋体" w:hAnsi="宋体"/>
          <w:spacing w:val="4"/>
          <w:sz w:val="24"/>
          <w:szCs w:val="24"/>
          <w:highlight w:val="none"/>
        </w:rPr>
        <w:t>经正式授权并代表投标供应商</w:t>
      </w:r>
      <w:r>
        <w:rPr>
          <w:rFonts w:hint="eastAsia" w:ascii="宋体" w:hAnsi="宋体"/>
          <w:spacing w:val="4"/>
          <w:sz w:val="24"/>
          <w:szCs w:val="24"/>
          <w:highlight w:val="none"/>
          <w:u w:val="single"/>
        </w:rPr>
        <w:t>(投标供应商名称</w:t>
      </w:r>
      <w:r>
        <w:rPr>
          <w:rFonts w:hint="eastAsia" w:ascii="宋体" w:hAnsi="宋体"/>
          <w:spacing w:val="4"/>
          <w:sz w:val="24"/>
          <w:szCs w:val="24"/>
          <w:highlight w:val="none"/>
          <w:u w:val="none"/>
        </w:rPr>
        <w:t>)</w:t>
      </w:r>
      <w:r>
        <w:rPr>
          <w:rFonts w:hint="eastAsia" w:ascii="宋体" w:hAnsi="宋体"/>
          <w:spacing w:val="4"/>
          <w:sz w:val="24"/>
          <w:szCs w:val="24"/>
          <w:highlight w:val="none"/>
          <w:u w:val="none"/>
          <w:lang w:val="en-US" w:eastAsia="zh-CN"/>
        </w:rPr>
        <w:t>参加本项目线上投标</w:t>
      </w:r>
      <w:r>
        <w:rPr>
          <w:rFonts w:hint="eastAsia" w:ascii="宋体" w:hAnsi="宋体"/>
          <w:spacing w:val="4"/>
          <w:sz w:val="24"/>
          <w:szCs w:val="24"/>
          <w:highlight w:val="none"/>
          <w:u w:val="none"/>
        </w:rPr>
        <w:t xml:space="preserve"> 。</w:t>
      </w:r>
    </w:p>
    <w:p w14:paraId="0E8F7894">
      <w:pPr>
        <w:spacing w:line="360" w:lineRule="auto"/>
        <w:ind w:left="549" w:leftChars="251" w:hanging="22" w:hangingChars="9"/>
        <w:jc w:val="left"/>
        <w:rPr>
          <w:rFonts w:hint="eastAsia" w:ascii="宋体" w:hAnsi="宋体"/>
          <w:spacing w:val="4"/>
          <w:sz w:val="24"/>
          <w:szCs w:val="24"/>
          <w:highlight w:val="none"/>
        </w:rPr>
      </w:pPr>
      <w:r>
        <w:rPr>
          <w:rFonts w:hint="eastAsia" w:ascii="宋体" w:hAnsi="宋体"/>
          <w:spacing w:val="4"/>
          <w:sz w:val="24"/>
          <w:szCs w:val="24"/>
          <w:highlight w:val="none"/>
        </w:rPr>
        <w:t>我方承诺如下：</w:t>
      </w:r>
    </w:p>
    <w:p w14:paraId="2BC83D89">
      <w:pPr>
        <w:numPr>
          <w:ilvl w:val="0"/>
          <w:numId w:val="2"/>
        </w:numPr>
        <w:tabs>
          <w:tab w:val="left" w:pos="720"/>
          <w:tab w:val="left" w:pos="2160"/>
        </w:tabs>
        <w:spacing w:line="360" w:lineRule="auto"/>
        <w:ind w:left="0" w:firstLine="0"/>
        <w:jc w:val="left"/>
        <w:rPr>
          <w:rFonts w:hint="eastAsia" w:ascii="宋体" w:hAnsi="宋体"/>
          <w:spacing w:val="4"/>
          <w:sz w:val="24"/>
          <w:szCs w:val="24"/>
          <w:highlight w:val="none"/>
        </w:rPr>
      </w:pPr>
      <w:r>
        <w:rPr>
          <w:rFonts w:hint="eastAsia" w:ascii="宋体" w:hAnsi="宋体"/>
          <w:spacing w:val="4"/>
          <w:sz w:val="24"/>
          <w:szCs w:val="24"/>
          <w:highlight w:val="none"/>
        </w:rPr>
        <w:t xml:space="preserve">投标报价为 </w:t>
      </w:r>
      <w:r>
        <w:rPr>
          <w:rFonts w:hint="eastAsia" w:ascii="宋体" w:hAnsi="宋体"/>
          <w:spacing w:val="4"/>
          <w:sz w:val="24"/>
          <w:szCs w:val="24"/>
          <w:highlight w:val="none"/>
          <w:u w:val="single"/>
        </w:rPr>
        <w:t xml:space="preserve">        </w:t>
      </w:r>
      <w:r>
        <w:rPr>
          <w:rFonts w:hint="eastAsia" w:ascii="宋体" w:hAnsi="宋体"/>
          <w:spacing w:val="4"/>
          <w:sz w:val="24"/>
          <w:szCs w:val="24"/>
          <w:highlight w:val="none"/>
        </w:rPr>
        <w:t>（人民币）（用文字和数字表示的报价）。</w:t>
      </w:r>
    </w:p>
    <w:p w14:paraId="33B3CDE5">
      <w:pPr>
        <w:numPr>
          <w:ilvl w:val="0"/>
          <w:numId w:val="2"/>
        </w:numPr>
        <w:tabs>
          <w:tab w:val="left" w:pos="720"/>
          <w:tab w:val="left" w:pos="2160"/>
        </w:tabs>
        <w:spacing w:line="360" w:lineRule="auto"/>
        <w:ind w:left="0" w:firstLine="0"/>
        <w:jc w:val="left"/>
        <w:rPr>
          <w:rFonts w:hint="eastAsia" w:ascii="宋体" w:hAnsi="宋体"/>
          <w:spacing w:val="4"/>
          <w:sz w:val="24"/>
          <w:szCs w:val="24"/>
          <w:highlight w:val="none"/>
        </w:rPr>
      </w:pPr>
      <w:r>
        <w:rPr>
          <w:rFonts w:hint="eastAsia" w:ascii="宋体" w:hAnsi="宋体"/>
          <w:spacing w:val="4"/>
          <w:sz w:val="24"/>
          <w:szCs w:val="24"/>
          <w:highlight w:val="none"/>
        </w:rPr>
        <w:t>如果中标，我们根据招标文件的规定，履行合同的责任和义务。</w:t>
      </w:r>
    </w:p>
    <w:p w14:paraId="6CB987FB">
      <w:pPr>
        <w:numPr>
          <w:ilvl w:val="0"/>
          <w:numId w:val="2"/>
        </w:numPr>
        <w:tabs>
          <w:tab w:val="left" w:pos="720"/>
          <w:tab w:val="left" w:pos="2160"/>
        </w:tabs>
        <w:spacing w:line="360" w:lineRule="auto"/>
        <w:ind w:left="0" w:firstLine="0"/>
        <w:jc w:val="left"/>
        <w:rPr>
          <w:rFonts w:hint="eastAsia" w:ascii="宋体" w:hAnsi="宋体"/>
          <w:spacing w:val="4"/>
          <w:sz w:val="24"/>
          <w:szCs w:val="24"/>
          <w:highlight w:val="none"/>
        </w:rPr>
      </w:pPr>
      <w:r>
        <w:rPr>
          <w:rFonts w:hint="eastAsia" w:ascii="宋体" w:hAnsi="宋体"/>
          <w:spacing w:val="4"/>
          <w:sz w:val="24"/>
          <w:szCs w:val="24"/>
          <w:highlight w:val="none"/>
        </w:rPr>
        <w:t>我们已详细阅读和审核全部招标文件（含修改部分，如有的话），及有关附件，我们知道必须放弃提出含糊不清或误解的问题的权利。</w:t>
      </w:r>
    </w:p>
    <w:p w14:paraId="666B4A6D">
      <w:pPr>
        <w:numPr>
          <w:ilvl w:val="0"/>
          <w:numId w:val="2"/>
        </w:numPr>
        <w:tabs>
          <w:tab w:val="left" w:pos="720"/>
          <w:tab w:val="left" w:pos="2160"/>
        </w:tabs>
        <w:spacing w:line="360" w:lineRule="auto"/>
        <w:ind w:left="0" w:firstLine="0"/>
        <w:jc w:val="left"/>
        <w:rPr>
          <w:rFonts w:hint="eastAsia" w:ascii="宋体" w:hAnsi="宋体"/>
          <w:spacing w:val="4"/>
          <w:sz w:val="24"/>
          <w:szCs w:val="24"/>
          <w:highlight w:val="none"/>
        </w:rPr>
      </w:pPr>
      <w:r>
        <w:rPr>
          <w:rFonts w:hint="eastAsia" w:ascii="宋体" w:hAnsi="宋体"/>
          <w:spacing w:val="4"/>
          <w:sz w:val="24"/>
          <w:szCs w:val="24"/>
          <w:highlight w:val="none"/>
        </w:rPr>
        <w:t>我们同意在贵方文件规定的有效期内（自</w:t>
      </w:r>
      <w:r>
        <w:rPr>
          <w:rFonts w:hint="eastAsia" w:ascii="宋体" w:hAnsi="宋体" w:cs="仿宋_GB2312"/>
          <w:sz w:val="24"/>
          <w:szCs w:val="24"/>
          <w:highlight w:val="none"/>
        </w:rPr>
        <w:t>投标文件递交截止之日算</w:t>
      </w:r>
      <w:r>
        <w:rPr>
          <w:rFonts w:hint="eastAsia" w:ascii="宋体" w:hAnsi="宋体"/>
          <w:spacing w:val="4"/>
          <w:sz w:val="24"/>
          <w:szCs w:val="24"/>
          <w:highlight w:val="none"/>
        </w:rPr>
        <w:t>起</w:t>
      </w:r>
      <w:r>
        <w:rPr>
          <w:rFonts w:hint="eastAsia" w:ascii="宋体" w:hAnsi="宋体"/>
          <w:spacing w:val="4"/>
          <w:sz w:val="24"/>
          <w:szCs w:val="24"/>
          <w:highlight w:val="none"/>
          <w:u w:val="single"/>
        </w:rPr>
        <w:t xml:space="preserve">   </w:t>
      </w:r>
      <w:r>
        <w:rPr>
          <w:rFonts w:hint="eastAsia" w:ascii="宋体" w:hAnsi="宋体"/>
          <w:spacing w:val="4"/>
          <w:sz w:val="24"/>
          <w:szCs w:val="24"/>
          <w:highlight w:val="none"/>
        </w:rPr>
        <w:t>天），本函对我方具有约束力。</w:t>
      </w:r>
    </w:p>
    <w:p w14:paraId="0BEAB753">
      <w:pPr>
        <w:numPr>
          <w:ilvl w:val="0"/>
          <w:numId w:val="2"/>
        </w:numPr>
        <w:tabs>
          <w:tab w:val="left" w:pos="720"/>
          <w:tab w:val="left" w:pos="2160"/>
        </w:tabs>
        <w:spacing w:line="360" w:lineRule="auto"/>
        <w:ind w:left="0" w:firstLine="0"/>
        <w:jc w:val="left"/>
        <w:rPr>
          <w:rFonts w:hint="eastAsia" w:ascii="宋体" w:hAnsi="宋体"/>
          <w:spacing w:val="4"/>
          <w:sz w:val="24"/>
          <w:szCs w:val="24"/>
          <w:highlight w:val="none"/>
        </w:rPr>
      </w:pPr>
      <w:r>
        <w:rPr>
          <w:rFonts w:hint="eastAsia" w:ascii="宋体" w:hAnsi="宋体"/>
          <w:spacing w:val="4"/>
          <w:sz w:val="24"/>
          <w:szCs w:val="24"/>
          <w:highlight w:val="none"/>
        </w:rPr>
        <w:t>我方承诺，按照招标要求提交的全部资格和其他证明文件的真实性，如有虚假，愿承担一切法律责任。</w:t>
      </w:r>
    </w:p>
    <w:p w14:paraId="5F4C92C3">
      <w:pPr>
        <w:numPr>
          <w:ilvl w:val="0"/>
          <w:numId w:val="2"/>
        </w:numPr>
        <w:tabs>
          <w:tab w:val="left" w:pos="720"/>
          <w:tab w:val="left" w:pos="2160"/>
        </w:tabs>
        <w:spacing w:line="360" w:lineRule="auto"/>
        <w:ind w:left="0" w:firstLine="0"/>
        <w:jc w:val="left"/>
        <w:rPr>
          <w:rFonts w:hint="eastAsia" w:ascii="宋体" w:hAnsi="宋体"/>
          <w:spacing w:val="4"/>
          <w:sz w:val="24"/>
          <w:szCs w:val="24"/>
          <w:highlight w:val="none"/>
        </w:rPr>
      </w:pPr>
      <w:r>
        <w:rPr>
          <w:rFonts w:hint="eastAsia" w:ascii="宋体" w:hAnsi="宋体"/>
          <w:spacing w:val="4"/>
          <w:sz w:val="24"/>
          <w:szCs w:val="24"/>
          <w:highlight w:val="none"/>
        </w:rPr>
        <w:t xml:space="preserve">同意提供贵方可能另外要求的与本招标有关的任何证据和资料。 </w:t>
      </w:r>
    </w:p>
    <w:p w14:paraId="543DC274">
      <w:pPr>
        <w:numPr>
          <w:ilvl w:val="0"/>
          <w:numId w:val="2"/>
        </w:numPr>
        <w:tabs>
          <w:tab w:val="left" w:pos="720"/>
          <w:tab w:val="left" w:pos="2160"/>
        </w:tabs>
        <w:spacing w:line="360" w:lineRule="auto"/>
        <w:ind w:left="0" w:firstLine="0"/>
        <w:jc w:val="left"/>
        <w:rPr>
          <w:rFonts w:hint="eastAsia" w:ascii="宋体" w:hAnsi="宋体"/>
          <w:spacing w:val="4"/>
          <w:sz w:val="24"/>
          <w:szCs w:val="24"/>
          <w:highlight w:val="none"/>
        </w:rPr>
      </w:pPr>
      <w:r>
        <w:rPr>
          <w:rFonts w:hint="eastAsia" w:ascii="宋体" w:hAnsi="宋体"/>
          <w:spacing w:val="4"/>
          <w:sz w:val="24"/>
          <w:szCs w:val="24"/>
          <w:highlight w:val="none"/>
        </w:rPr>
        <w:t>我们同意，如果中标，向</w:t>
      </w:r>
      <w:r>
        <w:rPr>
          <w:rFonts w:hint="eastAsia" w:ascii="宋体" w:hAnsi="宋体"/>
          <w:spacing w:val="4"/>
          <w:sz w:val="24"/>
          <w:szCs w:val="24"/>
          <w:highlight w:val="none"/>
          <w:lang w:eastAsia="zh-CN"/>
        </w:rPr>
        <w:t>陕西广联达招标有限公司</w:t>
      </w:r>
      <w:r>
        <w:rPr>
          <w:rFonts w:hint="eastAsia" w:ascii="宋体" w:hAnsi="宋体"/>
          <w:spacing w:val="4"/>
          <w:sz w:val="24"/>
          <w:szCs w:val="24"/>
          <w:highlight w:val="none"/>
        </w:rPr>
        <w:t>交纳招标代理服务费。</w:t>
      </w:r>
    </w:p>
    <w:p w14:paraId="27FA2CF9">
      <w:pPr>
        <w:numPr>
          <w:ilvl w:val="0"/>
          <w:numId w:val="2"/>
        </w:numPr>
        <w:tabs>
          <w:tab w:val="left" w:pos="720"/>
          <w:tab w:val="left" w:pos="2160"/>
        </w:tabs>
        <w:spacing w:line="360" w:lineRule="auto"/>
        <w:ind w:left="0" w:firstLine="0"/>
        <w:jc w:val="left"/>
        <w:rPr>
          <w:rFonts w:hint="eastAsia" w:ascii="宋体" w:hAnsi="宋体"/>
          <w:spacing w:val="4"/>
          <w:sz w:val="24"/>
          <w:szCs w:val="24"/>
          <w:highlight w:val="none"/>
        </w:rPr>
      </w:pPr>
      <w:r>
        <w:rPr>
          <w:rFonts w:hint="eastAsia" w:ascii="宋体" w:hAnsi="宋体"/>
          <w:sz w:val="24"/>
          <w:szCs w:val="24"/>
          <w:highlight w:val="none"/>
        </w:rPr>
        <w:t>所有关于本次招标的函电，请按下列地址、方式联系：</w:t>
      </w:r>
    </w:p>
    <w:p w14:paraId="2C43A3FB">
      <w:pPr>
        <w:kinsoku w:val="0"/>
        <w:spacing w:line="360" w:lineRule="auto"/>
        <w:ind w:firstLine="840"/>
        <w:rPr>
          <w:rFonts w:hint="eastAsia" w:ascii="宋体" w:hAnsi="宋体"/>
          <w:sz w:val="24"/>
          <w:szCs w:val="24"/>
          <w:highlight w:val="none"/>
        </w:rPr>
      </w:pPr>
      <w:r>
        <w:rPr>
          <w:rFonts w:hint="eastAsia" w:ascii="宋体" w:hAnsi="宋体"/>
          <w:sz w:val="24"/>
          <w:szCs w:val="24"/>
          <w:highlight w:val="none"/>
        </w:rPr>
        <w:t>地    址：</w:t>
      </w:r>
      <w:r>
        <w:rPr>
          <w:rFonts w:hint="eastAsia" w:ascii="宋体" w:hAnsi="宋体"/>
          <w:sz w:val="24"/>
          <w:szCs w:val="24"/>
          <w:highlight w:val="none"/>
          <w:u w:val="single"/>
        </w:rPr>
        <w:t xml:space="preserve">                                                     </w:t>
      </w:r>
    </w:p>
    <w:p w14:paraId="3F8688AF">
      <w:pPr>
        <w:kinsoku w:val="0"/>
        <w:spacing w:line="360" w:lineRule="auto"/>
        <w:ind w:firstLine="840"/>
        <w:rPr>
          <w:rFonts w:ascii="宋体" w:hAnsi="宋体"/>
          <w:sz w:val="24"/>
          <w:szCs w:val="24"/>
          <w:highlight w:val="none"/>
        </w:rPr>
      </w:pPr>
      <w:r>
        <w:rPr>
          <w:rFonts w:ascii="宋体" w:hAnsi="宋体"/>
          <w:sz w:val="24"/>
          <w:szCs w:val="24"/>
          <w:highlight w:val="none"/>
        </w:rPr>
        <w:t>开户银行：</w:t>
      </w:r>
      <w:r>
        <w:rPr>
          <w:rFonts w:hint="eastAsia" w:ascii="宋体" w:hAnsi="宋体"/>
          <w:sz w:val="24"/>
          <w:szCs w:val="24"/>
          <w:highlight w:val="none"/>
          <w:u w:val="single"/>
        </w:rPr>
        <w:t xml:space="preserve">                                                     </w:t>
      </w:r>
    </w:p>
    <w:p w14:paraId="2F44D3F2">
      <w:pPr>
        <w:kinsoku w:val="0"/>
        <w:spacing w:line="360" w:lineRule="auto"/>
        <w:ind w:firstLine="840"/>
        <w:rPr>
          <w:rFonts w:hint="eastAsia" w:ascii="宋体" w:hAnsi="宋体"/>
          <w:sz w:val="24"/>
          <w:szCs w:val="24"/>
          <w:highlight w:val="none"/>
        </w:rPr>
      </w:pPr>
      <w:r>
        <w:rPr>
          <w:rFonts w:ascii="宋体" w:hAnsi="宋体"/>
          <w:sz w:val="24"/>
          <w:szCs w:val="24"/>
          <w:highlight w:val="none"/>
        </w:rPr>
        <w:t>帐    号：</w:t>
      </w:r>
      <w:r>
        <w:rPr>
          <w:rFonts w:hint="eastAsia" w:ascii="宋体" w:hAnsi="宋体"/>
          <w:sz w:val="24"/>
          <w:szCs w:val="24"/>
          <w:highlight w:val="none"/>
          <w:u w:val="single"/>
        </w:rPr>
        <w:t xml:space="preserve">                                                     </w:t>
      </w:r>
    </w:p>
    <w:p w14:paraId="6050D9ED">
      <w:pPr>
        <w:kinsoku w:val="0"/>
        <w:spacing w:line="360" w:lineRule="auto"/>
        <w:ind w:firstLine="840"/>
        <w:rPr>
          <w:rFonts w:hint="eastAsia" w:ascii="宋体" w:hAnsi="宋体"/>
          <w:sz w:val="24"/>
          <w:szCs w:val="24"/>
          <w:highlight w:val="none"/>
          <w:u w:val="single"/>
        </w:rPr>
      </w:pPr>
      <w:r>
        <w:rPr>
          <w:rFonts w:hint="eastAsia" w:ascii="宋体" w:hAnsi="宋体"/>
          <w:sz w:val="24"/>
          <w:szCs w:val="24"/>
          <w:highlight w:val="none"/>
        </w:rPr>
        <w:t>电    话：</w:t>
      </w:r>
      <w:r>
        <w:rPr>
          <w:rFonts w:hint="eastAsia" w:ascii="宋体" w:hAnsi="宋体"/>
          <w:sz w:val="24"/>
          <w:szCs w:val="24"/>
          <w:highlight w:val="none"/>
          <w:u w:val="single"/>
        </w:rPr>
        <w:t xml:space="preserve">                                                     </w:t>
      </w:r>
    </w:p>
    <w:p w14:paraId="6646BD2F">
      <w:pPr>
        <w:kinsoku w:val="0"/>
        <w:spacing w:line="360" w:lineRule="auto"/>
        <w:ind w:firstLine="840"/>
        <w:rPr>
          <w:rFonts w:hint="eastAsia" w:ascii="宋体" w:hAnsi="宋体"/>
          <w:sz w:val="24"/>
          <w:szCs w:val="24"/>
          <w:highlight w:val="none"/>
          <w:u w:val="single"/>
        </w:rPr>
      </w:pPr>
      <w:r>
        <w:rPr>
          <w:rFonts w:hint="eastAsia" w:ascii="宋体" w:hAnsi="宋体"/>
          <w:sz w:val="24"/>
          <w:szCs w:val="24"/>
          <w:highlight w:val="none"/>
        </w:rPr>
        <w:t>传    真：</w:t>
      </w:r>
      <w:r>
        <w:rPr>
          <w:rFonts w:hint="eastAsia" w:ascii="宋体" w:hAnsi="宋体"/>
          <w:sz w:val="24"/>
          <w:szCs w:val="24"/>
          <w:highlight w:val="none"/>
          <w:u w:val="single"/>
        </w:rPr>
        <w:t xml:space="preserve">                                                     </w:t>
      </w:r>
    </w:p>
    <w:p w14:paraId="7C9C61D7">
      <w:pPr>
        <w:kinsoku w:val="0"/>
        <w:spacing w:line="360" w:lineRule="auto"/>
        <w:ind w:firstLine="840"/>
        <w:rPr>
          <w:rFonts w:hint="eastAsia" w:ascii="宋体" w:hAnsi="宋体"/>
          <w:sz w:val="24"/>
          <w:szCs w:val="24"/>
          <w:highlight w:val="none"/>
          <w:u w:val="single"/>
        </w:rPr>
      </w:pPr>
      <w:r>
        <w:rPr>
          <w:rFonts w:hint="eastAsia" w:ascii="宋体" w:hAnsi="宋体"/>
          <w:sz w:val="24"/>
          <w:szCs w:val="24"/>
          <w:highlight w:val="none"/>
        </w:rPr>
        <w:t>供应商（公章）：</w:t>
      </w:r>
      <w:r>
        <w:rPr>
          <w:rFonts w:hint="eastAsia" w:ascii="宋体" w:hAnsi="宋体"/>
          <w:sz w:val="24"/>
          <w:szCs w:val="24"/>
          <w:highlight w:val="none"/>
          <w:u w:val="single"/>
        </w:rPr>
        <w:t xml:space="preserve">                                            </w:t>
      </w:r>
    </w:p>
    <w:p w14:paraId="2CAC49DD">
      <w:pPr>
        <w:kinsoku w:val="0"/>
        <w:spacing w:line="360" w:lineRule="auto"/>
        <w:ind w:firstLine="840"/>
        <w:rPr>
          <w:rFonts w:hint="eastAsia" w:ascii="宋体" w:hAnsi="宋体"/>
          <w:sz w:val="24"/>
          <w:szCs w:val="24"/>
          <w:highlight w:val="none"/>
          <w:u w:val="single"/>
        </w:rPr>
      </w:pPr>
      <w:r>
        <w:rPr>
          <w:rFonts w:hint="eastAsia" w:ascii="宋体" w:hAnsi="宋体"/>
          <w:sz w:val="24"/>
          <w:szCs w:val="24"/>
          <w:highlight w:val="none"/>
        </w:rPr>
        <w:t>法定代表人或被授权人（签字或</w:t>
      </w:r>
      <w:r>
        <w:rPr>
          <w:rFonts w:ascii="宋体" w:hAnsi="宋体"/>
          <w:sz w:val="24"/>
          <w:szCs w:val="24"/>
          <w:highlight w:val="none"/>
        </w:rPr>
        <w:t>盖章</w:t>
      </w:r>
      <w:r>
        <w:rPr>
          <w:rFonts w:hint="eastAsia" w:ascii="宋体" w:hAnsi="宋体"/>
          <w:sz w:val="24"/>
          <w:szCs w:val="24"/>
          <w:highlight w:val="none"/>
        </w:rPr>
        <w:t>）：</w:t>
      </w:r>
      <w:r>
        <w:rPr>
          <w:rFonts w:hint="eastAsia" w:ascii="宋体" w:hAnsi="宋体"/>
          <w:sz w:val="24"/>
          <w:szCs w:val="24"/>
          <w:highlight w:val="none"/>
          <w:u w:val="single"/>
        </w:rPr>
        <w:t xml:space="preserve">                            </w:t>
      </w:r>
    </w:p>
    <w:p w14:paraId="08315A6D">
      <w:pPr>
        <w:kinsoku w:val="0"/>
        <w:spacing w:line="360" w:lineRule="auto"/>
        <w:ind w:firstLine="570"/>
        <w:rPr>
          <w:rFonts w:hint="eastAsia" w:ascii="宋体" w:hAnsi="宋体"/>
          <w:sz w:val="24"/>
          <w:szCs w:val="24"/>
          <w:highlight w:val="none"/>
        </w:rPr>
      </w:pPr>
      <w:r>
        <w:rPr>
          <w:rFonts w:hint="eastAsia" w:ascii="宋体" w:hAnsi="宋体"/>
          <w:sz w:val="24"/>
          <w:szCs w:val="24"/>
          <w:highlight w:val="none"/>
        </w:rPr>
        <w:t xml:space="preserve">                                   </w:t>
      </w:r>
    </w:p>
    <w:p w14:paraId="4BCE6387">
      <w:pPr>
        <w:kinsoku w:val="0"/>
        <w:spacing w:line="360" w:lineRule="auto"/>
        <w:ind w:firstLine="5520" w:firstLineChars="2300"/>
        <w:rPr>
          <w:rFonts w:hint="eastAsia" w:ascii="宋体" w:hAnsi="宋体"/>
          <w:sz w:val="24"/>
          <w:highlight w:val="none"/>
        </w:rPr>
      </w:pPr>
      <w:r>
        <w:rPr>
          <w:rFonts w:hint="eastAsia" w:ascii="宋体" w:hAnsi="宋体"/>
          <w:sz w:val="24"/>
          <w:szCs w:val="24"/>
          <w:highlight w:val="non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日</w:t>
      </w:r>
    </w:p>
    <w:p w14:paraId="42010AFD">
      <w:pPr>
        <w:spacing w:line="360" w:lineRule="atLeast"/>
        <w:jc w:val="center"/>
        <w:rPr>
          <w:rFonts w:hint="eastAsia" w:ascii="宋体" w:hAnsi="宋体"/>
          <w:b/>
          <w:sz w:val="32"/>
          <w:szCs w:val="32"/>
          <w:highlight w:val="none"/>
        </w:rPr>
      </w:pPr>
      <w:r>
        <w:rPr>
          <w:rFonts w:ascii="宋体" w:hAnsi="宋体"/>
          <w:sz w:val="24"/>
          <w:highlight w:val="none"/>
        </w:rPr>
        <w:br w:type="page"/>
      </w:r>
      <w:r>
        <w:rPr>
          <w:rFonts w:hint="eastAsia" w:ascii="宋体" w:hAnsi="宋体"/>
          <w:b/>
          <w:sz w:val="32"/>
          <w:szCs w:val="32"/>
          <w:highlight w:val="none"/>
        </w:rPr>
        <w:t>第二部分 开标一览表（报价表）</w:t>
      </w:r>
    </w:p>
    <w:p w14:paraId="2A0DA9B0">
      <w:pPr>
        <w:kinsoku w:val="0"/>
        <w:spacing w:line="500" w:lineRule="exact"/>
        <w:ind w:firstLine="105" w:firstLineChars="50"/>
        <w:rPr>
          <w:rFonts w:hint="eastAsia" w:ascii="宋体" w:hAnsi="宋体"/>
          <w:highlight w:val="none"/>
        </w:rPr>
      </w:pPr>
      <w:r>
        <w:rPr>
          <w:rFonts w:hint="eastAsia" w:ascii="宋体" w:hAnsi="宋体"/>
          <w:highlight w:val="none"/>
        </w:rPr>
        <w:t xml:space="preserve">项目名称：                                                  </w:t>
      </w:r>
      <w:r>
        <w:rPr>
          <w:rFonts w:ascii="宋体" w:hAnsi="宋体"/>
          <w:highlight w:val="none"/>
        </w:rPr>
        <w:t xml:space="preserve"> </w:t>
      </w:r>
      <w:r>
        <w:rPr>
          <w:rFonts w:hint="eastAsia" w:ascii="宋体" w:hAnsi="宋体"/>
          <w:highlight w:val="none"/>
        </w:rPr>
        <w:t xml:space="preserve">  </w:t>
      </w:r>
      <w:r>
        <w:rPr>
          <w:rFonts w:hint="eastAsia" w:ascii="宋体" w:hAnsi="宋体"/>
          <w:color w:val="FF0000"/>
          <w:highlight w:val="none"/>
        </w:rPr>
        <w:t xml:space="preserve"> </w:t>
      </w:r>
    </w:p>
    <w:p w14:paraId="0C4E44C7">
      <w:pPr>
        <w:kinsoku w:val="0"/>
        <w:spacing w:line="500" w:lineRule="exact"/>
        <w:ind w:firstLine="105" w:firstLineChars="50"/>
        <w:rPr>
          <w:rFonts w:hint="eastAsia" w:ascii="宋体" w:hAnsi="宋体"/>
          <w:highlight w:val="none"/>
        </w:rPr>
      </w:pPr>
      <w:r>
        <w:rPr>
          <w:rFonts w:hint="eastAsia" w:ascii="宋体" w:hAnsi="宋体"/>
          <w:highlight w:val="none"/>
        </w:rPr>
        <w:t xml:space="preserve">项目编号：                                                      </w:t>
      </w:r>
    </w:p>
    <w:p w14:paraId="56FB5E2C">
      <w:pPr>
        <w:pStyle w:val="39"/>
        <w:ind w:firstLine="0" w:firstLineChars="0"/>
        <w:rPr>
          <w:highlight w:val="none"/>
        </w:rPr>
      </w:pPr>
    </w:p>
    <w:tbl>
      <w:tblPr>
        <w:tblStyle w:val="41"/>
        <w:tblW w:w="8296" w:type="dxa"/>
        <w:jc w:val="center"/>
        <w:tblLayout w:type="fixed"/>
        <w:tblCellMar>
          <w:top w:w="0" w:type="dxa"/>
          <w:left w:w="108" w:type="dxa"/>
          <w:bottom w:w="0" w:type="dxa"/>
          <w:right w:w="108" w:type="dxa"/>
        </w:tblCellMar>
      </w:tblPr>
      <w:tblGrid>
        <w:gridCol w:w="2292"/>
        <w:gridCol w:w="2535"/>
        <w:gridCol w:w="1920"/>
        <w:gridCol w:w="1549"/>
      </w:tblGrid>
      <w:tr w14:paraId="00694A24">
        <w:tblPrEx>
          <w:tblCellMar>
            <w:top w:w="0" w:type="dxa"/>
            <w:left w:w="108" w:type="dxa"/>
            <w:bottom w:w="0" w:type="dxa"/>
            <w:right w:w="108" w:type="dxa"/>
          </w:tblCellMar>
        </w:tblPrEx>
        <w:trPr>
          <w:trHeight w:val="2042" w:hRule="atLeast"/>
          <w:jc w:val="center"/>
        </w:trPr>
        <w:tc>
          <w:tcPr>
            <w:tcW w:w="2292" w:type="dxa"/>
            <w:tcBorders>
              <w:top w:val="single" w:color="auto" w:sz="6" w:space="0"/>
              <w:left w:val="single" w:color="auto" w:sz="6" w:space="0"/>
              <w:bottom w:val="single" w:color="auto" w:sz="6" w:space="0"/>
              <w:right w:val="single" w:color="auto" w:sz="6" w:space="0"/>
              <w:tl2br w:val="single" w:color="auto" w:sz="4" w:space="0"/>
            </w:tcBorders>
            <w:noWrap w:val="0"/>
            <w:vAlign w:val="top"/>
          </w:tcPr>
          <w:p w14:paraId="34028EBB">
            <w:pPr>
              <w:autoSpaceDE w:val="0"/>
              <w:autoSpaceDN w:val="0"/>
              <w:adjustRightInd w:val="0"/>
              <w:snapToGrid w:val="0"/>
              <w:spacing w:after="240" w:line="360" w:lineRule="auto"/>
              <w:ind w:right="210"/>
              <w:jc w:val="right"/>
              <w:rPr>
                <w:rFonts w:hint="eastAsia" w:ascii="宋体" w:hAnsi="宋体" w:cs="宋体"/>
                <w:color w:val="000000"/>
                <w:szCs w:val="21"/>
                <w:highlight w:val="none"/>
                <w:lang w:val="zh-CN"/>
              </w:rPr>
            </w:pPr>
          </w:p>
          <w:p w14:paraId="6D6673FC">
            <w:pPr>
              <w:autoSpaceDE w:val="0"/>
              <w:autoSpaceDN w:val="0"/>
              <w:adjustRightInd w:val="0"/>
              <w:snapToGrid w:val="0"/>
              <w:spacing w:after="240" w:line="360" w:lineRule="auto"/>
              <w:ind w:right="210"/>
              <w:jc w:val="right"/>
              <w:rPr>
                <w:color w:val="000000"/>
                <w:szCs w:val="21"/>
                <w:highlight w:val="none"/>
              </w:rPr>
            </w:pPr>
            <w:r>
              <w:rPr>
                <w:rFonts w:hint="eastAsia" w:ascii="宋体" w:hAnsi="宋体" w:cs="宋体"/>
                <w:color w:val="000000"/>
                <w:szCs w:val="21"/>
                <w:highlight w:val="none"/>
                <w:lang w:val="zh-CN"/>
              </w:rPr>
              <w:t>报价内容</w:t>
            </w:r>
          </w:p>
          <w:p w14:paraId="02475C57">
            <w:pPr>
              <w:autoSpaceDE w:val="0"/>
              <w:autoSpaceDN w:val="0"/>
              <w:adjustRightInd w:val="0"/>
              <w:snapToGrid w:val="0"/>
              <w:spacing w:line="360" w:lineRule="auto"/>
              <w:ind w:left="-1" w:hanging="419"/>
              <w:rPr>
                <w:color w:val="000000"/>
                <w:szCs w:val="21"/>
                <w:highlight w:val="none"/>
              </w:rPr>
            </w:pPr>
          </w:p>
          <w:p w14:paraId="09D76D86">
            <w:pPr>
              <w:autoSpaceDE w:val="0"/>
              <w:autoSpaceDN w:val="0"/>
              <w:adjustRightInd w:val="0"/>
              <w:snapToGrid w:val="0"/>
              <w:spacing w:line="360" w:lineRule="auto"/>
              <w:rPr>
                <w:rFonts w:hint="eastAsia"/>
                <w:color w:val="000000"/>
                <w:szCs w:val="21"/>
                <w:highlight w:val="none"/>
              </w:rPr>
            </w:pPr>
            <w:r>
              <w:rPr>
                <w:rFonts w:hint="eastAsia" w:ascii="宋体" w:hAnsi="宋体" w:cs="宋体"/>
                <w:color w:val="000000"/>
                <w:szCs w:val="21"/>
                <w:highlight w:val="none"/>
              </w:rPr>
              <w:t>供应商名称</w:t>
            </w:r>
          </w:p>
        </w:tc>
        <w:tc>
          <w:tcPr>
            <w:tcW w:w="2535" w:type="dxa"/>
            <w:tcBorders>
              <w:top w:val="single" w:color="auto" w:sz="6" w:space="0"/>
              <w:left w:val="single" w:color="auto" w:sz="6" w:space="0"/>
              <w:bottom w:val="single" w:color="auto" w:sz="6" w:space="0"/>
              <w:right w:val="single" w:color="auto" w:sz="6" w:space="0"/>
            </w:tcBorders>
            <w:noWrap w:val="0"/>
            <w:vAlign w:val="center"/>
          </w:tcPr>
          <w:p w14:paraId="4A3F2055">
            <w:pPr>
              <w:autoSpaceDE w:val="0"/>
              <w:autoSpaceDN w:val="0"/>
              <w:adjustRightInd w:val="0"/>
              <w:snapToGrid w:val="0"/>
              <w:spacing w:line="360" w:lineRule="auto"/>
              <w:jc w:val="center"/>
              <w:rPr>
                <w:color w:val="000000"/>
                <w:szCs w:val="21"/>
                <w:highlight w:val="none"/>
              </w:rPr>
            </w:pPr>
            <w:r>
              <w:rPr>
                <w:rFonts w:hint="eastAsia" w:ascii="宋体" w:hAnsi="宋体" w:cs="宋体"/>
                <w:color w:val="000000"/>
                <w:szCs w:val="21"/>
                <w:highlight w:val="none"/>
              </w:rPr>
              <w:t>总报价（元）</w:t>
            </w:r>
          </w:p>
        </w:tc>
        <w:tc>
          <w:tcPr>
            <w:tcW w:w="1920" w:type="dxa"/>
            <w:tcBorders>
              <w:top w:val="single" w:color="auto" w:sz="6" w:space="0"/>
              <w:left w:val="single" w:color="auto" w:sz="6" w:space="0"/>
              <w:bottom w:val="single" w:color="auto" w:sz="6" w:space="0"/>
              <w:right w:val="single" w:color="auto" w:sz="6" w:space="0"/>
            </w:tcBorders>
            <w:noWrap w:val="0"/>
            <w:vAlign w:val="center"/>
          </w:tcPr>
          <w:p w14:paraId="79998FE6">
            <w:pPr>
              <w:autoSpaceDE w:val="0"/>
              <w:autoSpaceDN w:val="0"/>
              <w:adjustRightInd w:val="0"/>
              <w:snapToGrid w:val="0"/>
              <w:spacing w:line="360" w:lineRule="auto"/>
              <w:jc w:val="center"/>
              <w:rPr>
                <w:rFonts w:hint="eastAsia"/>
                <w:color w:val="000000"/>
                <w:szCs w:val="21"/>
                <w:highlight w:val="none"/>
              </w:rPr>
            </w:pPr>
            <w:r>
              <w:rPr>
                <w:rFonts w:hint="eastAsia" w:ascii="宋体" w:hAnsi="宋体" w:cs="宋体"/>
                <w:color w:val="000000"/>
                <w:szCs w:val="21"/>
                <w:highlight w:val="none"/>
              </w:rPr>
              <w:t>供货期</w:t>
            </w:r>
          </w:p>
          <w:p w14:paraId="7FFCFBF3">
            <w:pPr>
              <w:autoSpaceDE w:val="0"/>
              <w:autoSpaceDN w:val="0"/>
              <w:adjustRightInd w:val="0"/>
              <w:snapToGrid w:val="0"/>
              <w:spacing w:line="360" w:lineRule="auto"/>
              <w:jc w:val="center"/>
              <w:rPr>
                <w:rFonts w:hint="eastAsia"/>
                <w:color w:val="000000"/>
                <w:szCs w:val="21"/>
                <w:highlight w:val="none"/>
              </w:rPr>
            </w:pPr>
            <w:r>
              <w:rPr>
                <w:rFonts w:hint="eastAsia" w:ascii="宋体" w:hAnsi="宋体" w:cs="宋体"/>
                <w:color w:val="000000"/>
                <w:szCs w:val="21"/>
                <w:highlight w:val="none"/>
              </w:rPr>
              <w:t>（日历日）</w:t>
            </w:r>
          </w:p>
        </w:tc>
        <w:tc>
          <w:tcPr>
            <w:tcW w:w="1549" w:type="dxa"/>
            <w:tcBorders>
              <w:top w:val="single" w:color="auto" w:sz="6" w:space="0"/>
              <w:left w:val="single" w:color="auto" w:sz="6" w:space="0"/>
              <w:bottom w:val="single" w:color="auto" w:sz="6" w:space="0"/>
              <w:right w:val="single" w:color="auto" w:sz="6" w:space="0"/>
            </w:tcBorders>
            <w:noWrap w:val="0"/>
            <w:vAlign w:val="center"/>
          </w:tcPr>
          <w:p w14:paraId="6E10F358">
            <w:pPr>
              <w:autoSpaceDE w:val="0"/>
              <w:autoSpaceDN w:val="0"/>
              <w:adjustRightInd w:val="0"/>
              <w:snapToGrid w:val="0"/>
              <w:spacing w:line="360" w:lineRule="auto"/>
              <w:jc w:val="center"/>
              <w:rPr>
                <w:rFonts w:hint="eastAsia"/>
                <w:color w:val="000000"/>
                <w:szCs w:val="21"/>
                <w:highlight w:val="none"/>
              </w:rPr>
            </w:pPr>
            <w:r>
              <w:rPr>
                <w:rFonts w:hint="eastAsia" w:ascii="宋体" w:hAnsi="宋体" w:cs="宋体"/>
                <w:color w:val="000000"/>
                <w:szCs w:val="21"/>
                <w:highlight w:val="none"/>
              </w:rPr>
              <w:t>备注</w:t>
            </w:r>
          </w:p>
        </w:tc>
      </w:tr>
      <w:tr w14:paraId="1512F4B8">
        <w:tblPrEx>
          <w:tblCellMar>
            <w:top w:w="0" w:type="dxa"/>
            <w:left w:w="108" w:type="dxa"/>
            <w:bottom w:w="0" w:type="dxa"/>
            <w:right w:w="108" w:type="dxa"/>
          </w:tblCellMar>
        </w:tblPrEx>
        <w:trPr>
          <w:trHeight w:val="1935" w:hRule="atLeast"/>
          <w:jc w:val="center"/>
        </w:trPr>
        <w:tc>
          <w:tcPr>
            <w:tcW w:w="2292" w:type="dxa"/>
            <w:tcBorders>
              <w:top w:val="single" w:color="auto" w:sz="6" w:space="0"/>
              <w:left w:val="single" w:color="auto" w:sz="6" w:space="0"/>
              <w:bottom w:val="single" w:color="auto" w:sz="6" w:space="0"/>
              <w:right w:val="single" w:color="auto" w:sz="6" w:space="0"/>
            </w:tcBorders>
            <w:noWrap w:val="0"/>
            <w:vAlign w:val="center"/>
          </w:tcPr>
          <w:p w14:paraId="018B964E">
            <w:pPr>
              <w:autoSpaceDE w:val="0"/>
              <w:autoSpaceDN w:val="0"/>
              <w:adjustRightInd w:val="0"/>
              <w:jc w:val="center"/>
              <w:rPr>
                <w:b/>
                <w:bCs/>
                <w:color w:val="000000"/>
                <w:szCs w:val="21"/>
                <w:highlight w:val="none"/>
                <w:u w:val="single"/>
                <w:lang w:val="zh-CN"/>
              </w:rPr>
            </w:pPr>
          </w:p>
          <w:p w14:paraId="1A76F270">
            <w:pPr>
              <w:autoSpaceDE w:val="0"/>
              <w:autoSpaceDN w:val="0"/>
              <w:adjustRightInd w:val="0"/>
              <w:jc w:val="center"/>
              <w:rPr>
                <w:color w:val="000000"/>
                <w:szCs w:val="21"/>
                <w:highlight w:val="none"/>
                <w:lang w:val="zh-CN"/>
              </w:rPr>
            </w:pPr>
          </w:p>
        </w:tc>
        <w:tc>
          <w:tcPr>
            <w:tcW w:w="2535" w:type="dxa"/>
            <w:tcBorders>
              <w:top w:val="single" w:color="auto" w:sz="6" w:space="0"/>
              <w:left w:val="single" w:color="auto" w:sz="6" w:space="0"/>
              <w:bottom w:val="single" w:color="auto" w:sz="6" w:space="0"/>
              <w:right w:val="single" w:color="auto" w:sz="6" w:space="0"/>
            </w:tcBorders>
            <w:noWrap w:val="0"/>
            <w:vAlign w:val="top"/>
          </w:tcPr>
          <w:p w14:paraId="5FE55833">
            <w:pPr>
              <w:pStyle w:val="78"/>
              <w:rPr>
                <w:rFonts w:hint="eastAsia"/>
                <w:color w:val="000000"/>
                <w:sz w:val="24"/>
                <w:szCs w:val="21"/>
                <w:highlight w:val="none"/>
              </w:rPr>
            </w:pPr>
          </w:p>
          <w:p w14:paraId="642059E3">
            <w:pPr>
              <w:pStyle w:val="78"/>
              <w:rPr>
                <w:rFonts w:hint="eastAsia"/>
                <w:color w:val="000000"/>
                <w:sz w:val="24"/>
                <w:szCs w:val="21"/>
                <w:highlight w:val="none"/>
              </w:rPr>
            </w:pPr>
          </w:p>
          <w:p w14:paraId="6F18D93B">
            <w:pPr>
              <w:pStyle w:val="78"/>
              <w:rPr>
                <w:rFonts w:hint="eastAsia"/>
                <w:color w:val="000000"/>
                <w:sz w:val="24"/>
                <w:szCs w:val="21"/>
                <w:highlight w:val="none"/>
              </w:rPr>
            </w:pPr>
            <w:r>
              <w:rPr>
                <w:rFonts w:hint="eastAsia"/>
                <w:color w:val="000000"/>
                <w:sz w:val="24"/>
                <w:szCs w:val="21"/>
                <w:highlight w:val="none"/>
              </w:rPr>
              <w:t>小写：</w:t>
            </w:r>
          </w:p>
          <w:p w14:paraId="011B70FD">
            <w:pPr>
              <w:autoSpaceDE w:val="0"/>
              <w:autoSpaceDN w:val="0"/>
              <w:adjustRightInd w:val="0"/>
              <w:snapToGrid w:val="0"/>
              <w:spacing w:line="360" w:lineRule="auto"/>
              <w:rPr>
                <w:color w:val="000000"/>
                <w:szCs w:val="21"/>
                <w:highlight w:val="none"/>
              </w:rPr>
            </w:pPr>
            <w:r>
              <w:rPr>
                <w:rFonts w:hint="eastAsia"/>
                <w:color w:val="000000"/>
                <w:sz w:val="24"/>
                <w:szCs w:val="21"/>
                <w:highlight w:val="none"/>
              </w:rPr>
              <w:t>大写：</w:t>
            </w:r>
          </w:p>
        </w:tc>
        <w:tc>
          <w:tcPr>
            <w:tcW w:w="1920" w:type="dxa"/>
            <w:tcBorders>
              <w:top w:val="single" w:color="auto" w:sz="6" w:space="0"/>
              <w:left w:val="single" w:color="auto" w:sz="6" w:space="0"/>
              <w:bottom w:val="single" w:color="auto" w:sz="6" w:space="0"/>
              <w:right w:val="single" w:color="auto" w:sz="6" w:space="0"/>
            </w:tcBorders>
            <w:noWrap w:val="0"/>
            <w:vAlign w:val="center"/>
          </w:tcPr>
          <w:p w14:paraId="04F7EEC0">
            <w:pPr>
              <w:autoSpaceDE w:val="0"/>
              <w:autoSpaceDN w:val="0"/>
              <w:adjustRightInd w:val="0"/>
              <w:snapToGrid w:val="0"/>
              <w:spacing w:line="360" w:lineRule="auto"/>
              <w:jc w:val="center"/>
              <w:rPr>
                <w:color w:val="000000"/>
                <w:szCs w:val="21"/>
                <w:highlight w:val="none"/>
              </w:rPr>
            </w:pPr>
            <w:r>
              <w:rPr>
                <w:rFonts w:hint="eastAsia" w:ascii="宋体" w:hAnsi="宋体" w:eastAsia="宋体" w:cs="宋体"/>
                <w:i w:val="0"/>
                <w:iCs w:val="0"/>
                <w:caps w:val="0"/>
                <w:color w:val="auto"/>
                <w:spacing w:val="0"/>
                <w:sz w:val="24"/>
                <w:szCs w:val="24"/>
                <w:highlight w:val="none"/>
                <w:shd w:val="clear" w:color="auto" w:fill="FFFFFF"/>
              </w:rPr>
              <w:t>自合同签订之日起</w:t>
            </w:r>
            <w:r>
              <w:rPr>
                <w:rFonts w:hint="eastAsia" w:ascii="宋体" w:hAnsi="宋体" w:cs="宋体"/>
                <w:i w:val="0"/>
                <w:iCs w:val="0"/>
                <w:caps w:val="0"/>
                <w:color w:val="auto"/>
                <w:spacing w:val="0"/>
                <w:sz w:val="24"/>
                <w:szCs w:val="24"/>
                <w:highlight w:val="none"/>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个日历日内完成安装调试联网并向省市报送数据</w:t>
            </w:r>
          </w:p>
        </w:tc>
        <w:tc>
          <w:tcPr>
            <w:tcW w:w="1549" w:type="dxa"/>
            <w:tcBorders>
              <w:top w:val="single" w:color="auto" w:sz="6" w:space="0"/>
              <w:left w:val="single" w:color="auto" w:sz="6" w:space="0"/>
              <w:bottom w:val="single" w:color="auto" w:sz="6" w:space="0"/>
              <w:right w:val="single" w:color="auto" w:sz="6" w:space="0"/>
            </w:tcBorders>
            <w:noWrap w:val="0"/>
            <w:vAlign w:val="center"/>
          </w:tcPr>
          <w:p w14:paraId="33F90E7A">
            <w:pPr>
              <w:autoSpaceDE w:val="0"/>
              <w:autoSpaceDN w:val="0"/>
              <w:adjustRightInd w:val="0"/>
              <w:snapToGrid w:val="0"/>
              <w:spacing w:line="360" w:lineRule="auto"/>
              <w:jc w:val="center"/>
              <w:rPr>
                <w:color w:val="000000"/>
                <w:szCs w:val="21"/>
                <w:highlight w:val="none"/>
              </w:rPr>
            </w:pPr>
          </w:p>
        </w:tc>
      </w:tr>
    </w:tbl>
    <w:p w14:paraId="36D5CA37">
      <w:pPr>
        <w:adjustRightInd w:val="0"/>
        <w:snapToGrid w:val="0"/>
        <w:jc w:val="right"/>
        <w:rPr>
          <w:rFonts w:hint="eastAsia"/>
          <w:color w:val="000000"/>
          <w:szCs w:val="21"/>
          <w:highlight w:val="none"/>
        </w:rPr>
      </w:pPr>
    </w:p>
    <w:p w14:paraId="581410BF">
      <w:pPr>
        <w:adjustRightInd w:val="0"/>
        <w:snapToGrid w:val="0"/>
        <w:jc w:val="right"/>
        <w:rPr>
          <w:color w:val="000000"/>
          <w:szCs w:val="21"/>
          <w:highlight w:val="none"/>
        </w:rPr>
      </w:pPr>
    </w:p>
    <w:p w14:paraId="37836A6C">
      <w:pPr>
        <w:spacing w:before="120" w:beforeLines="50" w:line="360" w:lineRule="auto"/>
        <w:ind w:left="470" w:hanging="470" w:hangingChars="196"/>
        <w:jc w:val="left"/>
        <w:rPr>
          <w:rFonts w:hint="eastAsia" w:ascii="楷体" w:hAnsi="楷体" w:eastAsia="楷体"/>
          <w:color w:val="000000"/>
          <w:sz w:val="24"/>
          <w:szCs w:val="24"/>
          <w:highlight w:val="none"/>
        </w:rPr>
      </w:pPr>
      <w:r>
        <w:rPr>
          <w:rFonts w:hint="eastAsia" w:ascii="楷体" w:hAnsi="楷体" w:eastAsia="楷体"/>
          <w:color w:val="000000"/>
          <w:sz w:val="24"/>
          <w:szCs w:val="24"/>
          <w:highlight w:val="none"/>
        </w:rPr>
        <w:t xml:space="preserve">说明：1.报价应按总报价填写，精确到小数点后两位，大小写不一致时，以大写为准； </w:t>
      </w:r>
      <w:bookmarkStart w:id="19" w:name="_Toc3120_WPSOffice_Level2"/>
    </w:p>
    <w:p w14:paraId="347078C0">
      <w:pPr>
        <w:spacing w:before="120" w:beforeLines="50" w:line="200" w:lineRule="exact"/>
        <w:ind w:left="470" w:hanging="470" w:hangingChars="196"/>
        <w:jc w:val="left"/>
        <w:rPr>
          <w:rFonts w:hint="eastAsia" w:ascii="楷体" w:hAnsi="楷体" w:eastAsia="楷体"/>
          <w:color w:val="000000"/>
          <w:sz w:val="24"/>
          <w:szCs w:val="24"/>
          <w:highlight w:val="none"/>
        </w:rPr>
      </w:pPr>
      <w:r>
        <w:rPr>
          <w:rFonts w:hint="eastAsia" w:ascii="楷体" w:hAnsi="楷体" w:eastAsia="楷体"/>
          <w:color w:val="000000"/>
          <w:sz w:val="24"/>
          <w:szCs w:val="24"/>
          <w:highlight w:val="none"/>
        </w:rPr>
        <w:t xml:space="preserve">      2.本表所列各项数据与响应文件其他地方表述不一致时，以本表为准；</w:t>
      </w:r>
      <w:bookmarkEnd w:id="19"/>
    </w:p>
    <w:p w14:paraId="0CF38B91">
      <w:pPr>
        <w:kinsoku w:val="0"/>
        <w:spacing w:line="500" w:lineRule="exact"/>
        <w:rPr>
          <w:rFonts w:ascii="宋体" w:hAnsi="宋体"/>
          <w:sz w:val="24"/>
          <w:highlight w:val="none"/>
        </w:rPr>
      </w:pPr>
    </w:p>
    <w:p w14:paraId="34D32F94">
      <w:pPr>
        <w:spacing w:line="480" w:lineRule="auto"/>
        <w:ind w:firstLine="480" w:firstLineChars="200"/>
        <w:jc w:val="left"/>
        <w:rPr>
          <w:rFonts w:ascii="宋体" w:hAnsi="宋体"/>
          <w:sz w:val="24"/>
          <w:highlight w:val="none"/>
          <w:u w:val="single"/>
        </w:rPr>
      </w:pPr>
      <w:r>
        <w:rPr>
          <w:rFonts w:hint="eastAsia" w:ascii="宋体" w:hAnsi="宋体"/>
          <w:sz w:val="24"/>
          <w:szCs w:val="28"/>
          <w:highlight w:val="none"/>
        </w:rPr>
        <w:t>供应商</w:t>
      </w:r>
      <w:r>
        <w:rPr>
          <w:rFonts w:hint="eastAsia" w:ascii="宋体" w:hAnsi="宋体"/>
          <w:sz w:val="24"/>
          <w:highlight w:val="none"/>
        </w:rPr>
        <w:t>（公章</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p>
    <w:p w14:paraId="2F6D029C">
      <w:pPr>
        <w:spacing w:line="480" w:lineRule="auto"/>
        <w:ind w:firstLine="480" w:firstLineChars="200"/>
        <w:jc w:val="left"/>
        <w:rPr>
          <w:rFonts w:ascii="宋体" w:hAnsi="宋体"/>
          <w:sz w:val="24"/>
          <w:highlight w:val="none"/>
          <w:u w:val="single"/>
        </w:rPr>
      </w:pPr>
      <w:r>
        <w:rPr>
          <w:rFonts w:hint="eastAsia" w:ascii="宋体" w:hAnsi="宋体"/>
          <w:sz w:val="24"/>
          <w:highlight w:val="none"/>
        </w:rPr>
        <w:t>法定代表人或被授权人（签字或盖章）：</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p>
    <w:p w14:paraId="379A8AA1">
      <w:pPr>
        <w:pStyle w:val="22"/>
        <w:rPr>
          <w:rFonts w:hint="eastAsia" w:hAnsi="宋体"/>
          <w:sz w:val="24"/>
          <w:szCs w:val="24"/>
          <w:highlight w:val="none"/>
        </w:rPr>
      </w:pPr>
      <w:r>
        <w:rPr>
          <w:rFonts w:hint="eastAsia" w:hAnsi="宋体"/>
          <w:sz w:val="24"/>
          <w:highlight w:val="none"/>
        </w:rPr>
        <w:t xml:space="preserve">    日  </w:t>
      </w:r>
      <w:r>
        <w:rPr>
          <w:rFonts w:hAnsi="宋体"/>
          <w:sz w:val="24"/>
          <w:highlight w:val="none"/>
        </w:rPr>
        <w:t xml:space="preserve"> </w:t>
      </w:r>
      <w:r>
        <w:rPr>
          <w:rFonts w:hint="eastAsia" w:hAnsi="宋体"/>
          <w:sz w:val="24"/>
          <w:highlight w:val="none"/>
        </w:rPr>
        <w:t>期</w:t>
      </w:r>
      <w:r>
        <w:rPr>
          <w:rFonts w:hAnsi="宋体"/>
          <w:sz w:val="24"/>
          <w:highlight w:val="none"/>
        </w:rPr>
        <w:t>：</w:t>
      </w:r>
      <w:r>
        <w:rPr>
          <w:rFonts w:hint="eastAsia" w:hAnsi="宋体"/>
          <w:sz w:val="24"/>
          <w:highlight w:val="none"/>
        </w:rPr>
        <w:t xml:space="preserve">      年    月    日</w:t>
      </w:r>
      <w:r>
        <w:rPr>
          <w:rFonts w:hAnsi="宋体"/>
          <w:sz w:val="24"/>
          <w:szCs w:val="24"/>
          <w:highlight w:val="none"/>
        </w:rPr>
        <w:br w:type="page"/>
      </w:r>
      <w:r>
        <w:rPr>
          <w:rFonts w:hint="eastAsia" w:hAnsi="宋体"/>
          <w:sz w:val="24"/>
          <w:szCs w:val="24"/>
          <w:highlight w:val="none"/>
        </w:rPr>
        <w:t>附：</w:t>
      </w:r>
    </w:p>
    <w:p w14:paraId="71D77AA1">
      <w:pPr>
        <w:pStyle w:val="22"/>
        <w:rPr>
          <w:rFonts w:hint="eastAsia" w:hAnsi="宋体"/>
          <w:sz w:val="24"/>
          <w:szCs w:val="24"/>
          <w:highlight w:val="none"/>
        </w:rPr>
      </w:pPr>
    </w:p>
    <w:p w14:paraId="5B5602D2">
      <w:pPr>
        <w:spacing w:line="30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分项报价表</w:t>
      </w:r>
    </w:p>
    <w:p w14:paraId="1503DB73">
      <w:pPr>
        <w:kinsoku w:val="0"/>
        <w:spacing w:line="500" w:lineRule="exact"/>
        <w:ind w:firstLine="120" w:firstLineChars="50"/>
        <w:rPr>
          <w:rFonts w:hint="eastAsia" w:ascii="宋体" w:hAnsi="宋体"/>
          <w:sz w:val="24"/>
          <w:highlight w:val="none"/>
        </w:rPr>
      </w:pPr>
      <w:r>
        <w:rPr>
          <w:rFonts w:hint="eastAsia" w:ascii="宋体" w:hAnsi="宋体"/>
          <w:sz w:val="24"/>
          <w:highlight w:val="none"/>
        </w:rPr>
        <w:t xml:space="preserve">项目名称：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p>
    <w:p w14:paraId="286F75E9">
      <w:pPr>
        <w:kinsoku w:val="0"/>
        <w:spacing w:line="500" w:lineRule="exact"/>
        <w:ind w:firstLine="120" w:firstLineChars="50"/>
        <w:rPr>
          <w:rFonts w:hint="eastAsia" w:ascii="宋体" w:hAnsi="宋体"/>
          <w:sz w:val="24"/>
          <w:highlight w:val="none"/>
        </w:rPr>
      </w:pPr>
      <w:r>
        <w:rPr>
          <w:rFonts w:hint="eastAsia" w:ascii="宋体" w:hAnsi="宋体"/>
          <w:sz w:val="24"/>
          <w:highlight w:val="none"/>
        </w:rPr>
        <w:t xml:space="preserve">项目编号：                                        </w:t>
      </w:r>
      <w:r>
        <w:rPr>
          <w:rFonts w:ascii="宋体" w:hAnsi="宋体"/>
          <w:sz w:val="24"/>
          <w:highlight w:val="none"/>
        </w:rPr>
        <w:t xml:space="preserve"> </w:t>
      </w:r>
      <w:r>
        <w:rPr>
          <w:rFonts w:hint="eastAsia" w:ascii="宋体" w:hAnsi="宋体"/>
          <w:sz w:val="24"/>
          <w:highlight w:val="none"/>
        </w:rPr>
        <w:t xml:space="preserve">      共   页，第   页</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687"/>
        <w:gridCol w:w="971"/>
        <w:gridCol w:w="1263"/>
        <w:gridCol w:w="1033"/>
        <w:gridCol w:w="1033"/>
        <w:gridCol w:w="1033"/>
        <w:gridCol w:w="797"/>
        <w:gridCol w:w="1037"/>
      </w:tblGrid>
      <w:tr w14:paraId="24456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504" w:type="dxa"/>
            <w:noWrap w:val="0"/>
            <w:vAlign w:val="center"/>
          </w:tcPr>
          <w:p w14:paraId="626C58CE">
            <w:pPr>
              <w:wordWrap w:val="0"/>
              <w:jc w:val="center"/>
              <w:rPr>
                <w:rFonts w:hint="eastAsia"/>
                <w:sz w:val="24"/>
                <w:highlight w:val="none"/>
              </w:rPr>
            </w:pPr>
            <w:r>
              <w:rPr>
                <w:rFonts w:hint="eastAsia"/>
                <w:sz w:val="24"/>
                <w:highlight w:val="none"/>
              </w:rPr>
              <w:t>序号</w:t>
            </w:r>
          </w:p>
        </w:tc>
        <w:tc>
          <w:tcPr>
            <w:tcW w:w="1687" w:type="dxa"/>
            <w:noWrap w:val="0"/>
            <w:vAlign w:val="center"/>
          </w:tcPr>
          <w:p w14:paraId="078C06A6">
            <w:pPr>
              <w:wordWrap w:val="0"/>
              <w:jc w:val="center"/>
              <w:rPr>
                <w:rFonts w:hint="eastAsia"/>
                <w:sz w:val="24"/>
                <w:highlight w:val="none"/>
              </w:rPr>
            </w:pPr>
            <w:r>
              <w:rPr>
                <w:rFonts w:hint="eastAsia"/>
                <w:sz w:val="24"/>
                <w:highlight w:val="none"/>
              </w:rPr>
              <w:t>产品名称</w:t>
            </w:r>
          </w:p>
        </w:tc>
        <w:tc>
          <w:tcPr>
            <w:tcW w:w="971" w:type="dxa"/>
            <w:noWrap w:val="0"/>
            <w:vAlign w:val="center"/>
          </w:tcPr>
          <w:p w14:paraId="1BD6EE8D">
            <w:pPr>
              <w:wordWrap w:val="0"/>
              <w:jc w:val="center"/>
              <w:rPr>
                <w:rFonts w:hint="eastAsia"/>
                <w:sz w:val="24"/>
                <w:highlight w:val="none"/>
              </w:rPr>
            </w:pPr>
            <w:r>
              <w:rPr>
                <w:rFonts w:hint="eastAsia"/>
                <w:sz w:val="24"/>
                <w:highlight w:val="none"/>
              </w:rPr>
              <w:t>品牌</w:t>
            </w:r>
          </w:p>
        </w:tc>
        <w:tc>
          <w:tcPr>
            <w:tcW w:w="1263" w:type="dxa"/>
            <w:noWrap w:val="0"/>
            <w:vAlign w:val="center"/>
          </w:tcPr>
          <w:p w14:paraId="7E9DD23C">
            <w:pPr>
              <w:wordWrap w:val="0"/>
              <w:jc w:val="center"/>
              <w:rPr>
                <w:rFonts w:hint="eastAsia"/>
                <w:sz w:val="24"/>
                <w:highlight w:val="none"/>
              </w:rPr>
            </w:pPr>
            <w:r>
              <w:rPr>
                <w:rFonts w:hint="eastAsia"/>
                <w:sz w:val="24"/>
                <w:highlight w:val="none"/>
              </w:rPr>
              <w:t>规格型号</w:t>
            </w:r>
          </w:p>
        </w:tc>
        <w:tc>
          <w:tcPr>
            <w:tcW w:w="1033" w:type="dxa"/>
            <w:noWrap w:val="0"/>
            <w:vAlign w:val="center"/>
          </w:tcPr>
          <w:p w14:paraId="27B5C256">
            <w:pPr>
              <w:wordWrap w:val="0"/>
              <w:jc w:val="center"/>
              <w:rPr>
                <w:rFonts w:hint="eastAsia"/>
                <w:sz w:val="24"/>
                <w:highlight w:val="none"/>
              </w:rPr>
            </w:pPr>
            <w:r>
              <w:rPr>
                <w:rFonts w:hint="eastAsia"/>
                <w:sz w:val="24"/>
                <w:highlight w:val="none"/>
              </w:rPr>
              <w:t>产地</w:t>
            </w:r>
          </w:p>
        </w:tc>
        <w:tc>
          <w:tcPr>
            <w:tcW w:w="1033" w:type="dxa"/>
            <w:noWrap w:val="0"/>
            <w:vAlign w:val="center"/>
          </w:tcPr>
          <w:p w14:paraId="2CC417FB">
            <w:pPr>
              <w:wordWrap w:val="0"/>
              <w:jc w:val="center"/>
              <w:rPr>
                <w:rFonts w:hint="eastAsia"/>
                <w:sz w:val="24"/>
                <w:highlight w:val="none"/>
              </w:rPr>
            </w:pPr>
            <w:r>
              <w:rPr>
                <w:rFonts w:hint="eastAsia"/>
                <w:sz w:val="24"/>
                <w:highlight w:val="none"/>
              </w:rPr>
              <w:t>单位</w:t>
            </w:r>
          </w:p>
        </w:tc>
        <w:tc>
          <w:tcPr>
            <w:tcW w:w="1033" w:type="dxa"/>
            <w:noWrap w:val="0"/>
            <w:vAlign w:val="center"/>
          </w:tcPr>
          <w:p w14:paraId="13B69DFF">
            <w:pPr>
              <w:wordWrap w:val="0"/>
              <w:jc w:val="center"/>
              <w:rPr>
                <w:rFonts w:hint="eastAsia"/>
                <w:sz w:val="24"/>
                <w:highlight w:val="none"/>
              </w:rPr>
            </w:pPr>
            <w:r>
              <w:rPr>
                <w:rFonts w:hint="eastAsia"/>
                <w:sz w:val="24"/>
                <w:highlight w:val="none"/>
              </w:rPr>
              <w:t>数量</w:t>
            </w:r>
          </w:p>
        </w:tc>
        <w:tc>
          <w:tcPr>
            <w:tcW w:w="797" w:type="dxa"/>
            <w:noWrap w:val="0"/>
            <w:vAlign w:val="center"/>
          </w:tcPr>
          <w:p w14:paraId="792B51E4">
            <w:pPr>
              <w:wordWrap w:val="0"/>
              <w:jc w:val="center"/>
              <w:rPr>
                <w:sz w:val="24"/>
                <w:highlight w:val="none"/>
              </w:rPr>
            </w:pPr>
            <w:r>
              <w:rPr>
                <w:rFonts w:hint="eastAsia"/>
                <w:sz w:val="24"/>
                <w:highlight w:val="none"/>
              </w:rPr>
              <w:t>单价</w:t>
            </w:r>
            <w:r>
              <w:rPr>
                <w:rFonts w:hAnsi="宋体"/>
                <w:sz w:val="24"/>
                <w:highlight w:val="none"/>
              </w:rPr>
              <w:t>(</w:t>
            </w:r>
            <w:r>
              <w:rPr>
                <w:rFonts w:hint="eastAsia" w:hAnsi="宋体"/>
                <w:sz w:val="24"/>
                <w:highlight w:val="none"/>
              </w:rPr>
              <w:t>元</w:t>
            </w:r>
            <w:r>
              <w:rPr>
                <w:rFonts w:hAnsi="宋体"/>
                <w:sz w:val="24"/>
                <w:highlight w:val="none"/>
              </w:rPr>
              <w:t>)</w:t>
            </w:r>
          </w:p>
        </w:tc>
        <w:tc>
          <w:tcPr>
            <w:tcW w:w="1037" w:type="dxa"/>
            <w:noWrap w:val="0"/>
            <w:vAlign w:val="center"/>
          </w:tcPr>
          <w:p w14:paraId="027580AF">
            <w:pPr>
              <w:wordWrap w:val="0"/>
              <w:jc w:val="center"/>
              <w:rPr>
                <w:rFonts w:hint="eastAsia"/>
                <w:sz w:val="24"/>
                <w:highlight w:val="none"/>
              </w:rPr>
            </w:pPr>
            <w:r>
              <w:rPr>
                <w:rFonts w:hint="eastAsia"/>
                <w:sz w:val="24"/>
                <w:highlight w:val="none"/>
              </w:rPr>
              <w:t>合计</w:t>
            </w:r>
            <w:r>
              <w:rPr>
                <w:rFonts w:hAnsi="宋体"/>
                <w:sz w:val="24"/>
                <w:highlight w:val="none"/>
              </w:rPr>
              <w:t>(</w:t>
            </w:r>
            <w:r>
              <w:rPr>
                <w:rFonts w:hint="eastAsia" w:hAnsi="宋体"/>
                <w:sz w:val="24"/>
                <w:highlight w:val="none"/>
              </w:rPr>
              <w:t>元</w:t>
            </w:r>
            <w:r>
              <w:rPr>
                <w:rFonts w:hAnsi="宋体"/>
                <w:sz w:val="24"/>
                <w:highlight w:val="none"/>
              </w:rPr>
              <w:t>)</w:t>
            </w:r>
          </w:p>
        </w:tc>
      </w:tr>
      <w:tr w14:paraId="3FB1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4" w:type="dxa"/>
            <w:noWrap w:val="0"/>
            <w:vAlign w:val="center"/>
          </w:tcPr>
          <w:p w14:paraId="753D342A">
            <w:pPr>
              <w:wordWrap w:val="0"/>
              <w:jc w:val="center"/>
              <w:rPr>
                <w:rFonts w:hint="eastAsia" w:ascii="宋体" w:hAnsi="宋体"/>
                <w:sz w:val="24"/>
                <w:highlight w:val="none"/>
              </w:rPr>
            </w:pPr>
            <w:r>
              <w:rPr>
                <w:rFonts w:hint="eastAsia" w:ascii="宋体" w:hAnsi="宋体"/>
                <w:sz w:val="24"/>
                <w:highlight w:val="none"/>
              </w:rPr>
              <w:t>1</w:t>
            </w:r>
          </w:p>
        </w:tc>
        <w:tc>
          <w:tcPr>
            <w:tcW w:w="1687" w:type="dxa"/>
            <w:noWrap w:val="0"/>
            <w:vAlign w:val="center"/>
          </w:tcPr>
          <w:p w14:paraId="1B83375B">
            <w:pPr>
              <w:wordWrap w:val="0"/>
              <w:jc w:val="center"/>
              <w:rPr>
                <w:rFonts w:hint="eastAsia" w:ascii="宋体" w:hAnsi="宋体"/>
                <w:sz w:val="24"/>
                <w:highlight w:val="none"/>
              </w:rPr>
            </w:pPr>
          </w:p>
        </w:tc>
        <w:tc>
          <w:tcPr>
            <w:tcW w:w="971" w:type="dxa"/>
            <w:noWrap w:val="0"/>
            <w:vAlign w:val="center"/>
          </w:tcPr>
          <w:p w14:paraId="4B2AFD84">
            <w:pPr>
              <w:wordWrap w:val="0"/>
              <w:jc w:val="center"/>
              <w:rPr>
                <w:rFonts w:hint="eastAsia" w:ascii="宋体" w:hAnsi="宋体"/>
                <w:sz w:val="24"/>
                <w:highlight w:val="none"/>
              </w:rPr>
            </w:pPr>
          </w:p>
        </w:tc>
        <w:tc>
          <w:tcPr>
            <w:tcW w:w="1263" w:type="dxa"/>
            <w:noWrap w:val="0"/>
            <w:vAlign w:val="center"/>
          </w:tcPr>
          <w:p w14:paraId="6AF3230A">
            <w:pPr>
              <w:wordWrap w:val="0"/>
              <w:jc w:val="center"/>
              <w:rPr>
                <w:rFonts w:hint="eastAsia" w:ascii="宋体" w:hAnsi="宋体"/>
                <w:sz w:val="24"/>
                <w:highlight w:val="none"/>
              </w:rPr>
            </w:pPr>
          </w:p>
        </w:tc>
        <w:tc>
          <w:tcPr>
            <w:tcW w:w="1033" w:type="dxa"/>
            <w:noWrap w:val="0"/>
            <w:vAlign w:val="center"/>
          </w:tcPr>
          <w:p w14:paraId="6DF0C63F">
            <w:pPr>
              <w:pStyle w:val="22"/>
              <w:wordWrap w:val="0"/>
              <w:rPr>
                <w:rFonts w:hint="eastAsia" w:hAnsi="宋体"/>
                <w:sz w:val="24"/>
                <w:szCs w:val="24"/>
                <w:highlight w:val="none"/>
              </w:rPr>
            </w:pPr>
          </w:p>
        </w:tc>
        <w:tc>
          <w:tcPr>
            <w:tcW w:w="1033" w:type="dxa"/>
            <w:noWrap w:val="0"/>
            <w:vAlign w:val="center"/>
          </w:tcPr>
          <w:p w14:paraId="038C4953">
            <w:pPr>
              <w:pStyle w:val="22"/>
              <w:wordWrap w:val="0"/>
              <w:rPr>
                <w:rFonts w:hint="eastAsia" w:hAnsi="宋体"/>
                <w:sz w:val="24"/>
                <w:szCs w:val="24"/>
                <w:highlight w:val="none"/>
              </w:rPr>
            </w:pPr>
          </w:p>
        </w:tc>
        <w:tc>
          <w:tcPr>
            <w:tcW w:w="1033" w:type="dxa"/>
            <w:noWrap w:val="0"/>
            <w:vAlign w:val="center"/>
          </w:tcPr>
          <w:p w14:paraId="160FDD84">
            <w:pPr>
              <w:pStyle w:val="22"/>
              <w:wordWrap w:val="0"/>
              <w:rPr>
                <w:rFonts w:hint="eastAsia" w:hAnsi="宋体"/>
                <w:sz w:val="24"/>
                <w:szCs w:val="24"/>
                <w:highlight w:val="none"/>
              </w:rPr>
            </w:pPr>
          </w:p>
        </w:tc>
        <w:tc>
          <w:tcPr>
            <w:tcW w:w="797" w:type="dxa"/>
            <w:noWrap w:val="0"/>
            <w:vAlign w:val="center"/>
          </w:tcPr>
          <w:p w14:paraId="7A934E96">
            <w:pPr>
              <w:pStyle w:val="22"/>
              <w:wordWrap w:val="0"/>
              <w:rPr>
                <w:rFonts w:hint="eastAsia" w:hAnsi="宋体"/>
                <w:sz w:val="24"/>
                <w:szCs w:val="24"/>
                <w:highlight w:val="none"/>
              </w:rPr>
            </w:pPr>
          </w:p>
        </w:tc>
        <w:tc>
          <w:tcPr>
            <w:tcW w:w="1037" w:type="dxa"/>
            <w:noWrap w:val="0"/>
            <w:vAlign w:val="center"/>
          </w:tcPr>
          <w:p w14:paraId="165D4AF6">
            <w:pPr>
              <w:pStyle w:val="22"/>
              <w:wordWrap w:val="0"/>
              <w:rPr>
                <w:rFonts w:hint="eastAsia" w:hAnsi="宋体"/>
                <w:spacing w:val="-6"/>
                <w:sz w:val="24"/>
                <w:szCs w:val="24"/>
                <w:highlight w:val="none"/>
              </w:rPr>
            </w:pPr>
          </w:p>
        </w:tc>
      </w:tr>
      <w:tr w14:paraId="1CF6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4" w:type="dxa"/>
            <w:noWrap w:val="0"/>
            <w:vAlign w:val="center"/>
          </w:tcPr>
          <w:p w14:paraId="6CA390FC">
            <w:pPr>
              <w:wordWrap w:val="0"/>
              <w:jc w:val="center"/>
              <w:rPr>
                <w:rFonts w:hint="eastAsia" w:ascii="宋体" w:hAnsi="宋体"/>
                <w:sz w:val="24"/>
                <w:highlight w:val="none"/>
              </w:rPr>
            </w:pPr>
            <w:r>
              <w:rPr>
                <w:rFonts w:hint="eastAsia" w:ascii="宋体" w:hAnsi="宋体"/>
                <w:sz w:val="24"/>
                <w:highlight w:val="none"/>
              </w:rPr>
              <w:t>…</w:t>
            </w:r>
          </w:p>
        </w:tc>
        <w:tc>
          <w:tcPr>
            <w:tcW w:w="1687" w:type="dxa"/>
            <w:noWrap w:val="0"/>
            <w:vAlign w:val="center"/>
          </w:tcPr>
          <w:p w14:paraId="23C9EC08">
            <w:pPr>
              <w:wordWrap w:val="0"/>
              <w:jc w:val="center"/>
              <w:rPr>
                <w:rFonts w:hint="eastAsia" w:ascii="宋体" w:hAnsi="宋体"/>
                <w:sz w:val="24"/>
                <w:highlight w:val="none"/>
              </w:rPr>
            </w:pPr>
          </w:p>
        </w:tc>
        <w:tc>
          <w:tcPr>
            <w:tcW w:w="971" w:type="dxa"/>
            <w:noWrap w:val="0"/>
            <w:vAlign w:val="center"/>
          </w:tcPr>
          <w:p w14:paraId="35AFFE42">
            <w:pPr>
              <w:wordWrap w:val="0"/>
              <w:jc w:val="center"/>
              <w:rPr>
                <w:rFonts w:hint="eastAsia" w:ascii="宋体" w:hAnsi="宋体"/>
                <w:sz w:val="24"/>
                <w:highlight w:val="none"/>
              </w:rPr>
            </w:pPr>
          </w:p>
        </w:tc>
        <w:tc>
          <w:tcPr>
            <w:tcW w:w="1263" w:type="dxa"/>
            <w:noWrap w:val="0"/>
            <w:vAlign w:val="center"/>
          </w:tcPr>
          <w:p w14:paraId="657DFF4A">
            <w:pPr>
              <w:wordWrap w:val="0"/>
              <w:jc w:val="center"/>
              <w:rPr>
                <w:rFonts w:hint="eastAsia" w:ascii="宋体" w:hAnsi="宋体"/>
                <w:sz w:val="24"/>
                <w:highlight w:val="none"/>
              </w:rPr>
            </w:pPr>
          </w:p>
        </w:tc>
        <w:tc>
          <w:tcPr>
            <w:tcW w:w="1033" w:type="dxa"/>
            <w:noWrap w:val="0"/>
            <w:vAlign w:val="center"/>
          </w:tcPr>
          <w:p w14:paraId="388484B5">
            <w:pPr>
              <w:pStyle w:val="22"/>
              <w:wordWrap w:val="0"/>
              <w:rPr>
                <w:rFonts w:hint="eastAsia" w:hAnsi="宋体"/>
                <w:sz w:val="24"/>
                <w:szCs w:val="24"/>
                <w:highlight w:val="none"/>
              </w:rPr>
            </w:pPr>
          </w:p>
        </w:tc>
        <w:tc>
          <w:tcPr>
            <w:tcW w:w="1033" w:type="dxa"/>
            <w:noWrap w:val="0"/>
            <w:vAlign w:val="center"/>
          </w:tcPr>
          <w:p w14:paraId="68F1E355">
            <w:pPr>
              <w:pStyle w:val="22"/>
              <w:wordWrap w:val="0"/>
              <w:rPr>
                <w:rFonts w:hint="eastAsia" w:hAnsi="宋体"/>
                <w:sz w:val="24"/>
                <w:szCs w:val="24"/>
                <w:highlight w:val="none"/>
              </w:rPr>
            </w:pPr>
          </w:p>
        </w:tc>
        <w:tc>
          <w:tcPr>
            <w:tcW w:w="1033" w:type="dxa"/>
            <w:noWrap w:val="0"/>
            <w:vAlign w:val="center"/>
          </w:tcPr>
          <w:p w14:paraId="2D8009BF">
            <w:pPr>
              <w:pStyle w:val="22"/>
              <w:wordWrap w:val="0"/>
              <w:rPr>
                <w:rFonts w:hint="eastAsia" w:hAnsi="宋体"/>
                <w:sz w:val="24"/>
                <w:szCs w:val="24"/>
                <w:highlight w:val="none"/>
              </w:rPr>
            </w:pPr>
          </w:p>
        </w:tc>
        <w:tc>
          <w:tcPr>
            <w:tcW w:w="797" w:type="dxa"/>
            <w:noWrap w:val="0"/>
            <w:vAlign w:val="center"/>
          </w:tcPr>
          <w:p w14:paraId="6E2CDBCB">
            <w:pPr>
              <w:pStyle w:val="22"/>
              <w:wordWrap w:val="0"/>
              <w:rPr>
                <w:rFonts w:hint="eastAsia" w:hAnsi="宋体"/>
                <w:sz w:val="24"/>
                <w:szCs w:val="24"/>
                <w:highlight w:val="none"/>
              </w:rPr>
            </w:pPr>
          </w:p>
        </w:tc>
        <w:tc>
          <w:tcPr>
            <w:tcW w:w="1037" w:type="dxa"/>
            <w:noWrap w:val="0"/>
            <w:vAlign w:val="center"/>
          </w:tcPr>
          <w:p w14:paraId="361D64D9">
            <w:pPr>
              <w:pStyle w:val="22"/>
              <w:wordWrap w:val="0"/>
              <w:rPr>
                <w:rFonts w:hint="eastAsia" w:hAnsi="宋体"/>
                <w:spacing w:val="-6"/>
                <w:sz w:val="24"/>
                <w:szCs w:val="24"/>
                <w:highlight w:val="none"/>
              </w:rPr>
            </w:pPr>
          </w:p>
        </w:tc>
      </w:tr>
      <w:tr w14:paraId="7C25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4" w:type="dxa"/>
            <w:noWrap w:val="0"/>
            <w:vAlign w:val="center"/>
          </w:tcPr>
          <w:p w14:paraId="45C24BE8">
            <w:pPr>
              <w:wordWrap w:val="0"/>
              <w:jc w:val="center"/>
              <w:rPr>
                <w:rFonts w:ascii="宋体" w:hAnsi="宋体"/>
                <w:sz w:val="24"/>
                <w:highlight w:val="none"/>
              </w:rPr>
            </w:pPr>
            <w:r>
              <w:rPr>
                <w:rFonts w:ascii="宋体" w:hAnsi="宋体"/>
                <w:sz w:val="24"/>
                <w:highlight w:val="none"/>
              </w:rPr>
              <w:t>N</w:t>
            </w:r>
          </w:p>
        </w:tc>
        <w:tc>
          <w:tcPr>
            <w:tcW w:w="1687" w:type="dxa"/>
            <w:noWrap w:val="0"/>
            <w:vAlign w:val="center"/>
          </w:tcPr>
          <w:p w14:paraId="5339F16B">
            <w:pPr>
              <w:wordWrap w:val="0"/>
              <w:jc w:val="center"/>
              <w:rPr>
                <w:rFonts w:hint="eastAsia" w:ascii="宋体" w:hAnsi="宋体"/>
                <w:sz w:val="24"/>
                <w:highlight w:val="none"/>
              </w:rPr>
            </w:pPr>
          </w:p>
        </w:tc>
        <w:tc>
          <w:tcPr>
            <w:tcW w:w="971" w:type="dxa"/>
            <w:noWrap w:val="0"/>
            <w:vAlign w:val="center"/>
          </w:tcPr>
          <w:p w14:paraId="77F88FE9">
            <w:pPr>
              <w:wordWrap w:val="0"/>
              <w:jc w:val="center"/>
              <w:rPr>
                <w:rFonts w:hint="eastAsia" w:ascii="宋体" w:hAnsi="宋体"/>
                <w:sz w:val="24"/>
                <w:highlight w:val="none"/>
              </w:rPr>
            </w:pPr>
          </w:p>
        </w:tc>
        <w:tc>
          <w:tcPr>
            <w:tcW w:w="1263" w:type="dxa"/>
            <w:noWrap w:val="0"/>
            <w:vAlign w:val="center"/>
          </w:tcPr>
          <w:p w14:paraId="5D7AEAF9">
            <w:pPr>
              <w:wordWrap w:val="0"/>
              <w:jc w:val="center"/>
              <w:rPr>
                <w:rFonts w:hint="eastAsia" w:ascii="宋体" w:hAnsi="宋体"/>
                <w:sz w:val="24"/>
                <w:highlight w:val="none"/>
              </w:rPr>
            </w:pPr>
          </w:p>
        </w:tc>
        <w:tc>
          <w:tcPr>
            <w:tcW w:w="1033" w:type="dxa"/>
            <w:noWrap w:val="0"/>
            <w:vAlign w:val="center"/>
          </w:tcPr>
          <w:p w14:paraId="6352AAA1">
            <w:pPr>
              <w:pStyle w:val="22"/>
              <w:wordWrap w:val="0"/>
              <w:rPr>
                <w:rFonts w:hint="eastAsia" w:hAnsi="宋体"/>
                <w:sz w:val="24"/>
                <w:szCs w:val="24"/>
                <w:highlight w:val="none"/>
              </w:rPr>
            </w:pPr>
          </w:p>
        </w:tc>
        <w:tc>
          <w:tcPr>
            <w:tcW w:w="1033" w:type="dxa"/>
            <w:noWrap w:val="0"/>
            <w:vAlign w:val="center"/>
          </w:tcPr>
          <w:p w14:paraId="40034105">
            <w:pPr>
              <w:pStyle w:val="22"/>
              <w:wordWrap w:val="0"/>
              <w:rPr>
                <w:rFonts w:hint="eastAsia" w:hAnsi="宋体"/>
                <w:sz w:val="24"/>
                <w:szCs w:val="24"/>
                <w:highlight w:val="none"/>
              </w:rPr>
            </w:pPr>
          </w:p>
        </w:tc>
        <w:tc>
          <w:tcPr>
            <w:tcW w:w="1033" w:type="dxa"/>
            <w:noWrap w:val="0"/>
            <w:vAlign w:val="center"/>
          </w:tcPr>
          <w:p w14:paraId="51D8E192">
            <w:pPr>
              <w:pStyle w:val="22"/>
              <w:wordWrap w:val="0"/>
              <w:rPr>
                <w:rFonts w:hint="eastAsia" w:hAnsi="宋体"/>
                <w:sz w:val="24"/>
                <w:szCs w:val="24"/>
                <w:highlight w:val="none"/>
              </w:rPr>
            </w:pPr>
          </w:p>
        </w:tc>
        <w:tc>
          <w:tcPr>
            <w:tcW w:w="797" w:type="dxa"/>
            <w:noWrap w:val="0"/>
            <w:vAlign w:val="center"/>
          </w:tcPr>
          <w:p w14:paraId="1D4ED35A">
            <w:pPr>
              <w:pStyle w:val="22"/>
              <w:wordWrap w:val="0"/>
              <w:rPr>
                <w:rFonts w:hint="eastAsia" w:hAnsi="宋体"/>
                <w:sz w:val="24"/>
                <w:szCs w:val="24"/>
                <w:highlight w:val="none"/>
              </w:rPr>
            </w:pPr>
          </w:p>
        </w:tc>
        <w:tc>
          <w:tcPr>
            <w:tcW w:w="1037" w:type="dxa"/>
            <w:noWrap w:val="0"/>
            <w:vAlign w:val="center"/>
          </w:tcPr>
          <w:p w14:paraId="697DB04B">
            <w:pPr>
              <w:pStyle w:val="22"/>
              <w:wordWrap w:val="0"/>
              <w:rPr>
                <w:rFonts w:hint="eastAsia" w:hAnsi="宋体"/>
                <w:spacing w:val="-6"/>
                <w:sz w:val="24"/>
                <w:szCs w:val="24"/>
                <w:highlight w:val="none"/>
              </w:rPr>
            </w:pPr>
          </w:p>
        </w:tc>
      </w:tr>
      <w:tr w14:paraId="3787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58" w:type="dxa"/>
            <w:gridSpan w:val="9"/>
            <w:noWrap w:val="0"/>
            <w:vAlign w:val="center"/>
          </w:tcPr>
          <w:p w14:paraId="3FB45BA2">
            <w:pPr>
              <w:pStyle w:val="22"/>
              <w:wordWrap w:val="0"/>
              <w:rPr>
                <w:rFonts w:hint="eastAsia" w:hAnsi="宋体"/>
                <w:spacing w:val="-6"/>
                <w:sz w:val="24"/>
                <w:szCs w:val="24"/>
                <w:highlight w:val="none"/>
              </w:rPr>
            </w:pPr>
            <w:r>
              <w:rPr>
                <w:rFonts w:hint="eastAsia" w:hAnsi="宋体"/>
                <w:spacing w:val="-6"/>
                <w:sz w:val="24"/>
                <w:szCs w:val="24"/>
                <w:highlight w:val="none"/>
              </w:rPr>
              <w:t>投标报价（人民币大写）：                                 （</w:t>
            </w:r>
            <w:r>
              <w:rPr>
                <w:rFonts w:hint="eastAsia" w:hAnsi="宋体"/>
                <w:sz w:val="24"/>
                <w:highlight w:val="none"/>
              </w:rPr>
              <w:t>¥</w:t>
            </w:r>
            <w:r>
              <w:rPr>
                <w:rFonts w:hint="eastAsia" w:hAnsi="宋体"/>
                <w:spacing w:val="-6"/>
                <w:sz w:val="24"/>
                <w:szCs w:val="24"/>
                <w:highlight w:val="none"/>
              </w:rPr>
              <w:t xml:space="preserve">                元）</w:t>
            </w:r>
          </w:p>
        </w:tc>
      </w:tr>
      <w:tr w14:paraId="28C8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58" w:type="dxa"/>
            <w:gridSpan w:val="9"/>
            <w:tcBorders>
              <w:top w:val="single" w:color="auto" w:sz="4" w:space="0"/>
              <w:left w:val="single" w:color="auto" w:sz="4" w:space="0"/>
              <w:bottom w:val="single" w:color="auto" w:sz="4" w:space="0"/>
              <w:right w:val="single" w:color="auto" w:sz="4" w:space="0"/>
            </w:tcBorders>
            <w:noWrap w:val="0"/>
            <w:vAlign w:val="center"/>
          </w:tcPr>
          <w:p w14:paraId="2B2D6B09">
            <w:pPr>
              <w:pStyle w:val="22"/>
              <w:wordWrap w:val="0"/>
              <w:rPr>
                <w:rFonts w:hint="eastAsia" w:hAnsi="宋体"/>
                <w:spacing w:val="-6"/>
                <w:sz w:val="24"/>
                <w:szCs w:val="24"/>
                <w:highlight w:val="none"/>
              </w:rPr>
            </w:pPr>
            <w:r>
              <w:rPr>
                <w:rFonts w:hint="eastAsia" w:hAnsi="宋体"/>
                <w:spacing w:val="-6"/>
                <w:sz w:val="24"/>
                <w:szCs w:val="24"/>
                <w:highlight w:val="none"/>
              </w:rPr>
              <w:t>备注：表内报价内容以元为单位，最多保留小数点后两位。</w:t>
            </w:r>
          </w:p>
        </w:tc>
      </w:tr>
    </w:tbl>
    <w:p w14:paraId="24AFCB83">
      <w:pPr>
        <w:kinsoku w:val="0"/>
        <w:spacing w:line="500" w:lineRule="exact"/>
        <w:rPr>
          <w:rFonts w:hint="eastAsia" w:ascii="楷体" w:hAnsi="楷体" w:eastAsia="楷体"/>
          <w:sz w:val="24"/>
          <w:highlight w:val="none"/>
        </w:rPr>
      </w:pPr>
      <w:r>
        <w:rPr>
          <w:rFonts w:hint="eastAsia" w:ascii="楷体" w:hAnsi="楷体" w:eastAsia="楷体"/>
          <w:sz w:val="24"/>
          <w:highlight w:val="none"/>
        </w:rPr>
        <w:t>注：本表中的“投标报价”与“开标一览表”中的“投标报价”一致,各子项分别报价。</w:t>
      </w:r>
    </w:p>
    <w:p w14:paraId="0446FD30">
      <w:pPr>
        <w:pStyle w:val="22"/>
        <w:rPr>
          <w:rFonts w:hint="eastAsia" w:hAnsi="宋体"/>
          <w:sz w:val="24"/>
          <w:szCs w:val="24"/>
          <w:highlight w:val="none"/>
        </w:rPr>
      </w:pPr>
    </w:p>
    <w:p w14:paraId="345E1B58">
      <w:pPr>
        <w:spacing w:line="480" w:lineRule="auto"/>
        <w:ind w:firstLine="480" w:firstLineChars="200"/>
        <w:jc w:val="left"/>
        <w:rPr>
          <w:rFonts w:ascii="宋体" w:hAnsi="宋体"/>
          <w:sz w:val="24"/>
          <w:highlight w:val="none"/>
          <w:u w:val="single"/>
        </w:rPr>
      </w:pPr>
      <w:r>
        <w:rPr>
          <w:rFonts w:hint="eastAsia" w:ascii="宋体" w:hAnsi="宋体"/>
          <w:sz w:val="24"/>
          <w:szCs w:val="28"/>
          <w:highlight w:val="none"/>
        </w:rPr>
        <w:t>供应商</w:t>
      </w:r>
      <w:r>
        <w:rPr>
          <w:rFonts w:hint="eastAsia" w:ascii="宋体" w:hAnsi="宋体"/>
          <w:sz w:val="24"/>
          <w:highlight w:val="none"/>
        </w:rPr>
        <w:t>（公章</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p>
    <w:p w14:paraId="2BA43797">
      <w:pPr>
        <w:spacing w:line="480" w:lineRule="auto"/>
        <w:ind w:firstLine="480" w:firstLineChars="200"/>
        <w:jc w:val="left"/>
        <w:rPr>
          <w:rFonts w:ascii="宋体" w:hAnsi="宋体"/>
          <w:sz w:val="24"/>
          <w:highlight w:val="none"/>
          <w:u w:val="single"/>
        </w:rPr>
      </w:pPr>
      <w:r>
        <w:rPr>
          <w:rFonts w:hint="eastAsia" w:ascii="宋体" w:hAnsi="宋体"/>
          <w:sz w:val="24"/>
          <w:highlight w:val="none"/>
        </w:rPr>
        <w:t>法定代表人或被授权人（签字或盖章）：</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p>
    <w:p w14:paraId="1EDA6EAE">
      <w:pPr>
        <w:ind w:left="315" w:leftChars="150" w:firstLine="120" w:firstLineChars="50"/>
        <w:rPr>
          <w:rFonts w:hint="eastAsia" w:ascii="宋体" w:hAnsi="宋体"/>
          <w:sz w:val="24"/>
          <w:highlight w:val="none"/>
        </w:rPr>
      </w:pPr>
      <w:r>
        <w:rPr>
          <w:rFonts w:hint="eastAsia" w:ascii="宋体" w:hAnsi="宋体"/>
          <w:sz w:val="24"/>
          <w:highlight w:val="none"/>
        </w:rPr>
        <w:t xml:space="preserve">日  </w:t>
      </w:r>
      <w:r>
        <w:rPr>
          <w:rFonts w:ascii="宋体" w:hAnsi="宋体"/>
          <w:sz w:val="24"/>
          <w:highlight w:val="none"/>
        </w:rPr>
        <w:t xml:space="preserve"> </w:t>
      </w:r>
      <w:r>
        <w:rPr>
          <w:rFonts w:hint="eastAsia" w:ascii="宋体" w:hAnsi="宋体"/>
          <w:sz w:val="24"/>
          <w:highlight w:val="none"/>
        </w:rPr>
        <w:t>期</w:t>
      </w:r>
      <w:r>
        <w:rPr>
          <w:rFonts w:ascii="宋体" w:hAnsi="宋体"/>
          <w:sz w:val="24"/>
          <w:highlight w:val="none"/>
        </w:rPr>
        <w:t>：</w:t>
      </w:r>
      <w:r>
        <w:rPr>
          <w:rFonts w:hint="eastAsia" w:ascii="宋体" w:hAnsi="宋体"/>
          <w:sz w:val="24"/>
          <w:highlight w:val="none"/>
        </w:rPr>
        <w:t xml:space="preserve">      年    月    日  </w:t>
      </w:r>
    </w:p>
    <w:p w14:paraId="2FA08A75">
      <w:pPr>
        <w:ind w:left="315" w:leftChars="150" w:firstLine="120" w:firstLineChars="50"/>
        <w:jc w:val="center"/>
        <w:rPr>
          <w:rFonts w:hint="eastAsia" w:ascii="宋体" w:hAnsi="宋体"/>
          <w:sz w:val="24"/>
          <w:highlight w:val="none"/>
        </w:rPr>
      </w:pPr>
    </w:p>
    <w:p w14:paraId="52DDAE25">
      <w:pPr>
        <w:ind w:left="315" w:leftChars="150" w:firstLine="120" w:firstLineChars="50"/>
        <w:jc w:val="center"/>
        <w:rPr>
          <w:rFonts w:hint="eastAsia" w:ascii="宋体" w:hAnsi="宋体"/>
          <w:sz w:val="24"/>
          <w:highlight w:val="none"/>
        </w:rPr>
      </w:pPr>
    </w:p>
    <w:p w14:paraId="253426DD">
      <w:pPr>
        <w:pStyle w:val="207"/>
        <w:rPr>
          <w:rFonts w:hint="eastAsia" w:ascii="宋体" w:hAnsi="宋体" w:eastAsia="宋体"/>
          <w:highlight w:val="none"/>
        </w:rPr>
      </w:pPr>
      <w:r>
        <w:rPr>
          <w:rFonts w:hint="eastAsia" w:ascii="宋体" w:hAnsi="宋体"/>
          <w:sz w:val="24"/>
          <w:highlight w:val="none"/>
        </w:rPr>
        <w:br w:type="page"/>
      </w:r>
      <w:bookmarkStart w:id="20" w:name="_Toc28583"/>
      <w:bookmarkStart w:id="21" w:name="_Toc42559898"/>
      <w:bookmarkStart w:id="22" w:name="_Toc532028458"/>
      <w:bookmarkStart w:id="23" w:name="_Toc66899708"/>
      <w:r>
        <w:rPr>
          <w:rFonts w:hint="eastAsia" w:ascii="宋体" w:hAnsi="宋体" w:eastAsia="宋体"/>
          <w:highlight w:val="none"/>
        </w:rPr>
        <w:t>节能环保、环境标志产品明细表</w:t>
      </w:r>
      <w:bookmarkEnd w:id="20"/>
      <w:bookmarkEnd w:id="21"/>
      <w:bookmarkEnd w:id="22"/>
      <w:bookmarkEnd w:id="23"/>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23"/>
        <w:gridCol w:w="1038"/>
        <w:gridCol w:w="1066"/>
        <w:gridCol w:w="914"/>
        <w:gridCol w:w="1120"/>
        <w:gridCol w:w="752"/>
        <w:gridCol w:w="794"/>
        <w:gridCol w:w="792"/>
        <w:gridCol w:w="661"/>
      </w:tblGrid>
      <w:tr w14:paraId="20AF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60" w:type="dxa"/>
            <w:noWrap w:val="0"/>
            <w:vAlign w:val="center"/>
          </w:tcPr>
          <w:p w14:paraId="268CAA1C">
            <w:pPr>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923" w:type="dxa"/>
            <w:noWrap w:val="0"/>
            <w:vAlign w:val="center"/>
          </w:tcPr>
          <w:p w14:paraId="538C4A82">
            <w:pPr>
              <w:jc w:val="center"/>
              <w:rPr>
                <w:rFonts w:hint="eastAsia" w:ascii="仿宋" w:hAnsi="仿宋" w:eastAsia="仿宋" w:cs="仿宋"/>
                <w:szCs w:val="21"/>
                <w:highlight w:val="none"/>
              </w:rPr>
            </w:pPr>
            <w:r>
              <w:rPr>
                <w:rFonts w:hint="eastAsia" w:ascii="仿宋" w:hAnsi="仿宋" w:eastAsia="仿宋" w:cs="仿宋"/>
                <w:szCs w:val="21"/>
                <w:highlight w:val="none"/>
              </w:rPr>
              <w:t>产品</w:t>
            </w:r>
          </w:p>
          <w:p w14:paraId="38F9DF12">
            <w:pPr>
              <w:jc w:val="center"/>
              <w:rPr>
                <w:rFonts w:hint="eastAsia" w:ascii="仿宋" w:hAnsi="仿宋" w:eastAsia="仿宋" w:cs="仿宋"/>
                <w:szCs w:val="21"/>
                <w:highlight w:val="none"/>
              </w:rPr>
            </w:pPr>
            <w:r>
              <w:rPr>
                <w:rFonts w:hint="eastAsia" w:ascii="仿宋" w:hAnsi="仿宋" w:eastAsia="仿宋" w:cs="仿宋"/>
                <w:szCs w:val="21"/>
                <w:highlight w:val="none"/>
              </w:rPr>
              <w:t>名称</w:t>
            </w:r>
          </w:p>
        </w:tc>
        <w:tc>
          <w:tcPr>
            <w:tcW w:w="1038" w:type="dxa"/>
            <w:noWrap w:val="0"/>
            <w:vAlign w:val="center"/>
          </w:tcPr>
          <w:p w14:paraId="7D7D091F">
            <w:pPr>
              <w:jc w:val="center"/>
              <w:rPr>
                <w:rFonts w:hint="eastAsia" w:ascii="仿宋" w:hAnsi="仿宋" w:eastAsia="仿宋" w:cs="仿宋"/>
                <w:szCs w:val="21"/>
                <w:highlight w:val="none"/>
              </w:rPr>
            </w:pPr>
            <w:r>
              <w:rPr>
                <w:rFonts w:hint="eastAsia" w:ascii="仿宋" w:hAnsi="仿宋" w:eastAsia="仿宋" w:cs="仿宋"/>
                <w:szCs w:val="21"/>
                <w:highlight w:val="none"/>
              </w:rPr>
              <w:t>制造厂家</w:t>
            </w:r>
          </w:p>
        </w:tc>
        <w:tc>
          <w:tcPr>
            <w:tcW w:w="1066" w:type="dxa"/>
            <w:noWrap w:val="0"/>
            <w:vAlign w:val="center"/>
          </w:tcPr>
          <w:p w14:paraId="62BB5BDE">
            <w:pPr>
              <w:jc w:val="center"/>
              <w:rPr>
                <w:rFonts w:hint="eastAsia" w:ascii="仿宋" w:hAnsi="仿宋" w:eastAsia="仿宋" w:cs="仿宋"/>
                <w:szCs w:val="21"/>
                <w:highlight w:val="none"/>
              </w:rPr>
            </w:pPr>
            <w:r>
              <w:rPr>
                <w:rFonts w:hint="eastAsia" w:ascii="仿宋" w:hAnsi="仿宋" w:eastAsia="仿宋" w:cs="仿宋"/>
                <w:szCs w:val="21"/>
                <w:highlight w:val="none"/>
              </w:rPr>
              <w:t>规格</w:t>
            </w:r>
          </w:p>
          <w:p w14:paraId="2C94FD05">
            <w:pPr>
              <w:jc w:val="center"/>
              <w:rPr>
                <w:rFonts w:hint="eastAsia" w:ascii="仿宋" w:hAnsi="仿宋" w:eastAsia="仿宋" w:cs="仿宋"/>
                <w:szCs w:val="21"/>
                <w:highlight w:val="none"/>
              </w:rPr>
            </w:pPr>
            <w:r>
              <w:rPr>
                <w:rFonts w:hint="eastAsia" w:ascii="仿宋" w:hAnsi="仿宋" w:eastAsia="仿宋" w:cs="仿宋"/>
                <w:szCs w:val="21"/>
                <w:highlight w:val="none"/>
              </w:rPr>
              <w:t>型号</w:t>
            </w:r>
          </w:p>
        </w:tc>
        <w:tc>
          <w:tcPr>
            <w:tcW w:w="914" w:type="dxa"/>
            <w:noWrap w:val="0"/>
            <w:vAlign w:val="center"/>
          </w:tcPr>
          <w:p w14:paraId="3B966004">
            <w:pPr>
              <w:jc w:val="center"/>
              <w:rPr>
                <w:rFonts w:hint="eastAsia" w:ascii="仿宋" w:hAnsi="仿宋" w:eastAsia="仿宋" w:cs="仿宋"/>
                <w:szCs w:val="21"/>
                <w:highlight w:val="none"/>
              </w:rPr>
            </w:pPr>
            <w:r>
              <w:rPr>
                <w:rFonts w:hint="eastAsia" w:ascii="仿宋" w:hAnsi="仿宋" w:eastAsia="仿宋" w:cs="仿宋"/>
                <w:szCs w:val="21"/>
                <w:highlight w:val="none"/>
              </w:rPr>
              <w:t>类别</w:t>
            </w:r>
          </w:p>
        </w:tc>
        <w:tc>
          <w:tcPr>
            <w:tcW w:w="1120" w:type="dxa"/>
            <w:noWrap w:val="0"/>
            <w:vAlign w:val="center"/>
          </w:tcPr>
          <w:p w14:paraId="3D29B0D7">
            <w:pPr>
              <w:jc w:val="center"/>
              <w:rPr>
                <w:rFonts w:hint="eastAsia" w:ascii="仿宋" w:hAnsi="仿宋" w:eastAsia="仿宋" w:cs="仿宋"/>
                <w:szCs w:val="21"/>
                <w:highlight w:val="none"/>
              </w:rPr>
            </w:pPr>
            <w:r>
              <w:rPr>
                <w:rFonts w:hint="eastAsia" w:ascii="仿宋" w:hAnsi="仿宋" w:eastAsia="仿宋" w:cs="仿宋"/>
                <w:szCs w:val="21"/>
                <w:highlight w:val="none"/>
              </w:rPr>
              <w:t>认证证书编号</w:t>
            </w:r>
          </w:p>
        </w:tc>
        <w:tc>
          <w:tcPr>
            <w:tcW w:w="752" w:type="dxa"/>
            <w:noWrap w:val="0"/>
            <w:vAlign w:val="center"/>
          </w:tcPr>
          <w:p w14:paraId="3016B5E1">
            <w:pPr>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794" w:type="dxa"/>
            <w:noWrap w:val="0"/>
            <w:vAlign w:val="center"/>
          </w:tcPr>
          <w:p w14:paraId="5204196A">
            <w:pPr>
              <w:jc w:val="center"/>
              <w:rPr>
                <w:rFonts w:hint="eastAsia" w:ascii="仿宋" w:hAnsi="仿宋" w:eastAsia="仿宋" w:cs="仿宋"/>
                <w:szCs w:val="21"/>
                <w:highlight w:val="none"/>
              </w:rPr>
            </w:pPr>
            <w:r>
              <w:rPr>
                <w:rFonts w:hint="eastAsia" w:ascii="仿宋" w:hAnsi="仿宋" w:eastAsia="仿宋" w:cs="仿宋"/>
                <w:szCs w:val="21"/>
                <w:highlight w:val="none"/>
              </w:rPr>
              <w:t>单价</w:t>
            </w:r>
          </w:p>
        </w:tc>
        <w:tc>
          <w:tcPr>
            <w:tcW w:w="792" w:type="dxa"/>
            <w:noWrap w:val="0"/>
            <w:vAlign w:val="center"/>
          </w:tcPr>
          <w:p w14:paraId="29BCEB96">
            <w:pPr>
              <w:jc w:val="center"/>
              <w:rPr>
                <w:rFonts w:hint="eastAsia" w:ascii="仿宋" w:hAnsi="仿宋" w:eastAsia="仿宋" w:cs="仿宋"/>
                <w:szCs w:val="21"/>
                <w:highlight w:val="none"/>
              </w:rPr>
            </w:pPr>
            <w:r>
              <w:rPr>
                <w:rFonts w:hint="eastAsia" w:ascii="仿宋" w:hAnsi="仿宋" w:eastAsia="仿宋" w:cs="仿宋"/>
                <w:szCs w:val="21"/>
                <w:highlight w:val="none"/>
              </w:rPr>
              <w:t>总价</w:t>
            </w:r>
          </w:p>
        </w:tc>
        <w:tc>
          <w:tcPr>
            <w:tcW w:w="661" w:type="dxa"/>
            <w:noWrap w:val="0"/>
            <w:vAlign w:val="center"/>
          </w:tcPr>
          <w:p w14:paraId="516B46E6">
            <w:pPr>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7DEF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0" w:type="dxa"/>
            <w:noWrap w:val="0"/>
            <w:vAlign w:val="top"/>
          </w:tcPr>
          <w:p w14:paraId="5184E190">
            <w:pPr>
              <w:spacing w:line="360" w:lineRule="auto"/>
              <w:rPr>
                <w:rFonts w:hint="eastAsia" w:ascii="仿宋" w:hAnsi="仿宋" w:eastAsia="仿宋" w:cs="仿宋"/>
                <w:szCs w:val="24"/>
                <w:highlight w:val="none"/>
              </w:rPr>
            </w:pPr>
          </w:p>
        </w:tc>
        <w:tc>
          <w:tcPr>
            <w:tcW w:w="923" w:type="dxa"/>
            <w:noWrap w:val="0"/>
            <w:vAlign w:val="top"/>
          </w:tcPr>
          <w:p w14:paraId="2A327043">
            <w:pPr>
              <w:spacing w:line="360" w:lineRule="auto"/>
              <w:rPr>
                <w:rFonts w:hint="eastAsia" w:ascii="仿宋" w:hAnsi="仿宋" w:eastAsia="仿宋" w:cs="仿宋"/>
                <w:szCs w:val="24"/>
                <w:highlight w:val="none"/>
              </w:rPr>
            </w:pPr>
          </w:p>
        </w:tc>
        <w:tc>
          <w:tcPr>
            <w:tcW w:w="1038" w:type="dxa"/>
            <w:noWrap w:val="0"/>
            <w:vAlign w:val="top"/>
          </w:tcPr>
          <w:p w14:paraId="220545AE">
            <w:pPr>
              <w:spacing w:line="360" w:lineRule="auto"/>
              <w:rPr>
                <w:rFonts w:hint="eastAsia" w:ascii="仿宋" w:hAnsi="仿宋" w:eastAsia="仿宋" w:cs="仿宋"/>
                <w:szCs w:val="24"/>
                <w:highlight w:val="none"/>
              </w:rPr>
            </w:pPr>
          </w:p>
        </w:tc>
        <w:tc>
          <w:tcPr>
            <w:tcW w:w="1066" w:type="dxa"/>
            <w:noWrap w:val="0"/>
            <w:vAlign w:val="top"/>
          </w:tcPr>
          <w:p w14:paraId="48DC889A">
            <w:pPr>
              <w:spacing w:line="360" w:lineRule="auto"/>
              <w:rPr>
                <w:rFonts w:hint="eastAsia" w:ascii="仿宋" w:hAnsi="仿宋" w:eastAsia="仿宋" w:cs="仿宋"/>
                <w:szCs w:val="24"/>
                <w:highlight w:val="none"/>
              </w:rPr>
            </w:pPr>
          </w:p>
        </w:tc>
        <w:tc>
          <w:tcPr>
            <w:tcW w:w="914" w:type="dxa"/>
            <w:noWrap w:val="0"/>
            <w:vAlign w:val="top"/>
          </w:tcPr>
          <w:p w14:paraId="339B60C3">
            <w:pPr>
              <w:spacing w:line="360" w:lineRule="auto"/>
              <w:rPr>
                <w:rFonts w:hint="eastAsia" w:ascii="仿宋" w:hAnsi="仿宋" w:eastAsia="仿宋" w:cs="仿宋"/>
                <w:szCs w:val="24"/>
                <w:highlight w:val="none"/>
              </w:rPr>
            </w:pPr>
          </w:p>
        </w:tc>
        <w:tc>
          <w:tcPr>
            <w:tcW w:w="1120" w:type="dxa"/>
            <w:noWrap w:val="0"/>
            <w:vAlign w:val="top"/>
          </w:tcPr>
          <w:p w14:paraId="344591B0">
            <w:pPr>
              <w:spacing w:line="360" w:lineRule="auto"/>
              <w:rPr>
                <w:rFonts w:hint="eastAsia" w:ascii="仿宋" w:hAnsi="仿宋" w:eastAsia="仿宋" w:cs="仿宋"/>
                <w:szCs w:val="24"/>
                <w:highlight w:val="none"/>
              </w:rPr>
            </w:pPr>
          </w:p>
        </w:tc>
        <w:tc>
          <w:tcPr>
            <w:tcW w:w="752" w:type="dxa"/>
            <w:noWrap w:val="0"/>
            <w:vAlign w:val="top"/>
          </w:tcPr>
          <w:p w14:paraId="4042A03D">
            <w:pPr>
              <w:spacing w:line="360" w:lineRule="auto"/>
              <w:rPr>
                <w:rFonts w:hint="eastAsia" w:ascii="仿宋" w:hAnsi="仿宋" w:eastAsia="仿宋" w:cs="仿宋"/>
                <w:szCs w:val="24"/>
                <w:highlight w:val="none"/>
              </w:rPr>
            </w:pPr>
          </w:p>
        </w:tc>
        <w:tc>
          <w:tcPr>
            <w:tcW w:w="794" w:type="dxa"/>
            <w:noWrap w:val="0"/>
            <w:vAlign w:val="top"/>
          </w:tcPr>
          <w:p w14:paraId="5DF87963">
            <w:pPr>
              <w:spacing w:line="360" w:lineRule="auto"/>
              <w:rPr>
                <w:rFonts w:hint="eastAsia" w:ascii="仿宋" w:hAnsi="仿宋" w:eastAsia="仿宋" w:cs="仿宋"/>
                <w:szCs w:val="24"/>
                <w:highlight w:val="none"/>
              </w:rPr>
            </w:pPr>
          </w:p>
        </w:tc>
        <w:tc>
          <w:tcPr>
            <w:tcW w:w="792" w:type="dxa"/>
            <w:noWrap w:val="0"/>
            <w:vAlign w:val="top"/>
          </w:tcPr>
          <w:p w14:paraId="742DD2BA">
            <w:pPr>
              <w:spacing w:line="360" w:lineRule="auto"/>
              <w:rPr>
                <w:rFonts w:hint="eastAsia" w:ascii="仿宋" w:hAnsi="仿宋" w:eastAsia="仿宋" w:cs="仿宋"/>
                <w:szCs w:val="24"/>
                <w:highlight w:val="none"/>
              </w:rPr>
            </w:pPr>
          </w:p>
        </w:tc>
        <w:tc>
          <w:tcPr>
            <w:tcW w:w="661" w:type="dxa"/>
            <w:noWrap w:val="0"/>
            <w:vAlign w:val="top"/>
          </w:tcPr>
          <w:p w14:paraId="4EDAD8FB">
            <w:pPr>
              <w:spacing w:line="360" w:lineRule="auto"/>
              <w:rPr>
                <w:rFonts w:hint="eastAsia" w:ascii="仿宋" w:hAnsi="仿宋" w:eastAsia="仿宋" w:cs="仿宋"/>
                <w:szCs w:val="24"/>
                <w:highlight w:val="none"/>
              </w:rPr>
            </w:pPr>
          </w:p>
        </w:tc>
      </w:tr>
      <w:tr w14:paraId="7761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0" w:type="dxa"/>
            <w:noWrap w:val="0"/>
            <w:vAlign w:val="top"/>
          </w:tcPr>
          <w:p w14:paraId="6935B2AB">
            <w:pPr>
              <w:spacing w:line="360" w:lineRule="auto"/>
              <w:rPr>
                <w:rFonts w:hint="eastAsia" w:ascii="仿宋" w:hAnsi="仿宋" w:eastAsia="仿宋" w:cs="仿宋"/>
                <w:szCs w:val="24"/>
                <w:highlight w:val="none"/>
              </w:rPr>
            </w:pPr>
          </w:p>
        </w:tc>
        <w:tc>
          <w:tcPr>
            <w:tcW w:w="923" w:type="dxa"/>
            <w:noWrap w:val="0"/>
            <w:vAlign w:val="top"/>
          </w:tcPr>
          <w:p w14:paraId="1C69E2AB">
            <w:pPr>
              <w:spacing w:line="360" w:lineRule="auto"/>
              <w:rPr>
                <w:rFonts w:hint="eastAsia" w:ascii="仿宋" w:hAnsi="仿宋" w:eastAsia="仿宋" w:cs="仿宋"/>
                <w:szCs w:val="24"/>
                <w:highlight w:val="none"/>
              </w:rPr>
            </w:pPr>
          </w:p>
        </w:tc>
        <w:tc>
          <w:tcPr>
            <w:tcW w:w="1038" w:type="dxa"/>
            <w:noWrap w:val="0"/>
            <w:vAlign w:val="top"/>
          </w:tcPr>
          <w:p w14:paraId="676CF9AF">
            <w:pPr>
              <w:spacing w:line="360" w:lineRule="auto"/>
              <w:rPr>
                <w:rFonts w:hint="eastAsia" w:ascii="仿宋" w:hAnsi="仿宋" w:eastAsia="仿宋" w:cs="仿宋"/>
                <w:szCs w:val="24"/>
                <w:highlight w:val="none"/>
              </w:rPr>
            </w:pPr>
          </w:p>
        </w:tc>
        <w:tc>
          <w:tcPr>
            <w:tcW w:w="1066" w:type="dxa"/>
            <w:noWrap w:val="0"/>
            <w:vAlign w:val="top"/>
          </w:tcPr>
          <w:p w14:paraId="101CFAAE">
            <w:pPr>
              <w:spacing w:line="360" w:lineRule="auto"/>
              <w:rPr>
                <w:rFonts w:hint="eastAsia" w:ascii="仿宋" w:hAnsi="仿宋" w:eastAsia="仿宋" w:cs="仿宋"/>
                <w:szCs w:val="24"/>
                <w:highlight w:val="none"/>
              </w:rPr>
            </w:pPr>
          </w:p>
        </w:tc>
        <w:tc>
          <w:tcPr>
            <w:tcW w:w="914" w:type="dxa"/>
            <w:noWrap w:val="0"/>
            <w:vAlign w:val="top"/>
          </w:tcPr>
          <w:p w14:paraId="7EBB4677">
            <w:pPr>
              <w:spacing w:line="360" w:lineRule="auto"/>
              <w:rPr>
                <w:rFonts w:hint="eastAsia" w:ascii="仿宋" w:hAnsi="仿宋" w:eastAsia="仿宋" w:cs="仿宋"/>
                <w:szCs w:val="24"/>
                <w:highlight w:val="none"/>
              </w:rPr>
            </w:pPr>
          </w:p>
        </w:tc>
        <w:tc>
          <w:tcPr>
            <w:tcW w:w="1120" w:type="dxa"/>
            <w:noWrap w:val="0"/>
            <w:vAlign w:val="top"/>
          </w:tcPr>
          <w:p w14:paraId="4E29C94C">
            <w:pPr>
              <w:spacing w:line="360" w:lineRule="auto"/>
              <w:rPr>
                <w:rFonts w:hint="eastAsia" w:ascii="仿宋" w:hAnsi="仿宋" w:eastAsia="仿宋" w:cs="仿宋"/>
                <w:szCs w:val="24"/>
                <w:highlight w:val="none"/>
              </w:rPr>
            </w:pPr>
          </w:p>
        </w:tc>
        <w:tc>
          <w:tcPr>
            <w:tcW w:w="752" w:type="dxa"/>
            <w:noWrap w:val="0"/>
            <w:vAlign w:val="top"/>
          </w:tcPr>
          <w:p w14:paraId="4334BB6E">
            <w:pPr>
              <w:spacing w:line="360" w:lineRule="auto"/>
              <w:rPr>
                <w:rFonts w:hint="eastAsia" w:ascii="仿宋" w:hAnsi="仿宋" w:eastAsia="仿宋" w:cs="仿宋"/>
                <w:szCs w:val="24"/>
                <w:highlight w:val="none"/>
              </w:rPr>
            </w:pPr>
          </w:p>
        </w:tc>
        <w:tc>
          <w:tcPr>
            <w:tcW w:w="794" w:type="dxa"/>
            <w:noWrap w:val="0"/>
            <w:vAlign w:val="top"/>
          </w:tcPr>
          <w:p w14:paraId="20DB8C98">
            <w:pPr>
              <w:spacing w:line="360" w:lineRule="auto"/>
              <w:rPr>
                <w:rFonts w:hint="eastAsia" w:ascii="仿宋" w:hAnsi="仿宋" w:eastAsia="仿宋" w:cs="仿宋"/>
                <w:szCs w:val="24"/>
                <w:highlight w:val="none"/>
              </w:rPr>
            </w:pPr>
          </w:p>
        </w:tc>
        <w:tc>
          <w:tcPr>
            <w:tcW w:w="792" w:type="dxa"/>
            <w:noWrap w:val="0"/>
            <w:vAlign w:val="top"/>
          </w:tcPr>
          <w:p w14:paraId="4EC2A3F1">
            <w:pPr>
              <w:spacing w:line="360" w:lineRule="auto"/>
              <w:rPr>
                <w:rFonts w:hint="eastAsia" w:ascii="仿宋" w:hAnsi="仿宋" w:eastAsia="仿宋" w:cs="仿宋"/>
                <w:szCs w:val="24"/>
                <w:highlight w:val="none"/>
              </w:rPr>
            </w:pPr>
          </w:p>
        </w:tc>
        <w:tc>
          <w:tcPr>
            <w:tcW w:w="661" w:type="dxa"/>
            <w:noWrap w:val="0"/>
            <w:vAlign w:val="top"/>
          </w:tcPr>
          <w:p w14:paraId="6996E1D1">
            <w:pPr>
              <w:spacing w:line="360" w:lineRule="auto"/>
              <w:rPr>
                <w:rFonts w:hint="eastAsia" w:ascii="仿宋" w:hAnsi="仿宋" w:eastAsia="仿宋" w:cs="仿宋"/>
                <w:szCs w:val="24"/>
                <w:highlight w:val="none"/>
              </w:rPr>
            </w:pPr>
          </w:p>
        </w:tc>
      </w:tr>
      <w:tr w14:paraId="2E3A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0" w:type="dxa"/>
            <w:noWrap w:val="0"/>
            <w:vAlign w:val="top"/>
          </w:tcPr>
          <w:p w14:paraId="6888F513">
            <w:pPr>
              <w:spacing w:line="360" w:lineRule="auto"/>
              <w:rPr>
                <w:rFonts w:hint="eastAsia" w:ascii="仿宋" w:hAnsi="仿宋" w:eastAsia="仿宋" w:cs="仿宋"/>
                <w:szCs w:val="24"/>
                <w:highlight w:val="none"/>
              </w:rPr>
            </w:pPr>
          </w:p>
        </w:tc>
        <w:tc>
          <w:tcPr>
            <w:tcW w:w="923" w:type="dxa"/>
            <w:noWrap w:val="0"/>
            <w:vAlign w:val="top"/>
          </w:tcPr>
          <w:p w14:paraId="7045F5C6">
            <w:pPr>
              <w:spacing w:line="360" w:lineRule="auto"/>
              <w:rPr>
                <w:rFonts w:hint="eastAsia" w:ascii="仿宋" w:hAnsi="仿宋" w:eastAsia="仿宋" w:cs="仿宋"/>
                <w:szCs w:val="24"/>
                <w:highlight w:val="none"/>
              </w:rPr>
            </w:pPr>
          </w:p>
        </w:tc>
        <w:tc>
          <w:tcPr>
            <w:tcW w:w="1038" w:type="dxa"/>
            <w:noWrap w:val="0"/>
            <w:vAlign w:val="top"/>
          </w:tcPr>
          <w:p w14:paraId="117CA8E5">
            <w:pPr>
              <w:spacing w:line="360" w:lineRule="auto"/>
              <w:rPr>
                <w:rFonts w:hint="eastAsia" w:ascii="仿宋" w:hAnsi="仿宋" w:eastAsia="仿宋" w:cs="仿宋"/>
                <w:szCs w:val="24"/>
                <w:highlight w:val="none"/>
              </w:rPr>
            </w:pPr>
          </w:p>
        </w:tc>
        <w:tc>
          <w:tcPr>
            <w:tcW w:w="1066" w:type="dxa"/>
            <w:noWrap w:val="0"/>
            <w:vAlign w:val="top"/>
          </w:tcPr>
          <w:p w14:paraId="6A7B3192">
            <w:pPr>
              <w:spacing w:line="360" w:lineRule="auto"/>
              <w:rPr>
                <w:rFonts w:hint="eastAsia" w:ascii="仿宋" w:hAnsi="仿宋" w:eastAsia="仿宋" w:cs="仿宋"/>
                <w:szCs w:val="24"/>
                <w:highlight w:val="none"/>
              </w:rPr>
            </w:pPr>
          </w:p>
        </w:tc>
        <w:tc>
          <w:tcPr>
            <w:tcW w:w="914" w:type="dxa"/>
            <w:noWrap w:val="0"/>
            <w:vAlign w:val="top"/>
          </w:tcPr>
          <w:p w14:paraId="66C3C2B1">
            <w:pPr>
              <w:spacing w:line="360" w:lineRule="auto"/>
              <w:rPr>
                <w:rFonts w:hint="eastAsia" w:ascii="仿宋" w:hAnsi="仿宋" w:eastAsia="仿宋" w:cs="仿宋"/>
                <w:szCs w:val="24"/>
                <w:highlight w:val="none"/>
              </w:rPr>
            </w:pPr>
          </w:p>
        </w:tc>
        <w:tc>
          <w:tcPr>
            <w:tcW w:w="1120" w:type="dxa"/>
            <w:noWrap w:val="0"/>
            <w:vAlign w:val="top"/>
          </w:tcPr>
          <w:p w14:paraId="383AF8DB">
            <w:pPr>
              <w:spacing w:line="360" w:lineRule="auto"/>
              <w:rPr>
                <w:rFonts w:hint="eastAsia" w:ascii="仿宋" w:hAnsi="仿宋" w:eastAsia="仿宋" w:cs="仿宋"/>
                <w:szCs w:val="24"/>
                <w:highlight w:val="none"/>
              </w:rPr>
            </w:pPr>
          </w:p>
        </w:tc>
        <w:tc>
          <w:tcPr>
            <w:tcW w:w="752" w:type="dxa"/>
            <w:noWrap w:val="0"/>
            <w:vAlign w:val="top"/>
          </w:tcPr>
          <w:p w14:paraId="11B03101">
            <w:pPr>
              <w:spacing w:line="360" w:lineRule="auto"/>
              <w:rPr>
                <w:rFonts w:hint="eastAsia" w:ascii="仿宋" w:hAnsi="仿宋" w:eastAsia="仿宋" w:cs="仿宋"/>
                <w:szCs w:val="24"/>
                <w:highlight w:val="none"/>
              </w:rPr>
            </w:pPr>
          </w:p>
        </w:tc>
        <w:tc>
          <w:tcPr>
            <w:tcW w:w="794" w:type="dxa"/>
            <w:noWrap w:val="0"/>
            <w:vAlign w:val="top"/>
          </w:tcPr>
          <w:p w14:paraId="7160240C">
            <w:pPr>
              <w:spacing w:line="360" w:lineRule="auto"/>
              <w:rPr>
                <w:rFonts w:hint="eastAsia" w:ascii="仿宋" w:hAnsi="仿宋" w:eastAsia="仿宋" w:cs="仿宋"/>
                <w:szCs w:val="24"/>
                <w:highlight w:val="none"/>
              </w:rPr>
            </w:pPr>
          </w:p>
        </w:tc>
        <w:tc>
          <w:tcPr>
            <w:tcW w:w="792" w:type="dxa"/>
            <w:noWrap w:val="0"/>
            <w:vAlign w:val="top"/>
          </w:tcPr>
          <w:p w14:paraId="12017DBC">
            <w:pPr>
              <w:spacing w:line="360" w:lineRule="auto"/>
              <w:rPr>
                <w:rFonts w:hint="eastAsia" w:ascii="仿宋" w:hAnsi="仿宋" w:eastAsia="仿宋" w:cs="仿宋"/>
                <w:szCs w:val="24"/>
                <w:highlight w:val="none"/>
              </w:rPr>
            </w:pPr>
          </w:p>
        </w:tc>
        <w:tc>
          <w:tcPr>
            <w:tcW w:w="661" w:type="dxa"/>
            <w:noWrap w:val="0"/>
            <w:vAlign w:val="top"/>
          </w:tcPr>
          <w:p w14:paraId="39066CF4">
            <w:pPr>
              <w:spacing w:line="360" w:lineRule="auto"/>
              <w:rPr>
                <w:rFonts w:hint="eastAsia" w:ascii="仿宋" w:hAnsi="仿宋" w:eastAsia="仿宋" w:cs="仿宋"/>
                <w:szCs w:val="24"/>
                <w:highlight w:val="none"/>
              </w:rPr>
            </w:pPr>
          </w:p>
        </w:tc>
      </w:tr>
      <w:tr w14:paraId="4EF0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60" w:type="dxa"/>
            <w:noWrap w:val="0"/>
            <w:vAlign w:val="top"/>
          </w:tcPr>
          <w:p w14:paraId="66A01D70">
            <w:pPr>
              <w:spacing w:line="360" w:lineRule="auto"/>
              <w:rPr>
                <w:rFonts w:hint="eastAsia" w:ascii="仿宋" w:hAnsi="仿宋" w:eastAsia="仿宋" w:cs="仿宋"/>
                <w:szCs w:val="24"/>
                <w:highlight w:val="none"/>
              </w:rPr>
            </w:pPr>
          </w:p>
        </w:tc>
        <w:tc>
          <w:tcPr>
            <w:tcW w:w="923" w:type="dxa"/>
            <w:noWrap w:val="0"/>
            <w:vAlign w:val="top"/>
          </w:tcPr>
          <w:p w14:paraId="2F12C96E">
            <w:pPr>
              <w:spacing w:line="360" w:lineRule="auto"/>
              <w:rPr>
                <w:rFonts w:hint="eastAsia" w:ascii="仿宋" w:hAnsi="仿宋" w:eastAsia="仿宋" w:cs="仿宋"/>
                <w:szCs w:val="24"/>
                <w:highlight w:val="none"/>
              </w:rPr>
            </w:pPr>
          </w:p>
        </w:tc>
        <w:tc>
          <w:tcPr>
            <w:tcW w:w="1038" w:type="dxa"/>
            <w:noWrap w:val="0"/>
            <w:vAlign w:val="top"/>
          </w:tcPr>
          <w:p w14:paraId="301584F6">
            <w:pPr>
              <w:spacing w:line="360" w:lineRule="auto"/>
              <w:rPr>
                <w:rFonts w:hint="eastAsia" w:ascii="仿宋" w:hAnsi="仿宋" w:eastAsia="仿宋" w:cs="仿宋"/>
                <w:szCs w:val="24"/>
                <w:highlight w:val="none"/>
              </w:rPr>
            </w:pPr>
          </w:p>
        </w:tc>
        <w:tc>
          <w:tcPr>
            <w:tcW w:w="1066" w:type="dxa"/>
            <w:noWrap w:val="0"/>
            <w:vAlign w:val="top"/>
          </w:tcPr>
          <w:p w14:paraId="2D3FDFEA">
            <w:pPr>
              <w:spacing w:line="360" w:lineRule="auto"/>
              <w:rPr>
                <w:rFonts w:hint="eastAsia" w:ascii="仿宋" w:hAnsi="仿宋" w:eastAsia="仿宋" w:cs="仿宋"/>
                <w:szCs w:val="24"/>
                <w:highlight w:val="none"/>
              </w:rPr>
            </w:pPr>
          </w:p>
        </w:tc>
        <w:tc>
          <w:tcPr>
            <w:tcW w:w="914" w:type="dxa"/>
            <w:noWrap w:val="0"/>
            <w:vAlign w:val="top"/>
          </w:tcPr>
          <w:p w14:paraId="6DFE4E64">
            <w:pPr>
              <w:spacing w:line="360" w:lineRule="auto"/>
              <w:rPr>
                <w:rFonts w:hint="eastAsia" w:ascii="仿宋" w:hAnsi="仿宋" w:eastAsia="仿宋" w:cs="仿宋"/>
                <w:szCs w:val="24"/>
                <w:highlight w:val="none"/>
              </w:rPr>
            </w:pPr>
          </w:p>
        </w:tc>
        <w:tc>
          <w:tcPr>
            <w:tcW w:w="1120" w:type="dxa"/>
            <w:noWrap w:val="0"/>
            <w:vAlign w:val="top"/>
          </w:tcPr>
          <w:p w14:paraId="510BD1B1">
            <w:pPr>
              <w:spacing w:line="360" w:lineRule="auto"/>
              <w:rPr>
                <w:rFonts w:hint="eastAsia" w:ascii="仿宋" w:hAnsi="仿宋" w:eastAsia="仿宋" w:cs="仿宋"/>
                <w:szCs w:val="24"/>
                <w:highlight w:val="none"/>
              </w:rPr>
            </w:pPr>
          </w:p>
        </w:tc>
        <w:tc>
          <w:tcPr>
            <w:tcW w:w="752" w:type="dxa"/>
            <w:noWrap w:val="0"/>
            <w:vAlign w:val="top"/>
          </w:tcPr>
          <w:p w14:paraId="277138FE">
            <w:pPr>
              <w:spacing w:line="360" w:lineRule="auto"/>
              <w:rPr>
                <w:rFonts w:hint="eastAsia" w:ascii="仿宋" w:hAnsi="仿宋" w:eastAsia="仿宋" w:cs="仿宋"/>
                <w:szCs w:val="24"/>
                <w:highlight w:val="none"/>
              </w:rPr>
            </w:pPr>
          </w:p>
        </w:tc>
        <w:tc>
          <w:tcPr>
            <w:tcW w:w="794" w:type="dxa"/>
            <w:noWrap w:val="0"/>
            <w:vAlign w:val="top"/>
          </w:tcPr>
          <w:p w14:paraId="421BACB6">
            <w:pPr>
              <w:spacing w:line="360" w:lineRule="auto"/>
              <w:rPr>
                <w:rFonts w:hint="eastAsia" w:ascii="仿宋" w:hAnsi="仿宋" w:eastAsia="仿宋" w:cs="仿宋"/>
                <w:szCs w:val="24"/>
                <w:highlight w:val="none"/>
              </w:rPr>
            </w:pPr>
          </w:p>
        </w:tc>
        <w:tc>
          <w:tcPr>
            <w:tcW w:w="792" w:type="dxa"/>
            <w:noWrap w:val="0"/>
            <w:vAlign w:val="top"/>
          </w:tcPr>
          <w:p w14:paraId="19C512A2">
            <w:pPr>
              <w:spacing w:line="360" w:lineRule="auto"/>
              <w:rPr>
                <w:rFonts w:hint="eastAsia" w:ascii="仿宋" w:hAnsi="仿宋" w:eastAsia="仿宋" w:cs="仿宋"/>
                <w:szCs w:val="24"/>
                <w:highlight w:val="none"/>
              </w:rPr>
            </w:pPr>
          </w:p>
        </w:tc>
        <w:tc>
          <w:tcPr>
            <w:tcW w:w="661" w:type="dxa"/>
            <w:noWrap w:val="0"/>
            <w:vAlign w:val="top"/>
          </w:tcPr>
          <w:p w14:paraId="4E3DEE81">
            <w:pPr>
              <w:spacing w:line="360" w:lineRule="auto"/>
              <w:rPr>
                <w:rFonts w:hint="eastAsia" w:ascii="仿宋" w:hAnsi="仿宋" w:eastAsia="仿宋" w:cs="仿宋"/>
                <w:szCs w:val="24"/>
                <w:highlight w:val="none"/>
              </w:rPr>
            </w:pPr>
          </w:p>
        </w:tc>
      </w:tr>
      <w:tr w14:paraId="1BC0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601" w:type="dxa"/>
            <w:gridSpan w:val="5"/>
            <w:noWrap w:val="0"/>
            <w:vAlign w:val="center"/>
          </w:tcPr>
          <w:p w14:paraId="7DF5B955">
            <w:pPr>
              <w:jc w:val="center"/>
              <w:rPr>
                <w:rFonts w:hint="eastAsia" w:ascii="仿宋" w:hAnsi="仿宋" w:eastAsia="仿宋" w:cs="仿宋"/>
                <w:szCs w:val="24"/>
                <w:highlight w:val="none"/>
              </w:rPr>
            </w:pPr>
            <w:r>
              <w:rPr>
                <w:rFonts w:hint="eastAsia" w:ascii="仿宋" w:hAnsi="仿宋" w:eastAsia="仿宋" w:cs="仿宋"/>
                <w:szCs w:val="21"/>
                <w:highlight w:val="none"/>
              </w:rPr>
              <w:t>合计（人民币）</w:t>
            </w:r>
          </w:p>
        </w:tc>
        <w:tc>
          <w:tcPr>
            <w:tcW w:w="4119" w:type="dxa"/>
            <w:gridSpan w:val="5"/>
            <w:noWrap w:val="0"/>
            <w:vAlign w:val="top"/>
          </w:tcPr>
          <w:p w14:paraId="3BE0433B">
            <w:pPr>
              <w:spacing w:line="360" w:lineRule="auto"/>
              <w:rPr>
                <w:rFonts w:hint="eastAsia" w:ascii="仿宋" w:hAnsi="仿宋" w:eastAsia="仿宋" w:cs="仿宋"/>
                <w:szCs w:val="24"/>
                <w:highlight w:val="none"/>
              </w:rPr>
            </w:pPr>
          </w:p>
        </w:tc>
      </w:tr>
    </w:tbl>
    <w:p w14:paraId="6C23021E">
      <w:pPr>
        <w:spacing w:line="360" w:lineRule="auto"/>
        <w:rPr>
          <w:rFonts w:hint="eastAsia" w:ascii="仿宋" w:hAnsi="仿宋" w:eastAsia="仿宋" w:cs="仿宋"/>
          <w:szCs w:val="24"/>
          <w:highlight w:val="none"/>
        </w:rPr>
      </w:pPr>
    </w:p>
    <w:p w14:paraId="02196CF1">
      <w:pPr>
        <w:spacing w:line="360" w:lineRule="auto"/>
        <w:rPr>
          <w:rFonts w:hint="eastAsia" w:ascii="仿宋" w:hAnsi="仿宋" w:eastAsia="仿宋" w:cs="仿宋"/>
          <w:szCs w:val="24"/>
          <w:highlight w:val="none"/>
        </w:rPr>
      </w:pPr>
      <w:r>
        <w:rPr>
          <w:rFonts w:hint="eastAsia" w:ascii="仿宋" w:hAnsi="仿宋" w:eastAsia="仿宋" w:cs="仿宋"/>
          <w:szCs w:val="24"/>
          <w:highlight w:val="none"/>
        </w:rPr>
        <w:t>注：</w:t>
      </w:r>
      <w:r>
        <w:rPr>
          <w:rFonts w:hint="eastAsia" w:ascii="仿宋" w:hAnsi="仿宋" w:eastAsia="仿宋" w:cs="仿宋"/>
          <w:highlight w:val="none"/>
        </w:rPr>
        <w:t xml:space="preserve"> </w:t>
      </w:r>
      <w:r>
        <w:rPr>
          <w:rFonts w:hint="eastAsia" w:ascii="仿宋" w:hAnsi="仿宋" w:eastAsia="仿宋" w:cs="仿宋"/>
          <w:szCs w:val="24"/>
          <w:highlight w:val="none"/>
        </w:rPr>
        <w:t>1、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14:paraId="67A69ACB">
      <w:pPr>
        <w:spacing w:line="360" w:lineRule="auto"/>
        <w:ind w:firstLine="735" w:firstLineChars="350"/>
        <w:rPr>
          <w:rFonts w:hint="eastAsia" w:ascii="仿宋" w:hAnsi="仿宋" w:eastAsia="仿宋" w:cs="仿宋"/>
          <w:szCs w:val="24"/>
          <w:highlight w:val="none"/>
        </w:rPr>
      </w:pPr>
      <w:r>
        <w:rPr>
          <w:rFonts w:hint="eastAsia" w:ascii="仿宋" w:hAnsi="仿宋" w:eastAsia="仿宋" w:cs="仿宋"/>
          <w:szCs w:val="24"/>
          <w:highlight w:val="none"/>
        </w:rPr>
        <w:t xml:space="preserve">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    </w:t>
      </w:r>
    </w:p>
    <w:p w14:paraId="5A52F28E">
      <w:pPr>
        <w:spacing w:line="360" w:lineRule="auto"/>
        <w:ind w:firstLine="420" w:firstLineChars="200"/>
        <w:rPr>
          <w:rFonts w:hint="eastAsia" w:ascii="仿宋" w:hAnsi="仿宋" w:eastAsia="仿宋" w:cs="仿宋"/>
          <w:szCs w:val="24"/>
          <w:highlight w:val="none"/>
        </w:rPr>
      </w:pPr>
      <w:r>
        <w:rPr>
          <w:rFonts w:hint="eastAsia" w:ascii="仿宋" w:hAnsi="仿宋" w:eastAsia="仿宋" w:cs="仿宋"/>
          <w:szCs w:val="24"/>
          <w:highlight w:val="none"/>
        </w:rPr>
        <w:t>2、类别填写：节能环保产品或环境标志产品。</w:t>
      </w:r>
    </w:p>
    <w:p w14:paraId="644CC57D">
      <w:pPr>
        <w:spacing w:line="48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供应商（公章）</w:t>
      </w:r>
      <w:r>
        <w:rPr>
          <w:rFonts w:ascii="宋体" w:hAnsi="宋体"/>
          <w:sz w:val="24"/>
          <w:szCs w:val="24"/>
          <w:highlight w:val="none"/>
        </w:rPr>
        <w:t>：</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14:paraId="56AC9B15">
      <w:pPr>
        <w:spacing w:line="48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法定代表人或被授权人（签字或盖章）：</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p>
    <w:p w14:paraId="1C4221D8">
      <w:pPr>
        <w:spacing w:line="360" w:lineRule="auto"/>
        <w:rPr>
          <w:rFonts w:hint="eastAsia" w:ascii="仿宋" w:hAnsi="仿宋" w:eastAsia="仿宋" w:cs="仿宋"/>
          <w:sz w:val="24"/>
          <w:szCs w:val="24"/>
          <w:highlight w:val="none"/>
        </w:rPr>
      </w:pPr>
      <w:r>
        <w:rPr>
          <w:rFonts w:hint="eastAsia" w:hAnsi="宋体"/>
          <w:sz w:val="24"/>
          <w:szCs w:val="24"/>
          <w:highlight w:val="none"/>
        </w:rPr>
        <w:t xml:space="preserve">    日  </w:t>
      </w:r>
      <w:r>
        <w:rPr>
          <w:rFonts w:hAnsi="宋体"/>
          <w:sz w:val="24"/>
          <w:szCs w:val="24"/>
          <w:highlight w:val="none"/>
        </w:rPr>
        <w:t xml:space="preserve"> </w:t>
      </w:r>
      <w:r>
        <w:rPr>
          <w:rFonts w:hint="eastAsia" w:hAnsi="宋体"/>
          <w:sz w:val="24"/>
          <w:szCs w:val="24"/>
          <w:highlight w:val="none"/>
        </w:rPr>
        <w:t>期</w:t>
      </w:r>
      <w:r>
        <w:rPr>
          <w:rFonts w:hAnsi="宋体"/>
          <w:sz w:val="24"/>
          <w:szCs w:val="24"/>
          <w:highlight w:val="none"/>
        </w:rPr>
        <w:t>：</w:t>
      </w:r>
      <w:r>
        <w:rPr>
          <w:rFonts w:hint="eastAsia" w:hAnsi="宋体"/>
          <w:sz w:val="24"/>
          <w:szCs w:val="24"/>
          <w:highlight w:val="none"/>
        </w:rPr>
        <w:t xml:space="preserve">      年    月    日</w:t>
      </w:r>
    </w:p>
    <w:p w14:paraId="775D928A">
      <w:pPr>
        <w:spacing w:line="360" w:lineRule="auto"/>
        <w:rPr>
          <w:rFonts w:ascii="宋体" w:hAnsi="宋体"/>
          <w:highlight w:val="none"/>
        </w:rPr>
      </w:pPr>
    </w:p>
    <w:p w14:paraId="3C0BA7C9">
      <w:pPr>
        <w:tabs>
          <w:tab w:val="center" w:pos="4535"/>
          <w:tab w:val="left" w:pos="6521"/>
        </w:tabs>
        <w:autoSpaceDE w:val="0"/>
        <w:autoSpaceDN w:val="0"/>
        <w:adjustRightInd w:val="0"/>
        <w:snapToGrid w:val="0"/>
        <w:spacing w:line="360" w:lineRule="auto"/>
        <w:jc w:val="center"/>
        <w:rPr>
          <w:rFonts w:hint="eastAsia" w:ascii="宋体" w:hAnsi="宋体"/>
          <w:b/>
          <w:bCs/>
          <w:sz w:val="32"/>
          <w:szCs w:val="32"/>
          <w:highlight w:val="none"/>
        </w:rPr>
      </w:pPr>
      <w:r>
        <w:rPr>
          <w:rFonts w:ascii="宋体" w:hAnsi="宋体"/>
          <w:highlight w:val="none"/>
        </w:rPr>
        <w:br w:type="page"/>
      </w:r>
      <w:bookmarkStart w:id="24" w:name="_Toc479770785"/>
      <w:bookmarkStart w:id="25" w:name="_Toc473056001"/>
      <w:r>
        <w:rPr>
          <w:rFonts w:ascii="宋体" w:hAnsi="宋体"/>
          <w:b/>
          <w:bCs/>
          <w:sz w:val="32"/>
          <w:szCs w:val="32"/>
          <w:highlight w:val="none"/>
        </w:rPr>
        <w:t>备选产品配件报价表</w:t>
      </w:r>
      <w:bookmarkEnd w:id="24"/>
      <w:bookmarkEnd w:id="25"/>
      <w:r>
        <w:rPr>
          <w:rFonts w:hint="eastAsia" w:ascii="宋体" w:hAnsi="宋体"/>
          <w:b/>
          <w:bCs/>
          <w:sz w:val="32"/>
          <w:szCs w:val="32"/>
          <w:highlight w:val="none"/>
        </w:rPr>
        <w:t>（如有）</w:t>
      </w:r>
      <w:r>
        <w:rPr>
          <w:rFonts w:hint="eastAsia" w:ascii="仿宋_GB2312" w:eastAsia="仿宋_GB2312"/>
          <w:bCs/>
          <w:kern w:val="0"/>
          <w:sz w:val="32"/>
          <w:szCs w:val="32"/>
          <w:highlight w:val="none"/>
        </w:rPr>
        <w:t xml:space="preserve">                        </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578"/>
        <w:gridCol w:w="949"/>
        <w:gridCol w:w="949"/>
        <w:gridCol w:w="1484"/>
        <w:gridCol w:w="949"/>
        <w:gridCol w:w="1064"/>
        <w:gridCol w:w="1181"/>
      </w:tblGrid>
      <w:tr w14:paraId="45F76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566" w:type="dxa"/>
            <w:noWrap w:val="0"/>
            <w:vAlign w:val="center"/>
          </w:tcPr>
          <w:p w14:paraId="5B78D11D">
            <w:pPr>
              <w:adjustRightInd w:val="0"/>
              <w:snapToGrid w:val="0"/>
              <w:spacing w:line="360" w:lineRule="exact"/>
              <w:jc w:val="center"/>
              <w:rPr>
                <w:rFonts w:hint="eastAsia" w:ascii="仿宋" w:hAnsi="仿宋" w:eastAsia="仿宋"/>
                <w:highlight w:val="none"/>
              </w:rPr>
            </w:pPr>
            <w:r>
              <w:rPr>
                <w:rFonts w:hint="eastAsia" w:ascii="仿宋" w:hAnsi="仿宋" w:eastAsia="仿宋"/>
                <w:highlight w:val="none"/>
              </w:rPr>
              <w:t>序号</w:t>
            </w:r>
          </w:p>
        </w:tc>
        <w:tc>
          <w:tcPr>
            <w:tcW w:w="1578" w:type="dxa"/>
            <w:noWrap w:val="0"/>
            <w:vAlign w:val="center"/>
          </w:tcPr>
          <w:p w14:paraId="536C81A5">
            <w:pPr>
              <w:adjustRightInd w:val="0"/>
              <w:snapToGrid w:val="0"/>
              <w:spacing w:line="360" w:lineRule="exact"/>
              <w:jc w:val="center"/>
              <w:rPr>
                <w:rFonts w:hint="eastAsia" w:ascii="仿宋" w:hAnsi="仿宋" w:eastAsia="仿宋"/>
                <w:highlight w:val="none"/>
              </w:rPr>
            </w:pPr>
            <w:r>
              <w:rPr>
                <w:rFonts w:hint="eastAsia" w:ascii="仿宋" w:hAnsi="仿宋" w:eastAsia="仿宋"/>
                <w:highlight w:val="none"/>
              </w:rPr>
              <w:t>货物名称</w:t>
            </w:r>
          </w:p>
        </w:tc>
        <w:tc>
          <w:tcPr>
            <w:tcW w:w="949" w:type="dxa"/>
            <w:noWrap w:val="0"/>
            <w:vAlign w:val="center"/>
          </w:tcPr>
          <w:p w14:paraId="696EE55C">
            <w:pPr>
              <w:adjustRightInd w:val="0"/>
              <w:snapToGrid w:val="0"/>
              <w:spacing w:line="360" w:lineRule="exact"/>
              <w:jc w:val="center"/>
              <w:rPr>
                <w:rFonts w:hint="eastAsia" w:ascii="仿宋" w:hAnsi="仿宋" w:eastAsia="仿宋"/>
                <w:highlight w:val="none"/>
              </w:rPr>
            </w:pPr>
            <w:r>
              <w:rPr>
                <w:rFonts w:hint="eastAsia" w:ascii="仿宋" w:hAnsi="仿宋" w:eastAsia="仿宋"/>
                <w:highlight w:val="none"/>
              </w:rPr>
              <w:t>品牌</w:t>
            </w:r>
          </w:p>
        </w:tc>
        <w:tc>
          <w:tcPr>
            <w:tcW w:w="949" w:type="dxa"/>
            <w:noWrap w:val="0"/>
            <w:vAlign w:val="center"/>
          </w:tcPr>
          <w:p w14:paraId="2FE0B35F">
            <w:pPr>
              <w:adjustRightInd w:val="0"/>
              <w:snapToGrid w:val="0"/>
              <w:spacing w:line="360" w:lineRule="exact"/>
              <w:jc w:val="center"/>
              <w:rPr>
                <w:rFonts w:hint="eastAsia" w:ascii="仿宋" w:hAnsi="仿宋" w:eastAsia="仿宋"/>
                <w:highlight w:val="none"/>
              </w:rPr>
            </w:pPr>
            <w:r>
              <w:rPr>
                <w:rFonts w:hint="eastAsia" w:ascii="仿宋" w:hAnsi="仿宋" w:eastAsia="仿宋"/>
                <w:highlight w:val="none"/>
              </w:rPr>
              <w:t>型号</w:t>
            </w:r>
          </w:p>
          <w:p w14:paraId="23611D81">
            <w:pPr>
              <w:adjustRightInd w:val="0"/>
              <w:snapToGrid w:val="0"/>
              <w:spacing w:line="360" w:lineRule="exact"/>
              <w:jc w:val="center"/>
              <w:rPr>
                <w:rFonts w:hint="eastAsia" w:ascii="仿宋" w:hAnsi="仿宋" w:eastAsia="仿宋"/>
                <w:highlight w:val="none"/>
              </w:rPr>
            </w:pPr>
            <w:r>
              <w:rPr>
                <w:rFonts w:hint="eastAsia" w:ascii="仿宋" w:hAnsi="仿宋" w:eastAsia="仿宋"/>
                <w:highlight w:val="none"/>
              </w:rPr>
              <w:t>规格</w:t>
            </w:r>
          </w:p>
        </w:tc>
        <w:tc>
          <w:tcPr>
            <w:tcW w:w="1484" w:type="dxa"/>
            <w:noWrap w:val="0"/>
            <w:vAlign w:val="center"/>
          </w:tcPr>
          <w:p w14:paraId="6002A463">
            <w:pPr>
              <w:adjustRightInd w:val="0"/>
              <w:snapToGrid w:val="0"/>
              <w:spacing w:line="360" w:lineRule="exact"/>
              <w:jc w:val="center"/>
              <w:rPr>
                <w:rFonts w:hint="eastAsia" w:ascii="仿宋" w:hAnsi="仿宋" w:eastAsia="仿宋"/>
                <w:highlight w:val="none"/>
              </w:rPr>
            </w:pPr>
            <w:r>
              <w:rPr>
                <w:rFonts w:hint="eastAsia" w:ascii="仿宋" w:hAnsi="仿宋" w:eastAsia="仿宋"/>
                <w:highlight w:val="none"/>
              </w:rPr>
              <w:t>制造</w:t>
            </w:r>
          </w:p>
          <w:p w14:paraId="7EF87FB6">
            <w:pPr>
              <w:adjustRightInd w:val="0"/>
              <w:snapToGrid w:val="0"/>
              <w:spacing w:line="360" w:lineRule="exact"/>
              <w:jc w:val="center"/>
              <w:rPr>
                <w:rFonts w:hint="eastAsia" w:ascii="仿宋" w:hAnsi="仿宋" w:eastAsia="仿宋"/>
                <w:highlight w:val="none"/>
              </w:rPr>
            </w:pPr>
            <w:r>
              <w:rPr>
                <w:rFonts w:hint="eastAsia" w:ascii="仿宋" w:hAnsi="仿宋" w:eastAsia="仿宋"/>
                <w:highlight w:val="none"/>
              </w:rPr>
              <w:t>厂商</w:t>
            </w:r>
          </w:p>
        </w:tc>
        <w:tc>
          <w:tcPr>
            <w:tcW w:w="949" w:type="dxa"/>
            <w:noWrap w:val="0"/>
            <w:vAlign w:val="center"/>
          </w:tcPr>
          <w:p w14:paraId="0C344F64">
            <w:pPr>
              <w:adjustRightInd w:val="0"/>
              <w:snapToGrid w:val="0"/>
              <w:spacing w:line="360" w:lineRule="exact"/>
              <w:jc w:val="center"/>
              <w:rPr>
                <w:rFonts w:hint="eastAsia" w:ascii="仿宋" w:hAnsi="仿宋" w:eastAsia="仿宋"/>
                <w:highlight w:val="none"/>
              </w:rPr>
            </w:pPr>
            <w:r>
              <w:rPr>
                <w:rFonts w:hint="eastAsia" w:ascii="仿宋" w:hAnsi="仿宋" w:eastAsia="仿宋"/>
                <w:highlight w:val="none"/>
              </w:rPr>
              <w:t>单位</w:t>
            </w:r>
          </w:p>
        </w:tc>
        <w:tc>
          <w:tcPr>
            <w:tcW w:w="1064" w:type="dxa"/>
            <w:noWrap w:val="0"/>
            <w:vAlign w:val="center"/>
          </w:tcPr>
          <w:p w14:paraId="5801FE09">
            <w:pPr>
              <w:adjustRightInd w:val="0"/>
              <w:snapToGrid w:val="0"/>
              <w:jc w:val="center"/>
              <w:rPr>
                <w:rFonts w:hint="eastAsia" w:ascii="仿宋" w:hAnsi="仿宋" w:eastAsia="仿宋"/>
                <w:highlight w:val="none"/>
              </w:rPr>
            </w:pPr>
            <w:r>
              <w:rPr>
                <w:rFonts w:hint="eastAsia" w:ascii="仿宋" w:hAnsi="仿宋" w:eastAsia="仿宋"/>
                <w:highlight w:val="none"/>
              </w:rPr>
              <w:t>单价（元）</w:t>
            </w:r>
          </w:p>
        </w:tc>
        <w:tc>
          <w:tcPr>
            <w:tcW w:w="1181" w:type="dxa"/>
            <w:noWrap w:val="0"/>
            <w:vAlign w:val="top"/>
          </w:tcPr>
          <w:p w14:paraId="79AA90ED">
            <w:pPr>
              <w:adjustRightInd w:val="0"/>
              <w:snapToGrid w:val="0"/>
              <w:jc w:val="center"/>
              <w:rPr>
                <w:rFonts w:hint="eastAsia" w:ascii="仿宋" w:hAnsi="仿宋" w:eastAsia="仿宋"/>
                <w:highlight w:val="none"/>
              </w:rPr>
            </w:pPr>
            <w:r>
              <w:rPr>
                <w:rFonts w:hint="eastAsia" w:ascii="仿宋" w:hAnsi="仿宋" w:eastAsia="仿宋"/>
                <w:highlight w:val="none"/>
              </w:rPr>
              <w:t>总价</w:t>
            </w:r>
          </w:p>
          <w:p w14:paraId="71510DD9">
            <w:pPr>
              <w:adjustRightInd w:val="0"/>
              <w:snapToGrid w:val="0"/>
              <w:jc w:val="center"/>
              <w:rPr>
                <w:rFonts w:hint="eastAsia" w:ascii="仿宋" w:hAnsi="仿宋" w:eastAsia="仿宋"/>
                <w:highlight w:val="none"/>
              </w:rPr>
            </w:pPr>
            <w:r>
              <w:rPr>
                <w:rFonts w:hint="eastAsia" w:ascii="仿宋" w:hAnsi="仿宋" w:eastAsia="仿宋"/>
                <w:highlight w:val="none"/>
              </w:rPr>
              <w:t>（元）</w:t>
            </w:r>
          </w:p>
        </w:tc>
      </w:tr>
      <w:tr w14:paraId="51E68A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66" w:type="dxa"/>
            <w:noWrap w:val="0"/>
            <w:vAlign w:val="center"/>
          </w:tcPr>
          <w:p w14:paraId="6340B5E7">
            <w:pPr>
              <w:adjustRightInd w:val="0"/>
              <w:snapToGrid w:val="0"/>
              <w:spacing w:line="360" w:lineRule="auto"/>
              <w:jc w:val="center"/>
              <w:rPr>
                <w:rFonts w:hint="eastAsia" w:ascii="仿宋" w:hAnsi="仿宋" w:eastAsia="仿宋"/>
                <w:sz w:val="24"/>
                <w:szCs w:val="24"/>
                <w:highlight w:val="none"/>
              </w:rPr>
            </w:pPr>
          </w:p>
        </w:tc>
        <w:tc>
          <w:tcPr>
            <w:tcW w:w="1578" w:type="dxa"/>
            <w:noWrap w:val="0"/>
            <w:vAlign w:val="center"/>
          </w:tcPr>
          <w:p w14:paraId="76E58B98">
            <w:pPr>
              <w:adjustRightInd w:val="0"/>
              <w:snapToGrid w:val="0"/>
              <w:spacing w:line="360" w:lineRule="auto"/>
              <w:jc w:val="center"/>
              <w:rPr>
                <w:rFonts w:hint="eastAsia" w:ascii="仿宋" w:hAnsi="仿宋" w:eastAsia="仿宋"/>
                <w:sz w:val="24"/>
                <w:szCs w:val="24"/>
                <w:highlight w:val="none"/>
              </w:rPr>
            </w:pPr>
          </w:p>
        </w:tc>
        <w:tc>
          <w:tcPr>
            <w:tcW w:w="949" w:type="dxa"/>
            <w:noWrap w:val="0"/>
            <w:vAlign w:val="top"/>
          </w:tcPr>
          <w:p w14:paraId="51317E1E">
            <w:pPr>
              <w:adjustRightInd w:val="0"/>
              <w:snapToGrid w:val="0"/>
              <w:spacing w:line="360" w:lineRule="auto"/>
              <w:jc w:val="center"/>
              <w:rPr>
                <w:rFonts w:hint="eastAsia" w:ascii="仿宋" w:hAnsi="仿宋" w:eastAsia="仿宋"/>
                <w:sz w:val="24"/>
                <w:szCs w:val="24"/>
                <w:highlight w:val="none"/>
              </w:rPr>
            </w:pPr>
          </w:p>
        </w:tc>
        <w:tc>
          <w:tcPr>
            <w:tcW w:w="949" w:type="dxa"/>
            <w:noWrap w:val="0"/>
            <w:vAlign w:val="top"/>
          </w:tcPr>
          <w:p w14:paraId="1E9B1BCB">
            <w:pPr>
              <w:adjustRightInd w:val="0"/>
              <w:snapToGrid w:val="0"/>
              <w:spacing w:line="360" w:lineRule="auto"/>
              <w:jc w:val="center"/>
              <w:rPr>
                <w:rFonts w:hint="eastAsia" w:ascii="仿宋" w:hAnsi="仿宋" w:eastAsia="仿宋"/>
                <w:sz w:val="24"/>
                <w:szCs w:val="24"/>
                <w:highlight w:val="none"/>
              </w:rPr>
            </w:pPr>
          </w:p>
        </w:tc>
        <w:tc>
          <w:tcPr>
            <w:tcW w:w="1484" w:type="dxa"/>
            <w:noWrap w:val="0"/>
            <w:vAlign w:val="top"/>
          </w:tcPr>
          <w:p w14:paraId="4E115AA5">
            <w:pPr>
              <w:adjustRightInd w:val="0"/>
              <w:snapToGrid w:val="0"/>
              <w:spacing w:line="360" w:lineRule="auto"/>
              <w:jc w:val="center"/>
              <w:rPr>
                <w:rFonts w:hint="eastAsia" w:ascii="仿宋" w:hAnsi="仿宋" w:eastAsia="仿宋"/>
                <w:sz w:val="24"/>
                <w:szCs w:val="24"/>
                <w:highlight w:val="none"/>
              </w:rPr>
            </w:pPr>
          </w:p>
        </w:tc>
        <w:tc>
          <w:tcPr>
            <w:tcW w:w="949" w:type="dxa"/>
            <w:noWrap w:val="0"/>
            <w:vAlign w:val="top"/>
          </w:tcPr>
          <w:p w14:paraId="2023ED69">
            <w:pPr>
              <w:adjustRightInd w:val="0"/>
              <w:snapToGrid w:val="0"/>
              <w:spacing w:line="360" w:lineRule="auto"/>
              <w:jc w:val="center"/>
              <w:rPr>
                <w:rFonts w:hint="eastAsia" w:ascii="仿宋" w:hAnsi="仿宋" w:eastAsia="仿宋"/>
                <w:sz w:val="24"/>
                <w:szCs w:val="24"/>
                <w:highlight w:val="none"/>
              </w:rPr>
            </w:pPr>
          </w:p>
        </w:tc>
        <w:tc>
          <w:tcPr>
            <w:tcW w:w="1064" w:type="dxa"/>
            <w:noWrap w:val="0"/>
            <w:vAlign w:val="center"/>
          </w:tcPr>
          <w:p w14:paraId="44F383D3">
            <w:pPr>
              <w:adjustRightInd w:val="0"/>
              <w:snapToGrid w:val="0"/>
              <w:spacing w:line="360" w:lineRule="auto"/>
              <w:jc w:val="center"/>
              <w:rPr>
                <w:rFonts w:hint="eastAsia" w:ascii="仿宋" w:hAnsi="仿宋" w:eastAsia="仿宋"/>
                <w:sz w:val="24"/>
                <w:szCs w:val="24"/>
                <w:highlight w:val="none"/>
              </w:rPr>
            </w:pPr>
          </w:p>
        </w:tc>
        <w:tc>
          <w:tcPr>
            <w:tcW w:w="1181" w:type="dxa"/>
            <w:noWrap w:val="0"/>
            <w:vAlign w:val="top"/>
          </w:tcPr>
          <w:p w14:paraId="1C22881D">
            <w:pPr>
              <w:adjustRightInd w:val="0"/>
              <w:snapToGrid w:val="0"/>
              <w:spacing w:line="360" w:lineRule="auto"/>
              <w:jc w:val="center"/>
              <w:rPr>
                <w:rFonts w:hint="eastAsia" w:ascii="仿宋" w:hAnsi="仿宋" w:eastAsia="仿宋"/>
                <w:sz w:val="24"/>
                <w:szCs w:val="24"/>
                <w:highlight w:val="none"/>
              </w:rPr>
            </w:pPr>
          </w:p>
        </w:tc>
      </w:tr>
      <w:tr w14:paraId="5CEFA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66" w:type="dxa"/>
            <w:noWrap w:val="0"/>
            <w:vAlign w:val="center"/>
          </w:tcPr>
          <w:p w14:paraId="742E7A5E">
            <w:pPr>
              <w:adjustRightInd w:val="0"/>
              <w:snapToGrid w:val="0"/>
              <w:spacing w:line="360" w:lineRule="auto"/>
              <w:jc w:val="center"/>
              <w:rPr>
                <w:rFonts w:hint="eastAsia" w:ascii="仿宋" w:hAnsi="仿宋" w:eastAsia="仿宋"/>
                <w:highlight w:val="none"/>
              </w:rPr>
            </w:pPr>
          </w:p>
        </w:tc>
        <w:tc>
          <w:tcPr>
            <w:tcW w:w="1578" w:type="dxa"/>
            <w:noWrap w:val="0"/>
            <w:vAlign w:val="center"/>
          </w:tcPr>
          <w:p w14:paraId="273183A0">
            <w:pPr>
              <w:adjustRightInd w:val="0"/>
              <w:snapToGrid w:val="0"/>
              <w:spacing w:line="360" w:lineRule="auto"/>
              <w:jc w:val="center"/>
              <w:rPr>
                <w:rFonts w:hint="eastAsia" w:ascii="仿宋" w:hAnsi="仿宋" w:eastAsia="仿宋"/>
                <w:highlight w:val="none"/>
              </w:rPr>
            </w:pPr>
          </w:p>
        </w:tc>
        <w:tc>
          <w:tcPr>
            <w:tcW w:w="949" w:type="dxa"/>
            <w:noWrap w:val="0"/>
            <w:vAlign w:val="top"/>
          </w:tcPr>
          <w:p w14:paraId="20881F05">
            <w:pPr>
              <w:adjustRightInd w:val="0"/>
              <w:snapToGrid w:val="0"/>
              <w:spacing w:line="360" w:lineRule="auto"/>
              <w:jc w:val="center"/>
              <w:rPr>
                <w:rFonts w:hint="eastAsia" w:ascii="仿宋" w:hAnsi="仿宋" w:eastAsia="仿宋"/>
                <w:highlight w:val="none"/>
              </w:rPr>
            </w:pPr>
          </w:p>
        </w:tc>
        <w:tc>
          <w:tcPr>
            <w:tcW w:w="949" w:type="dxa"/>
            <w:noWrap w:val="0"/>
            <w:vAlign w:val="top"/>
          </w:tcPr>
          <w:p w14:paraId="6BE92CD0">
            <w:pPr>
              <w:adjustRightInd w:val="0"/>
              <w:snapToGrid w:val="0"/>
              <w:spacing w:line="360" w:lineRule="auto"/>
              <w:jc w:val="center"/>
              <w:rPr>
                <w:rFonts w:hint="eastAsia" w:ascii="仿宋" w:hAnsi="仿宋" w:eastAsia="仿宋"/>
                <w:highlight w:val="none"/>
              </w:rPr>
            </w:pPr>
          </w:p>
        </w:tc>
        <w:tc>
          <w:tcPr>
            <w:tcW w:w="1484" w:type="dxa"/>
            <w:noWrap w:val="0"/>
            <w:vAlign w:val="top"/>
          </w:tcPr>
          <w:p w14:paraId="4C6BB8F3">
            <w:pPr>
              <w:adjustRightInd w:val="0"/>
              <w:snapToGrid w:val="0"/>
              <w:spacing w:line="360" w:lineRule="auto"/>
              <w:jc w:val="center"/>
              <w:rPr>
                <w:rFonts w:hint="eastAsia" w:ascii="仿宋" w:hAnsi="仿宋" w:eastAsia="仿宋"/>
                <w:highlight w:val="none"/>
              </w:rPr>
            </w:pPr>
          </w:p>
        </w:tc>
        <w:tc>
          <w:tcPr>
            <w:tcW w:w="949" w:type="dxa"/>
            <w:noWrap w:val="0"/>
            <w:vAlign w:val="top"/>
          </w:tcPr>
          <w:p w14:paraId="780ED380">
            <w:pPr>
              <w:adjustRightInd w:val="0"/>
              <w:snapToGrid w:val="0"/>
              <w:spacing w:line="360" w:lineRule="auto"/>
              <w:jc w:val="center"/>
              <w:rPr>
                <w:rFonts w:hint="eastAsia" w:ascii="仿宋" w:hAnsi="仿宋" w:eastAsia="仿宋"/>
                <w:highlight w:val="none"/>
              </w:rPr>
            </w:pPr>
          </w:p>
        </w:tc>
        <w:tc>
          <w:tcPr>
            <w:tcW w:w="1064" w:type="dxa"/>
            <w:noWrap w:val="0"/>
            <w:vAlign w:val="center"/>
          </w:tcPr>
          <w:p w14:paraId="0EB61959">
            <w:pPr>
              <w:adjustRightInd w:val="0"/>
              <w:snapToGrid w:val="0"/>
              <w:spacing w:line="360" w:lineRule="auto"/>
              <w:jc w:val="center"/>
              <w:rPr>
                <w:rFonts w:hint="eastAsia" w:ascii="仿宋" w:hAnsi="仿宋" w:eastAsia="仿宋"/>
                <w:highlight w:val="none"/>
              </w:rPr>
            </w:pPr>
          </w:p>
        </w:tc>
        <w:tc>
          <w:tcPr>
            <w:tcW w:w="1181" w:type="dxa"/>
            <w:noWrap w:val="0"/>
            <w:vAlign w:val="top"/>
          </w:tcPr>
          <w:p w14:paraId="000B6807">
            <w:pPr>
              <w:adjustRightInd w:val="0"/>
              <w:snapToGrid w:val="0"/>
              <w:spacing w:line="360" w:lineRule="auto"/>
              <w:jc w:val="center"/>
              <w:rPr>
                <w:rFonts w:hint="eastAsia" w:ascii="仿宋" w:hAnsi="仿宋" w:eastAsia="仿宋"/>
                <w:highlight w:val="none"/>
              </w:rPr>
            </w:pPr>
          </w:p>
        </w:tc>
      </w:tr>
      <w:tr w14:paraId="376C0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66" w:type="dxa"/>
            <w:noWrap w:val="0"/>
            <w:vAlign w:val="center"/>
          </w:tcPr>
          <w:p w14:paraId="70145970">
            <w:pPr>
              <w:adjustRightInd w:val="0"/>
              <w:snapToGrid w:val="0"/>
              <w:spacing w:line="360" w:lineRule="auto"/>
              <w:jc w:val="center"/>
              <w:rPr>
                <w:rFonts w:hint="eastAsia" w:ascii="仿宋" w:hAnsi="仿宋" w:eastAsia="仿宋"/>
                <w:highlight w:val="none"/>
              </w:rPr>
            </w:pPr>
          </w:p>
        </w:tc>
        <w:tc>
          <w:tcPr>
            <w:tcW w:w="1578" w:type="dxa"/>
            <w:noWrap w:val="0"/>
            <w:vAlign w:val="center"/>
          </w:tcPr>
          <w:p w14:paraId="00B027C8">
            <w:pPr>
              <w:adjustRightInd w:val="0"/>
              <w:snapToGrid w:val="0"/>
              <w:spacing w:line="360" w:lineRule="auto"/>
              <w:jc w:val="center"/>
              <w:rPr>
                <w:rFonts w:hint="eastAsia" w:ascii="仿宋" w:hAnsi="仿宋" w:eastAsia="仿宋"/>
                <w:highlight w:val="none"/>
              </w:rPr>
            </w:pPr>
          </w:p>
        </w:tc>
        <w:tc>
          <w:tcPr>
            <w:tcW w:w="949" w:type="dxa"/>
            <w:noWrap w:val="0"/>
            <w:vAlign w:val="top"/>
          </w:tcPr>
          <w:p w14:paraId="6EACA28E">
            <w:pPr>
              <w:adjustRightInd w:val="0"/>
              <w:snapToGrid w:val="0"/>
              <w:spacing w:line="360" w:lineRule="auto"/>
              <w:jc w:val="center"/>
              <w:rPr>
                <w:rFonts w:hint="eastAsia" w:ascii="仿宋" w:hAnsi="仿宋" w:eastAsia="仿宋"/>
                <w:highlight w:val="none"/>
              </w:rPr>
            </w:pPr>
          </w:p>
        </w:tc>
        <w:tc>
          <w:tcPr>
            <w:tcW w:w="949" w:type="dxa"/>
            <w:noWrap w:val="0"/>
            <w:vAlign w:val="top"/>
          </w:tcPr>
          <w:p w14:paraId="6CA522B2">
            <w:pPr>
              <w:adjustRightInd w:val="0"/>
              <w:snapToGrid w:val="0"/>
              <w:spacing w:line="360" w:lineRule="auto"/>
              <w:jc w:val="center"/>
              <w:rPr>
                <w:rFonts w:hint="eastAsia" w:ascii="仿宋" w:hAnsi="仿宋" w:eastAsia="仿宋"/>
                <w:highlight w:val="none"/>
              </w:rPr>
            </w:pPr>
          </w:p>
        </w:tc>
        <w:tc>
          <w:tcPr>
            <w:tcW w:w="1484" w:type="dxa"/>
            <w:noWrap w:val="0"/>
            <w:vAlign w:val="top"/>
          </w:tcPr>
          <w:p w14:paraId="1B2708D0">
            <w:pPr>
              <w:adjustRightInd w:val="0"/>
              <w:snapToGrid w:val="0"/>
              <w:spacing w:line="360" w:lineRule="auto"/>
              <w:jc w:val="center"/>
              <w:rPr>
                <w:rFonts w:hint="eastAsia" w:ascii="仿宋" w:hAnsi="仿宋" w:eastAsia="仿宋"/>
                <w:highlight w:val="none"/>
              </w:rPr>
            </w:pPr>
          </w:p>
        </w:tc>
        <w:tc>
          <w:tcPr>
            <w:tcW w:w="949" w:type="dxa"/>
            <w:noWrap w:val="0"/>
            <w:vAlign w:val="top"/>
          </w:tcPr>
          <w:p w14:paraId="5CBBAEB5">
            <w:pPr>
              <w:adjustRightInd w:val="0"/>
              <w:snapToGrid w:val="0"/>
              <w:spacing w:line="360" w:lineRule="auto"/>
              <w:jc w:val="center"/>
              <w:rPr>
                <w:rFonts w:hint="eastAsia" w:ascii="仿宋" w:hAnsi="仿宋" w:eastAsia="仿宋"/>
                <w:highlight w:val="none"/>
              </w:rPr>
            </w:pPr>
          </w:p>
        </w:tc>
        <w:tc>
          <w:tcPr>
            <w:tcW w:w="1064" w:type="dxa"/>
            <w:noWrap w:val="0"/>
            <w:vAlign w:val="center"/>
          </w:tcPr>
          <w:p w14:paraId="5036A86B">
            <w:pPr>
              <w:adjustRightInd w:val="0"/>
              <w:snapToGrid w:val="0"/>
              <w:spacing w:line="360" w:lineRule="auto"/>
              <w:jc w:val="center"/>
              <w:rPr>
                <w:rFonts w:hint="eastAsia" w:ascii="仿宋" w:hAnsi="仿宋" w:eastAsia="仿宋"/>
                <w:highlight w:val="none"/>
              </w:rPr>
            </w:pPr>
          </w:p>
        </w:tc>
        <w:tc>
          <w:tcPr>
            <w:tcW w:w="1181" w:type="dxa"/>
            <w:noWrap w:val="0"/>
            <w:vAlign w:val="top"/>
          </w:tcPr>
          <w:p w14:paraId="14EA46DA">
            <w:pPr>
              <w:adjustRightInd w:val="0"/>
              <w:snapToGrid w:val="0"/>
              <w:spacing w:line="360" w:lineRule="auto"/>
              <w:jc w:val="center"/>
              <w:rPr>
                <w:rFonts w:hint="eastAsia" w:ascii="仿宋" w:hAnsi="仿宋" w:eastAsia="仿宋"/>
                <w:highlight w:val="none"/>
              </w:rPr>
            </w:pPr>
          </w:p>
        </w:tc>
      </w:tr>
      <w:tr w14:paraId="69463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66" w:type="dxa"/>
            <w:noWrap w:val="0"/>
            <w:vAlign w:val="center"/>
          </w:tcPr>
          <w:p w14:paraId="6B89C476">
            <w:pPr>
              <w:adjustRightInd w:val="0"/>
              <w:snapToGrid w:val="0"/>
              <w:spacing w:line="360" w:lineRule="auto"/>
              <w:jc w:val="center"/>
              <w:rPr>
                <w:rFonts w:hint="eastAsia" w:ascii="仿宋" w:hAnsi="仿宋" w:eastAsia="仿宋"/>
                <w:highlight w:val="none"/>
              </w:rPr>
            </w:pPr>
          </w:p>
        </w:tc>
        <w:tc>
          <w:tcPr>
            <w:tcW w:w="1578" w:type="dxa"/>
            <w:noWrap w:val="0"/>
            <w:vAlign w:val="center"/>
          </w:tcPr>
          <w:p w14:paraId="7DB1F804">
            <w:pPr>
              <w:adjustRightInd w:val="0"/>
              <w:snapToGrid w:val="0"/>
              <w:spacing w:line="360" w:lineRule="auto"/>
              <w:jc w:val="center"/>
              <w:rPr>
                <w:rFonts w:hint="eastAsia" w:ascii="仿宋" w:hAnsi="仿宋" w:eastAsia="仿宋"/>
                <w:highlight w:val="none"/>
              </w:rPr>
            </w:pPr>
          </w:p>
        </w:tc>
        <w:tc>
          <w:tcPr>
            <w:tcW w:w="949" w:type="dxa"/>
            <w:noWrap w:val="0"/>
            <w:vAlign w:val="top"/>
          </w:tcPr>
          <w:p w14:paraId="04343F8A">
            <w:pPr>
              <w:adjustRightInd w:val="0"/>
              <w:snapToGrid w:val="0"/>
              <w:spacing w:line="360" w:lineRule="auto"/>
              <w:jc w:val="center"/>
              <w:rPr>
                <w:rFonts w:hint="eastAsia" w:ascii="仿宋" w:hAnsi="仿宋" w:eastAsia="仿宋"/>
                <w:highlight w:val="none"/>
              </w:rPr>
            </w:pPr>
          </w:p>
        </w:tc>
        <w:tc>
          <w:tcPr>
            <w:tcW w:w="949" w:type="dxa"/>
            <w:noWrap w:val="0"/>
            <w:vAlign w:val="top"/>
          </w:tcPr>
          <w:p w14:paraId="2915E23F">
            <w:pPr>
              <w:adjustRightInd w:val="0"/>
              <w:snapToGrid w:val="0"/>
              <w:spacing w:line="360" w:lineRule="auto"/>
              <w:jc w:val="center"/>
              <w:rPr>
                <w:rFonts w:hint="eastAsia" w:ascii="仿宋" w:hAnsi="仿宋" w:eastAsia="仿宋"/>
                <w:highlight w:val="none"/>
              </w:rPr>
            </w:pPr>
          </w:p>
        </w:tc>
        <w:tc>
          <w:tcPr>
            <w:tcW w:w="1484" w:type="dxa"/>
            <w:noWrap w:val="0"/>
            <w:vAlign w:val="top"/>
          </w:tcPr>
          <w:p w14:paraId="685FECA1">
            <w:pPr>
              <w:adjustRightInd w:val="0"/>
              <w:snapToGrid w:val="0"/>
              <w:spacing w:line="360" w:lineRule="auto"/>
              <w:jc w:val="center"/>
              <w:rPr>
                <w:rFonts w:hint="eastAsia" w:ascii="仿宋" w:hAnsi="仿宋" w:eastAsia="仿宋"/>
                <w:highlight w:val="none"/>
              </w:rPr>
            </w:pPr>
          </w:p>
        </w:tc>
        <w:tc>
          <w:tcPr>
            <w:tcW w:w="949" w:type="dxa"/>
            <w:noWrap w:val="0"/>
            <w:vAlign w:val="top"/>
          </w:tcPr>
          <w:p w14:paraId="793B993C">
            <w:pPr>
              <w:adjustRightInd w:val="0"/>
              <w:snapToGrid w:val="0"/>
              <w:spacing w:line="360" w:lineRule="auto"/>
              <w:jc w:val="center"/>
              <w:rPr>
                <w:rFonts w:hint="eastAsia" w:ascii="仿宋" w:hAnsi="仿宋" w:eastAsia="仿宋"/>
                <w:highlight w:val="none"/>
              </w:rPr>
            </w:pPr>
          </w:p>
        </w:tc>
        <w:tc>
          <w:tcPr>
            <w:tcW w:w="1064" w:type="dxa"/>
            <w:noWrap w:val="0"/>
            <w:vAlign w:val="center"/>
          </w:tcPr>
          <w:p w14:paraId="7627F397">
            <w:pPr>
              <w:adjustRightInd w:val="0"/>
              <w:snapToGrid w:val="0"/>
              <w:spacing w:line="360" w:lineRule="auto"/>
              <w:jc w:val="center"/>
              <w:rPr>
                <w:rFonts w:hint="eastAsia" w:ascii="仿宋" w:hAnsi="仿宋" w:eastAsia="仿宋"/>
                <w:highlight w:val="none"/>
              </w:rPr>
            </w:pPr>
          </w:p>
        </w:tc>
        <w:tc>
          <w:tcPr>
            <w:tcW w:w="1181" w:type="dxa"/>
            <w:noWrap w:val="0"/>
            <w:vAlign w:val="top"/>
          </w:tcPr>
          <w:p w14:paraId="044F632F">
            <w:pPr>
              <w:adjustRightInd w:val="0"/>
              <w:snapToGrid w:val="0"/>
              <w:spacing w:line="360" w:lineRule="auto"/>
              <w:jc w:val="center"/>
              <w:rPr>
                <w:rFonts w:hint="eastAsia" w:ascii="仿宋" w:hAnsi="仿宋" w:eastAsia="仿宋"/>
                <w:highlight w:val="none"/>
              </w:rPr>
            </w:pPr>
          </w:p>
        </w:tc>
      </w:tr>
      <w:tr w14:paraId="1ED378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66" w:type="dxa"/>
            <w:noWrap w:val="0"/>
            <w:vAlign w:val="center"/>
          </w:tcPr>
          <w:p w14:paraId="33FD6F8B">
            <w:pPr>
              <w:adjustRightInd w:val="0"/>
              <w:snapToGrid w:val="0"/>
              <w:spacing w:line="360" w:lineRule="auto"/>
              <w:jc w:val="center"/>
              <w:rPr>
                <w:rFonts w:hint="eastAsia" w:ascii="仿宋" w:hAnsi="仿宋" w:eastAsia="仿宋"/>
                <w:highlight w:val="none"/>
              </w:rPr>
            </w:pPr>
          </w:p>
        </w:tc>
        <w:tc>
          <w:tcPr>
            <w:tcW w:w="1578" w:type="dxa"/>
            <w:noWrap w:val="0"/>
            <w:vAlign w:val="center"/>
          </w:tcPr>
          <w:p w14:paraId="15DFF3CF">
            <w:pPr>
              <w:adjustRightInd w:val="0"/>
              <w:snapToGrid w:val="0"/>
              <w:spacing w:line="360" w:lineRule="auto"/>
              <w:jc w:val="center"/>
              <w:rPr>
                <w:rFonts w:hint="eastAsia" w:ascii="仿宋" w:hAnsi="仿宋" w:eastAsia="仿宋"/>
                <w:highlight w:val="none"/>
              </w:rPr>
            </w:pPr>
          </w:p>
        </w:tc>
        <w:tc>
          <w:tcPr>
            <w:tcW w:w="949" w:type="dxa"/>
            <w:noWrap w:val="0"/>
            <w:vAlign w:val="top"/>
          </w:tcPr>
          <w:p w14:paraId="0AEAE195">
            <w:pPr>
              <w:adjustRightInd w:val="0"/>
              <w:snapToGrid w:val="0"/>
              <w:spacing w:line="360" w:lineRule="auto"/>
              <w:jc w:val="center"/>
              <w:rPr>
                <w:rFonts w:hint="eastAsia" w:ascii="仿宋" w:hAnsi="仿宋" w:eastAsia="仿宋"/>
                <w:highlight w:val="none"/>
              </w:rPr>
            </w:pPr>
          </w:p>
        </w:tc>
        <w:tc>
          <w:tcPr>
            <w:tcW w:w="949" w:type="dxa"/>
            <w:noWrap w:val="0"/>
            <w:vAlign w:val="top"/>
          </w:tcPr>
          <w:p w14:paraId="03E737D6">
            <w:pPr>
              <w:adjustRightInd w:val="0"/>
              <w:snapToGrid w:val="0"/>
              <w:spacing w:line="360" w:lineRule="auto"/>
              <w:jc w:val="center"/>
              <w:rPr>
                <w:rFonts w:hint="eastAsia" w:ascii="仿宋" w:hAnsi="仿宋" w:eastAsia="仿宋"/>
                <w:highlight w:val="none"/>
              </w:rPr>
            </w:pPr>
          </w:p>
        </w:tc>
        <w:tc>
          <w:tcPr>
            <w:tcW w:w="1484" w:type="dxa"/>
            <w:noWrap w:val="0"/>
            <w:vAlign w:val="top"/>
          </w:tcPr>
          <w:p w14:paraId="1B80D307">
            <w:pPr>
              <w:adjustRightInd w:val="0"/>
              <w:snapToGrid w:val="0"/>
              <w:spacing w:line="360" w:lineRule="auto"/>
              <w:jc w:val="center"/>
              <w:rPr>
                <w:rFonts w:hint="eastAsia" w:ascii="仿宋" w:hAnsi="仿宋" w:eastAsia="仿宋"/>
                <w:highlight w:val="none"/>
              </w:rPr>
            </w:pPr>
          </w:p>
        </w:tc>
        <w:tc>
          <w:tcPr>
            <w:tcW w:w="949" w:type="dxa"/>
            <w:noWrap w:val="0"/>
            <w:vAlign w:val="top"/>
          </w:tcPr>
          <w:p w14:paraId="06A5B5EC">
            <w:pPr>
              <w:adjustRightInd w:val="0"/>
              <w:snapToGrid w:val="0"/>
              <w:spacing w:line="360" w:lineRule="auto"/>
              <w:jc w:val="center"/>
              <w:rPr>
                <w:rFonts w:hint="eastAsia" w:ascii="仿宋" w:hAnsi="仿宋" w:eastAsia="仿宋"/>
                <w:highlight w:val="none"/>
              </w:rPr>
            </w:pPr>
          </w:p>
        </w:tc>
        <w:tc>
          <w:tcPr>
            <w:tcW w:w="1064" w:type="dxa"/>
            <w:noWrap w:val="0"/>
            <w:vAlign w:val="center"/>
          </w:tcPr>
          <w:p w14:paraId="71F2CBCC">
            <w:pPr>
              <w:adjustRightInd w:val="0"/>
              <w:snapToGrid w:val="0"/>
              <w:spacing w:line="360" w:lineRule="auto"/>
              <w:jc w:val="center"/>
              <w:rPr>
                <w:rFonts w:hint="eastAsia" w:ascii="仿宋" w:hAnsi="仿宋" w:eastAsia="仿宋"/>
                <w:highlight w:val="none"/>
              </w:rPr>
            </w:pPr>
          </w:p>
        </w:tc>
        <w:tc>
          <w:tcPr>
            <w:tcW w:w="1181" w:type="dxa"/>
            <w:noWrap w:val="0"/>
            <w:vAlign w:val="top"/>
          </w:tcPr>
          <w:p w14:paraId="3CD48867">
            <w:pPr>
              <w:adjustRightInd w:val="0"/>
              <w:snapToGrid w:val="0"/>
              <w:spacing w:line="360" w:lineRule="auto"/>
              <w:jc w:val="center"/>
              <w:rPr>
                <w:rFonts w:hint="eastAsia" w:ascii="仿宋" w:hAnsi="仿宋" w:eastAsia="仿宋"/>
                <w:highlight w:val="none"/>
              </w:rPr>
            </w:pPr>
          </w:p>
        </w:tc>
      </w:tr>
      <w:tr w14:paraId="560FF0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66" w:type="dxa"/>
            <w:noWrap w:val="0"/>
            <w:vAlign w:val="center"/>
          </w:tcPr>
          <w:p w14:paraId="757F674E">
            <w:pPr>
              <w:adjustRightInd w:val="0"/>
              <w:snapToGrid w:val="0"/>
              <w:spacing w:line="360" w:lineRule="auto"/>
              <w:jc w:val="center"/>
              <w:rPr>
                <w:rFonts w:hint="eastAsia" w:ascii="仿宋" w:hAnsi="仿宋" w:eastAsia="仿宋"/>
                <w:highlight w:val="none"/>
              </w:rPr>
            </w:pPr>
          </w:p>
        </w:tc>
        <w:tc>
          <w:tcPr>
            <w:tcW w:w="1578" w:type="dxa"/>
            <w:noWrap w:val="0"/>
            <w:vAlign w:val="center"/>
          </w:tcPr>
          <w:p w14:paraId="6CA812CB">
            <w:pPr>
              <w:adjustRightInd w:val="0"/>
              <w:snapToGrid w:val="0"/>
              <w:spacing w:line="360" w:lineRule="auto"/>
              <w:jc w:val="center"/>
              <w:rPr>
                <w:rFonts w:hint="eastAsia" w:ascii="仿宋" w:hAnsi="仿宋" w:eastAsia="仿宋"/>
                <w:highlight w:val="none"/>
              </w:rPr>
            </w:pPr>
          </w:p>
        </w:tc>
        <w:tc>
          <w:tcPr>
            <w:tcW w:w="949" w:type="dxa"/>
            <w:noWrap w:val="0"/>
            <w:vAlign w:val="top"/>
          </w:tcPr>
          <w:p w14:paraId="0E62AE0A">
            <w:pPr>
              <w:adjustRightInd w:val="0"/>
              <w:snapToGrid w:val="0"/>
              <w:spacing w:line="360" w:lineRule="auto"/>
              <w:jc w:val="center"/>
              <w:rPr>
                <w:rFonts w:hint="eastAsia" w:ascii="仿宋" w:hAnsi="仿宋" w:eastAsia="仿宋"/>
                <w:highlight w:val="none"/>
              </w:rPr>
            </w:pPr>
          </w:p>
        </w:tc>
        <w:tc>
          <w:tcPr>
            <w:tcW w:w="949" w:type="dxa"/>
            <w:noWrap w:val="0"/>
            <w:vAlign w:val="top"/>
          </w:tcPr>
          <w:p w14:paraId="32783A3B">
            <w:pPr>
              <w:adjustRightInd w:val="0"/>
              <w:snapToGrid w:val="0"/>
              <w:spacing w:line="360" w:lineRule="auto"/>
              <w:jc w:val="center"/>
              <w:rPr>
                <w:rFonts w:hint="eastAsia" w:ascii="仿宋" w:hAnsi="仿宋" w:eastAsia="仿宋"/>
                <w:highlight w:val="none"/>
              </w:rPr>
            </w:pPr>
          </w:p>
        </w:tc>
        <w:tc>
          <w:tcPr>
            <w:tcW w:w="1484" w:type="dxa"/>
            <w:noWrap w:val="0"/>
            <w:vAlign w:val="top"/>
          </w:tcPr>
          <w:p w14:paraId="6144E57F">
            <w:pPr>
              <w:adjustRightInd w:val="0"/>
              <w:snapToGrid w:val="0"/>
              <w:spacing w:line="360" w:lineRule="auto"/>
              <w:jc w:val="center"/>
              <w:rPr>
                <w:rFonts w:hint="eastAsia" w:ascii="仿宋" w:hAnsi="仿宋" w:eastAsia="仿宋"/>
                <w:highlight w:val="none"/>
              </w:rPr>
            </w:pPr>
          </w:p>
        </w:tc>
        <w:tc>
          <w:tcPr>
            <w:tcW w:w="949" w:type="dxa"/>
            <w:noWrap w:val="0"/>
            <w:vAlign w:val="top"/>
          </w:tcPr>
          <w:p w14:paraId="5F631415">
            <w:pPr>
              <w:adjustRightInd w:val="0"/>
              <w:snapToGrid w:val="0"/>
              <w:spacing w:line="360" w:lineRule="auto"/>
              <w:jc w:val="center"/>
              <w:rPr>
                <w:rFonts w:hint="eastAsia" w:ascii="仿宋" w:hAnsi="仿宋" w:eastAsia="仿宋"/>
                <w:highlight w:val="none"/>
              </w:rPr>
            </w:pPr>
          </w:p>
        </w:tc>
        <w:tc>
          <w:tcPr>
            <w:tcW w:w="1064" w:type="dxa"/>
            <w:noWrap w:val="0"/>
            <w:vAlign w:val="center"/>
          </w:tcPr>
          <w:p w14:paraId="6796C248">
            <w:pPr>
              <w:adjustRightInd w:val="0"/>
              <w:snapToGrid w:val="0"/>
              <w:spacing w:line="360" w:lineRule="auto"/>
              <w:jc w:val="center"/>
              <w:rPr>
                <w:rFonts w:hint="eastAsia" w:ascii="仿宋" w:hAnsi="仿宋" w:eastAsia="仿宋"/>
                <w:highlight w:val="none"/>
              </w:rPr>
            </w:pPr>
          </w:p>
        </w:tc>
        <w:tc>
          <w:tcPr>
            <w:tcW w:w="1181" w:type="dxa"/>
            <w:noWrap w:val="0"/>
            <w:vAlign w:val="top"/>
          </w:tcPr>
          <w:p w14:paraId="689818FF">
            <w:pPr>
              <w:adjustRightInd w:val="0"/>
              <w:snapToGrid w:val="0"/>
              <w:spacing w:line="360" w:lineRule="auto"/>
              <w:jc w:val="center"/>
              <w:rPr>
                <w:rFonts w:hint="eastAsia" w:ascii="仿宋" w:hAnsi="仿宋" w:eastAsia="仿宋"/>
                <w:highlight w:val="none"/>
              </w:rPr>
            </w:pPr>
          </w:p>
        </w:tc>
      </w:tr>
    </w:tbl>
    <w:p w14:paraId="305A9C0A">
      <w:pPr>
        <w:spacing w:line="540" w:lineRule="exact"/>
        <w:ind w:right="-197" w:rightChars="-94" w:firstLine="420" w:firstLineChars="200"/>
        <w:jc w:val="left"/>
        <w:rPr>
          <w:rFonts w:hint="eastAsia" w:ascii="仿宋" w:hAnsi="仿宋" w:eastAsia="仿宋"/>
          <w:highlight w:val="none"/>
        </w:rPr>
      </w:pPr>
      <w:r>
        <w:rPr>
          <w:rFonts w:hint="eastAsia" w:ascii="仿宋" w:hAnsi="仿宋" w:eastAsia="仿宋"/>
          <w:highlight w:val="none"/>
        </w:rPr>
        <w:t>说明：</w:t>
      </w:r>
    </w:p>
    <w:p w14:paraId="6BF8F7D8">
      <w:pPr>
        <w:spacing w:line="540" w:lineRule="exact"/>
        <w:ind w:right="-197" w:rightChars="-94" w:firstLine="420" w:firstLineChars="200"/>
        <w:jc w:val="left"/>
        <w:rPr>
          <w:rFonts w:hint="eastAsia" w:ascii="仿宋" w:hAnsi="仿宋" w:eastAsia="仿宋"/>
          <w:highlight w:val="none"/>
        </w:rPr>
      </w:pPr>
      <w:r>
        <w:rPr>
          <w:rFonts w:hint="eastAsia" w:ascii="仿宋" w:hAnsi="仿宋" w:eastAsia="仿宋"/>
          <w:highlight w:val="none"/>
        </w:rPr>
        <w:t>1.“备选产品配件报价表”，报价精确到元，不保留小数；</w:t>
      </w:r>
    </w:p>
    <w:p w14:paraId="7B230F73">
      <w:pPr>
        <w:spacing w:line="540" w:lineRule="exact"/>
        <w:ind w:right="-197" w:rightChars="-94" w:firstLine="420" w:firstLineChars="200"/>
        <w:jc w:val="left"/>
        <w:rPr>
          <w:rFonts w:hint="eastAsia" w:ascii="仿宋" w:hAnsi="仿宋" w:eastAsia="仿宋"/>
          <w:sz w:val="32"/>
          <w:szCs w:val="32"/>
          <w:highlight w:val="none"/>
        </w:rPr>
      </w:pPr>
      <w:r>
        <w:rPr>
          <w:rFonts w:hint="eastAsia" w:ascii="仿宋" w:hAnsi="仿宋" w:eastAsia="仿宋"/>
          <w:highlight w:val="none"/>
        </w:rPr>
        <w:t>2.备选产品配件，仅作为采购人后期选择购买，其报价不包含在本次投标总报价内。</w:t>
      </w:r>
    </w:p>
    <w:p w14:paraId="4678A813">
      <w:pPr>
        <w:autoSpaceDE w:val="0"/>
        <w:autoSpaceDN w:val="0"/>
        <w:adjustRightInd w:val="0"/>
        <w:snapToGrid w:val="0"/>
        <w:spacing w:line="360" w:lineRule="auto"/>
        <w:ind w:firstLine="630"/>
        <w:rPr>
          <w:rFonts w:hint="eastAsia" w:ascii="仿宋" w:hAnsi="仿宋" w:eastAsia="仿宋"/>
          <w:sz w:val="32"/>
          <w:szCs w:val="32"/>
          <w:highlight w:val="none"/>
        </w:rPr>
      </w:pPr>
    </w:p>
    <w:p w14:paraId="5D08AB3C">
      <w:pPr>
        <w:ind w:firstLine="640" w:firstLineChars="200"/>
        <w:rPr>
          <w:rFonts w:hint="eastAsia" w:ascii="仿宋" w:hAnsi="仿宋" w:eastAsia="仿宋"/>
          <w:sz w:val="32"/>
          <w:szCs w:val="32"/>
          <w:highlight w:val="none"/>
        </w:rPr>
      </w:pPr>
    </w:p>
    <w:p w14:paraId="646D8BEE">
      <w:pPr>
        <w:spacing w:line="48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供应商（公章）</w:t>
      </w:r>
      <w:r>
        <w:rPr>
          <w:rFonts w:ascii="宋体" w:hAnsi="宋体"/>
          <w:sz w:val="24"/>
          <w:szCs w:val="24"/>
          <w:highlight w:val="none"/>
        </w:rPr>
        <w:t>：</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14:paraId="5F1BC45F">
      <w:pPr>
        <w:spacing w:line="48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法定代表人或被授权人（签字或盖章）：</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p>
    <w:p w14:paraId="4DC15F5C">
      <w:pPr>
        <w:spacing w:line="360" w:lineRule="auto"/>
        <w:rPr>
          <w:rFonts w:hint="eastAsia" w:ascii="仿宋" w:hAnsi="仿宋" w:eastAsia="仿宋" w:cs="仿宋"/>
          <w:sz w:val="24"/>
          <w:szCs w:val="24"/>
          <w:highlight w:val="none"/>
        </w:rPr>
      </w:pPr>
      <w:r>
        <w:rPr>
          <w:rFonts w:hint="eastAsia" w:hAnsi="宋体"/>
          <w:sz w:val="24"/>
          <w:szCs w:val="24"/>
          <w:highlight w:val="none"/>
        </w:rPr>
        <w:t xml:space="preserve">    日  </w:t>
      </w:r>
      <w:r>
        <w:rPr>
          <w:rFonts w:hAnsi="宋体"/>
          <w:sz w:val="24"/>
          <w:szCs w:val="24"/>
          <w:highlight w:val="none"/>
        </w:rPr>
        <w:t xml:space="preserve"> </w:t>
      </w:r>
      <w:r>
        <w:rPr>
          <w:rFonts w:hint="eastAsia" w:hAnsi="宋体"/>
          <w:sz w:val="24"/>
          <w:szCs w:val="24"/>
          <w:highlight w:val="none"/>
        </w:rPr>
        <w:t>期</w:t>
      </w:r>
      <w:r>
        <w:rPr>
          <w:rFonts w:hAnsi="宋体"/>
          <w:sz w:val="24"/>
          <w:szCs w:val="24"/>
          <w:highlight w:val="none"/>
        </w:rPr>
        <w:t>：</w:t>
      </w:r>
      <w:r>
        <w:rPr>
          <w:rFonts w:hint="eastAsia" w:hAnsi="宋体"/>
          <w:sz w:val="24"/>
          <w:szCs w:val="24"/>
          <w:highlight w:val="none"/>
        </w:rPr>
        <w:t xml:space="preserve">      年    月    日</w:t>
      </w:r>
    </w:p>
    <w:p w14:paraId="171895D2">
      <w:pPr>
        <w:ind w:left="315" w:leftChars="150" w:firstLine="120" w:firstLineChars="50"/>
        <w:jc w:val="center"/>
        <w:rPr>
          <w:rFonts w:hint="eastAsia"/>
          <w:b/>
          <w:sz w:val="32"/>
          <w:szCs w:val="32"/>
          <w:highlight w:val="none"/>
        </w:rPr>
      </w:pPr>
      <w:r>
        <w:rPr>
          <w:rFonts w:hint="eastAsia" w:ascii="宋体" w:hAnsi="宋体"/>
          <w:sz w:val="24"/>
          <w:highlight w:val="none"/>
        </w:rPr>
        <w:t xml:space="preserve">      </w:t>
      </w:r>
      <w:r>
        <w:rPr>
          <w:highlight w:val="none"/>
        </w:rPr>
        <w:br w:type="page"/>
      </w:r>
      <w:r>
        <w:rPr>
          <w:rFonts w:hint="eastAsia"/>
          <w:b/>
          <w:sz w:val="32"/>
          <w:szCs w:val="32"/>
          <w:highlight w:val="none"/>
        </w:rPr>
        <w:t>第三部分  资格证明文件</w:t>
      </w:r>
    </w:p>
    <w:p w14:paraId="5DBEE379">
      <w:pPr>
        <w:ind w:left="315" w:leftChars="150" w:firstLine="161" w:firstLineChars="50"/>
        <w:jc w:val="left"/>
        <w:rPr>
          <w:rFonts w:hint="eastAsia"/>
          <w:b/>
          <w:sz w:val="32"/>
          <w:szCs w:val="32"/>
          <w:highlight w:val="none"/>
        </w:rPr>
      </w:pPr>
    </w:p>
    <w:p w14:paraId="4DACA4B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供应商应按照“供应商须知前附表”所列提供全部资格证明文件。缺少其中任何一项，其文件将被视为无效文件。其中，文件中给定格式的，须按下文给定格式填写，否则按无效</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处理。</w:t>
      </w:r>
    </w:p>
    <w:p w14:paraId="46B89F7D">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满足《中华人民共和国政府采购法》第二十二条规定并提供下列材料：</w:t>
      </w:r>
    </w:p>
    <w:p w14:paraId="52B4F159">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rPr>
        <w:t>1、注册登记凭证（营业执照/其他组织经营的合法凭证/自然人的提供身份证明文件）；</w:t>
      </w:r>
    </w:p>
    <w:p w14:paraId="609737BC">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lang w:val="en-US" w:eastAsia="zh-CN"/>
        </w:rPr>
      </w:pPr>
      <w:r>
        <w:rPr>
          <w:rFonts w:hint="eastAsia" w:ascii="宋体" w:hAnsi="宋体" w:eastAsia="宋体" w:cs="宋体"/>
          <w:kern w:val="0"/>
          <w:sz w:val="24"/>
          <w:szCs w:val="24"/>
          <w:highlight w:val="none"/>
          <w:shd w:val="clear" w:color="auto" w:fill="FFFFFF"/>
          <w:lang w:val="en-US" w:eastAsia="zh-CN"/>
        </w:rPr>
        <w:t>2、基本资格条件：提供《基本资格条件承诺函》，供应商应对承诺内容的真实性、合法性、有效性负责。经调查核实为虚假承诺的，视同为“提供虚假材料谋取中标、成交”的违法行为，依照《中华人民共和国政府采购法》等法律法规追究相应责任。承诺函格式详情见附件1。</w:t>
      </w:r>
      <w:r>
        <w:rPr>
          <w:rFonts w:hint="eastAsia" w:ascii="宋体" w:hAnsi="宋体" w:eastAsia="宋体" w:cs="宋体"/>
          <w:b/>
          <w:bCs/>
          <w:kern w:val="0"/>
          <w:sz w:val="24"/>
          <w:szCs w:val="24"/>
          <w:highlight w:val="none"/>
          <w:shd w:val="clear" w:color="auto" w:fill="FFFFFF"/>
          <w:lang w:val="en-US" w:eastAsia="zh-CN"/>
        </w:rPr>
        <w:t>不提供《基本资格条件承诺函》的供应商需提交如下资格证明文件</w:t>
      </w:r>
      <w:r>
        <w:rPr>
          <w:rFonts w:hint="eastAsia" w:ascii="宋体" w:hAnsi="宋体" w:eastAsia="宋体" w:cs="宋体"/>
          <w:kern w:val="0"/>
          <w:sz w:val="24"/>
          <w:szCs w:val="24"/>
          <w:highlight w:val="none"/>
          <w:shd w:val="clear" w:color="auto" w:fill="FFFFFF"/>
          <w:lang w:val="en-US" w:eastAsia="zh-CN"/>
        </w:rPr>
        <w:t>：</w:t>
      </w:r>
    </w:p>
    <w:p w14:paraId="00E7C78C">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lang w:val="en-US" w:eastAsia="zh-CN"/>
        </w:rPr>
      </w:pPr>
      <w:r>
        <w:rPr>
          <w:rFonts w:hint="eastAsia" w:ascii="宋体" w:hAnsi="宋体" w:eastAsia="宋体" w:cs="宋体"/>
          <w:kern w:val="0"/>
          <w:sz w:val="24"/>
          <w:szCs w:val="24"/>
          <w:highlight w:val="none"/>
          <w:shd w:val="clear" w:color="auto" w:fill="FFFFFF"/>
          <w:lang w:val="en-US" w:eastAsia="zh-CN"/>
        </w:rPr>
        <w:t>①财务状况报告：</w:t>
      </w:r>
      <w:r>
        <w:rPr>
          <w:rFonts w:hint="eastAsia" w:ascii="宋体" w:hAnsi="宋体" w:eastAsia="宋体" w:cs="宋体"/>
          <w:kern w:val="0"/>
          <w:sz w:val="24"/>
          <w:szCs w:val="24"/>
          <w:highlight w:val="none"/>
          <w:shd w:val="clear" w:color="auto" w:fill="FFFFFF"/>
        </w:rPr>
        <w:t>提供</w:t>
      </w:r>
      <w:r>
        <w:rPr>
          <w:rFonts w:hint="eastAsia" w:ascii="宋体" w:hAnsi="宋体" w:eastAsia="宋体" w:cs="宋体"/>
          <w:kern w:val="0"/>
          <w:sz w:val="24"/>
          <w:szCs w:val="24"/>
          <w:highlight w:val="none"/>
          <w:shd w:val="clear" w:color="auto" w:fill="FFFFFF"/>
          <w:lang w:eastAsia="zh-CN"/>
        </w:rPr>
        <w:t>2023年或2024年</w:t>
      </w:r>
      <w:r>
        <w:rPr>
          <w:rFonts w:hint="eastAsia" w:ascii="宋体" w:hAnsi="宋体" w:eastAsia="宋体" w:cs="宋体"/>
          <w:kern w:val="0"/>
          <w:sz w:val="24"/>
          <w:szCs w:val="24"/>
          <w:highlight w:val="none"/>
          <w:shd w:val="clear" w:color="auto" w:fill="FFFFFF"/>
        </w:rPr>
        <w:t>度经审计的财务报告；/或其基本存款账户开户银行出具的资信证明及基本存款账户开户许可证（基本账户信息表）；/或财政部门认可的政府采购专业担保机构出具的投标担保函（以上三种形式的资料提供任何一种即可）</w:t>
      </w:r>
      <w:r>
        <w:rPr>
          <w:rFonts w:hint="eastAsia" w:ascii="宋体" w:hAnsi="宋体" w:eastAsia="宋体" w:cs="宋体"/>
          <w:kern w:val="0"/>
          <w:sz w:val="24"/>
          <w:szCs w:val="24"/>
          <w:highlight w:val="none"/>
          <w:shd w:val="clear" w:color="auto" w:fill="FFFFFF"/>
          <w:lang w:val="en-US" w:eastAsia="zh-CN"/>
        </w:rPr>
        <w:t>；</w:t>
      </w:r>
    </w:p>
    <w:p w14:paraId="689ED4FA">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lang w:val="en-US" w:eastAsia="zh-CN"/>
        </w:rPr>
      </w:pPr>
      <w:r>
        <w:rPr>
          <w:rFonts w:hint="eastAsia" w:ascii="宋体" w:hAnsi="宋体" w:eastAsia="宋体" w:cs="宋体"/>
          <w:kern w:val="0"/>
          <w:sz w:val="24"/>
          <w:szCs w:val="24"/>
          <w:highlight w:val="none"/>
          <w:shd w:val="clear" w:color="auto" w:fill="FFFFFF"/>
          <w:lang w:val="en-US" w:eastAsia="zh-CN"/>
        </w:rPr>
        <w:t>②</w:t>
      </w:r>
      <w:r>
        <w:rPr>
          <w:rFonts w:hint="eastAsia" w:ascii="宋体" w:hAnsi="宋体" w:eastAsia="宋体" w:cs="宋体"/>
          <w:kern w:val="0"/>
          <w:sz w:val="24"/>
          <w:szCs w:val="24"/>
          <w:highlight w:val="none"/>
          <w:shd w:val="clear" w:color="auto" w:fill="FFFFFF"/>
        </w:rPr>
        <w:t>提供投标截止日前一年内已缴纳的至少一个月的纳税证明或完税证明，依法免税的单位应提供相关证明材料</w:t>
      </w:r>
      <w:r>
        <w:rPr>
          <w:rFonts w:hint="eastAsia" w:ascii="宋体" w:hAnsi="宋体" w:eastAsia="宋体" w:cs="宋体"/>
          <w:kern w:val="0"/>
          <w:sz w:val="24"/>
          <w:szCs w:val="24"/>
          <w:highlight w:val="none"/>
          <w:shd w:val="clear" w:color="auto" w:fill="FFFFFF"/>
          <w:lang w:val="en-US" w:eastAsia="zh-CN"/>
        </w:rPr>
        <w:t>；</w:t>
      </w:r>
    </w:p>
    <w:p w14:paraId="27779CFA">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lang w:val="en-US" w:eastAsia="zh-CN"/>
        </w:rPr>
      </w:pPr>
      <w:r>
        <w:rPr>
          <w:rFonts w:hint="eastAsia" w:ascii="宋体" w:hAnsi="宋体" w:eastAsia="宋体" w:cs="宋体"/>
          <w:kern w:val="0"/>
          <w:sz w:val="24"/>
          <w:szCs w:val="24"/>
          <w:highlight w:val="none"/>
          <w:shd w:val="clear" w:color="auto" w:fill="FFFFFF"/>
          <w:lang w:val="en-US" w:eastAsia="zh-CN"/>
        </w:rPr>
        <w:t>③</w:t>
      </w:r>
      <w:r>
        <w:rPr>
          <w:rFonts w:hint="eastAsia" w:ascii="宋体" w:hAnsi="宋体" w:eastAsia="宋体" w:cs="宋体"/>
          <w:kern w:val="0"/>
          <w:sz w:val="24"/>
          <w:szCs w:val="24"/>
          <w:highlight w:val="none"/>
          <w:shd w:val="clear" w:color="auto" w:fill="FFFFFF"/>
        </w:rPr>
        <w:t>提供投标截止日前一年内已缴存的至少一个月的社会保障资金缴存单据或社保机构开具的社会保险参保缴费情况证明，依法不需要缴纳社会保障资金的单位应提供相关证明材料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kern w:val="0"/>
          <w:sz w:val="24"/>
          <w:szCs w:val="24"/>
          <w:highlight w:val="none"/>
          <w:shd w:val="clear" w:color="auto" w:fill="FFFFFF"/>
          <w:lang w:val="en-US" w:eastAsia="zh-CN"/>
        </w:rPr>
        <w:t>；</w:t>
      </w:r>
    </w:p>
    <w:p w14:paraId="7B0019AA">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lang w:val="en-US" w:eastAsia="zh-CN"/>
        </w:rPr>
      </w:pPr>
      <w:r>
        <w:rPr>
          <w:rFonts w:hint="eastAsia" w:ascii="宋体" w:hAnsi="宋体" w:eastAsia="宋体" w:cs="宋体"/>
          <w:kern w:val="0"/>
          <w:sz w:val="24"/>
          <w:szCs w:val="24"/>
          <w:highlight w:val="none"/>
          <w:shd w:val="clear" w:color="auto" w:fill="FFFFFF"/>
          <w:lang w:val="en-US" w:eastAsia="zh-CN"/>
        </w:rPr>
        <w:t>④</w:t>
      </w:r>
      <w:r>
        <w:rPr>
          <w:rFonts w:hint="eastAsia" w:ascii="宋体" w:hAnsi="宋体" w:eastAsia="宋体" w:cs="宋体"/>
          <w:kern w:val="0"/>
          <w:sz w:val="24"/>
          <w:szCs w:val="24"/>
          <w:highlight w:val="none"/>
          <w:shd w:val="clear" w:color="auto" w:fill="FFFFFF"/>
        </w:rPr>
        <w:t>参加政府采购活动前3年内在经营活动中没有重大违法记录的书面声明</w:t>
      </w:r>
      <w:r>
        <w:rPr>
          <w:rFonts w:hint="eastAsia" w:ascii="宋体" w:hAnsi="宋体" w:eastAsia="宋体" w:cs="宋体"/>
          <w:kern w:val="0"/>
          <w:sz w:val="24"/>
          <w:szCs w:val="24"/>
          <w:highlight w:val="none"/>
          <w:shd w:val="clear" w:color="auto" w:fill="FFFFFF"/>
          <w:lang w:val="en-US" w:eastAsia="zh-CN"/>
        </w:rPr>
        <w:t>；</w:t>
      </w:r>
    </w:p>
    <w:p w14:paraId="3DB3C422">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val="en-US" w:eastAsia="zh-CN"/>
        </w:rPr>
        <w:t>⑤</w:t>
      </w:r>
      <w:r>
        <w:rPr>
          <w:rFonts w:hint="eastAsia" w:ascii="宋体" w:hAnsi="宋体" w:eastAsia="宋体" w:cs="宋体"/>
          <w:kern w:val="0"/>
          <w:sz w:val="24"/>
          <w:szCs w:val="24"/>
          <w:highlight w:val="none"/>
          <w:shd w:val="clear" w:color="auto" w:fill="FFFFFF"/>
        </w:rPr>
        <w:t>提供具有履行本合同所必需的设备和专业技术能力的承诺书加盖公章</w:t>
      </w:r>
      <w:r>
        <w:rPr>
          <w:rFonts w:hint="eastAsia" w:ascii="宋体" w:hAnsi="宋体" w:eastAsia="宋体" w:cs="宋体"/>
          <w:kern w:val="0"/>
          <w:sz w:val="24"/>
          <w:szCs w:val="24"/>
          <w:highlight w:val="none"/>
          <w:shd w:val="clear" w:color="auto" w:fill="FFFFFF"/>
          <w:lang w:val="en-US" w:eastAsia="zh-CN"/>
        </w:rPr>
        <w:t>。</w:t>
      </w:r>
    </w:p>
    <w:p w14:paraId="2B3C32CE">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lang w:val="en-US" w:eastAsia="zh-CN"/>
        </w:rPr>
      </w:pPr>
      <w:r>
        <w:rPr>
          <w:rFonts w:hint="eastAsia" w:ascii="宋体" w:hAnsi="宋体" w:eastAsia="宋体" w:cs="宋体"/>
          <w:kern w:val="0"/>
          <w:sz w:val="24"/>
          <w:szCs w:val="24"/>
          <w:highlight w:val="none"/>
          <w:shd w:val="clear" w:color="auto" w:fill="FFFFFF"/>
          <w:lang w:val="en-US" w:eastAsia="zh-CN"/>
        </w:rPr>
        <w:t>3、</w:t>
      </w:r>
      <w:r>
        <w:rPr>
          <w:rFonts w:hint="eastAsia" w:ascii="宋体" w:hAnsi="宋体" w:eastAsia="宋体" w:cs="宋体"/>
          <w:kern w:val="0"/>
          <w:sz w:val="24"/>
          <w:szCs w:val="24"/>
          <w:highlight w:val="none"/>
          <w:shd w:val="clear" w:color="auto" w:fill="FFFFFF"/>
        </w:rPr>
        <w:t>法定代表人授权书及被授权人身份证（法定代表人直接参加的须提供其法人身份证），非法人单位参照执行；</w:t>
      </w:r>
      <w:r>
        <w:rPr>
          <w:rFonts w:hint="eastAsia" w:ascii="宋体" w:hAnsi="宋体" w:eastAsia="宋体" w:cs="宋体"/>
          <w:kern w:val="0"/>
          <w:sz w:val="24"/>
          <w:szCs w:val="24"/>
          <w:highlight w:val="none"/>
          <w:shd w:val="clear" w:color="auto" w:fill="FFFFFF"/>
          <w:lang w:val="en-US" w:eastAsia="zh-CN"/>
        </w:rPr>
        <w:t xml:space="preserve">  </w:t>
      </w:r>
    </w:p>
    <w:p w14:paraId="3F8599F6">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val="en-US" w:eastAsia="zh-CN"/>
        </w:rPr>
        <w:t>4、</w:t>
      </w:r>
      <w:r>
        <w:rPr>
          <w:rFonts w:hint="eastAsia" w:ascii="宋体" w:hAnsi="宋体" w:eastAsia="宋体" w:cs="宋体"/>
          <w:kern w:val="0"/>
          <w:sz w:val="24"/>
          <w:szCs w:val="24"/>
          <w:highlight w:val="none"/>
          <w:shd w:val="clear" w:color="auto" w:fill="FFFFFF"/>
        </w:rPr>
        <w:t>信用记录：供应商不得为“信用中国”网站（www.creditchina.gov.cn）中列入失信被执行人（页面跳转至“中国执行信息公开网”http://zxgk.court.gov.cn/shixin/）和重大税收违法</w:t>
      </w:r>
      <w:r>
        <w:rPr>
          <w:rFonts w:hint="eastAsia" w:ascii="宋体" w:hAnsi="宋体" w:eastAsia="宋体" w:cs="宋体"/>
          <w:kern w:val="0"/>
          <w:sz w:val="24"/>
          <w:szCs w:val="24"/>
          <w:highlight w:val="none"/>
          <w:shd w:val="clear" w:color="auto" w:fill="FFFFFF"/>
          <w:lang w:val="en-US" w:eastAsia="zh-CN"/>
        </w:rPr>
        <w:t>失信主体</w:t>
      </w:r>
      <w:r>
        <w:rPr>
          <w:rFonts w:hint="eastAsia" w:ascii="宋体" w:hAnsi="宋体" w:eastAsia="宋体" w:cs="宋体"/>
          <w:kern w:val="0"/>
          <w:sz w:val="24"/>
          <w:szCs w:val="24"/>
          <w:highlight w:val="none"/>
          <w:shd w:val="clear" w:color="auto" w:fill="FFFFFF"/>
        </w:rPr>
        <w:t>名单的供应商，不得为中国政府采购网（www.ccgp.gov.cn）政府采购严重违法失信行为记录名单中被财政部门禁止参加政府采购活动的供应商；</w:t>
      </w:r>
    </w:p>
    <w:p w14:paraId="52827CDB">
      <w:pPr>
        <w:spacing w:line="360" w:lineRule="auto"/>
        <w:ind w:left="112" w:leftChars="50" w:right="172" w:rightChars="82" w:hanging="7" w:hangingChars="3"/>
        <w:rPr>
          <w:rFonts w:hint="eastAsia" w:ascii="宋体" w:hAnsi="宋体" w:eastAsia="宋体" w:cs="宋体"/>
          <w:kern w:val="0"/>
          <w:sz w:val="24"/>
          <w:szCs w:val="24"/>
          <w:highlight w:val="none"/>
          <w:shd w:val="clear" w:color="auto" w:fill="FFFFFF"/>
        </w:rPr>
      </w:pPr>
      <w:r>
        <w:rPr>
          <w:rFonts w:hint="eastAsia" w:ascii="宋体" w:hAnsi="宋体" w:eastAsia="宋体" w:cs="宋体"/>
          <w:kern w:val="0"/>
          <w:sz w:val="24"/>
          <w:szCs w:val="24"/>
          <w:highlight w:val="none"/>
          <w:shd w:val="clear" w:color="auto" w:fill="FFFFFF"/>
          <w:lang w:val="en-US" w:eastAsia="zh-CN"/>
        </w:rPr>
        <w:t>5、</w:t>
      </w:r>
      <w:r>
        <w:rPr>
          <w:rFonts w:hint="eastAsia" w:ascii="宋体" w:hAnsi="宋体" w:eastAsia="宋体" w:cs="宋体"/>
          <w:kern w:val="0"/>
          <w:sz w:val="24"/>
          <w:szCs w:val="24"/>
          <w:highlight w:val="none"/>
          <w:shd w:val="clear" w:color="auto" w:fill="FFFFFF"/>
        </w:rPr>
        <w:t>控股管理关系：单位负责人为同一人或者存在直接控股、管理关系的供应商，不得参加同一合同下的政府采购活动；</w:t>
      </w:r>
    </w:p>
    <w:p w14:paraId="6CCC19DF">
      <w:pPr>
        <w:spacing w:line="360" w:lineRule="auto"/>
        <w:ind w:left="112" w:leftChars="50" w:right="172" w:rightChars="82" w:hanging="7" w:hangingChars="3"/>
        <w:rPr>
          <w:rFonts w:hint="eastAsia" w:ascii="楷体" w:hAnsi="楷体" w:eastAsia="楷体"/>
          <w:sz w:val="24"/>
          <w:highlight w:val="none"/>
        </w:rPr>
      </w:pPr>
      <w:r>
        <w:rPr>
          <w:rFonts w:hint="eastAsia" w:ascii="宋体" w:hAnsi="宋体" w:eastAsia="宋体" w:cs="宋体"/>
          <w:kern w:val="0"/>
          <w:sz w:val="24"/>
          <w:szCs w:val="24"/>
          <w:highlight w:val="none"/>
          <w:shd w:val="clear" w:color="auto" w:fill="FFFFFF"/>
          <w:lang w:val="en-US" w:eastAsia="zh-CN"/>
        </w:rPr>
        <w:t>6、</w:t>
      </w:r>
      <w:r>
        <w:rPr>
          <w:rFonts w:hint="eastAsia" w:ascii="宋体" w:hAnsi="宋体" w:eastAsia="宋体" w:cs="宋体"/>
          <w:kern w:val="0"/>
          <w:sz w:val="24"/>
          <w:szCs w:val="24"/>
          <w:highlight w:val="none"/>
          <w:shd w:val="clear" w:color="auto" w:fill="FFFFFF"/>
        </w:rPr>
        <w:t>供应商书面声明：供应商未为本项目提供整体设计、规范编制或者项目管理、监理、检测等服务的书面声明</w:t>
      </w:r>
      <w:r>
        <w:rPr>
          <w:rFonts w:hint="eastAsia" w:cs="宋体" w:asciiTheme="minorEastAsia" w:hAnsiTheme="minorEastAsia" w:eastAsiaTheme="minorEastAsia"/>
          <w:color w:val="auto"/>
          <w:szCs w:val="24"/>
          <w:highlight w:val="none"/>
        </w:rPr>
        <w:t>。</w:t>
      </w:r>
    </w:p>
    <w:p w14:paraId="515D46B5">
      <w:pPr>
        <w:rPr>
          <w:rFonts w:ascii="仿宋" w:hAnsi="仿宋" w:eastAsia="仿宋"/>
          <w:sz w:val="24"/>
          <w:highlight w:val="none"/>
        </w:rPr>
      </w:pPr>
      <w:r>
        <w:rPr>
          <w:rFonts w:ascii="仿宋" w:hAnsi="仿宋" w:eastAsia="仿宋"/>
          <w:sz w:val="24"/>
          <w:highlight w:val="none"/>
        </w:rPr>
        <w:br w:type="page"/>
      </w:r>
    </w:p>
    <w:p w14:paraId="1B82E6E3">
      <w:pPr>
        <w:spacing w:before="336" w:beforeLines="100"/>
        <w:rPr>
          <w:rFonts w:cs="宋体" w:asciiTheme="minorEastAsia" w:hAnsiTheme="minorEastAsia" w:eastAsiaTheme="minorEastAsia"/>
          <w:b/>
          <w:color w:val="auto"/>
          <w:sz w:val="30"/>
          <w:szCs w:val="30"/>
          <w:highlight w:val="none"/>
        </w:rPr>
      </w:pPr>
      <w:r>
        <w:rPr>
          <w:rFonts w:hint="eastAsia" w:ascii="宋体" w:hAnsi="宋体" w:eastAsia="宋体" w:cs="宋体"/>
          <w:b/>
          <w:color w:val="auto"/>
          <w:sz w:val="28"/>
          <w:szCs w:val="28"/>
          <w:highlight w:val="none"/>
        </w:rPr>
        <w:t>附件1</w:t>
      </w:r>
    </w:p>
    <w:p w14:paraId="1231CF23">
      <w:pPr>
        <w:pStyle w:val="17"/>
        <w:keepNext w:val="0"/>
        <w:keepLines w:val="0"/>
        <w:pageBreakBefore w:val="0"/>
        <w:shd w:val="clear" w:color="auto" w:fill="auto"/>
        <w:kinsoku/>
        <w:wordWrap/>
        <w:overflowPunct/>
        <w:topLinePunct w:val="0"/>
        <w:autoSpaceDE/>
        <w:autoSpaceDN/>
        <w:bidi w:val="0"/>
        <w:adjustRightInd/>
        <w:snapToGrid/>
        <w:spacing w:line="560" w:lineRule="exact"/>
        <w:jc w:val="both"/>
        <w:textAlignment w:val="auto"/>
        <w:rPr>
          <w:rFonts w:hint="default" w:ascii="仿宋" w:hAnsi="仿宋" w:eastAsia="仿宋" w:cs="仿宋"/>
          <w:b/>
          <w:bCs/>
          <w:color w:val="auto"/>
          <w:sz w:val="36"/>
          <w:szCs w:val="36"/>
          <w:highlight w:val="none"/>
          <w:lang w:val="en-US" w:eastAsia="zh-CN"/>
        </w:rPr>
      </w:pPr>
    </w:p>
    <w:p w14:paraId="3D54DA1E">
      <w:pPr>
        <w:pStyle w:val="17"/>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36"/>
          <w:szCs w:val="36"/>
          <w:highlight w:val="none"/>
          <w:lang w:val="en-US" w:eastAsia="zh-CN"/>
        </w:rPr>
        <w:t>2、基本资格条件承诺函</w:t>
      </w:r>
    </w:p>
    <w:p w14:paraId="367C27F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p>
    <w:p w14:paraId="559FB1F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致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（采购代理机构名称）：</w:t>
      </w:r>
    </w:p>
    <w:p w14:paraId="007C97C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（投标人名称）郑重承诺： </w:t>
      </w:r>
    </w:p>
    <w:p w14:paraId="78DD9CB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1.我方具有良好的商业信誉和健全的财务会计制度，具有履行合同所必需的设备和专业技术能力，具有依法缴纳税收和社会保障金的良好记录，参加本项目采购活动前三年内无重大违法活动记录。</w:t>
      </w:r>
    </w:p>
    <w:p w14:paraId="0C2FEFF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2.我方未列入在信用中国网站（www.creditchina.gov.cn）“失信被执行人”、“重大税收违法失信主体名单”中，也未列入中国政府采购网（www.ccgp.gov.cn）“政府采购严重违法失信行为记录名单”中。</w:t>
      </w:r>
    </w:p>
    <w:p w14:paraId="09D7F36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3.我方在采购项目评审（评标）环节结束后，随时接受采购人、采购代理机构的检查验证，配合提供相关证明材料，证明符合《中华人民共和国政府采购法》规定的投标人基本资格条件。</w:t>
      </w:r>
    </w:p>
    <w:p w14:paraId="676C733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我方对以上承诺负全部法律责任。 </w:t>
      </w:r>
    </w:p>
    <w:p w14:paraId="0A8F852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特此承诺。</w:t>
      </w:r>
    </w:p>
    <w:p w14:paraId="6551162E">
      <w:pPr>
        <w:spacing w:line="480" w:lineRule="auto"/>
        <w:ind w:firstLine="480" w:firstLineChars="200"/>
        <w:jc w:val="left"/>
        <w:rPr>
          <w:rFonts w:hint="eastAsia" w:ascii="宋体" w:hAnsi="宋体"/>
          <w:sz w:val="24"/>
          <w:szCs w:val="24"/>
          <w:highlight w:val="none"/>
        </w:rPr>
      </w:pPr>
    </w:p>
    <w:p w14:paraId="0BA9EF23">
      <w:pPr>
        <w:spacing w:line="480" w:lineRule="auto"/>
        <w:ind w:firstLine="480" w:firstLineChars="200"/>
        <w:jc w:val="left"/>
        <w:rPr>
          <w:rFonts w:hint="eastAsia" w:ascii="宋体" w:hAnsi="宋体"/>
          <w:sz w:val="24"/>
          <w:szCs w:val="24"/>
          <w:highlight w:val="none"/>
        </w:rPr>
      </w:pPr>
    </w:p>
    <w:p w14:paraId="02790094">
      <w:pPr>
        <w:spacing w:line="48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供应商（公章）</w:t>
      </w:r>
      <w:r>
        <w:rPr>
          <w:rFonts w:ascii="宋体" w:hAnsi="宋体"/>
          <w:sz w:val="24"/>
          <w:szCs w:val="24"/>
          <w:highlight w:val="none"/>
        </w:rPr>
        <w:t>：</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14:paraId="597EBB32">
      <w:pPr>
        <w:spacing w:line="480" w:lineRule="auto"/>
        <w:ind w:firstLine="480" w:firstLineChars="200"/>
        <w:jc w:val="left"/>
        <w:rPr>
          <w:rFonts w:ascii="宋体" w:hAnsi="宋体"/>
          <w:sz w:val="24"/>
          <w:szCs w:val="24"/>
          <w:highlight w:val="none"/>
          <w:u w:val="single"/>
        </w:rPr>
      </w:pPr>
      <w:r>
        <w:rPr>
          <w:rFonts w:hint="eastAsia" w:ascii="宋体" w:hAnsi="宋体"/>
          <w:sz w:val="24"/>
          <w:szCs w:val="24"/>
          <w:highlight w:val="none"/>
        </w:rPr>
        <w:t>法定代表人或被授权人（签字或盖章）：</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p>
    <w:p w14:paraId="407FC8FC">
      <w:pPr>
        <w:spacing w:line="360" w:lineRule="auto"/>
        <w:rPr>
          <w:rFonts w:hint="eastAsia" w:ascii="仿宋" w:hAnsi="仿宋" w:eastAsia="仿宋" w:cs="仿宋"/>
          <w:sz w:val="24"/>
          <w:szCs w:val="24"/>
          <w:highlight w:val="none"/>
        </w:rPr>
      </w:pPr>
      <w:r>
        <w:rPr>
          <w:rFonts w:hint="eastAsia" w:hAnsi="宋体"/>
          <w:sz w:val="24"/>
          <w:szCs w:val="24"/>
          <w:highlight w:val="none"/>
        </w:rPr>
        <w:t xml:space="preserve">    日  </w:t>
      </w:r>
      <w:r>
        <w:rPr>
          <w:rFonts w:hAnsi="宋体"/>
          <w:sz w:val="24"/>
          <w:szCs w:val="24"/>
          <w:highlight w:val="none"/>
        </w:rPr>
        <w:t xml:space="preserve"> </w:t>
      </w:r>
      <w:r>
        <w:rPr>
          <w:rFonts w:hint="eastAsia" w:hAnsi="宋体"/>
          <w:sz w:val="24"/>
          <w:szCs w:val="24"/>
          <w:highlight w:val="none"/>
        </w:rPr>
        <w:t>期</w:t>
      </w:r>
      <w:r>
        <w:rPr>
          <w:rFonts w:hAnsi="宋体"/>
          <w:sz w:val="24"/>
          <w:szCs w:val="24"/>
          <w:highlight w:val="none"/>
        </w:rPr>
        <w:t>：</w:t>
      </w:r>
      <w:r>
        <w:rPr>
          <w:rFonts w:hint="eastAsia" w:hAnsi="宋体"/>
          <w:sz w:val="24"/>
          <w:szCs w:val="24"/>
          <w:highlight w:val="none"/>
        </w:rPr>
        <w:t xml:space="preserve">      年    月    日</w:t>
      </w:r>
    </w:p>
    <w:p w14:paraId="12CE7CD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bidi="ar"/>
        </w:rPr>
      </w:pPr>
    </w:p>
    <w:p w14:paraId="1024A507">
      <w:pPr>
        <w:rPr>
          <w:rFonts w:ascii="仿宋" w:hAnsi="仿宋" w:eastAsia="仿宋"/>
          <w:sz w:val="24"/>
          <w:highlight w:val="none"/>
        </w:rPr>
      </w:pPr>
      <w:r>
        <w:rPr>
          <w:rFonts w:ascii="仿宋" w:hAnsi="仿宋" w:eastAsia="仿宋"/>
          <w:sz w:val="24"/>
          <w:highlight w:val="none"/>
        </w:rPr>
        <w:br w:type="page"/>
      </w:r>
    </w:p>
    <w:p w14:paraId="4BB070B3">
      <w:pPr>
        <w:spacing w:line="360" w:lineRule="auto"/>
        <w:jc w:val="center"/>
        <w:rPr>
          <w:rFonts w:ascii="宋体" w:hAnsi="宋体"/>
          <w:b/>
          <w:sz w:val="32"/>
          <w:szCs w:val="32"/>
          <w:highlight w:val="none"/>
        </w:rPr>
      </w:pPr>
      <w:r>
        <w:rPr>
          <w:rFonts w:hint="eastAsia" w:ascii="宋体" w:hAnsi="宋体"/>
          <w:b/>
          <w:sz w:val="32"/>
          <w:szCs w:val="32"/>
          <w:highlight w:val="none"/>
        </w:rPr>
        <w:t>参加政府采购活动前3年内在经营活动中没有重大违法记录的书面声明</w:t>
      </w:r>
    </w:p>
    <w:p w14:paraId="51AB3CFA">
      <w:pPr>
        <w:spacing w:line="360" w:lineRule="atLeast"/>
        <w:jc w:val="left"/>
        <w:rPr>
          <w:rFonts w:ascii="宋体" w:hAnsi="宋体"/>
          <w:sz w:val="24"/>
          <w:highlight w:val="none"/>
        </w:rPr>
      </w:pPr>
    </w:p>
    <w:p w14:paraId="4C3939E8">
      <w:pPr>
        <w:spacing w:line="360" w:lineRule="auto"/>
        <w:jc w:val="left"/>
        <w:rPr>
          <w:rFonts w:hint="eastAsia" w:ascii="宋体" w:hAnsi="宋体" w:eastAsia="宋体"/>
          <w:sz w:val="24"/>
          <w:highlight w:val="none"/>
          <w:lang w:eastAsia="zh-CN"/>
        </w:rPr>
      </w:pPr>
      <w:r>
        <w:rPr>
          <w:rFonts w:hint="eastAsia" w:ascii="宋体" w:hAnsi="宋体" w:cs="Arial"/>
          <w:kern w:val="0"/>
          <w:sz w:val="24"/>
          <w:highlight w:val="none"/>
        </w:rPr>
        <w:t>致：</w:t>
      </w:r>
      <w:r>
        <w:rPr>
          <w:rFonts w:hint="eastAsia" w:ascii="宋体" w:hAnsi="宋体" w:cs="Arial"/>
          <w:kern w:val="0"/>
          <w:sz w:val="24"/>
          <w:highlight w:val="none"/>
          <w:lang w:eastAsia="zh-CN"/>
        </w:rPr>
        <w:t>陕西广联达招标有限公司</w:t>
      </w:r>
    </w:p>
    <w:p w14:paraId="23B80D17">
      <w:pPr>
        <w:spacing w:line="360" w:lineRule="auto"/>
        <w:ind w:firstLine="480" w:firstLineChars="200"/>
        <w:jc w:val="left"/>
        <w:rPr>
          <w:rFonts w:hint="eastAsia" w:ascii="宋体" w:hAnsi="宋体"/>
          <w:b/>
          <w:sz w:val="32"/>
          <w:szCs w:val="32"/>
          <w:highlight w:val="none"/>
        </w:rPr>
      </w:pPr>
      <w:r>
        <w:rPr>
          <w:rFonts w:hint="eastAsia" w:ascii="宋体" w:hAnsi="宋体"/>
          <w:sz w:val="24"/>
          <w:highlight w:val="none"/>
        </w:rPr>
        <w:t>我</w:t>
      </w:r>
      <w:r>
        <w:rPr>
          <w:rFonts w:ascii="宋体" w:hAnsi="宋体"/>
          <w:sz w:val="24"/>
          <w:highlight w:val="none"/>
        </w:rPr>
        <w:t>单位</w:t>
      </w:r>
      <w:r>
        <w:rPr>
          <w:rFonts w:hint="eastAsia" w:ascii="宋体" w:hAnsi="宋体"/>
          <w:sz w:val="24"/>
          <w:highlight w:val="none"/>
        </w:rPr>
        <w:t>声明参加本次政府采购活动前三年内，在经营活动中没有重大违纪，以及未被列入失信被执行人、未</w:t>
      </w:r>
      <w:r>
        <w:rPr>
          <w:rFonts w:ascii="宋体" w:hAnsi="宋体"/>
          <w:sz w:val="24"/>
          <w:highlight w:val="none"/>
        </w:rPr>
        <w:t>在</w:t>
      </w:r>
      <w:r>
        <w:rPr>
          <w:rFonts w:hint="eastAsia" w:ascii="宋体" w:hAnsi="宋体"/>
          <w:sz w:val="24"/>
          <w:highlight w:val="none"/>
        </w:rPr>
        <w:t>重大税收违法案件当事人名单及政府采购严重违法失信行为记录名单中。</w:t>
      </w:r>
    </w:p>
    <w:p w14:paraId="2DBB9BA5">
      <w:pPr>
        <w:spacing w:line="360" w:lineRule="auto"/>
        <w:ind w:firstLine="424" w:firstLineChars="177"/>
        <w:jc w:val="left"/>
        <w:rPr>
          <w:rFonts w:hint="eastAsia" w:ascii="宋体" w:hAnsi="宋体"/>
          <w:b/>
          <w:sz w:val="32"/>
          <w:szCs w:val="32"/>
          <w:highlight w:val="none"/>
        </w:rPr>
      </w:pPr>
      <w:r>
        <w:rPr>
          <w:rFonts w:hint="eastAsia" w:ascii="宋体" w:hAnsi="宋体"/>
          <w:sz w:val="24"/>
          <w:highlight w:val="none"/>
        </w:rPr>
        <w:t>以</w:t>
      </w:r>
      <w:r>
        <w:rPr>
          <w:rFonts w:ascii="宋体" w:hAnsi="宋体"/>
          <w:sz w:val="24"/>
          <w:highlight w:val="none"/>
        </w:rPr>
        <w:t>上如</w:t>
      </w:r>
      <w:r>
        <w:rPr>
          <w:rFonts w:hint="eastAsia" w:ascii="宋体" w:hAnsi="宋体"/>
          <w:sz w:val="24"/>
          <w:highlight w:val="none"/>
        </w:rPr>
        <w:t>构成</w:t>
      </w:r>
      <w:r>
        <w:rPr>
          <w:rFonts w:ascii="宋体" w:hAnsi="宋体"/>
          <w:sz w:val="24"/>
          <w:highlight w:val="none"/>
        </w:rPr>
        <w:t>虚</w:t>
      </w:r>
      <w:r>
        <w:rPr>
          <w:rFonts w:hint="eastAsia" w:ascii="宋体" w:hAnsi="宋体"/>
          <w:sz w:val="24"/>
          <w:highlight w:val="none"/>
        </w:rPr>
        <w:t>假</w:t>
      </w:r>
      <w:r>
        <w:rPr>
          <w:rFonts w:ascii="宋体" w:hAnsi="宋体"/>
          <w:sz w:val="24"/>
          <w:highlight w:val="none"/>
        </w:rPr>
        <w:t>，自愿承担相关法律责任。</w:t>
      </w:r>
    </w:p>
    <w:p w14:paraId="0910ED57">
      <w:pPr>
        <w:spacing w:line="360" w:lineRule="auto"/>
        <w:jc w:val="left"/>
        <w:rPr>
          <w:rFonts w:ascii="宋体" w:hAnsi="宋体"/>
          <w:b/>
          <w:sz w:val="32"/>
          <w:szCs w:val="32"/>
          <w:highlight w:val="none"/>
        </w:rPr>
      </w:pPr>
    </w:p>
    <w:p w14:paraId="78F01A13">
      <w:pPr>
        <w:spacing w:line="360" w:lineRule="auto"/>
        <w:ind w:firstLine="480" w:firstLineChars="200"/>
        <w:jc w:val="left"/>
        <w:rPr>
          <w:rFonts w:ascii="宋体" w:hAnsi="宋体"/>
          <w:sz w:val="24"/>
          <w:highlight w:val="none"/>
        </w:rPr>
      </w:pPr>
      <w:r>
        <w:rPr>
          <w:rFonts w:hint="eastAsia" w:ascii="宋体" w:hAnsi="宋体"/>
          <w:sz w:val="24"/>
          <w:highlight w:val="none"/>
        </w:rPr>
        <w:t>特此声明！</w:t>
      </w:r>
    </w:p>
    <w:p w14:paraId="7C9A6511">
      <w:pPr>
        <w:spacing w:line="360" w:lineRule="auto"/>
        <w:ind w:firstLine="480" w:firstLineChars="200"/>
        <w:jc w:val="left"/>
        <w:rPr>
          <w:rFonts w:ascii="宋体" w:hAnsi="宋体"/>
          <w:sz w:val="24"/>
          <w:highlight w:val="none"/>
        </w:rPr>
      </w:pPr>
    </w:p>
    <w:p w14:paraId="22B779AE">
      <w:pPr>
        <w:spacing w:line="480" w:lineRule="auto"/>
        <w:jc w:val="left"/>
        <w:rPr>
          <w:rFonts w:hint="eastAsia" w:ascii="宋体" w:hAnsi="宋体"/>
          <w:sz w:val="24"/>
          <w:highlight w:val="none"/>
        </w:rPr>
      </w:pPr>
    </w:p>
    <w:p w14:paraId="67A9ADC3">
      <w:pPr>
        <w:spacing w:line="480" w:lineRule="auto"/>
        <w:ind w:firstLine="240" w:firstLineChars="100"/>
        <w:jc w:val="left"/>
        <w:rPr>
          <w:rFonts w:ascii="宋体" w:hAnsi="宋体"/>
          <w:sz w:val="24"/>
          <w:szCs w:val="24"/>
          <w:highlight w:val="none"/>
          <w:u w:val="single"/>
        </w:rPr>
      </w:pPr>
      <w:r>
        <w:rPr>
          <w:rFonts w:hint="eastAsia" w:ascii="宋体" w:hAnsi="宋体"/>
          <w:sz w:val="24"/>
          <w:szCs w:val="24"/>
          <w:highlight w:val="none"/>
        </w:rPr>
        <w:t>供应商（公章）</w:t>
      </w:r>
      <w:r>
        <w:rPr>
          <w:rFonts w:ascii="宋体" w:hAnsi="宋体"/>
          <w:sz w:val="24"/>
          <w:szCs w:val="24"/>
          <w:highlight w:val="none"/>
        </w:rPr>
        <w:t>：</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14:paraId="33F0A1C0">
      <w:pPr>
        <w:spacing w:line="480" w:lineRule="auto"/>
        <w:ind w:firstLine="240" w:firstLineChars="100"/>
        <w:jc w:val="left"/>
        <w:rPr>
          <w:rFonts w:ascii="宋体" w:hAnsi="宋体"/>
          <w:sz w:val="24"/>
          <w:szCs w:val="24"/>
          <w:highlight w:val="none"/>
          <w:u w:val="single"/>
        </w:rPr>
      </w:pPr>
      <w:r>
        <w:rPr>
          <w:rFonts w:hint="eastAsia" w:ascii="宋体" w:hAnsi="宋体"/>
          <w:sz w:val="24"/>
          <w:szCs w:val="24"/>
          <w:highlight w:val="none"/>
        </w:rPr>
        <w:t>法定代表人或被授权人（签字或盖章）：</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p>
    <w:p w14:paraId="716210B6">
      <w:pPr>
        <w:spacing w:line="360" w:lineRule="auto"/>
        <w:rPr>
          <w:rFonts w:hint="eastAsia" w:ascii="仿宋" w:hAnsi="仿宋" w:eastAsia="仿宋" w:cs="仿宋"/>
          <w:sz w:val="24"/>
          <w:szCs w:val="24"/>
          <w:highlight w:val="none"/>
        </w:rPr>
      </w:pPr>
      <w:r>
        <w:rPr>
          <w:rFonts w:hint="eastAsia" w:hAnsi="宋体"/>
          <w:sz w:val="24"/>
          <w:szCs w:val="24"/>
          <w:highlight w:val="none"/>
        </w:rPr>
        <w:t xml:space="preserve">  日  </w:t>
      </w:r>
      <w:r>
        <w:rPr>
          <w:rFonts w:hAnsi="宋体"/>
          <w:sz w:val="24"/>
          <w:szCs w:val="24"/>
          <w:highlight w:val="none"/>
        </w:rPr>
        <w:t xml:space="preserve"> </w:t>
      </w:r>
      <w:r>
        <w:rPr>
          <w:rFonts w:hint="eastAsia" w:hAnsi="宋体"/>
          <w:sz w:val="24"/>
          <w:szCs w:val="24"/>
          <w:highlight w:val="none"/>
        </w:rPr>
        <w:t>期</w:t>
      </w:r>
      <w:r>
        <w:rPr>
          <w:rFonts w:hAnsi="宋体"/>
          <w:sz w:val="24"/>
          <w:szCs w:val="24"/>
          <w:highlight w:val="none"/>
        </w:rPr>
        <w:t>：</w:t>
      </w:r>
      <w:r>
        <w:rPr>
          <w:rFonts w:hint="eastAsia" w:hAnsi="宋体"/>
          <w:sz w:val="24"/>
          <w:szCs w:val="24"/>
          <w:highlight w:val="none"/>
        </w:rPr>
        <w:t xml:space="preserve">      年    月    日</w:t>
      </w:r>
    </w:p>
    <w:p w14:paraId="740B26EA">
      <w:pPr>
        <w:spacing w:line="480" w:lineRule="auto"/>
        <w:ind w:firstLine="480" w:firstLineChars="200"/>
        <w:jc w:val="left"/>
        <w:rPr>
          <w:rFonts w:ascii="宋体" w:hAnsi="宋体"/>
          <w:sz w:val="24"/>
          <w:highlight w:val="none"/>
        </w:rPr>
      </w:pPr>
    </w:p>
    <w:p w14:paraId="7FFE91E9">
      <w:pPr>
        <w:spacing w:line="480" w:lineRule="auto"/>
        <w:ind w:firstLine="480" w:firstLineChars="200"/>
        <w:jc w:val="left"/>
        <w:rPr>
          <w:rFonts w:ascii="宋体" w:hAnsi="宋体"/>
          <w:sz w:val="24"/>
          <w:highlight w:val="none"/>
        </w:rPr>
      </w:pPr>
    </w:p>
    <w:p w14:paraId="5C935B0A">
      <w:pPr>
        <w:spacing w:line="480" w:lineRule="auto"/>
        <w:ind w:firstLine="480" w:firstLineChars="200"/>
        <w:jc w:val="left"/>
        <w:rPr>
          <w:rFonts w:ascii="宋体" w:hAnsi="宋体"/>
          <w:sz w:val="24"/>
          <w:highlight w:val="none"/>
        </w:rPr>
      </w:pPr>
    </w:p>
    <w:p w14:paraId="049F5C28">
      <w:pPr>
        <w:spacing w:line="480" w:lineRule="auto"/>
        <w:ind w:firstLine="480" w:firstLineChars="200"/>
        <w:jc w:val="left"/>
        <w:rPr>
          <w:rFonts w:hint="eastAsia" w:ascii="宋体" w:hAnsi="宋体"/>
          <w:sz w:val="24"/>
          <w:highlight w:val="none"/>
        </w:rPr>
      </w:pPr>
    </w:p>
    <w:p w14:paraId="4717C064">
      <w:pPr>
        <w:spacing w:line="360" w:lineRule="atLeast"/>
        <w:jc w:val="center"/>
        <w:rPr>
          <w:rFonts w:hint="eastAsia"/>
          <w:highlight w:val="none"/>
        </w:rPr>
      </w:pPr>
      <w:r>
        <w:rPr>
          <w:highlight w:val="none"/>
        </w:rPr>
        <w:br w:type="page"/>
      </w:r>
    </w:p>
    <w:p w14:paraId="1D5F1F9F">
      <w:pPr>
        <w:spacing w:line="360" w:lineRule="atLeast"/>
        <w:jc w:val="center"/>
        <w:rPr>
          <w:rFonts w:ascii="宋体" w:hAnsi="宋体"/>
          <w:b/>
          <w:sz w:val="32"/>
          <w:szCs w:val="32"/>
          <w:highlight w:val="none"/>
        </w:rPr>
      </w:pPr>
      <w:r>
        <w:rPr>
          <w:rFonts w:hint="eastAsia" w:ascii="宋体" w:hAnsi="宋体"/>
          <w:b/>
          <w:sz w:val="32"/>
          <w:szCs w:val="32"/>
          <w:highlight w:val="none"/>
        </w:rPr>
        <w:t>具有履行合同所必需的设备和专业技术能力的承诺函</w:t>
      </w:r>
    </w:p>
    <w:p w14:paraId="5BF0010B">
      <w:pPr>
        <w:spacing w:line="360" w:lineRule="atLeast"/>
        <w:jc w:val="left"/>
        <w:rPr>
          <w:rFonts w:ascii="宋体" w:hAnsi="宋体"/>
          <w:sz w:val="24"/>
          <w:highlight w:val="none"/>
        </w:rPr>
      </w:pPr>
    </w:p>
    <w:p w14:paraId="01AB57D8">
      <w:pPr>
        <w:spacing w:line="360" w:lineRule="auto"/>
        <w:jc w:val="left"/>
        <w:rPr>
          <w:rFonts w:hint="eastAsia" w:ascii="宋体" w:hAnsi="宋体" w:eastAsia="宋体"/>
          <w:sz w:val="24"/>
          <w:szCs w:val="24"/>
          <w:highlight w:val="none"/>
          <w:lang w:eastAsia="zh-CN"/>
        </w:rPr>
      </w:pPr>
      <w:r>
        <w:rPr>
          <w:rFonts w:hint="eastAsia" w:ascii="宋体" w:hAnsi="宋体" w:cs="Arial"/>
          <w:kern w:val="0"/>
          <w:sz w:val="24"/>
          <w:szCs w:val="24"/>
          <w:highlight w:val="none"/>
        </w:rPr>
        <w:t>致：</w:t>
      </w:r>
      <w:r>
        <w:rPr>
          <w:rFonts w:hint="eastAsia" w:ascii="宋体" w:hAnsi="宋体" w:cs="Arial"/>
          <w:kern w:val="0"/>
          <w:sz w:val="24"/>
          <w:szCs w:val="24"/>
          <w:highlight w:val="none"/>
          <w:lang w:eastAsia="zh-CN"/>
        </w:rPr>
        <w:t>陕西广联达招标有限公司</w:t>
      </w:r>
    </w:p>
    <w:p w14:paraId="6955CD9F">
      <w:pPr>
        <w:spacing w:line="360" w:lineRule="auto"/>
        <w:jc w:val="left"/>
        <w:rPr>
          <w:rFonts w:hint="eastAsia" w:ascii="宋体" w:hAnsi="宋体"/>
          <w:sz w:val="24"/>
          <w:szCs w:val="24"/>
          <w:highlight w:val="none"/>
        </w:rPr>
      </w:pPr>
      <w:r>
        <w:rPr>
          <w:rFonts w:hint="eastAsia" w:ascii="宋体" w:hAnsi="宋体"/>
          <w:sz w:val="24"/>
          <w:szCs w:val="24"/>
          <w:highlight w:val="none"/>
        </w:rPr>
        <w:t xml:space="preserve">     </w:t>
      </w:r>
    </w:p>
    <w:p w14:paraId="0950593B">
      <w:pPr>
        <w:pStyle w:val="17"/>
        <w:spacing w:line="360" w:lineRule="auto"/>
        <w:ind w:left="63" w:right="63"/>
        <w:jc w:val="left"/>
        <w:rPr>
          <w:rFonts w:hint="eastAsia" w:ascii="宋体" w:hAnsi="宋体" w:cs="Arial"/>
          <w:kern w:val="0"/>
          <w:sz w:val="24"/>
          <w:szCs w:val="24"/>
          <w:highlight w:val="none"/>
        </w:rPr>
      </w:pPr>
      <w:r>
        <w:rPr>
          <w:rFonts w:hint="eastAsia" w:ascii="宋体" w:hAnsi="宋体"/>
          <w:spacing w:val="4"/>
          <w:szCs w:val="24"/>
          <w:highlight w:val="none"/>
        </w:rPr>
        <w:t xml:space="preserve">   </w:t>
      </w:r>
      <w:r>
        <w:rPr>
          <w:rFonts w:hint="eastAsia" w:ascii="宋体" w:hAnsi="宋体"/>
          <w:spacing w:val="4"/>
          <w:sz w:val="24"/>
          <w:szCs w:val="24"/>
          <w:highlight w:val="none"/>
        </w:rPr>
        <w:t xml:space="preserve"> </w:t>
      </w:r>
      <w:r>
        <w:rPr>
          <w:rFonts w:hint="eastAsia" w:ascii="宋体" w:hAnsi="宋体"/>
          <w:spacing w:val="4"/>
          <w:sz w:val="24"/>
          <w:szCs w:val="24"/>
          <w:highlight w:val="none"/>
          <w:u w:val="single"/>
        </w:rPr>
        <w:t>（供应商名称）郑重声明，我公司具有良好的商业信誉和健全的财务会计制度，具有履行合同所必需的设备和专业技术能力，有依法缴纳税收和社会保障资金的良好记录，在合同签订前后随时愿意提供相关证明材料，符合《政府采购法》规定的供应商资格条件。我方对以上声明负全部法律责任。</w:t>
      </w:r>
    </w:p>
    <w:p w14:paraId="6110411C">
      <w:pPr>
        <w:pStyle w:val="17"/>
        <w:spacing w:line="360" w:lineRule="auto"/>
        <w:ind w:left="63" w:right="63"/>
        <w:jc w:val="left"/>
        <w:rPr>
          <w:rFonts w:hint="eastAsia"/>
          <w:sz w:val="24"/>
          <w:szCs w:val="24"/>
          <w:highlight w:val="none"/>
        </w:rPr>
      </w:pPr>
    </w:p>
    <w:p w14:paraId="65955D8E">
      <w:pPr>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特此声明！</w:t>
      </w:r>
    </w:p>
    <w:p w14:paraId="2BCB20EE">
      <w:pPr>
        <w:spacing w:line="360" w:lineRule="auto"/>
        <w:ind w:firstLine="480" w:firstLineChars="200"/>
        <w:jc w:val="left"/>
        <w:rPr>
          <w:rFonts w:ascii="宋体" w:hAnsi="宋体"/>
          <w:sz w:val="24"/>
          <w:highlight w:val="none"/>
        </w:rPr>
      </w:pPr>
    </w:p>
    <w:p w14:paraId="42A1D055">
      <w:pPr>
        <w:spacing w:line="480" w:lineRule="auto"/>
        <w:jc w:val="left"/>
        <w:rPr>
          <w:rFonts w:hint="eastAsia" w:ascii="宋体" w:hAnsi="宋体"/>
          <w:sz w:val="24"/>
          <w:highlight w:val="none"/>
        </w:rPr>
      </w:pPr>
    </w:p>
    <w:p w14:paraId="65B05C31">
      <w:pPr>
        <w:spacing w:line="480" w:lineRule="auto"/>
        <w:ind w:firstLine="240" w:firstLineChars="100"/>
        <w:jc w:val="left"/>
        <w:rPr>
          <w:rFonts w:ascii="宋体" w:hAnsi="宋体"/>
          <w:sz w:val="24"/>
          <w:szCs w:val="24"/>
          <w:highlight w:val="none"/>
          <w:u w:val="single"/>
        </w:rPr>
      </w:pPr>
      <w:r>
        <w:rPr>
          <w:rFonts w:hint="eastAsia" w:ascii="宋体" w:hAnsi="宋体"/>
          <w:sz w:val="24"/>
          <w:szCs w:val="24"/>
          <w:highlight w:val="none"/>
        </w:rPr>
        <w:t>供应商（公章）</w:t>
      </w:r>
      <w:r>
        <w:rPr>
          <w:rFonts w:ascii="宋体" w:hAnsi="宋体"/>
          <w:sz w:val="24"/>
          <w:szCs w:val="24"/>
          <w:highlight w:val="none"/>
        </w:rPr>
        <w:t>：</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14:paraId="7512FC8B">
      <w:pPr>
        <w:spacing w:line="480" w:lineRule="auto"/>
        <w:ind w:firstLine="240" w:firstLineChars="100"/>
        <w:jc w:val="left"/>
        <w:rPr>
          <w:rFonts w:ascii="宋体" w:hAnsi="宋体"/>
          <w:sz w:val="24"/>
          <w:szCs w:val="24"/>
          <w:highlight w:val="none"/>
          <w:u w:val="single"/>
        </w:rPr>
      </w:pPr>
      <w:r>
        <w:rPr>
          <w:rFonts w:hint="eastAsia" w:ascii="宋体" w:hAnsi="宋体"/>
          <w:sz w:val="24"/>
          <w:szCs w:val="24"/>
          <w:highlight w:val="none"/>
        </w:rPr>
        <w:t>法定代表人或被授权人（签字或盖章）：</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p>
    <w:p w14:paraId="20BF48D6">
      <w:pPr>
        <w:spacing w:line="360" w:lineRule="auto"/>
        <w:rPr>
          <w:rFonts w:hint="eastAsia" w:ascii="仿宋" w:hAnsi="仿宋" w:eastAsia="仿宋" w:cs="仿宋"/>
          <w:sz w:val="24"/>
          <w:szCs w:val="24"/>
          <w:highlight w:val="none"/>
        </w:rPr>
      </w:pPr>
      <w:r>
        <w:rPr>
          <w:rFonts w:hint="eastAsia" w:hAnsi="宋体"/>
          <w:sz w:val="24"/>
          <w:szCs w:val="24"/>
          <w:highlight w:val="none"/>
        </w:rPr>
        <w:t xml:space="preserve">  日  </w:t>
      </w:r>
      <w:r>
        <w:rPr>
          <w:rFonts w:hAnsi="宋体"/>
          <w:sz w:val="24"/>
          <w:szCs w:val="24"/>
          <w:highlight w:val="none"/>
        </w:rPr>
        <w:t xml:space="preserve"> </w:t>
      </w:r>
      <w:r>
        <w:rPr>
          <w:rFonts w:hint="eastAsia" w:hAnsi="宋体"/>
          <w:sz w:val="24"/>
          <w:szCs w:val="24"/>
          <w:highlight w:val="none"/>
        </w:rPr>
        <w:t>期</w:t>
      </w:r>
      <w:r>
        <w:rPr>
          <w:rFonts w:hAnsi="宋体"/>
          <w:sz w:val="24"/>
          <w:szCs w:val="24"/>
          <w:highlight w:val="none"/>
        </w:rPr>
        <w:t>：</w:t>
      </w:r>
      <w:r>
        <w:rPr>
          <w:rFonts w:hint="eastAsia" w:hAnsi="宋体"/>
          <w:sz w:val="24"/>
          <w:szCs w:val="24"/>
          <w:highlight w:val="none"/>
        </w:rPr>
        <w:t xml:space="preserve">      年    月    日</w:t>
      </w:r>
    </w:p>
    <w:p w14:paraId="7BC3875D">
      <w:pPr>
        <w:spacing w:line="480" w:lineRule="auto"/>
        <w:ind w:firstLine="480" w:firstLineChars="200"/>
        <w:jc w:val="left"/>
        <w:rPr>
          <w:rFonts w:ascii="宋体" w:hAnsi="宋体"/>
          <w:sz w:val="24"/>
          <w:highlight w:val="none"/>
        </w:rPr>
      </w:pPr>
    </w:p>
    <w:p w14:paraId="6E158F4A">
      <w:pPr>
        <w:spacing w:line="480" w:lineRule="auto"/>
        <w:ind w:firstLine="480" w:firstLineChars="200"/>
        <w:jc w:val="left"/>
        <w:rPr>
          <w:rFonts w:ascii="宋体" w:hAnsi="宋体"/>
          <w:sz w:val="24"/>
          <w:highlight w:val="none"/>
        </w:rPr>
      </w:pPr>
      <w:r>
        <w:rPr>
          <w:rFonts w:ascii="宋体" w:hAnsi="宋体"/>
          <w:sz w:val="24"/>
          <w:highlight w:val="none"/>
        </w:rPr>
        <w:t xml:space="preserve"> </w:t>
      </w:r>
    </w:p>
    <w:p w14:paraId="5A4D8FAC">
      <w:pPr>
        <w:tabs>
          <w:tab w:val="left" w:pos="2040"/>
        </w:tabs>
        <w:spacing w:line="360" w:lineRule="auto"/>
        <w:jc w:val="center"/>
        <w:rPr>
          <w:rFonts w:hint="eastAsia" w:ascii="仿宋" w:hAnsi="仿宋" w:eastAsia="仿宋" w:cs="仿宋"/>
          <w:b/>
          <w:sz w:val="32"/>
          <w:szCs w:val="24"/>
          <w:highlight w:val="none"/>
        </w:rPr>
      </w:pPr>
      <w:r>
        <w:rPr>
          <w:rFonts w:ascii="仿宋" w:hAnsi="仿宋" w:eastAsia="仿宋"/>
          <w:sz w:val="24"/>
          <w:highlight w:val="none"/>
        </w:rPr>
        <w:br w:type="page"/>
      </w:r>
      <w:r>
        <w:rPr>
          <w:rFonts w:hint="eastAsia" w:ascii="仿宋" w:hAnsi="仿宋" w:eastAsia="仿宋" w:cs="仿宋"/>
          <w:b/>
          <w:sz w:val="32"/>
          <w:highlight w:val="none"/>
          <w:lang w:val="en-US" w:eastAsia="zh-CN"/>
        </w:rPr>
        <w:t>3、</w:t>
      </w:r>
      <w:r>
        <w:rPr>
          <w:rFonts w:hint="eastAsia" w:ascii="仿宋" w:hAnsi="仿宋" w:eastAsia="仿宋" w:cs="仿宋"/>
          <w:b/>
          <w:sz w:val="32"/>
          <w:highlight w:val="none"/>
        </w:rPr>
        <w:t>法定代表人授权委托书（格式）</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17"/>
        <w:gridCol w:w="600"/>
        <w:gridCol w:w="555"/>
        <w:gridCol w:w="1501"/>
        <w:gridCol w:w="133"/>
        <w:gridCol w:w="1556"/>
        <w:gridCol w:w="2811"/>
      </w:tblGrid>
      <w:tr w14:paraId="2FBA9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gridSpan w:val="8"/>
            <w:noWrap w:val="0"/>
            <w:vAlign w:val="top"/>
          </w:tcPr>
          <w:p w14:paraId="6884AAE7">
            <w:pPr>
              <w:tabs>
                <w:tab w:val="right" w:leader="dot" w:pos="9022"/>
              </w:tabs>
              <w:autoSpaceDE w:val="0"/>
              <w:autoSpaceDN w:val="0"/>
              <w:adjustRightInd w:val="0"/>
              <w:spacing w:line="500" w:lineRule="exact"/>
              <w:jc w:val="left"/>
              <w:rPr>
                <w:rFonts w:hint="eastAsia" w:ascii="宋体" w:hAnsi="宋体" w:eastAsia="宋体"/>
                <w:bCs/>
                <w:caps/>
                <w:szCs w:val="24"/>
                <w:highlight w:val="none"/>
                <w:lang w:eastAsia="zh-CN"/>
              </w:rPr>
            </w:pPr>
            <w:bookmarkStart w:id="26" w:name="_Toc330475662"/>
            <w:bookmarkStart w:id="27" w:name="_Toc359332433"/>
            <w:r>
              <w:rPr>
                <w:rFonts w:ascii="宋体" w:hAnsi="宋体"/>
                <w:bCs/>
                <w:caps/>
                <w:szCs w:val="24"/>
                <w:highlight w:val="none"/>
              </w:rPr>
              <w:t>致：</w:t>
            </w:r>
            <w:r>
              <w:rPr>
                <w:rFonts w:hint="eastAsia" w:ascii="宋体" w:hAnsi="宋体"/>
                <w:bCs/>
                <w:caps/>
                <w:szCs w:val="24"/>
                <w:highlight w:val="none"/>
                <w:lang w:eastAsia="zh-CN"/>
              </w:rPr>
              <w:t>陕西广联达招标有限公司</w:t>
            </w:r>
          </w:p>
        </w:tc>
      </w:tr>
      <w:tr w14:paraId="0AA6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restart"/>
            <w:noWrap w:val="0"/>
            <w:vAlign w:val="center"/>
          </w:tcPr>
          <w:p w14:paraId="35563938">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被授</w:t>
            </w:r>
          </w:p>
          <w:p w14:paraId="0852CCB2">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权项</w:t>
            </w:r>
          </w:p>
          <w:p w14:paraId="06965F35">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目与</w:t>
            </w:r>
          </w:p>
          <w:p w14:paraId="4D011B4F">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内容</w:t>
            </w:r>
          </w:p>
        </w:tc>
        <w:tc>
          <w:tcPr>
            <w:tcW w:w="1317" w:type="dxa"/>
            <w:gridSpan w:val="2"/>
            <w:noWrap w:val="0"/>
            <w:vAlign w:val="top"/>
          </w:tcPr>
          <w:p w14:paraId="3FC0AAE2">
            <w:pPr>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项目名称</w:t>
            </w:r>
          </w:p>
        </w:tc>
        <w:tc>
          <w:tcPr>
            <w:tcW w:w="6556" w:type="dxa"/>
            <w:gridSpan w:val="5"/>
            <w:noWrap w:val="0"/>
            <w:vAlign w:val="top"/>
          </w:tcPr>
          <w:p w14:paraId="2BEDC800">
            <w:pPr>
              <w:tabs>
                <w:tab w:val="right" w:leader="dot" w:pos="9022"/>
              </w:tabs>
              <w:autoSpaceDE w:val="0"/>
              <w:autoSpaceDN w:val="0"/>
              <w:adjustRightInd w:val="0"/>
              <w:spacing w:line="500" w:lineRule="exact"/>
              <w:jc w:val="left"/>
              <w:rPr>
                <w:rFonts w:ascii="宋体" w:hAnsi="宋体"/>
                <w:bCs/>
                <w:caps/>
                <w:szCs w:val="24"/>
                <w:highlight w:val="none"/>
              </w:rPr>
            </w:pPr>
          </w:p>
        </w:tc>
      </w:tr>
      <w:tr w14:paraId="6550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noWrap w:val="0"/>
            <w:vAlign w:val="top"/>
          </w:tcPr>
          <w:p w14:paraId="4EDD5DA1">
            <w:pPr>
              <w:tabs>
                <w:tab w:val="right" w:leader="dot" w:pos="9022"/>
              </w:tabs>
              <w:autoSpaceDE w:val="0"/>
              <w:autoSpaceDN w:val="0"/>
              <w:adjustRightInd w:val="0"/>
              <w:spacing w:line="500" w:lineRule="exact"/>
              <w:jc w:val="left"/>
              <w:rPr>
                <w:rFonts w:ascii="宋体" w:hAnsi="宋体"/>
                <w:bCs/>
                <w:caps/>
                <w:szCs w:val="24"/>
                <w:highlight w:val="none"/>
              </w:rPr>
            </w:pPr>
          </w:p>
        </w:tc>
        <w:tc>
          <w:tcPr>
            <w:tcW w:w="1317" w:type="dxa"/>
            <w:gridSpan w:val="2"/>
            <w:noWrap w:val="0"/>
            <w:vAlign w:val="top"/>
          </w:tcPr>
          <w:p w14:paraId="71F7FD17">
            <w:pPr>
              <w:tabs>
                <w:tab w:val="right" w:leader="dot" w:pos="9022"/>
              </w:tabs>
              <w:autoSpaceDE w:val="0"/>
              <w:autoSpaceDN w:val="0"/>
              <w:adjustRightInd w:val="0"/>
              <w:spacing w:line="500" w:lineRule="exact"/>
              <w:jc w:val="left"/>
              <w:rPr>
                <w:rFonts w:hint="eastAsia" w:ascii="宋体" w:hAnsi="宋体"/>
                <w:bCs/>
                <w:caps/>
                <w:szCs w:val="24"/>
                <w:highlight w:val="none"/>
              </w:rPr>
            </w:pPr>
            <w:r>
              <w:rPr>
                <w:rFonts w:hint="eastAsia" w:ascii="宋体" w:hAnsi="宋体"/>
                <w:bCs/>
                <w:caps/>
                <w:szCs w:val="24"/>
                <w:highlight w:val="none"/>
              </w:rPr>
              <w:t>项目编号</w:t>
            </w:r>
          </w:p>
        </w:tc>
        <w:tc>
          <w:tcPr>
            <w:tcW w:w="6556" w:type="dxa"/>
            <w:gridSpan w:val="5"/>
            <w:noWrap w:val="0"/>
            <w:vAlign w:val="top"/>
          </w:tcPr>
          <w:p w14:paraId="1549B26A">
            <w:pPr>
              <w:tabs>
                <w:tab w:val="right" w:leader="dot" w:pos="9022"/>
              </w:tabs>
              <w:autoSpaceDE w:val="0"/>
              <w:autoSpaceDN w:val="0"/>
              <w:adjustRightInd w:val="0"/>
              <w:spacing w:line="500" w:lineRule="exact"/>
              <w:ind w:firstLine="1050" w:firstLineChars="500"/>
              <w:jc w:val="left"/>
              <w:rPr>
                <w:rFonts w:ascii="宋体" w:hAnsi="宋体"/>
                <w:bCs/>
                <w:caps/>
                <w:szCs w:val="24"/>
                <w:highlight w:val="none"/>
              </w:rPr>
            </w:pPr>
          </w:p>
        </w:tc>
      </w:tr>
      <w:tr w14:paraId="1187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noWrap w:val="0"/>
            <w:vAlign w:val="top"/>
          </w:tcPr>
          <w:p w14:paraId="3B8FB57A">
            <w:pPr>
              <w:tabs>
                <w:tab w:val="right" w:leader="dot" w:pos="9022"/>
              </w:tabs>
              <w:autoSpaceDE w:val="0"/>
              <w:autoSpaceDN w:val="0"/>
              <w:adjustRightInd w:val="0"/>
              <w:spacing w:line="500" w:lineRule="exact"/>
              <w:jc w:val="left"/>
              <w:rPr>
                <w:rFonts w:ascii="宋体" w:hAnsi="宋体"/>
                <w:bCs/>
                <w:caps/>
                <w:szCs w:val="24"/>
                <w:highlight w:val="none"/>
              </w:rPr>
            </w:pPr>
          </w:p>
        </w:tc>
        <w:tc>
          <w:tcPr>
            <w:tcW w:w="1317" w:type="dxa"/>
            <w:gridSpan w:val="2"/>
            <w:noWrap w:val="0"/>
            <w:vAlign w:val="center"/>
          </w:tcPr>
          <w:p w14:paraId="51B28367">
            <w:pPr>
              <w:tabs>
                <w:tab w:val="right" w:leader="dot" w:pos="9022"/>
              </w:tabs>
              <w:autoSpaceDE w:val="0"/>
              <w:autoSpaceDN w:val="0"/>
              <w:adjustRightInd w:val="0"/>
              <w:spacing w:line="500" w:lineRule="exact"/>
              <w:rPr>
                <w:rFonts w:ascii="宋体" w:hAnsi="宋体"/>
                <w:bCs/>
                <w:caps/>
                <w:szCs w:val="24"/>
                <w:highlight w:val="none"/>
              </w:rPr>
            </w:pPr>
            <w:r>
              <w:rPr>
                <w:rFonts w:ascii="宋体" w:hAnsi="宋体"/>
                <w:bCs/>
                <w:caps/>
                <w:szCs w:val="24"/>
                <w:highlight w:val="none"/>
              </w:rPr>
              <w:t>授权范围</w:t>
            </w:r>
          </w:p>
        </w:tc>
        <w:tc>
          <w:tcPr>
            <w:tcW w:w="6556" w:type="dxa"/>
            <w:gridSpan w:val="5"/>
            <w:noWrap w:val="0"/>
            <w:vAlign w:val="top"/>
          </w:tcPr>
          <w:p w14:paraId="451D414F">
            <w:pPr>
              <w:tabs>
                <w:tab w:val="right" w:leader="dot" w:pos="9022"/>
              </w:tabs>
              <w:autoSpaceDE w:val="0"/>
              <w:autoSpaceDN w:val="0"/>
              <w:adjustRightInd w:val="0"/>
              <w:spacing w:line="400" w:lineRule="exact"/>
              <w:jc w:val="left"/>
              <w:rPr>
                <w:rFonts w:ascii="宋体" w:hAnsi="宋体"/>
                <w:bCs/>
                <w:caps/>
                <w:szCs w:val="24"/>
                <w:highlight w:val="none"/>
              </w:rPr>
            </w:pPr>
            <w:r>
              <w:rPr>
                <w:rFonts w:ascii="宋体" w:hAnsi="宋体"/>
                <w:bCs/>
                <w:caps/>
                <w:szCs w:val="24"/>
                <w:highlight w:val="none"/>
              </w:rPr>
              <w:t>全权办理本次招标采购项目的</w:t>
            </w:r>
            <w:r>
              <w:rPr>
                <w:rFonts w:hint="eastAsia" w:ascii="宋体" w:hAnsi="宋体"/>
                <w:bCs/>
                <w:caps/>
                <w:szCs w:val="24"/>
                <w:highlight w:val="none"/>
              </w:rPr>
              <w:t>投标</w:t>
            </w:r>
            <w:r>
              <w:rPr>
                <w:rFonts w:ascii="宋体" w:hAnsi="宋体"/>
                <w:bCs/>
                <w:caps/>
                <w:szCs w:val="24"/>
                <w:highlight w:val="none"/>
              </w:rPr>
              <w:t>、联系、洽谈、签约、执行等具体事务，签署全部有关文件、文书、协议及合同。</w:t>
            </w:r>
          </w:p>
        </w:tc>
      </w:tr>
      <w:tr w14:paraId="6B6D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noWrap w:val="0"/>
            <w:vAlign w:val="top"/>
          </w:tcPr>
          <w:p w14:paraId="428C7980">
            <w:pPr>
              <w:tabs>
                <w:tab w:val="right" w:leader="dot" w:pos="9022"/>
              </w:tabs>
              <w:autoSpaceDE w:val="0"/>
              <w:autoSpaceDN w:val="0"/>
              <w:adjustRightInd w:val="0"/>
              <w:spacing w:line="500" w:lineRule="exact"/>
              <w:jc w:val="left"/>
              <w:rPr>
                <w:rFonts w:ascii="宋体" w:hAnsi="宋体"/>
                <w:bCs/>
                <w:caps/>
                <w:szCs w:val="24"/>
                <w:highlight w:val="none"/>
              </w:rPr>
            </w:pPr>
          </w:p>
        </w:tc>
        <w:tc>
          <w:tcPr>
            <w:tcW w:w="1317" w:type="dxa"/>
            <w:gridSpan w:val="2"/>
            <w:noWrap w:val="0"/>
            <w:vAlign w:val="top"/>
          </w:tcPr>
          <w:p w14:paraId="1AFA89FB">
            <w:pPr>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法律责任</w:t>
            </w:r>
          </w:p>
        </w:tc>
        <w:tc>
          <w:tcPr>
            <w:tcW w:w="6556" w:type="dxa"/>
            <w:gridSpan w:val="5"/>
            <w:noWrap w:val="0"/>
            <w:vAlign w:val="top"/>
          </w:tcPr>
          <w:p w14:paraId="5D4B6BC5">
            <w:pPr>
              <w:tabs>
                <w:tab w:val="right" w:leader="dot" w:pos="9022"/>
              </w:tabs>
              <w:autoSpaceDE w:val="0"/>
              <w:autoSpaceDN w:val="0"/>
              <w:adjustRightInd w:val="0"/>
              <w:spacing w:line="400" w:lineRule="exact"/>
              <w:jc w:val="left"/>
              <w:rPr>
                <w:rFonts w:ascii="宋体" w:hAnsi="宋体"/>
                <w:bCs/>
                <w:caps/>
                <w:szCs w:val="24"/>
                <w:highlight w:val="none"/>
              </w:rPr>
            </w:pPr>
            <w:r>
              <w:rPr>
                <w:rFonts w:ascii="宋体" w:hAnsi="宋体"/>
                <w:bCs/>
                <w:caps/>
                <w:szCs w:val="24"/>
                <w:highlight w:val="none"/>
              </w:rPr>
              <w:t>本公司对被授权人在本项目中的签名承担全部法律责任。</w:t>
            </w:r>
          </w:p>
        </w:tc>
      </w:tr>
      <w:tr w14:paraId="0C1D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noWrap w:val="0"/>
            <w:vAlign w:val="top"/>
          </w:tcPr>
          <w:p w14:paraId="026E298A">
            <w:pPr>
              <w:tabs>
                <w:tab w:val="right" w:leader="dot" w:pos="9022"/>
              </w:tabs>
              <w:autoSpaceDE w:val="0"/>
              <w:autoSpaceDN w:val="0"/>
              <w:adjustRightInd w:val="0"/>
              <w:spacing w:line="500" w:lineRule="exact"/>
              <w:jc w:val="left"/>
              <w:rPr>
                <w:rFonts w:ascii="宋体" w:hAnsi="宋体"/>
                <w:bCs/>
                <w:caps/>
                <w:szCs w:val="24"/>
                <w:highlight w:val="none"/>
              </w:rPr>
            </w:pPr>
          </w:p>
        </w:tc>
        <w:tc>
          <w:tcPr>
            <w:tcW w:w="1317" w:type="dxa"/>
            <w:gridSpan w:val="2"/>
            <w:noWrap w:val="0"/>
            <w:vAlign w:val="center"/>
          </w:tcPr>
          <w:p w14:paraId="5083145E">
            <w:pPr>
              <w:tabs>
                <w:tab w:val="right" w:leader="dot" w:pos="9022"/>
              </w:tabs>
              <w:autoSpaceDE w:val="0"/>
              <w:autoSpaceDN w:val="0"/>
              <w:adjustRightInd w:val="0"/>
              <w:spacing w:line="500" w:lineRule="exact"/>
              <w:rPr>
                <w:rFonts w:ascii="宋体" w:hAnsi="宋体"/>
                <w:bCs/>
                <w:caps/>
                <w:szCs w:val="24"/>
                <w:highlight w:val="none"/>
              </w:rPr>
            </w:pPr>
            <w:r>
              <w:rPr>
                <w:rFonts w:ascii="宋体" w:hAnsi="宋体"/>
                <w:bCs/>
                <w:caps/>
                <w:szCs w:val="24"/>
                <w:highlight w:val="none"/>
              </w:rPr>
              <w:t>授权期限</w:t>
            </w:r>
          </w:p>
        </w:tc>
        <w:tc>
          <w:tcPr>
            <w:tcW w:w="6556" w:type="dxa"/>
            <w:gridSpan w:val="5"/>
            <w:noWrap w:val="0"/>
            <w:vAlign w:val="center"/>
          </w:tcPr>
          <w:p w14:paraId="759906E0">
            <w:pPr>
              <w:tabs>
                <w:tab w:val="right" w:leader="dot" w:pos="9022"/>
              </w:tabs>
              <w:autoSpaceDE w:val="0"/>
              <w:autoSpaceDN w:val="0"/>
              <w:adjustRightInd w:val="0"/>
              <w:spacing w:line="400" w:lineRule="exact"/>
              <w:rPr>
                <w:rFonts w:ascii="宋体" w:hAnsi="宋体"/>
                <w:bCs/>
                <w:caps/>
                <w:szCs w:val="24"/>
                <w:highlight w:val="none"/>
              </w:rPr>
            </w:pPr>
            <w:r>
              <w:rPr>
                <w:rFonts w:ascii="宋体" w:hAnsi="宋体"/>
                <w:szCs w:val="24"/>
                <w:highlight w:val="none"/>
              </w:rPr>
              <w:t xml:space="preserve">     </w:t>
            </w:r>
            <w:r>
              <w:rPr>
                <w:rFonts w:hint="eastAsia" w:ascii="宋体" w:hAnsi="宋体"/>
                <w:szCs w:val="24"/>
                <w:highlight w:val="none"/>
              </w:rPr>
              <w:t xml:space="preserve">   </w:t>
            </w:r>
            <w:r>
              <w:rPr>
                <w:rFonts w:ascii="宋体" w:hAnsi="宋体"/>
                <w:szCs w:val="24"/>
                <w:highlight w:val="none"/>
              </w:rPr>
              <w:t>年   月   日至      年    月    日。</w:t>
            </w:r>
          </w:p>
        </w:tc>
      </w:tr>
      <w:tr w14:paraId="6BC9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restart"/>
            <w:noWrap w:val="0"/>
            <w:vAlign w:val="center"/>
          </w:tcPr>
          <w:p w14:paraId="1F93B374">
            <w:pPr>
              <w:tabs>
                <w:tab w:val="right" w:leader="dot" w:pos="9022"/>
              </w:tabs>
              <w:autoSpaceDE w:val="0"/>
              <w:autoSpaceDN w:val="0"/>
              <w:adjustRightInd w:val="0"/>
              <w:spacing w:line="500" w:lineRule="exact"/>
              <w:jc w:val="center"/>
              <w:rPr>
                <w:rFonts w:ascii="宋体" w:hAnsi="宋体"/>
                <w:bCs/>
                <w:caps/>
                <w:szCs w:val="24"/>
                <w:highlight w:val="none"/>
              </w:rPr>
            </w:pPr>
            <w:r>
              <w:rPr>
                <w:rFonts w:hint="eastAsia" w:ascii="宋体" w:hAnsi="宋体"/>
                <w:bCs/>
                <w:caps/>
                <w:szCs w:val="24"/>
                <w:highlight w:val="none"/>
              </w:rPr>
              <w:t>企业信息</w:t>
            </w:r>
          </w:p>
        </w:tc>
        <w:tc>
          <w:tcPr>
            <w:tcW w:w="1872" w:type="dxa"/>
            <w:gridSpan w:val="3"/>
            <w:noWrap w:val="0"/>
            <w:vAlign w:val="top"/>
          </w:tcPr>
          <w:p w14:paraId="187E3E7E">
            <w:pPr>
              <w:tabs>
                <w:tab w:val="right" w:leader="dot" w:pos="9022"/>
              </w:tabs>
              <w:autoSpaceDE w:val="0"/>
              <w:autoSpaceDN w:val="0"/>
              <w:adjustRightInd w:val="0"/>
              <w:spacing w:line="400" w:lineRule="exact"/>
              <w:rPr>
                <w:rFonts w:ascii="宋体" w:hAnsi="宋体"/>
                <w:bCs/>
                <w:caps/>
                <w:szCs w:val="24"/>
                <w:highlight w:val="none"/>
              </w:rPr>
            </w:pPr>
            <w:r>
              <w:rPr>
                <w:rFonts w:ascii="宋体" w:hAnsi="宋体"/>
                <w:bCs/>
                <w:caps/>
                <w:szCs w:val="24"/>
                <w:highlight w:val="none"/>
              </w:rPr>
              <w:t xml:space="preserve">企 业 名 称 </w:t>
            </w:r>
          </w:p>
        </w:tc>
        <w:tc>
          <w:tcPr>
            <w:tcW w:w="6001" w:type="dxa"/>
            <w:gridSpan w:val="4"/>
            <w:noWrap w:val="0"/>
            <w:vAlign w:val="center"/>
          </w:tcPr>
          <w:p w14:paraId="2322580B">
            <w:pPr>
              <w:tabs>
                <w:tab w:val="right" w:leader="dot" w:pos="9022"/>
              </w:tabs>
              <w:autoSpaceDE w:val="0"/>
              <w:autoSpaceDN w:val="0"/>
              <w:adjustRightInd w:val="0"/>
              <w:spacing w:line="400" w:lineRule="exact"/>
              <w:rPr>
                <w:rFonts w:ascii="宋体" w:hAnsi="宋体"/>
                <w:bCs/>
                <w:caps/>
                <w:szCs w:val="24"/>
                <w:highlight w:val="none"/>
              </w:rPr>
            </w:pPr>
          </w:p>
        </w:tc>
      </w:tr>
      <w:tr w14:paraId="2ABF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noWrap w:val="0"/>
            <w:vAlign w:val="top"/>
          </w:tcPr>
          <w:p w14:paraId="6333F512">
            <w:pPr>
              <w:tabs>
                <w:tab w:val="right" w:leader="dot" w:pos="9022"/>
              </w:tabs>
              <w:autoSpaceDE w:val="0"/>
              <w:autoSpaceDN w:val="0"/>
              <w:adjustRightInd w:val="0"/>
              <w:spacing w:line="500" w:lineRule="exact"/>
              <w:jc w:val="left"/>
              <w:rPr>
                <w:rFonts w:ascii="宋体" w:hAnsi="宋体"/>
                <w:bCs/>
                <w:caps/>
                <w:szCs w:val="24"/>
                <w:highlight w:val="none"/>
              </w:rPr>
            </w:pPr>
          </w:p>
        </w:tc>
        <w:tc>
          <w:tcPr>
            <w:tcW w:w="1872" w:type="dxa"/>
            <w:gridSpan w:val="3"/>
            <w:noWrap w:val="0"/>
            <w:vAlign w:val="top"/>
          </w:tcPr>
          <w:p w14:paraId="3AC5E8EB">
            <w:pPr>
              <w:tabs>
                <w:tab w:val="right" w:leader="dot" w:pos="9022"/>
              </w:tabs>
              <w:autoSpaceDE w:val="0"/>
              <w:autoSpaceDN w:val="0"/>
              <w:adjustRightInd w:val="0"/>
              <w:spacing w:line="400" w:lineRule="exact"/>
              <w:rPr>
                <w:rFonts w:ascii="宋体" w:hAnsi="宋体"/>
                <w:bCs/>
                <w:caps/>
                <w:szCs w:val="24"/>
                <w:highlight w:val="none"/>
              </w:rPr>
            </w:pPr>
            <w:r>
              <w:rPr>
                <w:rFonts w:ascii="宋体" w:hAnsi="宋体"/>
                <w:bCs/>
                <w:caps/>
                <w:szCs w:val="24"/>
                <w:highlight w:val="none"/>
              </w:rPr>
              <w:t>法 定 地 址</w:t>
            </w:r>
          </w:p>
        </w:tc>
        <w:tc>
          <w:tcPr>
            <w:tcW w:w="6001" w:type="dxa"/>
            <w:gridSpan w:val="4"/>
            <w:noWrap w:val="0"/>
            <w:vAlign w:val="center"/>
          </w:tcPr>
          <w:p w14:paraId="48D7BF53">
            <w:pPr>
              <w:tabs>
                <w:tab w:val="right" w:leader="dot" w:pos="9022"/>
              </w:tabs>
              <w:autoSpaceDE w:val="0"/>
              <w:autoSpaceDN w:val="0"/>
              <w:adjustRightInd w:val="0"/>
              <w:spacing w:line="400" w:lineRule="exact"/>
              <w:rPr>
                <w:rFonts w:ascii="宋体" w:hAnsi="宋体"/>
                <w:bCs/>
                <w:caps/>
                <w:szCs w:val="24"/>
                <w:highlight w:val="none"/>
              </w:rPr>
            </w:pPr>
          </w:p>
        </w:tc>
      </w:tr>
      <w:tr w14:paraId="1660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noWrap w:val="0"/>
            <w:vAlign w:val="top"/>
          </w:tcPr>
          <w:p w14:paraId="3B6A526A">
            <w:pPr>
              <w:tabs>
                <w:tab w:val="right" w:leader="dot" w:pos="9022"/>
              </w:tabs>
              <w:autoSpaceDE w:val="0"/>
              <w:autoSpaceDN w:val="0"/>
              <w:adjustRightInd w:val="0"/>
              <w:spacing w:line="500" w:lineRule="exact"/>
              <w:jc w:val="left"/>
              <w:rPr>
                <w:rFonts w:ascii="宋体" w:hAnsi="宋体"/>
                <w:bCs/>
                <w:caps/>
                <w:szCs w:val="24"/>
                <w:highlight w:val="none"/>
              </w:rPr>
            </w:pPr>
          </w:p>
        </w:tc>
        <w:tc>
          <w:tcPr>
            <w:tcW w:w="1872" w:type="dxa"/>
            <w:gridSpan w:val="3"/>
            <w:noWrap w:val="0"/>
            <w:vAlign w:val="top"/>
          </w:tcPr>
          <w:p w14:paraId="2A813366">
            <w:pPr>
              <w:tabs>
                <w:tab w:val="right" w:leader="dot" w:pos="9022"/>
              </w:tabs>
              <w:autoSpaceDE w:val="0"/>
              <w:autoSpaceDN w:val="0"/>
              <w:adjustRightInd w:val="0"/>
              <w:spacing w:line="400" w:lineRule="exact"/>
              <w:rPr>
                <w:rFonts w:ascii="宋体" w:hAnsi="宋体"/>
                <w:bCs/>
                <w:caps/>
                <w:szCs w:val="24"/>
                <w:highlight w:val="none"/>
              </w:rPr>
            </w:pPr>
            <w:r>
              <w:rPr>
                <w:rFonts w:hint="eastAsia" w:ascii="宋体" w:hAnsi="宋体"/>
                <w:bCs/>
                <w:caps/>
                <w:szCs w:val="24"/>
                <w:highlight w:val="none"/>
              </w:rPr>
              <w:t>营业执照注册证号</w:t>
            </w:r>
          </w:p>
        </w:tc>
        <w:tc>
          <w:tcPr>
            <w:tcW w:w="6001" w:type="dxa"/>
            <w:gridSpan w:val="4"/>
            <w:noWrap w:val="0"/>
            <w:vAlign w:val="center"/>
          </w:tcPr>
          <w:p w14:paraId="14195D44">
            <w:pPr>
              <w:tabs>
                <w:tab w:val="right" w:leader="dot" w:pos="9022"/>
              </w:tabs>
              <w:autoSpaceDE w:val="0"/>
              <w:autoSpaceDN w:val="0"/>
              <w:adjustRightInd w:val="0"/>
              <w:spacing w:line="400" w:lineRule="exact"/>
              <w:rPr>
                <w:rFonts w:ascii="宋体" w:hAnsi="宋体"/>
                <w:bCs/>
                <w:caps/>
                <w:szCs w:val="24"/>
                <w:highlight w:val="none"/>
              </w:rPr>
            </w:pPr>
          </w:p>
        </w:tc>
      </w:tr>
      <w:tr w14:paraId="5768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restart"/>
            <w:noWrap w:val="0"/>
            <w:vAlign w:val="center"/>
          </w:tcPr>
          <w:p w14:paraId="14D3A788">
            <w:pPr>
              <w:tabs>
                <w:tab w:val="right" w:leader="dot" w:pos="9022"/>
              </w:tabs>
              <w:autoSpaceDE w:val="0"/>
              <w:autoSpaceDN w:val="0"/>
              <w:adjustRightInd w:val="0"/>
              <w:spacing w:line="500" w:lineRule="exact"/>
              <w:rPr>
                <w:rFonts w:ascii="宋体" w:hAnsi="宋体"/>
                <w:bCs/>
                <w:caps/>
                <w:szCs w:val="24"/>
                <w:highlight w:val="none"/>
              </w:rPr>
            </w:pPr>
            <w:r>
              <w:rPr>
                <w:rFonts w:ascii="宋体" w:hAnsi="宋体"/>
                <w:bCs/>
                <w:caps/>
                <w:szCs w:val="24"/>
                <w:highlight w:val="none"/>
              </w:rPr>
              <w:t>法定代表人</w:t>
            </w:r>
          </w:p>
        </w:tc>
        <w:tc>
          <w:tcPr>
            <w:tcW w:w="717" w:type="dxa"/>
            <w:noWrap w:val="0"/>
            <w:vAlign w:val="center"/>
          </w:tcPr>
          <w:p w14:paraId="36EC98CA">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姓名</w:t>
            </w:r>
          </w:p>
        </w:tc>
        <w:tc>
          <w:tcPr>
            <w:tcW w:w="2789" w:type="dxa"/>
            <w:gridSpan w:val="4"/>
            <w:noWrap w:val="0"/>
            <w:vAlign w:val="center"/>
          </w:tcPr>
          <w:p w14:paraId="14E13FA9">
            <w:pPr>
              <w:tabs>
                <w:tab w:val="right" w:leader="dot" w:pos="9022"/>
              </w:tabs>
              <w:autoSpaceDE w:val="0"/>
              <w:autoSpaceDN w:val="0"/>
              <w:adjustRightInd w:val="0"/>
              <w:spacing w:line="500" w:lineRule="exact"/>
              <w:jc w:val="center"/>
              <w:rPr>
                <w:rFonts w:ascii="宋体" w:hAnsi="宋体"/>
                <w:bCs/>
                <w:caps/>
                <w:szCs w:val="24"/>
                <w:highlight w:val="none"/>
              </w:rPr>
            </w:pPr>
          </w:p>
        </w:tc>
        <w:tc>
          <w:tcPr>
            <w:tcW w:w="1556" w:type="dxa"/>
            <w:noWrap w:val="0"/>
            <w:vAlign w:val="center"/>
          </w:tcPr>
          <w:p w14:paraId="2F9F0D7D">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性    别</w:t>
            </w:r>
          </w:p>
        </w:tc>
        <w:tc>
          <w:tcPr>
            <w:tcW w:w="2811" w:type="dxa"/>
            <w:noWrap w:val="0"/>
            <w:vAlign w:val="center"/>
          </w:tcPr>
          <w:p w14:paraId="232480AD">
            <w:pPr>
              <w:tabs>
                <w:tab w:val="right" w:leader="dot" w:pos="9022"/>
              </w:tabs>
              <w:autoSpaceDE w:val="0"/>
              <w:autoSpaceDN w:val="0"/>
              <w:adjustRightInd w:val="0"/>
              <w:spacing w:line="500" w:lineRule="exact"/>
              <w:jc w:val="center"/>
              <w:rPr>
                <w:rFonts w:ascii="宋体" w:hAnsi="宋体"/>
                <w:bCs/>
                <w:caps/>
                <w:szCs w:val="24"/>
                <w:highlight w:val="none"/>
              </w:rPr>
            </w:pPr>
          </w:p>
        </w:tc>
      </w:tr>
      <w:tr w14:paraId="7C1A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noWrap w:val="0"/>
            <w:vAlign w:val="center"/>
          </w:tcPr>
          <w:p w14:paraId="13AFE9B8">
            <w:pPr>
              <w:tabs>
                <w:tab w:val="right" w:leader="dot" w:pos="9022"/>
              </w:tabs>
              <w:autoSpaceDE w:val="0"/>
              <w:autoSpaceDN w:val="0"/>
              <w:adjustRightInd w:val="0"/>
              <w:spacing w:line="500" w:lineRule="exact"/>
              <w:jc w:val="left"/>
              <w:rPr>
                <w:rFonts w:ascii="宋体" w:hAnsi="宋体"/>
                <w:bCs/>
                <w:caps/>
                <w:szCs w:val="24"/>
                <w:highlight w:val="none"/>
              </w:rPr>
            </w:pPr>
          </w:p>
        </w:tc>
        <w:tc>
          <w:tcPr>
            <w:tcW w:w="717" w:type="dxa"/>
            <w:noWrap w:val="0"/>
            <w:vAlign w:val="center"/>
          </w:tcPr>
          <w:p w14:paraId="03C5B6DF">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职务</w:t>
            </w:r>
          </w:p>
        </w:tc>
        <w:tc>
          <w:tcPr>
            <w:tcW w:w="2789" w:type="dxa"/>
            <w:gridSpan w:val="4"/>
            <w:noWrap w:val="0"/>
            <w:vAlign w:val="center"/>
          </w:tcPr>
          <w:p w14:paraId="73764F23">
            <w:pPr>
              <w:tabs>
                <w:tab w:val="right" w:leader="dot" w:pos="9022"/>
              </w:tabs>
              <w:autoSpaceDE w:val="0"/>
              <w:autoSpaceDN w:val="0"/>
              <w:adjustRightInd w:val="0"/>
              <w:spacing w:line="400" w:lineRule="exact"/>
              <w:jc w:val="center"/>
              <w:rPr>
                <w:rFonts w:ascii="宋体" w:hAnsi="宋体"/>
                <w:bCs/>
                <w:caps/>
                <w:szCs w:val="24"/>
                <w:highlight w:val="none"/>
              </w:rPr>
            </w:pPr>
          </w:p>
        </w:tc>
        <w:tc>
          <w:tcPr>
            <w:tcW w:w="1556" w:type="dxa"/>
            <w:noWrap w:val="0"/>
            <w:vAlign w:val="center"/>
          </w:tcPr>
          <w:p w14:paraId="78C0CF78">
            <w:pPr>
              <w:tabs>
                <w:tab w:val="right" w:leader="dot" w:pos="9022"/>
              </w:tabs>
              <w:autoSpaceDE w:val="0"/>
              <w:autoSpaceDN w:val="0"/>
              <w:adjustRightInd w:val="0"/>
              <w:spacing w:line="400" w:lineRule="exact"/>
              <w:jc w:val="center"/>
              <w:rPr>
                <w:rFonts w:ascii="宋体" w:hAnsi="宋体"/>
                <w:bCs/>
                <w:caps/>
                <w:szCs w:val="24"/>
                <w:highlight w:val="none"/>
              </w:rPr>
            </w:pPr>
            <w:r>
              <w:rPr>
                <w:rFonts w:ascii="宋体" w:hAnsi="宋体"/>
                <w:bCs/>
                <w:caps/>
                <w:szCs w:val="24"/>
                <w:highlight w:val="none"/>
              </w:rPr>
              <w:t>手机号码</w:t>
            </w:r>
          </w:p>
        </w:tc>
        <w:tc>
          <w:tcPr>
            <w:tcW w:w="2811" w:type="dxa"/>
            <w:noWrap w:val="0"/>
            <w:vAlign w:val="center"/>
          </w:tcPr>
          <w:p w14:paraId="21254701">
            <w:pPr>
              <w:tabs>
                <w:tab w:val="right" w:leader="dot" w:pos="9022"/>
              </w:tabs>
              <w:autoSpaceDE w:val="0"/>
              <w:autoSpaceDN w:val="0"/>
              <w:adjustRightInd w:val="0"/>
              <w:spacing w:line="400" w:lineRule="exact"/>
              <w:rPr>
                <w:rFonts w:ascii="宋体" w:hAnsi="宋体"/>
                <w:bCs/>
                <w:caps/>
                <w:szCs w:val="24"/>
                <w:highlight w:val="none"/>
              </w:rPr>
            </w:pPr>
          </w:p>
        </w:tc>
      </w:tr>
      <w:tr w14:paraId="365B2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restart"/>
            <w:noWrap w:val="0"/>
            <w:vAlign w:val="center"/>
          </w:tcPr>
          <w:p w14:paraId="67826480">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被授权人</w:t>
            </w:r>
          </w:p>
        </w:tc>
        <w:tc>
          <w:tcPr>
            <w:tcW w:w="717" w:type="dxa"/>
            <w:noWrap w:val="0"/>
            <w:vAlign w:val="center"/>
          </w:tcPr>
          <w:p w14:paraId="2E9F776B">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姓名</w:t>
            </w:r>
          </w:p>
        </w:tc>
        <w:tc>
          <w:tcPr>
            <w:tcW w:w="2789" w:type="dxa"/>
            <w:gridSpan w:val="4"/>
            <w:noWrap w:val="0"/>
            <w:vAlign w:val="center"/>
          </w:tcPr>
          <w:p w14:paraId="19AE3EA4">
            <w:pPr>
              <w:tabs>
                <w:tab w:val="right" w:leader="dot" w:pos="9022"/>
              </w:tabs>
              <w:autoSpaceDE w:val="0"/>
              <w:autoSpaceDN w:val="0"/>
              <w:adjustRightInd w:val="0"/>
              <w:spacing w:line="500" w:lineRule="exact"/>
              <w:jc w:val="center"/>
              <w:rPr>
                <w:rFonts w:ascii="宋体" w:hAnsi="宋体"/>
                <w:bCs/>
                <w:caps/>
                <w:szCs w:val="24"/>
                <w:highlight w:val="none"/>
              </w:rPr>
            </w:pPr>
          </w:p>
        </w:tc>
        <w:tc>
          <w:tcPr>
            <w:tcW w:w="1556" w:type="dxa"/>
            <w:noWrap w:val="0"/>
            <w:vAlign w:val="center"/>
          </w:tcPr>
          <w:p w14:paraId="5FF8316D">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性    别</w:t>
            </w:r>
          </w:p>
        </w:tc>
        <w:tc>
          <w:tcPr>
            <w:tcW w:w="2811" w:type="dxa"/>
            <w:noWrap w:val="0"/>
            <w:vAlign w:val="center"/>
          </w:tcPr>
          <w:p w14:paraId="43D627A2">
            <w:pPr>
              <w:tabs>
                <w:tab w:val="right" w:leader="dot" w:pos="9022"/>
              </w:tabs>
              <w:autoSpaceDE w:val="0"/>
              <w:autoSpaceDN w:val="0"/>
              <w:adjustRightInd w:val="0"/>
              <w:spacing w:line="500" w:lineRule="exact"/>
              <w:jc w:val="center"/>
              <w:rPr>
                <w:rFonts w:ascii="宋体" w:hAnsi="宋体"/>
                <w:bCs/>
                <w:caps/>
                <w:szCs w:val="24"/>
                <w:highlight w:val="none"/>
              </w:rPr>
            </w:pPr>
          </w:p>
        </w:tc>
      </w:tr>
      <w:tr w14:paraId="516B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Merge w:val="continue"/>
            <w:noWrap w:val="0"/>
            <w:vAlign w:val="top"/>
          </w:tcPr>
          <w:p w14:paraId="6F83BE30">
            <w:pPr>
              <w:tabs>
                <w:tab w:val="right" w:leader="dot" w:pos="9022"/>
              </w:tabs>
              <w:autoSpaceDE w:val="0"/>
              <w:autoSpaceDN w:val="0"/>
              <w:adjustRightInd w:val="0"/>
              <w:spacing w:line="500" w:lineRule="exact"/>
              <w:jc w:val="left"/>
              <w:rPr>
                <w:rFonts w:ascii="宋体" w:hAnsi="宋体"/>
                <w:bCs/>
                <w:caps/>
                <w:szCs w:val="24"/>
                <w:highlight w:val="none"/>
              </w:rPr>
            </w:pPr>
          </w:p>
        </w:tc>
        <w:tc>
          <w:tcPr>
            <w:tcW w:w="717" w:type="dxa"/>
            <w:noWrap w:val="0"/>
            <w:vAlign w:val="center"/>
          </w:tcPr>
          <w:p w14:paraId="43AC6218">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职务</w:t>
            </w:r>
          </w:p>
        </w:tc>
        <w:tc>
          <w:tcPr>
            <w:tcW w:w="2789" w:type="dxa"/>
            <w:gridSpan w:val="4"/>
            <w:noWrap w:val="0"/>
            <w:vAlign w:val="center"/>
          </w:tcPr>
          <w:p w14:paraId="5814CB0C">
            <w:pPr>
              <w:tabs>
                <w:tab w:val="right" w:leader="dot" w:pos="9022"/>
              </w:tabs>
              <w:autoSpaceDE w:val="0"/>
              <w:autoSpaceDN w:val="0"/>
              <w:adjustRightInd w:val="0"/>
              <w:spacing w:line="400" w:lineRule="exact"/>
              <w:jc w:val="center"/>
              <w:rPr>
                <w:rFonts w:ascii="宋体" w:hAnsi="宋体"/>
                <w:bCs/>
                <w:caps/>
                <w:szCs w:val="24"/>
                <w:highlight w:val="none"/>
              </w:rPr>
            </w:pPr>
          </w:p>
        </w:tc>
        <w:tc>
          <w:tcPr>
            <w:tcW w:w="1556" w:type="dxa"/>
            <w:noWrap w:val="0"/>
            <w:vAlign w:val="center"/>
          </w:tcPr>
          <w:p w14:paraId="655E8A3B">
            <w:pPr>
              <w:tabs>
                <w:tab w:val="right" w:leader="dot" w:pos="9022"/>
              </w:tabs>
              <w:autoSpaceDE w:val="0"/>
              <w:autoSpaceDN w:val="0"/>
              <w:adjustRightInd w:val="0"/>
              <w:spacing w:line="400" w:lineRule="exact"/>
              <w:jc w:val="center"/>
              <w:rPr>
                <w:rFonts w:ascii="宋体" w:hAnsi="宋体"/>
                <w:bCs/>
                <w:caps/>
                <w:szCs w:val="24"/>
                <w:highlight w:val="none"/>
              </w:rPr>
            </w:pPr>
            <w:r>
              <w:rPr>
                <w:rFonts w:ascii="宋体" w:hAnsi="宋体"/>
                <w:bCs/>
                <w:caps/>
                <w:szCs w:val="24"/>
                <w:highlight w:val="none"/>
              </w:rPr>
              <w:t>手机号码</w:t>
            </w:r>
          </w:p>
        </w:tc>
        <w:tc>
          <w:tcPr>
            <w:tcW w:w="2811" w:type="dxa"/>
            <w:noWrap w:val="0"/>
            <w:vAlign w:val="top"/>
          </w:tcPr>
          <w:p w14:paraId="48A96E38">
            <w:pPr>
              <w:tabs>
                <w:tab w:val="right" w:leader="dot" w:pos="9022"/>
              </w:tabs>
              <w:autoSpaceDE w:val="0"/>
              <w:autoSpaceDN w:val="0"/>
              <w:adjustRightInd w:val="0"/>
              <w:spacing w:line="400" w:lineRule="exact"/>
              <w:rPr>
                <w:rFonts w:ascii="宋体" w:hAnsi="宋体"/>
                <w:bCs/>
                <w:caps/>
                <w:szCs w:val="24"/>
                <w:highlight w:val="none"/>
              </w:rPr>
            </w:pPr>
          </w:p>
        </w:tc>
      </w:tr>
      <w:tr w14:paraId="4A61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top"/>
          </w:tcPr>
          <w:p w14:paraId="2100A5F1">
            <w:pPr>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通讯地址</w:t>
            </w:r>
          </w:p>
        </w:tc>
        <w:tc>
          <w:tcPr>
            <w:tcW w:w="7873" w:type="dxa"/>
            <w:gridSpan w:val="7"/>
            <w:noWrap w:val="0"/>
            <w:vAlign w:val="top"/>
          </w:tcPr>
          <w:p w14:paraId="4B0CC966">
            <w:pPr>
              <w:tabs>
                <w:tab w:val="right" w:leader="dot" w:pos="9022"/>
              </w:tabs>
              <w:autoSpaceDE w:val="0"/>
              <w:autoSpaceDN w:val="0"/>
              <w:adjustRightInd w:val="0"/>
              <w:spacing w:line="500" w:lineRule="exact"/>
              <w:jc w:val="left"/>
              <w:rPr>
                <w:rFonts w:ascii="宋体" w:hAnsi="宋体"/>
                <w:bCs/>
                <w:caps/>
                <w:szCs w:val="24"/>
                <w:highlight w:val="none"/>
              </w:rPr>
            </w:pPr>
          </w:p>
        </w:tc>
      </w:tr>
      <w:tr w14:paraId="57C2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220" w:type="dxa"/>
            <w:gridSpan w:val="5"/>
            <w:noWrap w:val="0"/>
            <w:vAlign w:val="center"/>
          </w:tcPr>
          <w:p w14:paraId="07DE3990">
            <w:pPr>
              <w:tabs>
                <w:tab w:val="right" w:leader="dot" w:pos="9022"/>
              </w:tabs>
              <w:autoSpaceDE w:val="0"/>
              <w:autoSpaceDN w:val="0"/>
              <w:adjustRightInd w:val="0"/>
              <w:spacing w:line="500" w:lineRule="exact"/>
              <w:jc w:val="center"/>
              <w:rPr>
                <w:rFonts w:hint="eastAsia" w:ascii="宋体" w:hAnsi="宋体"/>
                <w:bCs/>
                <w:caps/>
                <w:szCs w:val="24"/>
                <w:highlight w:val="none"/>
              </w:rPr>
            </w:pPr>
            <w:r>
              <w:rPr>
                <w:rFonts w:ascii="宋体" w:hAnsi="宋体"/>
                <w:bCs/>
                <w:caps/>
                <w:szCs w:val="24"/>
                <w:highlight w:val="none"/>
              </w:rPr>
              <w:t>法定代表人身份证复印件</w:t>
            </w:r>
          </w:p>
          <w:p w14:paraId="64D01D80">
            <w:pPr>
              <w:tabs>
                <w:tab w:val="right" w:leader="dot" w:pos="9022"/>
              </w:tabs>
              <w:autoSpaceDE w:val="0"/>
              <w:autoSpaceDN w:val="0"/>
              <w:adjustRightInd w:val="0"/>
              <w:spacing w:line="500" w:lineRule="exact"/>
              <w:jc w:val="left"/>
              <w:rPr>
                <w:rFonts w:hint="eastAsia" w:ascii="宋体" w:hAnsi="宋体"/>
                <w:bCs/>
                <w:caps/>
                <w:szCs w:val="24"/>
                <w:highlight w:val="none"/>
              </w:rPr>
            </w:pPr>
          </w:p>
          <w:p w14:paraId="7C2921FE">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二代身份证正、反两面都需复印</w:t>
            </w:r>
          </w:p>
          <w:p w14:paraId="65B48D9C">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（粘贴处）</w:t>
            </w:r>
          </w:p>
          <w:p w14:paraId="7D06FB3B">
            <w:pPr>
              <w:tabs>
                <w:tab w:val="right" w:leader="dot" w:pos="9022"/>
              </w:tabs>
              <w:autoSpaceDE w:val="0"/>
              <w:autoSpaceDN w:val="0"/>
              <w:adjustRightInd w:val="0"/>
              <w:spacing w:line="500" w:lineRule="exact"/>
              <w:jc w:val="left"/>
              <w:rPr>
                <w:rFonts w:ascii="宋体" w:hAnsi="宋体"/>
                <w:bCs/>
                <w:caps/>
                <w:szCs w:val="24"/>
                <w:highlight w:val="none"/>
              </w:rPr>
            </w:pPr>
          </w:p>
        </w:tc>
        <w:tc>
          <w:tcPr>
            <w:tcW w:w="4500" w:type="dxa"/>
            <w:gridSpan w:val="3"/>
            <w:noWrap w:val="0"/>
            <w:vAlign w:val="center"/>
          </w:tcPr>
          <w:p w14:paraId="109A875A">
            <w:pPr>
              <w:tabs>
                <w:tab w:val="right" w:leader="dot" w:pos="9022"/>
              </w:tabs>
              <w:autoSpaceDE w:val="0"/>
              <w:autoSpaceDN w:val="0"/>
              <w:adjustRightInd w:val="0"/>
              <w:spacing w:line="500" w:lineRule="exact"/>
              <w:jc w:val="center"/>
              <w:rPr>
                <w:rFonts w:hint="eastAsia" w:ascii="宋体" w:hAnsi="宋体"/>
                <w:bCs/>
                <w:caps/>
                <w:szCs w:val="24"/>
                <w:highlight w:val="none"/>
              </w:rPr>
            </w:pPr>
            <w:r>
              <w:rPr>
                <w:rFonts w:ascii="宋体" w:hAnsi="宋体"/>
                <w:bCs/>
                <w:caps/>
                <w:szCs w:val="24"/>
                <w:highlight w:val="none"/>
              </w:rPr>
              <w:t>被授权人身份证复印件</w:t>
            </w:r>
          </w:p>
          <w:p w14:paraId="762CEE8B">
            <w:pPr>
              <w:tabs>
                <w:tab w:val="right" w:leader="dot" w:pos="9022"/>
              </w:tabs>
              <w:autoSpaceDE w:val="0"/>
              <w:autoSpaceDN w:val="0"/>
              <w:adjustRightInd w:val="0"/>
              <w:spacing w:line="500" w:lineRule="exact"/>
              <w:jc w:val="left"/>
              <w:rPr>
                <w:rFonts w:hint="eastAsia" w:ascii="宋体" w:hAnsi="宋体"/>
                <w:bCs/>
                <w:caps/>
                <w:szCs w:val="24"/>
                <w:highlight w:val="none"/>
              </w:rPr>
            </w:pPr>
          </w:p>
          <w:p w14:paraId="42CF3367">
            <w:pPr>
              <w:tabs>
                <w:tab w:val="right" w:leader="dot" w:pos="9022"/>
              </w:tabs>
              <w:autoSpaceDE w:val="0"/>
              <w:autoSpaceDN w:val="0"/>
              <w:adjustRightInd w:val="0"/>
              <w:spacing w:line="500" w:lineRule="exact"/>
              <w:jc w:val="center"/>
              <w:rPr>
                <w:rFonts w:hint="eastAsia" w:ascii="宋体" w:hAnsi="宋体"/>
                <w:bCs/>
                <w:caps/>
                <w:szCs w:val="24"/>
                <w:highlight w:val="none"/>
              </w:rPr>
            </w:pPr>
            <w:r>
              <w:rPr>
                <w:rFonts w:ascii="宋体" w:hAnsi="宋体"/>
                <w:bCs/>
                <w:caps/>
                <w:szCs w:val="24"/>
                <w:highlight w:val="none"/>
              </w:rPr>
              <w:t>二代身份证正、反两面都需复印</w:t>
            </w:r>
          </w:p>
          <w:p w14:paraId="2E4B77B2">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（粘贴处）</w:t>
            </w:r>
          </w:p>
          <w:p w14:paraId="21E666BE">
            <w:pPr>
              <w:tabs>
                <w:tab w:val="right" w:leader="dot" w:pos="9022"/>
              </w:tabs>
              <w:autoSpaceDE w:val="0"/>
              <w:autoSpaceDN w:val="0"/>
              <w:adjustRightInd w:val="0"/>
              <w:spacing w:line="500" w:lineRule="exact"/>
              <w:jc w:val="left"/>
              <w:rPr>
                <w:rFonts w:ascii="宋体" w:hAnsi="宋体"/>
                <w:bCs/>
                <w:caps/>
                <w:szCs w:val="24"/>
                <w:highlight w:val="none"/>
              </w:rPr>
            </w:pPr>
          </w:p>
        </w:tc>
      </w:tr>
      <w:tr w14:paraId="3231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720" w:type="dxa"/>
            <w:gridSpan w:val="8"/>
            <w:tcBorders>
              <w:bottom w:val="single" w:color="auto" w:sz="4" w:space="0"/>
            </w:tcBorders>
            <w:noWrap w:val="0"/>
            <w:vAlign w:val="center"/>
          </w:tcPr>
          <w:p w14:paraId="7011416B">
            <w:pPr>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法定代表人</w:t>
            </w:r>
            <w:r>
              <w:rPr>
                <w:rFonts w:hint="eastAsia" w:ascii="宋体" w:hAnsi="宋体"/>
                <w:bCs/>
                <w:caps/>
                <w:szCs w:val="24"/>
                <w:highlight w:val="none"/>
              </w:rPr>
              <w:t>及被授权</w:t>
            </w:r>
            <w:r>
              <w:rPr>
                <w:rFonts w:ascii="宋体" w:hAnsi="宋体"/>
                <w:bCs/>
                <w:caps/>
                <w:szCs w:val="24"/>
                <w:highlight w:val="none"/>
              </w:rPr>
              <w:t>人签字</w:t>
            </w:r>
            <w:r>
              <w:rPr>
                <w:rFonts w:hint="eastAsia" w:ascii="宋体" w:hAnsi="宋体"/>
                <w:bCs/>
                <w:caps/>
                <w:szCs w:val="24"/>
                <w:highlight w:val="none"/>
              </w:rPr>
              <w:t>或盖章：</w:t>
            </w:r>
          </w:p>
        </w:tc>
      </w:tr>
    </w:tbl>
    <w:p w14:paraId="39B42E01">
      <w:pPr>
        <w:topLinePunct/>
        <w:spacing w:line="360" w:lineRule="auto"/>
        <w:rPr>
          <w:rFonts w:hint="eastAsia" w:ascii="仿宋" w:hAnsi="仿宋" w:eastAsia="仿宋" w:cs="仿宋"/>
          <w:b/>
          <w:sz w:val="28"/>
          <w:szCs w:val="28"/>
          <w:highlight w:val="none"/>
        </w:rPr>
      </w:pPr>
    </w:p>
    <w:p w14:paraId="5F8A2CC6">
      <w:pPr>
        <w:topLinePunct/>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附：</w:t>
      </w:r>
      <w:bookmarkEnd w:id="26"/>
      <w:bookmarkEnd w:id="27"/>
    </w:p>
    <w:p w14:paraId="0772B34E">
      <w:pPr>
        <w:pStyle w:val="114"/>
        <w:spacing w:line="360" w:lineRule="auto"/>
        <w:jc w:val="center"/>
        <w:rPr>
          <w:rFonts w:ascii="仿宋" w:hAnsi="仿宋" w:eastAsia="仿宋" w:cs="仿宋"/>
          <w:szCs w:val="28"/>
          <w:highlight w:val="none"/>
        </w:rPr>
      </w:pPr>
      <w:bookmarkStart w:id="28" w:name="_Toc420318020"/>
      <w:bookmarkStart w:id="29" w:name="_Toc359332434"/>
      <w:bookmarkStart w:id="30" w:name="_Toc330475663"/>
      <w:bookmarkStart w:id="31" w:name="_Toc67323369"/>
      <w:bookmarkStart w:id="32" w:name="_Toc42559901"/>
      <w:bookmarkStart w:id="33" w:name="_Toc66899711"/>
      <w:bookmarkStart w:id="34" w:name="_Toc67323898"/>
      <w:bookmarkStart w:id="35" w:name="_Toc67323504"/>
      <w:bookmarkStart w:id="36" w:name="_Toc67323798"/>
      <w:r>
        <w:rPr>
          <w:rFonts w:hint="eastAsia" w:ascii="仿宋" w:hAnsi="仿宋" w:eastAsia="仿宋" w:cs="仿宋"/>
          <w:szCs w:val="28"/>
          <w:highlight w:val="none"/>
        </w:rPr>
        <w:t>法定代表人身份证明</w:t>
      </w:r>
      <w:bookmarkEnd w:id="28"/>
      <w:bookmarkEnd w:id="29"/>
      <w:bookmarkEnd w:id="30"/>
      <w:r>
        <w:rPr>
          <w:rFonts w:hint="eastAsia" w:ascii="仿宋" w:hAnsi="仿宋" w:eastAsia="仿宋" w:cs="仿宋"/>
          <w:szCs w:val="28"/>
          <w:highlight w:val="none"/>
        </w:rPr>
        <w:t>（格式）</w:t>
      </w:r>
      <w:bookmarkEnd w:id="31"/>
      <w:bookmarkEnd w:id="32"/>
      <w:bookmarkEnd w:id="33"/>
      <w:bookmarkEnd w:id="34"/>
      <w:bookmarkEnd w:id="35"/>
      <w:bookmarkEnd w:id="36"/>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699"/>
        <w:gridCol w:w="1824"/>
        <w:gridCol w:w="1261"/>
        <w:gridCol w:w="2546"/>
      </w:tblGrid>
      <w:tr w14:paraId="2B725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gridSpan w:val="5"/>
            <w:noWrap w:val="0"/>
            <w:vAlign w:val="top"/>
          </w:tcPr>
          <w:p w14:paraId="49E80026">
            <w:pPr>
              <w:tabs>
                <w:tab w:val="right" w:leader="dot" w:pos="9022"/>
              </w:tabs>
              <w:autoSpaceDE w:val="0"/>
              <w:autoSpaceDN w:val="0"/>
              <w:adjustRightInd w:val="0"/>
              <w:spacing w:line="500" w:lineRule="exact"/>
              <w:jc w:val="left"/>
              <w:rPr>
                <w:rFonts w:hint="eastAsia" w:ascii="宋体" w:hAnsi="宋体" w:eastAsia="宋体"/>
                <w:bCs/>
                <w:caps/>
                <w:szCs w:val="24"/>
                <w:highlight w:val="none"/>
                <w:lang w:eastAsia="zh-CN"/>
              </w:rPr>
            </w:pPr>
            <w:r>
              <w:rPr>
                <w:rFonts w:ascii="宋体" w:hAnsi="宋体"/>
                <w:bCs/>
                <w:caps/>
                <w:szCs w:val="24"/>
                <w:highlight w:val="none"/>
              </w:rPr>
              <w:t>致：</w:t>
            </w:r>
            <w:r>
              <w:rPr>
                <w:rFonts w:hint="eastAsia" w:ascii="宋体" w:hAnsi="宋体"/>
                <w:bCs/>
                <w:caps/>
                <w:szCs w:val="24"/>
                <w:highlight w:val="none"/>
                <w:lang w:eastAsia="zh-CN"/>
              </w:rPr>
              <w:t>陕西广联达招标有限公司</w:t>
            </w:r>
          </w:p>
        </w:tc>
      </w:tr>
      <w:tr w14:paraId="47601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noWrap w:val="0"/>
            <w:vAlign w:val="center"/>
          </w:tcPr>
          <w:p w14:paraId="64A50E93">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项目名称</w:t>
            </w:r>
          </w:p>
        </w:tc>
        <w:tc>
          <w:tcPr>
            <w:tcW w:w="7330" w:type="dxa"/>
            <w:gridSpan w:val="4"/>
            <w:noWrap w:val="0"/>
            <w:vAlign w:val="top"/>
          </w:tcPr>
          <w:p w14:paraId="737892F5">
            <w:pPr>
              <w:tabs>
                <w:tab w:val="right" w:leader="dot" w:pos="9022"/>
              </w:tabs>
              <w:autoSpaceDE w:val="0"/>
              <w:autoSpaceDN w:val="0"/>
              <w:adjustRightInd w:val="0"/>
              <w:spacing w:line="500" w:lineRule="exact"/>
              <w:jc w:val="left"/>
              <w:rPr>
                <w:rFonts w:ascii="宋体" w:hAnsi="宋体"/>
                <w:bCs/>
                <w:caps/>
                <w:szCs w:val="24"/>
                <w:highlight w:val="none"/>
              </w:rPr>
            </w:pPr>
          </w:p>
        </w:tc>
      </w:tr>
      <w:tr w14:paraId="622B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noWrap w:val="0"/>
            <w:vAlign w:val="center"/>
          </w:tcPr>
          <w:p w14:paraId="473A7495">
            <w:pPr>
              <w:tabs>
                <w:tab w:val="right" w:leader="dot" w:pos="9022"/>
              </w:tabs>
              <w:autoSpaceDE w:val="0"/>
              <w:autoSpaceDN w:val="0"/>
              <w:adjustRightInd w:val="0"/>
              <w:spacing w:line="500" w:lineRule="exact"/>
              <w:jc w:val="center"/>
              <w:rPr>
                <w:rFonts w:hint="eastAsia" w:ascii="宋体" w:hAnsi="宋体"/>
                <w:bCs/>
                <w:caps/>
                <w:szCs w:val="24"/>
                <w:highlight w:val="none"/>
              </w:rPr>
            </w:pPr>
            <w:r>
              <w:rPr>
                <w:rFonts w:hint="eastAsia" w:ascii="宋体" w:hAnsi="宋体"/>
                <w:bCs/>
                <w:caps/>
                <w:szCs w:val="24"/>
                <w:highlight w:val="none"/>
              </w:rPr>
              <w:t>项目编号</w:t>
            </w:r>
          </w:p>
        </w:tc>
        <w:tc>
          <w:tcPr>
            <w:tcW w:w="7330" w:type="dxa"/>
            <w:gridSpan w:val="4"/>
            <w:noWrap w:val="0"/>
            <w:vAlign w:val="top"/>
          </w:tcPr>
          <w:p w14:paraId="06D135AA">
            <w:pPr>
              <w:tabs>
                <w:tab w:val="right" w:leader="dot" w:pos="9022"/>
              </w:tabs>
              <w:autoSpaceDE w:val="0"/>
              <w:autoSpaceDN w:val="0"/>
              <w:adjustRightInd w:val="0"/>
              <w:spacing w:line="500" w:lineRule="exact"/>
              <w:jc w:val="left"/>
              <w:rPr>
                <w:rFonts w:ascii="宋体" w:hAnsi="宋体"/>
                <w:bCs/>
                <w:caps/>
                <w:szCs w:val="24"/>
                <w:highlight w:val="none"/>
              </w:rPr>
            </w:pPr>
          </w:p>
        </w:tc>
      </w:tr>
      <w:tr w14:paraId="37E8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noWrap w:val="0"/>
            <w:vAlign w:val="center"/>
          </w:tcPr>
          <w:p w14:paraId="10247726">
            <w:pPr>
              <w:tabs>
                <w:tab w:val="right" w:leader="dot" w:pos="9022"/>
              </w:tabs>
              <w:autoSpaceDE w:val="0"/>
              <w:autoSpaceDN w:val="0"/>
              <w:adjustRightInd w:val="0"/>
              <w:spacing w:line="500" w:lineRule="exact"/>
              <w:jc w:val="center"/>
              <w:rPr>
                <w:rFonts w:ascii="宋体" w:hAnsi="宋体"/>
                <w:bCs/>
                <w:caps/>
                <w:szCs w:val="24"/>
                <w:highlight w:val="none"/>
              </w:rPr>
            </w:pPr>
            <w:r>
              <w:rPr>
                <w:rFonts w:hint="eastAsia" w:ascii="宋体" w:hAnsi="宋体"/>
                <w:bCs/>
                <w:caps/>
                <w:szCs w:val="24"/>
                <w:highlight w:val="none"/>
              </w:rPr>
              <w:t>权   限</w:t>
            </w:r>
          </w:p>
        </w:tc>
        <w:tc>
          <w:tcPr>
            <w:tcW w:w="7330" w:type="dxa"/>
            <w:gridSpan w:val="4"/>
            <w:noWrap w:val="0"/>
            <w:vAlign w:val="center"/>
          </w:tcPr>
          <w:p w14:paraId="3BC8C5C8">
            <w:pPr>
              <w:tabs>
                <w:tab w:val="right" w:leader="dot" w:pos="9022"/>
              </w:tabs>
              <w:autoSpaceDE w:val="0"/>
              <w:autoSpaceDN w:val="0"/>
              <w:adjustRightInd w:val="0"/>
              <w:spacing w:line="400" w:lineRule="exact"/>
              <w:jc w:val="left"/>
              <w:rPr>
                <w:rFonts w:ascii="宋体" w:hAnsi="宋体"/>
                <w:bCs/>
                <w:caps/>
                <w:szCs w:val="24"/>
                <w:highlight w:val="none"/>
              </w:rPr>
            </w:pPr>
            <w:r>
              <w:rPr>
                <w:rFonts w:ascii="宋体" w:hAnsi="宋体"/>
                <w:bCs/>
                <w:caps/>
                <w:szCs w:val="24"/>
                <w:highlight w:val="none"/>
              </w:rPr>
              <w:t>办理本次招标采购项目的</w:t>
            </w:r>
            <w:r>
              <w:rPr>
                <w:rFonts w:hint="eastAsia" w:ascii="宋体" w:hAnsi="宋体"/>
                <w:bCs/>
                <w:caps/>
                <w:szCs w:val="24"/>
                <w:highlight w:val="none"/>
              </w:rPr>
              <w:t>谈判</w:t>
            </w:r>
            <w:r>
              <w:rPr>
                <w:rFonts w:ascii="宋体" w:hAnsi="宋体"/>
                <w:bCs/>
                <w:caps/>
                <w:szCs w:val="24"/>
                <w:highlight w:val="none"/>
              </w:rPr>
              <w:t>、联系、洽谈、签约、执行等具体事务，签署全部有关文件、文书、协议及合同。</w:t>
            </w:r>
          </w:p>
        </w:tc>
      </w:tr>
      <w:tr w14:paraId="59BA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noWrap w:val="0"/>
            <w:vAlign w:val="center"/>
          </w:tcPr>
          <w:p w14:paraId="40F8808C">
            <w:pPr>
              <w:tabs>
                <w:tab w:val="right" w:leader="dot" w:pos="9022"/>
              </w:tabs>
              <w:autoSpaceDE w:val="0"/>
              <w:autoSpaceDN w:val="0"/>
              <w:adjustRightInd w:val="0"/>
              <w:spacing w:line="500" w:lineRule="exact"/>
              <w:jc w:val="center"/>
              <w:rPr>
                <w:rFonts w:ascii="宋体" w:hAnsi="宋体"/>
                <w:bCs/>
                <w:caps/>
                <w:szCs w:val="24"/>
                <w:highlight w:val="none"/>
              </w:rPr>
            </w:pPr>
            <w:r>
              <w:rPr>
                <w:rFonts w:hint="eastAsia" w:ascii="宋体" w:hAnsi="宋体"/>
                <w:bCs/>
                <w:caps/>
                <w:szCs w:val="24"/>
                <w:highlight w:val="none"/>
              </w:rPr>
              <w:t>有效期</w:t>
            </w:r>
          </w:p>
        </w:tc>
        <w:tc>
          <w:tcPr>
            <w:tcW w:w="7330" w:type="dxa"/>
            <w:gridSpan w:val="4"/>
            <w:noWrap w:val="0"/>
            <w:vAlign w:val="center"/>
          </w:tcPr>
          <w:p w14:paraId="2541EFDD">
            <w:pPr>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自</w:t>
            </w:r>
            <w:r>
              <w:rPr>
                <w:rFonts w:hint="eastAsia" w:ascii="宋体" w:hAnsi="宋体"/>
                <w:bCs/>
                <w:caps/>
                <w:szCs w:val="24"/>
                <w:highlight w:val="none"/>
              </w:rPr>
              <w:t>提交投标响应文件的截止</w:t>
            </w:r>
            <w:r>
              <w:rPr>
                <w:rFonts w:ascii="宋体" w:hAnsi="宋体"/>
                <w:bCs/>
                <w:caps/>
                <w:szCs w:val="24"/>
                <w:highlight w:val="none"/>
              </w:rPr>
              <w:t>之日</w:t>
            </w:r>
            <w:r>
              <w:rPr>
                <w:rFonts w:hint="eastAsia" w:ascii="宋体" w:hAnsi="宋体"/>
                <w:bCs/>
                <w:caps/>
                <w:szCs w:val="24"/>
                <w:highlight w:val="none"/>
              </w:rPr>
              <w:t>起</w:t>
            </w:r>
            <w:r>
              <w:rPr>
                <w:rFonts w:hint="eastAsia" w:ascii="宋体" w:hAnsi="宋体"/>
                <w:bCs/>
                <w:caps/>
                <w:szCs w:val="24"/>
                <w:highlight w:val="none"/>
                <w:u w:val="single"/>
              </w:rPr>
              <w:t xml:space="preserve">    </w:t>
            </w:r>
            <w:r>
              <w:rPr>
                <w:rFonts w:hint="eastAsia" w:ascii="宋体" w:hAnsi="宋体"/>
                <w:bCs/>
                <w:caps/>
                <w:szCs w:val="24"/>
                <w:highlight w:val="none"/>
              </w:rPr>
              <w:t>个日历日</w:t>
            </w:r>
          </w:p>
        </w:tc>
      </w:tr>
      <w:tr w14:paraId="3886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noWrap w:val="0"/>
            <w:vAlign w:val="center"/>
          </w:tcPr>
          <w:p w14:paraId="34D0739D">
            <w:pPr>
              <w:tabs>
                <w:tab w:val="right" w:leader="dot" w:pos="9022"/>
              </w:tabs>
              <w:autoSpaceDE w:val="0"/>
              <w:autoSpaceDN w:val="0"/>
              <w:adjustRightInd w:val="0"/>
              <w:spacing w:line="500" w:lineRule="exact"/>
              <w:ind w:firstLine="210" w:firstLineChars="100"/>
              <w:rPr>
                <w:rFonts w:ascii="宋体" w:hAnsi="宋体"/>
                <w:bCs/>
                <w:caps/>
                <w:szCs w:val="24"/>
                <w:highlight w:val="none"/>
              </w:rPr>
            </w:pPr>
            <w:r>
              <w:rPr>
                <w:rFonts w:ascii="宋体" w:hAnsi="宋体"/>
                <w:bCs/>
                <w:caps/>
                <w:szCs w:val="24"/>
                <w:highlight w:val="none"/>
              </w:rPr>
              <w:t>企业</w:t>
            </w:r>
          </w:p>
          <w:p w14:paraId="7238DC76">
            <w:pPr>
              <w:tabs>
                <w:tab w:val="right" w:leader="dot" w:pos="9022"/>
              </w:tabs>
              <w:autoSpaceDE w:val="0"/>
              <w:autoSpaceDN w:val="0"/>
              <w:adjustRightInd w:val="0"/>
              <w:spacing w:line="500" w:lineRule="exact"/>
              <w:ind w:firstLine="210" w:firstLineChars="100"/>
              <w:rPr>
                <w:rFonts w:ascii="宋体" w:hAnsi="宋体"/>
                <w:bCs/>
                <w:caps/>
                <w:szCs w:val="24"/>
                <w:highlight w:val="none"/>
              </w:rPr>
            </w:pPr>
            <w:r>
              <w:rPr>
                <w:rFonts w:hint="eastAsia" w:ascii="宋体" w:hAnsi="宋体"/>
                <w:bCs/>
                <w:caps/>
                <w:szCs w:val="24"/>
                <w:highlight w:val="none"/>
              </w:rPr>
              <w:t>信息</w:t>
            </w:r>
          </w:p>
        </w:tc>
        <w:tc>
          <w:tcPr>
            <w:tcW w:w="1699" w:type="dxa"/>
            <w:noWrap w:val="0"/>
            <w:vAlign w:val="top"/>
          </w:tcPr>
          <w:p w14:paraId="2182A2A0">
            <w:pPr>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 xml:space="preserve">企 业 名 称 </w:t>
            </w:r>
          </w:p>
        </w:tc>
        <w:tc>
          <w:tcPr>
            <w:tcW w:w="5631" w:type="dxa"/>
            <w:gridSpan w:val="3"/>
            <w:noWrap w:val="0"/>
            <w:vAlign w:val="top"/>
          </w:tcPr>
          <w:p w14:paraId="32322364">
            <w:pPr>
              <w:tabs>
                <w:tab w:val="right" w:leader="dot" w:pos="9022"/>
              </w:tabs>
              <w:autoSpaceDE w:val="0"/>
              <w:autoSpaceDN w:val="0"/>
              <w:adjustRightInd w:val="0"/>
              <w:spacing w:line="500" w:lineRule="exact"/>
              <w:jc w:val="left"/>
              <w:rPr>
                <w:rFonts w:ascii="宋体" w:hAnsi="宋体"/>
                <w:bCs/>
                <w:caps/>
                <w:szCs w:val="24"/>
                <w:highlight w:val="none"/>
              </w:rPr>
            </w:pPr>
          </w:p>
        </w:tc>
      </w:tr>
      <w:tr w14:paraId="7646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noWrap w:val="0"/>
            <w:vAlign w:val="center"/>
          </w:tcPr>
          <w:p w14:paraId="36CCFAE7">
            <w:pPr>
              <w:tabs>
                <w:tab w:val="right" w:leader="dot" w:pos="9022"/>
              </w:tabs>
              <w:autoSpaceDE w:val="0"/>
              <w:autoSpaceDN w:val="0"/>
              <w:adjustRightInd w:val="0"/>
              <w:spacing w:line="500" w:lineRule="exact"/>
              <w:jc w:val="center"/>
              <w:rPr>
                <w:rFonts w:ascii="宋体" w:hAnsi="宋体"/>
                <w:bCs/>
                <w:caps/>
                <w:szCs w:val="24"/>
                <w:highlight w:val="none"/>
              </w:rPr>
            </w:pPr>
          </w:p>
        </w:tc>
        <w:tc>
          <w:tcPr>
            <w:tcW w:w="1699" w:type="dxa"/>
            <w:noWrap w:val="0"/>
            <w:vAlign w:val="top"/>
          </w:tcPr>
          <w:p w14:paraId="375CDAE0">
            <w:pPr>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法 定 地 址</w:t>
            </w:r>
          </w:p>
        </w:tc>
        <w:tc>
          <w:tcPr>
            <w:tcW w:w="5631" w:type="dxa"/>
            <w:gridSpan w:val="3"/>
            <w:noWrap w:val="0"/>
            <w:vAlign w:val="top"/>
          </w:tcPr>
          <w:p w14:paraId="08AAAE5D">
            <w:pPr>
              <w:tabs>
                <w:tab w:val="right" w:leader="dot" w:pos="9022"/>
              </w:tabs>
              <w:autoSpaceDE w:val="0"/>
              <w:autoSpaceDN w:val="0"/>
              <w:adjustRightInd w:val="0"/>
              <w:spacing w:line="500" w:lineRule="exact"/>
              <w:jc w:val="left"/>
              <w:rPr>
                <w:rFonts w:ascii="宋体" w:hAnsi="宋体"/>
                <w:bCs/>
                <w:caps/>
                <w:szCs w:val="24"/>
                <w:highlight w:val="none"/>
              </w:rPr>
            </w:pPr>
          </w:p>
        </w:tc>
      </w:tr>
      <w:tr w14:paraId="27E0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noWrap w:val="0"/>
            <w:vAlign w:val="center"/>
          </w:tcPr>
          <w:p w14:paraId="42643FA7">
            <w:pPr>
              <w:tabs>
                <w:tab w:val="right" w:leader="dot" w:pos="9022"/>
              </w:tabs>
              <w:autoSpaceDE w:val="0"/>
              <w:autoSpaceDN w:val="0"/>
              <w:adjustRightInd w:val="0"/>
              <w:spacing w:line="500" w:lineRule="exact"/>
              <w:jc w:val="center"/>
              <w:rPr>
                <w:rFonts w:ascii="宋体" w:hAnsi="宋体"/>
                <w:bCs/>
                <w:caps/>
                <w:szCs w:val="24"/>
                <w:highlight w:val="none"/>
              </w:rPr>
            </w:pPr>
          </w:p>
        </w:tc>
        <w:tc>
          <w:tcPr>
            <w:tcW w:w="1699" w:type="dxa"/>
            <w:noWrap w:val="0"/>
            <w:vAlign w:val="top"/>
          </w:tcPr>
          <w:p w14:paraId="55DDB40F">
            <w:pPr>
              <w:tabs>
                <w:tab w:val="right" w:leader="dot" w:pos="9022"/>
              </w:tabs>
              <w:autoSpaceDE w:val="0"/>
              <w:autoSpaceDN w:val="0"/>
              <w:adjustRightInd w:val="0"/>
              <w:spacing w:line="500" w:lineRule="exact"/>
              <w:jc w:val="left"/>
              <w:rPr>
                <w:rFonts w:ascii="宋体" w:hAnsi="宋体"/>
                <w:bCs/>
                <w:caps/>
                <w:szCs w:val="24"/>
                <w:highlight w:val="none"/>
              </w:rPr>
            </w:pPr>
            <w:r>
              <w:rPr>
                <w:rFonts w:hint="eastAsia" w:ascii="宋体" w:hAnsi="宋体"/>
                <w:bCs/>
                <w:caps/>
                <w:szCs w:val="24"/>
                <w:highlight w:val="none"/>
              </w:rPr>
              <w:t>营业执照注册证号</w:t>
            </w:r>
          </w:p>
        </w:tc>
        <w:tc>
          <w:tcPr>
            <w:tcW w:w="5631" w:type="dxa"/>
            <w:gridSpan w:val="3"/>
            <w:noWrap w:val="0"/>
            <w:vAlign w:val="top"/>
          </w:tcPr>
          <w:p w14:paraId="6478528C">
            <w:pPr>
              <w:tabs>
                <w:tab w:val="right" w:leader="dot" w:pos="9022"/>
              </w:tabs>
              <w:autoSpaceDE w:val="0"/>
              <w:autoSpaceDN w:val="0"/>
              <w:adjustRightInd w:val="0"/>
              <w:spacing w:line="500" w:lineRule="exact"/>
              <w:jc w:val="left"/>
              <w:rPr>
                <w:rFonts w:ascii="宋体" w:hAnsi="宋体"/>
                <w:bCs/>
                <w:caps/>
                <w:szCs w:val="24"/>
                <w:highlight w:val="none"/>
              </w:rPr>
            </w:pPr>
          </w:p>
        </w:tc>
      </w:tr>
      <w:tr w14:paraId="0FCD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noWrap w:val="0"/>
            <w:vAlign w:val="center"/>
          </w:tcPr>
          <w:p w14:paraId="23CBBFFE">
            <w:pPr>
              <w:tabs>
                <w:tab w:val="right" w:leader="dot" w:pos="9022"/>
              </w:tabs>
              <w:autoSpaceDE w:val="0"/>
              <w:autoSpaceDN w:val="0"/>
              <w:adjustRightInd w:val="0"/>
              <w:spacing w:line="500" w:lineRule="exact"/>
              <w:jc w:val="center"/>
              <w:rPr>
                <w:rFonts w:ascii="宋体" w:hAnsi="宋体"/>
                <w:bCs/>
                <w:caps/>
                <w:szCs w:val="24"/>
                <w:highlight w:val="none"/>
              </w:rPr>
            </w:pPr>
          </w:p>
        </w:tc>
        <w:tc>
          <w:tcPr>
            <w:tcW w:w="1699" w:type="dxa"/>
            <w:noWrap w:val="0"/>
            <w:vAlign w:val="top"/>
          </w:tcPr>
          <w:p w14:paraId="43C3EFCF">
            <w:pPr>
              <w:tabs>
                <w:tab w:val="right" w:leader="dot" w:pos="9022"/>
              </w:tabs>
              <w:spacing w:line="500" w:lineRule="exact"/>
              <w:rPr>
                <w:rFonts w:hint="eastAsia" w:ascii="宋体" w:hAnsi="宋体" w:cs="仿宋_GB2312"/>
                <w:bCs/>
                <w:caps/>
                <w:szCs w:val="24"/>
                <w:highlight w:val="none"/>
              </w:rPr>
            </w:pPr>
            <w:r>
              <w:rPr>
                <w:rFonts w:hint="eastAsia" w:ascii="宋体" w:hAnsi="宋体" w:cs="仿宋_GB2312"/>
                <w:bCs/>
                <w:caps/>
                <w:szCs w:val="24"/>
                <w:highlight w:val="none"/>
              </w:rPr>
              <w:t>工商登记机关</w:t>
            </w:r>
          </w:p>
        </w:tc>
        <w:tc>
          <w:tcPr>
            <w:tcW w:w="5631" w:type="dxa"/>
            <w:gridSpan w:val="3"/>
            <w:noWrap w:val="0"/>
            <w:vAlign w:val="top"/>
          </w:tcPr>
          <w:p w14:paraId="0E6CF07F">
            <w:pPr>
              <w:tabs>
                <w:tab w:val="right" w:leader="dot" w:pos="9022"/>
              </w:tabs>
              <w:autoSpaceDE w:val="0"/>
              <w:autoSpaceDN w:val="0"/>
              <w:adjustRightInd w:val="0"/>
              <w:spacing w:line="500" w:lineRule="exact"/>
              <w:jc w:val="left"/>
              <w:rPr>
                <w:rFonts w:ascii="宋体" w:hAnsi="宋体"/>
                <w:bCs/>
                <w:caps/>
                <w:szCs w:val="24"/>
                <w:highlight w:val="none"/>
              </w:rPr>
            </w:pPr>
          </w:p>
        </w:tc>
      </w:tr>
      <w:tr w14:paraId="30EF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noWrap w:val="0"/>
            <w:vAlign w:val="center"/>
          </w:tcPr>
          <w:p w14:paraId="7212C223">
            <w:pPr>
              <w:tabs>
                <w:tab w:val="right" w:leader="dot" w:pos="9022"/>
              </w:tabs>
              <w:autoSpaceDE w:val="0"/>
              <w:autoSpaceDN w:val="0"/>
              <w:adjustRightInd w:val="0"/>
              <w:spacing w:line="500" w:lineRule="exact"/>
              <w:jc w:val="center"/>
              <w:rPr>
                <w:rFonts w:ascii="宋体" w:hAnsi="宋体"/>
                <w:bCs/>
                <w:caps/>
                <w:szCs w:val="24"/>
                <w:highlight w:val="none"/>
              </w:rPr>
            </w:pPr>
          </w:p>
        </w:tc>
        <w:tc>
          <w:tcPr>
            <w:tcW w:w="1699" w:type="dxa"/>
            <w:noWrap w:val="0"/>
            <w:vAlign w:val="top"/>
          </w:tcPr>
          <w:p w14:paraId="1E898E65">
            <w:pPr>
              <w:tabs>
                <w:tab w:val="right" w:leader="dot" w:pos="9022"/>
              </w:tabs>
              <w:spacing w:line="500" w:lineRule="exact"/>
              <w:rPr>
                <w:rFonts w:hint="eastAsia" w:ascii="宋体" w:hAnsi="宋体" w:cs="仿宋_GB2312"/>
                <w:bCs/>
                <w:caps/>
                <w:szCs w:val="24"/>
                <w:highlight w:val="none"/>
              </w:rPr>
            </w:pPr>
            <w:r>
              <w:rPr>
                <w:rFonts w:hint="eastAsia" w:ascii="宋体" w:hAnsi="宋体" w:cs="仿宋_GB2312"/>
                <w:bCs/>
                <w:caps/>
                <w:szCs w:val="24"/>
                <w:highlight w:val="none"/>
              </w:rPr>
              <w:t>网        址</w:t>
            </w:r>
          </w:p>
        </w:tc>
        <w:tc>
          <w:tcPr>
            <w:tcW w:w="5631" w:type="dxa"/>
            <w:gridSpan w:val="3"/>
            <w:noWrap w:val="0"/>
            <w:vAlign w:val="top"/>
          </w:tcPr>
          <w:p w14:paraId="17DEE969">
            <w:pPr>
              <w:tabs>
                <w:tab w:val="right" w:leader="dot" w:pos="9022"/>
              </w:tabs>
              <w:autoSpaceDE w:val="0"/>
              <w:autoSpaceDN w:val="0"/>
              <w:adjustRightInd w:val="0"/>
              <w:spacing w:line="500" w:lineRule="exact"/>
              <w:jc w:val="left"/>
              <w:rPr>
                <w:rFonts w:ascii="宋体" w:hAnsi="宋体"/>
                <w:bCs/>
                <w:caps/>
                <w:szCs w:val="24"/>
                <w:highlight w:val="none"/>
              </w:rPr>
            </w:pPr>
          </w:p>
        </w:tc>
      </w:tr>
      <w:tr w14:paraId="5BDA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noWrap w:val="0"/>
            <w:vAlign w:val="center"/>
          </w:tcPr>
          <w:p w14:paraId="28BC1389">
            <w:pPr>
              <w:tabs>
                <w:tab w:val="right" w:leader="dot" w:pos="9022"/>
              </w:tabs>
              <w:autoSpaceDE w:val="0"/>
              <w:autoSpaceDN w:val="0"/>
              <w:adjustRightInd w:val="0"/>
              <w:spacing w:line="500" w:lineRule="exact"/>
              <w:jc w:val="center"/>
              <w:rPr>
                <w:rFonts w:hint="eastAsia" w:ascii="宋体" w:hAnsi="宋体"/>
                <w:bCs/>
                <w:caps/>
                <w:szCs w:val="24"/>
                <w:highlight w:val="none"/>
              </w:rPr>
            </w:pPr>
            <w:r>
              <w:rPr>
                <w:rFonts w:ascii="宋体" w:hAnsi="宋体"/>
                <w:bCs/>
                <w:caps/>
                <w:szCs w:val="24"/>
                <w:highlight w:val="none"/>
              </w:rPr>
              <w:t>法定代</w:t>
            </w:r>
          </w:p>
          <w:p w14:paraId="4B62B058">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表人</w:t>
            </w:r>
          </w:p>
        </w:tc>
        <w:tc>
          <w:tcPr>
            <w:tcW w:w="1699" w:type="dxa"/>
            <w:noWrap w:val="0"/>
            <w:vAlign w:val="top"/>
          </w:tcPr>
          <w:p w14:paraId="1ABC0010">
            <w:pPr>
              <w:tabs>
                <w:tab w:val="right" w:leader="dot" w:pos="9022"/>
              </w:tabs>
              <w:autoSpaceDE w:val="0"/>
              <w:autoSpaceDN w:val="0"/>
              <w:adjustRightInd w:val="0"/>
              <w:spacing w:line="500" w:lineRule="exact"/>
              <w:ind w:firstLine="210" w:firstLineChars="100"/>
              <w:jc w:val="left"/>
              <w:rPr>
                <w:rFonts w:ascii="宋体" w:hAnsi="宋体"/>
                <w:bCs/>
                <w:caps/>
                <w:szCs w:val="24"/>
                <w:highlight w:val="none"/>
              </w:rPr>
            </w:pPr>
            <w:r>
              <w:rPr>
                <w:rFonts w:ascii="宋体" w:hAnsi="宋体"/>
                <w:bCs/>
                <w:caps/>
                <w:szCs w:val="24"/>
                <w:highlight w:val="none"/>
              </w:rPr>
              <w:t>姓    名</w:t>
            </w:r>
          </w:p>
        </w:tc>
        <w:tc>
          <w:tcPr>
            <w:tcW w:w="1824" w:type="dxa"/>
            <w:noWrap w:val="0"/>
            <w:vAlign w:val="top"/>
          </w:tcPr>
          <w:p w14:paraId="61DB4162">
            <w:pPr>
              <w:tabs>
                <w:tab w:val="right" w:leader="dot" w:pos="9022"/>
              </w:tabs>
              <w:autoSpaceDE w:val="0"/>
              <w:autoSpaceDN w:val="0"/>
              <w:adjustRightInd w:val="0"/>
              <w:spacing w:line="500" w:lineRule="exact"/>
              <w:jc w:val="left"/>
              <w:rPr>
                <w:rFonts w:ascii="宋体" w:hAnsi="宋体"/>
                <w:bCs/>
                <w:caps/>
                <w:szCs w:val="24"/>
                <w:highlight w:val="none"/>
              </w:rPr>
            </w:pPr>
          </w:p>
        </w:tc>
        <w:tc>
          <w:tcPr>
            <w:tcW w:w="1261" w:type="dxa"/>
            <w:noWrap w:val="0"/>
            <w:vAlign w:val="top"/>
          </w:tcPr>
          <w:p w14:paraId="4DB64A6C">
            <w:pPr>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性    别</w:t>
            </w:r>
          </w:p>
        </w:tc>
        <w:tc>
          <w:tcPr>
            <w:tcW w:w="2546" w:type="dxa"/>
            <w:noWrap w:val="0"/>
            <w:vAlign w:val="top"/>
          </w:tcPr>
          <w:p w14:paraId="409D00DB">
            <w:pPr>
              <w:tabs>
                <w:tab w:val="right" w:leader="dot" w:pos="9022"/>
              </w:tabs>
              <w:autoSpaceDE w:val="0"/>
              <w:autoSpaceDN w:val="0"/>
              <w:adjustRightInd w:val="0"/>
              <w:spacing w:line="500" w:lineRule="exact"/>
              <w:jc w:val="left"/>
              <w:rPr>
                <w:rFonts w:ascii="宋体" w:hAnsi="宋体"/>
                <w:bCs/>
                <w:caps/>
                <w:szCs w:val="24"/>
                <w:highlight w:val="none"/>
              </w:rPr>
            </w:pPr>
          </w:p>
        </w:tc>
      </w:tr>
      <w:tr w14:paraId="6D514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noWrap w:val="0"/>
            <w:vAlign w:val="center"/>
          </w:tcPr>
          <w:p w14:paraId="498965C5">
            <w:pPr>
              <w:tabs>
                <w:tab w:val="right" w:leader="dot" w:pos="9022"/>
              </w:tabs>
              <w:autoSpaceDE w:val="0"/>
              <w:autoSpaceDN w:val="0"/>
              <w:adjustRightInd w:val="0"/>
              <w:spacing w:line="500" w:lineRule="exact"/>
              <w:jc w:val="center"/>
              <w:rPr>
                <w:rFonts w:ascii="宋体" w:hAnsi="宋体"/>
                <w:bCs/>
                <w:caps/>
                <w:szCs w:val="24"/>
                <w:highlight w:val="none"/>
              </w:rPr>
            </w:pPr>
          </w:p>
        </w:tc>
        <w:tc>
          <w:tcPr>
            <w:tcW w:w="1699" w:type="dxa"/>
            <w:noWrap w:val="0"/>
            <w:vAlign w:val="top"/>
          </w:tcPr>
          <w:p w14:paraId="667ADDC1">
            <w:pPr>
              <w:tabs>
                <w:tab w:val="right" w:leader="dot" w:pos="9022"/>
              </w:tabs>
              <w:autoSpaceDE w:val="0"/>
              <w:autoSpaceDN w:val="0"/>
              <w:adjustRightInd w:val="0"/>
              <w:spacing w:line="500" w:lineRule="exact"/>
              <w:ind w:firstLine="210" w:firstLineChars="100"/>
              <w:jc w:val="left"/>
              <w:rPr>
                <w:rFonts w:ascii="宋体" w:hAnsi="宋体"/>
                <w:bCs/>
                <w:caps/>
                <w:szCs w:val="24"/>
                <w:highlight w:val="none"/>
              </w:rPr>
            </w:pPr>
            <w:r>
              <w:rPr>
                <w:rFonts w:ascii="宋体" w:hAnsi="宋体"/>
                <w:bCs/>
                <w:caps/>
                <w:szCs w:val="24"/>
                <w:highlight w:val="none"/>
              </w:rPr>
              <w:t>职    务</w:t>
            </w:r>
          </w:p>
        </w:tc>
        <w:tc>
          <w:tcPr>
            <w:tcW w:w="1824" w:type="dxa"/>
            <w:noWrap w:val="0"/>
            <w:vAlign w:val="top"/>
          </w:tcPr>
          <w:p w14:paraId="7939594D">
            <w:pPr>
              <w:tabs>
                <w:tab w:val="right" w:leader="dot" w:pos="9022"/>
              </w:tabs>
              <w:autoSpaceDE w:val="0"/>
              <w:autoSpaceDN w:val="0"/>
              <w:adjustRightInd w:val="0"/>
              <w:spacing w:line="500" w:lineRule="exact"/>
              <w:jc w:val="left"/>
              <w:rPr>
                <w:rFonts w:ascii="宋体" w:hAnsi="宋体"/>
                <w:bCs/>
                <w:caps/>
                <w:szCs w:val="24"/>
                <w:highlight w:val="none"/>
              </w:rPr>
            </w:pPr>
          </w:p>
        </w:tc>
        <w:tc>
          <w:tcPr>
            <w:tcW w:w="1261" w:type="dxa"/>
            <w:noWrap w:val="0"/>
            <w:vAlign w:val="top"/>
          </w:tcPr>
          <w:p w14:paraId="5660176D">
            <w:pPr>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联系电话</w:t>
            </w:r>
          </w:p>
        </w:tc>
        <w:tc>
          <w:tcPr>
            <w:tcW w:w="2546" w:type="dxa"/>
            <w:noWrap w:val="0"/>
            <w:vAlign w:val="top"/>
          </w:tcPr>
          <w:p w14:paraId="07946FA0">
            <w:pPr>
              <w:tabs>
                <w:tab w:val="right" w:leader="dot" w:pos="9022"/>
              </w:tabs>
              <w:autoSpaceDE w:val="0"/>
              <w:autoSpaceDN w:val="0"/>
              <w:adjustRightInd w:val="0"/>
              <w:spacing w:line="500" w:lineRule="exact"/>
              <w:jc w:val="left"/>
              <w:rPr>
                <w:rFonts w:ascii="宋体" w:hAnsi="宋体"/>
                <w:bCs/>
                <w:caps/>
                <w:szCs w:val="24"/>
                <w:highlight w:val="none"/>
              </w:rPr>
            </w:pPr>
          </w:p>
        </w:tc>
      </w:tr>
      <w:tr w14:paraId="51D4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90" w:type="dxa"/>
            <w:vMerge w:val="continue"/>
            <w:noWrap w:val="0"/>
            <w:vAlign w:val="center"/>
          </w:tcPr>
          <w:p w14:paraId="1536A3AD">
            <w:pPr>
              <w:tabs>
                <w:tab w:val="right" w:leader="dot" w:pos="9022"/>
              </w:tabs>
              <w:autoSpaceDE w:val="0"/>
              <w:autoSpaceDN w:val="0"/>
              <w:adjustRightInd w:val="0"/>
              <w:spacing w:line="500" w:lineRule="exact"/>
              <w:jc w:val="center"/>
              <w:rPr>
                <w:rFonts w:ascii="宋体" w:hAnsi="宋体"/>
                <w:bCs/>
                <w:caps/>
                <w:szCs w:val="24"/>
                <w:highlight w:val="none"/>
              </w:rPr>
            </w:pPr>
          </w:p>
        </w:tc>
        <w:tc>
          <w:tcPr>
            <w:tcW w:w="1699" w:type="dxa"/>
            <w:noWrap w:val="0"/>
            <w:vAlign w:val="top"/>
          </w:tcPr>
          <w:p w14:paraId="60972F85">
            <w:pPr>
              <w:tabs>
                <w:tab w:val="right" w:leader="dot" w:pos="9022"/>
              </w:tabs>
              <w:autoSpaceDE w:val="0"/>
              <w:autoSpaceDN w:val="0"/>
              <w:adjustRightInd w:val="0"/>
              <w:spacing w:line="500" w:lineRule="exact"/>
              <w:ind w:firstLine="210" w:firstLineChars="100"/>
              <w:jc w:val="left"/>
              <w:rPr>
                <w:rFonts w:ascii="宋体" w:hAnsi="宋体"/>
                <w:bCs/>
                <w:caps/>
                <w:szCs w:val="24"/>
                <w:highlight w:val="none"/>
              </w:rPr>
            </w:pPr>
            <w:r>
              <w:rPr>
                <w:rFonts w:ascii="宋体" w:hAnsi="宋体"/>
                <w:bCs/>
                <w:caps/>
                <w:szCs w:val="24"/>
                <w:highlight w:val="none"/>
              </w:rPr>
              <w:t>传    真</w:t>
            </w:r>
          </w:p>
        </w:tc>
        <w:tc>
          <w:tcPr>
            <w:tcW w:w="5631" w:type="dxa"/>
            <w:gridSpan w:val="3"/>
            <w:noWrap w:val="0"/>
            <w:vAlign w:val="top"/>
          </w:tcPr>
          <w:p w14:paraId="2CE169BD">
            <w:pPr>
              <w:tabs>
                <w:tab w:val="right" w:leader="dot" w:pos="9022"/>
              </w:tabs>
              <w:autoSpaceDE w:val="0"/>
              <w:autoSpaceDN w:val="0"/>
              <w:adjustRightInd w:val="0"/>
              <w:spacing w:line="500" w:lineRule="exact"/>
              <w:jc w:val="left"/>
              <w:rPr>
                <w:rFonts w:ascii="宋体" w:hAnsi="宋体"/>
                <w:bCs/>
                <w:caps/>
                <w:szCs w:val="24"/>
                <w:highlight w:val="none"/>
              </w:rPr>
            </w:pPr>
          </w:p>
        </w:tc>
      </w:tr>
      <w:tr w14:paraId="65F1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90" w:type="dxa"/>
            <w:vMerge w:val="continue"/>
            <w:noWrap w:val="0"/>
            <w:vAlign w:val="center"/>
          </w:tcPr>
          <w:p w14:paraId="5E91DF18">
            <w:pPr>
              <w:tabs>
                <w:tab w:val="right" w:leader="dot" w:pos="9022"/>
              </w:tabs>
              <w:autoSpaceDE w:val="0"/>
              <w:autoSpaceDN w:val="0"/>
              <w:adjustRightInd w:val="0"/>
              <w:spacing w:line="500" w:lineRule="exact"/>
              <w:jc w:val="center"/>
              <w:rPr>
                <w:rFonts w:ascii="宋体" w:hAnsi="宋体"/>
                <w:bCs/>
                <w:caps/>
                <w:szCs w:val="24"/>
                <w:highlight w:val="none"/>
              </w:rPr>
            </w:pPr>
          </w:p>
        </w:tc>
        <w:tc>
          <w:tcPr>
            <w:tcW w:w="1699" w:type="dxa"/>
            <w:noWrap w:val="0"/>
            <w:vAlign w:val="top"/>
          </w:tcPr>
          <w:p w14:paraId="239FD28A">
            <w:pPr>
              <w:tabs>
                <w:tab w:val="right" w:leader="dot" w:pos="9022"/>
              </w:tabs>
              <w:autoSpaceDE w:val="0"/>
              <w:autoSpaceDN w:val="0"/>
              <w:adjustRightInd w:val="0"/>
              <w:spacing w:line="500" w:lineRule="exact"/>
              <w:ind w:firstLine="210" w:firstLineChars="100"/>
              <w:jc w:val="left"/>
              <w:rPr>
                <w:rFonts w:ascii="宋体" w:hAnsi="宋体"/>
                <w:bCs/>
                <w:caps/>
                <w:szCs w:val="24"/>
                <w:highlight w:val="none"/>
              </w:rPr>
            </w:pPr>
            <w:r>
              <w:rPr>
                <w:rFonts w:ascii="宋体" w:hAnsi="宋体"/>
                <w:bCs/>
                <w:caps/>
                <w:szCs w:val="24"/>
                <w:highlight w:val="none"/>
              </w:rPr>
              <w:t>通讯地址</w:t>
            </w:r>
          </w:p>
        </w:tc>
        <w:tc>
          <w:tcPr>
            <w:tcW w:w="5631" w:type="dxa"/>
            <w:gridSpan w:val="3"/>
            <w:noWrap w:val="0"/>
            <w:vAlign w:val="top"/>
          </w:tcPr>
          <w:p w14:paraId="07214A0E">
            <w:pPr>
              <w:tabs>
                <w:tab w:val="right" w:leader="dot" w:pos="9022"/>
              </w:tabs>
              <w:autoSpaceDE w:val="0"/>
              <w:autoSpaceDN w:val="0"/>
              <w:adjustRightInd w:val="0"/>
              <w:spacing w:line="500" w:lineRule="exact"/>
              <w:jc w:val="left"/>
              <w:rPr>
                <w:rFonts w:ascii="宋体" w:hAnsi="宋体"/>
                <w:bCs/>
                <w:caps/>
                <w:szCs w:val="24"/>
                <w:highlight w:val="none"/>
              </w:rPr>
            </w:pPr>
          </w:p>
        </w:tc>
      </w:tr>
      <w:tr w14:paraId="67C8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8720" w:type="dxa"/>
            <w:gridSpan w:val="5"/>
            <w:noWrap w:val="0"/>
            <w:vAlign w:val="top"/>
          </w:tcPr>
          <w:p w14:paraId="477A7629">
            <w:pPr>
              <w:tabs>
                <w:tab w:val="right" w:leader="dot" w:pos="9022"/>
              </w:tabs>
              <w:autoSpaceDE w:val="0"/>
              <w:autoSpaceDN w:val="0"/>
              <w:adjustRightInd w:val="0"/>
              <w:spacing w:line="500" w:lineRule="exact"/>
              <w:jc w:val="left"/>
              <w:rPr>
                <w:rFonts w:ascii="宋体" w:hAnsi="宋体"/>
                <w:bCs/>
                <w:caps/>
                <w:szCs w:val="24"/>
                <w:highlight w:val="none"/>
              </w:rPr>
            </w:pPr>
          </w:p>
          <w:p w14:paraId="29EC7D07">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bCs/>
                <w:caps/>
                <w:szCs w:val="24"/>
                <w:highlight w:val="none"/>
              </w:rPr>
              <w:t>法定代表人身份证复印件</w:t>
            </w:r>
          </w:p>
          <w:p w14:paraId="3E292717">
            <w:pPr>
              <w:tabs>
                <w:tab w:val="right" w:leader="dot" w:pos="9022"/>
              </w:tabs>
              <w:autoSpaceDE w:val="0"/>
              <w:autoSpaceDN w:val="0"/>
              <w:adjustRightInd w:val="0"/>
              <w:spacing w:line="500" w:lineRule="exact"/>
              <w:jc w:val="center"/>
              <w:rPr>
                <w:rFonts w:hint="eastAsia" w:ascii="宋体" w:hAnsi="宋体"/>
                <w:spacing w:val="-4"/>
                <w:szCs w:val="24"/>
                <w:highlight w:val="none"/>
              </w:rPr>
            </w:pPr>
          </w:p>
          <w:p w14:paraId="5458B879">
            <w:pPr>
              <w:tabs>
                <w:tab w:val="right" w:leader="dot" w:pos="9022"/>
              </w:tabs>
              <w:autoSpaceDE w:val="0"/>
              <w:autoSpaceDN w:val="0"/>
              <w:adjustRightInd w:val="0"/>
              <w:spacing w:line="500" w:lineRule="exact"/>
              <w:jc w:val="center"/>
              <w:rPr>
                <w:rFonts w:ascii="宋体" w:hAnsi="宋体"/>
                <w:bCs/>
                <w:caps/>
                <w:szCs w:val="24"/>
                <w:highlight w:val="none"/>
              </w:rPr>
            </w:pPr>
            <w:r>
              <w:rPr>
                <w:rFonts w:ascii="宋体" w:hAnsi="宋体"/>
                <w:spacing w:val="-4"/>
                <w:szCs w:val="24"/>
                <w:highlight w:val="none"/>
              </w:rPr>
              <w:t>二代身份证正、反两面都需复印</w:t>
            </w:r>
          </w:p>
          <w:p w14:paraId="1857BAE8">
            <w:pPr>
              <w:tabs>
                <w:tab w:val="right" w:leader="dot" w:pos="9022"/>
              </w:tabs>
              <w:autoSpaceDE w:val="0"/>
              <w:autoSpaceDN w:val="0"/>
              <w:adjustRightInd w:val="0"/>
              <w:spacing w:line="500" w:lineRule="exact"/>
              <w:jc w:val="center"/>
              <w:rPr>
                <w:rFonts w:hint="eastAsia" w:ascii="宋体" w:hAnsi="宋体"/>
                <w:bCs/>
                <w:caps/>
                <w:szCs w:val="24"/>
                <w:highlight w:val="none"/>
              </w:rPr>
            </w:pPr>
            <w:r>
              <w:rPr>
                <w:rFonts w:ascii="宋体" w:hAnsi="宋体"/>
                <w:bCs/>
                <w:caps/>
                <w:szCs w:val="24"/>
                <w:highlight w:val="none"/>
              </w:rPr>
              <w:t>（粘贴处）</w:t>
            </w:r>
          </w:p>
          <w:p w14:paraId="12DD8E29">
            <w:pPr>
              <w:tabs>
                <w:tab w:val="right" w:leader="dot" w:pos="9022"/>
              </w:tabs>
              <w:autoSpaceDE w:val="0"/>
              <w:autoSpaceDN w:val="0"/>
              <w:adjustRightInd w:val="0"/>
              <w:spacing w:line="500" w:lineRule="exact"/>
              <w:jc w:val="center"/>
              <w:rPr>
                <w:rFonts w:hint="eastAsia" w:ascii="宋体" w:hAnsi="宋体"/>
                <w:bCs/>
                <w:caps/>
                <w:szCs w:val="24"/>
                <w:highlight w:val="none"/>
              </w:rPr>
            </w:pPr>
          </w:p>
          <w:p w14:paraId="53AA2556">
            <w:pPr>
              <w:tabs>
                <w:tab w:val="right" w:leader="dot" w:pos="9022"/>
              </w:tabs>
              <w:autoSpaceDE w:val="0"/>
              <w:autoSpaceDN w:val="0"/>
              <w:adjustRightInd w:val="0"/>
              <w:spacing w:line="500" w:lineRule="exact"/>
              <w:jc w:val="center"/>
              <w:rPr>
                <w:rFonts w:ascii="宋体" w:hAnsi="宋体"/>
                <w:bCs/>
                <w:caps/>
                <w:szCs w:val="24"/>
                <w:highlight w:val="none"/>
              </w:rPr>
            </w:pPr>
          </w:p>
        </w:tc>
      </w:tr>
      <w:tr w14:paraId="3E54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8720" w:type="dxa"/>
            <w:gridSpan w:val="5"/>
            <w:noWrap w:val="0"/>
            <w:vAlign w:val="top"/>
          </w:tcPr>
          <w:p w14:paraId="504315A6">
            <w:pPr>
              <w:tabs>
                <w:tab w:val="right" w:leader="dot" w:pos="9022"/>
              </w:tabs>
              <w:autoSpaceDE w:val="0"/>
              <w:autoSpaceDN w:val="0"/>
              <w:adjustRightInd w:val="0"/>
              <w:spacing w:line="500" w:lineRule="exact"/>
              <w:jc w:val="left"/>
              <w:rPr>
                <w:rFonts w:ascii="宋体" w:hAnsi="宋体"/>
                <w:bCs/>
                <w:caps/>
                <w:szCs w:val="24"/>
                <w:highlight w:val="none"/>
              </w:rPr>
            </w:pPr>
            <w:r>
              <w:rPr>
                <w:rFonts w:ascii="宋体" w:hAnsi="宋体"/>
                <w:bCs/>
                <w:caps/>
                <w:szCs w:val="24"/>
                <w:highlight w:val="none"/>
              </w:rPr>
              <w:t>法定代表人签字</w:t>
            </w:r>
            <w:r>
              <w:rPr>
                <w:rFonts w:hint="eastAsia" w:ascii="宋体" w:hAnsi="宋体"/>
                <w:bCs/>
                <w:caps/>
                <w:szCs w:val="24"/>
                <w:highlight w:val="none"/>
              </w:rPr>
              <w:t>或盖章：</w:t>
            </w:r>
          </w:p>
        </w:tc>
      </w:tr>
    </w:tbl>
    <w:p w14:paraId="71CBF8F3">
      <w:pPr>
        <w:spacing w:line="480" w:lineRule="auto"/>
        <w:ind w:firstLine="420" w:firstLineChars="200"/>
        <w:jc w:val="left"/>
        <w:rPr>
          <w:rFonts w:ascii="宋体" w:hAnsi="宋体"/>
          <w:sz w:val="24"/>
          <w:highlight w:val="none"/>
        </w:rPr>
      </w:pPr>
      <w:r>
        <w:rPr>
          <w:rFonts w:hint="eastAsia" w:ascii="宋体" w:hAnsi="宋体"/>
          <w:highlight w:val="none"/>
        </w:rPr>
        <w:t xml:space="preserve">            </w:t>
      </w:r>
      <w:r>
        <w:rPr>
          <w:rFonts w:hint="eastAsia" w:ascii="宋体" w:hAnsi="宋体"/>
          <w:b/>
          <w:sz w:val="32"/>
          <w:szCs w:val="32"/>
          <w:highlight w:val="none"/>
        </w:rPr>
        <w:t xml:space="preserve"> </w:t>
      </w:r>
      <w:r>
        <w:rPr>
          <w:rFonts w:ascii="宋体" w:hAnsi="宋体"/>
          <w:b/>
          <w:sz w:val="32"/>
          <w:szCs w:val="32"/>
          <w:highlight w:val="none"/>
        </w:rPr>
        <w:br w:type="page"/>
      </w:r>
    </w:p>
    <w:p w14:paraId="0D427E5D">
      <w:pPr>
        <w:numPr>
          <w:ilvl w:val="0"/>
          <w:numId w:val="0"/>
        </w:numPr>
        <w:shd w:val="clear" w:color="auto" w:fill="auto"/>
        <w:spacing w:line="360" w:lineRule="auto"/>
        <w:ind w:firstLine="0" w:firstLineChars="0"/>
        <w:outlineLvl w:val="2"/>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4、</w:t>
      </w:r>
      <w:r>
        <w:rPr>
          <w:rFonts w:hint="eastAsia" w:ascii="仿宋" w:hAnsi="仿宋" w:eastAsia="仿宋" w:cs="仿宋"/>
          <w:b/>
          <w:bCs/>
          <w:color w:val="auto"/>
          <w:sz w:val="30"/>
          <w:szCs w:val="30"/>
          <w:highlight w:val="none"/>
        </w:rPr>
        <w:t>信用记录</w:t>
      </w:r>
    </w:p>
    <w:p w14:paraId="2B4E0F00">
      <w:pPr>
        <w:shd w:val="clear" w:color="auto" w:fill="auto"/>
        <w:spacing w:line="500" w:lineRule="exact"/>
        <w:jc w:val="center"/>
        <w:rPr>
          <w:rFonts w:hint="eastAsia" w:ascii="仿宋" w:hAnsi="仿宋" w:eastAsia="仿宋" w:cs="仿宋"/>
          <w:b/>
          <w:bCs/>
          <w:color w:val="auto"/>
          <w:sz w:val="28"/>
          <w:szCs w:val="28"/>
          <w:highlight w:val="none"/>
        </w:rPr>
      </w:pPr>
      <w:bookmarkStart w:id="37" w:name="_Toc17411"/>
      <w:bookmarkStart w:id="38" w:name="_Toc528596084"/>
      <w:bookmarkStart w:id="39" w:name="_Toc28966"/>
      <w:bookmarkStart w:id="40" w:name="_Toc28054"/>
      <w:bookmarkStart w:id="41" w:name="_Toc18549"/>
      <w:bookmarkStart w:id="42" w:name="_Toc19115"/>
      <w:bookmarkStart w:id="43" w:name="_Toc24112"/>
      <w:bookmarkStart w:id="44" w:name="_Toc9011"/>
      <w:bookmarkStart w:id="45" w:name="_Toc5040"/>
      <w:bookmarkStart w:id="46" w:name="_Toc726"/>
      <w:bookmarkStart w:id="47" w:name="_Toc17677"/>
      <w:bookmarkStart w:id="48" w:name="_Toc13679"/>
      <w:bookmarkStart w:id="49" w:name="_Toc22518"/>
      <w:r>
        <w:rPr>
          <w:rFonts w:hint="eastAsia" w:ascii="仿宋" w:hAnsi="仿宋" w:eastAsia="仿宋" w:cs="仿宋"/>
          <w:b/>
          <w:bCs/>
          <w:color w:val="auto"/>
          <w:sz w:val="28"/>
          <w:szCs w:val="28"/>
          <w:highlight w:val="none"/>
        </w:rPr>
        <w:t>供应商信用记录书面声明函</w:t>
      </w:r>
      <w:bookmarkEnd w:id="37"/>
      <w:bookmarkEnd w:id="38"/>
      <w:bookmarkEnd w:id="39"/>
      <w:bookmarkEnd w:id="40"/>
      <w:bookmarkEnd w:id="41"/>
      <w:bookmarkEnd w:id="42"/>
      <w:bookmarkEnd w:id="43"/>
      <w:bookmarkEnd w:id="44"/>
      <w:bookmarkEnd w:id="45"/>
      <w:bookmarkEnd w:id="46"/>
      <w:bookmarkEnd w:id="47"/>
      <w:bookmarkEnd w:id="48"/>
      <w:bookmarkEnd w:id="49"/>
    </w:p>
    <w:p w14:paraId="4BF204FD">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致：(采购人名称）</w:t>
      </w:r>
    </w:p>
    <w:p w14:paraId="74487ECB">
      <w:pPr>
        <w:shd w:val="clear" w:color="auto" w:fill="auto"/>
        <w:spacing w:line="360" w:lineRule="auto"/>
        <w:ind w:right="11"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我方作为《</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供应商，在此郑重声明：</w:t>
      </w:r>
    </w:p>
    <w:p w14:paraId="3BFC88C5">
      <w:pPr>
        <w:shd w:val="clear" w:color="auto" w:fill="auto"/>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1、供应商在参加政府采购活动前3年内因违法经营被禁止在一定期限内参加政府采购活动，期限届满的，可以参加政府采购活动，但应提供期限届满的证明材料。</w:t>
      </w:r>
    </w:p>
    <w:p w14:paraId="08A7322C">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2、我方_____（填“未被列入”或“被列入”）“信用中国”网站失信被执行人名单。</w:t>
      </w:r>
    </w:p>
    <w:p w14:paraId="6FD718A5">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3、我方_____（填“未被列入”或“被列入”）“信用中国”网站重大税收违法</w:t>
      </w:r>
      <w:r>
        <w:rPr>
          <w:rFonts w:hint="eastAsia" w:ascii="宋体" w:hAnsi="宋体" w:eastAsia="宋体" w:cs="宋体"/>
          <w:color w:val="auto"/>
          <w:sz w:val="24"/>
          <w:szCs w:val="24"/>
          <w:highlight w:val="none"/>
          <w:lang w:val="en-US" w:eastAsia="zh-CN"/>
        </w:rPr>
        <w:t>失信主体名单</w:t>
      </w:r>
      <w:r>
        <w:rPr>
          <w:rFonts w:hint="eastAsia" w:ascii="宋体" w:hAnsi="宋体" w:eastAsia="宋体" w:cs="宋体"/>
          <w:color w:val="auto"/>
          <w:sz w:val="24"/>
          <w:szCs w:val="24"/>
          <w:highlight w:val="none"/>
        </w:rPr>
        <w:t>。</w:t>
      </w:r>
    </w:p>
    <w:p w14:paraId="2D80E943">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4、我方_____（填“未被列入”或“被列入”）中国政府采购网站政府采购严重违法失信行为记录名单。</w:t>
      </w:r>
    </w:p>
    <w:p w14:paraId="3E4F215A">
      <w:pPr>
        <w:shd w:val="clear" w:color="auto" w:fill="auto"/>
        <w:spacing w:line="360" w:lineRule="auto"/>
        <w:ind w:firstLine="480" w:firstLineChars="200"/>
        <w:rPr>
          <w:rFonts w:hint="eastAsia" w:ascii="宋体" w:hAnsi="宋体" w:eastAsia="宋体" w:cs="宋体"/>
          <w:color w:val="auto"/>
          <w:sz w:val="24"/>
          <w:szCs w:val="24"/>
          <w:highlight w:val="none"/>
        </w:rPr>
      </w:pPr>
      <w:bookmarkStart w:id="50" w:name="OLE_LINK36"/>
      <w:r>
        <w:rPr>
          <w:rFonts w:hint="eastAsia" w:ascii="宋体" w:hAnsi="宋体" w:eastAsia="宋体" w:cs="宋体"/>
          <w:color w:val="auto"/>
          <w:sz w:val="24"/>
          <w:szCs w:val="24"/>
          <w:highlight w:val="none"/>
        </w:rPr>
        <w:t>如有不实，我方将无条件地退出本项目的采购活动，并遵照《</w:t>
      </w:r>
      <w:r>
        <w:rPr>
          <w:rFonts w:hint="eastAsia" w:ascii="宋体" w:hAnsi="宋体" w:eastAsia="宋体" w:cs="宋体"/>
          <w:color w:val="auto"/>
          <w:sz w:val="24"/>
          <w:szCs w:val="24"/>
          <w:highlight w:val="none"/>
          <w:lang w:eastAsia="zh-CN"/>
        </w:rPr>
        <w:t>中华人民共和国政府采购法</w:t>
      </w:r>
      <w:r>
        <w:rPr>
          <w:rFonts w:hint="eastAsia" w:ascii="宋体" w:hAnsi="宋体" w:eastAsia="宋体" w:cs="宋体"/>
          <w:color w:val="auto"/>
          <w:sz w:val="24"/>
          <w:szCs w:val="24"/>
          <w:highlight w:val="none"/>
        </w:rPr>
        <w:t>》有关“提供虚假材料的规定”接受处罚。</w:t>
      </w:r>
    </w:p>
    <w:bookmarkEnd w:id="50"/>
    <w:p w14:paraId="0A264E55">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134CE651">
      <w:pPr>
        <w:spacing w:line="480" w:lineRule="auto"/>
        <w:jc w:val="left"/>
        <w:rPr>
          <w:rFonts w:hint="eastAsia" w:ascii="宋体" w:hAnsi="宋体"/>
          <w:sz w:val="24"/>
          <w:highlight w:val="none"/>
        </w:rPr>
      </w:pPr>
    </w:p>
    <w:p w14:paraId="40FF09E6">
      <w:pPr>
        <w:spacing w:line="480" w:lineRule="auto"/>
        <w:ind w:firstLine="240" w:firstLineChars="100"/>
        <w:jc w:val="left"/>
        <w:rPr>
          <w:rFonts w:ascii="宋体" w:hAnsi="宋体"/>
          <w:sz w:val="24"/>
          <w:szCs w:val="24"/>
          <w:highlight w:val="none"/>
          <w:u w:val="single"/>
        </w:rPr>
      </w:pPr>
      <w:r>
        <w:rPr>
          <w:rFonts w:hint="eastAsia" w:ascii="宋体" w:hAnsi="宋体"/>
          <w:sz w:val="24"/>
          <w:szCs w:val="24"/>
          <w:highlight w:val="none"/>
        </w:rPr>
        <w:t>供应商（公章）</w:t>
      </w:r>
      <w:r>
        <w:rPr>
          <w:rFonts w:ascii="宋体" w:hAnsi="宋体"/>
          <w:sz w:val="24"/>
          <w:szCs w:val="24"/>
          <w:highlight w:val="none"/>
        </w:rPr>
        <w:t>：</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14:paraId="6FDD92E3">
      <w:pPr>
        <w:spacing w:line="480" w:lineRule="auto"/>
        <w:ind w:firstLine="240" w:firstLineChars="100"/>
        <w:jc w:val="left"/>
        <w:rPr>
          <w:rFonts w:ascii="宋体" w:hAnsi="宋体"/>
          <w:sz w:val="24"/>
          <w:szCs w:val="24"/>
          <w:highlight w:val="none"/>
          <w:u w:val="single"/>
        </w:rPr>
      </w:pPr>
      <w:r>
        <w:rPr>
          <w:rFonts w:hint="eastAsia" w:ascii="宋体" w:hAnsi="宋体"/>
          <w:sz w:val="24"/>
          <w:szCs w:val="24"/>
          <w:highlight w:val="none"/>
        </w:rPr>
        <w:t>法定代表人或被授权人（签字或盖章）：</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p>
    <w:p w14:paraId="60F8B328">
      <w:pPr>
        <w:spacing w:line="360" w:lineRule="auto"/>
        <w:rPr>
          <w:rFonts w:hint="eastAsia" w:ascii="仿宋" w:hAnsi="仿宋" w:eastAsia="仿宋" w:cs="仿宋"/>
          <w:sz w:val="24"/>
          <w:szCs w:val="24"/>
          <w:highlight w:val="none"/>
        </w:rPr>
      </w:pPr>
      <w:r>
        <w:rPr>
          <w:rFonts w:hint="eastAsia" w:hAnsi="宋体"/>
          <w:sz w:val="24"/>
          <w:szCs w:val="24"/>
          <w:highlight w:val="none"/>
        </w:rPr>
        <w:t xml:space="preserve">  日  </w:t>
      </w:r>
      <w:r>
        <w:rPr>
          <w:rFonts w:hAnsi="宋体"/>
          <w:sz w:val="24"/>
          <w:szCs w:val="24"/>
          <w:highlight w:val="none"/>
        </w:rPr>
        <w:t xml:space="preserve"> </w:t>
      </w:r>
      <w:r>
        <w:rPr>
          <w:rFonts w:hint="eastAsia" w:hAnsi="宋体"/>
          <w:sz w:val="24"/>
          <w:szCs w:val="24"/>
          <w:highlight w:val="none"/>
        </w:rPr>
        <w:t>期</w:t>
      </w:r>
      <w:r>
        <w:rPr>
          <w:rFonts w:hAnsi="宋体"/>
          <w:sz w:val="24"/>
          <w:szCs w:val="24"/>
          <w:highlight w:val="none"/>
        </w:rPr>
        <w:t>：</w:t>
      </w:r>
      <w:r>
        <w:rPr>
          <w:rFonts w:hint="eastAsia" w:hAnsi="宋体"/>
          <w:sz w:val="24"/>
          <w:szCs w:val="24"/>
          <w:highlight w:val="none"/>
        </w:rPr>
        <w:t xml:space="preserve">      年    月    日</w:t>
      </w:r>
    </w:p>
    <w:p w14:paraId="567BA8F0">
      <w:pPr>
        <w:spacing w:line="480" w:lineRule="auto"/>
        <w:ind w:firstLine="480" w:firstLineChars="200"/>
        <w:jc w:val="left"/>
        <w:rPr>
          <w:rFonts w:ascii="宋体" w:hAnsi="宋体"/>
          <w:sz w:val="24"/>
          <w:highlight w:val="none"/>
        </w:rPr>
      </w:pPr>
    </w:p>
    <w:p w14:paraId="112D78DD">
      <w:pPr>
        <w:spacing w:line="360" w:lineRule="atLeast"/>
        <w:jc w:val="both"/>
        <w:rPr>
          <w:highlight w:val="none"/>
        </w:rPr>
      </w:pPr>
      <w:r>
        <w:rPr>
          <w:rFonts w:hint="eastAsia" w:ascii="宋体" w:hAnsi="宋体"/>
          <w:sz w:val="24"/>
          <w:highlight w:val="none"/>
        </w:rPr>
        <w:t xml:space="preserve">            </w:t>
      </w:r>
      <w:r>
        <w:rPr>
          <w:rFonts w:hint="eastAsia" w:ascii="宋体" w:hAnsi="宋体"/>
          <w:b/>
          <w:sz w:val="32"/>
          <w:szCs w:val="32"/>
          <w:highlight w:val="none"/>
        </w:rPr>
        <w:t xml:space="preserve"> </w:t>
      </w:r>
    </w:p>
    <w:p w14:paraId="71837ABC">
      <w:pPr>
        <w:spacing w:line="360" w:lineRule="atLeast"/>
        <w:rPr>
          <w:rFonts w:hint="eastAsia"/>
          <w:color w:val="FF0000"/>
          <w:sz w:val="32"/>
          <w:highlight w:val="none"/>
        </w:rPr>
      </w:pPr>
    </w:p>
    <w:p w14:paraId="5809EC5C">
      <w:pPr>
        <w:rPr>
          <w:szCs w:val="28"/>
          <w:highlight w:val="none"/>
        </w:rPr>
      </w:pPr>
      <w:r>
        <w:rPr>
          <w:szCs w:val="28"/>
          <w:highlight w:val="none"/>
        </w:rPr>
        <w:br w:type="page"/>
      </w:r>
    </w:p>
    <w:p w14:paraId="036D05F3">
      <w:pPr>
        <w:shd w:val="clear" w:color="auto" w:fill="auto"/>
        <w:spacing w:line="360" w:lineRule="auto"/>
        <w:outlineLvl w:val="2"/>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5、</w:t>
      </w:r>
      <w:r>
        <w:rPr>
          <w:rFonts w:hint="eastAsia" w:ascii="仿宋" w:hAnsi="仿宋" w:eastAsia="仿宋" w:cs="仿宋"/>
          <w:b/>
          <w:bCs/>
          <w:color w:val="auto"/>
          <w:sz w:val="30"/>
          <w:szCs w:val="30"/>
          <w:highlight w:val="none"/>
        </w:rPr>
        <w:t>控股管理关系</w:t>
      </w:r>
    </w:p>
    <w:p w14:paraId="18E85341">
      <w:pPr>
        <w:shd w:val="clear" w:color="auto" w:fill="auto"/>
        <w:spacing w:line="500" w:lineRule="exact"/>
        <w:jc w:val="center"/>
        <w:rPr>
          <w:rFonts w:hint="eastAsia" w:ascii="仿宋" w:hAnsi="仿宋" w:eastAsia="仿宋" w:cs="仿宋"/>
          <w:b/>
          <w:bCs/>
          <w:color w:val="auto"/>
          <w:sz w:val="28"/>
          <w:szCs w:val="28"/>
          <w:highlight w:val="none"/>
          <w:lang w:val="zh-CN"/>
        </w:rPr>
      </w:pPr>
      <w:r>
        <w:rPr>
          <w:rFonts w:hint="eastAsia" w:ascii="仿宋" w:hAnsi="仿宋" w:eastAsia="仿宋" w:cs="仿宋"/>
          <w:b/>
          <w:bCs/>
          <w:color w:val="auto"/>
          <w:sz w:val="28"/>
          <w:szCs w:val="28"/>
          <w:highlight w:val="none"/>
          <w:lang w:val="zh-CN"/>
        </w:rPr>
        <w:t>供应商控股管理关系承诺书</w:t>
      </w:r>
    </w:p>
    <w:p w14:paraId="13527E81">
      <w:pPr>
        <w:pStyle w:val="17"/>
        <w:shd w:val="clear" w:color="auto" w:fill="auto"/>
        <w:rPr>
          <w:rFonts w:hint="eastAsia" w:ascii="仿宋" w:hAnsi="仿宋" w:eastAsia="仿宋" w:cs="仿宋"/>
          <w:color w:val="auto"/>
          <w:highlight w:val="none"/>
          <w:lang w:val="zh-CN"/>
        </w:rPr>
      </w:pPr>
    </w:p>
    <w:p w14:paraId="4C2B892E">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1、供应商在本项目投标中，不存在与其它供应商负责人为同一人，有控股、管理等关联关系承诺：</w:t>
      </w:r>
    </w:p>
    <w:p w14:paraId="4BE76967">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1.1管理关系说明：</w:t>
      </w:r>
    </w:p>
    <w:p w14:paraId="6BB4D81C">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我单位管理的具有独立法人的下属单位有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548B25E">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我单位的上级管理单位有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05CAF79">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1.2股权关系说明：</w:t>
      </w:r>
    </w:p>
    <w:p w14:paraId="48B1B3D5">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我单位控股的单位有</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C15411D">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单位控股。</w:t>
      </w:r>
    </w:p>
    <w:p w14:paraId="71E93544">
      <w:pPr>
        <w:shd w:val="clear" w:color="auto" w:fill="auto"/>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1.3单位负责人：</w:t>
      </w:r>
      <w:r>
        <w:rPr>
          <w:rFonts w:hint="eastAsia" w:ascii="宋体" w:hAnsi="宋体" w:eastAsia="宋体" w:cs="宋体"/>
          <w:color w:val="auto"/>
          <w:sz w:val="24"/>
          <w:szCs w:val="24"/>
          <w:highlight w:val="none"/>
          <w:u w:val="single"/>
        </w:rPr>
        <w:t xml:space="preserve">                </w:t>
      </w:r>
    </w:p>
    <w:p w14:paraId="782067BC">
      <w:pPr>
        <w:shd w:val="clear" w:color="auto" w:fill="auto"/>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2、其他与本项目有关的利害关系说明：</w:t>
      </w:r>
      <w:r>
        <w:rPr>
          <w:rFonts w:hint="eastAsia" w:ascii="宋体" w:hAnsi="宋体" w:eastAsia="宋体" w:cs="宋体"/>
          <w:color w:val="auto"/>
          <w:sz w:val="24"/>
          <w:szCs w:val="24"/>
          <w:highlight w:val="none"/>
          <w:u w:val="single"/>
        </w:rPr>
        <w:t xml:space="preserve">                               </w:t>
      </w:r>
    </w:p>
    <w:p w14:paraId="367411C9">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我单位承诺以上说明真实有效，无虚假内容或隐瞒。</w:t>
      </w:r>
    </w:p>
    <w:p w14:paraId="2C12803A">
      <w:pPr>
        <w:shd w:val="clear" w:color="auto" w:fill="auto"/>
        <w:spacing w:line="360" w:lineRule="auto"/>
        <w:ind w:firstLine="240" w:firstLineChars="100"/>
        <w:rPr>
          <w:rFonts w:hint="eastAsia" w:ascii="宋体" w:hAnsi="宋体" w:eastAsia="宋体" w:cs="宋体"/>
          <w:color w:val="auto"/>
          <w:sz w:val="24"/>
          <w:szCs w:val="24"/>
          <w:highlight w:val="none"/>
        </w:rPr>
      </w:pPr>
    </w:p>
    <w:p w14:paraId="6A47E3B0">
      <w:pPr>
        <w:pStyle w:val="17"/>
        <w:shd w:val="clear" w:color="auto" w:fill="auto"/>
        <w:rPr>
          <w:rFonts w:hint="eastAsia" w:ascii="仿宋" w:hAnsi="仿宋" w:eastAsia="仿宋" w:cs="仿宋"/>
          <w:color w:val="auto"/>
          <w:highlight w:val="none"/>
        </w:rPr>
      </w:pPr>
    </w:p>
    <w:p w14:paraId="00D2F547">
      <w:pPr>
        <w:spacing w:line="480" w:lineRule="auto"/>
        <w:jc w:val="left"/>
        <w:rPr>
          <w:rFonts w:hint="eastAsia" w:ascii="宋体" w:hAnsi="宋体"/>
          <w:sz w:val="24"/>
          <w:highlight w:val="none"/>
        </w:rPr>
      </w:pPr>
    </w:p>
    <w:p w14:paraId="2C6AC7C3">
      <w:pPr>
        <w:spacing w:line="480" w:lineRule="auto"/>
        <w:ind w:firstLine="240" w:firstLineChars="100"/>
        <w:jc w:val="left"/>
        <w:rPr>
          <w:rFonts w:ascii="宋体" w:hAnsi="宋体"/>
          <w:sz w:val="24"/>
          <w:szCs w:val="24"/>
          <w:highlight w:val="none"/>
          <w:u w:val="single"/>
        </w:rPr>
      </w:pPr>
      <w:r>
        <w:rPr>
          <w:rFonts w:hint="eastAsia" w:ascii="宋体" w:hAnsi="宋体"/>
          <w:sz w:val="24"/>
          <w:szCs w:val="24"/>
          <w:highlight w:val="none"/>
        </w:rPr>
        <w:t>供应商（公章）</w:t>
      </w:r>
      <w:r>
        <w:rPr>
          <w:rFonts w:ascii="宋体" w:hAnsi="宋体"/>
          <w:sz w:val="24"/>
          <w:szCs w:val="24"/>
          <w:highlight w:val="none"/>
        </w:rPr>
        <w:t>：</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14:paraId="531FD5AF">
      <w:pPr>
        <w:spacing w:line="480" w:lineRule="auto"/>
        <w:ind w:firstLine="240" w:firstLineChars="100"/>
        <w:jc w:val="left"/>
        <w:rPr>
          <w:rFonts w:ascii="宋体" w:hAnsi="宋体"/>
          <w:sz w:val="24"/>
          <w:szCs w:val="24"/>
          <w:highlight w:val="none"/>
          <w:u w:val="single"/>
        </w:rPr>
      </w:pPr>
      <w:r>
        <w:rPr>
          <w:rFonts w:hint="eastAsia" w:ascii="宋体" w:hAnsi="宋体"/>
          <w:sz w:val="24"/>
          <w:szCs w:val="24"/>
          <w:highlight w:val="none"/>
        </w:rPr>
        <w:t>法定代表人或被授权人（签字或盖章）：</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p>
    <w:p w14:paraId="2507A53B">
      <w:pPr>
        <w:spacing w:line="360" w:lineRule="auto"/>
        <w:rPr>
          <w:rFonts w:hint="eastAsia" w:ascii="仿宋" w:hAnsi="仿宋" w:eastAsia="仿宋" w:cs="仿宋"/>
          <w:sz w:val="24"/>
          <w:szCs w:val="24"/>
          <w:highlight w:val="none"/>
        </w:rPr>
      </w:pPr>
      <w:r>
        <w:rPr>
          <w:rFonts w:hint="eastAsia" w:hAnsi="宋体"/>
          <w:sz w:val="24"/>
          <w:szCs w:val="24"/>
          <w:highlight w:val="none"/>
        </w:rPr>
        <w:t xml:space="preserve">  日  </w:t>
      </w:r>
      <w:r>
        <w:rPr>
          <w:rFonts w:hAnsi="宋体"/>
          <w:sz w:val="24"/>
          <w:szCs w:val="24"/>
          <w:highlight w:val="none"/>
        </w:rPr>
        <w:t xml:space="preserve"> </w:t>
      </w:r>
      <w:r>
        <w:rPr>
          <w:rFonts w:hint="eastAsia" w:hAnsi="宋体"/>
          <w:sz w:val="24"/>
          <w:szCs w:val="24"/>
          <w:highlight w:val="none"/>
        </w:rPr>
        <w:t>期</w:t>
      </w:r>
      <w:r>
        <w:rPr>
          <w:rFonts w:hAnsi="宋体"/>
          <w:sz w:val="24"/>
          <w:szCs w:val="24"/>
          <w:highlight w:val="none"/>
        </w:rPr>
        <w:t>：</w:t>
      </w:r>
      <w:r>
        <w:rPr>
          <w:rFonts w:hint="eastAsia" w:hAnsi="宋体"/>
          <w:sz w:val="24"/>
          <w:szCs w:val="24"/>
          <w:highlight w:val="none"/>
        </w:rPr>
        <w:t xml:space="preserve">      年    月    日</w:t>
      </w:r>
    </w:p>
    <w:p w14:paraId="2BD7BBFB">
      <w:pPr>
        <w:spacing w:line="480" w:lineRule="auto"/>
        <w:ind w:firstLine="480" w:firstLineChars="200"/>
        <w:jc w:val="left"/>
        <w:rPr>
          <w:rFonts w:ascii="宋体" w:hAnsi="宋体"/>
          <w:sz w:val="24"/>
          <w:highlight w:val="none"/>
        </w:rPr>
      </w:pPr>
    </w:p>
    <w:p w14:paraId="0CF9CE34">
      <w:pPr>
        <w:widowControl/>
        <w:shd w:val="clear" w:color="auto" w:fill="auto"/>
        <w:spacing w:line="408" w:lineRule="auto"/>
        <w:ind w:left="239" w:leftChars="114"/>
        <w:jc w:val="center"/>
        <w:rPr>
          <w:rFonts w:hint="eastAsia" w:ascii="仿宋" w:hAnsi="仿宋" w:eastAsia="仿宋" w:cs="仿宋"/>
          <w:color w:val="auto"/>
          <w:highlight w:val="none"/>
        </w:rPr>
      </w:pPr>
    </w:p>
    <w:p w14:paraId="40478B54">
      <w:pPr>
        <w:rPr>
          <w:szCs w:val="28"/>
          <w:highlight w:val="none"/>
        </w:rPr>
      </w:pPr>
      <w:r>
        <w:rPr>
          <w:szCs w:val="28"/>
          <w:highlight w:val="none"/>
        </w:rPr>
        <w:br w:type="page"/>
      </w:r>
    </w:p>
    <w:p w14:paraId="10BCCA82">
      <w:pPr>
        <w:shd w:val="clear" w:color="auto" w:fill="auto"/>
        <w:spacing w:line="360" w:lineRule="auto"/>
        <w:outlineLvl w:val="2"/>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6、</w:t>
      </w:r>
      <w:r>
        <w:rPr>
          <w:rFonts w:hint="eastAsia" w:ascii="仿宋" w:hAnsi="仿宋" w:eastAsia="仿宋" w:cs="仿宋"/>
          <w:b/>
          <w:bCs/>
          <w:color w:val="auto"/>
          <w:sz w:val="30"/>
          <w:szCs w:val="30"/>
          <w:highlight w:val="none"/>
        </w:rPr>
        <w:t>供应商书面声明</w:t>
      </w:r>
    </w:p>
    <w:p w14:paraId="7533504A">
      <w:pPr>
        <w:shd w:val="clear" w:color="auto" w:fill="auto"/>
        <w:spacing w:line="5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供应商未为本项目提供整体设计、规范编制或者项目管理、监理、检测等服务的书面声明</w:t>
      </w:r>
    </w:p>
    <w:p w14:paraId="2ED1D25B">
      <w:pPr>
        <w:shd w:val="clear" w:color="auto" w:fill="auto"/>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(采购人名称）</w:t>
      </w:r>
    </w:p>
    <w:p w14:paraId="7439831F">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我方作为</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）的投标供应商，在此郑重声明：</w:t>
      </w:r>
    </w:p>
    <w:p w14:paraId="07B0DDF9">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w:t>
      </w:r>
      <w:r>
        <w:rPr>
          <w:rFonts w:hint="eastAsia" w:ascii="宋体" w:hAnsi="宋体" w:eastAsia="宋体" w:cs="宋体"/>
          <w:color w:val="auto"/>
          <w:sz w:val="24"/>
          <w:szCs w:val="24"/>
          <w:highlight w:val="none"/>
          <w:u w:val="single"/>
        </w:rPr>
        <w:t xml:space="preserve"> 属于/不属于 </w:t>
      </w:r>
      <w:r>
        <w:rPr>
          <w:rFonts w:hint="eastAsia" w:ascii="宋体" w:hAnsi="宋体" w:eastAsia="宋体" w:cs="宋体"/>
          <w:color w:val="auto"/>
          <w:sz w:val="24"/>
          <w:szCs w:val="24"/>
          <w:highlight w:val="none"/>
        </w:rPr>
        <w:t>为本项目提供整体设计、规范编制或者项目管理、监理、检测等服务的供应商。</w:t>
      </w:r>
    </w:p>
    <w:p w14:paraId="75C3CA3D">
      <w:pPr>
        <w:shd w:val="clear" w:color="auto" w:fill="auto"/>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如有不实，我方将无条件地退出本项目的采购活动，并遵照《</w:t>
      </w:r>
      <w:r>
        <w:rPr>
          <w:rFonts w:hint="eastAsia" w:ascii="宋体" w:hAnsi="宋体" w:eastAsia="宋体" w:cs="宋体"/>
          <w:color w:val="auto"/>
          <w:sz w:val="24"/>
          <w:szCs w:val="24"/>
          <w:highlight w:val="none"/>
          <w:lang w:eastAsia="zh-CN"/>
        </w:rPr>
        <w:t>中华人民共和国政府采购法</w:t>
      </w:r>
      <w:r>
        <w:rPr>
          <w:rFonts w:hint="eastAsia" w:ascii="宋体" w:hAnsi="宋体" w:eastAsia="宋体" w:cs="宋体"/>
          <w:color w:val="auto"/>
          <w:sz w:val="24"/>
          <w:szCs w:val="24"/>
          <w:highlight w:val="none"/>
        </w:rPr>
        <w:t>》有关“提供虚假材料的规定”接受处罚。</w:t>
      </w:r>
    </w:p>
    <w:p w14:paraId="21EBB85E">
      <w:pPr>
        <w:shd w:val="clear" w:color="auto" w:fill="auto"/>
        <w:spacing w:line="360" w:lineRule="auto"/>
        <w:rPr>
          <w:rFonts w:hint="eastAsia" w:ascii="仿宋" w:hAnsi="仿宋" w:eastAsia="仿宋" w:cs="仿宋"/>
          <w:color w:val="auto"/>
          <w:highlight w:val="none"/>
        </w:rPr>
      </w:pPr>
      <w:r>
        <w:rPr>
          <w:rFonts w:hint="eastAsia" w:ascii="宋体" w:hAnsi="宋体" w:eastAsia="宋体" w:cs="宋体"/>
          <w:color w:val="auto"/>
          <w:sz w:val="24"/>
          <w:szCs w:val="24"/>
          <w:highlight w:val="none"/>
        </w:rPr>
        <w:t>特此声明。</w:t>
      </w:r>
    </w:p>
    <w:p w14:paraId="406F155A">
      <w:pPr>
        <w:spacing w:line="480" w:lineRule="auto"/>
        <w:jc w:val="left"/>
        <w:rPr>
          <w:rFonts w:hint="eastAsia" w:ascii="宋体" w:hAnsi="宋体"/>
          <w:sz w:val="24"/>
          <w:highlight w:val="none"/>
        </w:rPr>
      </w:pPr>
    </w:p>
    <w:p w14:paraId="3BB66F85">
      <w:pPr>
        <w:spacing w:line="480" w:lineRule="auto"/>
        <w:ind w:firstLine="240" w:firstLineChars="100"/>
        <w:jc w:val="left"/>
        <w:rPr>
          <w:rFonts w:ascii="宋体" w:hAnsi="宋体"/>
          <w:sz w:val="24"/>
          <w:szCs w:val="24"/>
          <w:highlight w:val="none"/>
          <w:u w:val="single"/>
        </w:rPr>
      </w:pPr>
      <w:r>
        <w:rPr>
          <w:rFonts w:hint="eastAsia" w:ascii="宋体" w:hAnsi="宋体"/>
          <w:sz w:val="24"/>
          <w:szCs w:val="24"/>
          <w:highlight w:val="none"/>
        </w:rPr>
        <w:t>供应商（公章）</w:t>
      </w:r>
      <w:r>
        <w:rPr>
          <w:rFonts w:ascii="宋体" w:hAnsi="宋体"/>
          <w:sz w:val="24"/>
          <w:szCs w:val="24"/>
          <w:highlight w:val="none"/>
        </w:rPr>
        <w:t>：</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p>
    <w:p w14:paraId="6600A612">
      <w:pPr>
        <w:spacing w:line="480" w:lineRule="auto"/>
        <w:ind w:firstLine="240" w:firstLineChars="100"/>
        <w:jc w:val="left"/>
        <w:rPr>
          <w:rFonts w:ascii="宋体" w:hAnsi="宋体"/>
          <w:sz w:val="24"/>
          <w:szCs w:val="24"/>
          <w:highlight w:val="none"/>
          <w:u w:val="single"/>
        </w:rPr>
      </w:pPr>
      <w:r>
        <w:rPr>
          <w:rFonts w:hint="eastAsia" w:ascii="宋体" w:hAnsi="宋体"/>
          <w:sz w:val="24"/>
          <w:szCs w:val="24"/>
          <w:highlight w:val="none"/>
        </w:rPr>
        <w:t>法定代表人或被授权人（签字或盖章）：</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 xml:space="preserve"> </w:t>
      </w:r>
    </w:p>
    <w:p w14:paraId="78DEA390">
      <w:pPr>
        <w:spacing w:line="360" w:lineRule="auto"/>
        <w:rPr>
          <w:rFonts w:hint="eastAsia" w:ascii="仿宋" w:hAnsi="仿宋" w:eastAsia="仿宋" w:cs="仿宋"/>
          <w:sz w:val="24"/>
          <w:szCs w:val="24"/>
          <w:highlight w:val="none"/>
        </w:rPr>
      </w:pPr>
      <w:r>
        <w:rPr>
          <w:rFonts w:hint="eastAsia" w:hAnsi="宋体"/>
          <w:sz w:val="24"/>
          <w:szCs w:val="24"/>
          <w:highlight w:val="none"/>
        </w:rPr>
        <w:t xml:space="preserve">  日  </w:t>
      </w:r>
      <w:r>
        <w:rPr>
          <w:rFonts w:hAnsi="宋体"/>
          <w:sz w:val="24"/>
          <w:szCs w:val="24"/>
          <w:highlight w:val="none"/>
        </w:rPr>
        <w:t xml:space="preserve"> </w:t>
      </w:r>
      <w:r>
        <w:rPr>
          <w:rFonts w:hint="eastAsia" w:hAnsi="宋体"/>
          <w:sz w:val="24"/>
          <w:szCs w:val="24"/>
          <w:highlight w:val="none"/>
        </w:rPr>
        <w:t>期</w:t>
      </w:r>
      <w:r>
        <w:rPr>
          <w:rFonts w:hAnsi="宋体"/>
          <w:sz w:val="24"/>
          <w:szCs w:val="24"/>
          <w:highlight w:val="none"/>
        </w:rPr>
        <w:t>：</w:t>
      </w:r>
      <w:r>
        <w:rPr>
          <w:rFonts w:hint="eastAsia" w:hAnsi="宋体"/>
          <w:sz w:val="24"/>
          <w:szCs w:val="24"/>
          <w:highlight w:val="none"/>
        </w:rPr>
        <w:t xml:space="preserve">      年    月    日</w:t>
      </w:r>
    </w:p>
    <w:p w14:paraId="627DBC3F">
      <w:pPr>
        <w:spacing w:line="480" w:lineRule="auto"/>
        <w:ind w:firstLine="480" w:firstLineChars="200"/>
        <w:jc w:val="left"/>
        <w:rPr>
          <w:rFonts w:ascii="宋体" w:hAnsi="宋体"/>
          <w:sz w:val="24"/>
          <w:highlight w:val="none"/>
        </w:rPr>
      </w:pPr>
    </w:p>
    <w:p w14:paraId="0DD8638F">
      <w:pPr>
        <w:shd w:val="clear" w:color="auto" w:fill="auto"/>
        <w:spacing w:line="500" w:lineRule="exact"/>
        <w:ind w:firstLine="3360" w:firstLineChars="1600"/>
        <w:rPr>
          <w:rFonts w:hint="eastAsia" w:ascii="仿宋" w:hAnsi="仿宋" w:eastAsia="仿宋" w:cs="仿宋"/>
          <w:color w:val="auto"/>
          <w:highlight w:val="none"/>
        </w:rPr>
      </w:pPr>
    </w:p>
    <w:p w14:paraId="276B4567">
      <w:pPr>
        <w:pStyle w:val="18"/>
        <w:autoSpaceDE w:val="0"/>
        <w:autoSpaceDN w:val="0"/>
        <w:adjustRightInd w:val="0"/>
        <w:spacing w:line="460" w:lineRule="exact"/>
        <w:ind w:firstLine="980" w:firstLineChars="350"/>
        <w:rPr>
          <w:rFonts w:hint="eastAsia"/>
          <w:kern w:val="0"/>
          <w:sz w:val="24"/>
          <w:highlight w:val="none"/>
        </w:rPr>
      </w:pPr>
      <w:r>
        <w:rPr>
          <w:szCs w:val="28"/>
          <w:highlight w:val="none"/>
        </w:rPr>
        <w:br w:type="page"/>
      </w:r>
      <w:r>
        <w:rPr>
          <w:rFonts w:hint="eastAsia"/>
          <w:szCs w:val="28"/>
          <w:highlight w:val="none"/>
        </w:rPr>
        <w:t xml:space="preserve">              </w:t>
      </w:r>
      <w:r>
        <w:rPr>
          <w:rFonts w:hint="eastAsia"/>
          <w:b/>
          <w:sz w:val="32"/>
          <w:szCs w:val="32"/>
          <w:highlight w:val="none"/>
        </w:rPr>
        <w:t>第四部分  投标方案说明</w:t>
      </w:r>
    </w:p>
    <w:p w14:paraId="56112990">
      <w:pPr>
        <w:spacing w:line="360" w:lineRule="auto"/>
        <w:ind w:firstLine="629"/>
        <w:rPr>
          <w:rFonts w:hint="eastAsia" w:ascii="宋体" w:hAnsi="宋体"/>
          <w:color w:val="000000"/>
          <w:sz w:val="28"/>
          <w:szCs w:val="28"/>
          <w:highlight w:val="none"/>
        </w:rPr>
      </w:pPr>
    </w:p>
    <w:p w14:paraId="2A260CE9">
      <w:pPr>
        <w:spacing w:line="480" w:lineRule="auto"/>
        <w:ind w:firstLine="480" w:firstLineChars="200"/>
        <w:rPr>
          <w:rFonts w:hint="eastAsia" w:ascii="宋体" w:hAnsi="宋体"/>
          <w:sz w:val="24"/>
          <w:szCs w:val="24"/>
          <w:highlight w:val="none"/>
        </w:rPr>
      </w:pPr>
      <w:r>
        <w:rPr>
          <w:rFonts w:hint="eastAsia" w:ascii="宋体" w:hAnsi="宋体"/>
          <w:sz w:val="24"/>
          <w:szCs w:val="24"/>
          <w:highlight w:val="none"/>
        </w:rPr>
        <w:t>按照招标文件的要求编制投标方案说明书，</w:t>
      </w:r>
      <w:r>
        <w:rPr>
          <w:rFonts w:ascii="宋体" w:hAnsi="宋体"/>
          <w:sz w:val="24"/>
          <w:szCs w:val="24"/>
          <w:highlight w:val="none"/>
        </w:rPr>
        <w:t>逐条对招标文件提出的技术要求和商务要求进行应答</w:t>
      </w:r>
      <w:r>
        <w:rPr>
          <w:rFonts w:hint="eastAsia" w:ascii="宋体" w:hAnsi="宋体"/>
          <w:sz w:val="24"/>
          <w:szCs w:val="24"/>
          <w:highlight w:val="none"/>
        </w:rPr>
        <w:t>，</w:t>
      </w:r>
      <w:r>
        <w:rPr>
          <w:rFonts w:ascii="宋体" w:hAnsi="宋体"/>
          <w:sz w:val="24"/>
          <w:szCs w:val="24"/>
          <w:highlight w:val="none"/>
        </w:rPr>
        <w:t>说明所提供的</w:t>
      </w:r>
      <w:r>
        <w:rPr>
          <w:rFonts w:hint="eastAsia" w:ascii="宋体" w:hAnsi="宋体"/>
          <w:sz w:val="24"/>
          <w:szCs w:val="24"/>
          <w:highlight w:val="none"/>
        </w:rPr>
        <w:t>货物和服务</w:t>
      </w:r>
      <w:r>
        <w:rPr>
          <w:rFonts w:ascii="宋体" w:hAnsi="宋体"/>
          <w:sz w:val="24"/>
          <w:szCs w:val="24"/>
          <w:highlight w:val="none"/>
        </w:rPr>
        <w:t>对招标的技术和商务要求是否做出了实质性响应并提供支持文件</w:t>
      </w:r>
      <w:r>
        <w:rPr>
          <w:rFonts w:hint="eastAsia" w:ascii="宋体" w:hAnsi="宋体"/>
          <w:sz w:val="24"/>
          <w:szCs w:val="24"/>
          <w:highlight w:val="none"/>
        </w:rPr>
        <w:t>。</w:t>
      </w:r>
      <w:r>
        <w:rPr>
          <w:rFonts w:hint="eastAsia" w:ascii="宋体" w:hAnsi="宋体"/>
          <w:b/>
          <w:sz w:val="24"/>
          <w:szCs w:val="24"/>
          <w:highlight w:val="none"/>
        </w:rPr>
        <w:t>包括但不限于以下内容</w:t>
      </w:r>
      <w:r>
        <w:rPr>
          <w:rFonts w:hint="eastAsia" w:ascii="宋体" w:hAnsi="宋体"/>
          <w:sz w:val="24"/>
          <w:szCs w:val="24"/>
          <w:highlight w:val="none"/>
        </w:rPr>
        <w:t>：</w:t>
      </w:r>
    </w:p>
    <w:p w14:paraId="0719FD31">
      <w:pPr>
        <w:spacing w:line="48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一、技术方案说明</w:t>
      </w:r>
    </w:p>
    <w:p w14:paraId="04A0EEED">
      <w:pPr>
        <w:spacing w:line="48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供应商应按照</w:t>
      </w:r>
      <w:r>
        <w:rPr>
          <w:rFonts w:hint="eastAsia" w:ascii="宋体" w:hAnsi="宋体" w:eastAsia="宋体" w:cs="Times New Roman"/>
          <w:sz w:val="24"/>
          <w:szCs w:val="24"/>
          <w:highlight w:val="none"/>
          <w:lang w:val="en-US" w:eastAsia="zh-CN"/>
        </w:rPr>
        <w:t>招标</w:t>
      </w:r>
      <w:r>
        <w:rPr>
          <w:rFonts w:hint="eastAsia" w:ascii="宋体" w:hAnsi="宋体" w:eastAsia="宋体" w:cs="Times New Roman"/>
          <w:sz w:val="24"/>
          <w:szCs w:val="24"/>
          <w:highlight w:val="none"/>
        </w:rPr>
        <w:t xml:space="preserve">文件要求和评标办法的内容编制。（自主编写方案说明，格式自拟）                                        </w:t>
      </w:r>
    </w:p>
    <w:p w14:paraId="4704ACD2">
      <w:pPr>
        <w:spacing w:line="48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二、技术响应表（见附表1）</w:t>
      </w:r>
    </w:p>
    <w:p w14:paraId="6B9142D5">
      <w:pPr>
        <w:spacing w:line="48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三、商务条款响应说明(格式自拟)</w:t>
      </w:r>
    </w:p>
    <w:p w14:paraId="46331F5C">
      <w:pPr>
        <w:spacing w:line="48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四、业绩</w:t>
      </w:r>
    </w:p>
    <w:p w14:paraId="67E7F051">
      <w:pPr>
        <w:spacing w:line="480" w:lineRule="auto"/>
        <w:ind w:firstLine="480" w:firstLineChars="20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五、各供应商认为有必要说明的问题。</w:t>
      </w:r>
    </w:p>
    <w:p w14:paraId="68D2FCB8">
      <w:pPr>
        <w:spacing w:line="360" w:lineRule="auto"/>
        <w:ind w:firstLine="480" w:firstLineChars="200"/>
        <w:rPr>
          <w:rFonts w:ascii="宋体" w:hAnsi="宋体"/>
          <w:color w:val="000000"/>
          <w:sz w:val="24"/>
          <w:szCs w:val="24"/>
          <w:highlight w:val="none"/>
        </w:rPr>
      </w:pPr>
    </w:p>
    <w:p w14:paraId="57669531">
      <w:pPr>
        <w:pStyle w:val="22"/>
        <w:rPr>
          <w:rFonts w:hint="eastAsia" w:hAnsi="宋体"/>
          <w:sz w:val="24"/>
          <w:szCs w:val="24"/>
          <w:highlight w:val="none"/>
        </w:rPr>
      </w:pPr>
      <w:r>
        <w:rPr>
          <w:rFonts w:hAnsi="宋体"/>
          <w:color w:val="000000"/>
          <w:sz w:val="28"/>
          <w:szCs w:val="28"/>
          <w:highlight w:val="none"/>
        </w:rPr>
        <w:br w:type="page"/>
      </w:r>
      <w:r>
        <w:rPr>
          <w:rFonts w:hint="eastAsia" w:hAnsi="宋体"/>
          <w:sz w:val="24"/>
          <w:szCs w:val="24"/>
          <w:highlight w:val="none"/>
        </w:rPr>
        <w:t>附表1</w:t>
      </w:r>
    </w:p>
    <w:p w14:paraId="7B640CE5">
      <w:pPr>
        <w:pStyle w:val="22"/>
        <w:jc w:val="center"/>
        <w:rPr>
          <w:rFonts w:hint="eastAsia" w:hAnsi="宋体"/>
          <w:b/>
          <w:bCs/>
          <w:sz w:val="32"/>
          <w:szCs w:val="32"/>
          <w:highlight w:val="none"/>
        </w:rPr>
      </w:pPr>
      <w:r>
        <w:rPr>
          <w:rFonts w:hint="eastAsia" w:hAnsi="宋体"/>
          <w:b/>
          <w:bCs/>
          <w:sz w:val="32"/>
          <w:szCs w:val="32"/>
          <w:highlight w:val="none"/>
        </w:rPr>
        <w:t>技术指标偏差表</w:t>
      </w:r>
    </w:p>
    <w:p w14:paraId="632D75D6">
      <w:pPr>
        <w:kinsoku w:val="0"/>
        <w:spacing w:line="500" w:lineRule="exact"/>
        <w:ind w:firstLine="120" w:firstLineChars="50"/>
        <w:rPr>
          <w:rFonts w:hint="eastAsia" w:ascii="宋体" w:hAnsi="宋体"/>
          <w:sz w:val="24"/>
          <w:highlight w:val="none"/>
        </w:rPr>
      </w:pPr>
      <w:r>
        <w:rPr>
          <w:rFonts w:hint="eastAsia" w:ascii="宋体" w:hAnsi="宋体"/>
          <w:sz w:val="24"/>
          <w:highlight w:val="none"/>
        </w:rPr>
        <w:t xml:space="preserve">项目名称：                                                  </w:t>
      </w:r>
      <w:r>
        <w:rPr>
          <w:rFonts w:ascii="宋体" w:hAnsi="宋体"/>
          <w:sz w:val="24"/>
          <w:highlight w:val="none"/>
        </w:rPr>
        <w:t xml:space="preserve"> </w:t>
      </w:r>
      <w:r>
        <w:rPr>
          <w:rFonts w:hint="eastAsia" w:ascii="宋体" w:hAnsi="宋体"/>
          <w:sz w:val="24"/>
          <w:highlight w:val="none"/>
        </w:rPr>
        <w:t xml:space="preserve">  </w:t>
      </w:r>
    </w:p>
    <w:p w14:paraId="21BCD713">
      <w:pPr>
        <w:kinsoku w:val="0"/>
        <w:spacing w:line="500" w:lineRule="exact"/>
        <w:ind w:firstLine="120" w:firstLineChars="50"/>
        <w:rPr>
          <w:rFonts w:hint="eastAsia" w:ascii="宋体" w:hAnsi="宋体"/>
          <w:color w:val="FF0000"/>
          <w:sz w:val="24"/>
          <w:highlight w:val="none"/>
        </w:rPr>
      </w:pPr>
      <w:r>
        <w:rPr>
          <w:rFonts w:hint="eastAsia" w:ascii="宋体" w:hAnsi="宋体"/>
          <w:sz w:val="24"/>
          <w:highlight w:val="none"/>
        </w:rPr>
        <w:t>项目编号：</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2126"/>
        <w:gridCol w:w="1731"/>
        <w:gridCol w:w="1849"/>
        <w:gridCol w:w="1392"/>
        <w:gridCol w:w="1280"/>
      </w:tblGrid>
      <w:tr w14:paraId="01E8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377" w:type="pct"/>
            <w:noWrap w:val="0"/>
            <w:vAlign w:val="center"/>
          </w:tcPr>
          <w:p w14:paraId="6FB6BB84">
            <w:pPr>
              <w:pStyle w:val="22"/>
              <w:spacing w:line="400" w:lineRule="exact"/>
              <w:jc w:val="center"/>
              <w:rPr>
                <w:rFonts w:hint="eastAsia" w:hAnsi="宋体"/>
                <w:sz w:val="24"/>
                <w:szCs w:val="24"/>
                <w:highlight w:val="none"/>
              </w:rPr>
            </w:pPr>
            <w:r>
              <w:rPr>
                <w:rFonts w:hint="eastAsia" w:hAnsi="宋体"/>
                <w:sz w:val="24"/>
                <w:szCs w:val="24"/>
                <w:highlight w:val="none"/>
              </w:rPr>
              <w:t>序号</w:t>
            </w:r>
          </w:p>
        </w:tc>
        <w:tc>
          <w:tcPr>
            <w:tcW w:w="1173" w:type="pct"/>
            <w:noWrap w:val="0"/>
            <w:vAlign w:val="center"/>
          </w:tcPr>
          <w:p w14:paraId="1B802460">
            <w:pPr>
              <w:pStyle w:val="22"/>
              <w:spacing w:line="400" w:lineRule="exact"/>
              <w:jc w:val="center"/>
              <w:rPr>
                <w:rFonts w:hint="eastAsia" w:hAnsi="宋体"/>
                <w:sz w:val="24"/>
                <w:szCs w:val="24"/>
                <w:highlight w:val="none"/>
              </w:rPr>
            </w:pPr>
            <w:r>
              <w:rPr>
                <w:rFonts w:hint="eastAsia" w:hAnsi="宋体"/>
                <w:sz w:val="24"/>
                <w:szCs w:val="24"/>
                <w:highlight w:val="none"/>
              </w:rPr>
              <w:t>名称</w:t>
            </w:r>
          </w:p>
        </w:tc>
        <w:tc>
          <w:tcPr>
            <w:tcW w:w="955" w:type="pct"/>
            <w:noWrap w:val="0"/>
            <w:vAlign w:val="center"/>
          </w:tcPr>
          <w:p w14:paraId="0806BE24">
            <w:pPr>
              <w:pStyle w:val="22"/>
              <w:spacing w:line="400" w:lineRule="exact"/>
              <w:jc w:val="center"/>
              <w:rPr>
                <w:rFonts w:hint="eastAsia" w:hAnsi="宋体"/>
                <w:sz w:val="24"/>
                <w:szCs w:val="24"/>
                <w:highlight w:val="none"/>
              </w:rPr>
            </w:pPr>
            <w:r>
              <w:rPr>
                <w:rFonts w:hint="eastAsia" w:hAnsi="宋体"/>
                <w:sz w:val="24"/>
                <w:szCs w:val="24"/>
                <w:highlight w:val="none"/>
              </w:rPr>
              <w:t>招 标 要 求</w:t>
            </w:r>
          </w:p>
          <w:p w14:paraId="27AFA88F">
            <w:pPr>
              <w:pStyle w:val="22"/>
              <w:spacing w:line="400" w:lineRule="exact"/>
              <w:jc w:val="center"/>
              <w:rPr>
                <w:rFonts w:hint="eastAsia" w:hAnsi="宋体"/>
                <w:sz w:val="24"/>
                <w:szCs w:val="24"/>
                <w:highlight w:val="none"/>
              </w:rPr>
            </w:pPr>
            <w:r>
              <w:rPr>
                <w:rFonts w:hint="eastAsia" w:hAnsi="宋体"/>
                <w:sz w:val="24"/>
                <w:szCs w:val="24"/>
                <w:highlight w:val="none"/>
              </w:rPr>
              <w:t>技 术 指 标</w:t>
            </w:r>
          </w:p>
        </w:tc>
        <w:tc>
          <w:tcPr>
            <w:tcW w:w="1020" w:type="pct"/>
            <w:noWrap w:val="0"/>
            <w:vAlign w:val="center"/>
          </w:tcPr>
          <w:p w14:paraId="10111D98">
            <w:pPr>
              <w:pStyle w:val="22"/>
              <w:spacing w:line="400" w:lineRule="exact"/>
              <w:jc w:val="center"/>
              <w:rPr>
                <w:rFonts w:hint="eastAsia" w:hAnsi="宋体"/>
                <w:sz w:val="24"/>
                <w:szCs w:val="24"/>
                <w:highlight w:val="none"/>
              </w:rPr>
            </w:pPr>
            <w:r>
              <w:rPr>
                <w:rFonts w:hint="eastAsia" w:hAnsi="宋体"/>
                <w:sz w:val="24"/>
                <w:szCs w:val="24"/>
                <w:highlight w:val="none"/>
              </w:rPr>
              <w:t>投 标 响 应</w:t>
            </w:r>
          </w:p>
          <w:p w14:paraId="11DADB11">
            <w:pPr>
              <w:pStyle w:val="22"/>
              <w:spacing w:line="400" w:lineRule="exact"/>
              <w:jc w:val="center"/>
              <w:rPr>
                <w:rFonts w:hint="eastAsia" w:hAnsi="宋体"/>
                <w:sz w:val="24"/>
                <w:szCs w:val="24"/>
                <w:highlight w:val="none"/>
              </w:rPr>
            </w:pPr>
            <w:r>
              <w:rPr>
                <w:rFonts w:hint="eastAsia" w:hAnsi="宋体"/>
                <w:sz w:val="24"/>
                <w:szCs w:val="24"/>
                <w:highlight w:val="none"/>
              </w:rPr>
              <w:t>技 术 指 标</w:t>
            </w:r>
          </w:p>
        </w:tc>
        <w:tc>
          <w:tcPr>
            <w:tcW w:w="768" w:type="pct"/>
            <w:noWrap w:val="0"/>
            <w:vAlign w:val="center"/>
          </w:tcPr>
          <w:p w14:paraId="05BE15CA">
            <w:pPr>
              <w:pStyle w:val="22"/>
              <w:spacing w:line="400" w:lineRule="exact"/>
              <w:rPr>
                <w:rFonts w:hint="eastAsia" w:hAnsi="宋体"/>
                <w:sz w:val="24"/>
                <w:szCs w:val="24"/>
                <w:highlight w:val="none"/>
              </w:rPr>
            </w:pPr>
            <w:r>
              <w:rPr>
                <w:rFonts w:hint="eastAsia" w:hAnsi="宋体"/>
                <w:sz w:val="24"/>
                <w:szCs w:val="24"/>
                <w:highlight w:val="none"/>
              </w:rPr>
              <w:t>偏离情况</w:t>
            </w:r>
          </w:p>
        </w:tc>
        <w:tc>
          <w:tcPr>
            <w:tcW w:w="706" w:type="pct"/>
            <w:noWrap w:val="0"/>
            <w:vAlign w:val="center"/>
          </w:tcPr>
          <w:p w14:paraId="63B4140C">
            <w:pPr>
              <w:pStyle w:val="22"/>
              <w:spacing w:line="400" w:lineRule="exact"/>
              <w:jc w:val="center"/>
              <w:rPr>
                <w:rFonts w:hint="eastAsia" w:hAnsi="宋体"/>
                <w:sz w:val="24"/>
                <w:szCs w:val="24"/>
                <w:highlight w:val="none"/>
              </w:rPr>
            </w:pPr>
            <w:r>
              <w:rPr>
                <w:rFonts w:hint="eastAsia" w:hAnsi="宋体"/>
                <w:sz w:val="24"/>
                <w:szCs w:val="24"/>
                <w:highlight w:val="none"/>
              </w:rPr>
              <w:t>偏离说明</w:t>
            </w:r>
          </w:p>
        </w:tc>
      </w:tr>
      <w:tr w14:paraId="642F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77" w:type="pct"/>
            <w:noWrap w:val="0"/>
            <w:vAlign w:val="top"/>
          </w:tcPr>
          <w:p w14:paraId="750EE086">
            <w:pPr>
              <w:pStyle w:val="22"/>
              <w:spacing w:line="600" w:lineRule="exact"/>
              <w:rPr>
                <w:rFonts w:hint="eastAsia" w:hAnsi="宋体"/>
                <w:sz w:val="24"/>
                <w:szCs w:val="24"/>
                <w:highlight w:val="none"/>
              </w:rPr>
            </w:pPr>
          </w:p>
        </w:tc>
        <w:tc>
          <w:tcPr>
            <w:tcW w:w="1173" w:type="pct"/>
            <w:noWrap w:val="0"/>
            <w:vAlign w:val="top"/>
          </w:tcPr>
          <w:p w14:paraId="03EDC7EE">
            <w:pPr>
              <w:pStyle w:val="22"/>
              <w:spacing w:line="400" w:lineRule="exact"/>
              <w:rPr>
                <w:rFonts w:hint="eastAsia" w:hAnsi="宋体"/>
                <w:sz w:val="24"/>
                <w:szCs w:val="24"/>
                <w:highlight w:val="none"/>
              </w:rPr>
            </w:pPr>
          </w:p>
        </w:tc>
        <w:tc>
          <w:tcPr>
            <w:tcW w:w="955" w:type="pct"/>
            <w:noWrap w:val="0"/>
            <w:vAlign w:val="center"/>
          </w:tcPr>
          <w:p w14:paraId="3111223E">
            <w:pPr>
              <w:pStyle w:val="22"/>
              <w:spacing w:line="600" w:lineRule="exact"/>
              <w:rPr>
                <w:rFonts w:hint="eastAsia" w:hAnsi="宋体"/>
                <w:sz w:val="24"/>
                <w:szCs w:val="24"/>
                <w:highlight w:val="none"/>
              </w:rPr>
            </w:pPr>
          </w:p>
        </w:tc>
        <w:tc>
          <w:tcPr>
            <w:tcW w:w="1020" w:type="pct"/>
            <w:noWrap w:val="0"/>
            <w:vAlign w:val="center"/>
          </w:tcPr>
          <w:p w14:paraId="5D4404E5">
            <w:pPr>
              <w:pStyle w:val="22"/>
              <w:spacing w:line="600" w:lineRule="exact"/>
              <w:rPr>
                <w:rFonts w:hint="eastAsia" w:hAnsi="宋体"/>
                <w:sz w:val="24"/>
                <w:szCs w:val="24"/>
                <w:highlight w:val="none"/>
              </w:rPr>
            </w:pPr>
          </w:p>
        </w:tc>
        <w:tc>
          <w:tcPr>
            <w:tcW w:w="768" w:type="pct"/>
            <w:noWrap w:val="0"/>
            <w:vAlign w:val="center"/>
          </w:tcPr>
          <w:p w14:paraId="598D6992">
            <w:pPr>
              <w:pStyle w:val="22"/>
              <w:spacing w:line="600" w:lineRule="exact"/>
              <w:rPr>
                <w:rFonts w:hint="eastAsia" w:hAnsi="宋体"/>
                <w:sz w:val="24"/>
                <w:szCs w:val="24"/>
                <w:highlight w:val="none"/>
              </w:rPr>
            </w:pPr>
          </w:p>
        </w:tc>
        <w:tc>
          <w:tcPr>
            <w:tcW w:w="706" w:type="pct"/>
            <w:noWrap w:val="0"/>
            <w:vAlign w:val="center"/>
          </w:tcPr>
          <w:p w14:paraId="457C23F0">
            <w:pPr>
              <w:pStyle w:val="22"/>
              <w:spacing w:line="600" w:lineRule="exact"/>
              <w:rPr>
                <w:rFonts w:hint="eastAsia" w:hAnsi="宋体"/>
                <w:sz w:val="24"/>
                <w:szCs w:val="24"/>
                <w:highlight w:val="none"/>
              </w:rPr>
            </w:pPr>
          </w:p>
        </w:tc>
      </w:tr>
      <w:tr w14:paraId="0943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val="0"/>
            <w:vAlign w:val="top"/>
          </w:tcPr>
          <w:p w14:paraId="21BA9B3E">
            <w:pPr>
              <w:pStyle w:val="22"/>
              <w:spacing w:line="600" w:lineRule="exact"/>
              <w:rPr>
                <w:rFonts w:hint="eastAsia" w:hAnsi="宋体"/>
                <w:sz w:val="24"/>
                <w:szCs w:val="24"/>
                <w:highlight w:val="none"/>
              </w:rPr>
            </w:pPr>
          </w:p>
        </w:tc>
        <w:tc>
          <w:tcPr>
            <w:tcW w:w="1173" w:type="pct"/>
            <w:noWrap w:val="0"/>
            <w:vAlign w:val="top"/>
          </w:tcPr>
          <w:p w14:paraId="17DD1BDA">
            <w:pPr>
              <w:pStyle w:val="22"/>
              <w:spacing w:line="600" w:lineRule="exact"/>
              <w:rPr>
                <w:rFonts w:hint="eastAsia" w:hAnsi="宋体"/>
                <w:sz w:val="24"/>
                <w:szCs w:val="24"/>
                <w:highlight w:val="none"/>
              </w:rPr>
            </w:pPr>
          </w:p>
        </w:tc>
        <w:tc>
          <w:tcPr>
            <w:tcW w:w="955" w:type="pct"/>
            <w:noWrap w:val="0"/>
            <w:vAlign w:val="top"/>
          </w:tcPr>
          <w:p w14:paraId="1CA4FD9F">
            <w:pPr>
              <w:pStyle w:val="22"/>
              <w:spacing w:line="600" w:lineRule="exact"/>
              <w:rPr>
                <w:rFonts w:hint="eastAsia" w:hAnsi="宋体"/>
                <w:sz w:val="24"/>
                <w:szCs w:val="24"/>
                <w:highlight w:val="none"/>
              </w:rPr>
            </w:pPr>
          </w:p>
        </w:tc>
        <w:tc>
          <w:tcPr>
            <w:tcW w:w="1020" w:type="pct"/>
            <w:noWrap w:val="0"/>
            <w:vAlign w:val="top"/>
          </w:tcPr>
          <w:p w14:paraId="7E3BD9C3">
            <w:pPr>
              <w:pStyle w:val="22"/>
              <w:spacing w:line="600" w:lineRule="exact"/>
              <w:rPr>
                <w:rFonts w:hint="eastAsia" w:hAnsi="宋体"/>
                <w:sz w:val="24"/>
                <w:szCs w:val="24"/>
                <w:highlight w:val="none"/>
              </w:rPr>
            </w:pPr>
          </w:p>
        </w:tc>
        <w:tc>
          <w:tcPr>
            <w:tcW w:w="768" w:type="pct"/>
            <w:noWrap w:val="0"/>
            <w:vAlign w:val="top"/>
          </w:tcPr>
          <w:p w14:paraId="5A875EF8">
            <w:pPr>
              <w:pStyle w:val="22"/>
              <w:spacing w:line="600" w:lineRule="exact"/>
              <w:rPr>
                <w:rFonts w:hint="eastAsia" w:hAnsi="宋体"/>
                <w:sz w:val="24"/>
                <w:szCs w:val="24"/>
                <w:highlight w:val="none"/>
              </w:rPr>
            </w:pPr>
          </w:p>
        </w:tc>
        <w:tc>
          <w:tcPr>
            <w:tcW w:w="706" w:type="pct"/>
            <w:noWrap w:val="0"/>
            <w:vAlign w:val="top"/>
          </w:tcPr>
          <w:p w14:paraId="3D4C6DB6">
            <w:pPr>
              <w:pStyle w:val="22"/>
              <w:spacing w:line="600" w:lineRule="exact"/>
              <w:rPr>
                <w:rFonts w:hint="eastAsia" w:hAnsi="宋体"/>
                <w:sz w:val="24"/>
                <w:szCs w:val="24"/>
                <w:highlight w:val="none"/>
              </w:rPr>
            </w:pPr>
          </w:p>
        </w:tc>
      </w:tr>
      <w:tr w14:paraId="4949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val="0"/>
            <w:vAlign w:val="top"/>
          </w:tcPr>
          <w:p w14:paraId="6C1406DD">
            <w:pPr>
              <w:pStyle w:val="22"/>
              <w:spacing w:line="600" w:lineRule="exact"/>
              <w:rPr>
                <w:rFonts w:hint="eastAsia" w:hAnsi="宋体"/>
                <w:sz w:val="24"/>
                <w:szCs w:val="24"/>
                <w:highlight w:val="none"/>
              </w:rPr>
            </w:pPr>
          </w:p>
        </w:tc>
        <w:tc>
          <w:tcPr>
            <w:tcW w:w="1173" w:type="pct"/>
            <w:noWrap w:val="0"/>
            <w:vAlign w:val="top"/>
          </w:tcPr>
          <w:p w14:paraId="180BC5A3">
            <w:pPr>
              <w:pStyle w:val="22"/>
              <w:spacing w:line="600" w:lineRule="exact"/>
              <w:rPr>
                <w:rFonts w:hint="eastAsia" w:hAnsi="宋体"/>
                <w:sz w:val="24"/>
                <w:szCs w:val="24"/>
                <w:highlight w:val="none"/>
              </w:rPr>
            </w:pPr>
          </w:p>
        </w:tc>
        <w:tc>
          <w:tcPr>
            <w:tcW w:w="955" w:type="pct"/>
            <w:noWrap w:val="0"/>
            <w:vAlign w:val="top"/>
          </w:tcPr>
          <w:p w14:paraId="3DA07A31">
            <w:pPr>
              <w:pStyle w:val="22"/>
              <w:spacing w:line="600" w:lineRule="exact"/>
              <w:rPr>
                <w:rFonts w:hint="eastAsia" w:hAnsi="宋体"/>
                <w:sz w:val="24"/>
                <w:szCs w:val="24"/>
                <w:highlight w:val="none"/>
              </w:rPr>
            </w:pPr>
          </w:p>
        </w:tc>
        <w:tc>
          <w:tcPr>
            <w:tcW w:w="1020" w:type="pct"/>
            <w:noWrap w:val="0"/>
            <w:vAlign w:val="top"/>
          </w:tcPr>
          <w:p w14:paraId="520096A2">
            <w:pPr>
              <w:pStyle w:val="22"/>
              <w:spacing w:line="600" w:lineRule="exact"/>
              <w:rPr>
                <w:rFonts w:hint="eastAsia" w:hAnsi="宋体"/>
                <w:sz w:val="24"/>
                <w:szCs w:val="24"/>
                <w:highlight w:val="none"/>
              </w:rPr>
            </w:pPr>
          </w:p>
        </w:tc>
        <w:tc>
          <w:tcPr>
            <w:tcW w:w="768" w:type="pct"/>
            <w:noWrap w:val="0"/>
            <w:vAlign w:val="top"/>
          </w:tcPr>
          <w:p w14:paraId="65425957">
            <w:pPr>
              <w:pStyle w:val="22"/>
              <w:spacing w:line="600" w:lineRule="exact"/>
              <w:rPr>
                <w:rFonts w:hint="eastAsia" w:hAnsi="宋体"/>
                <w:sz w:val="24"/>
                <w:szCs w:val="24"/>
                <w:highlight w:val="none"/>
              </w:rPr>
            </w:pPr>
          </w:p>
        </w:tc>
        <w:tc>
          <w:tcPr>
            <w:tcW w:w="706" w:type="pct"/>
            <w:noWrap w:val="0"/>
            <w:vAlign w:val="top"/>
          </w:tcPr>
          <w:p w14:paraId="79C2A65B">
            <w:pPr>
              <w:pStyle w:val="22"/>
              <w:spacing w:line="600" w:lineRule="exact"/>
              <w:rPr>
                <w:rFonts w:hint="eastAsia" w:hAnsi="宋体"/>
                <w:sz w:val="24"/>
                <w:szCs w:val="24"/>
                <w:highlight w:val="none"/>
              </w:rPr>
            </w:pPr>
          </w:p>
        </w:tc>
      </w:tr>
      <w:tr w14:paraId="0C78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77" w:type="pct"/>
            <w:noWrap w:val="0"/>
            <w:vAlign w:val="top"/>
          </w:tcPr>
          <w:p w14:paraId="1209CBB2">
            <w:pPr>
              <w:pStyle w:val="22"/>
              <w:spacing w:line="600" w:lineRule="exact"/>
              <w:rPr>
                <w:rFonts w:hint="eastAsia" w:hAnsi="宋体"/>
                <w:sz w:val="24"/>
                <w:szCs w:val="24"/>
                <w:highlight w:val="none"/>
              </w:rPr>
            </w:pPr>
          </w:p>
        </w:tc>
        <w:tc>
          <w:tcPr>
            <w:tcW w:w="1173" w:type="pct"/>
            <w:noWrap w:val="0"/>
            <w:vAlign w:val="top"/>
          </w:tcPr>
          <w:p w14:paraId="0BB1FE2F">
            <w:pPr>
              <w:pStyle w:val="22"/>
              <w:spacing w:line="600" w:lineRule="exact"/>
              <w:rPr>
                <w:rFonts w:hint="eastAsia" w:hAnsi="宋体"/>
                <w:sz w:val="24"/>
                <w:szCs w:val="24"/>
                <w:highlight w:val="none"/>
              </w:rPr>
            </w:pPr>
          </w:p>
        </w:tc>
        <w:tc>
          <w:tcPr>
            <w:tcW w:w="955" w:type="pct"/>
            <w:noWrap w:val="0"/>
            <w:vAlign w:val="top"/>
          </w:tcPr>
          <w:p w14:paraId="1AF05C54">
            <w:pPr>
              <w:pStyle w:val="22"/>
              <w:spacing w:line="600" w:lineRule="exact"/>
              <w:rPr>
                <w:rFonts w:hint="eastAsia" w:hAnsi="宋体"/>
                <w:sz w:val="24"/>
                <w:szCs w:val="24"/>
                <w:highlight w:val="none"/>
              </w:rPr>
            </w:pPr>
          </w:p>
        </w:tc>
        <w:tc>
          <w:tcPr>
            <w:tcW w:w="1020" w:type="pct"/>
            <w:noWrap w:val="0"/>
            <w:vAlign w:val="top"/>
          </w:tcPr>
          <w:p w14:paraId="5C4D241A">
            <w:pPr>
              <w:pStyle w:val="22"/>
              <w:spacing w:line="600" w:lineRule="exact"/>
              <w:rPr>
                <w:rFonts w:hint="eastAsia" w:hAnsi="宋体"/>
                <w:sz w:val="24"/>
                <w:szCs w:val="24"/>
                <w:highlight w:val="none"/>
              </w:rPr>
            </w:pPr>
          </w:p>
        </w:tc>
        <w:tc>
          <w:tcPr>
            <w:tcW w:w="768" w:type="pct"/>
            <w:noWrap w:val="0"/>
            <w:vAlign w:val="top"/>
          </w:tcPr>
          <w:p w14:paraId="201FF1DB">
            <w:pPr>
              <w:pStyle w:val="22"/>
              <w:spacing w:line="600" w:lineRule="exact"/>
              <w:rPr>
                <w:rFonts w:hint="eastAsia" w:hAnsi="宋体"/>
                <w:sz w:val="24"/>
                <w:szCs w:val="24"/>
                <w:highlight w:val="none"/>
              </w:rPr>
            </w:pPr>
          </w:p>
        </w:tc>
        <w:tc>
          <w:tcPr>
            <w:tcW w:w="706" w:type="pct"/>
            <w:noWrap w:val="0"/>
            <w:vAlign w:val="top"/>
          </w:tcPr>
          <w:p w14:paraId="1FCC9814">
            <w:pPr>
              <w:pStyle w:val="22"/>
              <w:spacing w:line="600" w:lineRule="exact"/>
              <w:rPr>
                <w:rFonts w:hint="eastAsia" w:hAnsi="宋体"/>
                <w:sz w:val="24"/>
                <w:szCs w:val="24"/>
                <w:highlight w:val="none"/>
              </w:rPr>
            </w:pPr>
          </w:p>
        </w:tc>
      </w:tr>
      <w:tr w14:paraId="1520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val="0"/>
            <w:vAlign w:val="top"/>
          </w:tcPr>
          <w:p w14:paraId="57EEF0B2">
            <w:pPr>
              <w:pStyle w:val="22"/>
              <w:spacing w:line="600" w:lineRule="exact"/>
              <w:rPr>
                <w:rFonts w:hint="eastAsia" w:hAnsi="宋体"/>
                <w:sz w:val="24"/>
                <w:szCs w:val="24"/>
                <w:highlight w:val="none"/>
              </w:rPr>
            </w:pPr>
          </w:p>
        </w:tc>
        <w:tc>
          <w:tcPr>
            <w:tcW w:w="1173" w:type="pct"/>
            <w:noWrap w:val="0"/>
            <w:vAlign w:val="top"/>
          </w:tcPr>
          <w:p w14:paraId="05DF3060">
            <w:pPr>
              <w:pStyle w:val="22"/>
              <w:spacing w:line="600" w:lineRule="exact"/>
              <w:rPr>
                <w:rFonts w:hint="eastAsia" w:hAnsi="宋体"/>
                <w:sz w:val="24"/>
                <w:szCs w:val="24"/>
                <w:highlight w:val="none"/>
              </w:rPr>
            </w:pPr>
          </w:p>
        </w:tc>
        <w:tc>
          <w:tcPr>
            <w:tcW w:w="955" w:type="pct"/>
            <w:noWrap w:val="0"/>
            <w:vAlign w:val="top"/>
          </w:tcPr>
          <w:p w14:paraId="5F8A2982">
            <w:pPr>
              <w:pStyle w:val="22"/>
              <w:spacing w:line="600" w:lineRule="exact"/>
              <w:rPr>
                <w:rFonts w:hint="eastAsia" w:hAnsi="宋体"/>
                <w:sz w:val="24"/>
                <w:szCs w:val="24"/>
                <w:highlight w:val="none"/>
              </w:rPr>
            </w:pPr>
          </w:p>
        </w:tc>
        <w:tc>
          <w:tcPr>
            <w:tcW w:w="1020" w:type="pct"/>
            <w:noWrap w:val="0"/>
            <w:vAlign w:val="top"/>
          </w:tcPr>
          <w:p w14:paraId="1E06DB61">
            <w:pPr>
              <w:pStyle w:val="22"/>
              <w:spacing w:line="600" w:lineRule="exact"/>
              <w:rPr>
                <w:rFonts w:hint="eastAsia" w:hAnsi="宋体"/>
                <w:sz w:val="24"/>
                <w:szCs w:val="24"/>
                <w:highlight w:val="none"/>
              </w:rPr>
            </w:pPr>
          </w:p>
        </w:tc>
        <w:tc>
          <w:tcPr>
            <w:tcW w:w="768" w:type="pct"/>
            <w:noWrap w:val="0"/>
            <w:vAlign w:val="top"/>
          </w:tcPr>
          <w:p w14:paraId="6ADB453A">
            <w:pPr>
              <w:pStyle w:val="22"/>
              <w:spacing w:line="600" w:lineRule="exact"/>
              <w:rPr>
                <w:rFonts w:hint="eastAsia" w:hAnsi="宋体"/>
                <w:sz w:val="24"/>
                <w:szCs w:val="24"/>
                <w:highlight w:val="none"/>
              </w:rPr>
            </w:pPr>
          </w:p>
        </w:tc>
        <w:tc>
          <w:tcPr>
            <w:tcW w:w="706" w:type="pct"/>
            <w:noWrap w:val="0"/>
            <w:vAlign w:val="top"/>
          </w:tcPr>
          <w:p w14:paraId="7A5F5CD8">
            <w:pPr>
              <w:pStyle w:val="22"/>
              <w:spacing w:line="600" w:lineRule="exact"/>
              <w:rPr>
                <w:rFonts w:hint="eastAsia" w:hAnsi="宋体"/>
                <w:sz w:val="24"/>
                <w:szCs w:val="24"/>
                <w:highlight w:val="none"/>
              </w:rPr>
            </w:pPr>
          </w:p>
        </w:tc>
      </w:tr>
      <w:tr w14:paraId="0B42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77" w:type="pct"/>
            <w:noWrap w:val="0"/>
            <w:vAlign w:val="top"/>
          </w:tcPr>
          <w:p w14:paraId="0856DAF8">
            <w:pPr>
              <w:pStyle w:val="22"/>
              <w:spacing w:line="600" w:lineRule="exact"/>
              <w:rPr>
                <w:rFonts w:hint="eastAsia" w:hAnsi="宋体"/>
                <w:sz w:val="24"/>
                <w:szCs w:val="24"/>
                <w:highlight w:val="none"/>
              </w:rPr>
            </w:pPr>
          </w:p>
        </w:tc>
        <w:tc>
          <w:tcPr>
            <w:tcW w:w="1173" w:type="pct"/>
            <w:noWrap w:val="0"/>
            <w:vAlign w:val="top"/>
          </w:tcPr>
          <w:p w14:paraId="5FA42444">
            <w:pPr>
              <w:pStyle w:val="22"/>
              <w:spacing w:line="600" w:lineRule="exact"/>
              <w:rPr>
                <w:rFonts w:hint="eastAsia" w:hAnsi="宋体"/>
                <w:sz w:val="24"/>
                <w:szCs w:val="24"/>
                <w:highlight w:val="none"/>
              </w:rPr>
            </w:pPr>
          </w:p>
        </w:tc>
        <w:tc>
          <w:tcPr>
            <w:tcW w:w="955" w:type="pct"/>
            <w:noWrap w:val="0"/>
            <w:vAlign w:val="top"/>
          </w:tcPr>
          <w:p w14:paraId="47A4BCE4">
            <w:pPr>
              <w:pStyle w:val="22"/>
              <w:spacing w:line="600" w:lineRule="exact"/>
              <w:rPr>
                <w:rFonts w:hint="eastAsia" w:hAnsi="宋体"/>
                <w:sz w:val="24"/>
                <w:szCs w:val="24"/>
                <w:highlight w:val="none"/>
              </w:rPr>
            </w:pPr>
          </w:p>
        </w:tc>
        <w:tc>
          <w:tcPr>
            <w:tcW w:w="1020" w:type="pct"/>
            <w:noWrap w:val="0"/>
            <w:vAlign w:val="top"/>
          </w:tcPr>
          <w:p w14:paraId="78F96436">
            <w:pPr>
              <w:pStyle w:val="22"/>
              <w:spacing w:line="600" w:lineRule="exact"/>
              <w:rPr>
                <w:rFonts w:hint="eastAsia" w:hAnsi="宋体"/>
                <w:sz w:val="24"/>
                <w:szCs w:val="24"/>
                <w:highlight w:val="none"/>
              </w:rPr>
            </w:pPr>
          </w:p>
        </w:tc>
        <w:tc>
          <w:tcPr>
            <w:tcW w:w="768" w:type="pct"/>
            <w:noWrap w:val="0"/>
            <w:vAlign w:val="top"/>
          </w:tcPr>
          <w:p w14:paraId="746E1C79">
            <w:pPr>
              <w:pStyle w:val="22"/>
              <w:spacing w:line="600" w:lineRule="exact"/>
              <w:rPr>
                <w:rFonts w:hint="eastAsia" w:hAnsi="宋体"/>
                <w:sz w:val="24"/>
                <w:szCs w:val="24"/>
                <w:highlight w:val="none"/>
              </w:rPr>
            </w:pPr>
          </w:p>
        </w:tc>
        <w:tc>
          <w:tcPr>
            <w:tcW w:w="706" w:type="pct"/>
            <w:noWrap w:val="0"/>
            <w:vAlign w:val="top"/>
          </w:tcPr>
          <w:p w14:paraId="21163518">
            <w:pPr>
              <w:pStyle w:val="22"/>
              <w:spacing w:line="600" w:lineRule="exact"/>
              <w:rPr>
                <w:rFonts w:hint="eastAsia" w:hAnsi="宋体"/>
                <w:sz w:val="24"/>
                <w:szCs w:val="24"/>
                <w:highlight w:val="none"/>
              </w:rPr>
            </w:pPr>
          </w:p>
        </w:tc>
      </w:tr>
      <w:tr w14:paraId="7ECB5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val="0"/>
            <w:vAlign w:val="top"/>
          </w:tcPr>
          <w:p w14:paraId="0235123C">
            <w:pPr>
              <w:pStyle w:val="22"/>
              <w:spacing w:line="600" w:lineRule="exact"/>
              <w:rPr>
                <w:rFonts w:hint="eastAsia" w:hAnsi="宋体"/>
                <w:sz w:val="24"/>
                <w:szCs w:val="24"/>
                <w:highlight w:val="none"/>
              </w:rPr>
            </w:pPr>
          </w:p>
        </w:tc>
        <w:tc>
          <w:tcPr>
            <w:tcW w:w="1173" w:type="pct"/>
            <w:noWrap w:val="0"/>
            <w:vAlign w:val="top"/>
          </w:tcPr>
          <w:p w14:paraId="2A055C7B">
            <w:pPr>
              <w:pStyle w:val="22"/>
              <w:spacing w:line="600" w:lineRule="exact"/>
              <w:rPr>
                <w:rFonts w:hint="eastAsia" w:hAnsi="宋体"/>
                <w:sz w:val="24"/>
                <w:szCs w:val="24"/>
                <w:highlight w:val="none"/>
              </w:rPr>
            </w:pPr>
          </w:p>
        </w:tc>
        <w:tc>
          <w:tcPr>
            <w:tcW w:w="955" w:type="pct"/>
            <w:noWrap w:val="0"/>
            <w:vAlign w:val="top"/>
          </w:tcPr>
          <w:p w14:paraId="3D8BA2E5">
            <w:pPr>
              <w:pStyle w:val="22"/>
              <w:spacing w:line="600" w:lineRule="exact"/>
              <w:rPr>
                <w:rFonts w:hint="eastAsia" w:hAnsi="宋体"/>
                <w:sz w:val="24"/>
                <w:szCs w:val="24"/>
                <w:highlight w:val="none"/>
              </w:rPr>
            </w:pPr>
          </w:p>
        </w:tc>
        <w:tc>
          <w:tcPr>
            <w:tcW w:w="1020" w:type="pct"/>
            <w:noWrap w:val="0"/>
            <w:vAlign w:val="top"/>
          </w:tcPr>
          <w:p w14:paraId="0101F4AE">
            <w:pPr>
              <w:pStyle w:val="22"/>
              <w:spacing w:line="600" w:lineRule="exact"/>
              <w:rPr>
                <w:rFonts w:hint="eastAsia" w:hAnsi="宋体"/>
                <w:sz w:val="24"/>
                <w:szCs w:val="24"/>
                <w:highlight w:val="none"/>
              </w:rPr>
            </w:pPr>
          </w:p>
        </w:tc>
        <w:tc>
          <w:tcPr>
            <w:tcW w:w="768" w:type="pct"/>
            <w:noWrap w:val="0"/>
            <w:vAlign w:val="top"/>
          </w:tcPr>
          <w:p w14:paraId="7BC92012">
            <w:pPr>
              <w:pStyle w:val="22"/>
              <w:spacing w:line="600" w:lineRule="exact"/>
              <w:rPr>
                <w:rFonts w:hint="eastAsia" w:hAnsi="宋体"/>
                <w:sz w:val="24"/>
                <w:szCs w:val="24"/>
                <w:highlight w:val="none"/>
              </w:rPr>
            </w:pPr>
          </w:p>
        </w:tc>
        <w:tc>
          <w:tcPr>
            <w:tcW w:w="706" w:type="pct"/>
            <w:noWrap w:val="0"/>
            <w:vAlign w:val="top"/>
          </w:tcPr>
          <w:p w14:paraId="6F614FDD">
            <w:pPr>
              <w:pStyle w:val="22"/>
              <w:spacing w:line="600" w:lineRule="exact"/>
              <w:rPr>
                <w:rFonts w:hint="eastAsia" w:hAnsi="宋体"/>
                <w:sz w:val="24"/>
                <w:szCs w:val="24"/>
                <w:highlight w:val="none"/>
              </w:rPr>
            </w:pPr>
          </w:p>
        </w:tc>
      </w:tr>
      <w:tr w14:paraId="6BDC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377" w:type="pct"/>
            <w:noWrap w:val="0"/>
            <w:vAlign w:val="top"/>
          </w:tcPr>
          <w:p w14:paraId="36A2D4C2">
            <w:pPr>
              <w:pStyle w:val="22"/>
              <w:spacing w:line="600" w:lineRule="exact"/>
              <w:rPr>
                <w:rFonts w:hint="eastAsia" w:hAnsi="宋体"/>
                <w:sz w:val="24"/>
                <w:szCs w:val="24"/>
                <w:highlight w:val="none"/>
              </w:rPr>
            </w:pPr>
          </w:p>
        </w:tc>
        <w:tc>
          <w:tcPr>
            <w:tcW w:w="1173" w:type="pct"/>
            <w:noWrap w:val="0"/>
            <w:vAlign w:val="top"/>
          </w:tcPr>
          <w:p w14:paraId="3780C761">
            <w:pPr>
              <w:pStyle w:val="22"/>
              <w:spacing w:line="600" w:lineRule="exact"/>
              <w:rPr>
                <w:rFonts w:hint="eastAsia" w:hAnsi="宋体"/>
                <w:sz w:val="24"/>
                <w:szCs w:val="24"/>
                <w:highlight w:val="none"/>
              </w:rPr>
            </w:pPr>
          </w:p>
        </w:tc>
        <w:tc>
          <w:tcPr>
            <w:tcW w:w="955" w:type="pct"/>
            <w:noWrap w:val="0"/>
            <w:vAlign w:val="top"/>
          </w:tcPr>
          <w:p w14:paraId="2FFA294D">
            <w:pPr>
              <w:pStyle w:val="22"/>
              <w:spacing w:line="600" w:lineRule="exact"/>
              <w:rPr>
                <w:rFonts w:hint="eastAsia" w:hAnsi="宋体"/>
                <w:sz w:val="24"/>
                <w:szCs w:val="24"/>
                <w:highlight w:val="none"/>
              </w:rPr>
            </w:pPr>
          </w:p>
        </w:tc>
        <w:tc>
          <w:tcPr>
            <w:tcW w:w="1020" w:type="pct"/>
            <w:noWrap w:val="0"/>
            <w:vAlign w:val="top"/>
          </w:tcPr>
          <w:p w14:paraId="21D5100B">
            <w:pPr>
              <w:pStyle w:val="22"/>
              <w:spacing w:line="600" w:lineRule="exact"/>
              <w:rPr>
                <w:rFonts w:hint="eastAsia" w:hAnsi="宋体"/>
                <w:sz w:val="24"/>
                <w:szCs w:val="24"/>
                <w:highlight w:val="none"/>
              </w:rPr>
            </w:pPr>
          </w:p>
        </w:tc>
        <w:tc>
          <w:tcPr>
            <w:tcW w:w="768" w:type="pct"/>
            <w:noWrap w:val="0"/>
            <w:vAlign w:val="top"/>
          </w:tcPr>
          <w:p w14:paraId="2A69A59C">
            <w:pPr>
              <w:pStyle w:val="22"/>
              <w:spacing w:line="600" w:lineRule="exact"/>
              <w:rPr>
                <w:rFonts w:hint="eastAsia" w:hAnsi="宋体"/>
                <w:sz w:val="24"/>
                <w:szCs w:val="24"/>
                <w:highlight w:val="none"/>
              </w:rPr>
            </w:pPr>
          </w:p>
        </w:tc>
        <w:tc>
          <w:tcPr>
            <w:tcW w:w="706" w:type="pct"/>
            <w:noWrap w:val="0"/>
            <w:vAlign w:val="top"/>
          </w:tcPr>
          <w:p w14:paraId="0B97C78E">
            <w:pPr>
              <w:pStyle w:val="22"/>
              <w:spacing w:line="600" w:lineRule="exact"/>
              <w:rPr>
                <w:rFonts w:hint="eastAsia" w:hAnsi="宋体"/>
                <w:sz w:val="24"/>
                <w:szCs w:val="24"/>
                <w:highlight w:val="none"/>
              </w:rPr>
            </w:pPr>
          </w:p>
        </w:tc>
      </w:tr>
      <w:tr w14:paraId="24AC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77" w:type="pct"/>
            <w:noWrap w:val="0"/>
            <w:vAlign w:val="top"/>
          </w:tcPr>
          <w:p w14:paraId="773B9F8D">
            <w:pPr>
              <w:pStyle w:val="22"/>
              <w:spacing w:line="600" w:lineRule="exact"/>
              <w:rPr>
                <w:rFonts w:hint="eastAsia" w:hAnsi="宋体"/>
                <w:sz w:val="24"/>
                <w:szCs w:val="24"/>
                <w:highlight w:val="none"/>
              </w:rPr>
            </w:pPr>
          </w:p>
        </w:tc>
        <w:tc>
          <w:tcPr>
            <w:tcW w:w="1173" w:type="pct"/>
            <w:noWrap w:val="0"/>
            <w:vAlign w:val="top"/>
          </w:tcPr>
          <w:p w14:paraId="2A4ECC8A">
            <w:pPr>
              <w:pStyle w:val="22"/>
              <w:spacing w:line="400" w:lineRule="exact"/>
              <w:rPr>
                <w:rFonts w:hint="eastAsia" w:hAnsi="宋体"/>
                <w:sz w:val="24"/>
                <w:szCs w:val="24"/>
                <w:highlight w:val="none"/>
              </w:rPr>
            </w:pPr>
          </w:p>
        </w:tc>
        <w:tc>
          <w:tcPr>
            <w:tcW w:w="955" w:type="pct"/>
            <w:noWrap w:val="0"/>
            <w:vAlign w:val="top"/>
          </w:tcPr>
          <w:p w14:paraId="2A3B0B73">
            <w:pPr>
              <w:pStyle w:val="22"/>
              <w:spacing w:line="600" w:lineRule="exact"/>
              <w:rPr>
                <w:rFonts w:hint="eastAsia" w:hAnsi="宋体"/>
                <w:sz w:val="24"/>
                <w:szCs w:val="24"/>
                <w:highlight w:val="none"/>
              </w:rPr>
            </w:pPr>
          </w:p>
        </w:tc>
        <w:tc>
          <w:tcPr>
            <w:tcW w:w="1020" w:type="pct"/>
            <w:noWrap w:val="0"/>
            <w:vAlign w:val="top"/>
          </w:tcPr>
          <w:p w14:paraId="6462BD93">
            <w:pPr>
              <w:pStyle w:val="22"/>
              <w:spacing w:line="600" w:lineRule="exact"/>
              <w:rPr>
                <w:rFonts w:hint="eastAsia" w:hAnsi="宋体"/>
                <w:sz w:val="24"/>
                <w:szCs w:val="24"/>
                <w:highlight w:val="none"/>
              </w:rPr>
            </w:pPr>
          </w:p>
        </w:tc>
        <w:tc>
          <w:tcPr>
            <w:tcW w:w="768" w:type="pct"/>
            <w:noWrap w:val="0"/>
            <w:vAlign w:val="top"/>
          </w:tcPr>
          <w:p w14:paraId="2D2AECEF">
            <w:pPr>
              <w:pStyle w:val="22"/>
              <w:spacing w:line="600" w:lineRule="exact"/>
              <w:rPr>
                <w:rFonts w:hint="eastAsia" w:hAnsi="宋体"/>
                <w:sz w:val="24"/>
                <w:szCs w:val="24"/>
                <w:highlight w:val="none"/>
              </w:rPr>
            </w:pPr>
          </w:p>
        </w:tc>
        <w:tc>
          <w:tcPr>
            <w:tcW w:w="706" w:type="pct"/>
            <w:noWrap w:val="0"/>
            <w:vAlign w:val="top"/>
          </w:tcPr>
          <w:p w14:paraId="7F059347">
            <w:pPr>
              <w:pStyle w:val="22"/>
              <w:spacing w:line="600" w:lineRule="exact"/>
              <w:rPr>
                <w:rFonts w:hint="eastAsia" w:hAnsi="宋体"/>
                <w:sz w:val="24"/>
                <w:szCs w:val="24"/>
                <w:highlight w:val="none"/>
              </w:rPr>
            </w:pPr>
          </w:p>
        </w:tc>
      </w:tr>
    </w:tbl>
    <w:p w14:paraId="24664297">
      <w:pPr>
        <w:pStyle w:val="22"/>
        <w:spacing w:line="360" w:lineRule="auto"/>
        <w:rPr>
          <w:rFonts w:hint="eastAsia" w:ascii="楷体" w:hAnsi="楷体" w:eastAsia="楷体"/>
          <w:sz w:val="24"/>
          <w:szCs w:val="24"/>
          <w:highlight w:val="none"/>
        </w:rPr>
      </w:pPr>
      <w:r>
        <w:rPr>
          <w:rFonts w:hint="eastAsia" w:ascii="楷体" w:hAnsi="楷体" w:eastAsia="楷体"/>
          <w:sz w:val="24"/>
          <w:szCs w:val="24"/>
          <w:highlight w:val="none"/>
        </w:rPr>
        <w:t>说明：</w:t>
      </w:r>
    </w:p>
    <w:p w14:paraId="60AFC4A4">
      <w:pPr>
        <w:autoSpaceDE w:val="0"/>
        <w:autoSpaceDN w:val="0"/>
        <w:adjustRightInd w:val="0"/>
        <w:spacing w:line="360" w:lineRule="auto"/>
        <w:ind w:firstLine="480" w:firstLineChars="200"/>
        <w:rPr>
          <w:rFonts w:hint="eastAsia" w:ascii="楷体" w:hAnsi="楷体" w:eastAsia="楷体" w:cs="Courier New"/>
          <w:sz w:val="24"/>
          <w:highlight w:val="none"/>
        </w:rPr>
      </w:pPr>
      <w:r>
        <w:rPr>
          <w:rFonts w:hint="eastAsia" w:ascii="楷体" w:hAnsi="楷体" w:eastAsia="楷体" w:cs="Courier New"/>
          <w:sz w:val="24"/>
          <w:highlight w:val="none"/>
        </w:rPr>
        <w:t>1、请按项目的实际技术参数，逐条对应招标文件第五部分“招标内容”技术参数，认真填写本表。偏离情况填写：优于、等于或低于，偏离说明对偏离情况做出详细说明。</w:t>
      </w:r>
    </w:p>
    <w:p w14:paraId="3D60703F">
      <w:pPr>
        <w:autoSpaceDE w:val="0"/>
        <w:autoSpaceDN w:val="0"/>
        <w:adjustRightInd w:val="0"/>
        <w:spacing w:line="360" w:lineRule="auto"/>
        <w:ind w:firstLine="480" w:firstLineChars="200"/>
        <w:rPr>
          <w:rFonts w:hint="eastAsia" w:ascii="宋体" w:hAnsi="宋体" w:cs="Courier New"/>
          <w:sz w:val="24"/>
          <w:highlight w:val="none"/>
        </w:rPr>
      </w:pPr>
      <w:r>
        <w:rPr>
          <w:rFonts w:hint="eastAsia" w:ascii="楷体" w:hAnsi="楷体" w:eastAsia="楷体" w:cs="Courier New"/>
          <w:sz w:val="24"/>
          <w:highlight w:val="none"/>
        </w:rPr>
        <w:t>2、供应商应按实际情况填写，不得照抄、复制招标文件技术参数要求。</w:t>
      </w:r>
    </w:p>
    <w:p w14:paraId="15A493A0">
      <w:pPr>
        <w:pStyle w:val="22"/>
        <w:rPr>
          <w:rFonts w:hint="eastAsia" w:hAnsi="宋体"/>
          <w:sz w:val="24"/>
          <w:szCs w:val="24"/>
          <w:highlight w:val="none"/>
        </w:rPr>
      </w:pPr>
    </w:p>
    <w:p w14:paraId="419619BB">
      <w:pPr>
        <w:spacing w:line="480" w:lineRule="auto"/>
        <w:ind w:firstLine="480" w:firstLineChars="200"/>
        <w:jc w:val="left"/>
        <w:rPr>
          <w:rFonts w:ascii="宋体" w:hAnsi="宋体"/>
          <w:sz w:val="24"/>
          <w:highlight w:val="none"/>
          <w:u w:val="single"/>
        </w:rPr>
      </w:pPr>
      <w:r>
        <w:rPr>
          <w:rFonts w:hint="eastAsia" w:ascii="宋体" w:hAnsi="宋体"/>
          <w:sz w:val="24"/>
          <w:szCs w:val="28"/>
          <w:highlight w:val="none"/>
        </w:rPr>
        <w:t>供应商</w:t>
      </w:r>
      <w:r>
        <w:rPr>
          <w:rFonts w:hint="eastAsia" w:ascii="宋体" w:hAnsi="宋体"/>
          <w:sz w:val="24"/>
          <w:highlight w:val="none"/>
        </w:rPr>
        <w:t>（公章</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p>
    <w:p w14:paraId="513BE8B1">
      <w:pPr>
        <w:spacing w:line="480" w:lineRule="auto"/>
        <w:ind w:firstLine="480" w:firstLineChars="200"/>
        <w:jc w:val="left"/>
        <w:rPr>
          <w:rFonts w:ascii="宋体" w:hAnsi="宋体"/>
          <w:sz w:val="24"/>
          <w:highlight w:val="none"/>
          <w:u w:val="single"/>
        </w:rPr>
      </w:pPr>
      <w:r>
        <w:rPr>
          <w:rFonts w:hint="eastAsia" w:ascii="宋体" w:hAnsi="宋体"/>
          <w:sz w:val="24"/>
          <w:highlight w:val="none"/>
        </w:rPr>
        <w:t>法定代表人或被授权人（签字或盖章）：</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p>
    <w:p w14:paraId="51B264EE">
      <w:pPr>
        <w:pStyle w:val="22"/>
        <w:ind w:firstLine="240" w:firstLineChars="100"/>
        <w:rPr>
          <w:rFonts w:hint="eastAsia" w:hAnsi="宋体"/>
          <w:sz w:val="24"/>
          <w:szCs w:val="24"/>
          <w:highlight w:val="none"/>
          <w:u w:val="single"/>
        </w:rPr>
      </w:pPr>
      <w:r>
        <w:rPr>
          <w:rFonts w:hint="eastAsia" w:hAnsi="宋体"/>
          <w:sz w:val="24"/>
          <w:highlight w:val="none"/>
        </w:rPr>
        <w:t xml:space="preserve">  日  </w:t>
      </w:r>
      <w:r>
        <w:rPr>
          <w:rFonts w:hAnsi="宋体"/>
          <w:sz w:val="24"/>
          <w:highlight w:val="none"/>
        </w:rPr>
        <w:t xml:space="preserve"> </w:t>
      </w:r>
      <w:r>
        <w:rPr>
          <w:rFonts w:hint="eastAsia" w:hAnsi="宋体"/>
          <w:sz w:val="24"/>
          <w:highlight w:val="none"/>
        </w:rPr>
        <w:t>期</w:t>
      </w:r>
      <w:r>
        <w:rPr>
          <w:rFonts w:hAnsi="宋体"/>
          <w:sz w:val="24"/>
          <w:highlight w:val="none"/>
        </w:rPr>
        <w:t>：</w:t>
      </w:r>
      <w:r>
        <w:rPr>
          <w:rFonts w:hint="eastAsia" w:hAnsi="宋体"/>
          <w:sz w:val="24"/>
          <w:highlight w:val="none"/>
        </w:rPr>
        <w:t xml:space="preserve">      年    月    日</w:t>
      </w:r>
      <w:r>
        <w:rPr>
          <w:rFonts w:hint="eastAsia" w:hAnsi="宋体"/>
          <w:sz w:val="24"/>
          <w:szCs w:val="24"/>
          <w:highlight w:val="none"/>
        </w:rPr>
        <w:t xml:space="preserve">                                                        </w:t>
      </w:r>
    </w:p>
    <w:p w14:paraId="6290D7FC">
      <w:pPr>
        <w:spacing w:line="500" w:lineRule="exact"/>
        <w:jc w:val="center"/>
        <w:rPr>
          <w:rFonts w:hint="eastAsia" w:ascii="宋体" w:hAnsi="宋体"/>
          <w:b/>
          <w:sz w:val="32"/>
          <w:szCs w:val="32"/>
          <w:highlight w:val="none"/>
        </w:rPr>
      </w:pPr>
      <w:r>
        <w:rPr>
          <w:rFonts w:ascii="宋体" w:hAnsi="宋体"/>
          <w:sz w:val="24"/>
          <w:highlight w:val="none"/>
        </w:rPr>
        <w:br w:type="page"/>
      </w:r>
      <w:r>
        <w:rPr>
          <w:rFonts w:hint="eastAsia" w:ascii="宋体" w:hAnsi="宋体"/>
          <w:b/>
          <w:sz w:val="32"/>
          <w:szCs w:val="32"/>
          <w:highlight w:val="none"/>
        </w:rPr>
        <w:t>第五部分  供应商承诺书</w:t>
      </w:r>
    </w:p>
    <w:p w14:paraId="19419B22">
      <w:pPr>
        <w:spacing w:line="500" w:lineRule="exact"/>
        <w:jc w:val="center"/>
        <w:rPr>
          <w:rFonts w:hint="eastAsia" w:ascii="宋体" w:hAnsi="宋体"/>
          <w:b/>
          <w:sz w:val="32"/>
          <w:szCs w:val="32"/>
          <w:highlight w:val="none"/>
        </w:rPr>
      </w:pPr>
    </w:p>
    <w:p w14:paraId="648E6B3D">
      <w:pPr>
        <w:pStyle w:val="22"/>
        <w:jc w:val="center"/>
        <w:rPr>
          <w:rFonts w:hint="eastAsia" w:hAnsi="宋体"/>
          <w:b/>
          <w:sz w:val="30"/>
          <w:szCs w:val="30"/>
          <w:highlight w:val="none"/>
        </w:rPr>
      </w:pPr>
      <w:r>
        <w:rPr>
          <w:rFonts w:hint="eastAsia" w:hAnsi="宋体"/>
          <w:b/>
          <w:sz w:val="30"/>
          <w:szCs w:val="30"/>
          <w:highlight w:val="none"/>
        </w:rPr>
        <w:t>陕西省政府采购供应商拒绝政府采购领域商业贿赂承诺书</w:t>
      </w:r>
    </w:p>
    <w:p w14:paraId="782E7186">
      <w:pPr>
        <w:rPr>
          <w:rFonts w:hint="eastAsia" w:ascii="宋体" w:hAnsi="宋体"/>
          <w:highlight w:val="none"/>
        </w:rPr>
      </w:pPr>
    </w:p>
    <w:p w14:paraId="4F535414">
      <w:pPr>
        <w:spacing w:line="360" w:lineRule="auto"/>
        <w:ind w:firstLine="360" w:firstLineChars="150"/>
        <w:rPr>
          <w:rFonts w:hint="eastAsia" w:ascii="宋体" w:hAnsi="宋体"/>
          <w:sz w:val="24"/>
          <w:szCs w:val="28"/>
          <w:highlight w:val="none"/>
        </w:rPr>
      </w:pPr>
      <w:r>
        <w:rPr>
          <w:rFonts w:hint="eastAsia" w:ascii="宋体" w:hAnsi="宋体"/>
          <w:sz w:val="24"/>
          <w:szCs w:val="28"/>
          <w:highlight w:val="none"/>
        </w:rPr>
        <w:t xml:space="preserve"> 为响应党中央、国务院关于治理政府采购领域商业贿赂行为的号召，我公司在此庄严承诺：</w:t>
      </w:r>
    </w:p>
    <w:p w14:paraId="47B87F78">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1、在参与政府采购活动中遵纪守法、诚信经营、公平竞标。</w:t>
      </w:r>
    </w:p>
    <w:p w14:paraId="29CA1029">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2、不向政府采购人、采购代理机构和政府采购评审专家进行任何形式的商业贿赂以谋取交易机会。</w:t>
      </w:r>
    </w:p>
    <w:p w14:paraId="4CAF0922">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3、不向政府采购代理机构和采购人提供虚假资格文件或采用虚假应标方式参与政府采购市场竞争并谋取中标。</w:t>
      </w:r>
    </w:p>
    <w:p w14:paraId="0F51859A">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4、不采取“围标、陪标”等商业欺诈手段获得政府采购订单。</w:t>
      </w:r>
    </w:p>
    <w:p w14:paraId="60AA9EFC">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5、不采取不正当手段诋毁、排挤其他供应商。</w:t>
      </w:r>
    </w:p>
    <w:p w14:paraId="4DA7F9F3">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6、不在提供商品和服务时“偷梁换柱、以次充好”损害采购人的合法权益。</w:t>
      </w:r>
    </w:p>
    <w:p w14:paraId="0BA0B938">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7、不与采购人、采购代理机构政府采购评审专家或其他供应商恶意串通，进行质疑和投诉，维护政府采购市场秩序。</w:t>
      </w:r>
    </w:p>
    <w:p w14:paraId="7752EB65">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8、尊重和接受政府采购监督管理部门的监督和政府采购代理机构招标采购要求，承担因违约行为给采购人造成的损失。</w:t>
      </w:r>
    </w:p>
    <w:p w14:paraId="40865AC4">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9、不发生其他有悖于政府采购公开、公平、公正和诚信原则的行为。</w:t>
      </w:r>
    </w:p>
    <w:p w14:paraId="662D2D21">
      <w:pPr>
        <w:spacing w:line="360" w:lineRule="auto"/>
        <w:ind w:firstLine="480" w:firstLineChars="200"/>
        <w:rPr>
          <w:rFonts w:hint="eastAsia" w:ascii="宋体" w:hAnsi="宋体"/>
          <w:sz w:val="24"/>
          <w:szCs w:val="28"/>
          <w:highlight w:val="none"/>
        </w:rPr>
      </w:pPr>
    </w:p>
    <w:p w14:paraId="12B87482">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供应商全称（公章）：</w:t>
      </w:r>
      <w:r>
        <w:rPr>
          <w:rFonts w:hint="eastAsia" w:ascii="宋体" w:hAnsi="宋体"/>
          <w:sz w:val="24"/>
          <w:szCs w:val="28"/>
          <w:highlight w:val="none"/>
          <w:u w:val="single"/>
        </w:rPr>
        <w:t xml:space="preserve">                 </w:t>
      </w:r>
      <w:r>
        <w:rPr>
          <w:rFonts w:ascii="宋体" w:hAnsi="宋体"/>
          <w:sz w:val="24"/>
          <w:szCs w:val="28"/>
          <w:highlight w:val="none"/>
          <w:u w:val="single"/>
        </w:rPr>
        <w:t xml:space="preserve">       </w:t>
      </w:r>
      <w:r>
        <w:rPr>
          <w:rFonts w:hint="eastAsia" w:ascii="宋体" w:hAnsi="宋体"/>
          <w:sz w:val="24"/>
          <w:szCs w:val="28"/>
          <w:highlight w:val="none"/>
          <w:u w:val="single"/>
        </w:rPr>
        <w:t xml:space="preserve">    </w:t>
      </w:r>
      <w:r>
        <w:rPr>
          <w:rFonts w:hint="eastAsia" w:ascii="宋体" w:hAnsi="宋体"/>
          <w:sz w:val="24"/>
          <w:szCs w:val="28"/>
          <w:highlight w:val="none"/>
        </w:rPr>
        <w:t xml:space="preserve"> </w:t>
      </w:r>
    </w:p>
    <w:p w14:paraId="550687CF">
      <w:pPr>
        <w:spacing w:line="360" w:lineRule="auto"/>
        <w:ind w:firstLine="360" w:firstLineChars="150"/>
        <w:rPr>
          <w:rFonts w:hint="eastAsia" w:ascii="宋体" w:hAnsi="宋体"/>
          <w:sz w:val="24"/>
          <w:szCs w:val="28"/>
          <w:highlight w:val="none"/>
        </w:rPr>
      </w:pPr>
    </w:p>
    <w:p w14:paraId="68557601">
      <w:pPr>
        <w:spacing w:line="360" w:lineRule="auto"/>
        <w:ind w:firstLine="480" w:firstLineChars="200"/>
        <w:rPr>
          <w:rFonts w:hint="eastAsia" w:ascii="宋体" w:hAnsi="宋体"/>
          <w:sz w:val="24"/>
          <w:szCs w:val="28"/>
          <w:highlight w:val="none"/>
        </w:rPr>
      </w:pPr>
      <w:r>
        <w:rPr>
          <w:rFonts w:hint="eastAsia" w:ascii="宋体" w:hAnsi="宋体"/>
          <w:sz w:val="24"/>
          <w:highlight w:val="none"/>
        </w:rPr>
        <w:t>法定代表人或被授权人</w:t>
      </w:r>
      <w:r>
        <w:rPr>
          <w:rFonts w:hint="eastAsia" w:ascii="宋体" w:hAnsi="宋体"/>
          <w:sz w:val="24"/>
          <w:szCs w:val="28"/>
          <w:highlight w:val="none"/>
        </w:rPr>
        <w:t xml:space="preserve">（签字或盖章）： </w:t>
      </w:r>
      <w:r>
        <w:rPr>
          <w:rFonts w:hint="eastAsia" w:ascii="宋体" w:hAnsi="宋体"/>
          <w:sz w:val="24"/>
          <w:szCs w:val="28"/>
          <w:highlight w:val="none"/>
          <w:u w:val="single"/>
        </w:rPr>
        <w:t xml:space="preserve">           </w:t>
      </w:r>
    </w:p>
    <w:p w14:paraId="346A1059">
      <w:pPr>
        <w:spacing w:line="360" w:lineRule="auto"/>
        <w:ind w:firstLine="360" w:firstLineChars="150"/>
        <w:rPr>
          <w:rFonts w:hint="eastAsia" w:ascii="宋体" w:hAnsi="宋体"/>
          <w:sz w:val="24"/>
          <w:szCs w:val="28"/>
          <w:highlight w:val="none"/>
        </w:rPr>
      </w:pPr>
    </w:p>
    <w:p w14:paraId="3122BA3E">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地址：                              邮编：</w:t>
      </w:r>
    </w:p>
    <w:p w14:paraId="755B13A2">
      <w:pPr>
        <w:spacing w:line="360" w:lineRule="auto"/>
        <w:ind w:firstLine="480" w:firstLineChars="200"/>
        <w:rPr>
          <w:rFonts w:hint="eastAsia" w:ascii="宋体" w:hAnsi="宋体"/>
          <w:sz w:val="24"/>
          <w:szCs w:val="28"/>
          <w:highlight w:val="none"/>
        </w:rPr>
      </w:pPr>
    </w:p>
    <w:p w14:paraId="34611CD6">
      <w:pPr>
        <w:spacing w:line="360" w:lineRule="auto"/>
        <w:ind w:firstLine="480" w:firstLineChars="200"/>
        <w:rPr>
          <w:rFonts w:hint="eastAsia" w:ascii="宋体" w:hAnsi="宋体"/>
          <w:sz w:val="24"/>
          <w:szCs w:val="28"/>
          <w:highlight w:val="none"/>
        </w:rPr>
      </w:pPr>
      <w:r>
        <w:rPr>
          <w:rFonts w:hint="eastAsia" w:ascii="宋体" w:hAnsi="宋体"/>
          <w:sz w:val="24"/>
          <w:szCs w:val="28"/>
          <w:highlight w:val="none"/>
        </w:rPr>
        <w:t>电话：</w:t>
      </w:r>
    </w:p>
    <w:p w14:paraId="6C583FD0">
      <w:pPr>
        <w:spacing w:line="360" w:lineRule="auto"/>
        <w:ind w:firstLine="360" w:firstLineChars="150"/>
        <w:rPr>
          <w:rFonts w:hint="eastAsia" w:ascii="宋体" w:hAnsi="宋体"/>
          <w:sz w:val="24"/>
          <w:szCs w:val="28"/>
          <w:highlight w:val="none"/>
        </w:rPr>
      </w:pPr>
    </w:p>
    <w:p w14:paraId="131C5217">
      <w:pPr>
        <w:spacing w:line="360" w:lineRule="auto"/>
        <w:ind w:right="480" w:firstLine="360" w:firstLineChars="150"/>
        <w:jc w:val="center"/>
        <w:rPr>
          <w:rFonts w:hint="eastAsia" w:ascii="宋体" w:hAnsi="宋体"/>
          <w:sz w:val="24"/>
          <w:szCs w:val="28"/>
          <w:highlight w:val="none"/>
        </w:rPr>
      </w:pPr>
      <w:r>
        <w:rPr>
          <w:rFonts w:hint="eastAsia" w:ascii="宋体" w:hAnsi="宋体"/>
          <w:sz w:val="24"/>
          <w:szCs w:val="28"/>
          <w:highlight w:val="none"/>
        </w:rPr>
        <w:t xml:space="preserve">                                                 年  月  日</w:t>
      </w:r>
      <w:r>
        <w:rPr>
          <w:rFonts w:hint="eastAsia" w:ascii="宋体" w:hAnsi="宋体"/>
          <w:b/>
          <w:bCs/>
          <w:sz w:val="32"/>
          <w:highlight w:val="none"/>
        </w:rPr>
        <w:t xml:space="preserve"> </w:t>
      </w:r>
    </w:p>
    <w:p w14:paraId="5620C9AF">
      <w:pPr>
        <w:spacing w:line="500" w:lineRule="exact"/>
        <w:rPr>
          <w:rFonts w:hint="eastAsia" w:ascii="宋体" w:hAnsi="宋体"/>
          <w:b/>
          <w:bCs/>
          <w:sz w:val="32"/>
          <w:highlight w:val="none"/>
        </w:rPr>
      </w:pPr>
    </w:p>
    <w:p w14:paraId="5073F06E">
      <w:pPr>
        <w:jc w:val="center"/>
        <w:rPr>
          <w:rFonts w:hint="eastAsia" w:ascii="宋体" w:hAnsi="宋体" w:cs="仿宋"/>
          <w:b/>
          <w:bCs/>
          <w:sz w:val="32"/>
          <w:szCs w:val="32"/>
          <w:highlight w:val="none"/>
        </w:rPr>
      </w:pPr>
      <w:bookmarkStart w:id="51" w:name="_Toc11970"/>
      <w:bookmarkStart w:id="52" w:name="_Toc25411"/>
      <w:r>
        <w:rPr>
          <w:rFonts w:hint="eastAsia" w:ascii="宋体" w:hAnsi="宋体" w:cs="仿宋"/>
          <w:b/>
          <w:bCs/>
          <w:sz w:val="32"/>
          <w:szCs w:val="32"/>
          <w:highlight w:val="none"/>
        </w:rPr>
        <w:t>第六部分  附件</w:t>
      </w:r>
      <w:bookmarkEnd w:id="51"/>
      <w:bookmarkEnd w:id="52"/>
    </w:p>
    <w:p w14:paraId="73DB2C0E">
      <w:pPr>
        <w:jc w:val="center"/>
        <w:rPr>
          <w:rFonts w:hint="eastAsia" w:ascii="宋体" w:hAnsi="宋体" w:cs="仿宋"/>
          <w:b/>
          <w:bCs/>
          <w:sz w:val="32"/>
          <w:szCs w:val="32"/>
          <w:highlight w:val="none"/>
        </w:rPr>
      </w:pPr>
    </w:p>
    <w:p w14:paraId="175F21C3">
      <w:pPr>
        <w:rPr>
          <w:rFonts w:hint="eastAsia" w:ascii="宋体" w:hAnsi="宋体" w:cs="仿宋"/>
          <w:b/>
          <w:bCs/>
          <w:kern w:val="0"/>
          <w:sz w:val="28"/>
          <w:szCs w:val="28"/>
          <w:highlight w:val="none"/>
        </w:rPr>
      </w:pPr>
      <w:bookmarkStart w:id="53" w:name="_Toc17249"/>
      <w:bookmarkStart w:id="54" w:name="_Toc20607"/>
      <w:r>
        <w:rPr>
          <w:rFonts w:hint="eastAsia" w:ascii="宋体" w:hAnsi="宋体" w:cs="仿宋"/>
          <w:b/>
          <w:bCs/>
          <w:kern w:val="0"/>
          <w:sz w:val="28"/>
          <w:szCs w:val="28"/>
          <w:highlight w:val="none"/>
        </w:rPr>
        <w:t>一.</w:t>
      </w:r>
      <w:bookmarkEnd w:id="53"/>
      <w:bookmarkEnd w:id="54"/>
      <w:r>
        <w:rPr>
          <w:rFonts w:hint="eastAsia" w:ascii="宋体" w:hAnsi="宋体"/>
          <w:b/>
          <w:sz w:val="28"/>
          <w:szCs w:val="28"/>
          <w:highlight w:val="none"/>
        </w:rPr>
        <w:t xml:space="preserve"> 中小企业声明函</w:t>
      </w:r>
      <w:r>
        <w:rPr>
          <w:rFonts w:hint="eastAsia" w:ascii="宋体" w:hAnsi="宋体" w:cs="仿宋"/>
          <w:b/>
          <w:bCs/>
          <w:kern w:val="0"/>
          <w:sz w:val="28"/>
          <w:szCs w:val="28"/>
          <w:highlight w:val="none"/>
        </w:rPr>
        <w:t>(非</w:t>
      </w:r>
      <w:r>
        <w:rPr>
          <w:rFonts w:hint="eastAsia" w:ascii="宋体" w:hAnsi="宋体"/>
          <w:b/>
          <w:sz w:val="28"/>
          <w:szCs w:val="28"/>
          <w:highlight w:val="none"/>
        </w:rPr>
        <w:t>中小企业</w:t>
      </w:r>
      <w:r>
        <w:rPr>
          <w:rFonts w:hint="eastAsia" w:ascii="宋体" w:hAnsi="宋体" w:cs="仿宋"/>
          <w:b/>
          <w:bCs/>
          <w:kern w:val="0"/>
          <w:sz w:val="28"/>
          <w:szCs w:val="28"/>
          <w:highlight w:val="none"/>
        </w:rPr>
        <w:t>不填写)</w:t>
      </w:r>
    </w:p>
    <w:p w14:paraId="04A7F2A2">
      <w:pPr>
        <w:autoSpaceDN w:val="0"/>
        <w:jc w:val="center"/>
        <w:rPr>
          <w:rFonts w:hint="eastAsia" w:ascii="仿宋" w:hAnsi="仿宋" w:eastAsia="仿宋" w:cs="仿宋"/>
          <w:sz w:val="32"/>
          <w:szCs w:val="32"/>
          <w:highlight w:val="none"/>
        </w:rPr>
      </w:pPr>
    </w:p>
    <w:p w14:paraId="2237A20F">
      <w:pPr>
        <w:spacing w:line="360" w:lineRule="auto"/>
        <w:ind w:firstLine="496" w:firstLineChars="200"/>
        <w:jc w:val="left"/>
        <w:rPr>
          <w:rFonts w:ascii="宋体" w:hAnsi="宋体"/>
          <w:spacing w:val="4"/>
          <w:sz w:val="24"/>
          <w:szCs w:val="24"/>
          <w:highlight w:val="none"/>
        </w:rPr>
      </w:pPr>
      <w:r>
        <w:rPr>
          <w:rFonts w:hint="eastAsia" w:ascii="宋体" w:hAnsi="宋体"/>
          <w:spacing w:val="4"/>
          <w:sz w:val="24"/>
          <w:szCs w:val="24"/>
          <w:highlight w:val="none"/>
        </w:rPr>
        <w:t>本公司（联合体）郑重声明，根据《政府采购促进中小企业发展管理办法》（财库﹝2020﹞46号）的规定，本公司（联合体）参加</w:t>
      </w:r>
      <w:r>
        <w:rPr>
          <w:rFonts w:hint="eastAsia" w:ascii="宋体" w:hAnsi="宋体"/>
          <w:i/>
          <w:spacing w:val="4"/>
          <w:sz w:val="24"/>
          <w:szCs w:val="24"/>
          <w:highlight w:val="none"/>
          <w:u w:val="single"/>
        </w:rPr>
        <w:t>（单位名称）</w:t>
      </w:r>
      <w:r>
        <w:rPr>
          <w:rFonts w:hint="eastAsia" w:ascii="宋体" w:hAnsi="宋体"/>
          <w:spacing w:val="4"/>
          <w:sz w:val="24"/>
          <w:szCs w:val="24"/>
          <w:highlight w:val="none"/>
        </w:rPr>
        <w:t>的</w:t>
      </w:r>
      <w:r>
        <w:rPr>
          <w:rFonts w:hint="eastAsia" w:ascii="宋体" w:hAnsi="宋体"/>
          <w:i/>
          <w:spacing w:val="4"/>
          <w:sz w:val="24"/>
          <w:szCs w:val="24"/>
          <w:highlight w:val="none"/>
          <w:u w:val="single"/>
        </w:rPr>
        <w:t>（项目名称）、（标段名称）</w:t>
      </w:r>
      <w:r>
        <w:rPr>
          <w:rFonts w:hint="eastAsia" w:ascii="宋体" w:hAnsi="宋体"/>
          <w:spacing w:val="4"/>
          <w:sz w:val="24"/>
          <w:szCs w:val="24"/>
          <w:highlight w:val="none"/>
        </w:rPr>
        <w:t xml:space="preserve">采购活动，工程的施工单位全部由符合政策要求的中小企业承接）。相关企业（含联合体中的中小企业、签订分包意向协议的中小企业）的具体情况如下： </w:t>
      </w:r>
    </w:p>
    <w:p w14:paraId="211A0D77">
      <w:pPr>
        <w:spacing w:line="360" w:lineRule="auto"/>
        <w:ind w:firstLine="496" w:firstLineChars="200"/>
        <w:jc w:val="left"/>
        <w:rPr>
          <w:rFonts w:ascii="宋体" w:hAnsi="宋体"/>
          <w:spacing w:val="4"/>
          <w:sz w:val="24"/>
          <w:szCs w:val="24"/>
          <w:highlight w:val="none"/>
        </w:rPr>
      </w:pPr>
      <w:r>
        <w:rPr>
          <w:rFonts w:hint="eastAsia" w:ascii="宋体" w:hAnsi="宋体"/>
          <w:spacing w:val="4"/>
          <w:sz w:val="24"/>
          <w:szCs w:val="24"/>
          <w:highlight w:val="none"/>
        </w:rPr>
        <w:t>1.</w:t>
      </w:r>
      <w:r>
        <w:rPr>
          <w:rFonts w:hint="eastAsia" w:ascii="宋体" w:hAnsi="宋体"/>
          <w:i/>
          <w:spacing w:val="4"/>
          <w:sz w:val="24"/>
          <w:szCs w:val="24"/>
          <w:highlight w:val="none"/>
          <w:u w:val="single"/>
        </w:rPr>
        <w:t>（标的名称）</w:t>
      </w:r>
      <w:r>
        <w:rPr>
          <w:rFonts w:hint="eastAsia" w:ascii="宋体" w:hAnsi="宋体"/>
          <w:spacing w:val="4"/>
          <w:sz w:val="24"/>
          <w:szCs w:val="24"/>
          <w:highlight w:val="none"/>
        </w:rPr>
        <w:t>，属于</w:t>
      </w:r>
      <w:r>
        <w:rPr>
          <w:rFonts w:hint="eastAsia" w:ascii="宋体" w:hAnsi="宋体"/>
          <w:i/>
          <w:spacing w:val="4"/>
          <w:sz w:val="24"/>
          <w:szCs w:val="24"/>
          <w:highlight w:val="none"/>
          <w:u w:val="single"/>
        </w:rPr>
        <w:t>（</w:t>
      </w:r>
      <w:r>
        <w:rPr>
          <w:rFonts w:hint="eastAsia" w:ascii="宋体" w:hAnsi="宋体"/>
          <w:i/>
          <w:spacing w:val="4"/>
          <w:sz w:val="24"/>
          <w:szCs w:val="24"/>
          <w:highlight w:val="none"/>
          <w:u w:val="single"/>
          <w:lang w:val="en-US" w:eastAsia="zh-CN"/>
        </w:rPr>
        <w:t>工业</w:t>
      </w:r>
      <w:r>
        <w:rPr>
          <w:rFonts w:hint="eastAsia" w:ascii="宋体" w:hAnsi="宋体"/>
          <w:i/>
          <w:spacing w:val="4"/>
          <w:sz w:val="24"/>
          <w:szCs w:val="24"/>
          <w:highlight w:val="none"/>
          <w:u w:val="single"/>
        </w:rPr>
        <w:t>）</w:t>
      </w:r>
      <w:r>
        <w:rPr>
          <w:rFonts w:hint="eastAsia" w:ascii="宋体" w:hAnsi="宋体"/>
          <w:spacing w:val="4"/>
          <w:sz w:val="24"/>
          <w:szCs w:val="24"/>
          <w:highlight w:val="none"/>
        </w:rPr>
        <w:t>；承建（承接）企业为</w:t>
      </w:r>
      <w:r>
        <w:rPr>
          <w:rFonts w:hint="eastAsia" w:ascii="宋体" w:hAnsi="宋体"/>
          <w:i/>
          <w:spacing w:val="4"/>
          <w:sz w:val="24"/>
          <w:szCs w:val="24"/>
          <w:highlight w:val="none"/>
          <w:u w:val="single"/>
        </w:rPr>
        <w:t>（企业名称）</w:t>
      </w:r>
      <w:r>
        <w:rPr>
          <w:rFonts w:hint="eastAsia" w:ascii="宋体" w:hAnsi="宋体"/>
          <w:spacing w:val="4"/>
          <w:sz w:val="24"/>
          <w:szCs w:val="24"/>
          <w:highlight w:val="none"/>
        </w:rPr>
        <w:t>，从业人员</w:t>
      </w:r>
      <w:r>
        <w:rPr>
          <w:rFonts w:hint="eastAsia" w:ascii="宋体" w:hAnsi="宋体"/>
          <w:spacing w:val="4"/>
          <w:sz w:val="24"/>
          <w:szCs w:val="24"/>
          <w:highlight w:val="none"/>
          <w:u w:val="single"/>
        </w:rPr>
        <w:t xml:space="preserve">    </w:t>
      </w:r>
      <w:r>
        <w:rPr>
          <w:rFonts w:hint="eastAsia" w:ascii="宋体" w:hAnsi="宋体"/>
          <w:spacing w:val="4"/>
          <w:sz w:val="24"/>
          <w:szCs w:val="24"/>
          <w:highlight w:val="none"/>
        </w:rPr>
        <w:t>人，营业收入为</w:t>
      </w:r>
      <w:r>
        <w:rPr>
          <w:rFonts w:hint="eastAsia" w:ascii="宋体" w:hAnsi="宋体"/>
          <w:spacing w:val="4"/>
          <w:sz w:val="24"/>
          <w:szCs w:val="24"/>
          <w:highlight w:val="none"/>
          <w:u w:val="single"/>
        </w:rPr>
        <w:t xml:space="preserve">    </w:t>
      </w:r>
      <w:r>
        <w:rPr>
          <w:rFonts w:hint="eastAsia" w:ascii="宋体" w:hAnsi="宋体"/>
          <w:spacing w:val="4"/>
          <w:sz w:val="24"/>
          <w:szCs w:val="24"/>
          <w:highlight w:val="none"/>
        </w:rPr>
        <w:t>万元，资产总额为</w:t>
      </w:r>
      <w:r>
        <w:rPr>
          <w:rFonts w:hint="eastAsia" w:ascii="宋体" w:hAnsi="宋体"/>
          <w:spacing w:val="4"/>
          <w:sz w:val="24"/>
          <w:szCs w:val="24"/>
          <w:highlight w:val="none"/>
          <w:u w:val="single"/>
        </w:rPr>
        <w:t xml:space="preserve">  </w:t>
      </w:r>
      <w:r>
        <w:rPr>
          <w:rFonts w:hint="eastAsia" w:ascii="宋体" w:hAnsi="宋体"/>
          <w:spacing w:val="4"/>
          <w:sz w:val="24"/>
          <w:szCs w:val="24"/>
          <w:highlight w:val="none"/>
        </w:rPr>
        <w:t>万元，属于</w:t>
      </w:r>
      <w:r>
        <w:rPr>
          <w:rFonts w:hint="eastAsia" w:ascii="宋体" w:hAnsi="宋体"/>
          <w:i/>
          <w:spacing w:val="4"/>
          <w:sz w:val="24"/>
          <w:szCs w:val="24"/>
          <w:highlight w:val="none"/>
          <w:u w:val="single"/>
        </w:rPr>
        <w:t>（中型企业、小型企业、微型企业）</w:t>
      </w:r>
      <w:r>
        <w:rPr>
          <w:rFonts w:hint="eastAsia" w:ascii="宋体" w:hAnsi="宋体"/>
          <w:spacing w:val="4"/>
          <w:sz w:val="24"/>
          <w:szCs w:val="24"/>
          <w:highlight w:val="none"/>
        </w:rPr>
        <w:t xml:space="preserve">； </w:t>
      </w:r>
    </w:p>
    <w:p w14:paraId="33F00C7E">
      <w:pPr>
        <w:spacing w:line="360" w:lineRule="auto"/>
        <w:ind w:firstLine="496" w:firstLineChars="200"/>
        <w:jc w:val="left"/>
        <w:rPr>
          <w:rFonts w:ascii="宋体" w:hAnsi="宋体"/>
          <w:spacing w:val="4"/>
          <w:sz w:val="24"/>
          <w:szCs w:val="24"/>
          <w:highlight w:val="none"/>
        </w:rPr>
      </w:pPr>
      <w:r>
        <w:rPr>
          <w:rFonts w:hint="eastAsia" w:ascii="宋体" w:hAnsi="宋体"/>
          <w:spacing w:val="4"/>
          <w:sz w:val="24"/>
          <w:szCs w:val="24"/>
          <w:highlight w:val="none"/>
        </w:rPr>
        <w:t>2.</w:t>
      </w:r>
      <w:r>
        <w:rPr>
          <w:rFonts w:hint="eastAsia" w:ascii="宋体" w:hAnsi="宋体"/>
          <w:i/>
          <w:spacing w:val="4"/>
          <w:sz w:val="24"/>
          <w:szCs w:val="24"/>
          <w:highlight w:val="none"/>
          <w:u w:val="single"/>
        </w:rPr>
        <w:t>（标的名称）</w:t>
      </w:r>
      <w:r>
        <w:rPr>
          <w:rFonts w:hint="eastAsia" w:ascii="宋体" w:hAnsi="宋体"/>
          <w:spacing w:val="4"/>
          <w:sz w:val="24"/>
          <w:szCs w:val="24"/>
          <w:highlight w:val="none"/>
        </w:rPr>
        <w:t>，属于（</w:t>
      </w:r>
      <w:r>
        <w:rPr>
          <w:rFonts w:hint="eastAsia" w:ascii="宋体" w:hAnsi="宋体"/>
          <w:i/>
          <w:spacing w:val="4"/>
          <w:sz w:val="24"/>
          <w:szCs w:val="24"/>
          <w:highlight w:val="none"/>
          <w:u w:val="single"/>
          <w:lang w:val="en-US" w:eastAsia="zh-CN"/>
        </w:rPr>
        <w:t>工业</w:t>
      </w:r>
      <w:r>
        <w:rPr>
          <w:rFonts w:hint="eastAsia" w:ascii="宋体" w:hAnsi="宋体"/>
          <w:spacing w:val="4"/>
          <w:sz w:val="24"/>
          <w:szCs w:val="24"/>
          <w:highlight w:val="none"/>
        </w:rPr>
        <w:t>）；承建（承接）企业为</w:t>
      </w:r>
      <w:r>
        <w:rPr>
          <w:rFonts w:hint="eastAsia" w:ascii="宋体" w:hAnsi="宋体"/>
          <w:i/>
          <w:spacing w:val="4"/>
          <w:sz w:val="24"/>
          <w:szCs w:val="24"/>
          <w:highlight w:val="none"/>
          <w:u w:val="single"/>
        </w:rPr>
        <w:t>（企业名称）</w:t>
      </w:r>
      <w:r>
        <w:rPr>
          <w:rFonts w:hint="eastAsia" w:ascii="宋体" w:hAnsi="宋体"/>
          <w:spacing w:val="4"/>
          <w:sz w:val="24"/>
          <w:szCs w:val="24"/>
          <w:highlight w:val="none"/>
        </w:rPr>
        <w:t>，从业人员</w:t>
      </w:r>
      <w:r>
        <w:rPr>
          <w:rFonts w:hint="eastAsia" w:ascii="宋体" w:hAnsi="宋体"/>
          <w:spacing w:val="4"/>
          <w:sz w:val="24"/>
          <w:szCs w:val="24"/>
          <w:highlight w:val="none"/>
          <w:u w:val="single"/>
        </w:rPr>
        <w:t xml:space="preserve">    </w:t>
      </w:r>
      <w:r>
        <w:rPr>
          <w:rFonts w:hint="eastAsia" w:ascii="宋体" w:hAnsi="宋体"/>
          <w:spacing w:val="4"/>
          <w:sz w:val="24"/>
          <w:szCs w:val="24"/>
          <w:highlight w:val="none"/>
        </w:rPr>
        <w:t>人，营业收入为</w:t>
      </w:r>
      <w:r>
        <w:rPr>
          <w:rFonts w:hint="eastAsia" w:ascii="宋体" w:hAnsi="宋体"/>
          <w:spacing w:val="4"/>
          <w:sz w:val="24"/>
          <w:szCs w:val="24"/>
          <w:highlight w:val="none"/>
          <w:u w:val="single"/>
        </w:rPr>
        <w:t xml:space="preserve">    </w:t>
      </w:r>
      <w:r>
        <w:rPr>
          <w:rFonts w:hint="eastAsia" w:ascii="宋体" w:hAnsi="宋体"/>
          <w:spacing w:val="4"/>
          <w:sz w:val="24"/>
          <w:szCs w:val="24"/>
          <w:highlight w:val="none"/>
        </w:rPr>
        <w:t>万元，资产总额为</w:t>
      </w:r>
      <w:r>
        <w:rPr>
          <w:rFonts w:hint="eastAsia" w:ascii="宋体" w:hAnsi="宋体"/>
          <w:spacing w:val="4"/>
          <w:sz w:val="24"/>
          <w:szCs w:val="24"/>
          <w:highlight w:val="none"/>
          <w:u w:val="single"/>
        </w:rPr>
        <w:t xml:space="preserve">   </w:t>
      </w:r>
      <w:r>
        <w:rPr>
          <w:rFonts w:hint="eastAsia" w:ascii="宋体" w:hAnsi="宋体"/>
          <w:spacing w:val="4"/>
          <w:sz w:val="24"/>
          <w:szCs w:val="24"/>
          <w:highlight w:val="none"/>
        </w:rPr>
        <w:t>万元，属于</w:t>
      </w:r>
      <w:r>
        <w:rPr>
          <w:rFonts w:hint="eastAsia" w:ascii="宋体" w:hAnsi="宋体"/>
          <w:i/>
          <w:spacing w:val="4"/>
          <w:sz w:val="24"/>
          <w:szCs w:val="24"/>
          <w:highlight w:val="none"/>
          <w:u w:val="single"/>
        </w:rPr>
        <w:t>（中型企业、小型企业、微型企业）</w:t>
      </w:r>
      <w:r>
        <w:rPr>
          <w:rFonts w:hint="eastAsia" w:ascii="宋体" w:hAnsi="宋体"/>
          <w:spacing w:val="4"/>
          <w:sz w:val="24"/>
          <w:szCs w:val="24"/>
          <w:highlight w:val="none"/>
        </w:rPr>
        <w:t xml:space="preserve">； </w:t>
      </w:r>
    </w:p>
    <w:p w14:paraId="3AB151FC">
      <w:pPr>
        <w:spacing w:line="360" w:lineRule="auto"/>
        <w:ind w:firstLine="496" w:firstLineChars="200"/>
        <w:jc w:val="left"/>
        <w:rPr>
          <w:rFonts w:ascii="宋体" w:hAnsi="宋体"/>
          <w:spacing w:val="4"/>
          <w:sz w:val="24"/>
          <w:szCs w:val="24"/>
          <w:highlight w:val="none"/>
        </w:rPr>
      </w:pPr>
      <w:r>
        <w:rPr>
          <w:rFonts w:hint="eastAsia" w:ascii="宋体" w:hAnsi="宋体"/>
          <w:spacing w:val="4"/>
          <w:sz w:val="24"/>
          <w:szCs w:val="24"/>
          <w:highlight w:val="none"/>
        </w:rPr>
        <w:t xml:space="preserve">…… </w:t>
      </w:r>
    </w:p>
    <w:p w14:paraId="1D1357BF">
      <w:pPr>
        <w:spacing w:line="360" w:lineRule="auto"/>
        <w:ind w:firstLine="496" w:firstLineChars="200"/>
        <w:jc w:val="left"/>
        <w:rPr>
          <w:rFonts w:ascii="宋体" w:hAnsi="宋体"/>
          <w:spacing w:val="4"/>
          <w:sz w:val="24"/>
          <w:szCs w:val="24"/>
          <w:highlight w:val="none"/>
        </w:rPr>
      </w:pPr>
      <w:r>
        <w:rPr>
          <w:rFonts w:hint="eastAsia" w:ascii="宋体" w:hAnsi="宋体"/>
          <w:spacing w:val="4"/>
          <w:sz w:val="24"/>
          <w:szCs w:val="24"/>
          <w:highlight w:val="none"/>
        </w:rPr>
        <w:t xml:space="preserve">以上企业，不属于大企业的分支机构，不存在控股股东为大企业的情形，也不存在与大企业的负责人为同一人的情形。 </w:t>
      </w:r>
    </w:p>
    <w:p w14:paraId="1818EC4F">
      <w:pPr>
        <w:spacing w:line="360" w:lineRule="auto"/>
        <w:ind w:firstLine="496" w:firstLineChars="200"/>
        <w:jc w:val="left"/>
        <w:rPr>
          <w:rFonts w:ascii="宋体" w:hAnsi="宋体"/>
          <w:spacing w:val="4"/>
          <w:sz w:val="24"/>
          <w:szCs w:val="24"/>
          <w:highlight w:val="none"/>
        </w:rPr>
      </w:pPr>
      <w:r>
        <w:rPr>
          <w:rFonts w:hint="eastAsia" w:ascii="宋体" w:hAnsi="宋体"/>
          <w:spacing w:val="4"/>
          <w:sz w:val="24"/>
          <w:szCs w:val="24"/>
          <w:highlight w:val="none"/>
        </w:rPr>
        <w:t xml:space="preserve">本企业对上述声明内容的真实性负责。如有虚假，将依法承担相应责任。 </w:t>
      </w:r>
    </w:p>
    <w:p w14:paraId="12982E78">
      <w:pPr>
        <w:spacing w:line="360" w:lineRule="auto"/>
        <w:ind w:firstLine="4340" w:firstLineChars="1750"/>
        <w:jc w:val="left"/>
        <w:rPr>
          <w:rFonts w:ascii="宋体" w:hAnsi="宋体"/>
          <w:spacing w:val="4"/>
          <w:sz w:val="24"/>
          <w:szCs w:val="24"/>
          <w:highlight w:val="none"/>
        </w:rPr>
      </w:pPr>
    </w:p>
    <w:p w14:paraId="72BBA090">
      <w:pPr>
        <w:tabs>
          <w:tab w:val="left" w:pos="4860"/>
          <w:tab w:val="left" w:pos="8040"/>
          <w:tab w:val="left" w:pos="8160"/>
        </w:tabs>
        <w:spacing w:line="360" w:lineRule="auto"/>
        <w:ind w:right="862" w:firstLine="420" w:firstLineChars="200"/>
        <w:jc w:val="center"/>
        <w:rPr>
          <w:rFonts w:ascii="宋体" w:hAnsi="宋体"/>
          <w:highlight w:val="none"/>
          <w:u w:val="single"/>
        </w:rPr>
      </w:pPr>
      <w:r>
        <w:rPr>
          <w:rFonts w:hint="eastAsia" w:ascii="宋体" w:hAnsi="宋体"/>
          <w:highlight w:val="none"/>
        </w:rPr>
        <w:t xml:space="preserve">  供应商全称（公章）：</w:t>
      </w:r>
      <w:r>
        <w:rPr>
          <w:rFonts w:hint="eastAsia" w:ascii="宋体" w:hAnsi="宋体"/>
          <w:highlight w:val="none"/>
          <w:u w:val="single"/>
        </w:rPr>
        <w:t xml:space="preserve">                   </w:t>
      </w:r>
    </w:p>
    <w:p w14:paraId="0BDC03A2">
      <w:pPr>
        <w:tabs>
          <w:tab w:val="left" w:pos="4860"/>
        </w:tabs>
        <w:spacing w:line="360" w:lineRule="auto"/>
        <w:ind w:right="1560" w:firstLine="420" w:firstLineChars="200"/>
        <w:jc w:val="center"/>
        <w:rPr>
          <w:rFonts w:hint="eastAsia" w:ascii="宋体" w:hAnsi="宋体"/>
          <w:highlight w:val="none"/>
        </w:rPr>
      </w:pPr>
      <w:r>
        <w:rPr>
          <w:rFonts w:hint="eastAsia" w:ascii="宋体" w:hAnsi="宋体"/>
          <w:highlight w:val="none"/>
        </w:rPr>
        <w:t xml:space="preserve">       </w:t>
      </w:r>
    </w:p>
    <w:p w14:paraId="71FF87C4">
      <w:pPr>
        <w:spacing w:line="360" w:lineRule="auto"/>
        <w:ind w:firstLine="3360" w:firstLineChars="1600"/>
        <w:jc w:val="left"/>
        <w:rPr>
          <w:rFonts w:ascii="仿宋_GB2312" w:eastAsia="仿宋_GB2312"/>
          <w:sz w:val="24"/>
          <w:szCs w:val="24"/>
          <w:highlight w:val="none"/>
        </w:rPr>
      </w:pPr>
      <w:r>
        <w:rPr>
          <w:rFonts w:hint="eastAsia" w:ascii="宋体" w:hAnsi="宋体"/>
          <w:highlight w:val="none"/>
        </w:rPr>
        <w:t>日  期：</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14:paraId="2F7B1590">
      <w:pPr>
        <w:spacing w:line="360" w:lineRule="auto"/>
        <w:ind w:firstLine="4200" w:firstLineChars="1750"/>
        <w:jc w:val="left"/>
        <w:rPr>
          <w:rFonts w:ascii="仿宋_GB2312" w:eastAsia="仿宋_GB2312"/>
          <w:sz w:val="24"/>
          <w:szCs w:val="24"/>
          <w:highlight w:val="none"/>
        </w:rPr>
      </w:pPr>
    </w:p>
    <w:p w14:paraId="4FC54B52">
      <w:pPr>
        <w:spacing w:line="360" w:lineRule="auto"/>
        <w:ind w:firstLine="4200" w:firstLineChars="1750"/>
        <w:jc w:val="left"/>
        <w:rPr>
          <w:rFonts w:ascii="仿宋_GB2312" w:eastAsia="仿宋_GB2312"/>
          <w:sz w:val="24"/>
          <w:szCs w:val="24"/>
          <w:highlight w:val="none"/>
        </w:rPr>
      </w:pPr>
    </w:p>
    <w:p w14:paraId="493984D5">
      <w:pPr>
        <w:spacing w:line="360" w:lineRule="auto"/>
        <w:ind w:firstLine="4200" w:firstLineChars="1750"/>
        <w:jc w:val="left"/>
        <w:rPr>
          <w:rFonts w:hint="eastAsia" w:ascii="仿宋_GB2312" w:eastAsia="仿宋_GB2312"/>
          <w:sz w:val="24"/>
          <w:szCs w:val="24"/>
          <w:highlight w:val="none"/>
        </w:rPr>
      </w:pPr>
    </w:p>
    <w:p w14:paraId="1E654410">
      <w:pPr>
        <w:spacing w:line="360" w:lineRule="auto"/>
        <w:jc w:val="left"/>
        <w:rPr>
          <w:rFonts w:ascii="仿宋_GB2312" w:eastAsia="仿宋_GB2312"/>
          <w:sz w:val="24"/>
          <w:szCs w:val="24"/>
          <w:highlight w:val="none"/>
        </w:rPr>
      </w:pPr>
    </w:p>
    <w:p w14:paraId="272F1657">
      <w:pPr>
        <w:spacing w:line="360" w:lineRule="auto"/>
        <w:ind w:firstLine="480" w:firstLineChars="200"/>
        <w:rPr>
          <w:rFonts w:hint="eastAsia" w:ascii="宋体" w:hAnsi="宋体" w:cs="仿宋"/>
          <w:kern w:val="0"/>
          <w:sz w:val="24"/>
          <w:highlight w:val="none"/>
        </w:rPr>
      </w:pPr>
      <w:r>
        <w:rPr>
          <w:rFonts w:hint="eastAsia" w:ascii="宋体" w:hAnsi="宋体"/>
          <w:sz w:val="24"/>
          <w:szCs w:val="24"/>
          <w:highlight w:val="none"/>
        </w:rPr>
        <w:t>从业人员、营业收入、资产总额填报上一年度数据，无上一年度数据的新成立企业可不填报。</w:t>
      </w:r>
    </w:p>
    <w:p w14:paraId="212D2F97">
      <w:pPr>
        <w:rPr>
          <w:rFonts w:hint="eastAsia" w:ascii="宋体" w:hAnsi="宋体" w:cs="仿宋"/>
          <w:b/>
          <w:bCs/>
          <w:sz w:val="28"/>
          <w:szCs w:val="28"/>
          <w:highlight w:val="none"/>
        </w:rPr>
      </w:pPr>
      <w:bookmarkStart w:id="55" w:name="_Toc26990"/>
      <w:bookmarkStart w:id="56" w:name="_Toc32499"/>
    </w:p>
    <w:p w14:paraId="449A2B40">
      <w:pPr>
        <w:rPr>
          <w:rFonts w:hint="eastAsia" w:ascii="宋体" w:hAnsi="宋体" w:cs="仿宋"/>
          <w:b/>
          <w:bCs/>
          <w:sz w:val="28"/>
          <w:szCs w:val="28"/>
          <w:highlight w:val="none"/>
        </w:rPr>
      </w:pPr>
    </w:p>
    <w:p w14:paraId="67D728A3">
      <w:pPr>
        <w:rPr>
          <w:rFonts w:ascii="宋体" w:hAnsi="宋体" w:cs="仿宋"/>
          <w:b/>
          <w:bCs/>
          <w:sz w:val="28"/>
          <w:szCs w:val="28"/>
          <w:highlight w:val="none"/>
        </w:rPr>
      </w:pPr>
      <w:r>
        <w:rPr>
          <w:rFonts w:hint="eastAsia" w:ascii="宋体" w:hAnsi="宋体" w:cs="仿宋"/>
          <w:b/>
          <w:bCs/>
          <w:sz w:val="28"/>
          <w:szCs w:val="28"/>
          <w:highlight w:val="none"/>
        </w:rPr>
        <w:t>二、</w:t>
      </w:r>
      <w:bookmarkEnd w:id="55"/>
      <w:bookmarkEnd w:id="56"/>
      <w:r>
        <w:rPr>
          <w:rFonts w:hint="eastAsia" w:ascii="宋体" w:hAnsi="宋体" w:cs="宋体"/>
          <w:b/>
          <w:kern w:val="0"/>
          <w:sz w:val="28"/>
          <w:szCs w:val="28"/>
          <w:highlight w:val="none"/>
          <w:lang w:val="zh-CN"/>
        </w:rPr>
        <w:t>残疾人福利性单位声明函（非</w:t>
      </w:r>
      <w:r>
        <w:rPr>
          <w:rFonts w:ascii="宋体" w:hAnsi="宋体" w:cs="仿宋"/>
          <w:b/>
          <w:bCs/>
          <w:sz w:val="28"/>
          <w:szCs w:val="28"/>
          <w:highlight w:val="none"/>
        </w:rPr>
        <w:t>残疾人</w:t>
      </w:r>
      <w:r>
        <w:rPr>
          <w:rFonts w:hint="eastAsia" w:ascii="宋体" w:hAnsi="宋体" w:cs="仿宋"/>
          <w:b/>
          <w:bCs/>
          <w:sz w:val="28"/>
          <w:szCs w:val="28"/>
          <w:highlight w:val="none"/>
        </w:rPr>
        <w:t>福利企业</w:t>
      </w:r>
      <w:r>
        <w:rPr>
          <w:rFonts w:hint="eastAsia" w:ascii="宋体" w:hAnsi="宋体" w:cs="宋体"/>
          <w:b/>
          <w:kern w:val="0"/>
          <w:sz w:val="28"/>
          <w:szCs w:val="28"/>
          <w:highlight w:val="none"/>
          <w:lang w:val="zh-CN"/>
        </w:rPr>
        <w:t>不</w:t>
      </w:r>
      <w:r>
        <w:rPr>
          <w:rFonts w:hint="eastAsia" w:ascii="宋体" w:hAnsi="宋体" w:cs="仿宋"/>
          <w:b/>
          <w:bCs/>
          <w:kern w:val="0"/>
          <w:sz w:val="28"/>
          <w:szCs w:val="28"/>
          <w:highlight w:val="none"/>
        </w:rPr>
        <w:t>填写</w:t>
      </w:r>
      <w:r>
        <w:rPr>
          <w:rFonts w:hint="eastAsia" w:ascii="宋体" w:hAnsi="宋体" w:cs="宋体"/>
          <w:b/>
          <w:kern w:val="0"/>
          <w:sz w:val="28"/>
          <w:szCs w:val="28"/>
          <w:highlight w:val="none"/>
          <w:lang w:val="zh-CN"/>
        </w:rPr>
        <w:t>）</w:t>
      </w:r>
    </w:p>
    <w:p w14:paraId="44425A1B">
      <w:pPr>
        <w:spacing w:line="360" w:lineRule="auto"/>
        <w:rPr>
          <w:rFonts w:ascii="宋体" w:hAnsi="宋体"/>
          <w:b/>
          <w:spacing w:val="6"/>
          <w:sz w:val="32"/>
          <w:szCs w:val="32"/>
          <w:highlight w:val="none"/>
          <w:shd w:val="pct10" w:color="auto" w:fill="FFFFFF"/>
        </w:rPr>
      </w:pPr>
    </w:p>
    <w:p w14:paraId="12DB3069">
      <w:pPr>
        <w:spacing w:line="360" w:lineRule="auto"/>
        <w:ind w:firstLine="480" w:firstLineChars="200"/>
        <w:rPr>
          <w:rFonts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sz w:val="24"/>
          <w:highlight w:val="none"/>
          <w:u w:val="single"/>
        </w:rPr>
        <w:t xml:space="preserve">          </w:t>
      </w:r>
      <w:r>
        <w:rPr>
          <w:rFonts w:hint="eastAsia" w:ascii="宋体" w:hAnsi="宋体"/>
          <w:sz w:val="24"/>
          <w:highlight w:val="none"/>
        </w:rPr>
        <w:t>项目采购活动提供本单位制造的货物（由本单位承担工程/提供服务），或者提供其他残疾人福利性单位制造的货物（不包括使用非残疾人福利性单位注册商标的货物）。</w:t>
      </w:r>
    </w:p>
    <w:p w14:paraId="2207DDE0">
      <w:pPr>
        <w:spacing w:line="360" w:lineRule="auto"/>
        <w:ind w:firstLine="480" w:firstLineChars="200"/>
        <w:rPr>
          <w:rFonts w:ascii="宋体" w:hAnsi="宋体"/>
          <w:sz w:val="24"/>
          <w:highlight w:val="none"/>
        </w:rPr>
      </w:pPr>
      <w:r>
        <w:rPr>
          <w:rFonts w:hint="eastAsia" w:ascii="宋体" w:hAnsi="宋体"/>
          <w:sz w:val="24"/>
          <w:highlight w:val="none"/>
        </w:rPr>
        <w:t>本单位对上述声明的真实性负责。如有虚假，将依法承担相应责任。</w:t>
      </w:r>
    </w:p>
    <w:p w14:paraId="5C4F0388">
      <w:pPr>
        <w:spacing w:line="360" w:lineRule="auto"/>
        <w:ind w:firstLine="480" w:firstLineChars="200"/>
        <w:rPr>
          <w:rFonts w:ascii="宋体" w:hAnsi="宋体"/>
          <w:sz w:val="24"/>
          <w:highlight w:val="none"/>
        </w:rPr>
      </w:pPr>
    </w:p>
    <w:p w14:paraId="45043974">
      <w:pPr>
        <w:spacing w:line="360" w:lineRule="auto"/>
        <w:ind w:firstLine="480" w:firstLineChars="200"/>
        <w:rPr>
          <w:rFonts w:ascii="宋体" w:hAnsi="宋体"/>
          <w:sz w:val="24"/>
          <w:highlight w:val="none"/>
        </w:rPr>
      </w:pPr>
    </w:p>
    <w:p w14:paraId="2F03E98C">
      <w:pPr>
        <w:tabs>
          <w:tab w:val="left" w:pos="4860"/>
          <w:tab w:val="left" w:pos="8040"/>
          <w:tab w:val="left" w:pos="8160"/>
        </w:tabs>
        <w:spacing w:line="360" w:lineRule="auto"/>
        <w:ind w:right="862" w:firstLine="480" w:firstLineChars="200"/>
        <w:jc w:val="center"/>
        <w:rPr>
          <w:rFonts w:ascii="宋体" w:hAnsi="宋体"/>
          <w:sz w:val="24"/>
          <w:highlight w:val="none"/>
          <w:u w:val="single"/>
        </w:rPr>
      </w:pPr>
      <w:r>
        <w:rPr>
          <w:rFonts w:hint="eastAsia" w:ascii="宋体" w:hAnsi="宋体"/>
          <w:sz w:val="24"/>
          <w:highlight w:val="none"/>
        </w:rPr>
        <w:t xml:space="preserve">       供应商全称（公章）：</w:t>
      </w:r>
      <w:r>
        <w:rPr>
          <w:rFonts w:hint="eastAsia" w:ascii="宋体" w:hAnsi="宋体"/>
          <w:sz w:val="24"/>
          <w:highlight w:val="none"/>
          <w:u w:val="single"/>
        </w:rPr>
        <w:t xml:space="preserve">                   </w:t>
      </w:r>
    </w:p>
    <w:p w14:paraId="57DFE633">
      <w:pPr>
        <w:tabs>
          <w:tab w:val="left" w:pos="4860"/>
        </w:tabs>
        <w:spacing w:line="360" w:lineRule="auto"/>
        <w:ind w:right="1560" w:firstLine="480" w:firstLineChars="200"/>
        <w:jc w:val="center"/>
        <w:rPr>
          <w:rFonts w:hint="eastAsia" w:ascii="宋体" w:hAnsi="宋体"/>
          <w:sz w:val="24"/>
          <w:highlight w:val="none"/>
        </w:rPr>
      </w:pPr>
      <w:r>
        <w:rPr>
          <w:rFonts w:hint="eastAsia" w:ascii="宋体" w:hAnsi="宋体"/>
          <w:sz w:val="24"/>
          <w:highlight w:val="none"/>
        </w:rPr>
        <w:t xml:space="preserve">       </w:t>
      </w:r>
    </w:p>
    <w:p w14:paraId="65025F1A">
      <w:pPr>
        <w:tabs>
          <w:tab w:val="left" w:pos="4860"/>
        </w:tabs>
        <w:spacing w:line="360" w:lineRule="auto"/>
        <w:ind w:right="1560" w:firstLine="480" w:firstLineChars="200"/>
        <w:jc w:val="center"/>
        <w:rPr>
          <w:rFonts w:ascii="宋体" w:hAnsi="宋体"/>
          <w:sz w:val="24"/>
          <w:highlight w:val="none"/>
        </w:rPr>
      </w:pPr>
      <w:r>
        <w:rPr>
          <w:rFonts w:hint="eastAsia" w:ascii="宋体" w:hAnsi="宋体"/>
          <w:sz w:val="24"/>
          <w:highlight w:val="none"/>
        </w:rPr>
        <w:t xml:space="preserve">                       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52704212">
      <w:pPr>
        <w:spacing w:line="360" w:lineRule="auto"/>
        <w:ind w:firstLine="506" w:firstLineChars="200"/>
        <w:rPr>
          <w:rFonts w:hint="eastAsia" w:ascii="宋体" w:hAnsi="宋体"/>
          <w:b/>
          <w:spacing w:val="6"/>
          <w:sz w:val="24"/>
          <w:highlight w:val="none"/>
          <w:shd w:val="pct10" w:color="auto" w:fill="FFFFFF"/>
        </w:rPr>
      </w:pPr>
    </w:p>
    <w:p w14:paraId="109B3B30">
      <w:pPr>
        <w:spacing w:line="360" w:lineRule="auto"/>
        <w:ind w:firstLine="506" w:firstLineChars="200"/>
        <w:rPr>
          <w:rFonts w:hint="eastAsia" w:ascii="宋体" w:hAnsi="宋体"/>
          <w:b/>
          <w:spacing w:val="6"/>
          <w:sz w:val="24"/>
          <w:highlight w:val="none"/>
          <w:shd w:val="pct10" w:color="auto" w:fill="FFFFFF"/>
        </w:rPr>
      </w:pPr>
    </w:p>
    <w:p w14:paraId="557C3915">
      <w:pPr>
        <w:kinsoku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备注：供应商提供的《残疾人福利性单位声明函》必须真实有效，如果被举报经查实出具虚假声明函的，将被取消资格，并按有关规定予以处理。</w:t>
      </w:r>
    </w:p>
    <w:p w14:paraId="2A9814E5">
      <w:pPr>
        <w:rPr>
          <w:rFonts w:hint="eastAsia" w:ascii="宋体" w:hAnsi="宋体" w:cs="仿宋"/>
          <w:b/>
          <w:bCs/>
          <w:sz w:val="24"/>
          <w:highlight w:val="none"/>
        </w:rPr>
      </w:pPr>
    </w:p>
    <w:p w14:paraId="6DDB23B7">
      <w:pPr>
        <w:rPr>
          <w:rFonts w:hint="eastAsia" w:ascii="宋体" w:hAnsi="宋体" w:cs="仿宋"/>
          <w:b/>
          <w:bCs/>
          <w:sz w:val="32"/>
          <w:szCs w:val="32"/>
          <w:highlight w:val="none"/>
        </w:rPr>
      </w:pPr>
    </w:p>
    <w:p w14:paraId="41FBDED6">
      <w:pPr>
        <w:rPr>
          <w:rFonts w:hint="eastAsia" w:ascii="宋体" w:hAnsi="宋体" w:cs="仿宋"/>
          <w:b/>
          <w:bCs/>
          <w:sz w:val="32"/>
          <w:szCs w:val="32"/>
          <w:highlight w:val="none"/>
        </w:rPr>
      </w:pPr>
    </w:p>
    <w:p w14:paraId="673A8835">
      <w:pPr>
        <w:rPr>
          <w:rFonts w:ascii="宋体" w:hAnsi="宋体" w:cs="仿宋"/>
          <w:b/>
          <w:bCs/>
          <w:sz w:val="28"/>
          <w:szCs w:val="28"/>
          <w:highlight w:val="none"/>
        </w:rPr>
      </w:pPr>
      <w:r>
        <w:rPr>
          <w:rFonts w:ascii="宋体" w:hAnsi="宋体" w:cs="仿宋"/>
          <w:b/>
          <w:bCs/>
          <w:sz w:val="28"/>
          <w:szCs w:val="28"/>
          <w:highlight w:val="none"/>
        </w:rPr>
        <w:br w:type="page"/>
      </w:r>
      <w:r>
        <w:rPr>
          <w:rFonts w:hint="eastAsia" w:ascii="宋体" w:hAnsi="宋体" w:cs="仿宋"/>
          <w:b/>
          <w:bCs/>
          <w:sz w:val="28"/>
          <w:szCs w:val="28"/>
          <w:highlight w:val="none"/>
        </w:rPr>
        <w:t>三、</w:t>
      </w:r>
      <w:bookmarkStart w:id="57" w:name="_Hlk18049907"/>
      <w:r>
        <w:rPr>
          <w:rFonts w:hint="eastAsia" w:ascii="宋体" w:hAnsi="宋体" w:cs="宋体"/>
          <w:b/>
          <w:kern w:val="0"/>
          <w:sz w:val="28"/>
          <w:szCs w:val="28"/>
          <w:highlight w:val="none"/>
          <w:lang w:val="zh-CN"/>
        </w:rPr>
        <w:t>监狱、戒毒企业</w:t>
      </w:r>
      <w:bookmarkEnd w:id="57"/>
      <w:r>
        <w:rPr>
          <w:rFonts w:hint="eastAsia" w:ascii="宋体" w:hAnsi="宋体" w:cs="宋体"/>
          <w:b/>
          <w:kern w:val="0"/>
          <w:sz w:val="28"/>
          <w:szCs w:val="28"/>
          <w:highlight w:val="none"/>
          <w:lang w:val="zh-CN"/>
        </w:rPr>
        <w:t>声明函（非监狱、戒毒企业不</w:t>
      </w:r>
      <w:r>
        <w:rPr>
          <w:rFonts w:hint="eastAsia" w:ascii="宋体" w:hAnsi="宋体" w:cs="仿宋"/>
          <w:b/>
          <w:bCs/>
          <w:kern w:val="0"/>
          <w:sz w:val="28"/>
          <w:szCs w:val="28"/>
          <w:highlight w:val="none"/>
        </w:rPr>
        <w:t>填写</w:t>
      </w:r>
      <w:r>
        <w:rPr>
          <w:rFonts w:hint="eastAsia" w:ascii="宋体" w:hAnsi="宋体" w:cs="宋体"/>
          <w:b/>
          <w:kern w:val="0"/>
          <w:sz w:val="28"/>
          <w:szCs w:val="28"/>
          <w:highlight w:val="none"/>
          <w:lang w:val="zh-CN"/>
        </w:rPr>
        <w:t>）</w:t>
      </w:r>
    </w:p>
    <w:p w14:paraId="1EB406BC">
      <w:pPr>
        <w:spacing w:line="360" w:lineRule="auto"/>
        <w:rPr>
          <w:rFonts w:ascii="宋体" w:hAnsi="宋体"/>
          <w:b/>
          <w:spacing w:val="6"/>
          <w:sz w:val="32"/>
          <w:szCs w:val="32"/>
          <w:highlight w:val="none"/>
          <w:shd w:val="pct10" w:color="auto" w:fill="FFFFFF"/>
        </w:rPr>
      </w:pPr>
    </w:p>
    <w:p w14:paraId="098F0B7C">
      <w:pPr>
        <w:spacing w:line="360" w:lineRule="auto"/>
        <w:ind w:firstLine="480" w:firstLineChars="200"/>
        <w:rPr>
          <w:rFonts w:ascii="宋体" w:hAnsi="宋体"/>
          <w:sz w:val="24"/>
          <w:highlight w:val="none"/>
        </w:rPr>
      </w:pPr>
      <w:r>
        <w:rPr>
          <w:rFonts w:hint="eastAsia" w:ascii="宋体" w:hAnsi="宋体"/>
          <w:sz w:val="24"/>
          <w:highlight w:val="none"/>
        </w:rPr>
        <w:t>本单位郑重声明，根据《</w:t>
      </w:r>
      <w:r>
        <w:rPr>
          <w:rFonts w:hint="eastAsia" w:ascii="宋体" w:hAnsi="宋体" w:cs="宋体"/>
          <w:spacing w:val="-4"/>
          <w:kern w:val="0"/>
          <w:sz w:val="24"/>
          <w:highlight w:val="none"/>
        </w:rPr>
        <w:t>财政部 司法部 关于政府采购支持监狱企业发展有关问题的通知</w:t>
      </w:r>
      <w:r>
        <w:rPr>
          <w:rFonts w:hint="eastAsia" w:ascii="宋体" w:hAnsi="宋体"/>
          <w:sz w:val="24"/>
          <w:highlight w:val="none"/>
        </w:rPr>
        <w:t>》（财库〔201</w:t>
      </w:r>
      <w:r>
        <w:rPr>
          <w:rFonts w:ascii="宋体" w:hAnsi="宋体"/>
          <w:sz w:val="24"/>
          <w:highlight w:val="none"/>
        </w:rPr>
        <w:t>4</w:t>
      </w:r>
      <w:r>
        <w:rPr>
          <w:rFonts w:hint="eastAsia" w:ascii="宋体" w:hAnsi="宋体"/>
          <w:sz w:val="24"/>
          <w:highlight w:val="none"/>
        </w:rPr>
        <w:t xml:space="preserve">〕 </w:t>
      </w:r>
      <w:r>
        <w:rPr>
          <w:rFonts w:ascii="宋体" w:hAnsi="宋体"/>
          <w:sz w:val="24"/>
          <w:highlight w:val="none"/>
        </w:rPr>
        <w:t>68</w:t>
      </w:r>
      <w:r>
        <w:rPr>
          <w:rFonts w:hint="eastAsia" w:ascii="宋体" w:hAnsi="宋体"/>
          <w:sz w:val="24"/>
          <w:highlight w:val="none"/>
        </w:rPr>
        <w:t>号）的规定，本单位为符合条件的监狱、戒毒企业，且本单位参加的</w:t>
      </w:r>
      <w:r>
        <w:rPr>
          <w:rFonts w:hint="eastAsia" w:ascii="宋体" w:hAnsi="宋体"/>
          <w:sz w:val="24"/>
          <w:highlight w:val="none"/>
          <w:u w:val="single"/>
        </w:rPr>
        <w:t xml:space="preserve">          </w:t>
      </w:r>
      <w:r>
        <w:rPr>
          <w:rFonts w:hint="eastAsia" w:ascii="宋体" w:hAnsi="宋体"/>
          <w:sz w:val="24"/>
          <w:highlight w:val="none"/>
        </w:rPr>
        <w:t>项目采购活动提供本单位制造的货物（由本单位承担工程/提供服务），或者提供其他监狱、戒毒企业制造的货物（不包括使用非监狱、戒毒企业注册商标的货物）。</w:t>
      </w:r>
    </w:p>
    <w:p w14:paraId="79A28E8B">
      <w:pPr>
        <w:spacing w:line="360" w:lineRule="auto"/>
        <w:ind w:firstLine="480" w:firstLineChars="200"/>
        <w:rPr>
          <w:rFonts w:ascii="宋体" w:hAnsi="宋体"/>
          <w:sz w:val="24"/>
          <w:highlight w:val="none"/>
        </w:rPr>
      </w:pPr>
      <w:r>
        <w:rPr>
          <w:rFonts w:hint="eastAsia" w:ascii="宋体" w:hAnsi="宋体"/>
          <w:sz w:val="24"/>
          <w:highlight w:val="none"/>
        </w:rPr>
        <w:t>本单位对上述声明的真实性负责。如有虚假，将依法承担相应责任。</w:t>
      </w:r>
    </w:p>
    <w:p w14:paraId="0BBC556F">
      <w:pPr>
        <w:spacing w:line="360" w:lineRule="auto"/>
        <w:ind w:firstLine="480" w:firstLineChars="200"/>
        <w:rPr>
          <w:rFonts w:ascii="宋体" w:hAnsi="宋体"/>
          <w:sz w:val="24"/>
          <w:highlight w:val="none"/>
        </w:rPr>
      </w:pPr>
    </w:p>
    <w:p w14:paraId="55F8994F">
      <w:pPr>
        <w:spacing w:line="360" w:lineRule="auto"/>
        <w:ind w:firstLine="480" w:firstLineChars="200"/>
        <w:rPr>
          <w:rFonts w:ascii="宋体" w:hAnsi="宋体"/>
          <w:sz w:val="24"/>
          <w:highlight w:val="none"/>
        </w:rPr>
      </w:pPr>
    </w:p>
    <w:p w14:paraId="4AA70634">
      <w:pPr>
        <w:tabs>
          <w:tab w:val="left" w:pos="4860"/>
          <w:tab w:val="left" w:pos="8040"/>
          <w:tab w:val="left" w:pos="8160"/>
        </w:tabs>
        <w:spacing w:line="360" w:lineRule="auto"/>
        <w:ind w:right="862" w:firstLine="480" w:firstLineChars="200"/>
        <w:jc w:val="center"/>
        <w:rPr>
          <w:rFonts w:ascii="宋体" w:hAnsi="宋体"/>
          <w:sz w:val="24"/>
          <w:highlight w:val="none"/>
          <w:u w:val="singl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供应商全称（公章）：</w:t>
      </w:r>
      <w:r>
        <w:rPr>
          <w:rFonts w:hint="eastAsia" w:ascii="宋体" w:hAnsi="宋体"/>
          <w:sz w:val="24"/>
          <w:highlight w:val="none"/>
          <w:u w:val="single"/>
        </w:rPr>
        <w:t xml:space="preserve">                   </w:t>
      </w:r>
    </w:p>
    <w:p w14:paraId="0483ED75">
      <w:pPr>
        <w:tabs>
          <w:tab w:val="left" w:pos="4860"/>
        </w:tabs>
        <w:spacing w:line="360" w:lineRule="auto"/>
        <w:ind w:right="1560" w:firstLine="480" w:firstLineChars="200"/>
        <w:jc w:val="center"/>
        <w:rPr>
          <w:rFonts w:hint="eastAsia" w:ascii="宋体" w:hAnsi="宋体"/>
          <w:sz w:val="24"/>
          <w:highlight w:val="none"/>
        </w:rPr>
      </w:pPr>
      <w:r>
        <w:rPr>
          <w:rFonts w:hint="eastAsia" w:ascii="宋体" w:hAnsi="宋体"/>
          <w:sz w:val="24"/>
          <w:highlight w:val="none"/>
        </w:rPr>
        <w:t xml:space="preserve">       </w:t>
      </w:r>
    </w:p>
    <w:p w14:paraId="0625F676">
      <w:pPr>
        <w:tabs>
          <w:tab w:val="left" w:pos="4860"/>
        </w:tabs>
        <w:spacing w:line="360" w:lineRule="auto"/>
        <w:ind w:right="1560" w:firstLine="480" w:firstLineChars="200"/>
        <w:jc w:val="center"/>
        <w:rPr>
          <w:rFonts w:ascii="宋体" w:hAnsi="宋体"/>
          <w:sz w:val="24"/>
          <w:highlight w:val="none"/>
        </w:rPr>
      </w:pPr>
      <w:r>
        <w:rPr>
          <w:rFonts w:hint="eastAsia" w:ascii="宋体" w:hAnsi="宋体"/>
          <w:sz w:val="24"/>
          <w:highlight w:val="none"/>
        </w:rPr>
        <w:t xml:space="preserve">                          日  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5A1AF8D5">
      <w:pPr>
        <w:spacing w:line="360" w:lineRule="auto"/>
        <w:ind w:firstLine="506" w:firstLineChars="200"/>
        <w:rPr>
          <w:rFonts w:hint="eastAsia" w:ascii="宋体" w:hAnsi="宋体"/>
          <w:b/>
          <w:spacing w:val="6"/>
          <w:sz w:val="24"/>
          <w:highlight w:val="none"/>
          <w:shd w:val="pct10" w:color="auto" w:fill="FFFFFF"/>
        </w:rPr>
      </w:pPr>
    </w:p>
    <w:p w14:paraId="4E9F22B4">
      <w:pPr>
        <w:spacing w:line="360" w:lineRule="auto"/>
        <w:ind w:firstLine="506" w:firstLineChars="200"/>
        <w:rPr>
          <w:rFonts w:hint="eastAsia" w:ascii="宋体" w:hAnsi="宋体"/>
          <w:b/>
          <w:spacing w:val="6"/>
          <w:sz w:val="24"/>
          <w:highlight w:val="none"/>
          <w:shd w:val="pct10" w:color="auto" w:fill="FFFFFF"/>
        </w:rPr>
      </w:pPr>
    </w:p>
    <w:p w14:paraId="42993BF2">
      <w:pPr>
        <w:spacing w:line="360" w:lineRule="auto"/>
        <w:ind w:firstLine="480" w:firstLineChars="200"/>
        <w:jc w:val="center"/>
        <w:rPr>
          <w:rFonts w:hint="eastAsia" w:ascii="宋体" w:hAnsi="宋体"/>
          <w:sz w:val="24"/>
          <w:highlight w:val="none"/>
        </w:rPr>
      </w:pPr>
      <w:r>
        <w:rPr>
          <w:rFonts w:hint="eastAsia" w:ascii="宋体" w:hAnsi="宋体" w:cs="宋体"/>
          <w:kern w:val="0"/>
          <w:sz w:val="24"/>
          <w:highlight w:val="none"/>
          <w:lang w:val="zh-CN"/>
        </w:rPr>
        <w:t>备注：供应商提供的《</w:t>
      </w:r>
      <w:r>
        <w:rPr>
          <w:rFonts w:hint="eastAsia" w:ascii="宋体" w:hAnsi="宋体"/>
          <w:sz w:val="24"/>
          <w:highlight w:val="none"/>
        </w:rPr>
        <w:t>监狱、戒毒企业</w:t>
      </w:r>
      <w:r>
        <w:rPr>
          <w:rFonts w:hint="eastAsia" w:ascii="宋体" w:hAnsi="宋体" w:cs="宋体"/>
          <w:kern w:val="0"/>
          <w:sz w:val="24"/>
          <w:highlight w:val="none"/>
          <w:lang w:val="zh-CN"/>
        </w:rPr>
        <w:t>声明函》必须真实有效，</w:t>
      </w:r>
      <w:r>
        <w:rPr>
          <w:rFonts w:hint="eastAsia" w:ascii="宋体" w:hAnsi="宋体"/>
          <w:sz w:val="24"/>
          <w:highlight w:val="none"/>
        </w:rPr>
        <w:t>供应商应当提供</w:t>
      </w:r>
      <w:r>
        <w:rPr>
          <w:rFonts w:ascii="宋体" w:hAnsi="宋体"/>
          <w:sz w:val="24"/>
          <w:highlight w:val="none"/>
        </w:rPr>
        <w:t>由省级以上监狱管理局、戒毒管理局(含新疆生产建设兵团)出具的属于监狱企业的证</w:t>
      </w:r>
    </w:p>
    <w:p w14:paraId="5979131B">
      <w:pPr>
        <w:spacing w:line="360" w:lineRule="auto"/>
        <w:rPr>
          <w:highlight w:val="none"/>
        </w:rPr>
      </w:pPr>
      <w:r>
        <w:rPr>
          <w:rFonts w:ascii="宋体" w:hAnsi="宋体"/>
          <w:sz w:val="24"/>
          <w:highlight w:val="none"/>
        </w:rPr>
        <w:t>明文件</w:t>
      </w:r>
      <w:r>
        <w:rPr>
          <w:rFonts w:hint="eastAsia" w:ascii="宋体" w:hAnsi="宋体"/>
          <w:sz w:val="24"/>
          <w:highlight w:val="none"/>
        </w:rPr>
        <w:t>。</w:t>
      </w:r>
      <w:r>
        <w:rPr>
          <w:highlight w:val="none"/>
        </w:rPr>
        <w:t xml:space="preserve"> </w:t>
      </w:r>
    </w:p>
    <w:p w14:paraId="1C46F2DF">
      <w:pPr>
        <w:pStyle w:val="37"/>
        <w:rPr>
          <w:rFonts w:ascii="华文楷体" w:hAnsi="华文楷体" w:eastAsia="华文楷体"/>
          <w:highlight w:val="none"/>
          <w:shd w:val="clear" w:color="auto" w:fill="FFFFFF"/>
        </w:rPr>
      </w:pPr>
      <w:r>
        <w:rPr>
          <w:rFonts w:ascii="宋体" w:hAnsi="宋体"/>
          <w:highlight w:val="none"/>
          <w:shd w:val="clear" w:color="auto" w:fill="FFFFFF"/>
        </w:rPr>
        <w:br w:type="page"/>
      </w:r>
      <w:bookmarkStart w:id="58" w:name="_Toc53083687"/>
      <w:r>
        <w:rPr>
          <w:rFonts w:hint="eastAsia" w:ascii="华文楷体" w:hAnsi="华文楷体" w:eastAsia="华文楷体"/>
          <w:highlight w:val="none"/>
          <w:shd w:val="clear" w:color="auto" w:fill="FFFFFF"/>
        </w:rPr>
        <w:t>第五章  招标内容</w:t>
      </w:r>
      <w:bookmarkEnd w:id="58"/>
    </w:p>
    <w:p w14:paraId="0BBBB9E9">
      <w:pPr>
        <w:widowControl/>
        <w:snapToGrid w:val="0"/>
        <w:spacing w:line="360" w:lineRule="auto"/>
        <w:outlineLvl w:val="0"/>
        <w:rPr>
          <w:rFonts w:hint="eastAsia" w:ascii="宋体" w:hAnsi="宋体" w:eastAsia="宋体" w:cs="宋体"/>
          <w:b/>
          <w:bCs/>
          <w:kern w:val="0"/>
          <w:sz w:val="24"/>
          <w:szCs w:val="24"/>
          <w:highlight w:val="none"/>
        </w:rPr>
      </w:pPr>
      <w:r>
        <w:rPr>
          <w:rFonts w:hint="eastAsia" w:ascii="宋体" w:hAnsi="宋体" w:cs="宋体"/>
          <w:b/>
          <w:bCs/>
          <w:kern w:val="0"/>
          <w:sz w:val="24"/>
          <w:szCs w:val="24"/>
          <w:highlight w:val="none"/>
        </w:rPr>
        <w:t>一、招标内容</w:t>
      </w:r>
      <w:r>
        <w:rPr>
          <w:rFonts w:hint="eastAsia" w:ascii="宋体" w:hAnsi="宋体" w:cs="宋体"/>
          <w:b/>
          <w:bCs/>
          <w:kern w:val="0"/>
          <w:sz w:val="24"/>
          <w:szCs w:val="24"/>
          <w:highlight w:val="none"/>
          <w:lang w:val="en-US" w:eastAsia="zh-CN"/>
        </w:rPr>
        <w:t>及</w:t>
      </w:r>
      <w:r>
        <w:rPr>
          <w:rFonts w:hint="eastAsia" w:ascii="宋体" w:hAnsi="宋体" w:eastAsia="宋体" w:cs="宋体"/>
          <w:b/>
          <w:bCs/>
          <w:kern w:val="0"/>
          <w:sz w:val="24"/>
          <w:szCs w:val="24"/>
          <w:highlight w:val="none"/>
        </w:rPr>
        <w:t>技术要求</w:t>
      </w:r>
    </w:p>
    <w:tbl>
      <w:tblPr>
        <w:tblStyle w:val="42"/>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4"/>
        <w:gridCol w:w="4551"/>
      </w:tblGrid>
      <w:tr w14:paraId="3AD6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noWrap w:val="0"/>
            <w:vAlign w:val="top"/>
          </w:tcPr>
          <w:p w14:paraId="797DF56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分类</w:t>
            </w:r>
            <w:r>
              <w:rPr>
                <w:rFonts w:hint="eastAsia" w:ascii="宋体" w:hAnsi="宋体" w:cs="宋体"/>
                <w:color w:val="auto"/>
                <w:sz w:val="24"/>
                <w:szCs w:val="24"/>
                <w:highlight w:val="none"/>
                <w:vertAlign w:val="baseline"/>
                <w:lang w:val="en-US" w:eastAsia="zh-CN"/>
              </w:rPr>
              <w:t>及数量</w:t>
            </w:r>
          </w:p>
        </w:tc>
        <w:tc>
          <w:tcPr>
            <w:tcW w:w="4566" w:type="dxa"/>
            <w:noWrap w:val="0"/>
            <w:vAlign w:val="top"/>
          </w:tcPr>
          <w:p w14:paraId="0ACE8B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设备</w:t>
            </w:r>
          </w:p>
        </w:tc>
      </w:tr>
      <w:tr w14:paraId="7E2F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restart"/>
            <w:noWrap w:val="0"/>
            <w:vAlign w:val="top"/>
          </w:tcPr>
          <w:p w14:paraId="104D45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p w14:paraId="2223B8A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p w14:paraId="6C14B8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p w14:paraId="4A8BF0E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p w14:paraId="22F9F9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p w14:paraId="0323BC1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环境空气自动监测系统</w:t>
            </w:r>
          </w:p>
          <w:p w14:paraId="0967E4A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（核心产品）</w:t>
            </w:r>
          </w:p>
        </w:tc>
        <w:tc>
          <w:tcPr>
            <w:tcW w:w="4566" w:type="dxa"/>
            <w:noWrap w:val="0"/>
            <w:vAlign w:val="top"/>
          </w:tcPr>
          <w:p w14:paraId="683EDF8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PM10分析仪</w:t>
            </w:r>
          </w:p>
        </w:tc>
      </w:tr>
      <w:tr w14:paraId="79045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2C1F08E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top"/>
          </w:tcPr>
          <w:p w14:paraId="649355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PM2.5分析仪</w:t>
            </w:r>
          </w:p>
        </w:tc>
      </w:tr>
      <w:tr w14:paraId="0782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47685F2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top"/>
          </w:tcPr>
          <w:p w14:paraId="5203A9C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SO2分析仪</w:t>
            </w:r>
          </w:p>
        </w:tc>
      </w:tr>
      <w:tr w14:paraId="52E8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0E8D29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top"/>
          </w:tcPr>
          <w:p w14:paraId="14D595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NOX分析仪</w:t>
            </w:r>
          </w:p>
        </w:tc>
      </w:tr>
      <w:tr w14:paraId="16AB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909" w:type="dxa"/>
            <w:vMerge w:val="continue"/>
            <w:noWrap w:val="0"/>
            <w:vAlign w:val="top"/>
          </w:tcPr>
          <w:p w14:paraId="4EE9ADF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top"/>
          </w:tcPr>
          <w:p w14:paraId="59D5F23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CO分析仪</w:t>
            </w:r>
          </w:p>
        </w:tc>
      </w:tr>
      <w:tr w14:paraId="14D8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44389D5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top"/>
          </w:tcPr>
          <w:p w14:paraId="1FF89BFF">
            <w:pPr>
              <w:pageBreakBefore w:val="0"/>
              <w:kinsoku/>
              <w:wordWrap/>
              <w:overflowPunct/>
              <w:topLinePunct w:val="0"/>
              <w:bidi w:val="0"/>
              <w:adjustRightIn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O3分析仪</w:t>
            </w:r>
          </w:p>
        </w:tc>
      </w:tr>
      <w:tr w14:paraId="0EA7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7053B4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top"/>
          </w:tcPr>
          <w:p w14:paraId="0A81A50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臭氧校准仪</w:t>
            </w:r>
          </w:p>
        </w:tc>
      </w:tr>
      <w:tr w14:paraId="704B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3D0498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top"/>
          </w:tcPr>
          <w:p w14:paraId="352DD91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零气发生器</w:t>
            </w:r>
          </w:p>
        </w:tc>
      </w:tr>
      <w:tr w14:paraId="452E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05A843B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top"/>
          </w:tcPr>
          <w:p w14:paraId="03C6B9C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动态校准仪</w:t>
            </w:r>
          </w:p>
        </w:tc>
      </w:tr>
      <w:tr w14:paraId="2ABB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396AEBD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top"/>
          </w:tcPr>
          <w:p w14:paraId="6A554A2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VPN</w:t>
            </w:r>
          </w:p>
        </w:tc>
      </w:tr>
      <w:tr w14:paraId="3C10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135216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top"/>
          </w:tcPr>
          <w:p w14:paraId="0CA0316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工控机</w:t>
            </w:r>
          </w:p>
        </w:tc>
      </w:tr>
      <w:tr w14:paraId="586D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510BD2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标准气体及减压阀（SO2、NO、CO）</w:t>
            </w:r>
          </w:p>
        </w:tc>
        <w:tc>
          <w:tcPr>
            <w:tcW w:w="4566" w:type="dxa"/>
            <w:noWrap w:val="0"/>
            <w:vAlign w:val="top"/>
          </w:tcPr>
          <w:p w14:paraId="23A0C45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rPr>
              <w:t>标准气体及减压阀（SO2、NO、CO）</w:t>
            </w:r>
          </w:p>
        </w:tc>
      </w:tr>
      <w:tr w14:paraId="6490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7E6D3A7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top"/>
          </w:tcPr>
          <w:p w14:paraId="3280651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数据采集与传输系统及视频监控设施</w:t>
            </w:r>
          </w:p>
        </w:tc>
      </w:tr>
      <w:tr w14:paraId="47A2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05C360B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center"/>
          </w:tcPr>
          <w:p w14:paraId="54644AB1">
            <w:pPr>
              <w:pageBreakBefore w:val="0"/>
              <w:widowControl/>
              <w:kinsoku/>
              <w:wordWrap/>
              <w:overflowPunct/>
              <w:topLinePunct w:val="0"/>
              <w:bidi w:val="0"/>
              <w:adjustRightInd/>
              <w:spacing w:line="36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环境空气挥发性有机物（VOCs）分析仪</w:t>
            </w:r>
          </w:p>
        </w:tc>
      </w:tr>
      <w:tr w14:paraId="112A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31F0360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center"/>
          </w:tcPr>
          <w:p w14:paraId="78DDAE21">
            <w:pPr>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动态校准仪</w:t>
            </w:r>
          </w:p>
        </w:tc>
      </w:tr>
      <w:tr w14:paraId="4DA2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28E5DD6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center"/>
          </w:tcPr>
          <w:p w14:paraId="4C40CA82">
            <w:pPr>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零气发生器</w:t>
            </w:r>
          </w:p>
        </w:tc>
      </w:tr>
      <w:tr w14:paraId="7B4D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6FB69A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center"/>
          </w:tcPr>
          <w:p w14:paraId="3C1323EF">
            <w:pPr>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氢气发生器</w:t>
            </w:r>
          </w:p>
        </w:tc>
      </w:tr>
      <w:tr w14:paraId="6FB7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755EED5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center"/>
          </w:tcPr>
          <w:p w14:paraId="142DEED3">
            <w:pPr>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采样系统</w:t>
            </w:r>
          </w:p>
        </w:tc>
      </w:tr>
      <w:tr w14:paraId="60A8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11CFC8F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center"/>
          </w:tcPr>
          <w:p w14:paraId="6B184E5B">
            <w:pPr>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标准气体</w:t>
            </w:r>
          </w:p>
        </w:tc>
      </w:tr>
      <w:tr w14:paraId="5E67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restart"/>
            <w:noWrap w:val="0"/>
            <w:vAlign w:val="top"/>
          </w:tcPr>
          <w:p w14:paraId="2E6C01A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p w14:paraId="7B92E4D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主要温室气体自动监测系统</w:t>
            </w:r>
          </w:p>
        </w:tc>
        <w:tc>
          <w:tcPr>
            <w:tcW w:w="4566" w:type="dxa"/>
            <w:noWrap w:val="0"/>
            <w:vAlign w:val="center"/>
          </w:tcPr>
          <w:p w14:paraId="72790A3F">
            <w:pPr>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甲烷-非甲烷总烃自动监测仪</w:t>
            </w:r>
          </w:p>
        </w:tc>
      </w:tr>
      <w:tr w14:paraId="2BCC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61CFDAC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center"/>
          </w:tcPr>
          <w:p w14:paraId="62E67B46">
            <w:pPr>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CO</w:t>
            </w:r>
            <w:r>
              <w:rPr>
                <w:rFonts w:hint="eastAsia" w:ascii="宋体" w:hAnsi="宋体" w:eastAsia="宋体" w:cs="宋体"/>
                <w:color w:val="auto"/>
                <w:kern w:val="0"/>
                <w:sz w:val="24"/>
                <w:szCs w:val="24"/>
                <w:highlight w:val="none"/>
                <w:vertAlign w:val="subscript"/>
                <w:lang w:val="en-US" w:eastAsia="zh-CN" w:bidi="ar-SA"/>
              </w:rPr>
              <w:t>2</w:t>
            </w:r>
            <w:r>
              <w:rPr>
                <w:rFonts w:hint="eastAsia" w:ascii="宋体" w:hAnsi="宋体" w:eastAsia="宋体" w:cs="宋体"/>
                <w:color w:val="auto"/>
                <w:kern w:val="0"/>
                <w:sz w:val="24"/>
                <w:szCs w:val="24"/>
                <w:highlight w:val="none"/>
                <w:lang w:val="en-US" w:eastAsia="zh-CN" w:bidi="ar-SA"/>
              </w:rPr>
              <w:t>自动监测仪</w:t>
            </w:r>
          </w:p>
        </w:tc>
      </w:tr>
      <w:tr w14:paraId="7704D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52851CB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center"/>
          </w:tcPr>
          <w:p w14:paraId="05736ADF">
            <w:pPr>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N</w:t>
            </w:r>
            <w:r>
              <w:rPr>
                <w:rFonts w:hint="eastAsia" w:ascii="宋体" w:hAnsi="宋体" w:eastAsia="宋体" w:cs="宋体"/>
                <w:color w:val="auto"/>
                <w:kern w:val="0"/>
                <w:sz w:val="24"/>
                <w:szCs w:val="24"/>
                <w:highlight w:val="none"/>
                <w:vertAlign w:val="subscript"/>
                <w:lang w:val="en-US" w:eastAsia="zh-CN" w:bidi="ar-SA"/>
              </w:rPr>
              <w:t>2</w:t>
            </w:r>
            <w:r>
              <w:rPr>
                <w:rFonts w:hint="eastAsia" w:ascii="宋体" w:hAnsi="宋体" w:eastAsia="宋体" w:cs="宋体"/>
                <w:color w:val="auto"/>
                <w:kern w:val="0"/>
                <w:sz w:val="24"/>
                <w:szCs w:val="24"/>
                <w:highlight w:val="none"/>
                <w:lang w:val="en-US" w:eastAsia="zh-CN" w:bidi="ar-SA"/>
              </w:rPr>
              <w:t>O自动监测仪</w:t>
            </w:r>
          </w:p>
        </w:tc>
      </w:tr>
      <w:tr w14:paraId="2758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78D46F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center"/>
          </w:tcPr>
          <w:p w14:paraId="3CFA600E">
            <w:pPr>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温室气体质控设备及标气耗材</w:t>
            </w:r>
          </w:p>
        </w:tc>
      </w:tr>
      <w:tr w14:paraId="46FE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restart"/>
            <w:noWrap w:val="0"/>
            <w:vAlign w:val="top"/>
          </w:tcPr>
          <w:p w14:paraId="1EEEA4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p w14:paraId="0ADA0E0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道路交通声自动监测系统</w:t>
            </w:r>
          </w:p>
        </w:tc>
        <w:tc>
          <w:tcPr>
            <w:tcW w:w="4566" w:type="dxa"/>
            <w:noWrap w:val="0"/>
            <w:vAlign w:val="center"/>
          </w:tcPr>
          <w:p w14:paraId="5493C7E4">
            <w:pPr>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vertAlign w:val="baseline"/>
                <w:lang w:val="en-US" w:eastAsia="zh-CN"/>
              </w:rPr>
              <w:t>环境噪声自动监测仪（含自动校准系统）</w:t>
            </w:r>
          </w:p>
        </w:tc>
      </w:tr>
      <w:tr w14:paraId="40E3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77FB944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center"/>
          </w:tcPr>
          <w:p w14:paraId="5333C90A">
            <w:pPr>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rPr>
              <w:t>车流量自动计数分类统计系统</w:t>
            </w:r>
          </w:p>
        </w:tc>
      </w:tr>
      <w:tr w14:paraId="62BA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4D91EEA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center"/>
          </w:tcPr>
          <w:p w14:paraId="6A9FFEA8">
            <w:pPr>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rPr>
              <w:t>交流供电系统、数据采集与传输系统</w:t>
            </w:r>
          </w:p>
        </w:tc>
      </w:tr>
      <w:tr w14:paraId="43B1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restart"/>
            <w:noWrap w:val="0"/>
            <w:vAlign w:val="top"/>
          </w:tcPr>
          <w:p w14:paraId="51F5A9F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其他监测设备</w:t>
            </w:r>
          </w:p>
        </w:tc>
        <w:tc>
          <w:tcPr>
            <w:tcW w:w="4566" w:type="dxa"/>
            <w:noWrap w:val="0"/>
            <w:vAlign w:val="center"/>
          </w:tcPr>
          <w:p w14:paraId="6927983C">
            <w:pPr>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气象5参数</w:t>
            </w:r>
          </w:p>
        </w:tc>
      </w:tr>
      <w:tr w14:paraId="623E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404ACA2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center"/>
          </w:tcPr>
          <w:p w14:paraId="1EE6FFD9">
            <w:pPr>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多波段紫外辐射仪</w:t>
            </w:r>
          </w:p>
        </w:tc>
      </w:tr>
      <w:tr w14:paraId="35373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restart"/>
            <w:noWrap w:val="0"/>
            <w:vAlign w:val="top"/>
          </w:tcPr>
          <w:p w14:paraId="222428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p w14:paraId="173A52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配套基础设施</w:t>
            </w:r>
          </w:p>
        </w:tc>
        <w:tc>
          <w:tcPr>
            <w:tcW w:w="4566" w:type="dxa"/>
            <w:noWrap w:val="0"/>
            <w:vAlign w:val="center"/>
          </w:tcPr>
          <w:p w14:paraId="4B557E57">
            <w:pPr>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站房</w:t>
            </w:r>
          </w:p>
        </w:tc>
      </w:tr>
      <w:tr w14:paraId="110A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vMerge w:val="continue"/>
            <w:noWrap w:val="0"/>
            <w:vAlign w:val="top"/>
          </w:tcPr>
          <w:p w14:paraId="1F6A3A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4566" w:type="dxa"/>
            <w:noWrap w:val="0"/>
            <w:vAlign w:val="center"/>
          </w:tcPr>
          <w:p w14:paraId="28BEAE1D">
            <w:pPr>
              <w:pageBreakBefore w:val="0"/>
              <w:widowControl/>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基础配套设施（机柜，机架，电力，安防，照明，空调）</w:t>
            </w:r>
          </w:p>
        </w:tc>
      </w:tr>
      <w:tr w14:paraId="5F5E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9" w:type="dxa"/>
            <w:noWrap w:val="0"/>
            <w:vAlign w:val="top"/>
          </w:tcPr>
          <w:p w14:paraId="301E67EE">
            <w:pPr>
              <w:pageBreakBefore w:val="0"/>
              <w:widowControl/>
              <w:kinsoku/>
              <w:wordWrap/>
              <w:overflowPunct/>
              <w:topLinePunct w:val="0"/>
              <w:bidi w:val="0"/>
              <w:adjustRightInd/>
              <w:spacing w:line="360" w:lineRule="auto"/>
              <w:ind w:firstLine="1200" w:firstLineChars="500"/>
              <w:jc w:val="both"/>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设备运维</w:t>
            </w:r>
          </w:p>
        </w:tc>
        <w:tc>
          <w:tcPr>
            <w:tcW w:w="4566" w:type="dxa"/>
            <w:noWrap w:val="0"/>
            <w:vAlign w:val="top"/>
          </w:tcPr>
          <w:p w14:paraId="72AC8742">
            <w:pPr>
              <w:pageBreakBefore w:val="0"/>
              <w:widowControl/>
              <w:kinsoku/>
              <w:wordWrap/>
              <w:overflowPunct/>
              <w:topLinePunct w:val="0"/>
              <w:bidi w:val="0"/>
              <w:adjustRightInd/>
              <w:spacing w:line="360" w:lineRule="auto"/>
              <w:ind w:firstLine="1200" w:firstLineChars="500"/>
              <w:jc w:val="both"/>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运维备件、耗材更换等</w:t>
            </w:r>
          </w:p>
        </w:tc>
      </w:tr>
    </w:tbl>
    <w:p w14:paraId="3B6BDBE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6C3890E6">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环境空气自动监测系统</w:t>
      </w:r>
      <w:r>
        <w:rPr>
          <w:rFonts w:hint="eastAsia" w:ascii="宋体" w:hAnsi="宋体" w:cs="宋体"/>
          <w:b/>
          <w:bCs/>
          <w:color w:val="auto"/>
          <w:sz w:val="24"/>
          <w:szCs w:val="24"/>
          <w:highlight w:val="none"/>
          <w:lang w:val="en-US" w:eastAsia="zh-CN"/>
        </w:rPr>
        <w:t>(1套）</w:t>
      </w:r>
    </w:p>
    <w:p w14:paraId="7C450E06">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PM10分析仪</w:t>
      </w:r>
    </w:p>
    <w:p w14:paraId="74D81E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①设备用途：用于空气中PM10浓度的监测</w:t>
      </w:r>
    </w:p>
    <w:p w14:paraId="2C7C92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②配置要求：含切割头、采样滤膜等</w:t>
      </w:r>
    </w:p>
    <w:p w14:paraId="0D35B9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③技术参数：</w:t>
      </w:r>
    </w:p>
    <w:p w14:paraId="156945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分析方法：β射线加动态加热系统方法或β射线加动态加热系统联用光散射方法或微量震荡天平加膜动态测量系统方法，用于实时连续监测环境空气中的颗粒物（PM10），可设妙数据、分钟数据</w:t>
      </w:r>
    </w:p>
    <w:p w14:paraId="01D540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量程：（0～1、0～10） mg/m3</w:t>
      </w:r>
    </w:p>
    <w:p w14:paraId="10D204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采样流量：16.7±2.5% L/min</w:t>
      </w:r>
    </w:p>
    <w:p w14:paraId="566AC5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最低检测限：1μg/m3 （24小时平均值）</w:t>
      </w:r>
    </w:p>
    <w:p w14:paraId="5BD1A0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测量周期：30min～1h（可设）</w:t>
      </w:r>
    </w:p>
    <w:p w14:paraId="6E2BC4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平行性：≤7%</w:t>
      </w:r>
    </w:p>
    <w:p w14:paraId="749284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存储：内置存储器，能够存储不少于180天的数据</w:t>
      </w:r>
    </w:p>
    <w:p w14:paraId="00AF90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仪器发生故障时，仪器的数字输出量不得误导使用者的判断（如不得以量程内特定浓度数值来表征仪器异常状态）</w:t>
      </w:r>
    </w:p>
    <w:p w14:paraId="202859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测量方式：连续在线</w:t>
      </w:r>
    </w:p>
    <w:p w14:paraId="6300F3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质量浓度平均时间：60-3600秒和24小时</w:t>
      </w:r>
    </w:p>
    <w:p w14:paraId="17A402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数据输出速率：每1秒</w:t>
      </w:r>
    </w:p>
    <w:p w14:paraId="0041A1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数字输出信号：RS232/485数字接口；数字接口至少2个（分别用于本地数采仪接口、VPN实时传输、智能维护、质控系统接口）</w:t>
      </w:r>
    </w:p>
    <w:p w14:paraId="4CAAED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模拟输出信号：DC 0～1.0V、0～5.0V、0～10.0V、0～20mA</w:t>
      </w:r>
    </w:p>
    <w:p w14:paraId="01E772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符合行业标准的采样头和切割器；采样系统密封，与站房联接具有法兰或其他型式多级防渗水连接；与站房外联接的法兰必须为耐磨腐蚀和坚固不锈钢制造</w:t>
      </w:r>
    </w:p>
    <w:p w14:paraId="5DC235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通过国家级技术认证或国家同等技术认证。</w:t>
      </w:r>
    </w:p>
    <w:p w14:paraId="374B87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安全性：对于β射线方法的仪器，须符合我国环境保护部门对含放射源设备使用的相关管理要求</w:t>
      </w:r>
    </w:p>
    <w:p w14:paraId="0FDD166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PM2.5分析仪</w:t>
      </w:r>
    </w:p>
    <w:p w14:paraId="7AB10F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①设备用途：用于空气中PM2.5浓度的监测</w:t>
      </w:r>
    </w:p>
    <w:p w14:paraId="29A873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②配置要求：含切割头、采样滤膜等</w:t>
      </w:r>
    </w:p>
    <w:p w14:paraId="406960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③技术参数：</w:t>
      </w:r>
    </w:p>
    <w:p w14:paraId="1018D4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分析方法：β射线加动态加热系统方法或β射线加动态加热系统联用光散射方法或微量震荡天平加膜动态测量系统方法，用于连续监测环境空气中的颗粒物（PM2.5），可设妙数据、分钟数据</w:t>
      </w:r>
    </w:p>
    <w:p w14:paraId="1C29CA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量程：软件可调量程（0～1、0～10） mg/m3</w:t>
      </w:r>
    </w:p>
    <w:p w14:paraId="0338BD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最低检测限：2μg/m3 （24小时平均值）</w:t>
      </w:r>
    </w:p>
    <w:p w14:paraId="69229A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显示分辨率≤1μg/m3</w:t>
      </w:r>
    </w:p>
    <w:p w14:paraId="11F710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精度：±5μg/m3 （24小时）以内</w:t>
      </w:r>
    </w:p>
    <w:p w14:paraId="65705B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平行性：≤</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w:t>
      </w:r>
    </w:p>
    <w:p w14:paraId="1E15D0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存储：内置存储器，能够存储不少于180天的数据</w:t>
      </w:r>
    </w:p>
    <w:p w14:paraId="01D998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仪器发生故障时，仪器的数字输出量不得误导使用者的判断（如不得以量程内特定浓度数值来表征仪器异常状态）</w:t>
      </w:r>
    </w:p>
    <w:p w14:paraId="61B604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测量方式：连续在线</w:t>
      </w:r>
    </w:p>
    <w:p w14:paraId="128E57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质量浓度平均时间：60-3600秒和24小时</w:t>
      </w:r>
    </w:p>
    <w:p w14:paraId="606B8C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数据输出速率：每1秒</w:t>
      </w:r>
    </w:p>
    <w:p w14:paraId="57998E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测量周期：30min～1h（可设）</w:t>
      </w:r>
    </w:p>
    <w:p w14:paraId="6A034E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长时间平均：1024小时</w:t>
      </w:r>
    </w:p>
    <w:p w14:paraId="4909F4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采样体统：旋风式采样头符合行业标准的采样头和切割器；采样系统密封，与站房联接具有法兰或其他型式多级防渗水连接；与站房外联接的法兰必须为耐磨腐蚀和坚固不锈钢制造</w:t>
      </w:r>
    </w:p>
    <w:p w14:paraId="337BF1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对于β射线加动态加热系统方法或β射线加动态加热系统联用光散射方法：采样管具备温度动态调整，能够保持受测量气流的湿度相对稳定在合适测量水平，最大限度减少对颗粒物测量的影响</w:t>
      </w:r>
    </w:p>
    <w:p w14:paraId="769668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采样流量：16.7±2.5% L/min</w:t>
      </w:r>
    </w:p>
    <w:p w14:paraId="46100B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运行环境：﹣30～50℃</w:t>
      </w:r>
    </w:p>
    <w:p w14:paraId="2B1DAC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数字输出信号：RS232/485数字接口；数字接口至少2个（分别用于本地数采仪接口、VPN实时传输、智能维护、质控系统接口）</w:t>
      </w:r>
    </w:p>
    <w:p w14:paraId="628D4D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模拟输出信号：DC 0～1.0V、0～5.0V、0～10.0V、0～20mA</w:t>
      </w:r>
    </w:p>
    <w:p w14:paraId="1FB331F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vertAlign w:val="baseline"/>
          <w:lang w:val="en-US" w:eastAsia="zh-CN"/>
        </w:rPr>
        <w:t>SO2分析仪</w:t>
      </w:r>
    </w:p>
    <w:p w14:paraId="3BD6CD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①设备用途：用于空气中二氧化硫浓度的监测</w:t>
      </w:r>
    </w:p>
    <w:p w14:paraId="066744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②配置要求：含过滤滤膜等</w:t>
      </w:r>
    </w:p>
    <w:p w14:paraId="234761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③技术参数：</w:t>
      </w:r>
    </w:p>
    <w:p w14:paraId="4528ED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分析方法：紫外荧光法</w:t>
      </w:r>
    </w:p>
    <w:p w14:paraId="157BE8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量程：0-0.05，0.1，0.2，0.5，1，2，5，10，20，50，100 ppm或更多可选量程，具有量程自动切换功能</w:t>
      </w:r>
    </w:p>
    <w:p w14:paraId="71B1AE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最低检测限：</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ppb（60秒平均时间）</w:t>
      </w:r>
    </w:p>
    <w:p w14:paraId="080DE0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精度：读数的1%满量程</w:t>
      </w:r>
    </w:p>
    <w:p w14:paraId="3F863A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重现性：＜2%</w:t>
      </w:r>
    </w:p>
    <w:p w14:paraId="6136FB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零漂（24小时）：＜1.0ppb</w:t>
      </w:r>
    </w:p>
    <w:p w14:paraId="04E680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跨漂（24小时）：±1.0%F.S.</w:t>
      </w:r>
    </w:p>
    <w:p w14:paraId="3E20EA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响应时间：小于180秒（从0上升到90%满量程）</w:t>
      </w:r>
    </w:p>
    <w:p w14:paraId="334762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诊断功能：仪器有自诊断及报警功能</w:t>
      </w:r>
    </w:p>
    <w:p w14:paraId="1CE451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噪声：0.5ppb RMS（设置60秒时间）</w:t>
      </w:r>
    </w:p>
    <w:p w14:paraId="4DD643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电源要求：220±10%VAC,50Hz</w:t>
      </w:r>
    </w:p>
    <w:p w14:paraId="49AAC2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模拟输出信号：DC 0～1.0V、0～5.0V、0～10.0V、0-20mA</w:t>
      </w:r>
    </w:p>
    <w:p w14:paraId="3A80E4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数字输出信号：RS232/485数字接口；数字接口至少2个（分别用于本地数采仪、VPN实时传输和智能维护和质控系统接口）</w:t>
      </w:r>
    </w:p>
    <w:p w14:paraId="3B0407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数据存储功能：独立内存，支持参数存储，可存储超过100天的15分钟均值数据自动备份功能</w:t>
      </w:r>
    </w:p>
    <w:p w14:paraId="710B4E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校准：能够具有自动校零、校跨（紫外荧光法），显示仪器的操作状态和远距离诊断</w:t>
      </w:r>
    </w:p>
    <w:p w14:paraId="5AB01DD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NOX分析仪</w:t>
      </w:r>
    </w:p>
    <w:p w14:paraId="7CB652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①设备用途：用于空气中氮氧化物浓度的监测</w:t>
      </w:r>
    </w:p>
    <w:p w14:paraId="10C676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②配置要求：含过滤滤膜等</w:t>
      </w:r>
    </w:p>
    <w:p w14:paraId="00DE98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③技术参数：</w:t>
      </w:r>
    </w:p>
    <w:p w14:paraId="355518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分析方法：化学发光法 </w:t>
      </w:r>
    </w:p>
    <w:p w14:paraId="0C9768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量程：0～10、0～20、0～50、0～100、0～500ppb或更多可选量程，具有量程自动切换功能</w:t>
      </w:r>
    </w:p>
    <w:p w14:paraId="1A425F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最低检测限：0.40ppb（设置60秒时间）</w:t>
      </w:r>
    </w:p>
    <w:p w14:paraId="16EA50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零漂（24 小时 ）：≤0.5ppb</w:t>
      </w:r>
    </w:p>
    <w:p w14:paraId="785686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跨漂（24 小时）：±2%满量程</w:t>
      </w:r>
    </w:p>
    <w:p w14:paraId="53282B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线性： ±1%满量程</w:t>
      </w:r>
    </w:p>
    <w:p w14:paraId="3EC332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转换功率：≥96%</w:t>
      </w:r>
    </w:p>
    <w:p w14:paraId="79B659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重现性：1%读数</w:t>
      </w:r>
    </w:p>
    <w:p w14:paraId="1B9FF6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响应时间：小于180秒（从0上升到90%满量程）</w:t>
      </w:r>
    </w:p>
    <w:p w14:paraId="3EC22C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诊断功能：仪器有自诊断及报警功能</w:t>
      </w:r>
    </w:p>
    <w:p w14:paraId="0EE214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电源要求：220±10%VAC,50Hz</w:t>
      </w:r>
    </w:p>
    <w:p w14:paraId="0F161E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模拟输出信号：DC 0～1.0V、0～5.0V、0～10.0V、0～20mA</w:t>
      </w:r>
    </w:p>
    <w:p w14:paraId="3E940E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数字输出信号：RS232/485数字接口；数字接口至少2个（分别用于本地数采仪接口、VPN实时传输、智能维护、质控系统接口）</w:t>
      </w:r>
    </w:p>
    <w:p w14:paraId="5A80BA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数据存储功能：独立内存，支持参数存储，可存储超过100天的15分钟均值数据自动备份功能</w:t>
      </w:r>
    </w:p>
    <w:p w14:paraId="494917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校准：能够具有自动校零、校跨（化学发光法），显示仪器的操作状态和远距离诊断</w:t>
      </w:r>
    </w:p>
    <w:p w14:paraId="0D3A123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vertAlign w:val="baseline"/>
          <w:lang w:val="en-US" w:eastAsia="zh-CN"/>
        </w:rPr>
        <w:t>CO分析仪</w:t>
      </w:r>
    </w:p>
    <w:p w14:paraId="170730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①设备用途：用于空气中一氧化碳浓度的监测</w:t>
      </w:r>
    </w:p>
    <w:p w14:paraId="325192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②配置要求：含过滤滤膜等</w:t>
      </w:r>
    </w:p>
    <w:p w14:paraId="2AC128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③技术参数：</w:t>
      </w:r>
    </w:p>
    <w:p w14:paraId="77A494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分析方法：红外吸收相关法（气体滤光相关法）</w:t>
      </w:r>
    </w:p>
    <w:p w14:paraId="64A425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量程：0-1，2，5，10，20，50，100，200，500，1000，2000，5000 ppm等更多可选量程，具有量程自动切换功能</w:t>
      </w:r>
    </w:p>
    <w:p w14:paraId="13661E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最低检测限：0.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ppm</w:t>
      </w:r>
    </w:p>
    <w:p w14:paraId="0F91D4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零点漂移（24 小时 ）：≤±100ppb</w:t>
      </w:r>
    </w:p>
    <w:p w14:paraId="1399EE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跨漂（24 小时）：±1%满量程</w:t>
      </w:r>
    </w:p>
    <w:p w14:paraId="72DA05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重现性：100ppb或读数的1%</w:t>
      </w:r>
    </w:p>
    <w:p w14:paraId="07ACCF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线性： ±1% 满量程</w:t>
      </w:r>
    </w:p>
    <w:p w14:paraId="1E9300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响应时间：小于180秒（从0上升到90%满量程）</w:t>
      </w:r>
    </w:p>
    <w:p w14:paraId="519993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诊断功能：仪器有自诊断及报警功能</w:t>
      </w:r>
    </w:p>
    <w:p w14:paraId="05FDFD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电源要求：220±10%VAC,50Hz</w:t>
      </w:r>
    </w:p>
    <w:p w14:paraId="0E0E01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模拟输出信号：DC 0～1.0V、0～5.0V、0～10.0V、0～20mA</w:t>
      </w:r>
    </w:p>
    <w:p w14:paraId="316A56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数字输出信号：RS232/485数字接口；数字接口至少2个（分别用于本地数采仪接口、VPN实时传输、智能维护、质控系统接口）</w:t>
      </w:r>
    </w:p>
    <w:p w14:paraId="73EE0D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数据存储功能：独立内存，支持参数存储，可存储超过100天的15分钟均值数据自动备份功能</w:t>
      </w:r>
    </w:p>
    <w:p w14:paraId="51CB30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校准：能够具有自动校零、校跨，显示仪器的操作状态和远距离诊断</w:t>
      </w:r>
    </w:p>
    <w:p w14:paraId="1BC0DCA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vertAlign w:val="baseline"/>
          <w:lang w:val="en-US" w:eastAsia="zh-CN"/>
        </w:rPr>
        <w:t>O3分析仪</w:t>
      </w:r>
    </w:p>
    <w:p w14:paraId="62E4F7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①设备用途：用于空气中臭氧浓度的监测</w:t>
      </w:r>
    </w:p>
    <w:p w14:paraId="6E45F2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②配置要求：含过滤滤膜等</w:t>
      </w:r>
    </w:p>
    <w:p w14:paraId="3ACC56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③技术参数：</w:t>
      </w:r>
    </w:p>
    <w:p w14:paraId="673E5F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分析方法：紫外光度法</w:t>
      </w:r>
      <w:r>
        <w:rPr>
          <w:rFonts w:hint="eastAsia" w:ascii="宋体" w:hAnsi="宋体" w:eastAsia="宋体" w:cs="宋体"/>
          <w:color w:val="auto"/>
          <w:sz w:val="24"/>
          <w:szCs w:val="24"/>
          <w:highlight w:val="none"/>
          <w:lang w:eastAsia="zh-CN"/>
        </w:rPr>
        <w:t>、</w:t>
      </w:r>
    </w:p>
    <w:p w14:paraId="08CC5E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量程：0-0.05，0.1，0.2，0.5，1，2，5，10，20，50，100，200 ppm等更多可选量程，具有量程自动切换功能</w:t>
      </w:r>
    </w:p>
    <w:p w14:paraId="380254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最低检测限：0.5ppb</w:t>
      </w:r>
    </w:p>
    <w:p w14:paraId="1AAB24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重现性：1%满量程或1ppb</w:t>
      </w:r>
    </w:p>
    <w:p w14:paraId="0A42F0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线性： ±1% 满量程</w:t>
      </w:r>
    </w:p>
    <w:p w14:paraId="00EABA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零漂（24 小时 ）：≤2ppb</w:t>
      </w:r>
    </w:p>
    <w:p w14:paraId="68C728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跨漂（24小时）：±1%满量程</w:t>
      </w:r>
    </w:p>
    <w:p w14:paraId="1CBB9E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响应时间：＜300秒（从0上升到90%满量程）</w:t>
      </w:r>
    </w:p>
    <w:p w14:paraId="36FF27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诊断功能：仪器有自诊断及报警功能</w:t>
      </w:r>
    </w:p>
    <w:p w14:paraId="5EFB62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电源要求：220±10%VAC,50Hz</w:t>
      </w:r>
    </w:p>
    <w:p w14:paraId="0A6EAE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模拟输出信号：DC 0～1.0V、0～5.0V、0～10.0V、0～20mA</w:t>
      </w:r>
    </w:p>
    <w:p w14:paraId="251F77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数字输出信号：RS232/485数字接口；数字接口至少2个（分别用于本地数采仪接口、VPN实时传输、智能维护、质控系统接口）</w:t>
      </w:r>
    </w:p>
    <w:p w14:paraId="6D3CE2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数据存储功能：独立内存，支持参数存储，可存储超过100天的15分钟均值数据自动备份功能</w:t>
      </w:r>
    </w:p>
    <w:p w14:paraId="166537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校准：能够具有自动校零、校跨，显示仪器的操作状态和远距离诊断</w:t>
      </w:r>
    </w:p>
    <w:p w14:paraId="0E27BA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所有接头材质为TEFLON</w:t>
      </w:r>
    </w:p>
    <w:p w14:paraId="28022F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通过国家级技术认证或国家同等技术认证。</w:t>
      </w:r>
    </w:p>
    <w:p w14:paraId="70B12D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臭氧发生准确度：±2%</w:t>
      </w:r>
    </w:p>
    <w:p w14:paraId="126C17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臭氧发生器输出范围在5 L/min时：0.05～1ppm</w:t>
      </w:r>
    </w:p>
    <w:p w14:paraId="2E3DBF2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臭氧校准仪</w:t>
      </w:r>
    </w:p>
    <w:p w14:paraId="66E7E6D8">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方法：紫外光度法</w:t>
      </w:r>
    </w:p>
    <w:p w14:paraId="38EC56C7">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量程：0～5.0 ppm</w:t>
      </w:r>
    </w:p>
    <w:p w14:paraId="4183A4F3">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零点噪音：0.6 ppb</w:t>
      </w:r>
    </w:p>
    <w:p w14:paraId="1A655F85">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最低检测限：1.0ppb</w:t>
      </w:r>
    </w:p>
    <w:p w14:paraId="0497A1C0">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响应时间：20秒</w:t>
      </w:r>
    </w:p>
    <w:p w14:paraId="0DCB49F3">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精度：1.0 ppb</w:t>
      </w:r>
    </w:p>
    <w:p w14:paraId="278ADC35">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线性：±1% 满量程</w:t>
      </w:r>
    </w:p>
    <w:p w14:paraId="51EB8316">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采样流速：1-3 L/min</w:t>
      </w:r>
    </w:p>
    <w:p w14:paraId="295F5730">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运行温度：0°C-45 °C</w:t>
      </w:r>
    </w:p>
    <w:p w14:paraId="094D8E0F">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输出：RS232/RS485</w:t>
      </w:r>
    </w:p>
    <w:p w14:paraId="0CFC8829">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臭氧发生器响应：3分钟至最终值的98%</w:t>
      </w:r>
    </w:p>
    <w:p w14:paraId="6EBB66AB">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color w:val="auto"/>
          <w:sz w:val="24"/>
          <w:szCs w:val="24"/>
          <w:highlight w:val="none"/>
        </w:rPr>
        <w:t>O</w:t>
      </w:r>
      <w:r>
        <w:rPr>
          <w:rFonts w:hint="eastAsia" w:ascii="宋体" w:hAnsi="宋体" w:eastAsia="宋体" w:cs="宋体"/>
          <w:color w:val="auto"/>
          <w:sz w:val="24"/>
          <w:szCs w:val="24"/>
          <w:highlight w:val="none"/>
          <w:vertAlign w:val="subscript"/>
        </w:rPr>
        <w:t>3</w:t>
      </w:r>
      <w:r>
        <w:rPr>
          <w:rFonts w:hint="eastAsia" w:ascii="宋体" w:hAnsi="宋体" w:eastAsia="宋体" w:cs="宋体"/>
          <w:color w:val="auto"/>
          <w:sz w:val="24"/>
          <w:szCs w:val="24"/>
          <w:highlight w:val="none"/>
        </w:rPr>
        <w:t>分析仪不限于紫外吸收法仪器，同样接受符合《环境空气臭氧的自动测定化学发光法》（HJ 1225-2021）的仪器。</w:t>
      </w:r>
    </w:p>
    <w:p w14:paraId="76504A18">
      <w:pPr>
        <w:pStyle w:val="218"/>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零气发生器</w:t>
      </w:r>
    </w:p>
    <w:p w14:paraId="7383F8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用途：做为稀释校准仪器的零气源</w:t>
      </w:r>
    </w:p>
    <w:p w14:paraId="50579F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压力：10～30psi</w:t>
      </w:r>
    </w:p>
    <w:p w14:paraId="2F6D24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零气的纯度：</w:t>
      </w:r>
    </w:p>
    <w:p w14:paraId="1008F3F2">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color w:val="auto"/>
          <w:sz w:val="24"/>
          <w:szCs w:val="24"/>
          <w:highlight w:val="none"/>
        </w:rPr>
        <w:t>SO2≤0.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ppb；NOx≤0.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ppb；CO≤0.02ppm；O3≤0.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ppb配置高温炉</w:t>
      </w:r>
    </w:p>
    <w:p w14:paraId="36118D0A">
      <w:pPr>
        <w:pStyle w:val="218"/>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动态气体校准仪</w:t>
      </w:r>
    </w:p>
    <w:p w14:paraId="79A750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①设备用途：用于环境空气污染物分析仪的校准</w:t>
      </w:r>
    </w:p>
    <w:p w14:paraId="65FC79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②配置要求：能够与</w:t>
      </w:r>
      <w:r>
        <w:rPr>
          <w:rFonts w:hint="eastAsia" w:ascii="宋体" w:hAnsi="宋体" w:eastAsia="宋体" w:cs="宋体"/>
          <w:color w:val="auto"/>
          <w:sz w:val="24"/>
          <w:szCs w:val="24"/>
          <w:highlight w:val="none"/>
          <w:lang w:val="en-US" w:eastAsia="zh-CN"/>
        </w:rPr>
        <w:t>站点</w:t>
      </w:r>
      <w:r>
        <w:rPr>
          <w:rFonts w:hint="eastAsia" w:ascii="宋体" w:hAnsi="宋体" w:eastAsia="宋体" w:cs="宋体"/>
          <w:color w:val="auto"/>
          <w:sz w:val="24"/>
          <w:szCs w:val="24"/>
          <w:highlight w:val="none"/>
        </w:rPr>
        <w:t>的环境空气污染物分析仪协调形成的工作良好的系统</w:t>
      </w:r>
    </w:p>
    <w:p w14:paraId="3C3984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③技术参数：</w:t>
      </w:r>
    </w:p>
    <w:p w14:paraId="28C6F6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能依据外接标准气体种类提供精确浓度的标准气体输出，完成大气自动监测分析仪器的零点、跨度、精密度及多点校准工作</w:t>
      </w:r>
    </w:p>
    <w:p w14:paraId="7B07AC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流量计准确度：±1%满量程</w:t>
      </w:r>
    </w:p>
    <w:p w14:paraId="636C4A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质量流量测量重现性：±2%满量程</w:t>
      </w:r>
    </w:p>
    <w:p w14:paraId="44DB3D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质量流量控制器最佳工作范围能够满足低浓度标准气需要</w:t>
      </w:r>
    </w:p>
    <w:p w14:paraId="3E54F4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标气流量计量程：0～100 mL/min</w:t>
      </w:r>
    </w:p>
    <w:p w14:paraId="6A75FF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零气流量计量程：≥10 L/min</w:t>
      </w:r>
    </w:p>
    <w:p w14:paraId="241E4C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自动计算稀释气流量或稀释比</w:t>
      </w:r>
    </w:p>
    <w:p w14:paraId="03B9A214">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标气接口：3个或以上</w:t>
      </w:r>
    </w:p>
    <w:p w14:paraId="3F3B4C89">
      <w:pPr>
        <w:pStyle w:val="218"/>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VPN</w:t>
      </w:r>
    </w:p>
    <w:p w14:paraId="68DE056D">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IPSec加密最大流量≥160 Mbps；IPSec并发隧道数≥3000；设备整机最大吞吐量≥1Gbps；设备整机最大并发会话数≥2250000；设备大小不小于1U；网口合计≥6个千兆电口；采用国家密码管理局认可的算法芯片SM系列算法；专业VPN设备，采用标准SSL、TLS 协议，同时支持IPSec VPN、SSLVPN、PPTP VPN、L2TP VPN，非插卡或防火墙带VPN模块设备。</w:t>
      </w:r>
    </w:p>
    <w:p w14:paraId="6F1577B1">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产品应支持国家商用密码算法包括：SM1、SM2、SM3、SM4算法</w:t>
      </w:r>
    </w:p>
    <w:p w14:paraId="1E18FDC6">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支持IPV6的接入；支持IPV6的浏览器访问IPV4的web资源；支持IPV6的windows端访问IPV4的l3VPN资源、TCP资源；支持IPV6/IPV4双协议栈。</w:t>
      </w:r>
    </w:p>
    <w:p w14:paraId="38DB4FB2">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支持国产化终端使用，操作系统来登录SSLVPN系统，并完整支持该操作系统下的各种IP层以上的B/S和C/S应用</w:t>
      </w:r>
    </w:p>
    <w:p w14:paraId="02ED5C19">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支持终端使用包括IE6、7、8、10、11或其他IE内核的浏览器，以及最新版本的非IE内核浏览器，如Windows EDGE，Google Chrome，Firefox，Safari，Opera最新版登录SSLVPN系统，登录后可完整支持各种IP层以上的B/S和C/S应用。</w:t>
      </w:r>
    </w:p>
    <w:p w14:paraId="69757A8C">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支持HTP快速传输协议，大幅优化无线环境（CDMA、GPRS、WIFI、3G）、高丢包、高延等恶劣网络环境下传输速度及效率；支持根据网络境自动选择并切换至最优的传输协议</w:t>
      </w:r>
    </w:p>
    <w:p w14:paraId="26FEBB08">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支持基于硬件指纹特征的认证方式，可实现用户与终端的绑定，支持终端接入审批，仅允许审批通过的终端接入VPN；支持用户自助审批；支持设置用户可允许接入的终端数量。</w:t>
      </w:r>
    </w:p>
    <w:p w14:paraId="76EA17AB">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支持非对称式部署的传输协议优化技术（单边加速），不用在用户终端上安装任何插件和软件，即可提升用户访问应用服务的速度。</w:t>
      </w:r>
    </w:p>
    <w:p w14:paraId="07869363">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支持WebAPI接口，无需定制，可轻松被第三方系统集成，实现对VPN用户、资源、在线情况进行统一管理运维。</w:t>
      </w:r>
    </w:p>
    <w:p w14:paraId="4808B426">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具备防火墙功能，可基于网络网络服务、源IP、目的IP、时间定义防火墙规则，可防范DOS攻击，可设置外网访问本机的权限、远程维护、升级维护、SSH维护。</w:t>
      </w:r>
    </w:p>
    <w:p w14:paraId="18FD7886">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支持智能应用识别规则，支持应用分类，支持自定义应用，支持自定义应用类别；</w:t>
      </w:r>
    </w:p>
    <w:p w14:paraId="446C093A">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可以设置基于URL或应用维度，适用对象包括IP组和MAC组，根据VPN区域对象，设置不同的生效时间和允许或者拒绝的动作，来完成精细化的访问控制。</w:t>
      </w:r>
    </w:p>
    <w:p w14:paraId="6446DC18">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支持对应用上行流速、下行流速、总流速进行展示，同时可以设置自动刷新频率。</w:t>
      </w:r>
    </w:p>
    <w:p w14:paraId="04E82CEF">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支持实时监控VPN隧道状态信息，包括连接状态、对端设备名称、对端设备类型、对端公网IP、对端内网IP、发送流速、接收流速、丢包、时延、抖动、传输类型、加密算法、MTU、最近接入时间等；</w:t>
      </w:r>
    </w:p>
    <w:p w14:paraId="68D8B6A6">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设备自带ping包、DNS解析、ARP命令等工具，支持手动设置时间间隔，自动检测线路运行状态；</w:t>
      </w:r>
    </w:p>
    <w:p w14:paraId="1ABD46CA">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支持优化链路丢包，支持动态自适应以及自定义条件的开启模式，保障在线路高丢包环境下的应用访问体验。</w:t>
      </w:r>
    </w:p>
    <w:p w14:paraId="51054E95">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产品支持VPN自适应，规避运营商对VPN连接封堵和协议封堵导致，以及运营商连接封堵或端口封堵造成的VPN连接不稳定或中断问题。</w:t>
      </w:r>
    </w:p>
    <w:p w14:paraId="1CE20062">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基于智能识别应用并根据应用流量特征将应用划分为不同类别，设备动态探测多线路质量，根据应用特性与链路探测结果动态匹配，将业务智能负载至最优链路传输。</w:t>
      </w:r>
    </w:p>
    <w:p w14:paraId="57FC1F9A">
      <w:pPr>
        <w:pStyle w:val="218"/>
        <w:keepNext w:val="0"/>
        <w:keepLines w:val="0"/>
        <w:pageBreakBefore w:val="0"/>
        <w:widowControl w:val="0"/>
        <w:kinsoku/>
        <w:wordWrap/>
        <w:overflowPunct/>
        <w:topLinePunct w:val="0"/>
        <w:bidi w:val="0"/>
        <w:adjustRightInd/>
        <w:spacing w:line="360" w:lineRule="auto"/>
        <w:ind w:firstLine="4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支持基于时延、丢包、抖动实时检测链路的质量，选择质量最佳的链路进行数据转发，支持从时延、丢包、抖动三个维度设置线路切换条件。</w:t>
      </w:r>
    </w:p>
    <w:p w14:paraId="6CF04E0F">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在负载均衡集群部署模式下，支持授权漂移，即当集群中一台设备宕机，该宕机设备中的并发授权自动迁移到其他正常的设备中，而无需额外购买授权。</w:t>
      </w:r>
    </w:p>
    <w:p w14:paraId="71C91230">
      <w:pPr>
        <w:pStyle w:val="218"/>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工控机</w:t>
      </w:r>
    </w:p>
    <w:p w14:paraId="6CDB1C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工控机及接口扩展模块</w:t>
      </w:r>
    </w:p>
    <w:p w14:paraId="7A174C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CPU：主频 3.0GHz以上</w:t>
      </w:r>
    </w:p>
    <w:p w14:paraId="136066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内存：4G以上</w:t>
      </w:r>
    </w:p>
    <w:p w14:paraId="7BFF1C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硬盘：500G/7200R以上</w:t>
      </w:r>
    </w:p>
    <w:p w14:paraId="7A72E4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标准配置8个RS232通信口或以上</w:t>
      </w:r>
    </w:p>
    <w:p w14:paraId="0998DD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机箱：19寸4U工业机箱（带PS-7271B工业电源）</w:t>
      </w:r>
    </w:p>
    <w:p w14:paraId="4843AE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操作系统：预装正版windows 2008 server专业版以上</w:t>
      </w:r>
    </w:p>
    <w:p w14:paraId="22AB3E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键盘机显示器：通用型104键键盘，液晶显示器1024×768像素以上</w:t>
      </w:r>
    </w:p>
    <w:p w14:paraId="250A26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RJ45口两个或以上</w:t>
      </w:r>
    </w:p>
    <w:p w14:paraId="025CC9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接口扩展模板：视站点仪器设备配备与集成情况选择如下接口模块（PS232接口模块、AD转换模块4017+、ADAM4520）</w:t>
      </w:r>
    </w:p>
    <w:p w14:paraId="6A305741">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RS232九针直联线及交叉线各8根模拟信号连接线30米</w:t>
      </w:r>
    </w:p>
    <w:p w14:paraId="6978D728">
      <w:pPr>
        <w:pStyle w:val="218"/>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标准气体及减压阀（SO2、NO、CO）</w:t>
      </w:r>
    </w:p>
    <w:p w14:paraId="6F3876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标气：8 升SO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、NO、CO标气</w:t>
      </w:r>
    </w:p>
    <w:p w14:paraId="2E8009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SO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标气(70ppm)、 NO标气(70ppm) 、 CO标气(4000ppm)</w:t>
      </w:r>
    </w:p>
    <w:p w14:paraId="48A4A9F4">
      <w:pPr>
        <w:pStyle w:val="218"/>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减压阀：气密性可靠，材质为不锈钢，对标气无污染，无吸附</w:t>
      </w:r>
    </w:p>
    <w:p w14:paraId="0AB87E7A">
      <w:pPr>
        <w:pStyle w:val="218"/>
        <w:pageBreakBefore w:val="0"/>
        <w:numPr>
          <w:ilvl w:val="0"/>
          <w:numId w:val="4"/>
        </w:numPr>
        <w:kinsoku/>
        <w:wordWrap/>
        <w:overflowPunct/>
        <w:topLinePunct w:val="0"/>
        <w:bidi w:val="0"/>
        <w:adjustRightIn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数据采集与传输系统及视频监控设施</w:t>
      </w:r>
    </w:p>
    <w:p w14:paraId="1471DEE9">
      <w:pPr>
        <w:pStyle w:val="218"/>
        <w:pageBreakBefore w:val="0"/>
        <w:widowControl w:val="0"/>
        <w:kinsoku/>
        <w:wordWrap/>
        <w:overflowPunct/>
        <w:topLinePunct w:val="0"/>
        <w:bidi w:val="0"/>
        <w:adjustRightInd/>
        <w:spacing w:line="36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数据采集与传输系统</w:t>
      </w:r>
    </w:p>
    <w:p w14:paraId="4075C018">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（1）可视化首页界面</w:t>
      </w:r>
    </w:p>
    <w:p w14:paraId="5F1520C1">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主界面上展示详细的关键数据，包括污染物监测数据、气象数据、仪器状态，并针对设备连接不良、质控运行状态中的面板状态做样式区分。界面上还提供数据历史曲线和运行日志，帮助运维人员判断仪器的运作情况，及时排查问题。</w:t>
      </w:r>
    </w:p>
    <w:p w14:paraId="311D5409">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（2）执行规范</w:t>
      </w:r>
    </w:p>
    <w:p w14:paraId="03FFF166">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系统统计与报表符合《环境空气质量指数（AQI）技术规定（试行）》、（HJ 633-2012)、《环境空气质量标准》（GB 3095-2012）及修改单、《环境空气质量评价技术规范(试行)》(HJ663-2013)、《环境空气气态污染物连续自动监测系统安装验收技术规范》（HJ193-2013）、《环境空气颗粒物连续自动监测系统安装验收技术规范》（HJ553-2013）、《环境空气气态污染物（S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、NO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、O</w:t>
      </w:r>
      <w:r>
        <w:rPr>
          <w:rFonts w:hint="eastAsia" w:ascii="宋体" w:hAnsi="宋体" w:eastAsia="宋体" w:cs="宋体"/>
          <w:color w:val="auto"/>
          <w:sz w:val="24"/>
          <w:szCs w:val="24"/>
          <w:highlight w:val="none"/>
          <w:vertAlign w:val="subscript"/>
        </w:rPr>
        <w:t>3</w:t>
      </w:r>
      <w:r>
        <w:rPr>
          <w:rFonts w:hint="eastAsia" w:ascii="宋体" w:hAnsi="宋体" w:eastAsia="宋体" w:cs="宋体"/>
          <w:color w:val="auto"/>
          <w:sz w:val="24"/>
          <w:szCs w:val="24"/>
          <w:highlight w:val="none"/>
        </w:rPr>
        <w:t>、CO）连续自动监测系统运行和质控技术规范》（HJ818-2018）、《环境空气颗粒物（PM</w:t>
      </w:r>
      <w:r>
        <w:rPr>
          <w:rFonts w:hint="eastAsia" w:ascii="宋体" w:hAnsi="宋体" w:eastAsia="宋体" w:cs="宋体"/>
          <w:color w:val="auto"/>
          <w:sz w:val="24"/>
          <w:szCs w:val="24"/>
          <w:highlight w:val="none"/>
          <w:vertAlign w:val="subscript"/>
        </w:rPr>
        <w:t>10</w:t>
      </w:r>
      <w:r>
        <w:rPr>
          <w:rFonts w:hint="eastAsia" w:ascii="宋体" w:hAnsi="宋体" w:eastAsia="宋体" w:cs="宋体"/>
          <w:color w:val="auto"/>
          <w:sz w:val="24"/>
          <w:szCs w:val="24"/>
          <w:highlight w:val="none"/>
        </w:rPr>
        <w:t>和PM</w:t>
      </w:r>
      <w:r>
        <w:rPr>
          <w:rFonts w:hint="eastAsia" w:ascii="宋体" w:hAnsi="宋体" w:eastAsia="宋体" w:cs="宋体"/>
          <w:color w:val="auto"/>
          <w:sz w:val="24"/>
          <w:szCs w:val="24"/>
          <w:highlight w:val="none"/>
          <w:vertAlign w:val="subscript"/>
        </w:rPr>
        <w:t>2.5</w:t>
      </w:r>
      <w:r>
        <w:rPr>
          <w:rFonts w:hint="eastAsia" w:ascii="宋体" w:hAnsi="宋体" w:eastAsia="宋体" w:cs="宋体"/>
          <w:color w:val="auto"/>
          <w:sz w:val="24"/>
          <w:szCs w:val="24"/>
          <w:highlight w:val="none"/>
        </w:rPr>
        <w:t>）连续自动监测系统运行和质控技术规范》（HJ817-2018）相关规范。</w:t>
      </w:r>
    </w:p>
    <w:p w14:paraId="4BAB1A55">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（3）数据采集内容</w:t>
      </w:r>
    </w:p>
    <w:p w14:paraId="2DEA8421">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系统可采集的内容包括空气质量六参数（CO、NO/NO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/NO</w:t>
      </w:r>
      <w:r>
        <w:rPr>
          <w:rFonts w:hint="eastAsia" w:ascii="宋体" w:hAnsi="宋体" w:eastAsia="宋体" w:cs="宋体"/>
          <w:color w:val="auto"/>
          <w:sz w:val="24"/>
          <w:szCs w:val="24"/>
          <w:highlight w:val="none"/>
          <w:vertAlign w:val="subscript"/>
        </w:rPr>
        <w:t>X</w:t>
      </w:r>
      <w:r>
        <w:rPr>
          <w:rFonts w:hint="eastAsia" w:ascii="宋体" w:hAnsi="宋体" w:eastAsia="宋体" w:cs="宋体"/>
          <w:color w:val="auto"/>
          <w:sz w:val="24"/>
          <w:szCs w:val="24"/>
          <w:highlight w:val="none"/>
        </w:rPr>
        <w:t>、O</w:t>
      </w:r>
      <w:r>
        <w:rPr>
          <w:rFonts w:hint="eastAsia" w:ascii="宋体" w:hAnsi="宋体" w:eastAsia="宋体" w:cs="宋体"/>
          <w:color w:val="auto"/>
          <w:sz w:val="24"/>
          <w:szCs w:val="24"/>
          <w:highlight w:val="none"/>
          <w:vertAlign w:val="subscript"/>
        </w:rPr>
        <w:t>3</w:t>
      </w:r>
      <w:r>
        <w:rPr>
          <w:rFonts w:hint="eastAsia" w:ascii="宋体" w:hAnsi="宋体" w:eastAsia="宋体" w:cs="宋体"/>
          <w:color w:val="auto"/>
          <w:sz w:val="24"/>
          <w:szCs w:val="24"/>
          <w:highlight w:val="none"/>
        </w:rPr>
        <w:t>、SO</w:t>
      </w:r>
      <w:r>
        <w:rPr>
          <w:rFonts w:hint="eastAsia" w:ascii="宋体" w:hAnsi="宋体" w:eastAsia="宋体" w:cs="宋体"/>
          <w:color w:val="auto"/>
          <w:sz w:val="24"/>
          <w:szCs w:val="24"/>
          <w:highlight w:val="none"/>
          <w:vertAlign w:val="subscript"/>
        </w:rPr>
        <w:t>2</w:t>
      </w:r>
      <w:r>
        <w:rPr>
          <w:rFonts w:hint="eastAsia" w:ascii="宋体" w:hAnsi="宋体" w:eastAsia="宋体" w:cs="宋体"/>
          <w:color w:val="auto"/>
          <w:sz w:val="24"/>
          <w:szCs w:val="24"/>
          <w:highlight w:val="none"/>
        </w:rPr>
        <w:t>、PM</w:t>
      </w:r>
      <w:r>
        <w:rPr>
          <w:rFonts w:hint="eastAsia" w:ascii="宋体" w:hAnsi="宋体" w:eastAsia="宋体" w:cs="宋体"/>
          <w:color w:val="auto"/>
          <w:sz w:val="24"/>
          <w:szCs w:val="24"/>
          <w:highlight w:val="none"/>
          <w:vertAlign w:val="subscript"/>
        </w:rPr>
        <w:t>10</w:t>
      </w:r>
      <w:r>
        <w:rPr>
          <w:rFonts w:hint="eastAsia" w:ascii="宋体" w:hAnsi="宋体" w:eastAsia="宋体" w:cs="宋体"/>
          <w:color w:val="auto"/>
          <w:sz w:val="24"/>
          <w:szCs w:val="24"/>
          <w:highlight w:val="none"/>
        </w:rPr>
        <w:t>、PM</w:t>
      </w:r>
      <w:r>
        <w:rPr>
          <w:rFonts w:hint="eastAsia" w:ascii="宋体" w:hAnsi="宋体" w:eastAsia="宋体" w:cs="宋体"/>
          <w:color w:val="auto"/>
          <w:sz w:val="24"/>
          <w:szCs w:val="24"/>
          <w:highlight w:val="none"/>
          <w:vertAlign w:val="subscript"/>
        </w:rPr>
        <w:t>2.5</w:t>
      </w:r>
      <w:r>
        <w:rPr>
          <w:rFonts w:hint="eastAsia" w:ascii="宋体" w:hAnsi="宋体" w:eastAsia="宋体" w:cs="宋体"/>
          <w:color w:val="auto"/>
          <w:sz w:val="24"/>
          <w:szCs w:val="24"/>
          <w:highlight w:val="none"/>
        </w:rPr>
        <w:t>）、C02、N20、紫外辐射、非甲烷总烃、苯系物等数据的能力。同时，可采集气象五参数（风速、风向、气温、湿度、气压）。</w:t>
      </w:r>
    </w:p>
    <w:p w14:paraId="39BE44DA">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（4）数据采集周期</w:t>
      </w:r>
    </w:p>
    <w:p w14:paraId="4F733937">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数据采集功能可按照一定的采样周期（采样周期可配置，如5s、10s、15s、20s、30s、60s）向各个分析仪器采集实时数据。</w:t>
      </w:r>
    </w:p>
    <w:p w14:paraId="45D5104E">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（5）标况与实况数据切换</w:t>
      </w:r>
    </w:p>
    <w:p w14:paraId="6BE17F92">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支持采集标况数据或实况数据、支持标况数据采集状态一键转换成实况数据采集状态，实现状态转换的平稳过渡。</w:t>
      </w:r>
    </w:p>
    <w:p w14:paraId="350C16DD">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（6）仪器状态监控</w:t>
      </w:r>
    </w:p>
    <w:p w14:paraId="3CEEEE93">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具备定时自动查询当前监测仪器的状态信息（采样流量、机箱温度、反应室压力等）的功能，可定时采集、存储，按需上传到平台。系统能根据预设的策略进行自动诊断，若出现异常情况会及时在系统界面反映；诊断结果可上传至中心服务器。</w:t>
      </w:r>
    </w:p>
    <w:p w14:paraId="688C0027">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（7）数据统计分析</w:t>
      </w:r>
    </w:p>
    <w:p w14:paraId="797BA610">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对采集的污染物参数、气象参数的标况数据或实况数据进行统计，如日均值，最小、最大值、风玫瑰图等；分析功能，如历史数据查询，可查实况与标况对应的实时数据、1分钟数据、5分钟数据、小时数据、日均数据；数据时间序列分析，根据曲线图可清晰知道数据的走向。</w:t>
      </w:r>
    </w:p>
    <w:p w14:paraId="63C855D7">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（8）质控与计划编排</w:t>
      </w:r>
    </w:p>
    <w:p w14:paraId="7EC9FE9F">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常规监测设备的自动化质控，包括但不限于：SO2、NOx、CO、O3、NMHC等；可通过质控管理界面，编排制定质控任务；支持零点、精度、跨度自动检查，零点、跨度自动校准；支持周期性质控计划任务，可定时自动执行质控任务；可对质控任务执行过程中产生的数据信息进行保存。</w:t>
      </w:r>
    </w:p>
    <w:p w14:paraId="0D9B2AF6">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1、支持多种质控任务</w:t>
      </w:r>
    </w:p>
    <w:p w14:paraId="7C214D27">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控任务包括日常质控任务（零点检查、零点校准、跨度检查、跨度校准、精度检查、多点检查等）、HJ654-2013中定义的新质控任务类型（零点噪声、量程噪声、最低检出限、示值误差、量程精密度、24H零点偏移和量程偏移等）。</w:t>
      </w:r>
    </w:p>
    <w:p w14:paraId="024A329C">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2、执行多种质控类型</w:t>
      </w:r>
    </w:p>
    <w:p w14:paraId="579D2D91">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支持现场质控、手动质控、预标识质控、定时质控、网络化远程质控任务。</w:t>
      </w:r>
    </w:p>
    <w:p w14:paraId="43ACD46B">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3、自定义质控任务的流程和参数</w:t>
      </w:r>
    </w:p>
    <w:p w14:paraId="52B77507">
      <w:pPr>
        <w:pStyle w:val="218"/>
        <w:pageBreakBefore w:val="0"/>
        <w:widowControl w:val="0"/>
        <w:kinsoku/>
        <w:wordWrap/>
        <w:overflowPunct/>
        <w:topLinePunct w:val="0"/>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可视化编辑质控流程动作和参数的质控任务编辑器，可以对质控任务动作进行添加、删除、停用启用、改变顺序等步骤和动作编排以及一键添加所有质控任务，也可以定义质控任务的输入参数，输出的结果等。</w:t>
      </w:r>
    </w:p>
    <w:p w14:paraId="0E8F7688">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4、质控任务定时、排队与取消</w:t>
      </w:r>
    </w:p>
    <w:p w14:paraId="7F52DEAF">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支持质控任务定时功能，可定义质控任务周期执行、单次执行、多次执行；支持质控任务定义优先级、执行时间等，根据相关配置进行计划编排；可对质控任务执行提前执行、取消与终止操作。</w:t>
      </w:r>
    </w:p>
    <w:p w14:paraId="6041E5D0">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5、质控界面运行信息展示</w:t>
      </w:r>
    </w:p>
    <w:p w14:paraId="320DFF8A">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控队列中展示任务来源、任务类型、任务数据、任务状态、质控任务结果等信息。质控过程中展示当前零气和标气流量、实时曲线、质控运行日志信息、质控运行参数、执行的步骤动作、仪器状态、质控过程数据、质控运行结果、质控报表等信息。</w:t>
      </w:r>
    </w:p>
    <w:p w14:paraId="7A0304E1">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（9）网络化远程质控</w:t>
      </w:r>
    </w:p>
    <w:p w14:paraId="608776BE">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接收由上级空气质量联网平台下达的分析仪器质控任务计划，在到达启动时间时自动执行质控任务；质控结束后产生质控报表，并可按需上传到上级空气质量联网平台；质控结果可在空气质量联网平台相关界面进行查询。</w:t>
      </w:r>
    </w:p>
    <w:p w14:paraId="108CFA2C">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rPr>
        <w:t>网络传输内容</w:t>
      </w:r>
    </w:p>
    <w:p w14:paraId="2473583B">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系统按照《国家空气监测网子站监测数据报送传输协议》传输数据。传输内容包括：分析仪器的监测数据、仪器状态信息。</w:t>
      </w:r>
    </w:p>
    <w:p w14:paraId="7FEC003F">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1、系统具备与上级空气质量联网平台对接</w:t>
      </w:r>
    </w:p>
    <w:p w14:paraId="56C4DBE2">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系统具备向上级空气质量监测联网管理平台上报分析仪器的监测数据、仪器状态信息的能力。</w:t>
      </w:r>
    </w:p>
    <w:p w14:paraId="48A4BD39">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2、网络传输对象</w:t>
      </w:r>
    </w:p>
    <w:p w14:paraId="43083BAB">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系统具备“一点多发”功能：可设置多个服务器地址并依次进行数据传输。提供系统功能截图。</w:t>
      </w:r>
    </w:p>
    <w:p w14:paraId="741C51B6">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3、网络传输续传</w:t>
      </w:r>
    </w:p>
    <w:p w14:paraId="0494A704">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系统具备“断点续传”功能：数据完整性保障机制，在网络恢复时自动回补缺失的数据。</w:t>
      </w:r>
    </w:p>
    <w:p w14:paraId="2CDA352C">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（11）系统运行监控及报警</w:t>
      </w:r>
    </w:p>
    <w:p w14:paraId="62A968A3">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系统可对基础运行环境、软件运行状况、数据状况进行实时监控和查询，当出现异常情况时，系统自动进行报警。</w:t>
      </w:r>
    </w:p>
    <w:p w14:paraId="403859AD">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1、系统基础运行环境监控</w:t>
      </w:r>
    </w:p>
    <w:p w14:paraId="1A55600F">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监控的内容包括系统配置、CPU占用比率、物理内存、线程数、句柄数、磁盘空间、数据库空间及资源占用、网络上传下载流量。</w:t>
      </w:r>
    </w:p>
    <w:p w14:paraId="7F705770">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2、软件运行状况监控</w:t>
      </w:r>
    </w:p>
    <w:p w14:paraId="69B730BB">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监控的内容包括软件异常错误、日志增长过快、错误日志较多、软件频繁启动、数据上报平台失败、自动更新访问失败。</w:t>
      </w:r>
    </w:p>
    <w:p w14:paraId="7F7BB730">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3、数据状况监控</w:t>
      </w:r>
    </w:p>
    <w:p w14:paraId="3518432F">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监控的内容主要包括监测设备离线、仪器状态异常、监测数值突变、监测数值长期不变、站点离线、站点设备离线。</w:t>
      </w:r>
    </w:p>
    <w:p w14:paraId="5BCD4223">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4、系统报警展示与处理</w:t>
      </w:r>
    </w:p>
    <w:p w14:paraId="30E77FFE">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根据报警事件的严重程度以不同颜色的文字对事件进行标识，并可根据站点内的最近所有报警项为站点进行健康度评分，并给出站点的首要问题项及频发问题项。对问题或风险可进行报警信息的邮件推送，对所有获取到的报警记录实行存储并即时上报。在异常项目处理或恢复后状态自动转变为已恢复。另外，系统用户还可对报警事件进行忽略操作或对已被忽略的报警事件进行激活。</w:t>
      </w:r>
    </w:p>
    <w:p w14:paraId="431C8CA7">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5、报警规则设置</w:t>
      </w:r>
    </w:p>
    <w:p w14:paraId="0317BAEE">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提供对各种报警类型的规则进行灵活配置，对各类事件是否报警、参数判断、报警阈值、告警邮箱地址均可以由用户进行自定义配置。规则设置类型包括资源监视报警配置、运行状况报警配置、报警邮件推送配置等。</w:t>
      </w:r>
    </w:p>
    <w:p w14:paraId="4576CA1E">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（12）仪器接入协议编辑器</w:t>
      </w:r>
    </w:p>
    <w:p w14:paraId="35412EF3">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系统具备前端可视化仪器接入协议编辑器工具，无需配备开发平台编译环境或独立编写脚本文件，在站房现场即可进行仪器驱动协议编辑接入，实现前端可视化配置操作，快速接入新设备。</w:t>
      </w:r>
    </w:p>
    <w:p w14:paraId="2030599A">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（13）数据回补</w:t>
      </w:r>
    </w:p>
    <w:p w14:paraId="6A72A0A4">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系统具备数据回补功能，包括断网自动回补、从仪器回补和子站回补数据到平台。</w:t>
      </w:r>
    </w:p>
    <w:p w14:paraId="2E50E42D">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1、从仪器回补</w:t>
      </w:r>
    </w:p>
    <w:p w14:paraId="241DD88C">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回补针对工控机断电、网络异常等原因导致数据缺失的问题，系统定时检查是否有缺失或有效个数不足的数据，支持通过手动回补、定时回补、周期回补方式从仪器回补数据，回补完成后，自动重新上报到平台接收服务器。</w:t>
      </w:r>
    </w:p>
    <w:p w14:paraId="0A2C1495">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2、平台下达回补指令回补</w:t>
      </w:r>
    </w:p>
    <w:p w14:paraId="676B14AC">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系统支持可通过匹配的上级空气质量联网平台直接查看并下达回补任务，支持回补特定类型和时间段的数据。提供系统功能截图。</w:t>
      </w:r>
    </w:p>
    <w:p w14:paraId="23F2D515">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3、回补数据状态及过程监控</w:t>
      </w:r>
    </w:p>
    <w:p w14:paraId="79712FC9">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系统可查看回补过程。系统支持可通过匹配的上级空气质量联网平台查看子站回补任务队列，了解子站端回补任务的排队情况及执行情况。提供系统功能截图。</w:t>
      </w:r>
    </w:p>
    <w:p w14:paraId="0ABA3D92">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（14）支持多种通讯接口协议</w:t>
      </w:r>
    </w:p>
    <w:p w14:paraId="75273720">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系统支持多种通讯接口及采集方式。通讯接口支持串口（RS232、RS485）、网口（TCP、UDP）；采集方式支持的串口主动采集和被动侦听。</w:t>
      </w:r>
    </w:p>
    <w:p w14:paraId="10990E88">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（15）自动更新</w:t>
      </w:r>
    </w:p>
    <w:p w14:paraId="30A78342">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系统具有升级管理器，具有版本管理模块，能通过文件版本号和修改时间对比自动生成升级包，实现无人值守自动检查更新，也支持通过手动检查更新，更新系统至最新版本，提高用户体验。</w:t>
      </w:r>
    </w:p>
    <w:p w14:paraId="70812CE4">
      <w:pPr>
        <w:pStyle w:val="218"/>
        <w:pageBreakBefore w:val="0"/>
        <w:widowControl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（16）运行稳定</w:t>
      </w:r>
    </w:p>
    <w:p w14:paraId="0050A23D">
      <w:pPr>
        <w:pStyle w:val="218"/>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系统运行稳定，安装部署调度后，系统可7*24小时稳定运行。</w:t>
      </w:r>
    </w:p>
    <w:p w14:paraId="5517D145">
      <w:pPr>
        <w:pStyle w:val="218"/>
        <w:pageBreakBefore w:val="0"/>
        <w:numPr>
          <w:numId w:val="0"/>
        </w:numPr>
        <w:kinsoku/>
        <w:wordWrap/>
        <w:overflowPunct/>
        <w:topLinePunct w:val="0"/>
        <w:bidi w:val="0"/>
        <w:adjustRightInd/>
        <w:spacing w:line="360" w:lineRule="auto"/>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站房内外视频监控设施</w:t>
      </w:r>
    </w:p>
    <w:p w14:paraId="24BD381A">
      <w:pPr>
        <w:pStyle w:val="218"/>
        <w:pageBreakBefore w:val="0"/>
        <w:widowControl w:val="0"/>
        <w:kinsoku/>
        <w:wordWrap/>
        <w:overflowPunct/>
        <w:topLinePunct w:val="0"/>
        <w:bidi w:val="0"/>
        <w:adjustRightInd/>
        <w:spacing w:line="360" w:lineRule="auto"/>
        <w:ind w:left="420" w:left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站房内、外部要安装必要的监控设施。</w:t>
      </w:r>
    </w:p>
    <w:p w14:paraId="1B109755">
      <w:pPr>
        <w:pStyle w:val="218"/>
        <w:pageBreakBefore w:val="0"/>
        <w:widowControl w:val="0"/>
        <w:kinsoku/>
        <w:wordWrap/>
        <w:overflowPunct/>
        <w:topLinePunct w:val="0"/>
        <w:bidi w:val="0"/>
        <w:adjustRightInd/>
        <w:spacing w:line="360" w:lineRule="auto"/>
        <w:ind w:left="420" w:left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站房内部设备间安装摄像头，可以覆盖监测仪器并对门口人员进行监测。采样平台应安装摄像头，能够实时获取监控区域内清晰的监控图像。</w:t>
      </w:r>
    </w:p>
    <w:p w14:paraId="3ED620AA">
      <w:pPr>
        <w:pStyle w:val="218"/>
        <w:pageBreakBefore w:val="0"/>
        <w:kinsoku/>
        <w:wordWrap/>
        <w:overflowPunct/>
        <w:topLinePunct w:val="0"/>
        <w:bidi w:val="0"/>
        <w:adjustRightInd/>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安装人脸识别门禁系统，可存储开关门记录、远程开门、人脸识别开门等动作。</w:t>
      </w:r>
      <w:r>
        <w:rPr>
          <w:rFonts w:hint="eastAsia" w:ascii="宋体" w:hAnsi="宋体" w:cs="宋体"/>
          <w:color w:val="auto"/>
          <w:sz w:val="24"/>
          <w:szCs w:val="24"/>
          <w:highlight w:val="none"/>
          <w:lang w:val="en-US" w:eastAsia="zh-CN"/>
        </w:rPr>
        <w:t>14.</w:t>
      </w:r>
      <w:r>
        <w:rPr>
          <w:rFonts w:hint="eastAsia" w:ascii="宋体" w:hAnsi="宋体" w:eastAsia="宋体" w:cs="宋体"/>
          <w:b/>
          <w:bCs/>
          <w:color w:val="auto"/>
          <w:sz w:val="24"/>
          <w:szCs w:val="24"/>
          <w:highlight w:val="none"/>
          <w:lang w:eastAsia="zh-CN"/>
        </w:rPr>
        <w:t>环境空气挥发性有机物自动监测系统</w:t>
      </w:r>
    </w:p>
    <w:p w14:paraId="5B3BD14C">
      <w:pPr>
        <w:pageBreakBefore w:val="0"/>
        <w:kinsoku/>
        <w:wordWrap/>
        <w:overflowPunct/>
        <w:topLinePunct w:val="0"/>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适用于环境空气中116种挥发性有机物的定性定量分析；产品须满足《环境空气挥发性有机物气相色谱连续监测系统技术要求及检测方法》（HJ 1010-2018）中的要求，仪器采用GC-MS/FID法。所监测的因子列表如下。</w:t>
      </w:r>
    </w:p>
    <w:p w14:paraId="0492053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b/>
          <w:color w:val="auto"/>
          <w:sz w:val="24"/>
          <w:szCs w:val="24"/>
          <w:highlight w:val="none"/>
          <w:lang w:eastAsia="zh-Hans"/>
        </w:rPr>
      </w:pPr>
      <w:r>
        <w:rPr>
          <w:rFonts w:hint="eastAsia" w:ascii="宋体" w:hAnsi="宋体" w:eastAsia="宋体" w:cs="宋体"/>
          <w:b/>
          <w:color w:val="auto"/>
          <w:sz w:val="24"/>
          <w:szCs w:val="24"/>
          <w:highlight w:val="none"/>
          <w:lang w:eastAsia="zh-Hans"/>
        </w:rPr>
        <w:t>57种挥发性有机物（PAMS物质）</w:t>
      </w:r>
    </w:p>
    <w:tbl>
      <w:tblPr>
        <w:tblStyle w:val="41"/>
        <w:tblW w:w="7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
        <w:gridCol w:w="2038"/>
        <w:gridCol w:w="2700"/>
        <w:gridCol w:w="1162"/>
        <w:gridCol w:w="1025"/>
      </w:tblGrid>
      <w:tr w14:paraId="320E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581" w:type="dxa"/>
            <w:noWrap w:val="0"/>
            <w:vAlign w:val="center"/>
          </w:tcPr>
          <w:p w14:paraId="3398343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序号</w:t>
            </w:r>
          </w:p>
        </w:tc>
        <w:tc>
          <w:tcPr>
            <w:tcW w:w="2038" w:type="dxa"/>
            <w:noWrap w:val="0"/>
            <w:vAlign w:val="center"/>
          </w:tcPr>
          <w:p w14:paraId="538EB99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化合物中文名</w:t>
            </w:r>
          </w:p>
        </w:tc>
        <w:tc>
          <w:tcPr>
            <w:tcW w:w="2700" w:type="dxa"/>
            <w:noWrap w:val="0"/>
            <w:vAlign w:val="center"/>
          </w:tcPr>
          <w:p w14:paraId="1BFA162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化合物英文名</w:t>
            </w:r>
          </w:p>
        </w:tc>
        <w:tc>
          <w:tcPr>
            <w:tcW w:w="1162" w:type="dxa"/>
            <w:noWrap w:val="0"/>
            <w:vAlign w:val="center"/>
          </w:tcPr>
          <w:p w14:paraId="77E9931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CAS号</w:t>
            </w:r>
          </w:p>
        </w:tc>
        <w:tc>
          <w:tcPr>
            <w:tcW w:w="1025" w:type="dxa"/>
            <w:noWrap w:val="0"/>
            <w:vAlign w:val="center"/>
          </w:tcPr>
          <w:p w14:paraId="1CDFFB9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种别</w:t>
            </w:r>
          </w:p>
        </w:tc>
      </w:tr>
      <w:tr w14:paraId="660D6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581" w:type="dxa"/>
            <w:noWrap w:val="0"/>
            <w:vAlign w:val="center"/>
          </w:tcPr>
          <w:p w14:paraId="6FDB836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w:t>
            </w:r>
          </w:p>
        </w:tc>
        <w:tc>
          <w:tcPr>
            <w:tcW w:w="2038" w:type="dxa"/>
            <w:noWrap w:val="0"/>
            <w:vAlign w:val="center"/>
          </w:tcPr>
          <w:p w14:paraId="4F5348D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乙烯</w:t>
            </w:r>
          </w:p>
        </w:tc>
        <w:tc>
          <w:tcPr>
            <w:tcW w:w="2700" w:type="dxa"/>
            <w:noWrap w:val="0"/>
            <w:vAlign w:val="center"/>
          </w:tcPr>
          <w:p w14:paraId="77F00E2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Ethylene</w:t>
            </w:r>
          </w:p>
        </w:tc>
        <w:tc>
          <w:tcPr>
            <w:tcW w:w="1162" w:type="dxa"/>
            <w:noWrap w:val="0"/>
            <w:vAlign w:val="center"/>
          </w:tcPr>
          <w:p w14:paraId="3AEC3AB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74-85-1</w:t>
            </w:r>
          </w:p>
        </w:tc>
        <w:tc>
          <w:tcPr>
            <w:tcW w:w="1025" w:type="dxa"/>
            <w:noWrap w:val="0"/>
            <w:vAlign w:val="center"/>
          </w:tcPr>
          <w:p w14:paraId="3570E48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烯烃</w:t>
            </w:r>
          </w:p>
        </w:tc>
      </w:tr>
      <w:tr w14:paraId="2CD4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581" w:type="dxa"/>
            <w:noWrap w:val="0"/>
            <w:vAlign w:val="center"/>
          </w:tcPr>
          <w:p w14:paraId="32FA12D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w:t>
            </w:r>
          </w:p>
        </w:tc>
        <w:tc>
          <w:tcPr>
            <w:tcW w:w="2038" w:type="dxa"/>
            <w:noWrap w:val="0"/>
            <w:vAlign w:val="center"/>
          </w:tcPr>
          <w:p w14:paraId="0A01BD3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乙炔</w:t>
            </w:r>
          </w:p>
        </w:tc>
        <w:tc>
          <w:tcPr>
            <w:tcW w:w="2700" w:type="dxa"/>
            <w:noWrap w:val="0"/>
            <w:vAlign w:val="center"/>
          </w:tcPr>
          <w:p w14:paraId="74A0009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Acetylene</w:t>
            </w:r>
          </w:p>
        </w:tc>
        <w:tc>
          <w:tcPr>
            <w:tcW w:w="1162" w:type="dxa"/>
            <w:noWrap w:val="0"/>
            <w:vAlign w:val="center"/>
          </w:tcPr>
          <w:p w14:paraId="1E15018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74-86-2</w:t>
            </w:r>
          </w:p>
        </w:tc>
        <w:tc>
          <w:tcPr>
            <w:tcW w:w="1025" w:type="dxa"/>
            <w:noWrap w:val="0"/>
            <w:vAlign w:val="center"/>
          </w:tcPr>
          <w:p w14:paraId="1AE847D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炔烃</w:t>
            </w:r>
          </w:p>
        </w:tc>
      </w:tr>
      <w:tr w14:paraId="58C1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581" w:type="dxa"/>
            <w:noWrap w:val="0"/>
            <w:vAlign w:val="center"/>
          </w:tcPr>
          <w:p w14:paraId="789232C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w:t>
            </w:r>
          </w:p>
        </w:tc>
        <w:tc>
          <w:tcPr>
            <w:tcW w:w="2038" w:type="dxa"/>
            <w:noWrap w:val="0"/>
            <w:vAlign w:val="center"/>
          </w:tcPr>
          <w:p w14:paraId="0335B31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乙烷</w:t>
            </w:r>
          </w:p>
        </w:tc>
        <w:tc>
          <w:tcPr>
            <w:tcW w:w="2700" w:type="dxa"/>
            <w:noWrap w:val="0"/>
            <w:vAlign w:val="center"/>
          </w:tcPr>
          <w:p w14:paraId="13C9881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Ethane</w:t>
            </w:r>
          </w:p>
        </w:tc>
        <w:tc>
          <w:tcPr>
            <w:tcW w:w="1162" w:type="dxa"/>
            <w:noWrap w:val="0"/>
            <w:vAlign w:val="center"/>
          </w:tcPr>
          <w:p w14:paraId="28704D6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74-84-0</w:t>
            </w:r>
          </w:p>
        </w:tc>
        <w:tc>
          <w:tcPr>
            <w:tcW w:w="1025" w:type="dxa"/>
            <w:noWrap w:val="0"/>
            <w:vAlign w:val="center"/>
          </w:tcPr>
          <w:p w14:paraId="7BA0059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725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1C3A778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w:t>
            </w:r>
          </w:p>
        </w:tc>
        <w:tc>
          <w:tcPr>
            <w:tcW w:w="2038" w:type="dxa"/>
            <w:noWrap w:val="0"/>
            <w:vAlign w:val="center"/>
          </w:tcPr>
          <w:p w14:paraId="2BD9DB1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丙烯</w:t>
            </w:r>
          </w:p>
        </w:tc>
        <w:tc>
          <w:tcPr>
            <w:tcW w:w="2700" w:type="dxa"/>
            <w:noWrap w:val="0"/>
            <w:vAlign w:val="center"/>
          </w:tcPr>
          <w:p w14:paraId="70A7B93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Propylene</w:t>
            </w:r>
          </w:p>
        </w:tc>
        <w:tc>
          <w:tcPr>
            <w:tcW w:w="1162" w:type="dxa"/>
            <w:noWrap w:val="0"/>
            <w:vAlign w:val="center"/>
          </w:tcPr>
          <w:p w14:paraId="61DF310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115-07-1</w:t>
            </w:r>
          </w:p>
        </w:tc>
        <w:tc>
          <w:tcPr>
            <w:tcW w:w="1025" w:type="dxa"/>
            <w:noWrap w:val="0"/>
            <w:vAlign w:val="center"/>
          </w:tcPr>
          <w:p w14:paraId="463F98C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烯烃</w:t>
            </w:r>
          </w:p>
        </w:tc>
      </w:tr>
      <w:tr w14:paraId="1DDE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00BD05C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w:t>
            </w:r>
          </w:p>
        </w:tc>
        <w:tc>
          <w:tcPr>
            <w:tcW w:w="2038" w:type="dxa"/>
            <w:noWrap w:val="0"/>
            <w:vAlign w:val="center"/>
          </w:tcPr>
          <w:p w14:paraId="5E67AF0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丙烷</w:t>
            </w:r>
          </w:p>
        </w:tc>
        <w:tc>
          <w:tcPr>
            <w:tcW w:w="2700" w:type="dxa"/>
            <w:noWrap w:val="0"/>
            <w:vAlign w:val="center"/>
          </w:tcPr>
          <w:p w14:paraId="35CCF92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Propane</w:t>
            </w:r>
          </w:p>
        </w:tc>
        <w:tc>
          <w:tcPr>
            <w:tcW w:w="1162" w:type="dxa"/>
            <w:noWrap w:val="0"/>
            <w:vAlign w:val="center"/>
          </w:tcPr>
          <w:p w14:paraId="04EBC6F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74-98-6</w:t>
            </w:r>
          </w:p>
        </w:tc>
        <w:tc>
          <w:tcPr>
            <w:tcW w:w="1025" w:type="dxa"/>
            <w:noWrap w:val="0"/>
            <w:vAlign w:val="center"/>
          </w:tcPr>
          <w:p w14:paraId="328D711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3D05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0E8F5F8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6</w:t>
            </w:r>
          </w:p>
        </w:tc>
        <w:tc>
          <w:tcPr>
            <w:tcW w:w="2038" w:type="dxa"/>
            <w:noWrap w:val="0"/>
            <w:vAlign w:val="center"/>
          </w:tcPr>
          <w:p w14:paraId="3936431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异丁烷</w:t>
            </w:r>
          </w:p>
        </w:tc>
        <w:tc>
          <w:tcPr>
            <w:tcW w:w="2700" w:type="dxa"/>
            <w:noWrap w:val="0"/>
            <w:vAlign w:val="center"/>
          </w:tcPr>
          <w:p w14:paraId="74973C8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Isobutane</w:t>
            </w:r>
          </w:p>
        </w:tc>
        <w:tc>
          <w:tcPr>
            <w:tcW w:w="1162" w:type="dxa"/>
            <w:noWrap w:val="0"/>
            <w:vAlign w:val="center"/>
          </w:tcPr>
          <w:p w14:paraId="55B8D5B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75-28-5</w:t>
            </w:r>
          </w:p>
        </w:tc>
        <w:tc>
          <w:tcPr>
            <w:tcW w:w="1025" w:type="dxa"/>
            <w:noWrap w:val="0"/>
            <w:vAlign w:val="center"/>
          </w:tcPr>
          <w:p w14:paraId="0DE3303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57C7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 w:hRule="atLeast"/>
          <w:jc w:val="center"/>
        </w:trPr>
        <w:tc>
          <w:tcPr>
            <w:tcW w:w="581" w:type="dxa"/>
            <w:noWrap w:val="0"/>
            <w:vAlign w:val="center"/>
          </w:tcPr>
          <w:p w14:paraId="1EC9A5C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w:t>
            </w:r>
          </w:p>
        </w:tc>
        <w:tc>
          <w:tcPr>
            <w:tcW w:w="2038" w:type="dxa"/>
            <w:noWrap w:val="0"/>
            <w:vAlign w:val="center"/>
          </w:tcPr>
          <w:p w14:paraId="799E7AA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正丁烯</w:t>
            </w:r>
          </w:p>
        </w:tc>
        <w:tc>
          <w:tcPr>
            <w:tcW w:w="2700" w:type="dxa"/>
            <w:noWrap w:val="0"/>
            <w:vAlign w:val="center"/>
          </w:tcPr>
          <w:p w14:paraId="37FEA51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1-Butene</w:t>
            </w:r>
          </w:p>
        </w:tc>
        <w:tc>
          <w:tcPr>
            <w:tcW w:w="1162" w:type="dxa"/>
            <w:noWrap w:val="0"/>
            <w:vAlign w:val="center"/>
          </w:tcPr>
          <w:p w14:paraId="25B6C3B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106-98-9</w:t>
            </w:r>
          </w:p>
        </w:tc>
        <w:tc>
          <w:tcPr>
            <w:tcW w:w="1025" w:type="dxa"/>
            <w:noWrap w:val="0"/>
            <w:vAlign w:val="center"/>
          </w:tcPr>
          <w:p w14:paraId="7E7BDA0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烯烃</w:t>
            </w:r>
          </w:p>
        </w:tc>
      </w:tr>
      <w:tr w14:paraId="448C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1D602D5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8</w:t>
            </w:r>
          </w:p>
        </w:tc>
        <w:tc>
          <w:tcPr>
            <w:tcW w:w="2038" w:type="dxa"/>
            <w:noWrap w:val="0"/>
            <w:vAlign w:val="center"/>
          </w:tcPr>
          <w:p w14:paraId="5ACFB97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正丁烷</w:t>
            </w:r>
          </w:p>
        </w:tc>
        <w:tc>
          <w:tcPr>
            <w:tcW w:w="2700" w:type="dxa"/>
            <w:noWrap w:val="0"/>
            <w:vAlign w:val="center"/>
          </w:tcPr>
          <w:p w14:paraId="33EDBE3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n-Butane</w:t>
            </w:r>
          </w:p>
        </w:tc>
        <w:tc>
          <w:tcPr>
            <w:tcW w:w="1162" w:type="dxa"/>
            <w:noWrap w:val="0"/>
            <w:vAlign w:val="center"/>
          </w:tcPr>
          <w:p w14:paraId="133A605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106-97-8</w:t>
            </w:r>
          </w:p>
        </w:tc>
        <w:tc>
          <w:tcPr>
            <w:tcW w:w="1025" w:type="dxa"/>
            <w:noWrap w:val="0"/>
            <w:vAlign w:val="center"/>
          </w:tcPr>
          <w:p w14:paraId="6C84903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7BEE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581" w:type="dxa"/>
            <w:noWrap w:val="0"/>
            <w:vAlign w:val="center"/>
          </w:tcPr>
          <w:p w14:paraId="2D73E48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9</w:t>
            </w:r>
          </w:p>
        </w:tc>
        <w:tc>
          <w:tcPr>
            <w:tcW w:w="2038" w:type="dxa"/>
            <w:noWrap w:val="0"/>
            <w:vAlign w:val="center"/>
          </w:tcPr>
          <w:p w14:paraId="4C2C623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顺-2-丁烯</w:t>
            </w:r>
          </w:p>
        </w:tc>
        <w:tc>
          <w:tcPr>
            <w:tcW w:w="2700" w:type="dxa"/>
            <w:noWrap w:val="0"/>
            <w:vAlign w:val="center"/>
          </w:tcPr>
          <w:p w14:paraId="28F6DEF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cis-2-Butene</w:t>
            </w:r>
          </w:p>
        </w:tc>
        <w:tc>
          <w:tcPr>
            <w:tcW w:w="1162" w:type="dxa"/>
            <w:noWrap w:val="0"/>
            <w:vAlign w:val="center"/>
          </w:tcPr>
          <w:p w14:paraId="0D8F710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590-18-1</w:t>
            </w:r>
          </w:p>
        </w:tc>
        <w:tc>
          <w:tcPr>
            <w:tcW w:w="1025" w:type="dxa"/>
            <w:noWrap w:val="0"/>
            <w:vAlign w:val="center"/>
          </w:tcPr>
          <w:p w14:paraId="300EA5F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烯烃</w:t>
            </w:r>
          </w:p>
        </w:tc>
      </w:tr>
      <w:tr w14:paraId="2105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581" w:type="dxa"/>
            <w:noWrap w:val="0"/>
            <w:vAlign w:val="center"/>
          </w:tcPr>
          <w:p w14:paraId="2689F5A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w:t>
            </w:r>
          </w:p>
        </w:tc>
        <w:tc>
          <w:tcPr>
            <w:tcW w:w="2038" w:type="dxa"/>
            <w:noWrap w:val="0"/>
            <w:vAlign w:val="center"/>
          </w:tcPr>
          <w:p w14:paraId="2A0B274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反-2-丁烯</w:t>
            </w:r>
          </w:p>
        </w:tc>
        <w:tc>
          <w:tcPr>
            <w:tcW w:w="2700" w:type="dxa"/>
            <w:noWrap w:val="0"/>
            <w:vAlign w:val="center"/>
          </w:tcPr>
          <w:p w14:paraId="363FE00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trans-2-Butene</w:t>
            </w:r>
          </w:p>
        </w:tc>
        <w:tc>
          <w:tcPr>
            <w:tcW w:w="1162" w:type="dxa"/>
            <w:noWrap w:val="0"/>
            <w:vAlign w:val="center"/>
          </w:tcPr>
          <w:p w14:paraId="1E2142D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624-64-6</w:t>
            </w:r>
          </w:p>
        </w:tc>
        <w:tc>
          <w:tcPr>
            <w:tcW w:w="1025" w:type="dxa"/>
            <w:noWrap w:val="0"/>
            <w:vAlign w:val="center"/>
          </w:tcPr>
          <w:p w14:paraId="6B3188B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烯烃</w:t>
            </w:r>
          </w:p>
        </w:tc>
      </w:tr>
      <w:tr w14:paraId="5BB6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4120B71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w:t>
            </w:r>
          </w:p>
        </w:tc>
        <w:tc>
          <w:tcPr>
            <w:tcW w:w="2038" w:type="dxa"/>
            <w:noWrap w:val="0"/>
            <w:vAlign w:val="center"/>
          </w:tcPr>
          <w:p w14:paraId="1AEF225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异戊烷</w:t>
            </w:r>
          </w:p>
        </w:tc>
        <w:tc>
          <w:tcPr>
            <w:tcW w:w="2700" w:type="dxa"/>
            <w:noWrap w:val="0"/>
            <w:vAlign w:val="center"/>
          </w:tcPr>
          <w:p w14:paraId="10674D7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Isopentane</w:t>
            </w:r>
          </w:p>
        </w:tc>
        <w:tc>
          <w:tcPr>
            <w:tcW w:w="1162" w:type="dxa"/>
            <w:noWrap w:val="0"/>
            <w:vAlign w:val="center"/>
          </w:tcPr>
          <w:p w14:paraId="1CAD96E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78-78-4</w:t>
            </w:r>
          </w:p>
        </w:tc>
        <w:tc>
          <w:tcPr>
            <w:tcW w:w="1025" w:type="dxa"/>
            <w:noWrap w:val="0"/>
            <w:vAlign w:val="center"/>
          </w:tcPr>
          <w:p w14:paraId="5DB314B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6A04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1D83D8A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w:t>
            </w:r>
          </w:p>
        </w:tc>
        <w:tc>
          <w:tcPr>
            <w:tcW w:w="2038" w:type="dxa"/>
            <w:noWrap w:val="0"/>
            <w:vAlign w:val="center"/>
          </w:tcPr>
          <w:p w14:paraId="61C1689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1-戊烯</w:t>
            </w:r>
          </w:p>
        </w:tc>
        <w:tc>
          <w:tcPr>
            <w:tcW w:w="2700" w:type="dxa"/>
            <w:noWrap w:val="0"/>
            <w:vAlign w:val="center"/>
          </w:tcPr>
          <w:p w14:paraId="0B4C148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1-Pentene</w:t>
            </w:r>
          </w:p>
        </w:tc>
        <w:tc>
          <w:tcPr>
            <w:tcW w:w="1162" w:type="dxa"/>
            <w:noWrap w:val="0"/>
            <w:vAlign w:val="center"/>
          </w:tcPr>
          <w:p w14:paraId="4B4D71F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109-67-1</w:t>
            </w:r>
          </w:p>
        </w:tc>
        <w:tc>
          <w:tcPr>
            <w:tcW w:w="1025" w:type="dxa"/>
            <w:noWrap w:val="0"/>
            <w:vAlign w:val="center"/>
          </w:tcPr>
          <w:p w14:paraId="3427A72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烯烃</w:t>
            </w:r>
          </w:p>
        </w:tc>
      </w:tr>
      <w:tr w14:paraId="1315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230AC40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13</w:t>
            </w:r>
          </w:p>
        </w:tc>
        <w:tc>
          <w:tcPr>
            <w:tcW w:w="2038" w:type="dxa"/>
            <w:noWrap w:val="0"/>
            <w:vAlign w:val="center"/>
          </w:tcPr>
          <w:p w14:paraId="3DB1EEA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正戊烷</w:t>
            </w:r>
          </w:p>
        </w:tc>
        <w:tc>
          <w:tcPr>
            <w:tcW w:w="2700" w:type="dxa"/>
            <w:noWrap w:val="0"/>
            <w:vAlign w:val="center"/>
          </w:tcPr>
          <w:p w14:paraId="49F3013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n-Pentane</w:t>
            </w:r>
          </w:p>
        </w:tc>
        <w:tc>
          <w:tcPr>
            <w:tcW w:w="1162" w:type="dxa"/>
            <w:noWrap w:val="0"/>
            <w:vAlign w:val="center"/>
          </w:tcPr>
          <w:p w14:paraId="4EA0651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109-66-0</w:t>
            </w:r>
          </w:p>
        </w:tc>
        <w:tc>
          <w:tcPr>
            <w:tcW w:w="1025" w:type="dxa"/>
            <w:noWrap w:val="0"/>
            <w:vAlign w:val="center"/>
          </w:tcPr>
          <w:p w14:paraId="10793BB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107A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81" w:type="dxa"/>
            <w:noWrap w:val="0"/>
            <w:vAlign w:val="center"/>
          </w:tcPr>
          <w:p w14:paraId="782FC94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14</w:t>
            </w:r>
          </w:p>
        </w:tc>
        <w:tc>
          <w:tcPr>
            <w:tcW w:w="2038" w:type="dxa"/>
            <w:noWrap w:val="0"/>
            <w:vAlign w:val="center"/>
          </w:tcPr>
          <w:p w14:paraId="0F7C74E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反2-戊烯</w:t>
            </w:r>
          </w:p>
        </w:tc>
        <w:tc>
          <w:tcPr>
            <w:tcW w:w="2700" w:type="dxa"/>
            <w:noWrap w:val="0"/>
            <w:vAlign w:val="center"/>
          </w:tcPr>
          <w:p w14:paraId="4FC0613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trans-2-Pentene</w:t>
            </w:r>
          </w:p>
        </w:tc>
        <w:tc>
          <w:tcPr>
            <w:tcW w:w="1162" w:type="dxa"/>
            <w:noWrap w:val="0"/>
            <w:vAlign w:val="center"/>
          </w:tcPr>
          <w:p w14:paraId="5DE34C6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646-04-8</w:t>
            </w:r>
          </w:p>
        </w:tc>
        <w:tc>
          <w:tcPr>
            <w:tcW w:w="1025" w:type="dxa"/>
            <w:noWrap w:val="0"/>
            <w:vAlign w:val="center"/>
          </w:tcPr>
          <w:p w14:paraId="761162F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烯烃</w:t>
            </w:r>
          </w:p>
        </w:tc>
      </w:tr>
      <w:tr w14:paraId="15C6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81" w:type="dxa"/>
            <w:noWrap w:val="0"/>
            <w:vAlign w:val="center"/>
          </w:tcPr>
          <w:p w14:paraId="7FF410E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15</w:t>
            </w:r>
          </w:p>
        </w:tc>
        <w:tc>
          <w:tcPr>
            <w:tcW w:w="2038" w:type="dxa"/>
            <w:noWrap w:val="0"/>
            <w:vAlign w:val="center"/>
          </w:tcPr>
          <w:p w14:paraId="2C9DA88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顺-2-戊烯</w:t>
            </w:r>
          </w:p>
        </w:tc>
        <w:tc>
          <w:tcPr>
            <w:tcW w:w="2700" w:type="dxa"/>
            <w:noWrap w:val="0"/>
            <w:vAlign w:val="center"/>
          </w:tcPr>
          <w:p w14:paraId="04A117D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cis-2-Pentene</w:t>
            </w:r>
          </w:p>
        </w:tc>
        <w:tc>
          <w:tcPr>
            <w:tcW w:w="1162" w:type="dxa"/>
            <w:noWrap w:val="0"/>
            <w:vAlign w:val="center"/>
          </w:tcPr>
          <w:p w14:paraId="339E249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627-20-3</w:t>
            </w:r>
          </w:p>
        </w:tc>
        <w:tc>
          <w:tcPr>
            <w:tcW w:w="1025" w:type="dxa"/>
            <w:noWrap w:val="0"/>
            <w:vAlign w:val="center"/>
          </w:tcPr>
          <w:p w14:paraId="230FB53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烯烃</w:t>
            </w:r>
          </w:p>
        </w:tc>
      </w:tr>
      <w:tr w14:paraId="4B033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jc w:val="center"/>
        </w:trPr>
        <w:tc>
          <w:tcPr>
            <w:tcW w:w="581" w:type="dxa"/>
            <w:noWrap w:val="0"/>
            <w:vAlign w:val="center"/>
          </w:tcPr>
          <w:p w14:paraId="2574946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16</w:t>
            </w:r>
          </w:p>
        </w:tc>
        <w:tc>
          <w:tcPr>
            <w:tcW w:w="2038" w:type="dxa"/>
            <w:noWrap w:val="0"/>
            <w:vAlign w:val="center"/>
          </w:tcPr>
          <w:p w14:paraId="644FEB3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环戊烷</w:t>
            </w:r>
          </w:p>
        </w:tc>
        <w:tc>
          <w:tcPr>
            <w:tcW w:w="2700" w:type="dxa"/>
            <w:noWrap w:val="0"/>
            <w:vAlign w:val="center"/>
          </w:tcPr>
          <w:p w14:paraId="43C4D86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Cyclopentane</w:t>
            </w:r>
          </w:p>
        </w:tc>
        <w:tc>
          <w:tcPr>
            <w:tcW w:w="1162" w:type="dxa"/>
            <w:noWrap w:val="0"/>
            <w:vAlign w:val="center"/>
          </w:tcPr>
          <w:p w14:paraId="11BE083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287-92-3</w:t>
            </w:r>
          </w:p>
        </w:tc>
        <w:tc>
          <w:tcPr>
            <w:tcW w:w="1025" w:type="dxa"/>
            <w:noWrap w:val="0"/>
            <w:vAlign w:val="center"/>
          </w:tcPr>
          <w:p w14:paraId="7C12EB6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4EDF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0B26D82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17</w:t>
            </w:r>
          </w:p>
        </w:tc>
        <w:tc>
          <w:tcPr>
            <w:tcW w:w="2038" w:type="dxa"/>
            <w:noWrap w:val="0"/>
            <w:vAlign w:val="center"/>
          </w:tcPr>
          <w:p w14:paraId="0A508AF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2-甲基1,3-丁二烯</w:t>
            </w:r>
          </w:p>
        </w:tc>
        <w:tc>
          <w:tcPr>
            <w:tcW w:w="2700" w:type="dxa"/>
            <w:noWrap w:val="0"/>
            <w:vAlign w:val="center"/>
          </w:tcPr>
          <w:p w14:paraId="09CFF05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Isoprene</w:t>
            </w:r>
          </w:p>
        </w:tc>
        <w:tc>
          <w:tcPr>
            <w:tcW w:w="1162" w:type="dxa"/>
            <w:noWrap w:val="0"/>
            <w:vAlign w:val="center"/>
          </w:tcPr>
          <w:p w14:paraId="2FB4D3B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78-79-5</w:t>
            </w:r>
          </w:p>
        </w:tc>
        <w:tc>
          <w:tcPr>
            <w:tcW w:w="1025" w:type="dxa"/>
            <w:noWrap w:val="0"/>
            <w:vAlign w:val="center"/>
          </w:tcPr>
          <w:p w14:paraId="168C2BB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烯烃</w:t>
            </w:r>
          </w:p>
        </w:tc>
      </w:tr>
      <w:tr w14:paraId="14DA1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 w:hRule="atLeast"/>
          <w:jc w:val="center"/>
        </w:trPr>
        <w:tc>
          <w:tcPr>
            <w:tcW w:w="581" w:type="dxa"/>
            <w:noWrap w:val="0"/>
            <w:vAlign w:val="center"/>
          </w:tcPr>
          <w:p w14:paraId="214C002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18</w:t>
            </w:r>
          </w:p>
        </w:tc>
        <w:tc>
          <w:tcPr>
            <w:tcW w:w="2038" w:type="dxa"/>
            <w:noWrap w:val="0"/>
            <w:vAlign w:val="center"/>
          </w:tcPr>
          <w:p w14:paraId="4C0A1C7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2,2-二甲基丁烷</w:t>
            </w:r>
          </w:p>
        </w:tc>
        <w:tc>
          <w:tcPr>
            <w:tcW w:w="2700" w:type="dxa"/>
            <w:noWrap w:val="0"/>
            <w:vAlign w:val="center"/>
          </w:tcPr>
          <w:p w14:paraId="60450A8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2,2-Dimethylbutae</w:t>
            </w:r>
          </w:p>
        </w:tc>
        <w:tc>
          <w:tcPr>
            <w:tcW w:w="1162" w:type="dxa"/>
            <w:noWrap w:val="0"/>
            <w:vAlign w:val="center"/>
          </w:tcPr>
          <w:p w14:paraId="5497ECE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75-83-2</w:t>
            </w:r>
          </w:p>
        </w:tc>
        <w:tc>
          <w:tcPr>
            <w:tcW w:w="1025" w:type="dxa"/>
            <w:noWrap w:val="0"/>
            <w:vAlign w:val="center"/>
          </w:tcPr>
          <w:p w14:paraId="742F2ED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4F24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jc w:val="center"/>
        </w:trPr>
        <w:tc>
          <w:tcPr>
            <w:tcW w:w="581" w:type="dxa"/>
            <w:noWrap w:val="0"/>
            <w:vAlign w:val="center"/>
          </w:tcPr>
          <w:p w14:paraId="5B7B979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19</w:t>
            </w:r>
          </w:p>
        </w:tc>
        <w:tc>
          <w:tcPr>
            <w:tcW w:w="2038" w:type="dxa"/>
            <w:noWrap w:val="0"/>
            <w:vAlign w:val="center"/>
          </w:tcPr>
          <w:p w14:paraId="60ACEAC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2,3-二甲基丁烷</w:t>
            </w:r>
          </w:p>
        </w:tc>
        <w:tc>
          <w:tcPr>
            <w:tcW w:w="2700" w:type="dxa"/>
            <w:noWrap w:val="0"/>
            <w:vAlign w:val="center"/>
          </w:tcPr>
          <w:p w14:paraId="46DDABD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2,3-Dimethylbutane</w:t>
            </w:r>
          </w:p>
        </w:tc>
        <w:tc>
          <w:tcPr>
            <w:tcW w:w="1162" w:type="dxa"/>
            <w:noWrap w:val="0"/>
            <w:vAlign w:val="center"/>
          </w:tcPr>
          <w:p w14:paraId="6FB74A4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79-29-8</w:t>
            </w:r>
          </w:p>
        </w:tc>
        <w:tc>
          <w:tcPr>
            <w:tcW w:w="1025" w:type="dxa"/>
            <w:noWrap w:val="0"/>
            <w:vAlign w:val="center"/>
          </w:tcPr>
          <w:p w14:paraId="4DBB23A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23FF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581" w:type="dxa"/>
            <w:noWrap w:val="0"/>
            <w:vAlign w:val="center"/>
          </w:tcPr>
          <w:p w14:paraId="4E345F0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20</w:t>
            </w:r>
          </w:p>
        </w:tc>
        <w:tc>
          <w:tcPr>
            <w:tcW w:w="2038" w:type="dxa"/>
            <w:noWrap w:val="0"/>
            <w:vAlign w:val="center"/>
          </w:tcPr>
          <w:p w14:paraId="475F4C0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2-甲基戊烷</w:t>
            </w:r>
          </w:p>
        </w:tc>
        <w:tc>
          <w:tcPr>
            <w:tcW w:w="2700" w:type="dxa"/>
            <w:noWrap w:val="0"/>
            <w:vAlign w:val="center"/>
          </w:tcPr>
          <w:p w14:paraId="4801255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2-Methylpentane</w:t>
            </w:r>
          </w:p>
        </w:tc>
        <w:tc>
          <w:tcPr>
            <w:tcW w:w="1162" w:type="dxa"/>
            <w:noWrap w:val="0"/>
            <w:vAlign w:val="center"/>
          </w:tcPr>
          <w:p w14:paraId="5B0DA1D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107-83-5</w:t>
            </w:r>
          </w:p>
        </w:tc>
        <w:tc>
          <w:tcPr>
            <w:tcW w:w="1025" w:type="dxa"/>
            <w:noWrap w:val="0"/>
            <w:vAlign w:val="center"/>
          </w:tcPr>
          <w:p w14:paraId="6F04B6F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3944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jc w:val="center"/>
        </w:trPr>
        <w:tc>
          <w:tcPr>
            <w:tcW w:w="581" w:type="dxa"/>
            <w:noWrap w:val="0"/>
            <w:vAlign w:val="center"/>
          </w:tcPr>
          <w:p w14:paraId="69F24B7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21</w:t>
            </w:r>
          </w:p>
        </w:tc>
        <w:tc>
          <w:tcPr>
            <w:tcW w:w="2038" w:type="dxa"/>
            <w:noWrap w:val="0"/>
            <w:vAlign w:val="center"/>
          </w:tcPr>
          <w:p w14:paraId="32F794A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3-甲基戊烷</w:t>
            </w:r>
          </w:p>
        </w:tc>
        <w:tc>
          <w:tcPr>
            <w:tcW w:w="2700" w:type="dxa"/>
            <w:noWrap w:val="0"/>
            <w:vAlign w:val="center"/>
          </w:tcPr>
          <w:p w14:paraId="56D176E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3-Methylpentane</w:t>
            </w:r>
          </w:p>
        </w:tc>
        <w:tc>
          <w:tcPr>
            <w:tcW w:w="1162" w:type="dxa"/>
            <w:noWrap w:val="0"/>
            <w:vAlign w:val="center"/>
          </w:tcPr>
          <w:p w14:paraId="07B3F3B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96-14-0</w:t>
            </w:r>
          </w:p>
        </w:tc>
        <w:tc>
          <w:tcPr>
            <w:tcW w:w="1025" w:type="dxa"/>
            <w:noWrap w:val="0"/>
            <w:vAlign w:val="center"/>
          </w:tcPr>
          <w:p w14:paraId="26B8C15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32E8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76C240E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22</w:t>
            </w:r>
          </w:p>
        </w:tc>
        <w:tc>
          <w:tcPr>
            <w:tcW w:w="2038" w:type="dxa"/>
            <w:noWrap w:val="0"/>
            <w:vAlign w:val="center"/>
          </w:tcPr>
          <w:p w14:paraId="288A5F7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1-己烯</w:t>
            </w:r>
          </w:p>
        </w:tc>
        <w:tc>
          <w:tcPr>
            <w:tcW w:w="2700" w:type="dxa"/>
            <w:noWrap w:val="0"/>
            <w:vAlign w:val="center"/>
          </w:tcPr>
          <w:p w14:paraId="1E602EE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1-Hexene</w:t>
            </w:r>
          </w:p>
        </w:tc>
        <w:tc>
          <w:tcPr>
            <w:tcW w:w="1162" w:type="dxa"/>
            <w:noWrap w:val="0"/>
            <w:vAlign w:val="center"/>
          </w:tcPr>
          <w:p w14:paraId="7060589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592-41-6</w:t>
            </w:r>
          </w:p>
        </w:tc>
        <w:tc>
          <w:tcPr>
            <w:tcW w:w="1025" w:type="dxa"/>
            <w:noWrap w:val="0"/>
            <w:vAlign w:val="center"/>
          </w:tcPr>
          <w:p w14:paraId="3C9ED5F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烯烃</w:t>
            </w:r>
          </w:p>
        </w:tc>
      </w:tr>
      <w:tr w14:paraId="2F51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236C3EC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23</w:t>
            </w:r>
          </w:p>
        </w:tc>
        <w:tc>
          <w:tcPr>
            <w:tcW w:w="2038" w:type="dxa"/>
            <w:noWrap w:val="0"/>
            <w:vAlign w:val="center"/>
          </w:tcPr>
          <w:p w14:paraId="3664710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正己烷</w:t>
            </w:r>
          </w:p>
        </w:tc>
        <w:tc>
          <w:tcPr>
            <w:tcW w:w="2700" w:type="dxa"/>
            <w:noWrap w:val="0"/>
            <w:vAlign w:val="center"/>
          </w:tcPr>
          <w:p w14:paraId="0E95CC5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n-Hexane</w:t>
            </w:r>
          </w:p>
        </w:tc>
        <w:tc>
          <w:tcPr>
            <w:tcW w:w="1162" w:type="dxa"/>
            <w:noWrap w:val="0"/>
            <w:vAlign w:val="center"/>
          </w:tcPr>
          <w:p w14:paraId="2F2270E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110-54-3</w:t>
            </w:r>
          </w:p>
        </w:tc>
        <w:tc>
          <w:tcPr>
            <w:tcW w:w="1025" w:type="dxa"/>
            <w:noWrap w:val="0"/>
            <w:vAlign w:val="center"/>
          </w:tcPr>
          <w:p w14:paraId="20FE349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5170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jc w:val="center"/>
        </w:trPr>
        <w:tc>
          <w:tcPr>
            <w:tcW w:w="581" w:type="dxa"/>
            <w:noWrap w:val="0"/>
            <w:vAlign w:val="center"/>
          </w:tcPr>
          <w:p w14:paraId="3FF9997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24</w:t>
            </w:r>
          </w:p>
        </w:tc>
        <w:tc>
          <w:tcPr>
            <w:tcW w:w="2038" w:type="dxa"/>
            <w:noWrap w:val="0"/>
            <w:vAlign w:val="center"/>
          </w:tcPr>
          <w:p w14:paraId="4B567DF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2,4-二甲基戊烷</w:t>
            </w:r>
          </w:p>
        </w:tc>
        <w:tc>
          <w:tcPr>
            <w:tcW w:w="2700" w:type="dxa"/>
            <w:noWrap w:val="0"/>
            <w:vAlign w:val="center"/>
          </w:tcPr>
          <w:p w14:paraId="53CA837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2,4-Dimethylpentane</w:t>
            </w:r>
          </w:p>
        </w:tc>
        <w:tc>
          <w:tcPr>
            <w:tcW w:w="1162" w:type="dxa"/>
            <w:noWrap w:val="0"/>
            <w:vAlign w:val="center"/>
          </w:tcPr>
          <w:p w14:paraId="3EEDDBE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108-08-7</w:t>
            </w:r>
          </w:p>
        </w:tc>
        <w:tc>
          <w:tcPr>
            <w:tcW w:w="1025" w:type="dxa"/>
            <w:noWrap w:val="0"/>
            <w:vAlign w:val="center"/>
          </w:tcPr>
          <w:p w14:paraId="476C0ED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3DB8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 w:hRule="atLeast"/>
          <w:jc w:val="center"/>
        </w:trPr>
        <w:tc>
          <w:tcPr>
            <w:tcW w:w="581" w:type="dxa"/>
            <w:noWrap w:val="0"/>
            <w:vAlign w:val="center"/>
          </w:tcPr>
          <w:p w14:paraId="46756B5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25</w:t>
            </w:r>
          </w:p>
        </w:tc>
        <w:tc>
          <w:tcPr>
            <w:tcW w:w="2038" w:type="dxa"/>
            <w:noWrap w:val="0"/>
            <w:vAlign w:val="center"/>
          </w:tcPr>
          <w:p w14:paraId="4D7DA37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甲基环戊烷</w:t>
            </w:r>
          </w:p>
        </w:tc>
        <w:tc>
          <w:tcPr>
            <w:tcW w:w="2700" w:type="dxa"/>
            <w:noWrap w:val="0"/>
            <w:vAlign w:val="center"/>
          </w:tcPr>
          <w:p w14:paraId="24CFE31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Methylcyclopentane</w:t>
            </w:r>
          </w:p>
        </w:tc>
        <w:tc>
          <w:tcPr>
            <w:tcW w:w="1162" w:type="dxa"/>
            <w:noWrap w:val="0"/>
            <w:vAlign w:val="center"/>
          </w:tcPr>
          <w:p w14:paraId="497BDFC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96-37-7</w:t>
            </w:r>
          </w:p>
        </w:tc>
        <w:tc>
          <w:tcPr>
            <w:tcW w:w="1025" w:type="dxa"/>
            <w:noWrap w:val="0"/>
            <w:vAlign w:val="center"/>
          </w:tcPr>
          <w:p w14:paraId="69D88F0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2BD4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4B663A8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26</w:t>
            </w:r>
          </w:p>
        </w:tc>
        <w:tc>
          <w:tcPr>
            <w:tcW w:w="2038" w:type="dxa"/>
            <w:noWrap w:val="0"/>
            <w:vAlign w:val="center"/>
          </w:tcPr>
          <w:p w14:paraId="6425FAC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苯</w:t>
            </w:r>
          </w:p>
        </w:tc>
        <w:tc>
          <w:tcPr>
            <w:tcW w:w="2700" w:type="dxa"/>
            <w:noWrap w:val="0"/>
            <w:vAlign w:val="center"/>
          </w:tcPr>
          <w:p w14:paraId="12A67AF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Benzene</w:t>
            </w:r>
          </w:p>
        </w:tc>
        <w:tc>
          <w:tcPr>
            <w:tcW w:w="1162" w:type="dxa"/>
            <w:noWrap w:val="0"/>
            <w:vAlign w:val="center"/>
          </w:tcPr>
          <w:p w14:paraId="4611349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71-43-2</w:t>
            </w:r>
          </w:p>
        </w:tc>
        <w:tc>
          <w:tcPr>
            <w:tcW w:w="1025" w:type="dxa"/>
            <w:noWrap w:val="0"/>
            <w:vAlign w:val="center"/>
          </w:tcPr>
          <w:p w14:paraId="0CE8187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750C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jc w:val="center"/>
        </w:trPr>
        <w:tc>
          <w:tcPr>
            <w:tcW w:w="581" w:type="dxa"/>
            <w:noWrap w:val="0"/>
            <w:vAlign w:val="center"/>
          </w:tcPr>
          <w:p w14:paraId="738B796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27</w:t>
            </w:r>
          </w:p>
        </w:tc>
        <w:tc>
          <w:tcPr>
            <w:tcW w:w="2038" w:type="dxa"/>
            <w:noWrap w:val="0"/>
            <w:vAlign w:val="center"/>
          </w:tcPr>
          <w:p w14:paraId="24C7C83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环己烷</w:t>
            </w:r>
          </w:p>
        </w:tc>
        <w:tc>
          <w:tcPr>
            <w:tcW w:w="2700" w:type="dxa"/>
            <w:noWrap w:val="0"/>
            <w:vAlign w:val="center"/>
          </w:tcPr>
          <w:p w14:paraId="11CAF92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Cyclohexane</w:t>
            </w:r>
          </w:p>
        </w:tc>
        <w:tc>
          <w:tcPr>
            <w:tcW w:w="1162" w:type="dxa"/>
            <w:noWrap w:val="0"/>
            <w:vAlign w:val="center"/>
          </w:tcPr>
          <w:p w14:paraId="53A85FE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110-82-7</w:t>
            </w:r>
          </w:p>
        </w:tc>
        <w:tc>
          <w:tcPr>
            <w:tcW w:w="1025" w:type="dxa"/>
            <w:noWrap w:val="0"/>
            <w:vAlign w:val="center"/>
          </w:tcPr>
          <w:p w14:paraId="7CE009B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1B82B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581" w:type="dxa"/>
            <w:noWrap w:val="0"/>
            <w:vAlign w:val="center"/>
          </w:tcPr>
          <w:p w14:paraId="46E495F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28</w:t>
            </w:r>
          </w:p>
        </w:tc>
        <w:tc>
          <w:tcPr>
            <w:tcW w:w="2038" w:type="dxa"/>
            <w:noWrap w:val="0"/>
            <w:vAlign w:val="center"/>
          </w:tcPr>
          <w:p w14:paraId="3BB7725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2-甲基己烷</w:t>
            </w:r>
          </w:p>
        </w:tc>
        <w:tc>
          <w:tcPr>
            <w:tcW w:w="2700" w:type="dxa"/>
            <w:noWrap w:val="0"/>
            <w:vAlign w:val="center"/>
          </w:tcPr>
          <w:p w14:paraId="702D95E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2-Methylhexane</w:t>
            </w:r>
          </w:p>
        </w:tc>
        <w:tc>
          <w:tcPr>
            <w:tcW w:w="1162" w:type="dxa"/>
            <w:noWrap w:val="0"/>
            <w:vAlign w:val="center"/>
          </w:tcPr>
          <w:p w14:paraId="5992383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591-76-4</w:t>
            </w:r>
          </w:p>
        </w:tc>
        <w:tc>
          <w:tcPr>
            <w:tcW w:w="1025" w:type="dxa"/>
            <w:noWrap w:val="0"/>
            <w:vAlign w:val="center"/>
          </w:tcPr>
          <w:p w14:paraId="43F5A01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3B6D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jc w:val="center"/>
        </w:trPr>
        <w:tc>
          <w:tcPr>
            <w:tcW w:w="581" w:type="dxa"/>
            <w:noWrap w:val="0"/>
            <w:vAlign w:val="center"/>
          </w:tcPr>
          <w:p w14:paraId="7EF3904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29</w:t>
            </w:r>
          </w:p>
        </w:tc>
        <w:tc>
          <w:tcPr>
            <w:tcW w:w="2038" w:type="dxa"/>
            <w:noWrap w:val="0"/>
            <w:vAlign w:val="center"/>
          </w:tcPr>
          <w:p w14:paraId="4462BCA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2,3-二甲基戊烷</w:t>
            </w:r>
          </w:p>
        </w:tc>
        <w:tc>
          <w:tcPr>
            <w:tcW w:w="2700" w:type="dxa"/>
            <w:noWrap w:val="0"/>
            <w:vAlign w:val="center"/>
          </w:tcPr>
          <w:p w14:paraId="35D5006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2,3-Dimethylpentane</w:t>
            </w:r>
          </w:p>
        </w:tc>
        <w:tc>
          <w:tcPr>
            <w:tcW w:w="1162" w:type="dxa"/>
            <w:noWrap w:val="0"/>
            <w:vAlign w:val="center"/>
          </w:tcPr>
          <w:p w14:paraId="4313CAC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565-59-3</w:t>
            </w:r>
          </w:p>
        </w:tc>
        <w:tc>
          <w:tcPr>
            <w:tcW w:w="1025" w:type="dxa"/>
            <w:noWrap w:val="0"/>
            <w:vAlign w:val="center"/>
          </w:tcPr>
          <w:p w14:paraId="0E57D3E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13055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 w:hRule="atLeast"/>
          <w:jc w:val="center"/>
        </w:trPr>
        <w:tc>
          <w:tcPr>
            <w:tcW w:w="581" w:type="dxa"/>
            <w:noWrap w:val="0"/>
            <w:vAlign w:val="center"/>
          </w:tcPr>
          <w:p w14:paraId="0DC7E17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30</w:t>
            </w:r>
          </w:p>
        </w:tc>
        <w:tc>
          <w:tcPr>
            <w:tcW w:w="2038" w:type="dxa"/>
            <w:noWrap w:val="0"/>
            <w:vAlign w:val="center"/>
          </w:tcPr>
          <w:p w14:paraId="30442A0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3-甲基己烷</w:t>
            </w:r>
          </w:p>
        </w:tc>
        <w:tc>
          <w:tcPr>
            <w:tcW w:w="2700" w:type="dxa"/>
            <w:noWrap w:val="0"/>
            <w:vAlign w:val="center"/>
          </w:tcPr>
          <w:p w14:paraId="58C389B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3-Methylhexane</w:t>
            </w:r>
          </w:p>
        </w:tc>
        <w:tc>
          <w:tcPr>
            <w:tcW w:w="1162" w:type="dxa"/>
            <w:noWrap w:val="0"/>
            <w:vAlign w:val="center"/>
          </w:tcPr>
          <w:p w14:paraId="7BFC0AA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589-34-4</w:t>
            </w:r>
          </w:p>
        </w:tc>
        <w:tc>
          <w:tcPr>
            <w:tcW w:w="1025" w:type="dxa"/>
            <w:noWrap w:val="0"/>
            <w:vAlign w:val="center"/>
          </w:tcPr>
          <w:p w14:paraId="610AC70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3232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581" w:type="dxa"/>
            <w:noWrap w:val="0"/>
            <w:vAlign w:val="center"/>
          </w:tcPr>
          <w:p w14:paraId="26F5827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31</w:t>
            </w:r>
          </w:p>
        </w:tc>
        <w:tc>
          <w:tcPr>
            <w:tcW w:w="2038" w:type="dxa"/>
            <w:noWrap w:val="0"/>
            <w:vAlign w:val="center"/>
          </w:tcPr>
          <w:p w14:paraId="34CE7D8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2,2,4-三甲基戊烷</w:t>
            </w:r>
          </w:p>
        </w:tc>
        <w:tc>
          <w:tcPr>
            <w:tcW w:w="2700" w:type="dxa"/>
            <w:noWrap w:val="0"/>
            <w:vAlign w:val="center"/>
          </w:tcPr>
          <w:p w14:paraId="1A36C57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2,2,4-Trimethylpentane</w:t>
            </w:r>
          </w:p>
        </w:tc>
        <w:tc>
          <w:tcPr>
            <w:tcW w:w="1162" w:type="dxa"/>
            <w:noWrap w:val="0"/>
            <w:vAlign w:val="center"/>
          </w:tcPr>
          <w:p w14:paraId="5393B65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540-84-1</w:t>
            </w:r>
          </w:p>
        </w:tc>
        <w:tc>
          <w:tcPr>
            <w:tcW w:w="1025" w:type="dxa"/>
            <w:noWrap w:val="0"/>
            <w:vAlign w:val="center"/>
          </w:tcPr>
          <w:p w14:paraId="0EC722A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2C37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2A8A0D5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32</w:t>
            </w:r>
          </w:p>
        </w:tc>
        <w:tc>
          <w:tcPr>
            <w:tcW w:w="2038" w:type="dxa"/>
            <w:noWrap w:val="0"/>
            <w:vAlign w:val="center"/>
          </w:tcPr>
          <w:p w14:paraId="29C8E66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正庚烷</w:t>
            </w:r>
          </w:p>
        </w:tc>
        <w:tc>
          <w:tcPr>
            <w:tcW w:w="2700" w:type="dxa"/>
            <w:noWrap w:val="0"/>
            <w:vAlign w:val="center"/>
          </w:tcPr>
          <w:p w14:paraId="199625D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n-Heptane</w:t>
            </w:r>
          </w:p>
        </w:tc>
        <w:tc>
          <w:tcPr>
            <w:tcW w:w="1162" w:type="dxa"/>
            <w:noWrap w:val="0"/>
            <w:vAlign w:val="center"/>
          </w:tcPr>
          <w:p w14:paraId="7448FD9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142-82-5</w:t>
            </w:r>
          </w:p>
        </w:tc>
        <w:tc>
          <w:tcPr>
            <w:tcW w:w="1025" w:type="dxa"/>
            <w:noWrap w:val="0"/>
            <w:vAlign w:val="center"/>
          </w:tcPr>
          <w:p w14:paraId="37686E1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02EC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581" w:type="dxa"/>
            <w:noWrap w:val="0"/>
            <w:vAlign w:val="center"/>
          </w:tcPr>
          <w:p w14:paraId="2438640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33</w:t>
            </w:r>
          </w:p>
        </w:tc>
        <w:tc>
          <w:tcPr>
            <w:tcW w:w="2038" w:type="dxa"/>
            <w:noWrap w:val="0"/>
            <w:vAlign w:val="center"/>
          </w:tcPr>
          <w:p w14:paraId="34C0D98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甲基环己烷</w:t>
            </w:r>
          </w:p>
        </w:tc>
        <w:tc>
          <w:tcPr>
            <w:tcW w:w="2700" w:type="dxa"/>
            <w:noWrap w:val="0"/>
            <w:vAlign w:val="center"/>
          </w:tcPr>
          <w:p w14:paraId="15CC939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Methylcyclohexane</w:t>
            </w:r>
          </w:p>
        </w:tc>
        <w:tc>
          <w:tcPr>
            <w:tcW w:w="1162" w:type="dxa"/>
            <w:noWrap w:val="0"/>
            <w:vAlign w:val="center"/>
          </w:tcPr>
          <w:p w14:paraId="7B2F6F7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108-87-2</w:t>
            </w:r>
          </w:p>
        </w:tc>
        <w:tc>
          <w:tcPr>
            <w:tcW w:w="1025" w:type="dxa"/>
            <w:noWrap w:val="0"/>
            <w:vAlign w:val="center"/>
          </w:tcPr>
          <w:p w14:paraId="5CB3B85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11E2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581" w:type="dxa"/>
            <w:noWrap w:val="0"/>
            <w:vAlign w:val="center"/>
          </w:tcPr>
          <w:p w14:paraId="713CC1C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34</w:t>
            </w:r>
          </w:p>
        </w:tc>
        <w:tc>
          <w:tcPr>
            <w:tcW w:w="2038" w:type="dxa"/>
            <w:noWrap w:val="0"/>
            <w:vAlign w:val="center"/>
          </w:tcPr>
          <w:p w14:paraId="44C5690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2,3,4-三甲基戊烷</w:t>
            </w:r>
          </w:p>
        </w:tc>
        <w:tc>
          <w:tcPr>
            <w:tcW w:w="2700" w:type="dxa"/>
            <w:noWrap w:val="0"/>
            <w:vAlign w:val="center"/>
          </w:tcPr>
          <w:p w14:paraId="18ABFB1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2,3,4-Trimethylpentane</w:t>
            </w:r>
          </w:p>
        </w:tc>
        <w:tc>
          <w:tcPr>
            <w:tcW w:w="1162" w:type="dxa"/>
            <w:noWrap w:val="0"/>
            <w:vAlign w:val="center"/>
          </w:tcPr>
          <w:p w14:paraId="5DCE4DB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565-75-3</w:t>
            </w:r>
          </w:p>
        </w:tc>
        <w:tc>
          <w:tcPr>
            <w:tcW w:w="1025" w:type="dxa"/>
            <w:noWrap w:val="0"/>
            <w:vAlign w:val="center"/>
          </w:tcPr>
          <w:p w14:paraId="3EEC39D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2549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 w:hRule="atLeast"/>
          <w:jc w:val="center"/>
        </w:trPr>
        <w:tc>
          <w:tcPr>
            <w:tcW w:w="581" w:type="dxa"/>
            <w:noWrap w:val="0"/>
            <w:vAlign w:val="center"/>
          </w:tcPr>
          <w:p w14:paraId="572D3D3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35</w:t>
            </w:r>
          </w:p>
        </w:tc>
        <w:tc>
          <w:tcPr>
            <w:tcW w:w="2038" w:type="dxa"/>
            <w:noWrap w:val="0"/>
            <w:vAlign w:val="center"/>
          </w:tcPr>
          <w:p w14:paraId="0BDD4A8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2-甲基庚烷</w:t>
            </w:r>
          </w:p>
        </w:tc>
        <w:tc>
          <w:tcPr>
            <w:tcW w:w="2700" w:type="dxa"/>
            <w:noWrap w:val="0"/>
            <w:vAlign w:val="center"/>
          </w:tcPr>
          <w:p w14:paraId="6F2D03E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2-Methylheptane</w:t>
            </w:r>
          </w:p>
        </w:tc>
        <w:tc>
          <w:tcPr>
            <w:tcW w:w="1162" w:type="dxa"/>
            <w:noWrap w:val="0"/>
            <w:vAlign w:val="center"/>
          </w:tcPr>
          <w:p w14:paraId="0ED2FED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592-27-8</w:t>
            </w:r>
          </w:p>
        </w:tc>
        <w:tc>
          <w:tcPr>
            <w:tcW w:w="1025" w:type="dxa"/>
            <w:noWrap w:val="0"/>
            <w:vAlign w:val="center"/>
          </w:tcPr>
          <w:p w14:paraId="032973B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51E0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4BC6E77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36</w:t>
            </w:r>
          </w:p>
        </w:tc>
        <w:tc>
          <w:tcPr>
            <w:tcW w:w="2038" w:type="dxa"/>
            <w:noWrap w:val="0"/>
            <w:vAlign w:val="center"/>
          </w:tcPr>
          <w:p w14:paraId="03463EE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甲苯</w:t>
            </w:r>
          </w:p>
        </w:tc>
        <w:tc>
          <w:tcPr>
            <w:tcW w:w="2700" w:type="dxa"/>
            <w:noWrap w:val="0"/>
            <w:vAlign w:val="center"/>
          </w:tcPr>
          <w:p w14:paraId="6F0F08C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Toluene</w:t>
            </w:r>
          </w:p>
        </w:tc>
        <w:tc>
          <w:tcPr>
            <w:tcW w:w="1162" w:type="dxa"/>
            <w:noWrap w:val="0"/>
            <w:vAlign w:val="center"/>
          </w:tcPr>
          <w:p w14:paraId="348EB91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108-88-3</w:t>
            </w:r>
          </w:p>
        </w:tc>
        <w:tc>
          <w:tcPr>
            <w:tcW w:w="1025" w:type="dxa"/>
            <w:noWrap w:val="0"/>
            <w:vAlign w:val="center"/>
          </w:tcPr>
          <w:p w14:paraId="02CF04E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6FC8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 w:hRule="atLeast"/>
          <w:jc w:val="center"/>
        </w:trPr>
        <w:tc>
          <w:tcPr>
            <w:tcW w:w="581" w:type="dxa"/>
            <w:noWrap w:val="0"/>
            <w:vAlign w:val="center"/>
          </w:tcPr>
          <w:p w14:paraId="45CEE95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37</w:t>
            </w:r>
          </w:p>
        </w:tc>
        <w:tc>
          <w:tcPr>
            <w:tcW w:w="2038" w:type="dxa"/>
            <w:noWrap w:val="0"/>
            <w:vAlign w:val="center"/>
          </w:tcPr>
          <w:p w14:paraId="4AFC6C1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3-甲基庚烷</w:t>
            </w:r>
          </w:p>
        </w:tc>
        <w:tc>
          <w:tcPr>
            <w:tcW w:w="2700" w:type="dxa"/>
            <w:noWrap w:val="0"/>
            <w:vAlign w:val="center"/>
          </w:tcPr>
          <w:p w14:paraId="482B91C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3-Methylheptane</w:t>
            </w:r>
          </w:p>
        </w:tc>
        <w:tc>
          <w:tcPr>
            <w:tcW w:w="1162" w:type="dxa"/>
            <w:noWrap w:val="0"/>
            <w:vAlign w:val="center"/>
          </w:tcPr>
          <w:p w14:paraId="2D7AB07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589-81-1</w:t>
            </w:r>
          </w:p>
        </w:tc>
        <w:tc>
          <w:tcPr>
            <w:tcW w:w="1025" w:type="dxa"/>
            <w:noWrap w:val="0"/>
            <w:vAlign w:val="center"/>
          </w:tcPr>
          <w:p w14:paraId="4C949B0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7983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42B1074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38</w:t>
            </w:r>
          </w:p>
        </w:tc>
        <w:tc>
          <w:tcPr>
            <w:tcW w:w="2038" w:type="dxa"/>
            <w:noWrap w:val="0"/>
            <w:vAlign w:val="center"/>
          </w:tcPr>
          <w:p w14:paraId="5483172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正辛烷</w:t>
            </w:r>
          </w:p>
        </w:tc>
        <w:tc>
          <w:tcPr>
            <w:tcW w:w="2700" w:type="dxa"/>
            <w:noWrap w:val="0"/>
            <w:vAlign w:val="center"/>
          </w:tcPr>
          <w:p w14:paraId="3A15A55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n-Octane</w:t>
            </w:r>
          </w:p>
        </w:tc>
        <w:tc>
          <w:tcPr>
            <w:tcW w:w="1162" w:type="dxa"/>
            <w:noWrap w:val="0"/>
            <w:vAlign w:val="center"/>
          </w:tcPr>
          <w:p w14:paraId="459B594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111-65-9</w:t>
            </w:r>
          </w:p>
        </w:tc>
        <w:tc>
          <w:tcPr>
            <w:tcW w:w="1025" w:type="dxa"/>
            <w:noWrap w:val="0"/>
            <w:vAlign w:val="center"/>
          </w:tcPr>
          <w:p w14:paraId="5739193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63A5A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54318E9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39</w:t>
            </w:r>
          </w:p>
        </w:tc>
        <w:tc>
          <w:tcPr>
            <w:tcW w:w="2038" w:type="dxa"/>
            <w:noWrap w:val="0"/>
            <w:vAlign w:val="center"/>
          </w:tcPr>
          <w:p w14:paraId="1133A84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对二甲苯</w:t>
            </w:r>
          </w:p>
        </w:tc>
        <w:tc>
          <w:tcPr>
            <w:tcW w:w="2700" w:type="dxa"/>
            <w:noWrap w:val="0"/>
            <w:vAlign w:val="center"/>
          </w:tcPr>
          <w:p w14:paraId="5F91F0E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p-Xylene</w:t>
            </w:r>
          </w:p>
        </w:tc>
        <w:tc>
          <w:tcPr>
            <w:tcW w:w="1162" w:type="dxa"/>
            <w:noWrap w:val="0"/>
            <w:vAlign w:val="center"/>
          </w:tcPr>
          <w:p w14:paraId="7F23001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106-42-3</w:t>
            </w:r>
          </w:p>
        </w:tc>
        <w:tc>
          <w:tcPr>
            <w:tcW w:w="1025" w:type="dxa"/>
            <w:noWrap w:val="0"/>
            <w:vAlign w:val="center"/>
          </w:tcPr>
          <w:p w14:paraId="6EED1C4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10C3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581" w:type="dxa"/>
            <w:noWrap w:val="0"/>
            <w:vAlign w:val="center"/>
          </w:tcPr>
          <w:p w14:paraId="5C8D632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40</w:t>
            </w:r>
          </w:p>
        </w:tc>
        <w:tc>
          <w:tcPr>
            <w:tcW w:w="2038" w:type="dxa"/>
            <w:noWrap w:val="0"/>
            <w:vAlign w:val="center"/>
          </w:tcPr>
          <w:p w14:paraId="47424C0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乙苯</w:t>
            </w:r>
          </w:p>
        </w:tc>
        <w:tc>
          <w:tcPr>
            <w:tcW w:w="2700" w:type="dxa"/>
            <w:noWrap w:val="0"/>
            <w:vAlign w:val="center"/>
          </w:tcPr>
          <w:p w14:paraId="78AF355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Ethylbenzene</w:t>
            </w:r>
          </w:p>
        </w:tc>
        <w:tc>
          <w:tcPr>
            <w:tcW w:w="1162" w:type="dxa"/>
            <w:noWrap w:val="0"/>
            <w:vAlign w:val="center"/>
          </w:tcPr>
          <w:p w14:paraId="209177A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100-41-4</w:t>
            </w:r>
          </w:p>
        </w:tc>
        <w:tc>
          <w:tcPr>
            <w:tcW w:w="1025" w:type="dxa"/>
            <w:noWrap w:val="0"/>
            <w:vAlign w:val="center"/>
          </w:tcPr>
          <w:p w14:paraId="0C65467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40D3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6E23E93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41</w:t>
            </w:r>
          </w:p>
        </w:tc>
        <w:tc>
          <w:tcPr>
            <w:tcW w:w="2038" w:type="dxa"/>
            <w:noWrap w:val="0"/>
            <w:vAlign w:val="center"/>
          </w:tcPr>
          <w:p w14:paraId="48B7DD6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间二甲苯</w:t>
            </w:r>
          </w:p>
        </w:tc>
        <w:tc>
          <w:tcPr>
            <w:tcW w:w="2700" w:type="dxa"/>
            <w:noWrap w:val="0"/>
            <w:vAlign w:val="center"/>
          </w:tcPr>
          <w:p w14:paraId="176F055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m -Xylene</w:t>
            </w:r>
          </w:p>
        </w:tc>
        <w:tc>
          <w:tcPr>
            <w:tcW w:w="1162" w:type="dxa"/>
            <w:noWrap w:val="0"/>
            <w:vAlign w:val="center"/>
          </w:tcPr>
          <w:p w14:paraId="10EE570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108-38-3</w:t>
            </w:r>
          </w:p>
        </w:tc>
        <w:tc>
          <w:tcPr>
            <w:tcW w:w="1025" w:type="dxa"/>
            <w:noWrap w:val="0"/>
            <w:vAlign w:val="center"/>
          </w:tcPr>
          <w:p w14:paraId="0CAACCA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1B9D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74CB6B9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42</w:t>
            </w:r>
          </w:p>
        </w:tc>
        <w:tc>
          <w:tcPr>
            <w:tcW w:w="2038" w:type="dxa"/>
            <w:noWrap w:val="0"/>
            <w:vAlign w:val="center"/>
          </w:tcPr>
          <w:p w14:paraId="3B3F6CB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正壬烷</w:t>
            </w:r>
          </w:p>
        </w:tc>
        <w:tc>
          <w:tcPr>
            <w:tcW w:w="2700" w:type="dxa"/>
            <w:noWrap w:val="0"/>
            <w:vAlign w:val="center"/>
          </w:tcPr>
          <w:p w14:paraId="11C4F04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n-Nonane</w:t>
            </w:r>
          </w:p>
        </w:tc>
        <w:tc>
          <w:tcPr>
            <w:tcW w:w="1162" w:type="dxa"/>
            <w:noWrap w:val="0"/>
            <w:vAlign w:val="center"/>
          </w:tcPr>
          <w:p w14:paraId="5CC71F9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111-84-2</w:t>
            </w:r>
          </w:p>
        </w:tc>
        <w:tc>
          <w:tcPr>
            <w:tcW w:w="1025" w:type="dxa"/>
            <w:noWrap w:val="0"/>
            <w:vAlign w:val="center"/>
          </w:tcPr>
          <w:p w14:paraId="44F9DAC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214F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7A41C72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43</w:t>
            </w:r>
          </w:p>
        </w:tc>
        <w:tc>
          <w:tcPr>
            <w:tcW w:w="2038" w:type="dxa"/>
            <w:noWrap w:val="0"/>
            <w:vAlign w:val="center"/>
          </w:tcPr>
          <w:p w14:paraId="7695BAE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苯乙烯</w:t>
            </w:r>
          </w:p>
        </w:tc>
        <w:tc>
          <w:tcPr>
            <w:tcW w:w="2700" w:type="dxa"/>
            <w:noWrap w:val="0"/>
            <w:vAlign w:val="center"/>
          </w:tcPr>
          <w:p w14:paraId="3C8BC38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Styrene</w:t>
            </w:r>
          </w:p>
        </w:tc>
        <w:tc>
          <w:tcPr>
            <w:tcW w:w="1162" w:type="dxa"/>
            <w:noWrap w:val="0"/>
            <w:vAlign w:val="center"/>
          </w:tcPr>
          <w:p w14:paraId="15C7AEF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100-42-5</w:t>
            </w:r>
          </w:p>
        </w:tc>
        <w:tc>
          <w:tcPr>
            <w:tcW w:w="1025" w:type="dxa"/>
            <w:noWrap w:val="0"/>
            <w:vAlign w:val="center"/>
          </w:tcPr>
          <w:p w14:paraId="50B39EB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003A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60E5CFC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44</w:t>
            </w:r>
          </w:p>
        </w:tc>
        <w:tc>
          <w:tcPr>
            <w:tcW w:w="2038" w:type="dxa"/>
            <w:noWrap w:val="0"/>
            <w:vAlign w:val="center"/>
          </w:tcPr>
          <w:p w14:paraId="023ADF1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邻二甲苯</w:t>
            </w:r>
          </w:p>
        </w:tc>
        <w:tc>
          <w:tcPr>
            <w:tcW w:w="2700" w:type="dxa"/>
            <w:noWrap w:val="0"/>
            <w:vAlign w:val="center"/>
          </w:tcPr>
          <w:p w14:paraId="6CD2F74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o-Xylene</w:t>
            </w:r>
          </w:p>
        </w:tc>
        <w:tc>
          <w:tcPr>
            <w:tcW w:w="1162" w:type="dxa"/>
            <w:noWrap w:val="0"/>
            <w:vAlign w:val="center"/>
          </w:tcPr>
          <w:p w14:paraId="299EC15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95-47-6</w:t>
            </w:r>
          </w:p>
        </w:tc>
        <w:tc>
          <w:tcPr>
            <w:tcW w:w="1025" w:type="dxa"/>
            <w:noWrap w:val="0"/>
            <w:vAlign w:val="center"/>
          </w:tcPr>
          <w:p w14:paraId="16A812F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57217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 w:hRule="atLeast"/>
          <w:jc w:val="center"/>
        </w:trPr>
        <w:tc>
          <w:tcPr>
            <w:tcW w:w="581" w:type="dxa"/>
            <w:noWrap w:val="0"/>
            <w:vAlign w:val="center"/>
          </w:tcPr>
          <w:p w14:paraId="323FD02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45</w:t>
            </w:r>
          </w:p>
        </w:tc>
        <w:tc>
          <w:tcPr>
            <w:tcW w:w="2038" w:type="dxa"/>
            <w:noWrap w:val="0"/>
            <w:vAlign w:val="center"/>
          </w:tcPr>
          <w:p w14:paraId="2858D03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异丙苯</w:t>
            </w:r>
          </w:p>
        </w:tc>
        <w:tc>
          <w:tcPr>
            <w:tcW w:w="2700" w:type="dxa"/>
            <w:noWrap w:val="0"/>
            <w:vAlign w:val="center"/>
          </w:tcPr>
          <w:p w14:paraId="4F7E2C3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Isopropylbenzene</w:t>
            </w:r>
          </w:p>
        </w:tc>
        <w:tc>
          <w:tcPr>
            <w:tcW w:w="1162" w:type="dxa"/>
            <w:noWrap w:val="0"/>
            <w:vAlign w:val="center"/>
          </w:tcPr>
          <w:p w14:paraId="3018410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98-82-8</w:t>
            </w:r>
          </w:p>
        </w:tc>
        <w:tc>
          <w:tcPr>
            <w:tcW w:w="1025" w:type="dxa"/>
            <w:noWrap w:val="0"/>
            <w:vAlign w:val="center"/>
          </w:tcPr>
          <w:p w14:paraId="6340B7F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5B5F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 w:hRule="atLeast"/>
          <w:jc w:val="center"/>
        </w:trPr>
        <w:tc>
          <w:tcPr>
            <w:tcW w:w="581" w:type="dxa"/>
            <w:noWrap w:val="0"/>
            <w:vAlign w:val="center"/>
          </w:tcPr>
          <w:p w14:paraId="1C87498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46</w:t>
            </w:r>
          </w:p>
        </w:tc>
        <w:tc>
          <w:tcPr>
            <w:tcW w:w="2038" w:type="dxa"/>
            <w:noWrap w:val="0"/>
            <w:vAlign w:val="center"/>
          </w:tcPr>
          <w:p w14:paraId="7906396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正丙苯</w:t>
            </w:r>
          </w:p>
        </w:tc>
        <w:tc>
          <w:tcPr>
            <w:tcW w:w="2700" w:type="dxa"/>
            <w:noWrap w:val="0"/>
            <w:vAlign w:val="center"/>
          </w:tcPr>
          <w:p w14:paraId="4E1B655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n-Propylbenzene</w:t>
            </w:r>
          </w:p>
        </w:tc>
        <w:tc>
          <w:tcPr>
            <w:tcW w:w="1162" w:type="dxa"/>
            <w:noWrap w:val="0"/>
            <w:vAlign w:val="center"/>
          </w:tcPr>
          <w:p w14:paraId="72B7CB0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103-65-1</w:t>
            </w:r>
          </w:p>
        </w:tc>
        <w:tc>
          <w:tcPr>
            <w:tcW w:w="1025" w:type="dxa"/>
            <w:noWrap w:val="0"/>
            <w:vAlign w:val="center"/>
          </w:tcPr>
          <w:p w14:paraId="7FA63D2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4ED9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 w:hRule="atLeast"/>
          <w:jc w:val="center"/>
        </w:trPr>
        <w:tc>
          <w:tcPr>
            <w:tcW w:w="581" w:type="dxa"/>
            <w:noWrap w:val="0"/>
            <w:vAlign w:val="center"/>
          </w:tcPr>
          <w:p w14:paraId="081FD2C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47</w:t>
            </w:r>
          </w:p>
        </w:tc>
        <w:tc>
          <w:tcPr>
            <w:tcW w:w="2038" w:type="dxa"/>
            <w:noWrap w:val="0"/>
            <w:vAlign w:val="center"/>
          </w:tcPr>
          <w:p w14:paraId="78FD5DA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1-乙基-2-甲基苯</w:t>
            </w:r>
          </w:p>
        </w:tc>
        <w:tc>
          <w:tcPr>
            <w:tcW w:w="2700" w:type="dxa"/>
            <w:noWrap w:val="0"/>
            <w:vAlign w:val="center"/>
          </w:tcPr>
          <w:p w14:paraId="6F0A464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o-Ethyltoluene</w:t>
            </w:r>
          </w:p>
        </w:tc>
        <w:tc>
          <w:tcPr>
            <w:tcW w:w="1162" w:type="dxa"/>
            <w:noWrap w:val="0"/>
            <w:vAlign w:val="center"/>
          </w:tcPr>
          <w:p w14:paraId="059C8CA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611-14-3</w:t>
            </w:r>
          </w:p>
        </w:tc>
        <w:tc>
          <w:tcPr>
            <w:tcW w:w="1025" w:type="dxa"/>
            <w:noWrap w:val="0"/>
            <w:vAlign w:val="center"/>
          </w:tcPr>
          <w:p w14:paraId="6559CAB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20A9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jc w:val="center"/>
        </w:trPr>
        <w:tc>
          <w:tcPr>
            <w:tcW w:w="581" w:type="dxa"/>
            <w:noWrap w:val="0"/>
            <w:vAlign w:val="center"/>
          </w:tcPr>
          <w:p w14:paraId="3C55010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48</w:t>
            </w:r>
          </w:p>
        </w:tc>
        <w:tc>
          <w:tcPr>
            <w:tcW w:w="2038" w:type="dxa"/>
            <w:noWrap w:val="0"/>
            <w:vAlign w:val="center"/>
          </w:tcPr>
          <w:p w14:paraId="3E7D1C1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1-乙基-3-甲基苯</w:t>
            </w:r>
          </w:p>
        </w:tc>
        <w:tc>
          <w:tcPr>
            <w:tcW w:w="2700" w:type="dxa"/>
            <w:noWrap w:val="0"/>
            <w:vAlign w:val="center"/>
          </w:tcPr>
          <w:p w14:paraId="51DD707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m-Ethyltoluene</w:t>
            </w:r>
          </w:p>
        </w:tc>
        <w:tc>
          <w:tcPr>
            <w:tcW w:w="1162" w:type="dxa"/>
            <w:noWrap w:val="0"/>
            <w:vAlign w:val="center"/>
          </w:tcPr>
          <w:p w14:paraId="0135E6E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620-14-4</w:t>
            </w:r>
          </w:p>
        </w:tc>
        <w:tc>
          <w:tcPr>
            <w:tcW w:w="1025" w:type="dxa"/>
            <w:noWrap w:val="0"/>
            <w:vAlign w:val="center"/>
          </w:tcPr>
          <w:p w14:paraId="3641412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0AFA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581" w:type="dxa"/>
            <w:noWrap w:val="0"/>
            <w:vAlign w:val="center"/>
          </w:tcPr>
          <w:p w14:paraId="2AA9FD9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49</w:t>
            </w:r>
          </w:p>
        </w:tc>
        <w:tc>
          <w:tcPr>
            <w:tcW w:w="2038" w:type="dxa"/>
            <w:noWrap w:val="0"/>
            <w:vAlign w:val="center"/>
          </w:tcPr>
          <w:p w14:paraId="2FB27EA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1,3,5-三甲苯</w:t>
            </w:r>
          </w:p>
        </w:tc>
        <w:tc>
          <w:tcPr>
            <w:tcW w:w="2700" w:type="dxa"/>
            <w:noWrap w:val="0"/>
            <w:vAlign w:val="center"/>
          </w:tcPr>
          <w:p w14:paraId="107D492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1,3,5-Trimethylbenzene</w:t>
            </w:r>
          </w:p>
        </w:tc>
        <w:tc>
          <w:tcPr>
            <w:tcW w:w="1162" w:type="dxa"/>
            <w:noWrap w:val="0"/>
            <w:vAlign w:val="center"/>
          </w:tcPr>
          <w:p w14:paraId="762ACD7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108-67-8</w:t>
            </w:r>
          </w:p>
        </w:tc>
        <w:tc>
          <w:tcPr>
            <w:tcW w:w="1025" w:type="dxa"/>
            <w:noWrap w:val="0"/>
            <w:vAlign w:val="center"/>
          </w:tcPr>
          <w:p w14:paraId="5D463B5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7B08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581" w:type="dxa"/>
            <w:noWrap w:val="0"/>
            <w:vAlign w:val="center"/>
          </w:tcPr>
          <w:p w14:paraId="105FE0A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50</w:t>
            </w:r>
          </w:p>
        </w:tc>
        <w:tc>
          <w:tcPr>
            <w:tcW w:w="2038" w:type="dxa"/>
            <w:noWrap w:val="0"/>
            <w:vAlign w:val="center"/>
          </w:tcPr>
          <w:p w14:paraId="5A4AA38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对乙基甲苯</w:t>
            </w:r>
          </w:p>
        </w:tc>
        <w:tc>
          <w:tcPr>
            <w:tcW w:w="2700" w:type="dxa"/>
            <w:noWrap w:val="0"/>
            <w:vAlign w:val="center"/>
          </w:tcPr>
          <w:p w14:paraId="1873372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p-Ethyltoluene</w:t>
            </w:r>
          </w:p>
        </w:tc>
        <w:tc>
          <w:tcPr>
            <w:tcW w:w="1162" w:type="dxa"/>
            <w:noWrap w:val="0"/>
            <w:vAlign w:val="center"/>
          </w:tcPr>
          <w:p w14:paraId="51AEDBE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622-96-8</w:t>
            </w:r>
          </w:p>
        </w:tc>
        <w:tc>
          <w:tcPr>
            <w:tcW w:w="1025" w:type="dxa"/>
            <w:noWrap w:val="0"/>
            <w:vAlign w:val="center"/>
          </w:tcPr>
          <w:p w14:paraId="7EBA0BE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190C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4CD3711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51</w:t>
            </w:r>
          </w:p>
        </w:tc>
        <w:tc>
          <w:tcPr>
            <w:tcW w:w="2038" w:type="dxa"/>
            <w:noWrap w:val="0"/>
            <w:vAlign w:val="center"/>
          </w:tcPr>
          <w:p w14:paraId="7CC8130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癸烷</w:t>
            </w:r>
          </w:p>
        </w:tc>
        <w:tc>
          <w:tcPr>
            <w:tcW w:w="2700" w:type="dxa"/>
            <w:noWrap w:val="0"/>
            <w:vAlign w:val="center"/>
          </w:tcPr>
          <w:p w14:paraId="2D69CEB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n-Decane</w:t>
            </w:r>
          </w:p>
        </w:tc>
        <w:tc>
          <w:tcPr>
            <w:tcW w:w="1162" w:type="dxa"/>
            <w:noWrap w:val="0"/>
            <w:vAlign w:val="center"/>
          </w:tcPr>
          <w:p w14:paraId="4FAC774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124-18-5</w:t>
            </w:r>
          </w:p>
        </w:tc>
        <w:tc>
          <w:tcPr>
            <w:tcW w:w="1025" w:type="dxa"/>
            <w:noWrap w:val="0"/>
            <w:vAlign w:val="center"/>
          </w:tcPr>
          <w:p w14:paraId="6F7DEE7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15A2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581" w:type="dxa"/>
            <w:noWrap w:val="0"/>
            <w:vAlign w:val="center"/>
          </w:tcPr>
          <w:p w14:paraId="3A58690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52</w:t>
            </w:r>
          </w:p>
        </w:tc>
        <w:tc>
          <w:tcPr>
            <w:tcW w:w="2038" w:type="dxa"/>
            <w:noWrap w:val="0"/>
            <w:vAlign w:val="center"/>
          </w:tcPr>
          <w:p w14:paraId="1382620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1,2,4-三甲苯</w:t>
            </w:r>
          </w:p>
        </w:tc>
        <w:tc>
          <w:tcPr>
            <w:tcW w:w="2700" w:type="dxa"/>
            <w:noWrap w:val="0"/>
            <w:vAlign w:val="center"/>
          </w:tcPr>
          <w:p w14:paraId="43F8694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1,2,4-Trimethylbenzene</w:t>
            </w:r>
          </w:p>
        </w:tc>
        <w:tc>
          <w:tcPr>
            <w:tcW w:w="1162" w:type="dxa"/>
            <w:noWrap w:val="0"/>
            <w:vAlign w:val="center"/>
          </w:tcPr>
          <w:p w14:paraId="0DCF11E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95-63-6</w:t>
            </w:r>
          </w:p>
        </w:tc>
        <w:tc>
          <w:tcPr>
            <w:tcW w:w="1025" w:type="dxa"/>
            <w:noWrap w:val="0"/>
            <w:vAlign w:val="center"/>
          </w:tcPr>
          <w:p w14:paraId="7FE4975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34BC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 w:hRule="atLeast"/>
          <w:jc w:val="center"/>
        </w:trPr>
        <w:tc>
          <w:tcPr>
            <w:tcW w:w="581" w:type="dxa"/>
            <w:noWrap w:val="0"/>
            <w:vAlign w:val="center"/>
          </w:tcPr>
          <w:p w14:paraId="325C722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53</w:t>
            </w:r>
          </w:p>
        </w:tc>
        <w:tc>
          <w:tcPr>
            <w:tcW w:w="2038" w:type="dxa"/>
            <w:noWrap w:val="0"/>
            <w:vAlign w:val="center"/>
          </w:tcPr>
          <w:p w14:paraId="474F412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1,2,3-三甲苯</w:t>
            </w:r>
          </w:p>
        </w:tc>
        <w:tc>
          <w:tcPr>
            <w:tcW w:w="2700" w:type="dxa"/>
            <w:noWrap w:val="0"/>
            <w:vAlign w:val="center"/>
          </w:tcPr>
          <w:p w14:paraId="39D735A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1,2,3-Trimethylbenzene</w:t>
            </w:r>
          </w:p>
        </w:tc>
        <w:tc>
          <w:tcPr>
            <w:tcW w:w="1162" w:type="dxa"/>
            <w:noWrap w:val="0"/>
            <w:vAlign w:val="center"/>
          </w:tcPr>
          <w:p w14:paraId="1211F01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526-73-8</w:t>
            </w:r>
          </w:p>
        </w:tc>
        <w:tc>
          <w:tcPr>
            <w:tcW w:w="1025" w:type="dxa"/>
            <w:noWrap w:val="0"/>
            <w:vAlign w:val="center"/>
          </w:tcPr>
          <w:p w14:paraId="7621E56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3B37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 w:hRule="atLeast"/>
          <w:jc w:val="center"/>
        </w:trPr>
        <w:tc>
          <w:tcPr>
            <w:tcW w:w="581" w:type="dxa"/>
            <w:noWrap w:val="0"/>
            <w:vAlign w:val="center"/>
          </w:tcPr>
          <w:p w14:paraId="125579C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54</w:t>
            </w:r>
          </w:p>
        </w:tc>
        <w:tc>
          <w:tcPr>
            <w:tcW w:w="2038" w:type="dxa"/>
            <w:noWrap w:val="0"/>
            <w:vAlign w:val="center"/>
          </w:tcPr>
          <w:p w14:paraId="61E46AC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1,3-二乙基苯</w:t>
            </w:r>
          </w:p>
        </w:tc>
        <w:tc>
          <w:tcPr>
            <w:tcW w:w="2700" w:type="dxa"/>
            <w:noWrap w:val="0"/>
            <w:vAlign w:val="center"/>
          </w:tcPr>
          <w:p w14:paraId="0A11B2E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m-Diethylbenzene</w:t>
            </w:r>
          </w:p>
        </w:tc>
        <w:tc>
          <w:tcPr>
            <w:tcW w:w="1162" w:type="dxa"/>
            <w:noWrap w:val="0"/>
            <w:vAlign w:val="center"/>
          </w:tcPr>
          <w:p w14:paraId="12A51B3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141-93-5</w:t>
            </w:r>
          </w:p>
        </w:tc>
        <w:tc>
          <w:tcPr>
            <w:tcW w:w="1025" w:type="dxa"/>
            <w:noWrap w:val="0"/>
            <w:vAlign w:val="center"/>
          </w:tcPr>
          <w:p w14:paraId="7A54DD3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2521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 w:hRule="atLeast"/>
          <w:jc w:val="center"/>
        </w:trPr>
        <w:tc>
          <w:tcPr>
            <w:tcW w:w="581" w:type="dxa"/>
            <w:noWrap w:val="0"/>
            <w:vAlign w:val="center"/>
          </w:tcPr>
          <w:p w14:paraId="6F56AE4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55</w:t>
            </w:r>
          </w:p>
        </w:tc>
        <w:tc>
          <w:tcPr>
            <w:tcW w:w="2038" w:type="dxa"/>
            <w:noWrap w:val="0"/>
            <w:vAlign w:val="center"/>
          </w:tcPr>
          <w:p w14:paraId="6D761C4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对二乙苯</w:t>
            </w:r>
          </w:p>
        </w:tc>
        <w:tc>
          <w:tcPr>
            <w:tcW w:w="2700" w:type="dxa"/>
            <w:noWrap w:val="0"/>
            <w:vAlign w:val="center"/>
          </w:tcPr>
          <w:p w14:paraId="7FCB7E9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p-Diethylbenzene</w:t>
            </w:r>
          </w:p>
        </w:tc>
        <w:tc>
          <w:tcPr>
            <w:tcW w:w="1162" w:type="dxa"/>
            <w:noWrap w:val="0"/>
            <w:vAlign w:val="center"/>
          </w:tcPr>
          <w:p w14:paraId="393DF32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105-05-5</w:t>
            </w:r>
          </w:p>
        </w:tc>
        <w:tc>
          <w:tcPr>
            <w:tcW w:w="1025" w:type="dxa"/>
            <w:noWrap w:val="0"/>
            <w:vAlign w:val="center"/>
          </w:tcPr>
          <w:p w14:paraId="35F8B74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145C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81" w:type="dxa"/>
            <w:noWrap w:val="0"/>
            <w:vAlign w:val="center"/>
          </w:tcPr>
          <w:p w14:paraId="514FEBA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56</w:t>
            </w:r>
          </w:p>
        </w:tc>
        <w:tc>
          <w:tcPr>
            <w:tcW w:w="2038" w:type="dxa"/>
            <w:noWrap w:val="0"/>
            <w:vAlign w:val="center"/>
          </w:tcPr>
          <w:p w14:paraId="077C12F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十一烷</w:t>
            </w:r>
          </w:p>
        </w:tc>
        <w:tc>
          <w:tcPr>
            <w:tcW w:w="2700" w:type="dxa"/>
            <w:noWrap w:val="0"/>
            <w:vAlign w:val="center"/>
          </w:tcPr>
          <w:p w14:paraId="5EFB47B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n-Undecane</w:t>
            </w:r>
          </w:p>
        </w:tc>
        <w:tc>
          <w:tcPr>
            <w:tcW w:w="1162" w:type="dxa"/>
            <w:noWrap w:val="0"/>
            <w:vAlign w:val="center"/>
          </w:tcPr>
          <w:p w14:paraId="7D6CB56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1120-21-4</w:t>
            </w:r>
          </w:p>
        </w:tc>
        <w:tc>
          <w:tcPr>
            <w:tcW w:w="1025" w:type="dxa"/>
            <w:noWrap w:val="0"/>
            <w:vAlign w:val="center"/>
          </w:tcPr>
          <w:p w14:paraId="0F998F9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r w14:paraId="364F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 w:hRule="atLeast"/>
          <w:jc w:val="center"/>
        </w:trPr>
        <w:tc>
          <w:tcPr>
            <w:tcW w:w="581" w:type="dxa"/>
            <w:noWrap w:val="0"/>
            <w:vAlign w:val="center"/>
          </w:tcPr>
          <w:p w14:paraId="0B7D955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57</w:t>
            </w:r>
          </w:p>
        </w:tc>
        <w:tc>
          <w:tcPr>
            <w:tcW w:w="2038" w:type="dxa"/>
            <w:noWrap w:val="0"/>
            <w:vAlign w:val="center"/>
          </w:tcPr>
          <w:p w14:paraId="01745BC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十二烷</w:t>
            </w:r>
          </w:p>
        </w:tc>
        <w:tc>
          <w:tcPr>
            <w:tcW w:w="2700" w:type="dxa"/>
            <w:noWrap w:val="0"/>
            <w:vAlign w:val="center"/>
          </w:tcPr>
          <w:p w14:paraId="329E82B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n-Dodecane</w:t>
            </w:r>
          </w:p>
        </w:tc>
        <w:tc>
          <w:tcPr>
            <w:tcW w:w="1162" w:type="dxa"/>
            <w:noWrap w:val="0"/>
            <w:vAlign w:val="center"/>
          </w:tcPr>
          <w:p w14:paraId="1142309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112-40-3</w:t>
            </w:r>
          </w:p>
        </w:tc>
        <w:tc>
          <w:tcPr>
            <w:tcW w:w="1025" w:type="dxa"/>
            <w:noWrap w:val="0"/>
            <w:vAlign w:val="center"/>
          </w:tcPr>
          <w:p w14:paraId="298B5A4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烷烃</w:t>
            </w:r>
          </w:p>
        </w:tc>
      </w:tr>
    </w:tbl>
    <w:p w14:paraId="49D8CDE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b/>
          <w:color w:val="auto"/>
          <w:sz w:val="24"/>
          <w:szCs w:val="24"/>
          <w:highlight w:val="none"/>
          <w:lang w:eastAsia="zh-Hans"/>
        </w:rPr>
      </w:pPr>
      <w:r>
        <w:rPr>
          <w:rFonts w:hint="eastAsia" w:ascii="宋体" w:hAnsi="宋体" w:eastAsia="宋体" w:cs="宋体"/>
          <w:b/>
          <w:color w:val="auto"/>
          <w:sz w:val="24"/>
          <w:szCs w:val="24"/>
          <w:highlight w:val="none"/>
          <w:lang w:eastAsia="zh-Hans"/>
        </w:rPr>
        <w:t>12种含氧挥发性有机物</w:t>
      </w:r>
    </w:p>
    <w:tbl>
      <w:tblPr>
        <w:tblStyle w:val="41"/>
        <w:tblW w:w="7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2009"/>
        <w:gridCol w:w="2679"/>
        <w:gridCol w:w="1191"/>
        <w:gridCol w:w="992"/>
      </w:tblGrid>
      <w:tr w14:paraId="3F46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95" w:type="dxa"/>
            <w:noWrap w:val="0"/>
            <w:vAlign w:val="center"/>
          </w:tcPr>
          <w:p w14:paraId="627D002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序号</w:t>
            </w:r>
          </w:p>
        </w:tc>
        <w:tc>
          <w:tcPr>
            <w:tcW w:w="2009" w:type="dxa"/>
            <w:noWrap w:val="0"/>
            <w:vAlign w:val="center"/>
          </w:tcPr>
          <w:p w14:paraId="29B42BE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化合物中文名</w:t>
            </w:r>
          </w:p>
        </w:tc>
        <w:tc>
          <w:tcPr>
            <w:tcW w:w="2679" w:type="dxa"/>
            <w:noWrap w:val="0"/>
            <w:vAlign w:val="center"/>
          </w:tcPr>
          <w:p w14:paraId="38EA17A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化合物英文名</w:t>
            </w:r>
          </w:p>
        </w:tc>
        <w:tc>
          <w:tcPr>
            <w:tcW w:w="1191" w:type="dxa"/>
            <w:noWrap w:val="0"/>
            <w:vAlign w:val="center"/>
          </w:tcPr>
          <w:p w14:paraId="76609C0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CAS号</w:t>
            </w:r>
          </w:p>
        </w:tc>
        <w:tc>
          <w:tcPr>
            <w:tcW w:w="992" w:type="dxa"/>
            <w:noWrap w:val="0"/>
            <w:vAlign w:val="center"/>
          </w:tcPr>
          <w:p w14:paraId="0081566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种别</w:t>
            </w:r>
          </w:p>
        </w:tc>
      </w:tr>
      <w:tr w14:paraId="1124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95" w:type="dxa"/>
            <w:noWrap w:val="0"/>
            <w:vAlign w:val="center"/>
          </w:tcPr>
          <w:p w14:paraId="5FF9767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w:t>
            </w:r>
          </w:p>
        </w:tc>
        <w:tc>
          <w:tcPr>
            <w:tcW w:w="2009" w:type="dxa"/>
            <w:noWrap w:val="0"/>
            <w:vAlign w:val="center"/>
          </w:tcPr>
          <w:p w14:paraId="596A149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乙醛</w:t>
            </w:r>
          </w:p>
        </w:tc>
        <w:tc>
          <w:tcPr>
            <w:tcW w:w="2679" w:type="dxa"/>
            <w:noWrap w:val="0"/>
            <w:vAlign w:val="center"/>
          </w:tcPr>
          <w:p w14:paraId="1CBB6CF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Acetaldehyde</w:t>
            </w:r>
          </w:p>
        </w:tc>
        <w:tc>
          <w:tcPr>
            <w:tcW w:w="1191" w:type="dxa"/>
            <w:noWrap w:val="0"/>
            <w:vAlign w:val="center"/>
          </w:tcPr>
          <w:p w14:paraId="69305BD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75-07-0</w:t>
            </w:r>
          </w:p>
        </w:tc>
        <w:tc>
          <w:tcPr>
            <w:tcW w:w="992" w:type="dxa"/>
            <w:noWrap w:val="0"/>
            <w:vAlign w:val="center"/>
          </w:tcPr>
          <w:p w14:paraId="6BB53C0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7456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95" w:type="dxa"/>
            <w:noWrap w:val="0"/>
            <w:vAlign w:val="center"/>
          </w:tcPr>
          <w:p w14:paraId="71154A5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w:t>
            </w:r>
          </w:p>
        </w:tc>
        <w:tc>
          <w:tcPr>
            <w:tcW w:w="2009" w:type="dxa"/>
            <w:noWrap w:val="0"/>
            <w:vAlign w:val="center"/>
          </w:tcPr>
          <w:p w14:paraId="78C8BE8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丙烯醛</w:t>
            </w:r>
          </w:p>
        </w:tc>
        <w:tc>
          <w:tcPr>
            <w:tcW w:w="2679" w:type="dxa"/>
            <w:noWrap w:val="0"/>
            <w:vAlign w:val="center"/>
          </w:tcPr>
          <w:p w14:paraId="07BAFF0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Acrolein</w:t>
            </w:r>
          </w:p>
        </w:tc>
        <w:tc>
          <w:tcPr>
            <w:tcW w:w="1191" w:type="dxa"/>
            <w:noWrap w:val="0"/>
            <w:vAlign w:val="center"/>
          </w:tcPr>
          <w:p w14:paraId="55A676A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107-02-8</w:t>
            </w:r>
          </w:p>
        </w:tc>
        <w:tc>
          <w:tcPr>
            <w:tcW w:w="992" w:type="dxa"/>
            <w:noWrap w:val="0"/>
            <w:vAlign w:val="center"/>
          </w:tcPr>
          <w:p w14:paraId="08C6938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0493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95" w:type="dxa"/>
            <w:noWrap w:val="0"/>
            <w:vAlign w:val="center"/>
          </w:tcPr>
          <w:p w14:paraId="6457C77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w:t>
            </w:r>
          </w:p>
        </w:tc>
        <w:tc>
          <w:tcPr>
            <w:tcW w:w="2009" w:type="dxa"/>
            <w:noWrap w:val="0"/>
            <w:vAlign w:val="center"/>
          </w:tcPr>
          <w:p w14:paraId="2BCA5FC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丙酮</w:t>
            </w:r>
          </w:p>
        </w:tc>
        <w:tc>
          <w:tcPr>
            <w:tcW w:w="2679" w:type="dxa"/>
            <w:noWrap w:val="0"/>
            <w:vAlign w:val="center"/>
          </w:tcPr>
          <w:p w14:paraId="790C92E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Acetone</w:t>
            </w:r>
          </w:p>
        </w:tc>
        <w:tc>
          <w:tcPr>
            <w:tcW w:w="1191" w:type="dxa"/>
            <w:noWrap w:val="0"/>
            <w:vAlign w:val="center"/>
          </w:tcPr>
          <w:p w14:paraId="247A31A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67-64-1</w:t>
            </w:r>
          </w:p>
        </w:tc>
        <w:tc>
          <w:tcPr>
            <w:tcW w:w="992" w:type="dxa"/>
            <w:noWrap w:val="0"/>
            <w:vAlign w:val="center"/>
          </w:tcPr>
          <w:p w14:paraId="05EE828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17AA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95" w:type="dxa"/>
            <w:noWrap w:val="0"/>
            <w:vAlign w:val="center"/>
          </w:tcPr>
          <w:p w14:paraId="07FBE34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w:t>
            </w:r>
          </w:p>
        </w:tc>
        <w:tc>
          <w:tcPr>
            <w:tcW w:w="2009" w:type="dxa"/>
            <w:noWrap w:val="0"/>
            <w:vAlign w:val="center"/>
          </w:tcPr>
          <w:p w14:paraId="706B8EA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丙醛</w:t>
            </w:r>
          </w:p>
        </w:tc>
        <w:tc>
          <w:tcPr>
            <w:tcW w:w="2679" w:type="dxa"/>
            <w:noWrap w:val="0"/>
            <w:vAlign w:val="center"/>
          </w:tcPr>
          <w:p w14:paraId="18C5EEF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Propionaldehyde</w:t>
            </w:r>
          </w:p>
        </w:tc>
        <w:tc>
          <w:tcPr>
            <w:tcW w:w="1191" w:type="dxa"/>
            <w:noWrap w:val="0"/>
            <w:vAlign w:val="center"/>
          </w:tcPr>
          <w:p w14:paraId="518EE65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123-38-6</w:t>
            </w:r>
          </w:p>
        </w:tc>
        <w:tc>
          <w:tcPr>
            <w:tcW w:w="992" w:type="dxa"/>
            <w:noWrap w:val="0"/>
            <w:vAlign w:val="center"/>
          </w:tcPr>
          <w:p w14:paraId="29CA0DA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77E8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95" w:type="dxa"/>
            <w:noWrap w:val="0"/>
            <w:vAlign w:val="center"/>
          </w:tcPr>
          <w:p w14:paraId="6777C85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w:t>
            </w:r>
          </w:p>
        </w:tc>
        <w:tc>
          <w:tcPr>
            <w:tcW w:w="2009" w:type="dxa"/>
            <w:noWrap w:val="0"/>
            <w:vAlign w:val="center"/>
          </w:tcPr>
          <w:p w14:paraId="0448F98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丁烯醛</w:t>
            </w:r>
          </w:p>
        </w:tc>
        <w:tc>
          <w:tcPr>
            <w:tcW w:w="2679" w:type="dxa"/>
            <w:noWrap w:val="0"/>
            <w:vAlign w:val="center"/>
          </w:tcPr>
          <w:p w14:paraId="61F1212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Crotonaldehyde</w:t>
            </w:r>
          </w:p>
        </w:tc>
        <w:tc>
          <w:tcPr>
            <w:tcW w:w="1191" w:type="dxa"/>
            <w:noWrap w:val="0"/>
            <w:vAlign w:val="center"/>
          </w:tcPr>
          <w:p w14:paraId="3582846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123-73-9</w:t>
            </w:r>
          </w:p>
        </w:tc>
        <w:tc>
          <w:tcPr>
            <w:tcW w:w="992" w:type="dxa"/>
            <w:noWrap w:val="0"/>
            <w:vAlign w:val="center"/>
          </w:tcPr>
          <w:p w14:paraId="6D38519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4937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95" w:type="dxa"/>
            <w:noWrap w:val="0"/>
            <w:vAlign w:val="center"/>
          </w:tcPr>
          <w:p w14:paraId="170AE18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6</w:t>
            </w:r>
          </w:p>
        </w:tc>
        <w:tc>
          <w:tcPr>
            <w:tcW w:w="2009" w:type="dxa"/>
            <w:noWrap w:val="0"/>
            <w:vAlign w:val="center"/>
          </w:tcPr>
          <w:p w14:paraId="7D49D98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甲基丙烯醛</w:t>
            </w:r>
          </w:p>
        </w:tc>
        <w:tc>
          <w:tcPr>
            <w:tcW w:w="2679" w:type="dxa"/>
            <w:noWrap w:val="0"/>
            <w:vAlign w:val="center"/>
          </w:tcPr>
          <w:p w14:paraId="1A0BD5E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methacrylaldehyde</w:t>
            </w:r>
          </w:p>
        </w:tc>
        <w:tc>
          <w:tcPr>
            <w:tcW w:w="1191" w:type="dxa"/>
            <w:noWrap w:val="0"/>
            <w:vAlign w:val="center"/>
          </w:tcPr>
          <w:p w14:paraId="399132C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78-85-3</w:t>
            </w:r>
          </w:p>
        </w:tc>
        <w:tc>
          <w:tcPr>
            <w:tcW w:w="992" w:type="dxa"/>
            <w:noWrap w:val="0"/>
            <w:vAlign w:val="center"/>
          </w:tcPr>
          <w:p w14:paraId="05F6B5F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583C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95" w:type="dxa"/>
            <w:noWrap w:val="0"/>
            <w:vAlign w:val="center"/>
          </w:tcPr>
          <w:p w14:paraId="3796139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w:t>
            </w:r>
          </w:p>
        </w:tc>
        <w:tc>
          <w:tcPr>
            <w:tcW w:w="2009" w:type="dxa"/>
            <w:noWrap w:val="0"/>
            <w:vAlign w:val="center"/>
          </w:tcPr>
          <w:p w14:paraId="57397A2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2-丁酮</w:t>
            </w:r>
          </w:p>
        </w:tc>
        <w:tc>
          <w:tcPr>
            <w:tcW w:w="2679" w:type="dxa"/>
            <w:noWrap w:val="0"/>
            <w:vAlign w:val="center"/>
          </w:tcPr>
          <w:p w14:paraId="3437D85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2-Butanone</w:t>
            </w:r>
          </w:p>
        </w:tc>
        <w:tc>
          <w:tcPr>
            <w:tcW w:w="1191" w:type="dxa"/>
            <w:noWrap w:val="0"/>
            <w:vAlign w:val="center"/>
          </w:tcPr>
          <w:p w14:paraId="7CD9AF4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78-93-3</w:t>
            </w:r>
          </w:p>
        </w:tc>
        <w:tc>
          <w:tcPr>
            <w:tcW w:w="992" w:type="dxa"/>
            <w:noWrap w:val="0"/>
            <w:vAlign w:val="center"/>
          </w:tcPr>
          <w:p w14:paraId="7555DA8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2DFE0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95" w:type="dxa"/>
            <w:noWrap w:val="0"/>
            <w:vAlign w:val="center"/>
          </w:tcPr>
          <w:p w14:paraId="53E930B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8</w:t>
            </w:r>
          </w:p>
        </w:tc>
        <w:tc>
          <w:tcPr>
            <w:tcW w:w="2009" w:type="dxa"/>
            <w:noWrap w:val="0"/>
            <w:vAlign w:val="center"/>
          </w:tcPr>
          <w:p w14:paraId="1642871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正丁醛</w:t>
            </w:r>
          </w:p>
        </w:tc>
        <w:tc>
          <w:tcPr>
            <w:tcW w:w="2679" w:type="dxa"/>
            <w:noWrap w:val="0"/>
            <w:vAlign w:val="center"/>
          </w:tcPr>
          <w:p w14:paraId="423B872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Butyraldehyde</w:t>
            </w:r>
          </w:p>
        </w:tc>
        <w:tc>
          <w:tcPr>
            <w:tcW w:w="1191" w:type="dxa"/>
            <w:noWrap w:val="0"/>
            <w:vAlign w:val="center"/>
          </w:tcPr>
          <w:p w14:paraId="32621AC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123-72-8</w:t>
            </w:r>
          </w:p>
        </w:tc>
        <w:tc>
          <w:tcPr>
            <w:tcW w:w="992" w:type="dxa"/>
            <w:noWrap w:val="0"/>
            <w:vAlign w:val="center"/>
          </w:tcPr>
          <w:p w14:paraId="249A6CF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6ED7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95" w:type="dxa"/>
            <w:noWrap w:val="0"/>
            <w:vAlign w:val="center"/>
          </w:tcPr>
          <w:p w14:paraId="136845C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9</w:t>
            </w:r>
          </w:p>
        </w:tc>
        <w:tc>
          <w:tcPr>
            <w:tcW w:w="2009" w:type="dxa"/>
            <w:noWrap w:val="0"/>
            <w:vAlign w:val="center"/>
          </w:tcPr>
          <w:p w14:paraId="4E4E923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苯甲醛</w:t>
            </w:r>
          </w:p>
        </w:tc>
        <w:tc>
          <w:tcPr>
            <w:tcW w:w="2679" w:type="dxa"/>
            <w:noWrap w:val="0"/>
            <w:vAlign w:val="center"/>
          </w:tcPr>
          <w:p w14:paraId="673F8E9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Benzaldehyde</w:t>
            </w:r>
          </w:p>
        </w:tc>
        <w:tc>
          <w:tcPr>
            <w:tcW w:w="1191" w:type="dxa"/>
            <w:noWrap w:val="0"/>
            <w:vAlign w:val="center"/>
          </w:tcPr>
          <w:p w14:paraId="438340D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100-52-7</w:t>
            </w:r>
          </w:p>
        </w:tc>
        <w:tc>
          <w:tcPr>
            <w:tcW w:w="992" w:type="dxa"/>
            <w:noWrap w:val="0"/>
            <w:vAlign w:val="center"/>
          </w:tcPr>
          <w:p w14:paraId="2C7A66A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7FA0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95" w:type="dxa"/>
            <w:noWrap w:val="0"/>
            <w:vAlign w:val="center"/>
          </w:tcPr>
          <w:p w14:paraId="0E13167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w:t>
            </w:r>
          </w:p>
        </w:tc>
        <w:tc>
          <w:tcPr>
            <w:tcW w:w="2009" w:type="dxa"/>
            <w:noWrap w:val="0"/>
            <w:vAlign w:val="center"/>
          </w:tcPr>
          <w:p w14:paraId="0C41F95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戊醛</w:t>
            </w:r>
          </w:p>
        </w:tc>
        <w:tc>
          <w:tcPr>
            <w:tcW w:w="2679" w:type="dxa"/>
            <w:noWrap w:val="0"/>
            <w:vAlign w:val="center"/>
          </w:tcPr>
          <w:p w14:paraId="6A81AC2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Pentanal</w:t>
            </w:r>
          </w:p>
        </w:tc>
        <w:tc>
          <w:tcPr>
            <w:tcW w:w="1191" w:type="dxa"/>
            <w:noWrap w:val="0"/>
            <w:vAlign w:val="center"/>
          </w:tcPr>
          <w:p w14:paraId="30D78F0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110-62-3</w:t>
            </w:r>
          </w:p>
        </w:tc>
        <w:tc>
          <w:tcPr>
            <w:tcW w:w="992" w:type="dxa"/>
            <w:noWrap w:val="0"/>
            <w:vAlign w:val="center"/>
          </w:tcPr>
          <w:p w14:paraId="69551D2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6F579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jc w:val="center"/>
        </w:trPr>
        <w:tc>
          <w:tcPr>
            <w:tcW w:w="595" w:type="dxa"/>
            <w:noWrap w:val="0"/>
            <w:vAlign w:val="center"/>
          </w:tcPr>
          <w:p w14:paraId="6C30AD7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w:t>
            </w:r>
          </w:p>
        </w:tc>
        <w:tc>
          <w:tcPr>
            <w:tcW w:w="2009" w:type="dxa"/>
            <w:noWrap w:val="0"/>
            <w:vAlign w:val="center"/>
          </w:tcPr>
          <w:p w14:paraId="1C2968C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间甲基苯甲醛</w:t>
            </w:r>
          </w:p>
        </w:tc>
        <w:tc>
          <w:tcPr>
            <w:tcW w:w="2679" w:type="dxa"/>
            <w:noWrap w:val="0"/>
            <w:vAlign w:val="center"/>
          </w:tcPr>
          <w:p w14:paraId="110BC54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m-Tolualdehyde</w:t>
            </w:r>
          </w:p>
        </w:tc>
        <w:tc>
          <w:tcPr>
            <w:tcW w:w="1191" w:type="dxa"/>
            <w:noWrap w:val="0"/>
            <w:vAlign w:val="center"/>
          </w:tcPr>
          <w:p w14:paraId="5C9DF77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620-23-5</w:t>
            </w:r>
          </w:p>
        </w:tc>
        <w:tc>
          <w:tcPr>
            <w:tcW w:w="992" w:type="dxa"/>
            <w:noWrap w:val="0"/>
            <w:vAlign w:val="center"/>
          </w:tcPr>
          <w:p w14:paraId="19A9C21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31B1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 w:hRule="atLeast"/>
          <w:jc w:val="center"/>
        </w:trPr>
        <w:tc>
          <w:tcPr>
            <w:tcW w:w="595" w:type="dxa"/>
            <w:noWrap w:val="0"/>
            <w:vAlign w:val="center"/>
          </w:tcPr>
          <w:p w14:paraId="1CF502C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w:t>
            </w:r>
          </w:p>
        </w:tc>
        <w:tc>
          <w:tcPr>
            <w:tcW w:w="2009" w:type="dxa"/>
            <w:noWrap w:val="0"/>
            <w:vAlign w:val="center"/>
          </w:tcPr>
          <w:p w14:paraId="1C7787B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己醛</w:t>
            </w:r>
          </w:p>
        </w:tc>
        <w:tc>
          <w:tcPr>
            <w:tcW w:w="2679" w:type="dxa"/>
            <w:noWrap w:val="0"/>
            <w:vAlign w:val="center"/>
          </w:tcPr>
          <w:p w14:paraId="2C60F95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Hexaldehyde</w:t>
            </w:r>
          </w:p>
        </w:tc>
        <w:tc>
          <w:tcPr>
            <w:tcW w:w="1191" w:type="dxa"/>
            <w:noWrap w:val="0"/>
            <w:vAlign w:val="center"/>
          </w:tcPr>
          <w:p w14:paraId="2B36D21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66-25-1</w:t>
            </w:r>
          </w:p>
        </w:tc>
        <w:tc>
          <w:tcPr>
            <w:tcW w:w="992" w:type="dxa"/>
            <w:noWrap w:val="0"/>
            <w:vAlign w:val="center"/>
          </w:tcPr>
          <w:p w14:paraId="35598AC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bl>
    <w:p w14:paraId="7D778CB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b/>
          <w:color w:val="auto"/>
          <w:sz w:val="24"/>
          <w:szCs w:val="24"/>
          <w:highlight w:val="none"/>
          <w:lang w:eastAsia="zh-Hans"/>
        </w:rPr>
      </w:pPr>
      <w:r>
        <w:rPr>
          <w:rFonts w:hint="eastAsia" w:ascii="宋体" w:hAnsi="宋体" w:eastAsia="宋体" w:cs="宋体"/>
          <w:b/>
          <w:color w:val="auto"/>
          <w:sz w:val="24"/>
          <w:szCs w:val="24"/>
          <w:highlight w:val="none"/>
          <w:lang w:eastAsia="zh-Hans"/>
        </w:rPr>
        <w:t>其他挥发性有机物</w:t>
      </w:r>
    </w:p>
    <w:tbl>
      <w:tblPr>
        <w:tblStyle w:val="41"/>
        <w:tblW w:w="7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
        <w:gridCol w:w="2004"/>
        <w:gridCol w:w="2686"/>
        <w:gridCol w:w="1163"/>
        <w:gridCol w:w="1014"/>
      </w:tblGrid>
      <w:tr w14:paraId="1419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581" w:type="dxa"/>
            <w:noWrap w:val="0"/>
            <w:vAlign w:val="center"/>
          </w:tcPr>
          <w:p w14:paraId="0F8DBB0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序号</w:t>
            </w:r>
          </w:p>
        </w:tc>
        <w:tc>
          <w:tcPr>
            <w:tcW w:w="2004" w:type="dxa"/>
            <w:noWrap w:val="0"/>
            <w:vAlign w:val="center"/>
          </w:tcPr>
          <w:p w14:paraId="0702AE9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化合物中文名</w:t>
            </w:r>
          </w:p>
        </w:tc>
        <w:tc>
          <w:tcPr>
            <w:tcW w:w="2686" w:type="dxa"/>
            <w:noWrap w:val="0"/>
            <w:vAlign w:val="center"/>
          </w:tcPr>
          <w:p w14:paraId="0FD4CDA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化合物英文名</w:t>
            </w:r>
          </w:p>
        </w:tc>
        <w:tc>
          <w:tcPr>
            <w:tcW w:w="1163" w:type="dxa"/>
            <w:noWrap w:val="0"/>
            <w:vAlign w:val="center"/>
          </w:tcPr>
          <w:p w14:paraId="7FF7DCC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CAS号</w:t>
            </w:r>
          </w:p>
        </w:tc>
        <w:tc>
          <w:tcPr>
            <w:tcW w:w="1014" w:type="dxa"/>
            <w:noWrap w:val="0"/>
            <w:vAlign w:val="center"/>
          </w:tcPr>
          <w:p w14:paraId="39476A2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种别</w:t>
            </w:r>
          </w:p>
        </w:tc>
      </w:tr>
      <w:tr w14:paraId="69E0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 w:hRule="atLeast"/>
          <w:jc w:val="center"/>
        </w:trPr>
        <w:tc>
          <w:tcPr>
            <w:tcW w:w="581" w:type="dxa"/>
            <w:noWrap w:val="0"/>
            <w:vAlign w:val="center"/>
          </w:tcPr>
          <w:p w14:paraId="7617666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w:t>
            </w:r>
          </w:p>
        </w:tc>
        <w:tc>
          <w:tcPr>
            <w:tcW w:w="2004" w:type="dxa"/>
            <w:noWrap w:val="0"/>
            <w:vAlign w:val="center"/>
          </w:tcPr>
          <w:p w14:paraId="24A2E99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二氟二氯甲烷</w:t>
            </w:r>
          </w:p>
        </w:tc>
        <w:tc>
          <w:tcPr>
            <w:tcW w:w="2686" w:type="dxa"/>
            <w:noWrap w:val="0"/>
            <w:vAlign w:val="center"/>
          </w:tcPr>
          <w:p w14:paraId="4CCDB8A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Dichlorodifluoromethane</w:t>
            </w:r>
          </w:p>
        </w:tc>
        <w:tc>
          <w:tcPr>
            <w:tcW w:w="1163" w:type="dxa"/>
            <w:noWrap w:val="0"/>
            <w:vAlign w:val="center"/>
          </w:tcPr>
          <w:p w14:paraId="7F5429F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75-71-8</w:t>
            </w:r>
          </w:p>
        </w:tc>
        <w:tc>
          <w:tcPr>
            <w:tcW w:w="1014" w:type="dxa"/>
            <w:noWrap w:val="0"/>
            <w:vAlign w:val="center"/>
          </w:tcPr>
          <w:p w14:paraId="1B22719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0AA0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581" w:type="dxa"/>
            <w:noWrap w:val="0"/>
            <w:vAlign w:val="center"/>
          </w:tcPr>
          <w:p w14:paraId="4B25CC2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w:t>
            </w:r>
          </w:p>
        </w:tc>
        <w:tc>
          <w:tcPr>
            <w:tcW w:w="2004" w:type="dxa"/>
            <w:noWrap w:val="0"/>
            <w:vAlign w:val="center"/>
          </w:tcPr>
          <w:p w14:paraId="7A3EE23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一氯甲烷</w:t>
            </w:r>
          </w:p>
        </w:tc>
        <w:tc>
          <w:tcPr>
            <w:tcW w:w="2686" w:type="dxa"/>
            <w:noWrap w:val="0"/>
            <w:vAlign w:val="center"/>
          </w:tcPr>
          <w:p w14:paraId="6FF0A46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Chloromethane</w:t>
            </w:r>
          </w:p>
        </w:tc>
        <w:tc>
          <w:tcPr>
            <w:tcW w:w="1163" w:type="dxa"/>
            <w:noWrap w:val="0"/>
            <w:vAlign w:val="center"/>
          </w:tcPr>
          <w:p w14:paraId="13ED55B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74-87-3</w:t>
            </w:r>
          </w:p>
        </w:tc>
        <w:tc>
          <w:tcPr>
            <w:tcW w:w="1014" w:type="dxa"/>
            <w:noWrap w:val="0"/>
            <w:vAlign w:val="center"/>
          </w:tcPr>
          <w:p w14:paraId="33681A4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3022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581" w:type="dxa"/>
            <w:noWrap w:val="0"/>
            <w:vAlign w:val="center"/>
          </w:tcPr>
          <w:p w14:paraId="134BC1F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w:t>
            </w:r>
          </w:p>
        </w:tc>
        <w:tc>
          <w:tcPr>
            <w:tcW w:w="2004" w:type="dxa"/>
            <w:noWrap w:val="0"/>
            <w:vAlign w:val="center"/>
          </w:tcPr>
          <w:p w14:paraId="7F674EA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1,1,2,2-四氟-1,2-二氯乙烷</w:t>
            </w:r>
          </w:p>
        </w:tc>
        <w:tc>
          <w:tcPr>
            <w:tcW w:w="2686" w:type="dxa"/>
            <w:noWrap w:val="0"/>
            <w:vAlign w:val="center"/>
          </w:tcPr>
          <w:p w14:paraId="25D3CC1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1,2-Dichlorotetrafluoroethane</w:t>
            </w:r>
          </w:p>
        </w:tc>
        <w:tc>
          <w:tcPr>
            <w:tcW w:w="1163" w:type="dxa"/>
            <w:noWrap w:val="0"/>
            <w:vAlign w:val="center"/>
          </w:tcPr>
          <w:p w14:paraId="59253B9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76-14-2</w:t>
            </w:r>
          </w:p>
        </w:tc>
        <w:tc>
          <w:tcPr>
            <w:tcW w:w="1014" w:type="dxa"/>
            <w:noWrap w:val="0"/>
            <w:vAlign w:val="center"/>
          </w:tcPr>
          <w:p w14:paraId="70CA9B8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18EA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81" w:type="dxa"/>
            <w:noWrap w:val="0"/>
            <w:vAlign w:val="center"/>
          </w:tcPr>
          <w:p w14:paraId="6B2C4DA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w:t>
            </w:r>
          </w:p>
        </w:tc>
        <w:tc>
          <w:tcPr>
            <w:tcW w:w="2004" w:type="dxa"/>
            <w:noWrap w:val="0"/>
            <w:vAlign w:val="center"/>
          </w:tcPr>
          <w:p w14:paraId="2061394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氯乙烯</w:t>
            </w:r>
          </w:p>
        </w:tc>
        <w:tc>
          <w:tcPr>
            <w:tcW w:w="2686" w:type="dxa"/>
            <w:noWrap w:val="0"/>
            <w:vAlign w:val="center"/>
          </w:tcPr>
          <w:p w14:paraId="239C1F5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Vinyl chloride</w:t>
            </w:r>
          </w:p>
        </w:tc>
        <w:tc>
          <w:tcPr>
            <w:tcW w:w="1163" w:type="dxa"/>
            <w:noWrap w:val="0"/>
            <w:vAlign w:val="center"/>
          </w:tcPr>
          <w:p w14:paraId="1FA58C9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75-01-4</w:t>
            </w:r>
          </w:p>
        </w:tc>
        <w:tc>
          <w:tcPr>
            <w:tcW w:w="1014" w:type="dxa"/>
            <w:noWrap w:val="0"/>
            <w:vAlign w:val="center"/>
          </w:tcPr>
          <w:p w14:paraId="31F0BD9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5AB9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 w:hRule="atLeast"/>
          <w:jc w:val="center"/>
        </w:trPr>
        <w:tc>
          <w:tcPr>
            <w:tcW w:w="581" w:type="dxa"/>
            <w:noWrap w:val="0"/>
            <w:vAlign w:val="center"/>
          </w:tcPr>
          <w:p w14:paraId="25AACA5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w:t>
            </w:r>
          </w:p>
        </w:tc>
        <w:tc>
          <w:tcPr>
            <w:tcW w:w="2004" w:type="dxa"/>
            <w:noWrap w:val="0"/>
            <w:vAlign w:val="center"/>
          </w:tcPr>
          <w:p w14:paraId="0ABE92F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丁二烯</w:t>
            </w:r>
          </w:p>
        </w:tc>
        <w:tc>
          <w:tcPr>
            <w:tcW w:w="2686" w:type="dxa"/>
            <w:noWrap w:val="0"/>
            <w:vAlign w:val="center"/>
          </w:tcPr>
          <w:p w14:paraId="3B61841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1,3-Butadiene</w:t>
            </w:r>
          </w:p>
        </w:tc>
        <w:tc>
          <w:tcPr>
            <w:tcW w:w="1163" w:type="dxa"/>
            <w:noWrap w:val="0"/>
            <w:vAlign w:val="center"/>
          </w:tcPr>
          <w:p w14:paraId="53356E5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106-99-0</w:t>
            </w:r>
          </w:p>
        </w:tc>
        <w:tc>
          <w:tcPr>
            <w:tcW w:w="1014" w:type="dxa"/>
            <w:noWrap w:val="0"/>
            <w:vAlign w:val="center"/>
          </w:tcPr>
          <w:p w14:paraId="4F627AC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烯烃</w:t>
            </w:r>
          </w:p>
        </w:tc>
      </w:tr>
      <w:tr w14:paraId="7BBD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 w:hRule="atLeast"/>
          <w:jc w:val="center"/>
        </w:trPr>
        <w:tc>
          <w:tcPr>
            <w:tcW w:w="581" w:type="dxa"/>
            <w:noWrap w:val="0"/>
            <w:vAlign w:val="center"/>
          </w:tcPr>
          <w:p w14:paraId="16979AD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6</w:t>
            </w:r>
          </w:p>
        </w:tc>
        <w:tc>
          <w:tcPr>
            <w:tcW w:w="2004" w:type="dxa"/>
            <w:noWrap w:val="0"/>
            <w:vAlign w:val="center"/>
          </w:tcPr>
          <w:p w14:paraId="71E06FB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一溴甲烷</w:t>
            </w:r>
          </w:p>
        </w:tc>
        <w:tc>
          <w:tcPr>
            <w:tcW w:w="2686" w:type="dxa"/>
            <w:noWrap w:val="0"/>
            <w:vAlign w:val="center"/>
          </w:tcPr>
          <w:p w14:paraId="52A41C7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Bromomethane</w:t>
            </w:r>
          </w:p>
        </w:tc>
        <w:tc>
          <w:tcPr>
            <w:tcW w:w="1163" w:type="dxa"/>
            <w:noWrap w:val="0"/>
            <w:vAlign w:val="center"/>
          </w:tcPr>
          <w:p w14:paraId="59D7F67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74-83-9</w:t>
            </w:r>
          </w:p>
        </w:tc>
        <w:tc>
          <w:tcPr>
            <w:tcW w:w="1014" w:type="dxa"/>
            <w:noWrap w:val="0"/>
            <w:vAlign w:val="center"/>
          </w:tcPr>
          <w:p w14:paraId="77D2EF1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144E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581" w:type="dxa"/>
            <w:noWrap w:val="0"/>
            <w:vAlign w:val="center"/>
          </w:tcPr>
          <w:p w14:paraId="0F20229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w:t>
            </w:r>
          </w:p>
        </w:tc>
        <w:tc>
          <w:tcPr>
            <w:tcW w:w="2004" w:type="dxa"/>
            <w:noWrap w:val="0"/>
            <w:vAlign w:val="center"/>
          </w:tcPr>
          <w:p w14:paraId="35F9BEE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氯乙烷</w:t>
            </w:r>
          </w:p>
        </w:tc>
        <w:tc>
          <w:tcPr>
            <w:tcW w:w="2686" w:type="dxa"/>
            <w:noWrap w:val="0"/>
            <w:vAlign w:val="center"/>
          </w:tcPr>
          <w:p w14:paraId="365C14E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Chlorethane</w:t>
            </w:r>
          </w:p>
        </w:tc>
        <w:tc>
          <w:tcPr>
            <w:tcW w:w="1163" w:type="dxa"/>
            <w:noWrap w:val="0"/>
            <w:vAlign w:val="center"/>
          </w:tcPr>
          <w:p w14:paraId="5D6261C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75-00-3</w:t>
            </w:r>
          </w:p>
        </w:tc>
        <w:tc>
          <w:tcPr>
            <w:tcW w:w="1014" w:type="dxa"/>
            <w:noWrap w:val="0"/>
            <w:vAlign w:val="center"/>
          </w:tcPr>
          <w:p w14:paraId="71C188E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7D62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jc w:val="center"/>
        </w:trPr>
        <w:tc>
          <w:tcPr>
            <w:tcW w:w="581" w:type="dxa"/>
            <w:noWrap w:val="0"/>
            <w:vAlign w:val="center"/>
          </w:tcPr>
          <w:p w14:paraId="38CFE84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8</w:t>
            </w:r>
          </w:p>
        </w:tc>
        <w:tc>
          <w:tcPr>
            <w:tcW w:w="2004" w:type="dxa"/>
            <w:noWrap w:val="0"/>
            <w:vAlign w:val="center"/>
          </w:tcPr>
          <w:p w14:paraId="08BA5C2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一氟三氯甲烷</w:t>
            </w:r>
          </w:p>
        </w:tc>
        <w:tc>
          <w:tcPr>
            <w:tcW w:w="2686" w:type="dxa"/>
            <w:noWrap w:val="0"/>
            <w:vAlign w:val="center"/>
          </w:tcPr>
          <w:p w14:paraId="5EC8DC8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Trichlorofluoromethane</w:t>
            </w:r>
          </w:p>
        </w:tc>
        <w:tc>
          <w:tcPr>
            <w:tcW w:w="1163" w:type="dxa"/>
            <w:noWrap w:val="0"/>
            <w:vAlign w:val="center"/>
          </w:tcPr>
          <w:p w14:paraId="2CCA11A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75-69-4</w:t>
            </w:r>
          </w:p>
        </w:tc>
        <w:tc>
          <w:tcPr>
            <w:tcW w:w="1014" w:type="dxa"/>
            <w:noWrap w:val="0"/>
            <w:vAlign w:val="center"/>
          </w:tcPr>
          <w:p w14:paraId="569ED0B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2864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581" w:type="dxa"/>
            <w:noWrap w:val="0"/>
            <w:vAlign w:val="center"/>
          </w:tcPr>
          <w:p w14:paraId="45DF0A4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9</w:t>
            </w:r>
          </w:p>
        </w:tc>
        <w:tc>
          <w:tcPr>
            <w:tcW w:w="2004" w:type="dxa"/>
            <w:noWrap w:val="0"/>
            <w:vAlign w:val="center"/>
          </w:tcPr>
          <w:p w14:paraId="3DA5A03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1,1-二氯乙烯</w:t>
            </w:r>
          </w:p>
        </w:tc>
        <w:tc>
          <w:tcPr>
            <w:tcW w:w="2686" w:type="dxa"/>
            <w:noWrap w:val="0"/>
            <w:vAlign w:val="center"/>
          </w:tcPr>
          <w:p w14:paraId="06A8BC9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1,1-Dichlorethene</w:t>
            </w:r>
          </w:p>
        </w:tc>
        <w:tc>
          <w:tcPr>
            <w:tcW w:w="1163" w:type="dxa"/>
            <w:noWrap w:val="0"/>
            <w:vAlign w:val="center"/>
          </w:tcPr>
          <w:p w14:paraId="48BF81A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75-35-4</w:t>
            </w:r>
          </w:p>
        </w:tc>
        <w:tc>
          <w:tcPr>
            <w:tcW w:w="1014" w:type="dxa"/>
            <w:noWrap w:val="0"/>
            <w:vAlign w:val="center"/>
          </w:tcPr>
          <w:p w14:paraId="07F1289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5E4B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81" w:type="dxa"/>
            <w:noWrap w:val="0"/>
            <w:vAlign w:val="center"/>
          </w:tcPr>
          <w:p w14:paraId="24F6648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w:t>
            </w:r>
          </w:p>
        </w:tc>
        <w:tc>
          <w:tcPr>
            <w:tcW w:w="2004" w:type="dxa"/>
            <w:noWrap w:val="0"/>
            <w:vAlign w:val="center"/>
          </w:tcPr>
          <w:p w14:paraId="5AA68FD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1,2,2-三氟-1,1,2-三氯乙烷</w:t>
            </w:r>
          </w:p>
        </w:tc>
        <w:tc>
          <w:tcPr>
            <w:tcW w:w="2686" w:type="dxa"/>
            <w:noWrap w:val="0"/>
            <w:vAlign w:val="center"/>
          </w:tcPr>
          <w:p w14:paraId="5AC2635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1,1,2-trichloro-1,2,2-trifluoroethane</w:t>
            </w:r>
          </w:p>
        </w:tc>
        <w:tc>
          <w:tcPr>
            <w:tcW w:w="1163" w:type="dxa"/>
            <w:noWrap w:val="0"/>
            <w:vAlign w:val="center"/>
          </w:tcPr>
          <w:p w14:paraId="4A93A49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76-13-1</w:t>
            </w:r>
          </w:p>
        </w:tc>
        <w:tc>
          <w:tcPr>
            <w:tcW w:w="1014" w:type="dxa"/>
            <w:noWrap w:val="0"/>
            <w:vAlign w:val="center"/>
          </w:tcPr>
          <w:p w14:paraId="638DF56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03C3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581" w:type="dxa"/>
            <w:noWrap w:val="0"/>
            <w:vAlign w:val="center"/>
          </w:tcPr>
          <w:p w14:paraId="0A81526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w:t>
            </w:r>
          </w:p>
        </w:tc>
        <w:tc>
          <w:tcPr>
            <w:tcW w:w="2004" w:type="dxa"/>
            <w:noWrap w:val="0"/>
            <w:vAlign w:val="center"/>
          </w:tcPr>
          <w:p w14:paraId="5567917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二硫化碳</w:t>
            </w:r>
          </w:p>
        </w:tc>
        <w:tc>
          <w:tcPr>
            <w:tcW w:w="2686" w:type="dxa"/>
            <w:noWrap w:val="0"/>
            <w:vAlign w:val="center"/>
          </w:tcPr>
          <w:p w14:paraId="2F283C9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Carbon disulfide</w:t>
            </w:r>
          </w:p>
        </w:tc>
        <w:tc>
          <w:tcPr>
            <w:tcW w:w="1163" w:type="dxa"/>
            <w:noWrap w:val="0"/>
            <w:vAlign w:val="center"/>
          </w:tcPr>
          <w:p w14:paraId="00BAB40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75-15-0</w:t>
            </w:r>
          </w:p>
        </w:tc>
        <w:tc>
          <w:tcPr>
            <w:tcW w:w="1014" w:type="dxa"/>
            <w:noWrap w:val="0"/>
            <w:vAlign w:val="center"/>
          </w:tcPr>
          <w:p w14:paraId="33D0BD6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有机硫</w:t>
            </w:r>
          </w:p>
        </w:tc>
      </w:tr>
      <w:tr w14:paraId="1C26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jc w:val="center"/>
        </w:trPr>
        <w:tc>
          <w:tcPr>
            <w:tcW w:w="581" w:type="dxa"/>
            <w:noWrap w:val="0"/>
            <w:vAlign w:val="center"/>
          </w:tcPr>
          <w:p w14:paraId="4BA3C65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w:t>
            </w:r>
          </w:p>
        </w:tc>
        <w:tc>
          <w:tcPr>
            <w:tcW w:w="2004" w:type="dxa"/>
            <w:noWrap w:val="0"/>
            <w:vAlign w:val="center"/>
          </w:tcPr>
          <w:p w14:paraId="4216200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二氯甲烷</w:t>
            </w:r>
          </w:p>
        </w:tc>
        <w:tc>
          <w:tcPr>
            <w:tcW w:w="2686" w:type="dxa"/>
            <w:noWrap w:val="0"/>
            <w:vAlign w:val="center"/>
          </w:tcPr>
          <w:p w14:paraId="701538D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Methylene chloride</w:t>
            </w:r>
          </w:p>
        </w:tc>
        <w:tc>
          <w:tcPr>
            <w:tcW w:w="1163" w:type="dxa"/>
            <w:noWrap w:val="0"/>
            <w:vAlign w:val="center"/>
          </w:tcPr>
          <w:p w14:paraId="3177135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75-09-2</w:t>
            </w:r>
          </w:p>
        </w:tc>
        <w:tc>
          <w:tcPr>
            <w:tcW w:w="1014" w:type="dxa"/>
            <w:noWrap w:val="0"/>
            <w:vAlign w:val="center"/>
          </w:tcPr>
          <w:p w14:paraId="39A3CFC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2A12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jc w:val="center"/>
        </w:trPr>
        <w:tc>
          <w:tcPr>
            <w:tcW w:w="581" w:type="dxa"/>
            <w:noWrap w:val="0"/>
            <w:vAlign w:val="center"/>
          </w:tcPr>
          <w:p w14:paraId="6710148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13</w:t>
            </w:r>
          </w:p>
        </w:tc>
        <w:tc>
          <w:tcPr>
            <w:tcW w:w="2004" w:type="dxa"/>
            <w:noWrap w:val="0"/>
            <w:vAlign w:val="center"/>
          </w:tcPr>
          <w:p w14:paraId="5CE28C2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异丙醇</w:t>
            </w:r>
          </w:p>
        </w:tc>
        <w:tc>
          <w:tcPr>
            <w:tcW w:w="2686" w:type="dxa"/>
            <w:noWrap w:val="0"/>
            <w:vAlign w:val="center"/>
          </w:tcPr>
          <w:p w14:paraId="471712D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2-Propanol</w:t>
            </w:r>
          </w:p>
        </w:tc>
        <w:tc>
          <w:tcPr>
            <w:tcW w:w="1163" w:type="dxa"/>
            <w:noWrap w:val="0"/>
            <w:vAlign w:val="center"/>
          </w:tcPr>
          <w:p w14:paraId="280D364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67-63-0</w:t>
            </w:r>
          </w:p>
        </w:tc>
        <w:tc>
          <w:tcPr>
            <w:tcW w:w="1014" w:type="dxa"/>
            <w:noWrap w:val="0"/>
            <w:vAlign w:val="center"/>
          </w:tcPr>
          <w:p w14:paraId="6B767BC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395D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 w:hRule="atLeast"/>
          <w:jc w:val="center"/>
        </w:trPr>
        <w:tc>
          <w:tcPr>
            <w:tcW w:w="581" w:type="dxa"/>
            <w:noWrap w:val="0"/>
            <w:vAlign w:val="center"/>
          </w:tcPr>
          <w:p w14:paraId="0C9CA03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14</w:t>
            </w:r>
          </w:p>
        </w:tc>
        <w:tc>
          <w:tcPr>
            <w:tcW w:w="2004" w:type="dxa"/>
            <w:noWrap w:val="0"/>
            <w:vAlign w:val="center"/>
          </w:tcPr>
          <w:p w14:paraId="6B8AF2B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顺1,2-二氯乙烯</w:t>
            </w:r>
          </w:p>
        </w:tc>
        <w:tc>
          <w:tcPr>
            <w:tcW w:w="2686" w:type="dxa"/>
            <w:noWrap w:val="0"/>
            <w:vAlign w:val="center"/>
          </w:tcPr>
          <w:p w14:paraId="35FE9C4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Ethylene, 1,2-dichloro-, (Z)-</w:t>
            </w:r>
          </w:p>
        </w:tc>
        <w:tc>
          <w:tcPr>
            <w:tcW w:w="1163" w:type="dxa"/>
            <w:noWrap w:val="0"/>
            <w:vAlign w:val="center"/>
          </w:tcPr>
          <w:p w14:paraId="0040693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156-59-2</w:t>
            </w:r>
          </w:p>
        </w:tc>
        <w:tc>
          <w:tcPr>
            <w:tcW w:w="1014" w:type="dxa"/>
            <w:noWrap w:val="0"/>
            <w:vAlign w:val="center"/>
          </w:tcPr>
          <w:p w14:paraId="321BB4A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4934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81" w:type="dxa"/>
            <w:noWrap w:val="0"/>
            <w:vAlign w:val="center"/>
          </w:tcPr>
          <w:p w14:paraId="7C83395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15</w:t>
            </w:r>
          </w:p>
        </w:tc>
        <w:tc>
          <w:tcPr>
            <w:tcW w:w="2004" w:type="dxa"/>
            <w:noWrap w:val="0"/>
            <w:vAlign w:val="center"/>
          </w:tcPr>
          <w:p w14:paraId="7EF1523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甲基叔丁基醚</w:t>
            </w:r>
          </w:p>
        </w:tc>
        <w:tc>
          <w:tcPr>
            <w:tcW w:w="2686" w:type="dxa"/>
            <w:noWrap w:val="0"/>
            <w:vAlign w:val="center"/>
          </w:tcPr>
          <w:p w14:paraId="2372FDE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2-Methoxy-2-methylpropane</w:t>
            </w:r>
          </w:p>
        </w:tc>
        <w:tc>
          <w:tcPr>
            <w:tcW w:w="1163" w:type="dxa"/>
            <w:noWrap w:val="0"/>
            <w:vAlign w:val="center"/>
          </w:tcPr>
          <w:p w14:paraId="442BFF1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1634-04-4</w:t>
            </w:r>
          </w:p>
        </w:tc>
        <w:tc>
          <w:tcPr>
            <w:tcW w:w="1014" w:type="dxa"/>
            <w:noWrap w:val="0"/>
            <w:vAlign w:val="center"/>
          </w:tcPr>
          <w:p w14:paraId="6C55FA2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7999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 w:hRule="atLeast"/>
          <w:jc w:val="center"/>
        </w:trPr>
        <w:tc>
          <w:tcPr>
            <w:tcW w:w="581" w:type="dxa"/>
            <w:noWrap w:val="0"/>
            <w:vAlign w:val="center"/>
          </w:tcPr>
          <w:p w14:paraId="07ECE59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16</w:t>
            </w:r>
          </w:p>
        </w:tc>
        <w:tc>
          <w:tcPr>
            <w:tcW w:w="2004" w:type="dxa"/>
            <w:noWrap w:val="0"/>
            <w:vAlign w:val="center"/>
          </w:tcPr>
          <w:p w14:paraId="584A53A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1,1-二氯乙烷</w:t>
            </w:r>
          </w:p>
        </w:tc>
        <w:tc>
          <w:tcPr>
            <w:tcW w:w="2686" w:type="dxa"/>
            <w:noWrap w:val="0"/>
            <w:vAlign w:val="center"/>
          </w:tcPr>
          <w:p w14:paraId="22DF234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1,1-Dichloroethane</w:t>
            </w:r>
          </w:p>
        </w:tc>
        <w:tc>
          <w:tcPr>
            <w:tcW w:w="1163" w:type="dxa"/>
            <w:noWrap w:val="0"/>
            <w:vAlign w:val="center"/>
          </w:tcPr>
          <w:p w14:paraId="6FE2AB2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75-34-3</w:t>
            </w:r>
          </w:p>
        </w:tc>
        <w:tc>
          <w:tcPr>
            <w:tcW w:w="1014" w:type="dxa"/>
            <w:noWrap w:val="0"/>
            <w:vAlign w:val="center"/>
          </w:tcPr>
          <w:p w14:paraId="7033E68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4644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 w:hRule="atLeast"/>
          <w:jc w:val="center"/>
        </w:trPr>
        <w:tc>
          <w:tcPr>
            <w:tcW w:w="581" w:type="dxa"/>
            <w:noWrap w:val="0"/>
            <w:vAlign w:val="center"/>
          </w:tcPr>
          <w:p w14:paraId="1CC326E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17</w:t>
            </w:r>
          </w:p>
        </w:tc>
        <w:tc>
          <w:tcPr>
            <w:tcW w:w="2004" w:type="dxa"/>
            <w:noWrap w:val="0"/>
            <w:vAlign w:val="center"/>
          </w:tcPr>
          <w:p w14:paraId="6D485BB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乙酸乙烯酯</w:t>
            </w:r>
          </w:p>
        </w:tc>
        <w:tc>
          <w:tcPr>
            <w:tcW w:w="2686" w:type="dxa"/>
            <w:noWrap w:val="0"/>
            <w:vAlign w:val="center"/>
          </w:tcPr>
          <w:p w14:paraId="487E5D5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Vinyl acetate</w:t>
            </w:r>
          </w:p>
        </w:tc>
        <w:tc>
          <w:tcPr>
            <w:tcW w:w="1163" w:type="dxa"/>
            <w:noWrap w:val="0"/>
            <w:vAlign w:val="center"/>
          </w:tcPr>
          <w:p w14:paraId="7E70B38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108-05-4</w:t>
            </w:r>
          </w:p>
        </w:tc>
        <w:tc>
          <w:tcPr>
            <w:tcW w:w="1014" w:type="dxa"/>
            <w:noWrap w:val="0"/>
            <w:vAlign w:val="center"/>
          </w:tcPr>
          <w:p w14:paraId="73FC725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1A3A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8" w:hRule="atLeast"/>
          <w:jc w:val="center"/>
        </w:trPr>
        <w:tc>
          <w:tcPr>
            <w:tcW w:w="581" w:type="dxa"/>
            <w:noWrap w:val="0"/>
            <w:vAlign w:val="center"/>
          </w:tcPr>
          <w:p w14:paraId="5696250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18</w:t>
            </w:r>
          </w:p>
        </w:tc>
        <w:tc>
          <w:tcPr>
            <w:tcW w:w="2004" w:type="dxa"/>
            <w:noWrap w:val="0"/>
            <w:vAlign w:val="center"/>
          </w:tcPr>
          <w:p w14:paraId="34D55C7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反1,2-二氯乙烯</w:t>
            </w:r>
          </w:p>
        </w:tc>
        <w:tc>
          <w:tcPr>
            <w:tcW w:w="2686" w:type="dxa"/>
            <w:noWrap w:val="0"/>
            <w:vAlign w:val="center"/>
          </w:tcPr>
          <w:p w14:paraId="482B95A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trans-1,2-Dichloroethene</w:t>
            </w:r>
          </w:p>
        </w:tc>
        <w:tc>
          <w:tcPr>
            <w:tcW w:w="1163" w:type="dxa"/>
            <w:noWrap w:val="0"/>
            <w:vAlign w:val="center"/>
          </w:tcPr>
          <w:p w14:paraId="0D4D39E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156-60-5</w:t>
            </w:r>
          </w:p>
        </w:tc>
        <w:tc>
          <w:tcPr>
            <w:tcW w:w="1014" w:type="dxa"/>
            <w:noWrap w:val="0"/>
            <w:vAlign w:val="center"/>
          </w:tcPr>
          <w:p w14:paraId="134C899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1A5C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 w:hRule="atLeast"/>
          <w:jc w:val="center"/>
        </w:trPr>
        <w:tc>
          <w:tcPr>
            <w:tcW w:w="581" w:type="dxa"/>
            <w:noWrap w:val="0"/>
            <w:vAlign w:val="center"/>
          </w:tcPr>
          <w:p w14:paraId="14AB6E4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19</w:t>
            </w:r>
          </w:p>
        </w:tc>
        <w:tc>
          <w:tcPr>
            <w:tcW w:w="2004" w:type="dxa"/>
            <w:noWrap w:val="0"/>
            <w:vAlign w:val="center"/>
          </w:tcPr>
          <w:p w14:paraId="5956102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乙酸乙酯</w:t>
            </w:r>
          </w:p>
        </w:tc>
        <w:tc>
          <w:tcPr>
            <w:tcW w:w="2686" w:type="dxa"/>
            <w:noWrap w:val="0"/>
            <w:vAlign w:val="center"/>
          </w:tcPr>
          <w:p w14:paraId="69310D6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Ethyl acetate</w:t>
            </w:r>
          </w:p>
        </w:tc>
        <w:tc>
          <w:tcPr>
            <w:tcW w:w="1163" w:type="dxa"/>
            <w:noWrap w:val="0"/>
            <w:vAlign w:val="center"/>
          </w:tcPr>
          <w:p w14:paraId="0949F2C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141-78-6</w:t>
            </w:r>
          </w:p>
        </w:tc>
        <w:tc>
          <w:tcPr>
            <w:tcW w:w="1014" w:type="dxa"/>
            <w:noWrap w:val="0"/>
            <w:vAlign w:val="center"/>
          </w:tcPr>
          <w:p w14:paraId="2874E0E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56FA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 w:hRule="atLeast"/>
          <w:jc w:val="center"/>
        </w:trPr>
        <w:tc>
          <w:tcPr>
            <w:tcW w:w="581" w:type="dxa"/>
            <w:noWrap w:val="0"/>
            <w:vAlign w:val="center"/>
          </w:tcPr>
          <w:p w14:paraId="6C6887D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20</w:t>
            </w:r>
          </w:p>
        </w:tc>
        <w:tc>
          <w:tcPr>
            <w:tcW w:w="2004" w:type="dxa"/>
            <w:noWrap w:val="0"/>
            <w:vAlign w:val="center"/>
          </w:tcPr>
          <w:p w14:paraId="5EE02C6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三氯甲烷</w:t>
            </w:r>
          </w:p>
        </w:tc>
        <w:tc>
          <w:tcPr>
            <w:tcW w:w="2686" w:type="dxa"/>
            <w:noWrap w:val="0"/>
            <w:vAlign w:val="center"/>
          </w:tcPr>
          <w:p w14:paraId="788C105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Trichloromethane</w:t>
            </w:r>
          </w:p>
        </w:tc>
        <w:tc>
          <w:tcPr>
            <w:tcW w:w="1163" w:type="dxa"/>
            <w:noWrap w:val="0"/>
            <w:vAlign w:val="center"/>
          </w:tcPr>
          <w:p w14:paraId="263AB38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67-66-3</w:t>
            </w:r>
          </w:p>
        </w:tc>
        <w:tc>
          <w:tcPr>
            <w:tcW w:w="1014" w:type="dxa"/>
            <w:noWrap w:val="0"/>
            <w:vAlign w:val="center"/>
          </w:tcPr>
          <w:p w14:paraId="23C2FB4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3FB0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581" w:type="dxa"/>
            <w:noWrap w:val="0"/>
            <w:vAlign w:val="center"/>
          </w:tcPr>
          <w:p w14:paraId="584A48D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21</w:t>
            </w:r>
          </w:p>
        </w:tc>
        <w:tc>
          <w:tcPr>
            <w:tcW w:w="2004" w:type="dxa"/>
            <w:noWrap w:val="0"/>
            <w:vAlign w:val="center"/>
          </w:tcPr>
          <w:p w14:paraId="49584FF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四氢呋喃</w:t>
            </w:r>
          </w:p>
        </w:tc>
        <w:tc>
          <w:tcPr>
            <w:tcW w:w="2686" w:type="dxa"/>
            <w:noWrap w:val="0"/>
            <w:vAlign w:val="center"/>
          </w:tcPr>
          <w:p w14:paraId="290B1B3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Tetrahydrofuran</w:t>
            </w:r>
          </w:p>
        </w:tc>
        <w:tc>
          <w:tcPr>
            <w:tcW w:w="1163" w:type="dxa"/>
            <w:noWrap w:val="0"/>
            <w:vAlign w:val="center"/>
          </w:tcPr>
          <w:p w14:paraId="781346B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109-99-9</w:t>
            </w:r>
          </w:p>
        </w:tc>
        <w:tc>
          <w:tcPr>
            <w:tcW w:w="1014" w:type="dxa"/>
            <w:noWrap w:val="0"/>
            <w:vAlign w:val="center"/>
          </w:tcPr>
          <w:p w14:paraId="34B63A5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5C48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581" w:type="dxa"/>
            <w:noWrap w:val="0"/>
            <w:vAlign w:val="center"/>
          </w:tcPr>
          <w:p w14:paraId="4252377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22</w:t>
            </w:r>
          </w:p>
        </w:tc>
        <w:tc>
          <w:tcPr>
            <w:tcW w:w="2004" w:type="dxa"/>
            <w:noWrap w:val="0"/>
            <w:vAlign w:val="center"/>
          </w:tcPr>
          <w:p w14:paraId="789F085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1,1,1-三氯乙烷</w:t>
            </w:r>
          </w:p>
        </w:tc>
        <w:tc>
          <w:tcPr>
            <w:tcW w:w="2686" w:type="dxa"/>
            <w:noWrap w:val="0"/>
            <w:vAlign w:val="center"/>
          </w:tcPr>
          <w:p w14:paraId="0C8A25E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1,1,1-Trichloroethane</w:t>
            </w:r>
          </w:p>
        </w:tc>
        <w:tc>
          <w:tcPr>
            <w:tcW w:w="1163" w:type="dxa"/>
            <w:noWrap w:val="0"/>
            <w:vAlign w:val="center"/>
          </w:tcPr>
          <w:p w14:paraId="7219D15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71-55-6</w:t>
            </w:r>
          </w:p>
        </w:tc>
        <w:tc>
          <w:tcPr>
            <w:tcW w:w="1014" w:type="dxa"/>
            <w:noWrap w:val="0"/>
            <w:vAlign w:val="center"/>
          </w:tcPr>
          <w:p w14:paraId="63F8581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3294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jc w:val="center"/>
        </w:trPr>
        <w:tc>
          <w:tcPr>
            <w:tcW w:w="581" w:type="dxa"/>
            <w:noWrap w:val="0"/>
            <w:vAlign w:val="center"/>
          </w:tcPr>
          <w:p w14:paraId="2B867A9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23</w:t>
            </w:r>
          </w:p>
        </w:tc>
        <w:tc>
          <w:tcPr>
            <w:tcW w:w="2004" w:type="dxa"/>
            <w:noWrap w:val="0"/>
            <w:vAlign w:val="center"/>
          </w:tcPr>
          <w:p w14:paraId="4D7F493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1,2-二氯乙烷</w:t>
            </w:r>
          </w:p>
        </w:tc>
        <w:tc>
          <w:tcPr>
            <w:tcW w:w="2686" w:type="dxa"/>
            <w:noWrap w:val="0"/>
            <w:vAlign w:val="center"/>
          </w:tcPr>
          <w:p w14:paraId="10412BA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1,2-Dichloroethane</w:t>
            </w:r>
          </w:p>
        </w:tc>
        <w:tc>
          <w:tcPr>
            <w:tcW w:w="1163" w:type="dxa"/>
            <w:noWrap w:val="0"/>
            <w:vAlign w:val="center"/>
          </w:tcPr>
          <w:p w14:paraId="6B8630A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107-06-2</w:t>
            </w:r>
          </w:p>
        </w:tc>
        <w:tc>
          <w:tcPr>
            <w:tcW w:w="1014" w:type="dxa"/>
            <w:noWrap w:val="0"/>
            <w:vAlign w:val="center"/>
          </w:tcPr>
          <w:p w14:paraId="7794EAD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6114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581" w:type="dxa"/>
            <w:noWrap w:val="0"/>
            <w:vAlign w:val="center"/>
          </w:tcPr>
          <w:p w14:paraId="63B9DB7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24</w:t>
            </w:r>
          </w:p>
        </w:tc>
        <w:tc>
          <w:tcPr>
            <w:tcW w:w="2004" w:type="dxa"/>
            <w:noWrap w:val="0"/>
            <w:vAlign w:val="center"/>
          </w:tcPr>
          <w:p w14:paraId="6AB81C6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四氯化碳</w:t>
            </w:r>
          </w:p>
        </w:tc>
        <w:tc>
          <w:tcPr>
            <w:tcW w:w="2686" w:type="dxa"/>
            <w:noWrap w:val="0"/>
            <w:vAlign w:val="center"/>
          </w:tcPr>
          <w:p w14:paraId="5660058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Carbon tetrachloride</w:t>
            </w:r>
          </w:p>
        </w:tc>
        <w:tc>
          <w:tcPr>
            <w:tcW w:w="1163" w:type="dxa"/>
            <w:noWrap w:val="0"/>
            <w:vAlign w:val="center"/>
          </w:tcPr>
          <w:p w14:paraId="47D6899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56-23-5</w:t>
            </w:r>
          </w:p>
        </w:tc>
        <w:tc>
          <w:tcPr>
            <w:tcW w:w="1014" w:type="dxa"/>
            <w:noWrap w:val="0"/>
            <w:vAlign w:val="center"/>
          </w:tcPr>
          <w:p w14:paraId="68932BA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7666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81" w:type="dxa"/>
            <w:noWrap w:val="0"/>
            <w:vAlign w:val="center"/>
          </w:tcPr>
          <w:p w14:paraId="4154E91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25</w:t>
            </w:r>
          </w:p>
        </w:tc>
        <w:tc>
          <w:tcPr>
            <w:tcW w:w="2004" w:type="dxa"/>
            <w:noWrap w:val="0"/>
            <w:vAlign w:val="center"/>
          </w:tcPr>
          <w:p w14:paraId="69EE27E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三氯乙烯</w:t>
            </w:r>
          </w:p>
        </w:tc>
        <w:tc>
          <w:tcPr>
            <w:tcW w:w="2686" w:type="dxa"/>
            <w:noWrap w:val="0"/>
            <w:vAlign w:val="center"/>
          </w:tcPr>
          <w:p w14:paraId="0175E88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Trichloroethene</w:t>
            </w:r>
          </w:p>
        </w:tc>
        <w:tc>
          <w:tcPr>
            <w:tcW w:w="1163" w:type="dxa"/>
            <w:noWrap w:val="0"/>
            <w:vAlign w:val="center"/>
          </w:tcPr>
          <w:p w14:paraId="567C842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79-01-6</w:t>
            </w:r>
          </w:p>
        </w:tc>
        <w:tc>
          <w:tcPr>
            <w:tcW w:w="1014" w:type="dxa"/>
            <w:noWrap w:val="0"/>
            <w:vAlign w:val="center"/>
          </w:tcPr>
          <w:p w14:paraId="200AB72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4678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581" w:type="dxa"/>
            <w:noWrap w:val="0"/>
            <w:vAlign w:val="center"/>
          </w:tcPr>
          <w:p w14:paraId="64B0887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26</w:t>
            </w:r>
          </w:p>
        </w:tc>
        <w:tc>
          <w:tcPr>
            <w:tcW w:w="2004" w:type="dxa"/>
            <w:noWrap w:val="0"/>
            <w:vAlign w:val="center"/>
          </w:tcPr>
          <w:p w14:paraId="1FEC622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1,2-二氯丙烷</w:t>
            </w:r>
          </w:p>
        </w:tc>
        <w:tc>
          <w:tcPr>
            <w:tcW w:w="2686" w:type="dxa"/>
            <w:noWrap w:val="0"/>
            <w:vAlign w:val="center"/>
          </w:tcPr>
          <w:p w14:paraId="5470DBF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1,2-Dichloropropane</w:t>
            </w:r>
          </w:p>
        </w:tc>
        <w:tc>
          <w:tcPr>
            <w:tcW w:w="1163" w:type="dxa"/>
            <w:noWrap w:val="0"/>
            <w:vAlign w:val="center"/>
          </w:tcPr>
          <w:p w14:paraId="502BD15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78-87-5</w:t>
            </w:r>
          </w:p>
        </w:tc>
        <w:tc>
          <w:tcPr>
            <w:tcW w:w="1014" w:type="dxa"/>
            <w:noWrap w:val="0"/>
            <w:vAlign w:val="center"/>
          </w:tcPr>
          <w:p w14:paraId="233AB6E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5A97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jc w:val="center"/>
        </w:trPr>
        <w:tc>
          <w:tcPr>
            <w:tcW w:w="581" w:type="dxa"/>
            <w:noWrap w:val="0"/>
            <w:vAlign w:val="center"/>
          </w:tcPr>
          <w:p w14:paraId="567BC3E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27</w:t>
            </w:r>
          </w:p>
        </w:tc>
        <w:tc>
          <w:tcPr>
            <w:tcW w:w="2004" w:type="dxa"/>
            <w:noWrap w:val="0"/>
            <w:vAlign w:val="center"/>
          </w:tcPr>
          <w:p w14:paraId="392792B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甲基丙烯酸甲酯</w:t>
            </w:r>
          </w:p>
        </w:tc>
        <w:tc>
          <w:tcPr>
            <w:tcW w:w="2686" w:type="dxa"/>
            <w:noWrap w:val="0"/>
            <w:vAlign w:val="center"/>
          </w:tcPr>
          <w:p w14:paraId="131F900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Methyl methacrylate</w:t>
            </w:r>
          </w:p>
        </w:tc>
        <w:tc>
          <w:tcPr>
            <w:tcW w:w="1163" w:type="dxa"/>
            <w:noWrap w:val="0"/>
            <w:vAlign w:val="center"/>
          </w:tcPr>
          <w:p w14:paraId="28596DE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80-62-6</w:t>
            </w:r>
          </w:p>
        </w:tc>
        <w:tc>
          <w:tcPr>
            <w:tcW w:w="1014" w:type="dxa"/>
            <w:noWrap w:val="0"/>
            <w:vAlign w:val="center"/>
          </w:tcPr>
          <w:p w14:paraId="2166CAF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24F0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 w:hRule="atLeast"/>
          <w:jc w:val="center"/>
        </w:trPr>
        <w:tc>
          <w:tcPr>
            <w:tcW w:w="581" w:type="dxa"/>
            <w:noWrap w:val="0"/>
            <w:vAlign w:val="center"/>
          </w:tcPr>
          <w:p w14:paraId="24C239E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28</w:t>
            </w:r>
          </w:p>
        </w:tc>
        <w:tc>
          <w:tcPr>
            <w:tcW w:w="2004" w:type="dxa"/>
            <w:noWrap w:val="0"/>
            <w:vAlign w:val="center"/>
          </w:tcPr>
          <w:p w14:paraId="6AC8E93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1,4-二氧六环</w:t>
            </w:r>
          </w:p>
        </w:tc>
        <w:tc>
          <w:tcPr>
            <w:tcW w:w="2686" w:type="dxa"/>
            <w:noWrap w:val="0"/>
            <w:vAlign w:val="center"/>
          </w:tcPr>
          <w:p w14:paraId="70D1DE7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1,4-Dioxane</w:t>
            </w:r>
          </w:p>
        </w:tc>
        <w:tc>
          <w:tcPr>
            <w:tcW w:w="1163" w:type="dxa"/>
            <w:noWrap w:val="0"/>
            <w:vAlign w:val="center"/>
          </w:tcPr>
          <w:p w14:paraId="2AA6CB2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123-91-1</w:t>
            </w:r>
          </w:p>
        </w:tc>
        <w:tc>
          <w:tcPr>
            <w:tcW w:w="1014" w:type="dxa"/>
            <w:noWrap w:val="0"/>
            <w:vAlign w:val="center"/>
          </w:tcPr>
          <w:p w14:paraId="3F48BEE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7807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581" w:type="dxa"/>
            <w:noWrap w:val="0"/>
            <w:vAlign w:val="center"/>
          </w:tcPr>
          <w:p w14:paraId="6E5F07D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29</w:t>
            </w:r>
          </w:p>
        </w:tc>
        <w:tc>
          <w:tcPr>
            <w:tcW w:w="2004" w:type="dxa"/>
            <w:noWrap w:val="0"/>
            <w:vAlign w:val="center"/>
          </w:tcPr>
          <w:p w14:paraId="27F635F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一溴二氯甲烷</w:t>
            </w:r>
          </w:p>
        </w:tc>
        <w:tc>
          <w:tcPr>
            <w:tcW w:w="2686" w:type="dxa"/>
            <w:noWrap w:val="0"/>
            <w:vAlign w:val="center"/>
          </w:tcPr>
          <w:p w14:paraId="2B4C4D7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Bromodichloromethane</w:t>
            </w:r>
          </w:p>
        </w:tc>
        <w:tc>
          <w:tcPr>
            <w:tcW w:w="1163" w:type="dxa"/>
            <w:noWrap w:val="0"/>
            <w:vAlign w:val="center"/>
          </w:tcPr>
          <w:p w14:paraId="1E0CE27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75-27-4</w:t>
            </w:r>
          </w:p>
        </w:tc>
        <w:tc>
          <w:tcPr>
            <w:tcW w:w="1014" w:type="dxa"/>
            <w:noWrap w:val="0"/>
            <w:vAlign w:val="center"/>
          </w:tcPr>
          <w:p w14:paraId="5E32DAA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3B11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581" w:type="dxa"/>
            <w:noWrap w:val="0"/>
            <w:vAlign w:val="center"/>
          </w:tcPr>
          <w:p w14:paraId="6371B39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30</w:t>
            </w:r>
          </w:p>
        </w:tc>
        <w:tc>
          <w:tcPr>
            <w:tcW w:w="2004" w:type="dxa"/>
            <w:noWrap w:val="0"/>
            <w:vAlign w:val="center"/>
          </w:tcPr>
          <w:p w14:paraId="657D4BB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顺式-1,3-二氯-1-丙烯</w:t>
            </w:r>
          </w:p>
        </w:tc>
        <w:tc>
          <w:tcPr>
            <w:tcW w:w="2686" w:type="dxa"/>
            <w:noWrap w:val="0"/>
            <w:vAlign w:val="center"/>
          </w:tcPr>
          <w:p w14:paraId="5484510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cis-1,3-Dichloropropene</w:t>
            </w:r>
          </w:p>
        </w:tc>
        <w:tc>
          <w:tcPr>
            <w:tcW w:w="1163" w:type="dxa"/>
            <w:noWrap w:val="0"/>
            <w:vAlign w:val="center"/>
          </w:tcPr>
          <w:p w14:paraId="7A9BE4D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10061-01-5</w:t>
            </w:r>
          </w:p>
        </w:tc>
        <w:tc>
          <w:tcPr>
            <w:tcW w:w="1014" w:type="dxa"/>
            <w:noWrap w:val="0"/>
            <w:vAlign w:val="center"/>
          </w:tcPr>
          <w:p w14:paraId="25D9394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4C803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 w:hRule="atLeast"/>
          <w:jc w:val="center"/>
        </w:trPr>
        <w:tc>
          <w:tcPr>
            <w:tcW w:w="581" w:type="dxa"/>
            <w:noWrap w:val="0"/>
            <w:vAlign w:val="center"/>
          </w:tcPr>
          <w:p w14:paraId="71AB8B7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31</w:t>
            </w:r>
          </w:p>
        </w:tc>
        <w:tc>
          <w:tcPr>
            <w:tcW w:w="2004" w:type="dxa"/>
            <w:noWrap w:val="0"/>
            <w:vAlign w:val="center"/>
          </w:tcPr>
          <w:p w14:paraId="6CD6D9E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4-甲基-2-戊酮</w:t>
            </w:r>
          </w:p>
        </w:tc>
        <w:tc>
          <w:tcPr>
            <w:tcW w:w="2686" w:type="dxa"/>
            <w:noWrap w:val="0"/>
            <w:vAlign w:val="center"/>
          </w:tcPr>
          <w:p w14:paraId="63B066A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4-Methyl-2-pentanone</w:t>
            </w:r>
          </w:p>
        </w:tc>
        <w:tc>
          <w:tcPr>
            <w:tcW w:w="1163" w:type="dxa"/>
            <w:noWrap w:val="0"/>
            <w:vAlign w:val="center"/>
          </w:tcPr>
          <w:p w14:paraId="44CF018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108-10-1</w:t>
            </w:r>
          </w:p>
        </w:tc>
        <w:tc>
          <w:tcPr>
            <w:tcW w:w="1014" w:type="dxa"/>
            <w:noWrap w:val="0"/>
            <w:vAlign w:val="center"/>
          </w:tcPr>
          <w:p w14:paraId="1B7B81E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3F00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581" w:type="dxa"/>
            <w:noWrap w:val="0"/>
            <w:vAlign w:val="center"/>
          </w:tcPr>
          <w:p w14:paraId="2C1EBE1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32</w:t>
            </w:r>
          </w:p>
        </w:tc>
        <w:tc>
          <w:tcPr>
            <w:tcW w:w="2004" w:type="dxa"/>
            <w:noWrap w:val="0"/>
            <w:vAlign w:val="center"/>
          </w:tcPr>
          <w:p w14:paraId="45FB124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反式-1,3-二氯-1-丙烯</w:t>
            </w:r>
          </w:p>
        </w:tc>
        <w:tc>
          <w:tcPr>
            <w:tcW w:w="2686" w:type="dxa"/>
            <w:noWrap w:val="0"/>
            <w:vAlign w:val="center"/>
          </w:tcPr>
          <w:p w14:paraId="14B4CD9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trans-1,3-Dichloropropene</w:t>
            </w:r>
          </w:p>
        </w:tc>
        <w:tc>
          <w:tcPr>
            <w:tcW w:w="1163" w:type="dxa"/>
            <w:noWrap w:val="0"/>
            <w:vAlign w:val="center"/>
          </w:tcPr>
          <w:p w14:paraId="477054D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10061-02-6</w:t>
            </w:r>
          </w:p>
        </w:tc>
        <w:tc>
          <w:tcPr>
            <w:tcW w:w="1014" w:type="dxa"/>
            <w:noWrap w:val="0"/>
            <w:vAlign w:val="center"/>
          </w:tcPr>
          <w:p w14:paraId="0F5233C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0752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581" w:type="dxa"/>
            <w:noWrap w:val="0"/>
            <w:vAlign w:val="center"/>
          </w:tcPr>
          <w:p w14:paraId="75C1EFE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33</w:t>
            </w:r>
          </w:p>
        </w:tc>
        <w:tc>
          <w:tcPr>
            <w:tcW w:w="2004" w:type="dxa"/>
            <w:noWrap w:val="0"/>
            <w:vAlign w:val="center"/>
          </w:tcPr>
          <w:p w14:paraId="3495146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1,1,2-三氯乙烷</w:t>
            </w:r>
          </w:p>
        </w:tc>
        <w:tc>
          <w:tcPr>
            <w:tcW w:w="2686" w:type="dxa"/>
            <w:noWrap w:val="0"/>
            <w:vAlign w:val="center"/>
          </w:tcPr>
          <w:p w14:paraId="710D3F9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1,1,2-Trichloroethane</w:t>
            </w:r>
          </w:p>
        </w:tc>
        <w:tc>
          <w:tcPr>
            <w:tcW w:w="1163" w:type="dxa"/>
            <w:noWrap w:val="0"/>
            <w:vAlign w:val="center"/>
          </w:tcPr>
          <w:p w14:paraId="52358ED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79-00-5</w:t>
            </w:r>
          </w:p>
        </w:tc>
        <w:tc>
          <w:tcPr>
            <w:tcW w:w="1014" w:type="dxa"/>
            <w:noWrap w:val="0"/>
            <w:vAlign w:val="center"/>
          </w:tcPr>
          <w:p w14:paraId="482E8F9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48F9C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581" w:type="dxa"/>
            <w:noWrap w:val="0"/>
            <w:vAlign w:val="center"/>
          </w:tcPr>
          <w:p w14:paraId="0FB0F895">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34</w:t>
            </w:r>
          </w:p>
        </w:tc>
        <w:tc>
          <w:tcPr>
            <w:tcW w:w="2004" w:type="dxa"/>
            <w:noWrap w:val="0"/>
            <w:vAlign w:val="center"/>
          </w:tcPr>
          <w:p w14:paraId="20E18DB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2-己酮</w:t>
            </w:r>
          </w:p>
        </w:tc>
        <w:tc>
          <w:tcPr>
            <w:tcW w:w="2686" w:type="dxa"/>
            <w:noWrap w:val="0"/>
            <w:vAlign w:val="center"/>
          </w:tcPr>
          <w:p w14:paraId="2A70518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2-Hexanone</w:t>
            </w:r>
          </w:p>
        </w:tc>
        <w:tc>
          <w:tcPr>
            <w:tcW w:w="1163" w:type="dxa"/>
            <w:noWrap w:val="0"/>
            <w:vAlign w:val="center"/>
          </w:tcPr>
          <w:p w14:paraId="770C324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591-78-6</w:t>
            </w:r>
          </w:p>
        </w:tc>
        <w:tc>
          <w:tcPr>
            <w:tcW w:w="1014" w:type="dxa"/>
            <w:noWrap w:val="0"/>
            <w:vAlign w:val="center"/>
          </w:tcPr>
          <w:p w14:paraId="0F58194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OVOCs</w:t>
            </w:r>
          </w:p>
        </w:tc>
      </w:tr>
      <w:tr w14:paraId="3C81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581" w:type="dxa"/>
            <w:noWrap w:val="0"/>
            <w:vAlign w:val="center"/>
          </w:tcPr>
          <w:p w14:paraId="5F81CC8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35</w:t>
            </w:r>
          </w:p>
        </w:tc>
        <w:tc>
          <w:tcPr>
            <w:tcW w:w="2004" w:type="dxa"/>
            <w:noWrap w:val="0"/>
            <w:vAlign w:val="center"/>
          </w:tcPr>
          <w:p w14:paraId="2985379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二溴一氯甲烷</w:t>
            </w:r>
          </w:p>
        </w:tc>
        <w:tc>
          <w:tcPr>
            <w:tcW w:w="2686" w:type="dxa"/>
            <w:noWrap w:val="0"/>
            <w:vAlign w:val="center"/>
          </w:tcPr>
          <w:p w14:paraId="5E98F07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Dibromochloromethane</w:t>
            </w:r>
          </w:p>
        </w:tc>
        <w:tc>
          <w:tcPr>
            <w:tcW w:w="1163" w:type="dxa"/>
            <w:noWrap w:val="0"/>
            <w:vAlign w:val="center"/>
          </w:tcPr>
          <w:p w14:paraId="3CC0B1A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124-48-1</w:t>
            </w:r>
          </w:p>
        </w:tc>
        <w:tc>
          <w:tcPr>
            <w:tcW w:w="1014" w:type="dxa"/>
            <w:noWrap w:val="0"/>
            <w:vAlign w:val="center"/>
          </w:tcPr>
          <w:p w14:paraId="2A6DED5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5B51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jc w:val="center"/>
        </w:trPr>
        <w:tc>
          <w:tcPr>
            <w:tcW w:w="581" w:type="dxa"/>
            <w:noWrap w:val="0"/>
            <w:vAlign w:val="center"/>
          </w:tcPr>
          <w:p w14:paraId="1DCC8BC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36</w:t>
            </w:r>
          </w:p>
        </w:tc>
        <w:tc>
          <w:tcPr>
            <w:tcW w:w="2004" w:type="dxa"/>
            <w:noWrap w:val="0"/>
            <w:vAlign w:val="center"/>
          </w:tcPr>
          <w:p w14:paraId="5F5A61D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四氯乙烯</w:t>
            </w:r>
          </w:p>
        </w:tc>
        <w:tc>
          <w:tcPr>
            <w:tcW w:w="2686" w:type="dxa"/>
            <w:noWrap w:val="0"/>
            <w:vAlign w:val="center"/>
          </w:tcPr>
          <w:p w14:paraId="636E1A0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Tetrachloroethene</w:t>
            </w:r>
          </w:p>
        </w:tc>
        <w:tc>
          <w:tcPr>
            <w:tcW w:w="1163" w:type="dxa"/>
            <w:noWrap w:val="0"/>
            <w:vAlign w:val="center"/>
          </w:tcPr>
          <w:p w14:paraId="45B690A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127-18-4</w:t>
            </w:r>
          </w:p>
        </w:tc>
        <w:tc>
          <w:tcPr>
            <w:tcW w:w="1014" w:type="dxa"/>
            <w:noWrap w:val="0"/>
            <w:vAlign w:val="center"/>
          </w:tcPr>
          <w:p w14:paraId="2C6CF19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476A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 w:hRule="atLeast"/>
          <w:jc w:val="center"/>
        </w:trPr>
        <w:tc>
          <w:tcPr>
            <w:tcW w:w="581" w:type="dxa"/>
            <w:noWrap w:val="0"/>
            <w:vAlign w:val="center"/>
          </w:tcPr>
          <w:p w14:paraId="310C2B4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37</w:t>
            </w:r>
          </w:p>
        </w:tc>
        <w:tc>
          <w:tcPr>
            <w:tcW w:w="2004" w:type="dxa"/>
            <w:noWrap w:val="0"/>
            <w:vAlign w:val="center"/>
          </w:tcPr>
          <w:p w14:paraId="03C87DD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1,2-二溴乙烷</w:t>
            </w:r>
          </w:p>
        </w:tc>
        <w:tc>
          <w:tcPr>
            <w:tcW w:w="2686" w:type="dxa"/>
            <w:noWrap w:val="0"/>
            <w:vAlign w:val="center"/>
          </w:tcPr>
          <w:p w14:paraId="260644B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Ethylene dibromide</w:t>
            </w:r>
          </w:p>
        </w:tc>
        <w:tc>
          <w:tcPr>
            <w:tcW w:w="1163" w:type="dxa"/>
            <w:noWrap w:val="0"/>
            <w:vAlign w:val="center"/>
          </w:tcPr>
          <w:p w14:paraId="0C1397D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106-93-4</w:t>
            </w:r>
          </w:p>
        </w:tc>
        <w:tc>
          <w:tcPr>
            <w:tcW w:w="1014" w:type="dxa"/>
            <w:noWrap w:val="0"/>
            <w:vAlign w:val="center"/>
          </w:tcPr>
          <w:p w14:paraId="3B87672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603F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581" w:type="dxa"/>
            <w:noWrap w:val="0"/>
            <w:vAlign w:val="center"/>
          </w:tcPr>
          <w:p w14:paraId="22FFCFC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38</w:t>
            </w:r>
          </w:p>
        </w:tc>
        <w:tc>
          <w:tcPr>
            <w:tcW w:w="2004" w:type="dxa"/>
            <w:noWrap w:val="0"/>
            <w:vAlign w:val="center"/>
          </w:tcPr>
          <w:p w14:paraId="30AD71A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氯苯</w:t>
            </w:r>
          </w:p>
        </w:tc>
        <w:tc>
          <w:tcPr>
            <w:tcW w:w="2686" w:type="dxa"/>
            <w:noWrap w:val="0"/>
            <w:vAlign w:val="center"/>
          </w:tcPr>
          <w:p w14:paraId="02CF539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Chlorobenzene</w:t>
            </w:r>
          </w:p>
        </w:tc>
        <w:tc>
          <w:tcPr>
            <w:tcW w:w="1163" w:type="dxa"/>
            <w:noWrap w:val="0"/>
            <w:vAlign w:val="center"/>
          </w:tcPr>
          <w:p w14:paraId="261D5B7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108-90-7</w:t>
            </w:r>
          </w:p>
        </w:tc>
        <w:tc>
          <w:tcPr>
            <w:tcW w:w="1014" w:type="dxa"/>
            <w:noWrap w:val="0"/>
            <w:vAlign w:val="center"/>
          </w:tcPr>
          <w:p w14:paraId="0365054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5A4C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581" w:type="dxa"/>
            <w:noWrap w:val="0"/>
            <w:vAlign w:val="center"/>
          </w:tcPr>
          <w:p w14:paraId="034719E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39</w:t>
            </w:r>
          </w:p>
        </w:tc>
        <w:tc>
          <w:tcPr>
            <w:tcW w:w="2004" w:type="dxa"/>
            <w:noWrap w:val="0"/>
            <w:vAlign w:val="center"/>
          </w:tcPr>
          <w:p w14:paraId="3E91826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三溴甲烷</w:t>
            </w:r>
          </w:p>
        </w:tc>
        <w:tc>
          <w:tcPr>
            <w:tcW w:w="2686" w:type="dxa"/>
            <w:noWrap w:val="0"/>
            <w:vAlign w:val="center"/>
          </w:tcPr>
          <w:p w14:paraId="19008ED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Bromoform</w:t>
            </w:r>
          </w:p>
        </w:tc>
        <w:tc>
          <w:tcPr>
            <w:tcW w:w="1163" w:type="dxa"/>
            <w:noWrap w:val="0"/>
            <w:vAlign w:val="center"/>
          </w:tcPr>
          <w:p w14:paraId="7BC5E66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75-25-2</w:t>
            </w:r>
          </w:p>
        </w:tc>
        <w:tc>
          <w:tcPr>
            <w:tcW w:w="1014" w:type="dxa"/>
            <w:noWrap w:val="0"/>
            <w:vAlign w:val="center"/>
          </w:tcPr>
          <w:p w14:paraId="5F4455E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144D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581" w:type="dxa"/>
            <w:noWrap w:val="0"/>
            <w:vAlign w:val="center"/>
          </w:tcPr>
          <w:p w14:paraId="5FCED22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40</w:t>
            </w:r>
          </w:p>
        </w:tc>
        <w:tc>
          <w:tcPr>
            <w:tcW w:w="2004" w:type="dxa"/>
            <w:noWrap w:val="0"/>
            <w:vAlign w:val="center"/>
          </w:tcPr>
          <w:p w14:paraId="18AF7DA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四氯乙烷</w:t>
            </w:r>
          </w:p>
        </w:tc>
        <w:tc>
          <w:tcPr>
            <w:tcW w:w="2686" w:type="dxa"/>
            <w:noWrap w:val="0"/>
            <w:vAlign w:val="center"/>
          </w:tcPr>
          <w:p w14:paraId="22A14E9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1,1,2,2-Tetrachloroethane</w:t>
            </w:r>
          </w:p>
        </w:tc>
        <w:tc>
          <w:tcPr>
            <w:tcW w:w="1163" w:type="dxa"/>
            <w:noWrap w:val="0"/>
            <w:vAlign w:val="center"/>
          </w:tcPr>
          <w:p w14:paraId="4CB8168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79-34-5</w:t>
            </w:r>
          </w:p>
        </w:tc>
        <w:tc>
          <w:tcPr>
            <w:tcW w:w="1014" w:type="dxa"/>
            <w:noWrap w:val="0"/>
            <w:vAlign w:val="center"/>
          </w:tcPr>
          <w:p w14:paraId="5EF52F2B">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6FF7F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581" w:type="dxa"/>
            <w:noWrap w:val="0"/>
            <w:vAlign w:val="center"/>
          </w:tcPr>
          <w:p w14:paraId="0CEA811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41</w:t>
            </w:r>
          </w:p>
        </w:tc>
        <w:tc>
          <w:tcPr>
            <w:tcW w:w="2004" w:type="dxa"/>
            <w:noWrap w:val="0"/>
            <w:vAlign w:val="center"/>
          </w:tcPr>
          <w:p w14:paraId="5E3FF6E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1,3-二氯苯</w:t>
            </w:r>
          </w:p>
        </w:tc>
        <w:tc>
          <w:tcPr>
            <w:tcW w:w="2686" w:type="dxa"/>
            <w:noWrap w:val="0"/>
            <w:vAlign w:val="center"/>
          </w:tcPr>
          <w:p w14:paraId="555F62D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1,3-Dichlorobenzene</w:t>
            </w:r>
          </w:p>
        </w:tc>
        <w:tc>
          <w:tcPr>
            <w:tcW w:w="1163" w:type="dxa"/>
            <w:noWrap w:val="0"/>
            <w:vAlign w:val="center"/>
          </w:tcPr>
          <w:p w14:paraId="03DB346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541-73-1</w:t>
            </w:r>
          </w:p>
        </w:tc>
        <w:tc>
          <w:tcPr>
            <w:tcW w:w="1014" w:type="dxa"/>
            <w:noWrap w:val="0"/>
            <w:vAlign w:val="center"/>
          </w:tcPr>
          <w:p w14:paraId="3CEFED2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0B4A9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581" w:type="dxa"/>
            <w:noWrap w:val="0"/>
            <w:vAlign w:val="center"/>
          </w:tcPr>
          <w:p w14:paraId="0191179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42</w:t>
            </w:r>
          </w:p>
        </w:tc>
        <w:tc>
          <w:tcPr>
            <w:tcW w:w="2004" w:type="dxa"/>
            <w:noWrap w:val="0"/>
            <w:vAlign w:val="center"/>
          </w:tcPr>
          <w:p w14:paraId="29F2F94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氯代甲苯</w:t>
            </w:r>
          </w:p>
        </w:tc>
        <w:tc>
          <w:tcPr>
            <w:tcW w:w="2686" w:type="dxa"/>
            <w:noWrap w:val="0"/>
            <w:vAlign w:val="center"/>
          </w:tcPr>
          <w:p w14:paraId="5B868F1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Benzyl chloride</w:t>
            </w:r>
          </w:p>
        </w:tc>
        <w:tc>
          <w:tcPr>
            <w:tcW w:w="1163" w:type="dxa"/>
            <w:noWrap w:val="0"/>
            <w:vAlign w:val="center"/>
          </w:tcPr>
          <w:p w14:paraId="4004E1B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100-44-7</w:t>
            </w:r>
          </w:p>
        </w:tc>
        <w:tc>
          <w:tcPr>
            <w:tcW w:w="1014" w:type="dxa"/>
            <w:noWrap w:val="0"/>
            <w:vAlign w:val="center"/>
          </w:tcPr>
          <w:p w14:paraId="4C3D40E3">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6CA1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 w:hRule="atLeast"/>
          <w:jc w:val="center"/>
        </w:trPr>
        <w:tc>
          <w:tcPr>
            <w:tcW w:w="581" w:type="dxa"/>
            <w:noWrap w:val="0"/>
            <w:vAlign w:val="center"/>
          </w:tcPr>
          <w:p w14:paraId="78286C52">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43</w:t>
            </w:r>
          </w:p>
        </w:tc>
        <w:tc>
          <w:tcPr>
            <w:tcW w:w="2004" w:type="dxa"/>
            <w:noWrap w:val="0"/>
            <w:vAlign w:val="center"/>
          </w:tcPr>
          <w:p w14:paraId="0CCD2DE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对二氯苯</w:t>
            </w:r>
          </w:p>
        </w:tc>
        <w:tc>
          <w:tcPr>
            <w:tcW w:w="2686" w:type="dxa"/>
            <w:noWrap w:val="0"/>
            <w:vAlign w:val="center"/>
          </w:tcPr>
          <w:p w14:paraId="0C188C41">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1,4-Dichlorobenzene</w:t>
            </w:r>
          </w:p>
        </w:tc>
        <w:tc>
          <w:tcPr>
            <w:tcW w:w="1163" w:type="dxa"/>
            <w:noWrap w:val="0"/>
            <w:vAlign w:val="center"/>
          </w:tcPr>
          <w:p w14:paraId="626585F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106-46-7</w:t>
            </w:r>
          </w:p>
        </w:tc>
        <w:tc>
          <w:tcPr>
            <w:tcW w:w="1014" w:type="dxa"/>
            <w:noWrap w:val="0"/>
            <w:vAlign w:val="center"/>
          </w:tcPr>
          <w:p w14:paraId="4DFD2F9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04E8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581" w:type="dxa"/>
            <w:noWrap w:val="0"/>
            <w:vAlign w:val="center"/>
          </w:tcPr>
          <w:p w14:paraId="0B8AFB7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44</w:t>
            </w:r>
          </w:p>
        </w:tc>
        <w:tc>
          <w:tcPr>
            <w:tcW w:w="2004" w:type="dxa"/>
            <w:noWrap w:val="0"/>
            <w:vAlign w:val="center"/>
          </w:tcPr>
          <w:p w14:paraId="22DD3FA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邻二氯苯</w:t>
            </w:r>
          </w:p>
        </w:tc>
        <w:tc>
          <w:tcPr>
            <w:tcW w:w="2686" w:type="dxa"/>
            <w:noWrap w:val="0"/>
            <w:vAlign w:val="center"/>
          </w:tcPr>
          <w:p w14:paraId="08523DB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1,2-Dichlorobenzene</w:t>
            </w:r>
          </w:p>
        </w:tc>
        <w:tc>
          <w:tcPr>
            <w:tcW w:w="1163" w:type="dxa"/>
            <w:noWrap w:val="0"/>
            <w:vAlign w:val="center"/>
          </w:tcPr>
          <w:p w14:paraId="6617EED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95-50-1</w:t>
            </w:r>
          </w:p>
        </w:tc>
        <w:tc>
          <w:tcPr>
            <w:tcW w:w="1014" w:type="dxa"/>
            <w:noWrap w:val="0"/>
            <w:vAlign w:val="center"/>
          </w:tcPr>
          <w:p w14:paraId="18696F2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6ED04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 w:hRule="atLeast"/>
          <w:jc w:val="center"/>
        </w:trPr>
        <w:tc>
          <w:tcPr>
            <w:tcW w:w="581" w:type="dxa"/>
            <w:noWrap w:val="0"/>
            <w:vAlign w:val="center"/>
          </w:tcPr>
          <w:p w14:paraId="25C3343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45</w:t>
            </w:r>
          </w:p>
        </w:tc>
        <w:tc>
          <w:tcPr>
            <w:tcW w:w="2004" w:type="dxa"/>
            <w:noWrap w:val="0"/>
            <w:vAlign w:val="center"/>
          </w:tcPr>
          <w:p w14:paraId="56EC39A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1,2,4-三氯苯</w:t>
            </w:r>
          </w:p>
        </w:tc>
        <w:tc>
          <w:tcPr>
            <w:tcW w:w="2686" w:type="dxa"/>
            <w:noWrap w:val="0"/>
            <w:vAlign w:val="center"/>
          </w:tcPr>
          <w:p w14:paraId="1600D668">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1,2,4-Trichlorobenzene</w:t>
            </w:r>
          </w:p>
        </w:tc>
        <w:tc>
          <w:tcPr>
            <w:tcW w:w="1163" w:type="dxa"/>
            <w:noWrap w:val="0"/>
            <w:vAlign w:val="center"/>
          </w:tcPr>
          <w:p w14:paraId="40702D5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120-82-1</w:t>
            </w:r>
          </w:p>
        </w:tc>
        <w:tc>
          <w:tcPr>
            <w:tcW w:w="1014" w:type="dxa"/>
            <w:noWrap w:val="0"/>
            <w:vAlign w:val="center"/>
          </w:tcPr>
          <w:p w14:paraId="7DB7C7FF">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r w14:paraId="517C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 w:hRule="atLeast"/>
          <w:jc w:val="center"/>
        </w:trPr>
        <w:tc>
          <w:tcPr>
            <w:tcW w:w="581" w:type="dxa"/>
            <w:noWrap w:val="0"/>
            <w:vAlign w:val="center"/>
          </w:tcPr>
          <w:p w14:paraId="59664090">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46</w:t>
            </w:r>
          </w:p>
        </w:tc>
        <w:tc>
          <w:tcPr>
            <w:tcW w:w="2004" w:type="dxa"/>
            <w:noWrap w:val="0"/>
            <w:vAlign w:val="center"/>
          </w:tcPr>
          <w:p w14:paraId="730CD3E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萘</w:t>
            </w:r>
          </w:p>
        </w:tc>
        <w:tc>
          <w:tcPr>
            <w:tcW w:w="2686" w:type="dxa"/>
            <w:noWrap w:val="0"/>
            <w:vAlign w:val="center"/>
          </w:tcPr>
          <w:p w14:paraId="2A94FE66">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Naphthalene</w:t>
            </w:r>
          </w:p>
        </w:tc>
        <w:tc>
          <w:tcPr>
            <w:tcW w:w="1163" w:type="dxa"/>
            <w:noWrap w:val="0"/>
            <w:vAlign w:val="center"/>
          </w:tcPr>
          <w:p w14:paraId="743FBB67">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91-20-3</w:t>
            </w:r>
          </w:p>
        </w:tc>
        <w:tc>
          <w:tcPr>
            <w:tcW w:w="1014" w:type="dxa"/>
            <w:noWrap w:val="0"/>
            <w:vAlign w:val="center"/>
          </w:tcPr>
          <w:p w14:paraId="233C5E6D">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芳香烃</w:t>
            </w:r>
          </w:p>
        </w:tc>
      </w:tr>
      <w:tr w14:paraId="1231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jc w:val="center"/>
        </w:trPr>
        <w:tc>
          <w:tcPr>
            <w:tcW w:w="581" w:type="dxa"/>
            <w:noWrap w:val="0"/>
            <w:vAlign w:val="center"/>
          </w:tcPr>
          <w:p w14:paraId="596CCF5C">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47</w:t>
            </w:r>
          </w:p>
        </w:tc>
        <w:tc>
          <w:tcPr>
            <w:tcW w:w="2004" w:type="dxa"/>
            <w:noWrap w:val="0"/>
            <w:vAlign w:val="center"/>
          </w:tcPr>
          <w:p w14:paraId="51439C0A">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1,1,2,3,4,4-六氯-1,3-丁二烯</w:t>
            </w:r>
          </w:p>
        </w:tc>
        <w:tc>
          <w:tcPr>
            <w:tcW w:w="2686" w:type="dxa"/>
            <w:noWrap w:val="0"/>
            <w:vAlign w:val="center"/>
          </w:tcPr>
          <w:p w14:paraId="07AA95D9">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Hexachloro-1,3-butadiene</w:t>
            </w:r>
          </w:p>
        </w:tc>
        <w:tc>
          <w:tcPr>
            <w:tcW w:w="1163" w:type="dxa"/>
            <w:noWrap w:val="0"/>
            <w:vAlign w:val="center"/>
          </w:tcPr>
          <w:p w14:paraId="0FEE5DF4">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87-68-3</w:t>
            </w:r>
          </w:p>
        </w:tc>
        <w:tc>
          <w:tcPr>
            <w:tcW w:w="1014" w:type="dxa"/>
            <w:noWrap w:val="0"/>
            <w:vAlign w:val="center"/>
          </w:tcPr>
          <w:p w14:paraId="17EB44DE">
            <w:pPr>
              <w:pageBreakBefore w:val="0"/>
              <w:kinsoku/>
              <w:wordWrap/>
              <w:overflowPunct/>
              <w:topLinePunct w:val="0"/>
              <w:bidi w:val="0"/>
              <w:adjustRightInd/>
              <w:spacing w:line="360" w:lineRule="auto"/>
              <w:ind w:firstLine="0" w:firstLineChars="0"/>
              <w:jc w:val="center"/>
              <w:textAlignment w:val="auto"/>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卤代烃</w:t>
            </w:r>
          </w:p>
        </w:tc>
      </w:tr>
    </w:tbl>
    <w:p w14:paraId="5EBB91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1.</w:t>
      </w:r>
      <w:r>
        <w:rPr>
          <w:rFonts w:hint="eastAsia" w:ascii="宋体" w:hAnsi="宋体" w:eastAsia="宋体" w:cs="宋体"/>
          <w:b/>
          <w:bCs/>
          <w:color w:val="auto"/>
          <w:sz w:val="24"/>
          <w:szCs w:val="24"/>
          <w:highlight w:val="none"/>
        </w:rPr>
        <w:t>环境空气挥发性有机物（VOCs）分析仪</w:t>
      </w:r>
    </w:p>
    <w:p w14:paraId="505A0FE7">
      <w:pPr>
        <w:keepNext w:val="0"/>
        <w:keepLines w:val="0"/>
        <w:pageBreakBefore w:val="0"/>
        <w:kinsoku/>
        <w:wordWrap/>
        <w:overflowPunct/>
        <w:topLinePunct w:val="0"/>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（1）采样模块</w:t>
      </w:r>
    </w:p>
    <w:p w14:paraId="2E19FF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样品富集：</w:t>
      </w:r>
      <w:r>
        <w:rPr>
          <w:rFonts w:hint="eastAsia" w:ascii="宋体" w:hAnsi="宋体" w:eastAsia="宋体" w:cs="宋体"/>
          <w:bCs/>
          <w:color w:val="auto"/>
          <w:sz w:val="24"/>
          <w:szCs w:val="24"/>
          <w:highlight w:val="none"/>
        </w:rPr>
        <w:t>采用三级冷阱技术对VOCs进行除水、富集</w:t>
      </w:r>
      <w:r>
        <w:rPr>
          <w:rFonts w:hint="eastAsia" w:ascii="宋体" w:hAnsi="宋体" w:eastAsia="宋体" w:cs="宋体"/>
          <w:color w:val="auto"/>
          <w:sz w:val="24"/>
          <w:szCs w:val="24"/>
          <w:highlight w:val="none"/>
        </w:rPr>
        <w:t>；</w:t>
      </w:r>
    </w:p>
    <w:p w14:paraId="5427B6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冷阱最低温度可达-</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0℃；</w:t>
      </w:r>
    </w:p>
    <w:p w14:paraId="52543A37">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制冷方式：采用斯特林制冷，无需使用液氮； </w:t>
      </w:r>
    </w:p>
    <w:p w14:paraId="04BEE4B5">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采用多级填料富集管对VOCs进行富集；</w:t>
      </w:r>
    </w:p>
    <w:p w14:paraId="384833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整机采用硅烷化不锈钢管路，防止有机物残留，气体传输流路全程伴热≥120℃；</w:t>
      </w:r>
    </w:p>
    <w:p w14:paraId="3630CA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采用高精度电子质量流量模块精确控制采样流量和采样体积，保证每小时采样时间不少于30min；</w:t>
      </w:r>
    </w:p>
    <w:p w14:paraId="54D4EA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系统控制软件可完成采样、捕集、热解吸、分析、加热反吹等全过程自动控制，解析最高温度≥250℃；</w:t>
      </w:r>
    </w:p>
    <w:p w14:paraId="78F9E30D">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可在线直接进样，也可实现苏玛罐、气袋、吸附管等方式离线进样。</w:t>
      </w:r>
    </w:p>
    <w:p w14:paraId="6F8D15FE">
      <w:pPr>
        <w:keepNext w:val="0"/>
        <w:keepLines w:val="0"/>
        <w:pageBreakBefore w:val="0"/>
        <w:widowControl w:val="0"/>
        <w:kinsoku/>
        <w:wordWrap/>
        <w:overflowPunct/>
        <w:topLinePunct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（2）色谱分离模块</w:t>
      </w:r>
    </w:p>
    <w:p w14:paraId="380DDA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≥8英寸高分辨率全彩全触控电容屏，内置智能操作系统；</w:t>
      </w:r>
    </w:p>
    <w:p w14:paraId="3A04FC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温度控制范围：室温+5℃到450℃；</w:t>
      </w:r>
    </w:p>
    <w:p w14:paraId="570FAB39">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温度控制精度：0.01℃/℃；</w:t>
      </w:r>
    </w:p>
    <w:p w14:paraId="78217E3F">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最大升温速率：≥120℃/min；</w:t>
      </w:r>
    </w:p>
    <w:p w14:paraId="59D0A8FA">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降温速率：从450℃降温至50℃，小于8min；</w:t>
      </w:r>
    </w:p>
    <w:p w14:paraId="69272C8E">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最高程序升温级数：最大32阶、33平台程序升温；</w:t>
      </w:r>
    </w:p>
    <w:p w14:paraId="4FE53428">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保留时间重现性：＜0.008% RSD；</w:t>
      </w:r>
    </w:p>
    <w:p w14:paraId="2B974567">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峰面积重现性：＜1% RSD；</w:t>
      </w:r>
    </w:p>
    <w:p w14:paraId="41FB64D7">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采用低热膨胀系数的非金属材质阻尼器；</w:t>
      </w:r>
    </w:p>
    <w:p w14:paraId="1AFAE403">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压力控制范围：0-100psi</w:t>
      </w:r>
    </w:p>
    <w:p w14:paraId="0E215ABE">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压力控制精度：0.001psi</w:t>
      </w:r>
    </w:p>
    <w:p w14:paraId="7D2868D6">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气体流量控制：全电子流量控制，电子压力控制；</w:t>
      </w:r>
    </w:p>
    <w:p w14:paraId="483083EC">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气质接口温度：100-400℃；</w:t>
      </w:r>
    </w:p>
    <w:p w14:paraId="60F98B4D">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气相色谱进样口：分流/不分流毛细柱进样口，最高操作温度400℃，最大分流比≥7500：1；</w:t>
      </w:r>
    </w:p>
    <w:p w14:paraId="44BF5ED2">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采用Deans Switch中心切割模块，低碳类物质进入FID检测器监测，其他目标化合物进入MS检测器监测。</w:t>
      </w:r>
    </w:p>
    <w:p w14:paraId="5876206C">
      <w:pPr>
        <w:keepNext w:val="0"/>
        <w:keepLines w:val="0"/>
        <w:pageBreakBefore w:val="0"/>
        <w:widowControl w:val="0"/>
        <w:kinsoku/>
        <w:wordWrap/>
        <w:overflowPunct/>
        <w:topLinePunct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（3）FID检测器模块</w:t>
      </w:r>
    </w:p>
    <w:p w14:paraId="462C03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全自动电子压力控制；</w:t>
      </w:r>
    </w:p>
    <w:p w14:paraId="1C11A8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全自动点火、熄火自动保护功能；</w:t>
      </w:r>
    </w:p>
    <w:p w14:paraId="2F6207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在线仪器专用FID检测器；</w:t>
      </w:r>
    </w:p>
    <w:p w14:paraId="304F0249">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最高温度450℃，线性范围：＞10</w:t>
      </w:r>
      <w:r>
        <w:rPr>
          <w:rFonts w:hint="eastAsia" w:ascii="宋体" w:hAnsi="宋体" w:eastAsia="宋体" w:cs="宋体"/>
          <w:color w:val="auto"/>
          <w:sz w:val="24"/>
          <w:szCs w:val="24"/>
          <w:highlight w:val="none"/>
          <w:vertAlign w:val="superscript"/>
        </w:rPr>
        <w:t>7</w:t>
      </w:r>
      <w:r>
        <w:rPr>
          <w:rFonts w:hint="eastAsia" w:ascii="宋体" w:hAnsi="宋体" w:eastAsia="宋体" w:cs="宋体"/>
          <w:color w:val="auto"/>
          <w:sz w:val="24"/>
          <w:szCs w:val="24"/>
          <w:highlight w:val="none"/>
        </w:rPr>
        <w:t>；</w:t>
      </w:r>
    </w:p>
    <w:p w14:paraId="5376B5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（4）质谱检测器</w:t>
      </w:r>
    </w:p>
    <w:p w14:paraId="616E88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离子化方式：EI，高温惰性离子源；</w:t>
      </w:r>
    </w:p>
    <w:p w14:paraId="1E877017">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离子化能量：0-240eV；</w:t>
      </w:r>
    </w:p>
    <w:p w14:paraId="0C312C5B">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离子源温度：50-350℃；</w:t>
      </w:r>
    </w:p>
    <w:p w14:paraId="53911909">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灯丝：双灯丝方式；</w:t>
      </w:r>
    </w:p>
    <w:p w14:paraId="507C4B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质量分析器：全钼金属材质高精度主四极杆，无需控温即可长期稳定分析；备预四极杆，有效避免边缘场效应并提高主杆抗污染能力。主预杆同时扫描，有效提高离子入射效率；</w:t>
      </w:r>
    </w:p>
    <w:p w14:paraId="4F1ABE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质量稳定度≤0.1amu/48h； </w:t>
      </w:r>
    </w:p>
    <w:p w14:paraId="45FF6F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质谱最大扫描速度不低于：20000amu/s； </w:t>
      </w:r>
    </w:p>
    <w:p w14:paraId="02ECC0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扫描方式：Full-Scan+SIM；</w:t>
      </w:r>
    </w:p>
    <w:p w14:paraId="5E7561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质量范围：1.5-1100amu；</w:t>
      </w:r>
    </w:p>
    <w:p w14:paraId="5E2E3E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质量分辨率：优于单位质量分辨率；</w:t>
      </w:r>
    </w:p>
    <w:p w14:paraId="596CE1D4">
      <w:pPr>
        <w:pStyle w:val="17"/>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灵敏度：EIScan(氦气):1pg，八氟萘OFN，m/z272，S/N≥1500:1</w:t>
      </w:r>
    </w:p>
    <w:p w14:paraId="16C25F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真空系统：前级泵抽速＞8m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/h，高性能涡轮分子泵，分子泵抽速＞250L/s(He)；</w:t>
      </w:r>
    </w:p>
    <w:p w14:paraId="291FC5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检测器动态范围：全动态范围≥10</w:t>
      </w:r>
      <w:r>
        <w:rPr>
          <w:rFonts w:hint="eastAsia" w:ascii="宋体" w:hAnsi="宋体" w:eastAsia="宋体" w:cs="宋体"/>
          <w:color w:val="auto"/>
          <w:sz w:val="24"/>
          <w:szCs w:val="24"/>
          <w:highlight w:val="none"/>
          <w:vertAlign w:val="superscript"/>
        </w:rPr>
        <w:t>7</w:t>
      </w:r>
      <w:r>
        <w:rPr>
          <w:rFonts w:hint="eastAsia" w:ascii="宋体" w:hAnsi="宋体" w:eastAsia="宋体" w:cs="宋体"/>
          <w:color w:val="auto"/>
          <w:sz w:val="24"/>
          <w:szCs w:val="24"/>
          <w:highlight w:val="none"/>
        </w:rPr>
        <w:t>；</w:t>
      </w:r>
    </w:p>
    <w:p w14:paraId="0A25A9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多重离轴通道式打拿极检测器，有效避免中性离子干扰，提高仪器灵敏度；</w:t>
      </w:r>
    </w:p>
    <w:p w14:paraId="29B829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分析腔采用侧开式设计，支持无工具开腔，维护更便捷，无需拆卸色谱柱即可维护离子源；</w:t>
      </w:r>
    </w:p>
    <w:p w14:paraId="53C20389">
      <w:pPr>
        <w:keepNext w:val="0"/>
        <w:keepLines w:val="0"/>
        <w:pageBreakBefore w:val="0"/>
        <w:widowControl w:val="0"/>
        <w:kinsoku/>
        <w:wordWrap/>
        <w:overflowPunct/>
        <w:topLinePunct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（5）仪器软件</w:t>
      </w:r>
    </w:p>
    <w:p w14:paraId="5CBEFAE7">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软件全中文操作，具有图标式操作界面；</w:t>
      </w:r>
    </w:p>
    <w:p w14:paraId="3393C98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软件在WIN7/WIN8/XP等操作环境下工作；主机对温度、压力、气体、流量、时间等参数进行控制；主机屏幕实时显示浓度数据；</w:t>
      </w:r>
    </w:p>
    <w:p w14:paraId="419DA39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数据加密存储，所有谱图原始文件，均进行加密，不可修改；</w:t>
      </w:r>
    </w:p>
    <w:p w14:paraId="101C8F4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数据分析软件具有数据采集，数据处理、谱库检索、报告输出功能。输出报告中可对所有物质进行分类统计，并提供各物质在不同时间段的变化趋势图；</w:t>
      </w:r>
    </w:p>
    <w:p w14:paraId="355A078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内置基于质谱数据的AMDIS解卷积算法，可有效应对共流程出的干扰；</w:t>
      </w:r>
    </w:p>
    <w:p w14:paraId="3939675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配置NIST谱库和环境中文版VOCs专用数据库，根据检索结果和其它的信息，对未知物进行定性分析；内置NIOSH化合物信息库，辅助用户进行信息决策；</w:t>
      </w:r>
    </w:p>
    <w:p w14:paraId="523DC4E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工作站具备自主知识产权的远程控制软件，无需第三方软件，保障数据信息安全； </w:t>
      </w:r>
    </w:p>
    <w:p w14:paraId="0E939DE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工作站具备实时获取色谱、质谱、前处理仪器、校准系统的运行状态参数，并实现秒级自动上传至数据采集与传输软件；</w:t>
      </w:r>
    </w:p>
    <w:p w14:paraId="14184F1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工作站具备主动上传校准曲线、质控、空白、内标组分响应等质控参数；</w:t>
      </w:r>
    </w:p>
    <w:p w14:paraId="4058494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工作站具备数据标识位自动生成功能，防止数据标识错乱影响数据分析；</w:t>
      </w:r>
    </w:p>
    <w:p w14:paraId="4B1901C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数据处理软件具备色谱峰主动识别、积分异常判断、保留时间漂移纠正等功能；</w:t>
      </w:r>
    </w:p>
    <w:p w14:paraId="107646B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软件终生提供免费升级服务，需提供系统核心色谱质谱分析仪生产商盖章的承诺书。</w:t>
      </w:r>
    </w:p>
    <w:p w14:paraId="22F464DA">
      <w:pPr>
        <w:keepNext w:val="0"/>
        <w:keepLines w:val="0"/>
        <w:pageBreakBefore w:val="0"/>
        <w:widowControl w:val="0"/>
        <w:kinsoku/>
        <w:wordWrap/>
        <w:overflowPunct/>
        <w:topLinePunct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（6）仪器性能要求</w:t>
      </w:r>
    </w:p>
    <w:p w14:paraId="42740FC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分析组分：大气中挥发性有机物，包括PAMS（57种），TO15组分（47种），OVOC（12种）等有机物；满足《2019年地级及以上城市环境空气挥发性有机物监测方案》（环办监测函〔2019〕11号）规定的在线监测物种要求；</w:t>
      </w:r>
    </w:p>
    <w:p w14:paraId="08619A3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方法检出限：100%组分的方法检出限≤0.1nmol/mol；</w:t>
      </w:r>
    </w:p>
    <w:p w14:paraId="058967D8">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量程范围：不低于50nmol/mol；</w:t>
      </w:r>
    </w:p>
    <w:p w14:paraId="72ABBDC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方法线性：全部目标化合物的线性相关系数≥0.98；</w:t>
      </w:r>
    </w:p>
    <w:p w14:paraId="472BC9B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精密度：100%组分的精密度≤5%；</w:t>
      </w:r>
    </w:p>
    <w:p w14:paraId="2CFC54C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不少于95%组分系统残留≤0.1nmol/mol；）</w:t>
      </w:r>
    </w:p>
    <w:p w14:paraId="2564923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数据有效率≥85%；</w:t>
      </w:r>
    </w:p>
    <w:p w14:paraId="01D1C7F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长时间保留时间漂移≤0.5min；</w:t>
      </w:r>
    </w:p>
    <w:p w14:paraId="49DFF6C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器正常工作状态下测试6h，时钟误差±2s。仪器工控机断电总计3次（各次断电的持续时间分别为20s、2min和20min，且在每次断电之间应保证不少于10min正常电力供应），测试6h，时钟误差≤2s。</w:t>
      </w:r>
    </w:p>
    <w:p w14:paraId="61CD2F4E">
      <w:pPr>
        <w:keepNext w:val="0"/>
        <w:keepLines w:val="0"/>
        <w:pageBreakBefore w:val="0"/>
        <w:widowControl w:val="0"/>
        <w:numPr>
          <w:ilvl w:val="0"/>
          <w:numId w:val="0"/>
        </w:numPr>
        <w:kinsoku/>
        <w:wordWrap/>
        <w:overflowPunct/>
        <w:topLinePunct w:val="0"/>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供电及功率：220VAC±10%，50Hz；</w:t>
      </w:r>
    </w:p>
    <w:p w14:paraId="479505C5">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snapToGrid w:val="0"/>
          <w:color w:val="auto"/>
          <w:kern w:val="0"/>
          <w:sz w:val="24"/>
          <w:szCs w:val="24"/>
          <w:highlight w:val="none"/>
          <w:lang w:val="en-US" w:eastAsia="en-US" w:bidi="ar-SA"/>
        </w:rPr>
        <w:t>2.</w:t>
      </w:r>
      <w:r>
        <w:rPr>
          <w:rFonts w:hint="eastAsia" w:ascii="宋体" w:hAnsi="宋体" w:eastAsia="宋体" w:cs="宋体"/>
          <w:color w:val="auto"/>
          <w:sz w:val="24"/>
          <w:szCs w:val="24"/>
          <w:highlight w:val="none"/>
        </w:rPr>
        <w:t>动态校准仪</w:t>
      </w:r>
    </w:p>
    <w:p w14:paraId="500B9B62">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（1）工作原理：通过气体质量流量控制器精确控制气体流量，将高浓度样品动态稀释至所需低浓度气体；</w:t>
      </w:r>
    </w:p>
    <w:p w14:paraId="3CF44C2F">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（2）内部管路和接头全部经过严格惰性化处理，降低VOCs气体在管路中吸附残留的影响；</w:t>
      </w:r>
    </w:p>
    <w:p w14:paraId="43EA402C">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（3）通过质量流量传感器，自动控制气体流量，具备零点校准功能</w:t>
      </w:r>
    </w:p>
    <w:p w14:paraId="505A0FE4">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（4）气体混合区域恒压采用电子压力控制，控制压力范围：0~200kPa，精度小于±0.2kPa；</w:t>
      </w:r>
    </w:p>
    <w:p w14:paraId="625B5CC0">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（5）具有温控功能，混合区域温度可0~50℃设置，控制精度±1℃；质量流量传感器阀座温度可0~45℃温度设置，控制精度±1℃；</w:t>
      </w:r>
    </w:p>
    <w:p w14:paraId="17928490">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（6）具有远程遥控或序列编辑功能；具有多点自动序列配气功能，具有单点或多点自动校准功能；</w:t>
      </w:r>
    </w:p>
    <w:p w14:paraId="224A20A8">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（7）仪器支持通过内置序列设置方法实现多点自动校准功能；</w:t>
      </w:r>
    </w:p>
    <w:p w14:paraId="66E454D8">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（8）稀释比率：1/20～1/5000；</w:t>
      </w:r>
    </w:p>
    <w:p w14:paraId="2D5B0D76">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（9）流量测量精度：±1%满刻度；</w:t>
      </w:r>
    </w:p>
    <w:p w14:paraId="7877A989">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（10）流量控制重复性：±0.2%满刻度；</w:t>
      </w:r>
    </w:p>
    <w:p w14:paraId="6B636179">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（11）流量控制线性度：±0.5%满刻度；</w:t>
      </w:r>
    </w:p>
    <w:p w14:paraId="771C27BA">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（12）具有自动检漏、压力检测和报警及保护功能；</w:t>
      </w:r>
    </w:p>
    <w:p w14:paraId="131DB916">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（13）仪器采用全中文软件设计，可通过LAN通讯方式与外部仪表同步通讯；</w:t>
      </w:r>
    </w:p>
    <w:p w14:paraId="43917CFB">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（14）6英寸以上LCD液晶屏显示，实时显示用户软件界面、系统设置/故障/报警信息等；</w:t>
      </w:r>
    </w:p>
    <w:p w14:paraId="4E309BBC">
      <w:pPr>
        <w:keepNext w:val="0"/>
        <w:keepLines w:val="0"/>
        <w:pageBreakBefore w:val="0"/>
        <w:widowControl w:val="0"/>
        <w:numPr>
          <w:ilvl w:val="0"/>
          <w:numId w:val="0"/>
        </w:numPr>
        <w:kinsoku/>
        <w:wordWrap/>
        <w:overflowPunct/>
        <w:topLinePunct w:val="0"/>
        <w:bidi w:val="0"/>
        <w:adjustRightInd/>
        <w:snapToGrid/>
        <w:spacing w:line="360" w:lineRule="auto"/>
        <w:ind w:left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（15）设备应具备智能化动态气体稀释校准分析仪软件著作权登记证书。（提供加盖原厂公章的软件登记证书复印件）</w:t>
      </w:r>
    </w:p>
    <w:p w14:paraId="69C3D8C5">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snapToGrid w:val="0"/>
          <w:color w:val="auto"/>
          <w:kern w:val="0"/>
          <w:sz w:val="24"/>
          <w:szCs w:val="24"/>
          <w:highlight w:val="none"/>
          <w:lang w:val="en-US" w:eastAsia="zh-CN" w:bidi="ar-SA"/>
        </w:rPr>
        <w:t>3. 零气发生器</w:t>
      </w:r>
    </w:p>
    <w:p w14:paraId="53E336A8">
      <w:pPr>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（1）输出零气流量：0-5000ml/min</w:t>
      </w:r>
    </w:p>
    <w:p w14:paraId="0868353D">
      <w:pPr>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（2）输出零气烃类含量：&lt;10ppb</w:t>
      </w:r>
    </w:p>
    <w:p w14:paraId="1B9DC3AC">
      <w:pPr>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（3）输出零气压力：0.1-0.4MPa</w:t>
      </w:r>
    </w:p>
    <w:p w14:paraId="21077C62">
      <w:pPr>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（4）输出零气露点：&lt;-20℃</w:t>
      </w:r>
    </w:p>
    <w:p w14:paraId="507E1D48">
      <w:pPr>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（5）工作条件：环境温度~40℃，湿度&lt;80%</w:t>
      </w:r>
    </w:p>
    <w:p w14:paraId="0C7622A0">
      <w:pPr>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snapToGrid w:val="0"/>
          <w:color w:val="auto"/>
          <w:kern w:val="0"/>
          <w:sz w:val="24"/>
          <w:szCs w:val="24"/>
          <w:highlight w:val="none"/>
          <w:lang w:val="en-US" w:eastAsia="zh-CN" w:bidi="ar-SA"/>
        </w:rPr>
        <w:t>4. 氢气发生器</w:t>
      </w:r>
    </w:p>
    <w:p w14:paraId="560B888B">
      <w:pPr>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（1）氢气纯度：99.999%</w:t>
      </w:r>
    </w:p>
    <w:p w14:paraId="40B4046D">
      <w:pPr>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（2）氢气流量：0～500ml/min</w:t>
      </w:r>
    </w:p>
    <w:p w14:paraId="0365C3DD">
      <w:pPr>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（3）流量显示：LED数字显示</w:t>
      </w:r>
    </w:p>
    <w:p w14:paraId="73A066FD">
      <w:pPr>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（4）工作压力：0～0.4MPa</w:t>
      </w:r>
    </w:p>
    <w:p w14:paraId="2A25AD6D">
      <w:pPr>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（5）稳压精度：0.02MPa</w:t>
      </w:r>
    </w:p>
    <w:p w14:paraId="2FDE62CE">
      <w:pPr>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（6）供电电源：220V±10%50Hz</w:t>
      </w:r>
    </w:p>
    <w:p w14:paraId="4B27412A">
      <w:pPr>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（7）外部自动抽水，缺液报警，持续3分钟自动断电</w:t>
      </w:r>
    </w:p>
    <w:p w14:paraId="63422F91">
      <w:pPr>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snapToGrid w:val="0"/>
          <w:color w:val="auto"/>
          <w:kern w:val="0"/>
          <w:sz w:val="24"/>
          <w:szCs w:val="24"/>
          <w:highlight w:val="none"/>
          <w:lang w:val="en-US" w:eastAsia="zh-CN" w:bidi="ar-SA"/>
        </w:rPr>
        <w:t>5. 标准气体</w:t>
      </w:r>
    </w:p>
    <w:p w14:paraId="7ACB0D7A">
      <w:pPr>
        <w:pageBreakBefore w:val="0"/>
        <w:widowControl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氮气、氦气、116种组分标准气体、内标气等标气。</w:t>
      </w:r>
    </w:p>
    <w:p w14:paraId="4BD4D53C">
      <w:pPr>
        <w:pageBreakBefore w:val="0"/>
        <w:widowControl w:val="0"/>
        <w:numPr>
          <w:ilvl w:val="0"/>
          <w:numId w:val="5"/>
        </w:numPr>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snapToGrid w:val="0"/>
          <w:color w:val="auto"/>
          <w:kern w:val="0"/>
          <w:sz w:val="24"/>
          <w:szCs w:val="24"/>
          <w:highlight w:val="none"/>
          <w:lang w:val="en-US" w:eastAsia="zh-CN" w:bidi="ar-SA"/>
        </w:rPr>
        <w:t>采样系统</w:t>
      </w:r>
    </w:p>
    <w:p w14:paraId="438D6863">
      <w:pPr>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1）采样装置：垂直层流式采样总管</w:t>
      </w:r>
    </w:p>
    <w:p w14:paraId="58A4EF0D">
      <w:pPr>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2）采样头：防止雨水和粗大的颗粒物落入总管，同时避免鸟类、小动物和大型昆虫进入总管。采样头的设计应保证采样气流不受风向影响，稳定进入总管。</w:t>
      </w:r>
    </w:p>
    <w:p w14:paraId="7B874D94">
      <w:pPr>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3）采样总管：总管内径选择在4cm，采样总管内的气流应保持层流状态，采样气体在总管内的滞留时间应小于10s。</w:t>
      </w:r>
    </w:p>
    <w:p w14:paraId="1452ECA7">
      <w:pPr>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4）管线外壁加装保温套或加热器，加热温度控制在30℃—50℃。</w:t>
      </w:r>
    </w:p>
    <w:p w14:paraId="7DFEA4CB">
      <w:pPr>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5）制作材料：不锈钢或聚四氟乙烯；</w:t>
      </w:r>
    </w:p>
    <w:p w14:paraId="3AF6DF9B">
      <w:pPr>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6）样品相对湿度：≤80%；</w:t>
      </w:r>
    </w:p>
    <w:p w14:paraId="2DB3541B">
      <w:pPr>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7）雷诺数&lt;2000；</w:t>
      </w:r>
    </w:p>
    <w:p w14:paraId="3DCD57C0">
      <w:pPr>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8）电源电压：220VAC/50Hz；</w:t>
      </w:r>
    </w:p>
    <w:p w14:paraId="5A3C6B4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二、</w:t>
      </w:r>
      <w:r>
        <w:rPr>
          <w:rFonts w:hint="eastAsia" w:ascii="宋体" w:hAnsi="宋体" w:eastAsia="宋体" w:cs="宋体"/>
          <w:b/>
          <w:bCs/>
          <w:color w:val="auto"/>
          <w:sz w:val="24"/>
          <w:szCs w:val="24"/>
          <w:highlight w:val="none"/>
          <w:vertAlign w:val="baseline"/>
          <w:lang w:val="en-US" w:eastAsia="zh-CN"/>
        </w:rPr>
        <w:t>主要温室气体自动监测系统</w:t>
      </w:r>
      <w:r>
        <w:rPr>
          <w:rFonts w:hint="eastAsia" w:ascii="宋体" w:hAnsi="宋体" w:cs="宋体"/>
          <w:b/>
          <w:bCs/>
          <w:color w:val="auto"/>
          <w:sz w:val="24"/>
          <w:szCs w:val="24"/>
          <w:highlight w:val="none"/>
          <w:vertAlign w:val="baseline"/>
          <w:lang w:val="en-US" w:eastAsia="zh-CN"/>
        </w:rPr>
        <w:t>（1套）</w:t>
      </w:r>
    </w:p>
    <w:p w14:paraId="16C141E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1.甲烷-非甲烷自动监测仪</w:t>
      </w:r>
    </w:p>
    <w:p w14:paraId="7AD886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设备用途：用于在线监测环境大气中的甲烷、非甲烷总烃的质量浓度；</w:t>
      </w:r>
    </w:p>
    <w:p w14:paraId="067243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监测方法：通过色谱柱分离、阀切换、反吹等手段分离出总烃中的甲烷，使非甲烷总烃单独出峰，直接测定浓度的方法。</w:t>
      </w:r>
    </w:p>
    <w:p w14:paraId="49098F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非甲烷总烃测量范围：0～5000ppb；</w:t>
      </w:r>
    </w:p>
    <w:p w14:paraId="56BE5C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实际样品富集温度不高于10℃，解析温度不低于150℃，最大热解吸速度可达30℃/s；</w:t>
      </w:r>
    </w:p>
    <w:p w14:paraId="6E8E01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分析周期：≤10min；</w:t>
      </w:r>
    </w:p>
    <w:p w14:paraId="33FCD2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方法检出限：非甲烷总烃方法检出限≤5ppbC；</w:t>
      </w:r>
    </w:p>
    <w:p w14:paraId="1FD47A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系统空白：非甲烷总烃系统空白≤5ppbC；</w:t>
      </w:r>
    </w:p>
    <w:p w14:paraId="510978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校准曲线：非甲烷总烃校准曲线的相关系数R</w:t>
      </w:r>
      <w:r>
        <w:rPr>
          <w:rFonts w:hint="eastAsia" w:ascii="宋体" w:hAnsi="宋体" w:eastAsia="宋体" w:cs="宋体"/>
          <w:color w:val="auto"/>
          <w:sz w:val="24"/>
          <w:szCs w:val="24"/>
          <w:highlight w:val="none"/>
          <w:vertAlign w:val="superscript"/>
        </w:rPr>
        <w:t>2</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0.999；</w:t>
      </w:r>
    </w:p>
    <w:p w14:paraId="652105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湿度影响：非甲烷总烃的湿度影响≤±2%F.S.；</w:t>
      </w:r>
    </w:p>
    <w:p w14:paraId="01B923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进样流量变化影响：非甲烷总烃≤±2%F.S.；</w:t>
      </w:r>
    </w:p>
    <w:p w14:paraId="02846D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响应因子：乙酸乙酯≥0.65，甲苯 0.90~1.05，三氯乙烯 0.95~1.10；</w:t>
      </w:r>
    </w:p>
    <w:p w14:paraId="66645A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高浓度残留：≤10ppbC，使用1600ppbC的丙烷标气；</w:t>
      </w:r>
    </w:p>
    <w:p w14:paraId="160F67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柱温箱：加热范围20-280℃，温控精度±0.1℃；</w:t>
      </w:r>
    </w:p>
    <w:p w14:paraId="723A89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单阀双柱流路设计，后期维护成本低；</w:t>
      </w:r>
    </w:p>
    <w:p w14:paraId="6BB1FBD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采用十四通转子阀，切换阀带温度控制：阀的温度范围工作环境温度+5～225℃，为防止高沸点物质残留污染；</w:t>
      </w:r>
    </w:p>
    <w:p w14:paraId="706EB5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全样气流路无冷点惰性化设计，无残留，无吸附；</w:t>
      </w:r>
    </w:p>
    <w:p w14:paraId="6854E3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高精度负反馈流量控制系统设计，系统稳定性高；</w:t>
      </w:r>
    </w:p>
    <w:p w14:paraId="10BA8F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采样流量控制：采样流量0-250ml/min，采用低维护的隔膜泵配合EFC和定量环进行定体积采样；</w:t>
      </w:r>
    </w:p>
    <w:p w14:paraId="4A6C7D2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气路压力控制：压力设定精度0.01psi；</w:t>
      </w:r>
    </w:p>
    <w:p w14:paraId="409BF6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检测器动态线性范围：10</w:t>
      </w:r>
      <w:r>
        <w:rPr>
          <w:rFonts w:hint="eastAsia" w:ascii="宋体" w:hAnsi="宋体" w:eastAsia="宋体" w:cs="宋体"/>
          <w:color w:val="auto"/>
          <w:sz w:val="24"/>
          <w:szCs w:val="24"/>
          <w:highlight w:val="none"/>
          <w:vertAlign w:val="superscript"/>
        </w:rPr>
        <w:t>7</w:t>
      </w:r>
      <w:r>
        <w:rPr>
          <w:rFonts w:hint="eastAsia" w:ascii="宋体" w:hAnsi="宋体" w:eastAsia="宋体" w:cs="宋体"/>
          <w:color w:val="auto"/>
          <w:sz w:val="24"/>
          <w:szCs w:val="24"/>
          <w:highlight w:val="none"/>
        </w:rPr>
        <w:t>；</w:t>
      </w:r>
    </w:p>
    <w:p w14:paraId="2BCBCD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检测器保护：自动点火，灭火自动切断气体和报警功能；</w:t>
      </w:r>
    </w:p>
    <w:p w14:paraId="7A0C7F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为确保设备可靠储运和运行，仪器具有随机振动试验、高低温适应性试验项目的测试报告；</w:t>
      </w:r>
    </w:p>
    <w:p w14:paraId="7EFA8B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机交互要求：内置标准工业PC机，高清晰彩色液晶触摸显示屏，采用优秀的人机交互控制软件界面，基于微软视窗操作系统，可实现全系统的自动无人运行。用触摸屏可完成所有的维护及诊断功能操作，还可对仪器参数和分析方法进行编辑和设置，可实时显示仪器运行状态、色谱图及结果等。自动存储数据及图谱，储存时间长达（6~8）年；</w:t>
      </w:r>
    </w:p>
    <w:p w14:paraId="790DC67C">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CO</w:t>
      </w:r>
      <w:r>
        <w:rPr>
          <w:rFonts w:hint="eastAsia" w:ascii="宋体" w:hAnsi="宋体" w:eastAsia="宋体" w:cs="宋体"/>
          <w:b/>
          <w:bCs/>
          <w:color w:val="auto"/>
          <w:sz w:val="24"/>
          <w:szCs w:val="24"/>
          <w:highlight w:val="none"/>
          <w:vertAlign w:val="subscript"/>
          <w:lang w:val="en-US" w:eastAsia="zh-CN"/>
        </w:rPr>
        <w:t>2</w:t>
      </w:r>
      <w:r>
        <w:rPr>
          <w:rFonts w:hint="eastAsia" w:ascii="宋体" w:hAnsi="宋体" w:eastAsia="宋体" w:cs="宋体"/>
          <w:b/>
          <w:bCs/>
          <w:color w:val="auto"/>
          <w:sz w:val="24"/>
          <w:szCs w:val="24"/>
          <w:highlight w:val="none"/>
          <w:vertAlign w:val="baseline"/>
          <w:lang w:val="en-US" w:eastAsia="zh-CN"/>
        </w:rPr>
        <w:t>自动监测仪</w:t>
      </w:r>
    </w:p>
    <w:p w14:paraId="074462ED">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①设备用途：用于环境空气中二氧化碳浓度监测</w:t>
      </w:r>
    </w:p>
    <w:p w14:paraId="19E38CD2">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②配置要求：满足仪器设备安装和运行的全套配置</w:t>
      </w:r>
    </w:p>
    <w:p w14:paraId="5C9929A2">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③技术参数：</w:t>
      </w:r>
    </w:p>
    <w:p w14:paraId="36394B4F">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分析方法：无弥散红外线测量法或类似符合国家相关规范方法。</w:t>
      </w:r>
    </w:p>
    <w:p w14:paraId="7ED8E7CB">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量程：0～200、500、1000、2000、5000、10000ppm 或更多可选量程，具有量程自动切换功能。</w:t>
      </w:r>
    </w:p>
    <w:p w14:paraId="55A1C4DA">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最低检测限：≤</w:t>
      </w:r>
      <w:r>
        <w:rPr>
          <w:rFonts w:hint="eastAsia" w:ascii="宋体" w:hAnsi="宋体" w:eastAsia="宋体" w:cs="宋体"/>
          <w:color w:val="auto"/>
          <w:sz w:val="24"/>
          <w:szCs w:val="24"/>
          <w:highlight w:val="none"/>
          <w:lang w:val="en-US" w:eastAsia="zh-CN"/>
        </w:rPr>
        <w:t>0.2</w:t>
      </w:r>
      <w:r>
        <w:rPr>
          <w:rFonts w:hint="eastAsia" w:ascii="宋体" w:hAnsi="宋体" w:eastAsia="宋体" w:cs="宋体"/>
          <w:color w:val="auto"/>
          <w:sz w:val="24"/>
          <w:szCs w:val="24"/>
          <w:highlight w:val="none"/>
        </w:rPr>
        <w:t>ppm</w:t>
      </w:r>
    </w:p>
    <w:p w14:paraId="1B9FE3E2">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零点噪声：≤0.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ppm（</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0</w:t>
      </w:r>
      <w:r>
        <w:rPr>
          <w:rFonts w:hint="eastAsia" w:ascii="宋体" w:hAnsi="宋体" w:eastAsia="宋体" w:cs="宋体"/>
          <w:color w:val="auto"/>
          <w:spacing w:val="-10"/>
          <w:sz w:val="24"/>
          <w:szCs w:val="24"/>
          <w:highlight w:val="none"/>
        </w:rPr>
        <w:t xml:space="preserve"> 秒平均时间</w:t>
      </w:r>
      <w:r>
        <w:rPr>
          <w:rFonts w:hint="eastAsia" w:ascii="宋体" w:hAnsi="宋体" w:eastAsia="宋体" w:cs="宋体"/>
          <w:color w:val="auto"/>
          <w:spacing w:val="-17"/>
          <w:sz w:val="24"/>
          <w:szCs w:val="24"/>
          <w:highlight w:val="none"/>
        </w:rPr>
        <w:t xml:space="preserve">） </w:t>
      </w:r>
      <w:r>
        <w:rPr>
          <w:rFonts w:hint="eastAsia" w:ascii="宋体" w:hAnsi="宋体" w:eastAsia="宋体" w:cs="宋体"/>
          <w:color w:val="auto"/>
          <w:sz w:val="24"/>
          <w:szCs w:val="24"/>
          <w:highlight w:val="none"/>
        </w:rPr>
        <w:t>零漂（24</w:t>
      </w:r>
      <w:r>
        <w:rPr>
          <w:rFonts w:hint="eastAsia" w:ascii="宋体" w:hAnsi="宋体" w:eastAsia="宋体" w:cs="宋体"/>
          <w:color w:val="auto"/>
          <w:spacing w:val="-20"/>
          <w:sz w:val="24"/>
          <w:szCs w:val="24"/>
          <w:highlight w:val="none"/>
        </w:rPr>
        <w:t xml:space="preserve"> 小时</w:t>
      </w:r>
      <w:r>
        <w:rPr>
          <w:rFonts w:hint="eastAsia" w:ascii="宋体" w:hAnsi="宋体" w:eastAsia="宋体" w:cs="宋体"/>
          <w:color w:val="auto"/>
          <w:spacing w:val="-120"/>
          <w:sz w:val="24"/>
          <w:szCs w:val="24"/>
          <w:highlight w:val="none"/>
        </w:rPr>
        <w:t>）</w:t>
      </w:r>
      <w:r>
        <w:rPr>
          <w:rFonts w:hint="eastAsia" w:ascii="宋体" w:hAnsi="宋体" w:eastAsia="宋体" w:cs="宋体"/>
          <w:color w:val="auto"/>
          <w:sz w:val="24"/>
          <w:szCs w:val="24"/>
          <w:highlight w:val="none"/>
        </w:rPr>
        <w:t>：≤±1.0ppm</w:t>
      </w:r>
    </w:p>
    <w:p w14:paraId="25F728BE">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跨漂（24</w:t>
      </w:r>
      <w:r>
        <w:rPr>
          <w:rFonts w:hint="eastAsia" w:ascii="宋体" w:hAnsi="宋体" w:eastAsia="宋体" w:cs="宋体"/>
          <w:color w:val="auto"/>
          <w:spacing w:val="-20"/>
          <w:sz w:val="24"/>
          <w:szCs w:val="24"/>
          <w:highlight w:val="none"/>
        </w:rPr>
        <w:t xml:space="preserve"> 小时</w:t>
      </w:r>
      <w:r>
        <w:rPr>
          <w:rFonts w:hint="eastAsia" w:ascii="宋体" w:hAnsi="宋体" w:eastAsia="宋体" w:cs="宋体"/>
          <w:color w:val="auto"/>
          <w:spacing w:val="-120"/>
          <w:sz w:val="24"/>
          <w:szCs w:val="24"/>
          <w:highlight w:val="none"/>
        </w:rPr>
        <w:t>）</w:t>
      </w:r>
      <w:r>
        <w:rPr>
          <w:rFonts w:hint="eastAsia" w:ascii="宋体" w:hAnsi="宋体" w:eastAsia="宋体" w:cs="宋体"/>
          <w:color w:val="auto"/>
          <w:sz w:val="24"/>
          <w:szCs w:val="24"/>
          <w:highlight w:val="none"/>
        </w:rPr>
        <w:t>：≤±2.0%F.S.</w:t>
      </w:r>
    </w:p>
    <w:p w14:paraId="11F52919">
      <w:pPr>
        <w:pStyle w:val="17"/>
        <w:pageBreakBefore w:val="0"/>
        <w:kinsoku/>
        <w:wordWrap/>
        <w:overflowPunct/>
        <w:topLinePunct w:val="0"/>
        <w:bidi w:val="0"/>
        <w:adjustRightInd/>
        <w:spacing w:line="360" w:lineRule="auto"/>
        <w:ind w:left="0"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 xml:space="preserve">响应时间：小于 </w:t>
      </w:r>
      <w:r>
        <w:rPr>
          <w:rFonts w:hint="eastAsia" w:ascii="宋体" w:hAnsi="宋体" w:eastAsia="宋体" w:cs="宋体"/>
          <w:color w:val="auto"/>
          <w:sz w:val="24"/>
          <w:szCs w:val="24"/>
          <w:highlight w:val="none"/>
        </w:rPr>
        <w:t>90</w:t>
      </w:r>
      <w:r>
        <w:rPr>
          <w:rFonts w:hint="eastAsia" w:ascii="宋体" w:hAnsi="宋体" w:eastAsia="宋体" w:cs="宋体"/>
          <w:color w:val="auto"/>
          <w:spacing w:val="-30"/>
          <w:sz w:val="24"/>
          <w:szCs w:val="24"/>
          <w:highlight w:val="none"/>
        </w:rPr>
        <w:t xml:space="preserve"> 秒</w:t>
      </w:r>
      <w:r>
        <w:rPr>
          <w:rFonts w:hint="eastAsia" w:ascii="宋体" w:hAnsi="宋体" w:eastAsia="宋体" w:cs="宋体"/>
          <w:color w:val="auto"/>
          <w:sz w:val="24"/>
          <w:szCs w:val="24"/>
          <w:highlight w:val="none"/>
        </w:rPr>
        <w:t>（</w:t>
      </w:r>
      <w:r>
        <w:rPr>
          <w:rFonts w:hint="eastAsia" w:ascii="宋体" w:hAnsi="宋体" w:eastAsia="宋体" w:cs="宋体"/>
          <w:color w:val="auto"/>
          <w:spacing w:val="-30"/>
          <w:sz w:val="24"/>
          <w:szCs w:val="24"/>
          <w:highlight w:val="none"/>
        </w:rPr>
        <w:t xml:space="preserve">从 </w:t>
      </w:r>
      <w:r>
        <w:rPr>
          <w:rFonts w:hint="eastAsia" w:ascii="宋体" w:hAnsi="宋体" w:eastAsia="宋体" w:cs="宋体"/>
          <w:color w:val="auto"/>
          <w:sz w:val="24"/>
          <w:szCs w:val="24"/>
          <w:highlight w:val="none"/>
        </w:rPr>
        <w:t>0</w:t>
      </w:r>
      <w:r>
        <w:rPr>
          <w:rFonts w:hint="eastAsia" w:ascii="宋体" w:hAnsi="宋体" w:eastAsia="宋体" w:cs="宋体"/>
          <w:color w:val="auto"/>
          <w:spacing w:val="-24"/>
          <w:sz w:val="24"/>
          <w:szCs w:val="24"/>
          <w:highlight w:val="none"/>
        </w:rPr>
        <w:t xml:space="preserve"> 上升到 </w:t>
      </w:r>
      <w:r>
        <w:rPr>
          <w:rFonts w:hint="eastAsia" w:ascii="宋体" w:hAnsi="宋体" w:eastAsia="宋体" w:cs="宋体"/>
          <w:color w:val="auto"/>
          <w:sz w:val="24"/>
          <w:szCs w:val="24"/>
          <w:highlight w:val="none"/>
        </w:rPr>
        <w:t>90%满量程</w:t>
      </w:r>
      <w:r>
        <w:rPr>
          <w:rFonts w:hint="eastAsia" w:ascii="宋体" w:hAnsi="宋体" w:eastAsia="宋体" w:cs="宋体"/>
          <w:color w:val="auto"/>
          <w:spacing w:val="-17"/>
          <w:sz w:val="24"/>
          <w:szCs w:val="24"/>
          <w:highlight w:val="none"/>
        </w:rPr>
        <w:t>）</w:t>
      </w:r>
    </w:p>
    <w:p w14:paraId="5D44AC79">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采样流量：≥1.0LPM</w:t>
      </w:r>
    </w:p>
    <w:p w14:paraId="5C4D296E">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电源要求：220±10%VAC,50Hz</w:t>
      </w:r>
    </w:p>
    <w:p w14:paraId="0F170B01">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模拟输出信号：DC 0～1.0V、0～5.0V、0～10.0V、0-20mA</w:t>
      </w:r>
    </w:p>
    <w:p w14:paraId="5D45BB6C">
      <w:pPr>
        <w:pStyle w:val="17"/>
        <w:pageBreakBefore w:val="0"/>
        <w:kinsoku/>
        <w:wordWrap/>
        <w:overflowPunct/>
        <w:topLinePunct w:val="0"/>
        <w:bidi w:val="0"/>
        <w:adjustRightInd/>
        <w:spacing w:line="360" w:lineRule="auto"/>
        <w:ind w:lef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数字输出信号：</w:t>
      </w:r>
      <w:r>
        <w:rPr>
          <w:rFonts w:hint="eastAsia" w:ascii="宋体" w:hAnsi="宋体" w:eastAsia="宋体" w:cs="宋体"/>
          <w:color w:val="auto"/>
          <w:spacing w:val="-3"/>
          <w:sz w:val="24"/>
          <w:szCs w:val="24"/>
          <w:highlight w:val="none"/>
        </w:rPr>
        <w:t>RS232/485</w:t>
      </w:r>
      <w:r>
        <w:rPr>
          <w:rFonts w:hint="eastAsia" w:ascii="宋体" w:hAnsi="宋体" w:eastAsia="宋体" w:cs="宋体"/>
          <w:color w:val="auto"/>
          <w:spacing w:val="-14"/>
          <w:sz w:val="24"/>
          <w:szCs w:val="24"/>
          <w:highlight w:val="none"/>
        </w:rPr>
        <w:t xml:space="preserve"> 数字接口；数字接口至少 </w:t>
      </w:r>
      <w:r>
        <w:rPr>
          <w:rFonts w:hint="eastAsia" w:ascii="宋体" w:hAnsi="宋体" w:eastAsia="宋体" w:cs="宋体"/>
          <w:color w:val="auto"/>
          <w:sz w:val="24"/>
          <w:szCs w:val="24"/>
          <w:highlight w:val="none"/>
        </w:rPr>
        <w:t>2</w:t>
      </w:r>
      <w:r>
        <w:rPr>
          <w:rFonts w:hint="eastAsia" w:ascii="宋体" w:hAnsi="宋体" w:eastAsia="宋体" w:cs="宋体"/>
          <w:color w:val="auto"/>
          <w:spacing w:val="-46"/>
          <w:sz w:val="24"/>
          <w:szCs w:val="24"/>
          <w:highlight w:val="none"/>
        </w:rPr>
        <w:t xml:space="preserve"> 个</w:t>
      </w:r>
      <w:r>
        <w:rPr>
          <w:rFonts w:hint="eastAsia"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rPr>
        <w:t>分别用于本地数采仪、</w:t>
      </w:r>
      <w:r>
        <w:rPr>
          <w:rFonts w:hint="eastAsia" w:ascii="宋体" w:hAnsi="宋体" w:eastAsia="宋体" w:cs="宋体"/>
          <w:color w:val="auto"/>
          <w:spacing w:val="-5"/>
          <w:sz w:val="24"/>
          <w:szCs w:val="24"/>
          <w:highlight w:val="none"/>
        </w:rPr>
        <w:t xml:space="preserve">VPN </w:t>
      </w:r>
      <w:r>
        <w:rPr>
          <w:rFonts w:hint="eastAsia" w:ascii="宋体" w:hAnsi="宋体" w:eastAsia="宋体" w:cs="宋体"/>
          <w:color w:val="auto"/>
          <w:sz w:val="24"/>
          <w:szCs w:val="24"/>
          <w:highlight w:val="none"/>
        </w:rPr>
        <w:t>实时传输和智能维护和质控系统接口）</w:t>
      </w:r>
    </w:p>
    <w:p w14:paraId="08D2DD3D">
      <w:pPr>
        <w:pStyle w:val="17"/>
        <w:pageBreakBefore w:val="0"/>
        <w:kinsoku/>
        <w:wordWrap/>
        <w:overflowPunct/>
        <w:topLinePunct w:val="0"/>
        <w:bidi w:val="0"/>
        <w:adjustRightInd/>
        <w:spacing w:line="360" w:lineRule="auto"/>
        <w:ind w:left="0" w:firstLine="47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 xml:space="preserve">数据存储功能：独立内存，支持参数存储，可存储超过 </w:t>
      </w:r>
      <w:r>
        <w:rPr>
          <w:rFonts w:hint="eastAsia" w:ascii="宋体" w:hAnsi="宋体" w:eastAsia="宋体" w:cs="宋体"/>
          <w:color w:val="auto"/>
          <w:sz w:val="24"/>
          <w:szCs w:val="24"/>
          <w:highlight w:val="none"/>
        </w:rPr>
        <w:t>100</w:t>
      </w:r>
      <w:r>
        <w:rPr>
          <w:rFonts w:hint="eastAsia" w:ascii="宋体" w:hAnsi="宋体" w:eastAsia="宋体" w:cs="宋体"/>
          <w:color w:val="auto"/>
          <w:spacing w:val="-25"/>
          <w:sz w:val="24"/>
          <w:szCs w:val="24"/>
          <w:highlight w:val="none"/>
        </w:rPr>
        <w:t xml:space="preserve"> 天的 </w:t>
      </w:r>
      <w:r>
        <w:rPr>
          <w:rFonts w:hint="eastAsia" w:ascii="宋体" w:hAnsi="宋体" w:eastAsia="宋体" w:cs="宋体"/>
          <w:color w:val="auto"/>
          <w:sz w:val="24"/>
          <w:szCs w:val="24"/>
          <w:highlight w:val="none"/>
        </w:rPr>
        <w:t>15</w:t>
      </w:r>
      <w:r>
        <w:rPr>
          <w:rFonts w:hint="eastAsia" w:ascii="宋体" w:hAnsi="宋体" w:eastAsia="宋体" w:cs="宋体"/>
          <w:color w:val="auto"/>
          <w:spacing w:val="-8"/>
          <w:sz w:val="24"/>
          <w:szCs w:val="24"/>
          <w:highlight w:val="none"/>
        </w:rPr>
        <w:t xml:space="preserve"> 分钟均值数据自动备份功能。</w:t>
      </w:r>
    </w:p>
    <w:p w14:paraId="63DA17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校准：能够具有自动校零、校跨功能，显示仪器的操作状态和远距离诊断。</w:t>
      </w:r>
    </w:p>
    <w:p w14:paraId="28A2A50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vertAlign w:val="baseline"/>
          <w:lang w:val="en-US" w:eastAsia="zh-CN"/>
        </w:rPr>
        <w:t>N</w:t>
      </w:r>
      <w:r>
        <w:rPr>
          <w:rFonts w:hint="eastAsia" w:ascii="宋体" w:hAnsi="宋体" w:eastAsia="宋体" w:cs="宋体"/>
          <w:b/>
          <w:bCs/>
          <w:color w:val="auto"/>
          <w:sz w:val="24"/>
          <w:szCs w:val="24"/>
          <w:highlight w:val="none"/>
          <w:vertAlign w:val="subscript"/>
          <w:lang w:val="en-US" w:eastAsia="zh-CN"/>
        </w:rPr>
        <w:t>2</w:t>
      </w:r>
      <w:r>
        <w:rPr>
          <w:rFonts w:hint="eastAsia" w:ascii="宋体" w:hAnsi="宋体" w:eastAsia="宋体" w:cs="宋体"/>
          <w:b/>
          <w:bCs/>
          <w:color w:val="auto"/>
          <w:sz w:val="24"/>
          <w:szCs w:val="24"/>
          <w:highlight w:val="none"/>
          <w:vertAlign w:val="baseline"/>
          <w:lang w:val="en-US" w:eastAsia="zh-CN"/>
        </w:rPr>
        <w:t>O自动监测仪</w:t>
      </w:r>
    </w:p>
    <w:p w14:paraId="3994DE92">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①设备用途：用于环境空气中一氧化二氮浓度的监测</w:t>
      </w:r>
    </w:p>
    <w:p w14:paraId="66803E34">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②配置要求：满足仪器设备安装和运行的全套配置</w:t>
      </w:r>
    </w:p>
    <w:p w14:paraId="5A275601">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③技术参数：</w:t>
      </w:r>
    </w:p>
    <w:p w14:paraId="446625A8">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分析方法：气体滤光相关法或类似符合国家相关规范方法。</w:t>
      </w:r>
    </w:p>
    <w:p w14:paraId="410853AE">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量程：0～0.2、0.5、1、2、5、50ppm 或更多可选量程，具有量程自动切换功能。</w:t>
      </w:r>
    </w:p>
    <w:p w14:paraId="43A7392E">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最低检测限：≤0.02ppm RMS（30 秒平均时间） 零点噪声：≤0.01ppm RMS（30 秒平均时间）</w:t>
      </w:r>
    </w:p>
    <w:p w14:paraId="698E4AB1">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零漂（24</w:t>
      </w:r>
      <w:r>
        <w:rPr>
          <w:rFonts w:hint="eastAsia" w:ascii="宋体" w:hAnsi="宋体" w:eastAsia="宋体" w:cs="宋体"/>
          <w:color w:val="auto"/>
          <w:spacing w:val="-20"/>
          <w:sz w:val="24"/>
          <w:szCs w:val="24"/>
          <w:highlight w:val="none"/>
        </w:rPr>
        <w:t xml:space="preserve"> 小时</w:t>
      </w:r>
      <w:r>
        <w:rPr>
          <w:rFonts w:hint="eastAsia" w:ascii="宋体" w:hAnsi="宋体" w:eastAsia="宋体" w:cs="宋体"/>
          <w:color w:val="auto"/>
          <w:spacing w:val="-120"/>
          <w:sz w:val="24"/>
          <w:szCs w:val="24"/>
          <w:highlight w:val="none"/>
        </w:rPr>
        <w:t>）</w:t>
      </w:r>
      <w:r>
        <w:rPr>
          <w:rFonts w:hint="eastAsia" w:ascii="宋体" w:hAnsi="宋体" w:eastAsia="宋体" w:cs="宋体"/>
          <w:color w:val="auto"/>
          <w:sz w:val="24"/>
          <w:szCs w:val="24"/>
          <w:highlight w:val="none"/>
        </w:rPr>
        <w:t>：≤0.05ppm</w:t>
      </w:r>
    </w:p>
    <w:p w14:paraId="7374DFB3">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跨漂（24</w:t>
      </w:r>
      <w:r>
        <w:rPr>
          <w:rFonts w:hint="eastAsia" w:ascii="宋体" w:hAnsi="宋体" w:eastAsia="宋体" w:cs="宋体"/>
          <w:color w:val="auto"/>
          <w:spacing w:val="-20"/>
          <w:sz w:val="24"/>
          <w:szCs w:val="24"/>
          <w:highlight w:val="none"/>
        </w:rPr>
        <w:t xml:space="preserve"> 小时</w:t>
      </w:r>
      <w:r>
        <w:rPr>
          <w:rFonts w:hint="eastAsia" w:ascii="宋体" w:hAnsi="宋体" w:eastAsia="宋体" w:cs="宋体"/>
          <w:color w:val="auto"/>
          <w:spacing w:val="-120"/>
          <w:sz w:val="24"/>
          <w:szCs w:val="24"/>
          <w:highlight w:val="none"/>
        </w:rPr>
        <w:t>）</w:t>
      </w:r>
      <w:r>
        <w:rPr>
          <w:rFonts w:hint="eastAsia" w:ascii="宋体" w:hAnsi="宋体" w:eastAsia="宋体" w:cs="宋体"/>
          <w:color w:val="auto"/>
          <w:sz w:val="24"/>
          <w:szCs w:val="24"/>
          <w:highlight w:val="none"/>
        </w:rPr>
        <w:t>：≤±1.0%F.S.</w:t>
      </w:r>
    </w:p>
    <w:p w14:paraId="29B2EF67">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响应时间：≤60 秒（从 0 上升到 90%满量程）</w:t>
      </w:r>
    </w:p>
    <w:p w14:paraId="5B43912E">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精度：≤±0.4ppb（500ppb 量程） 线性：±</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.0%满量程</w:t>
      </w:r>
    </w:p>
    <w:p w14:paraId="6476B8F7">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样气流速：≥0.5-2.0 LPM</w:t>
      </w:r>
    </w:p>
    <w:p w14:paraId="74C639C7">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诊断功能：仪器有自诊断及报警功能电源要求：220±10%VAC,50Hz</w:t>
      </w:r>
    </w:p>
    <w:p w14:paraId="10DFBA4B">
      <w:pPr>
        <w:pStyle w:val="17"/>
        <w:pageBreakBefore w:val="0"/>
        <w:kinsoku/>
        <w:wordWrap/>
        <w:overflowPunct/>
        <w:topLinePunct w:val="0"/>
        <w:bidi w:val="0"/>
        <w:adjustRightIn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模拟输出信号：DC 0～1.0V、0～5.0V、0～10.0V、0-20mA</w:t>
      </w:r>
    </w:p>
    <w:p w14:paraId="1E97CF74">
      <w:pPr>
        <w:pStyle w:val="17"/>
        <w:pageBreakBefore w:val="0"/>
        <w:kinsoku/>
        <w:wordWrap/>
        <w:overflowPunct/>
        <w:topLinePunct w:val="0"/>
        <w:bidi w:val="0"/>
        <w:adjustRightInd/>
        <w:spacing w:line="360" w:lineRule="auto"/>
        <w:ind w:left="0" w:firstLine="476"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数字输出信号：</w:t>
      </w:r>
      <w:r>
        <w:rPr>
          <w:rFonts w:hint="eastAsia" w:ascii="宋体" w:hAnsi="宋体" w:eastAsia="宋体" w:cs="宋体"/>
          <w:color w:val="auto"/>
          <w:spacing w:val="-3"/>
          <w:sz w:val="24"/>
          <w:szCs w:val="24"/>
          <w:highlight w:val="none"/>
        </w:rPr>
        <w:t>RS232/485</w:t>
      </w:r>
      <w:r>
        <w:rPr>
          <w:rFonts w:hint="eastAsia" w:ascii="宋体" w:hAnsi="宋体" w:eastAsia="宋体" w:cs="宋体"/>
          <w:color w:val="auto"/>
          <w:spacing w:val="-14"/>
          <w:sz w:val="24"/>
          <w:szCs w:val="24"/>
          <w:highlight w:val="none"/>
        </w:rPr>
        <w:t xml:space="preserve"> 数字接口；数字接口至少 </w:t>
      </w:r>
      <w:r>
        <w:rPr>
          <w:rFonts w:hint="eastAsia" w:ascii="宋体" w:hAnsi="宋体" w:eastAsia="宋体" w:cs="宋体"/>
          <w:color w:val="auto"/>
          <w:sz w:val="24"/>
          <w:szCs w:val="24"/>
          <w:highlight w:val="none"/>
        </w:rPr>
        <w:t>2</w:t>
      </w:r>
      <w:r>
        <w:rPr>
          <w:rFonts w:hint="eastAsia" w:ascii="宋体" w:hAnsi="宋体" w:eastAsia="宋体" w:cs="宋体"/>
          <w:color w:val="auto"/>
          <w:spacing w:val="-46"/>
          <w:sz w:val="24"/>
          <w:szCs w:val="24"/>
          <w:highlight w:val="none"/>
        </w:rPr>
        <w:t xml:space="preserve"> 个</w:t>
      </w:r>
      <w:r>
        <w:rPr>
          <w:rFonts w:hint="eastAsia" w:ascii="宋体" w:hAnsi="宋体" w:eastAsia="宋体" w:cs="宋体"/>
          <w:color w:val="auto"/>
          <w:sz w:val="24"/>
          <w:szCs w:val="24"/>
          <w:highlight w:val="none"/>
        </w:rPr>
        <w:t>（</w:t>
      </w:r>
      <w:r>
        <w:rPr>
          <w:rFonts w:hint="eastAsia" w:ascii="宋体" w:hAnsi="宋体" w:eastAsia="宋体" w:cs="宋体"/>
          <w:color w:val="auto"/>
          <w:spacing w:val="-4"/>
          <w:sz w:val="24"/>
          <w:szCs w:val="24"/>
          <w:highlight w:val="none"/>
        </w:rPr>
        <w:t>分别用于本地数采仪、</w:t>
      </w:r>
      <w:r>
        <w:rPr>
          <w:rFonts w:hint="eastAsia" w:ascii="宋体" w:hAnsi="宋体" w:eastAsia="宋体" w:cs="宋体"/>
          <w:color w:val="auto"/>
          <w:spacing w:val="-5"/>
          <w:sz w:val="24"/>
          <w:szCs w:val="24"/>
          <w:highlight w:val="none"/>
        </w:rPr>
        <w:t xml:space="preserve">VPN </w:t>
      </w:r>
      <w:r>
        <w:rPr>
          <w:rFonts w:hint="eastAsia" w:ascii="宋体" w:hAnsi="宋体" w:eastAsia="宋体" w:cs="宋体"/>
          <w:color w:val="auto"/>
          <w:sz w:val="24"/>
          <w:szCs w:val="24"/>
          <w:highlight w:val="none"/>
        </w:rPr>
        <w:t>实时传输和智能维护和质控系统接口</w:t>
      </w:r>
      <w:r>
        <w:rPr>
          <w:rFonts w:hint="eastAsia" w:ascii="宋体" w:hAnsi="宋体" w:eastAsia="宋体" w:cs="宋体"/>
          <w:color w:val="auto"/>
          <w:spacing w:val="-118"/>
          <w:sz w:val="24"/>
          <w:szCs w:val="24"/>
          <w:highlight w:val="none"/>
        </w:rPr>
        <w:t>）</w:t>
      </w:r>
      <w:r>
        <w:rPr>
          <w:rFonts w:hint="eastAsia" w:ascii="宋体" w:hAnsi="宋体" w:eastAsia="宋体" w:cs="宋体"/>
          <w:color w:val="auto"/>
          <w:sz w:val="24"/>
          <w:szCs w:val="24"/>
          <w:highlight w:val="none"/>
        </w:rPr>
        <w:t>；数据存储功能：独立内存，支持参数存储，可存</w:t>
      </w:r>
      <w:r>
        <w:rPr>
          <w:rFonts w:hint="eastAsia" w:ascii="宋体" w:hAnsi="宋体" w:eastAsia="宋体" w:cs="宋体"/>
          <w:color w:val="auto"/>
          <w:spacing w:val="-15"/>
          <w:sz w:val="24"/>
          <w:szCs w:val="24"/>
          <w:highlight w:val="none"/>
        </w:rPr>
        <w:t xml:space="preserve">储超过 </w:t>
      </w:r>
      <w:r>
        <w:rPr>
          <w:rFonts w:hint="eastAsia" w:ascii="宋体" w:hAnsi="宋体" w:eastAsia="宋体" w:cs="宋体"/>
          <w:color w:val="auto"/>
          <w:sz w:val="24"/>
          <w:szCs w:val="24"/>
          <w:highlight w:val="none"/>
        </w:rPr>
        <w:t>100</w:t>
      </w:r>
      <w:r>
        <w:rPr>
          <w:rFonts w:hint="eastAsia" w:ascii="宋体" w:hAnsi="宋体" w:eastAsia="宋体" w:cs="宋体"/>
          <w:color w:val="auto"/>
          <w:spacing w:val="-30"/>
          <w:sz w:val="24"/>
          <w:szCs w:val="24"/>
          <w:highlight w:val="none"/>
        </w:rPr>
        <w:t xml:space="preserve"> 天的 </w:t>
      </w:r>
      <w:r>
        <w:rPr>
          <w:rFonts w:hint="eastAsia" w:ascii="宋体" w:hAnsi="宋体" w:eastAsia="宋体" w:cs="宋体"/>
          <w:color w:val="auto"/>
          <w:sz w:val="24"/>
          <w:szCs w:val="24"/>
          <w:highlight w:val="none"/>
        </w:rPr>
        <w:t>15</w:t>
      </w:r>
      <w:r>
        <w:rPr>
          <w:rFonts w:hint="eastAsia" w:ascii="宋体" w:hAnsi="宋体" w:eastAsia="宋体" w:cs="宋体"/>
          <w:color w:val="auto"/>
          <w:spacing w:val="-8"/>
          <w:sz w:val="24"/>
          <w:szCs w:val="24"/>
          <w:highlight w:val="none"/>
        </w:rPr>
        <w:t xml:space="preserve"> 分钟均值数据自动备份功能。</w:t>
      </w:r>
    </w:p>
    <w:p w14:paraId="386A9C57">
      <w:pPr>
        <w:pStyle w:val="17"/>
        <w:pageBreakBefore w:val="0"/>
        <w:kinsoku/>
        <w:wordWrap/>
        <w:overflowPunct/>
        <w:topLinePunct w:val="0"/>
        <w:bidi w:val="0"/>
        <w:adjustRightIn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校准：能够具有自动校零、校跨功能，显示仪器的操作状态和远距离诊断。</w:t>
      </w:r>
    </w:p>
    <w:p w14:paraId="41CBB515">
      <w:pPr>
        <w:rPr>
          <w:rFonts w:hint="eastAsia"/>
          <w:highlight w:val="none"/>
          <w:lang w:val="en-US" w:eastAsia="zh-CN"/>
        </w:rPr>
      </w:pPr>
    </w:p>
    <w:p w14:paraId="2C39904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温室气体质控设备及标气耗材</w:t>
      </w:r>
    </w:p>
    <w:p w14:paraId="194C34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 xml:space="preserve">   采样总管、铜解压阀、不锈钢减压阀、氮气、CO</w:t>
      </w:r>
      <w:r>
        <w:rPr>
          <w:rFonts w:hint="eastAsia" w:ascii="宋体" w:hAnsi="宋体" w:eastAsia="宋体" w:cs="宋体"/>
          <w:b w:val="0"/>
          <w:bCs w:val="0"/>
          <w:color w:val="auto"/>
          <w:sz w:val="24"/>
          <w:szCs w:val="24"/>
          <w:highlight w:val="none"/>
          <w:vertAlign w:val="subscript"/>
          <w:lang w:val="en-US" w:eastAsia="zh-CN"/>
        </w:rPr>
        <w:t>2</w:t>
      </w:r>
      <w:r>
        <w:rPr>
          <w:rFonts w:hint="eastAsia" w:ascii="宋体" w:hAnsi="宋体" w:eastAsia="宋体" w:cs="宋体"/>
          <w:b w:val="0"/>
          <w:bCs w:val="0"/>
          <w:color w:val="auto"/>
          <w:sz w:val="24"/>
          <w:szCs w:val="24"/>
          <w:highlight w:val="none"/>
          <w:vertAlign w:val="baseline"/>
          <w:lang w:val="en-US" w:eastAsia="zh-CN"/>
        </w:rPr>
        <w:t>/N</w:t>
      </w:r>
      <w:r>
        <w:rPr>
          <w:rFonts w:hint="eastAsia" w:ascii="宋体" w:hAnsi="宋体" w:eastAsia="宋体" w:cs="宋体"/>
          <w:b w:val="0"/>
          <w:bCs w:val="0"/>
          <w:color w:val="auto"/>
          <w:sz w:val="24"/>
          <w:szCs w:val="24"/>
          <w:highlight w:val="none"/>
          <w:vertAlign w:val="subscript"/>
          <w:lang w:val="en-US" w:eastAsia="zh-CN"/>
        </w:rPr>
        <w:t>2</w:t>
      </w:r>
      <w:r>
        <w:rPr>
          <w:rFonts w:hint="eastAsia" w:ascii="宋体" w:hAnsi="宋体" w:eastAsia="宋体" w:cs="宋体"/>
          <w:b w:val="0"/>
          <w:bCs w:val="0"/>
          <w:color w:val="auto"/>
          <w:sz w:val="24"/>
          <w:szCs w:val="24"/>
          <w:highlight w:val="none"/>
          <w:vertAlign w:val="baseline"/>
          <w:lang w:val="en-US" w:eastAsia="zh-CN"/>
        </w:rPr>
        <w:t>O标气</w:t>
      </w:r>
    </w:p>
    <w:p w14:paraId="573D1C67">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三、</w:t>
      </w:r>
      <w:r>
        <w:rPr>
          <w:rFonts w:hint="eastAsia" w:ascii="宋体" w:hAnsi="宋体" w:eastAsia="宋体" w:cs="宋体"/>
          <w:b/>
          <w:bCs/>
          <w:color w:val="auto"/>
          <w:sz w:val="24"/>
          <w:szCs w:val="24"/>
          <w:highlight w:val="none"/>
          <w:vertAlign w:val="baseline"/>
          <w:lang w:val="en-US" w:eastAsia="zh-CN"/>
        </w:rPr>
        <w:t>道路交通声自动监测系统</w:t>
      </w:r>
      <w:r>
        <w:rPr>
          <w:rFonts w:hint="eastAsia" w:ascii="宋体" w:hAnsi="宋体" w:cs="宋体"/>
          <w:b/>
          <w:bCs/>
          <w:color w:val="auto"/>
          <w:sz w:val="24"/>
          <w:szCs w:val="24"/>
          <w:highlight w:val="none"/>
          <w:vertAlign w:val="baseline"/>
          <w:lang w:val="en-US" w:eastAsia="zh-CN"/>
        </w:rPr>
        <w:t>（1套）</w:t>
      </w:r>
    </w:p>
    <w:p w14:paraId="157497D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环境噪声自动监测仪（含自动校准系统）</w:t>
      </w:r>
    </w:p>
    <w:p w14:paraId="416815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（1）整体要求</w:t>
      </w:r>
    </w:p>
    <w:p w14:paraId="27FF84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噪声自动监测仪整机（含带风罩的户外传声器）应符合JJG778《噪声统计分析仪检定规程》1级要求。</w:t>
      </w:r>
    </w:p>
    <w:p w14:paraId="214322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数据采集率：≥99.5%。</w:t>
      </w:r>
    </w:p>
    <w:p w14:paraId="028EFD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本机噪声（A计权）：≤24dB。</w:t>
      </w:r>
    </w:p>
    <w:p w14:paraId="089AEF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温度稳定性：-30℃～50℃环境条件下≤±0.2dB。</w:t>
      </w:r>
    </w:p>
    <w:p w14:paraId="0135D4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相对湿度稳定性：0%RH～100%RH环境条件下≤±0.1dB。</w:t>
      </w:r>
    </w:p>
    <w:p w14:paraId="410EFE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（2）户外传声系统</w:t>
      </w:r>
    </w:p>
    <w:p w14:paraId="3BEBED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具有防风、防腐、防水、防干扰功能，可长期放置于户外，并稳定正常工作。</w:t>
      </w:r>
    </w:p>
    <w:p w14:paraId="357A77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灵敏度：在250Hz的声压灵敏度应大于30mV/Pa。</w:t>
      </w:r>
    </w:p>
    <w:p w14:paraId="6858DE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指向性响应：支持0°和90°入射。</w:t>
      </w:r>
    </w:p>
    <w:p w14:paraId="6ADCA1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传声器风罩防风能力：在风速 10m/s 时，防风性能应至少达到 30dB，传声器风罩在风速 30m/s 时应不变形</w:t>
      </w:r>
      <w:r>
        <w:rPr>
          <w:rFonts w:hint="eastAsia" w:ascii="宋体" w:hAnsi="宋体" w:eastAsia="宋体" w:cs="宋体"/>
          <w:b/>
          <w:bCs/>
          <w:color w:val="auto"/>
          <w:sz w:val="24"/>
          <w:szCs w:val="24"/>
          <w:highlight w:val="none"/>
        </w:rPr>
        <w:t>。</w:t>
      </w:r>
    </w:p>
    <w:p w14:paraId="6AB45B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符合JJG 175-2015《工作标准传声器（静电激励器法）检定规程》的WS2级标准要求。</w:t>
      </w:r>
    </w:p>
    <w:p w14:paraId="163BE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（3）噪声采集分析系统</w:t>
      </w:r>
    </w:p>
    <w:p w14:paraId="519A50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计量要求：应符合JJG449-2014《倍频程和分数倍频程滤波器检定规程》中1级仪器的要求</w:t>
      </w:r>
      <w:r>
        <w:rPr>
          <w:rFonts w:hint="eastAsia" w:ascii="宋体" w:hAnsi="宋体" w:eastAsia="宋体" w:cs="宋体"/>
          <w:b/>
          <w:bCs/>
          <w:color w:val="auto"/>
          <w:sz w:val="24"/>
          <w:szCs w:val="24"/>
          <w:highlight w:val="none"/>
        </w:rPr>
        <w:t>。</w:t>
      </w:r>
    </w:p>
    <w:p w14:paraId="536395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频率范围：10Hz～20KHz。</w:t>
      </w:r>
    </w:p>
    <w:p w14:paraId="6B7611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测量下限不高于30dB（A），测量上限不低于130dB（A）</w:t>
      </w:r>
      <w:r>
        <w:rPr>
          <w:rFonts w:hint="eastAsia" w:ascii="宋体" w:hAnsi="宋体" w:eastAsia="宋体" w:cs="宋体"/>
          <w:b/>
          <w:bCs/>
          <w:color w:val="auto"/>
          <w:sz w:val="24"/>
          <w:szCs w:val="24"/>
          <w:highlight w:val="none"/>
        </w:rPr>
        <w:t>。</w:t>
      </w:r>
    </w:p>
    <w:p w14:paraId="761641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具有A、C、Z频率计权方式。</w:t>
      </w:r>
    </w:p>
    <w:p w14:paraId="1A0E2E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具有F、S时间计权方式，采样时间间隔不大于1s。</w:t>
      </w:r>
    </w:p>
    <w:p w14:paraId="26AAD0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测量参数应包含瞬时声级LP、等效声级Leq、累积百分声级LN（N=5，10，50，90，95)最大声级 Lmax、最小声级 Lmin、标准差SD等。</w:t>
      </w:r>
    </w:p>
    <w:p w14:paraId="16574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配置1/1倍频程或1/3倍频程分析功能。</w:t>
      </w:r>
    </w:p>
    <w:p w14:paraId="1A6291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具有远程设置统计分析时间功能，在自定义时间段内生成Leq、LN、Lmax、Lmin、SD及采集率等统计数据，能够同时生成小时统计和天统计数据（Ld、Ln、Ldn）。</w:t>
      </w:r>
    </w:p>
    <w:p w14:paraId="4862C2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具有对超出某一限值的声音的触发录音功能及远程回放功能，触发限值和录音时间可设置。</w:t>
      </w:r>
    </w:p>
    <w:p w14:paraId="7759DD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监测原始数据及录音数据存储时间大于60天，支持通过通用通讯接口下载数据。</w:t>
      </w:r>
    </w:p>
    <w:p w14:paraId="127031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（4）自动校准系统</w:t>
      </w:r>
    </w:p>
    <w:p w14:paraId="157C8D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采用静电激励法实现远程自动校准与远程自检，支持周期性自动执行校准/自检任务，可任意设定自检频次；可对校准任务执行过程中产生的数据信息进行完整保存。</w:t>
      </w:r>
    </w:p>
    <w:p w14:paraId="67197A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具有自动校时功能，系统中任何时钟的不一致性小于2秒，每天最大偏差小于2秒。</w:t>
      </w:r>
    </w:p>
    <w:p w14:paraId="0D0184A1">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车流量自动计数分类统计系统</w:t>
      </w:r>
    </w:p>
    <w:p w14:paraId="51AA48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检测原理：微波雷达。</w:t>
      </w:r>
    </w:p>
    <w:p w14:paraId="48ECFB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可检测车道：最多（双向）12车道。</w:t>
      </w:r>
    </w:p>
    <w:p w14:paraId="26A693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车辆分型：用户自定义车辆种类数，不少于3种（根据长度分类）。</w:t>
      </w:r>
    </w:p>
    <w:p w14:paraId="01DC07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车道宽度：2m～6m范围可调。</w:t>
      </w:r>
    </w:p>
    <w:p w14:paraId="34F626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检测断面车流量准确率＞97%。</w:t>
      </w:r>
    </w:p>
    <w:p w14:paraId="07E46B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单车道流量准确率＞97%。</w:t>
      </w:r>
    </w:p>
    <w:p w14:paraId="7B9779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单车实时速度＞97%。</w:t>
      </w:r>
    </w:p>
    <w:p w14:paraId="1EE69A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断面实时平均速度准确率＞97%。</w:t>
      </w:r>
    </w:p>
    <w:p w14:paraId="6C3AE3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通信接口：支持LoRa通讯方式。</w:t>
      </w:r>
    </w:p>
    <w:p w14:paraId="132AB369">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交流供电系统、数据采集与传输系统</w:t>
      </w:r>
    </w:p>
    <w:p w14:paraId="0E96E8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（1）交流供电单元</w:t>
      </w:r>
    </w:p>
    <w:p w14:paraId="60A2AB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具备市电供电功能。</w:t>
      </w:r>
    </w:p>
    <w:p w14:paraId="11DE03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供电部分绝缘电阻大于20MΩ。</w:t>
      </w:r>
    </w:p>
    <w:p w14:paraId="37B7063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各独立部件有接地措施。</w:t>
      </w:r>
    </w:p>
    <w:p w14:paraId="2F016C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具有防雷设计。</w:t>
      </w:r>
    </w:p>
    <w:p w14:paraId="16A7D7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具有漏电保护装置和防盗报警装置。</w:t>
      </w:r>
    </w:p>
    <w:p w14:paraId="7B253C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在子站死机后有自动重启功能。</w:t>
      </w:r>
    </w:p>
    <w:p w14:paraId="7349FC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（2）数据采集与传输系统</w:t>
      </w:r>
    </w:p>
    <w:p w14:paraId="11EA23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采用有线传输/4G/5G无线通讯方式。</w:t>
      </w:r>
    </w:p>
    <w:p w14:paraId="565A88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在电力和通讯发生临时故障时不影响数据采集及存储，故障恢复后自动补传延误数据，永久断电不丢失已采集数据，数据总采集率不低于95%。</w:t>
      </w:r>
    </w:p>
    <w:p w14:paraId="3D315F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能实时采集传输噪声自动监测原始数据和录音数据，可扩展其他相关参数，如视频、降雨量、经纬度、道路交通车流量等。</w:t>
      </w:r>
    </w:p>
    <w:p w14:paraId="3D32FE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数据传输模式、传输流程、传输格式等应满足HJ660或HJ212的有关规定。</w:t>
      </w:r>
    </w:p>
    <w:p w14:paraId="45B3074E">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其他监测设备</w:t>
      </w:r>
      <w:r>
        <w:rPr>
          <w:rFonts w:hint="eastAsia" w:ascii="宋体" w:hAnsi="宋体" w:cs="宋体"/>
          <w:b/>
          <w:bCs/>
          <w:color w:val="auto"/>
          <w:sz w:val="24"/>
          <w:szCs w:val="24"/>
          <w:highlight w:val="none"/>
          <w:lang w:val="en-US" w:eastAsia="zh-CN"/>
        </w:rPr>
        <w:t>（1套）</w:t>
      </w:r>
    </w:p>
    <w:p w14:paraId="5D449EA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气象五参数</w:t>
      </w:r>
    </w:p>
    <w:p w14:paraId="638BB6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①设备用途：用于气象五参数的测定</w:t>
      </w:r>
    </w:p>
    <w:p w14:paraId="310E01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②配置要求：能够支持接入子站相关数据采集系统</w:t>
      </w:r>
    </w:p>
    <w:p w14:paraId="281909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③技术参数：</w:t>
      </w:r>
    </w:p>
    <w:p w14:paraId="66660C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原理方法：电磁感应、数字显示</w:t>
      </w:r>
    </w:p>
    <w:p w14:paraId="6BE787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温度：（-40～+60）±0.5℃</w:t>
      </w:r>
    </w:p>
    <w:p w14:paraId="7CD9B7A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湿度：（0～100%）±3%RH</w:t>
      </w:r>
    </w:p>
    <w:p w14:paraId="2DC184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气压：800～1100百帕，±1百帕（或适用于当地气压条件）</w:t>
      </w:r>
    </w:p>
    <w:p w14:paraId="553EC3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风向：0～360°，±5°</w:t>
      </w:r>
    </w:p>
    <w:p w14:paraId="749AD0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风速：（0～20）±1 m/s</w:t>
      </w:r>
    </w:p>
    <w:p w14:paraId="695374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气象塔座：</w:t>
      </w:r>
    </w:p>
    <w:p w14:paraId="3CD4A8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配置专用气象塔和气象杆，其垂直高度应＞3米（根据监测平台离地面高度）。</w:t>
      </w:r>
    </w:p>
    <w:p w14:paraId="28E779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具有良好的抗酸雨、抗腐蚀性，不漏电漏雨</w:t>
      </w:r>
    </w:p>
    <w:p w14:paraId="5D9A76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安装相应的气象传感器后，能承受10级以上的风力</w:t>
      </w:r>
    </w:p>
    <w:p w14:paraId="4F7DBFB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多波段紫外辐射仪</w:t>
      </w:r>
    </w:p>
    <w:p w14:paraId="4B42B382">
      <w:pPr>
        <w:pStyle w:val="2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line="360" w:lineRule="auto"/>
        <w:ind w:leftChars="0" w:firstLine="528"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光谱范围  280～400nm(UVAB)，315～400nm(UVA)，280～315nm(UVB)</w:t>
      </w:r>
    </w:p>
    <w:p w14:paraId="765C9D49">
      <w:pPr>
        <w:pStyle w:val="2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line="360" w:lineRule="auto"/>
        <w:ind w:leftChars="0" w:firstLine="528"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信号范围  0～300W/m2(UVAB)，0～300W/m2(UVA)，0～10W/m2(UVB)</w:t>
      </w:r>
    </w:p>
    <w:p w14:paraId="2562CC18">
      <w:pPr>
        <w:pStyle w:val="2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line="360" w:lineRule="auto"/>
        <w:ind w:leftChars="0" w:firstLine="528"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输出信号  0～20mV，485</w:t>
      </w:r>
    </w:p>
    <w:p w14:paraId="53D203F4">
      <w:pPr>
        <w:pStyle w:val="2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line="360" w:lineRule="auto"/>
        <w:ind w:leftChars="0" w:firstLine="528"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灵 敏 度  10～500μV/W•m-2</w:t>
      </w:r>
    </w:p>
    <w:p w14:paraId="101A04B6">
      <w:pPr>
        <w:pStyle w:val="2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line="360" w:lineRule="auto"/>
        <w:ind w:leftChars="0" w:firstLine="528"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响应时间  ≤10秒(99%)</w:t>
      </w:r>
    </w:p>
    <w:p w14:paraId="72A3C27E">
      <w:pPr>
        <w:pStyle w:val="2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line="360" w:lineRule="auto"/>
        <w:ind w:leftChars="0" w:firstLine="528"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内    阻  ＜30Ω</w:t>
      </w:r>
    </w:p>
    <w:p w14:paraId="6C91ACF0">
      <w:pPr>
        <w:pStyle w:val="2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line="360" w:lineRule="auto"/>
        <w:ind w:leftChars="0" w:firstLine="528"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年稳定度  ≤±2%</w:t>
      </w:r>
    </w:p>
    <w:p w14:paraId="6B53676F">
      <w:pPr>
        <w:pStyle w:val="2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line="360" w:lineRule="auto"/>
        <w:ind w:leftChars="0" w:firstLine="528"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余弦响应  ≤4%(太阳高度角30°时)</w:t>
      </w:r>
    </w:p>
    <w:p w14:paraId="5F502E2F">
      <w:pPr>
        <w:pStyle w:val="2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line="360" w:lineRule="auto"/>
        <w:ind w:leftChars="0" w:firstLine="528"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非 线 性  ±2%</w:t>
      </w:r>
    </w:p>
    <w:p w14:paraId="0DA346A2">
      <w:pPr>
        <w:pStyle w:val="2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line="360" w:lineRule="auto"/>
        <w:ind w:leftChars="0" w:firstLine="528"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温度误差  ±2%</w:t>
      </w:r>
    </w:p>
    <w:p w14:paraId="7F170C8A">
      <w:pPr>
        <w:pStyle w:val="24"/>
        <w:keepNext w:val="0"/>
        <w:keepLines w:val="0"/>
        <w:pageBreakBefore w:val="0"/>
        <w:widowControl w:val="0"/>
        <w:numPr>
          <w:ilvl w:val="0"/>
          <w:numId w:val="0"/>
        </w:numPr>
        <w:tabs>
          <w:tab w:val="left" w:pos="5625"/>
        </w:tabs>
        <w:kinsoku/>
        <w:wordWrap/>
        <w:overflowPunct/>
        <w:topLinePunct w:val="0"/>
        <w:autoSpaceDE/>
        <w:autoSpaceDN/>
        <w:bidi w:val="0"/>
        <w:adjustRightInd/>
        <w:snapToGrid/>
        <w:spacing w:line="360" w:lineRule="auto"/>
        <w:ind w:leftChars="0" w:firstLine="528"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工作环境温度  -50℃～+100℃</w:t>
      </w:r>
    </w:p>
    <w:p w14:paraId="32D90C6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工作环境湿度  0%～100%RH</w:t>
      </w:r>
    </w:p>
    <w:p w14:paraId="37961E56">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val="en-US" w:eastAsia="zh-CN"/>
        </w:rPr>
        <w:t>配套基础设施</w:t>
      </w:r>
    </w:p>
    <w:p w14:paraId="13DB85A6">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站房</w:t>
      </w:r>
    </w:p>
    <w:p w14:paraId="38628C40">
      <w:pPr>
        <w:pStyle w:val="2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站房应设置缓冲间，并保持常闭状态，防止灰尘和泥土带入监测设备间，标准智慧站房尽量内置楼梯，有效避免人为外来进入站房采样平台进行作业干扰；</w:t>
      </w:r>
    </w:p>
    <w:p w14:paraId="027DC33F">
      <w:pPr>
        <w:pStyle w:val="2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有防水、防潮、隔热和保温措施，站房内底部应离地表（或建筑房顶）有25cm以上的距离，站房内底部应具有防滑、阻燃设计。站房内机柜顶部或站房底部宜安装水浸传感报警装置，在站房顶部漏雨时可产生报警。</w:t>
      </w:r>
    </w:p>
    <w:p w14:paraId="36562ABD">
      <w:pPr>
        <w:pStyle w:val="2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站房内应设置气态监测仪器废气排出装置，气态监测仪器排气口连接到废气排出装置；站房内应安装排风扇，排风扇宜具备远程控制功能；</w:t>
      </w:r>
    </w:p>
    <w:p w14:paraId="1C34E78B">
      <w:pPr>
        <w:pStyle w:val="2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监测设备安装在机柜（架）内，机柜（架）应稳定、牢固、可靠、不易倾倒；机柜（架）与一侧墙壁之间的距离不宜小于1m，便于运维人员在机柜（架）侧面、后面开展运维工作。为确保站房内标气使用安全，应在站房内合理位置安装标气瓶固定装置；站房宜安装标气钢瓶压力检测传感器，实时监控标气钢瓶气压力；站房宜安装标气泄露检测装置，装置检测到标气发生泄露时触发报警，并与排风扇联动，排风扇能及时排出有害气体；</w:t>
      </w:r>
    </w:p>
    <w:p w14:paraId="59A21E05">
      <w:pPr>
        <w:pStyle w:val="2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站房房顶应设计为平面结构，站顶最大承重要求应大于等于250kg/m</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；站顶应做好防水处理，防止站房漏水；</w:t>
      </w:r>
    </w:p>
    <w:p w14:paraId="476103DB">
      <w:pPr>
        <w:pStyle w:val="2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站房房顶按照技术规范要求应配备气态采样总管、PM</w:t>
      </w:r>
      <w:r>
        <w:rPr>
          <w:rFonts w:hint="eastAsia" w:ascii="宋体" w:hAnsi="宋体" w:eastAsia="宋体" w:cs="宋体"/>
          <w:color w:val="auto"/>
          <w:sz w:val="24"/>
          <w:szCs w:val="24"/>
          <w:highlight w:val="none"/>
          <w:vertAlign w:val="subscript"/>
        </w:rPr>
        <w:t>2.5</w:t>
      </w:r>
      <w:r>
        <w:rPr>
          <w:rFonts w:hint="eastAsia" w:ascii="宋体" w:hAnsi="宋体" w:eastAsia="宋体" w:cs="宋体"/>
          <w:color w:val="auto"/>
          <w:sz w:val="24"/>
          <w:szCs w:val="24"/>
          <w:highlight w:val="none"/>
        </w:rPr>
        <w:t>采样管和PM</w:t>
      </w:r>
      <w:r>
        <w:rPr>
          <w:rFonts w:hint="eastAsia" w:ascii="宋体" w:hAnsi="宋体" w:eastAsia="宋体" w:cs="宋体"/>
          <w:color w:val="auto"/>
          <w:sz w:val="24"/>
          <w:szCs w:val="24"/>
          <w:highlight w:val="none"/>
          <w:vertAlign w:val="subscript"/>
        </w:rPr>
        <w:t>10</w:t>
      </w:r>
      <w:r>
        <w:rPr>
          <w:rFonts w:hint="eastAsia" w:ascii="宋体" w:hAnsi="宋体" w:eastAsia="宋体" w:cs="宋体"/>
          <w:color w:val="auto"/>
          <w:sz w:val="24"/>
          <w:szCs w:val="24"/>
          <w:highlight w:val="none"/>
        </w:rPr>
        <w:t>采样管安装孔各1个，并预留颗粒物比对采样管安装孔1-2个；采样管安装孔应保持在1.2m距离以上；采样管安装孔与站房顶部连接部分要密封防水，宜使用法兰连接；</w:t>
      </w:r>
    </w:p>
    <w:p w14:paraId="448FEC7A">
      <w:pPr>
        <w:pStyle w:val="2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气态污染物采样总管、PM</w:t>
      </w:r>
      <w:r>
        <w:rPr>
          <w:rFonts w:hint="eastAsia" w:ascii="宋体" w:hAnsi="宋体" w:eastAsia="宋体" w:cs="宋体"/>
          <w:color w:val="auto"/>
          <w:sz w:val="24"/>
          <w:szCs w:val="24"/>
          <w:highlight w:val="none"/>
          <w:vertAlign w:val="subscript"/>
        </w:rPr>
        <w:t>2.5</w:t>
      </w:r>
      <w:r>
        <w:rPr>
          <w:rFonts w:hint="eastAsia" w:ascii="宋体" w:hAnsi="宋体" w:eastAsia="宋体" w:cs="宋体"/>
          <w:color w:val="auto"/>
          <w:sz w:val="24"/>
          <w:szCs w:val="24"/>
          <w:highlight w:val="none"/>
        </w:rPr>
        <w:t>采样管和PM</w:t>
      </w:r>
      <w:r>
        <w:rPr>
          <w:rFonts w:hint="eastAsia" w:ascii="宋体" w:hAnsi="宋体" w:eastAsia="宋体" w:cs="宋体"/>
          <w:color w:val="auto"/>
          <w:sz w:val="24"/>
          <w:szCs w:val="24"/>
          <w:highlight w:val="none"/>
          <w:vertAlign w:val="subscript"/>
        </w:rPr>
        <w:t>10</w:t>
      </w:r>
      <w:r>
        <w:rPr>
          <w:rFonts w:hint="eastAsia" w:ascii="宋体" w:hAnsi="宋体" w:eastAsia="宋体" w:cs="宋体"/>
          <w:color w:val="auto"/>
          <w:sz w:val="24"/>
          <w:szCs w:val="24"/>
          <w:highlight w:val="none"/>
        </w:rPr>
        <w:t>采样管具备自动加热功能，加热温度可设定；采样总管内部具备温、湿度采集和流量采集、加热功率采集等远程控制功能；</w:t>
      </w:r>
    </w:p>
    <w:p w14:paraId="0F61189A">
      <w:pPr>
        <w:pStyle w:val="21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站房应设置必要的防盗措施，安装防盗门；</w:t>
      </w:r>
    </w:p>
    <w:p w14:paraId="16267B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站房室内应有照明设施，照明设施宜具备远程控制功能。</w:t>
      </w:r>
    </w:p>
    <w:p w14:paraId="0BABCEDA">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配套基础设施</w:t>
      </w:r>
    </w:p>
    <w:p w14:paraId="7702C2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配备的采样系统、机架、稳压电源等辅助设施</w:t>
      </w:r>
    </w:p>
    <w:p w14:paraId="799142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②配置要求：协调监测设备形成完整的工作良好的系统</w:t>
      </w:r>
    </w:p>
    <w:p w14:paraId="5C49CE9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③技术参数：</w:t>
      </w:r>
    </w:p>
    <w:p w14:paraId="54CB9D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配套采样系统技术参数：</w:t>
      </w:r>
    </w:p>
    <w:p w14:paraId="3F5538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采样头应能防止雨水、粗大颗粒物及昆虫等进入总管</w:t>
      </w:r>
    </w:p>
    <w:p w14:paraId="5A5A23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采样总管为多支路防水采样管路，材料应选用不与被监测污染物发生化学反应和不释放有干扰物质的材料，具备加热保温功能</w:t>
      </w:r>
    </w:p>
    <w:p w14:paraId="57F8CB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总管内径选择在1.5～15cm之间，采样总管内的气流应保持层流状态，气体在总管内的支流时间小于20秒。</w:t>
      </w:r>
    </w:p>
    <w:p w14:paraId="0527A9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支管数量满足所有气态项目的需要</w:t>
      </w:r>
    </w:p>
    <w:p w14:paraId="2B2CBF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采样管长度应能够保证高于站房房顶1.2米（保证采样不受周边障碍物影响）</w:t>
      </w:r>
    </w:p>
    <w:p w14:paraId="458A84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采样系统密封，与房体联接具有法兰或其他型式多级防渗水连接；与房体外联接的法兰必须为耐腐蚀和坚固不锈钢</w:t>
      </w:r>
    </w:p>
    <w:p w14:paraId="79E1D2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采样系统主管路为可拆卸式，在不影响房顶外部法兰连接和仪器端连接情况下方便拆洗维护</w:t>
      </w:r>
    </w:p>
    <w:p w14:paraId="7A7A05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机架技术参数</w:t>
      </w:r>
    </w:p>
    <w:p w14:paraId="7EB1E9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适当数量的立式机柜，散热性能良好，可容纳本次采购的</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仪器必要时也需要包括相应的其他配套设备</w:t>
      </w:r>
    </w:p>
    <w:p w14:paraId="6EFE62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机柜</w:t>
      </w:r>
      <w:r>
        <w:rPr>
          <w:rFonts w:hint="eastAsia" w:ascii="宋体" w:hAnsi="宋体" w:eastAsia="宋体" w:cs="宋体"/>
          <w:color w:val="auto"/>
          <w:sz w:val="24"/>
          <w:szCs w:val="24"/>
          <w:highlight w:val="none"/>
        </w:rPr>
        <w:t>技术参数</w:t>
      </w:r>
    </w:p>
    <w:p w14:paraId="46B3F4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使用机柜情况下，机柜采用航空级导轨抽拉连接装载仪器，方便拆卸仪器与清洗仪器内部管路，机柜后侧有纵向导轨汇总各仪器的电缆</w:t>
      </w:r>
    </w:p>
    <w:p w14:paraId="784213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机柜有接地孔线，所有的连接管线、接头等应采用防腐材料，不与被测污染物发生化学反应</w:t>
      </w:r>
    </w:p>
    <w:p w14:paraId="112867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稳压技术参数</w:t>
      </w:r>
    </w:p>
    <w:p w14:paraId="363AAD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稳压电源能够满足</w:t>
      </w:r>
      <w:r>
        <w:rPr>
          <w:rFonts w:hint="eastAsia" w:ascii="宋体" w:hAnsi="宋体" w:eastAsia="宋体" w:cs="宋体"/>
          <w:color w:val="auto"/>
          <w:sz w:val="24"/>
          <w:szCs w:val="24"/>
          <w:highlight w:val="none"/>
          <w:lang w:val="en-US" w:eastAsia="zh-CN"/>
        </w:rPr>
        <w:t>所有</w:t>
      </w:r>
      <w:r>
        <w:rPr>
          <w:rFonts w:hint="eastAsia" w:ascii="宋体" w:hAnsi="宋体" w:eastAsia="宋体" w:cs="宋体"/>
          <w:color w:val="auto"/>
          <w:sz w:val="24"/>
          <w:szCs w:val="24"/>
          <w:highlight w:val="none"/>
        </w:rPr>
        <w:t>设备需求，确保上述仪器设备长期稳定运行，不受感应电影响跳变电压，稳压电源可负载超过</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KW以上，供仪器正常使用，稳压电源接地</w:t>
      </w:r>
      <w:r>
        <w:rPr>
          <w:rFonts w:hint="eastAsia" w:ascii="宋体" w:hAnsi="宋体" w:eastAsia="宋体" w:cs="宋体"/>
          <w:color w:val="auto"/>
          <w:sz w:val="24"/>
          <w:szCs w:val="24"/>
          <w:highlight w:val="none"/>
          <w:lang w:eastAsia="zh-CN"/>
        </w:rPr>
        <w:t>。</w:t>
      </w:r>
    </w:p>
    <w:p w14:paraId="2850630A">
      <w:pPr>
        <w:pStyle w:val="218"/>
        <w:keepNext w:val="0"/>
        <w:keepLines w:val="0"/>
        <w:pageBreakBefore w:val="0"/>
        <w:kinsoku/>
        <w:wordWrap/>
        <w:overflowPunct/>
        <w:topLinePunct w:val="0"/>
        <w:bidi w:val="0"/>
        <w:adjustRightIn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2.电力</w:t>
      </w:r>
    </w:p>
    <w:p w14:paraId="57C84BDB">
      <w:pPr>
        <w:pStyle w:val="218"/>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站房供电系统应配有配电柜、电源过压和过载保护装置，电源接入系统应采用三相五线制缆线敷设方式，电源电压380V，频率波动不超过（50±1）Hz，用电功率不小于18KVA或根据需求配备合理的用电负荷；</w:t>
      </w:r>
    </w:p>
    <w:p w14:paraId="7F8A9C03">
      <w:pPr>
        <w:pStyle w:val="218"/>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站房应依据电工要求制作保护地线，用于机柜、仪器外壳和有要求接地装置的接地保护，接地电阻小于4Ω；</w:t>
      </w:r>
    </w:p>
    <w:p w14:paraId="7E1D7778">
      <w:pPr>
        <w:pStyle w:val="218"/>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仪器供电电源应配置具有来电延迟功能等保护装置，避免因室温异常、过压、欠压造成对仪器设备的损坏；</w:t>
      </w:r>
    </w:p>
    <w:p w14:paraId="45FE0327">
      <w:pPr>
        <w:pStyle w:val="218"/>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站房应在合理位置安装稳压电源，以保证站房内及采样平台自动监测设备供电正常。 对于长期电力供应不稳定的地区，应配备双路供电或安装UPS供电，确保监测设备稳定运行；</w:t>
      </w:r>
    </w:p>
    <w:p w14:paraId="2B5345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室外配电箱和插座需满足防水、防尘、防腐的要求，配电箱外壳可靠接地。</w:t>
      </w:r>
    </w:p>
    <w:p w14:paraId="4F4324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3.安防</w:t>
      </w:r>
    </w:p>
    <w:p w14:paraId="6CD7AD25">
      <w:pPr>
        <w:pStyle w:val="218"/>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站房内配置符合《火灾自动报警系统设计规范》（GB 50116）的规定的七氟丙烷自动灭火器（不少于4公斤）1组、手提式七氟丙烷灭火器2个（装灭火器箱）；</w:t>
      </w:r>
    </w:p>
    <w:p w14:paraId="33FA7F13">
      <w:pPr>
        <w:pStyle w:val="218"/>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采样平台应安装1~2台摄像头，可实现24h不间断监控，其中一个摄像头可支持升降功能，能够自动在不同高度实时获取区域内清晰的监控图像；</w:t>
      </w:r>
    </w:p>
    <w:p w14:paraId="61D92623">
      <w:pPr>
        <w:pStyle w:val="218"/>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视频监控系统硬盘录像机应支持高清视频的预览，至少能够储存3个月的视频资料，并具有回放、查询等功能；</w:t>
      </w:r>
    </w:p>
    <w:p w14:paraId="77E8FAE5">
      <w:pPr>
        <w:pStyle w:val="218"/>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站房内宜安装声光报警器，可支持声或光报警，发生异常情况进行自动、远程报警；</w:t>
      </w:r>
    </w:p>
    <w:p w14:paraId="0E1E9B2B">
      <w:pPr>
        <w:pStyle w:val="218"/>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标准站房应实现全域封闭管理，采样平台应安装不低于1.2m的护栏；</w:t>
      </w:r>
    </w:p>
    <w:p w14:paraId="386FCB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站房具备对站房网络进行专网传输，对操作系统进行国产化推进，加速物联网、区块链技术部署，对系统后台网络泄密、远程遥控篡改仪器参数等违规操作能进行网络自动侦测。</w:t>
      </w:r>
    </w:p>
    <w:p w14:paraId="53B430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4.照明</w:t>
      </w:r>
    </w:p>
    <w:p w14:paraId="5C9263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站房内照明设施具备远程智能控制能力。</w:t>
      </w:r>
    </w:p>
    <w:p w14:paraId="7A4C49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5.空调</w:t>
      </w:r>
    </w:p>
    <w:p w14:paraId="2E0C5C06">
      <w:pPr>
        <w:pStyle w:val="218"/>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1.5P空调；</w:t>
      </w:r>
    </w:p>
    <w:p w14:paraId="460D77EF">
      <w:pPr>
        <w:pStyle w:val="218"/>
        <w:keepNext w:val="0"/>
        <w:keepLines w:val="0"/>
        <w:pageBreakBefore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站房内配置温、湿度传感器，远程可进行站房内外温、湿度动态监视和控制；</w:t>
      </w:r>
    </w:p>
    <w:p w14:paraId="45FA88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配备空调控制器可远程进行冷热切换和温度控制。</w:t>
      </w:r>
    </w:p>
    <w:p w14:paraId="39F6125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六、设备运维（</w:t>
      </w:r>
      <w:r>
        <w:rPr>
          <w:rFonts w:hint="eastAsia" w:ascii="宋体" w:hAnsi="宋体" w:cs="宋体"/>
          <w:b/>
          <w:bCs/>
          <w:color w:val="auto"/>
          <w:sz w:val="24"/>
          <w:szCs w:val="24"/>
          <w:highlight w:val="none"/>
          <w:lang w:val="en-US" w:eastAsia="zh-CN"/>
        </w:rPr>
        <w:t>1年）</w:t>
      </w:r>
    </w:p>
    <w:p w14:paraId="71FCEB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运维备件、耗材更换等</w:t>
      </w:r>
    </w:p>
    <w:p w14:paraId="64985C55">
      <w:pPr>
        <w:spacing w:line="360" w:lineRule="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rPr>
        <w:t>、商务要求</w:t>
      </w:r>
    </w:p>
    <w:p w14:paraId="6FD173EE">
      <w:pPr>
        <w:pStyle w:val="17"/>
        <w:numPr>
          <w:ilvl w:val="0"/>
          <w:numId w:val="0"/>
        </w:numPr>
        <w:spacing w:line="360" w:lineRule="auto"/>
        <w:ind w:right="63" w:rightChars="30" w:firstLine="420" w:firstLineChars="200"/>
        <w:jc w:val="both"/>
        <w:rPr>
          <w:rFonts w:hint="eastAsia" w:ascii="宋体" w:hAnsi="宋体" w:eastAsia="宋体" w:cs="宋体"/>
          <w:spacing w:val="12"/>
          <w:kern w:val="0"/>
          <w:sz w:val="24"/>
          <w:szCs w:val="24"/>
          <w:highlight w:val="none"/>
          <w:lang w:val="en-US" w:eastAsia="zh-CN" w:bidi="ar-SA"/>
        </w:rPr>
      </w:pPr>
      <w:r>
        <w:rPr>
          <w:rFonts w:hint="eastAsia" w:hAnsi="宋体"/>
          <w:szCs w:val="24"/>
          <w:highlight w:val="none"/>
        </w:rPr>
        <w:t>★</w:t>
      </w:r>
      <w:r>
        <w:rPr>
          <w:rFonts w:hint="eastAsia" w:ascii="宋体" w:hAnsi="宋体" w:eastAsia="宋体" w:cs="宋体"/>
          <w:spacing w:val="12"/>
          <w:kern w:val="0"/>
          <w:sz w:val="24"/>
          <w:szCs w:val="24"/>
          <w:highlight w:val="none"/>
          <w:lang w:val="en-US" w:eastAsia="zh-CN" w:bidi="ar-SA"/>
        </w:rPr>
        <w:t>1、交货时间：</w:t>
      </w:r>
      <w:r>
        <w:rPr>
          <w:rFonts w:hint="eastAsia" w:ascii="宋体" w:hAnsi="宋体" w:eastAsia="宋体" w:cs="宋体"/>
          <w:i w:val="0"/>
          <w:iCs w:val="0"/>
          <w:caps w:val="0"/>
          <w:color w:val="auto"/>
          <w:spacing w:val="0"/>
          <w:sz w:val="24"/>
          <w:szCs w:val="24"/>
          <w:highlight w:val="none"/>
          <w:shd w:val="clear" w:color="auto" w:fill="FFFFFF"/>
        </w:rPr>
        <w:t>自合同签订之日起60个日历日内完成安装调试联网并向省市报送数据</w:t>
      </w:r>
      <w:r>
        <w:rPr>
          <w:rFonts w:hint="eastAsia" w:ascii="宋体" w:hAnsi="宋体" w:eastAsia="宋体" w:cs="宋体"/>
          <w:spacing w:val="12"/>
          <w:kern w:val="0"/>
          <w:sz w:val="24"/>
          <w:szCs w:val="24"/>
          <w:highlight w:val="none"/>
          <w:lang w:val="en-US" w:eastAsia="zh-CN" w:bidi="ar-SA"/>
        </w:rPr>
        <w:t>。</w:t>
      </w:r>
    </w:p>
    <w:p w14:paraId="2CC5E93C">
      <w:pPr>
        <w:pStyle w:val="17"/>
        <w:numPr>
          <w:ilvl w:val="0"/>
          <w:numId w:val="0"/>
        </w:numPr>
        <w:spacing w:line="360" w:lineRule="auto"/>
        <w:ind w:right="63" w:rightChars="30" w:firstLine="420" w:firstLineChars="200"/>
        <w:jc w:val="both"/>
        <w:rPr>
          <w:rFonts w:hint="eastAsia" w:ascii="宋体" w:hAnsi="宋体" w:eastAsia="宋体" w:cs="宋体"/>
          <w:spacing w:val="12"/>
          <w:kern w:val="0"/>
          <w:sz w:val="24"/>
          <w:szCs w:val="24"/>
          <w:highlight w:val="none"/>
          <w:lang w:val="en-US" w:eastAsia="zh-CN" w:bidi="ar-SA"/>
        </w:rPr>
      </w:pPr>
      <w:r>
        <w:rPr>
          <w:rFonts w:hint="eastAsia" w:hAnsi="宋体"/>
          <w:szCs w:val="24"/>
          <w:highlight w:val="none"/>
        </w:rPr>
        <w:t>★</w:t>
      </w:r>
      <w:r>
        <w:rPr>
          <w:rFonts w:hint="eastAsia" w:ascii="宋体" w:hAnsi="宋体" w:cs="宋体"/>
          <w:spacing w:val="12"/>
          <w:kern w:val="0"/>
          <w:sz w:val="24"/>
          <w:szCs w:val="24"/>
          <w:highlight w:val="none"/>
          <w:lang w:val="en-US" w:eastAsia="zh-CN" w:bidi="ar-SA"/>
        </w:rPr>
        <w:t>2</w:t>
      </w:r>
      <w:r>
        <w:rPr>
          <w:rFonts w:hint="eastAsia" w:ascii="宋体" w:hAnsi="宋体" w:eastAsia="宋体" w:cs="宋体"/>
          <w:spacing w:val="12"/>
          <w:kern w:val="0"/>
          <w:sz w:val="24"/>
          <w:szCs w:val="24"/>
          <w:highlight w:val="none"/>
          <w:lang w:val="en-US" w:eastAsia="zh-CN" w:bidi="ar-SA"/>
        </w:rPr>
        <w:t xml:space="preserve">、付款方式： </w:t>
      </w:r>
    </w:p>
    <w:p w14:paraId="2C075446">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lang w:val="en-US" w:eastAsia="zh-CN"/>
        </w:rPr>
      </w:pPr>
      <w:r>
        <w:rPr>
          <w:rFonts w:hint="eastAsia" w:ascii="宋体" w:hAnsi="宋体" w:cs="宋体"/>
          <w:spacing w:val="-1"/>
          <w:sz w:val="24"/>
          <w:szCs w:val="24"/>
          <w:highlight w:val="none"/>
          <w:lang w:val="en-US" w:eastAsia="zh-CN"/>
        </w:rPr>
        <w:t>2.</w:t>
      </w:r>
      <w:r>
        <w:rPr>
          <w:rFonts w:hint="eastAsia" w:ascii="宋体" w:hAnsi="宋体" w:eastAsia="宋体" w:cs="宋体"/>
          <w:spacing w:val="-1"/>
          <w:sz w:val="24"/>
          <w:szCs w:val="24"/>
          <w:highlight w:val="none"/>
          <w:lang w:val="en-US" w:eastAsia="zh-CN"/>
        </w:rPr>
        <w:t>1、</w:t>
      </w:r>
      <w:r>
        <w:rPr>
          <w:rFonts w:hint="eastAsia" w:ascii="宋体" w:hAnsi="宋体" w:cs="宋体"/>
          <w:spacing w:val="-1"/>
          <w:sz w:val="24"/>
          <w:szCs w:val="24"/>
          <w:highlight w:val="none"/>
          <w:lang w:eastAsia="zh-CN"/>
        </w:rPr>
        <w:t>合同签订生效后 30 个工作日内，支付合同总价的 30%</w:t>
      </w:r>
      <w:r>
        <w:rPr>
          <w:rFonts w:hint="eastAsia" w:ascii="宋体" w:hAnsi="宋体" w:eastAsia="宋体" w:cs="宋体"/>
          <w:spacing w:val="-1"/>
          <w:sz w:val="24"/>
          <w:szCs w:val="24"/>
          <w:highlight w:val="none"/>
          <w:lang w:val="en-US" w:eastAsia="zh-CN"/>
        </w:rPr>
        <w:t>；</w:t>
      </w:r>
    </w:p>
    <w:p w14:paraId="0C1898F7">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eastAsia="宋体" w:cs="宋体"/>
          <w:spacing w:val="-1"/>
          <w:sz w:val="24"/>
          <w:szCs w:val="24"/>
          <w:highlight w:val="none"/>
          <w:lang w:val="en-US" w:eastAsia="zh-CN"/>
        </w:rPr>
      </w:pPr>
      <w:r>
        <w:rPr>
          <w:rFonts w:hint="eastAsia" w:ascii="宋体" w:hAnsi="宋体" w:cs="宋体"/>
          <w:spacing w:val="-1"/>
          <w:sz w:val="24"/>
          <w:szCs w:val="24"/>
          <w:highlight w:val="none"/>
          <w:lang w:val="en-US" w:eastAsia="zh-CN"/>
        </w:rPr>
        <w:t>2.2</w:t>
      </w:r>
      <w:r>
        <w:rPr>
          <w:rFonts w:hint="eastAsia" w:ascii="宋体" w:hAnsi="宋体" w:eastAsia="宋体" w:cs="宋体"/>
          <w:spacing w:val="-1"/>
          <w:sz w:val="24"/>
          <w:szCs w:val="24"/>
          <w:highlight w:val="none"/>
          <w:lang w:val="en-US" w:eastAsia="zh-CN"/>
        </w:rPr>
        <w:t>、</w:t>
      </w:r>
      <w:r>
        <w:rPr>
          <w:rFonts w:hint="eastAsia" w:ascii="宋体" w:hAnsi="宋体" w:cs="宋体"/>
          <w:spacing w:val="-1"/>
          <w:sz w:val="24"/>
          <w:szCs w:val="24"/>
          <w:highlight w:val="none"/>
          <w:lang w:val="en-US" w:eastAsia="zh-CN"/>
        </w:rPr>
        <w:t>合同签订60日内，完成安装调试联网并向省市报送数据，验收通过，支付合同总价的65%;</w:t>
      </w:r>
    </w:p>
    <w:p w14:paraId="53058464">
      <w:pPr>
        <w:pStyle w:val="17"/>
        <w:numPr>
          <w:ilvl w:val="0"/>
          <w:numId w:val="0"/>
        </w:numPr>
        <w:spacing w:line="360" w:lineRule="auto"/>
        <w:ind w:leftChars="0" w:right="63" w:rightChars="30" w:firstLine="476" w:firstLineChars="200"/>
        <w:jc w:val="both"/>
        <w:rPr>
          <w:rFonts w:hint="eastAsia" w:ascii="宋体" w:hAnsi="宋体" w:cs="宋体"/>
          <w:spacing w:val="-1"/>
          <w:sz w:val="24"/>
          <w:szCs w:val="24"/>
          <w:highlight w:val="none"/>
          <w:lang w:val="en-US" w:eastAsia="zh-CN"/>
        </w:rPr>
      </w:pPr>
      <w:r>
        <w:rPr>
          <w:rFonts w:hint="eastAsia" w:ascii="宋体" w:hAnsi="宋体" w:cs="宋体"/>
          <w:spacing w:val="-1"/>
          <w:sz w:val="24"/>
          <w:szCs w:val="24"/>
          <w:highlight w:val="none"/>
          <w:lang w:val="en-US" w:eastAsia="zh-CN"/>
        </w:rPr>
        <w:t>2.3.</w:t>
      </w:r>
      <w:r>
        <w:rPr>
          <w:rFonts w:hint="eastAsia" w:ascii="宋体" w:hAnsi="宋体" w:cs="宋体"/>
          <w:spacing w:val="-1"/>
          <w:sz w:val="24"/>
          <w:szCs w:val="24"/>
          <w:highlight w:val="none"/>
          <w:lang w:eastAsia="zh-CN"/>
        </w:rPr>
        <w:t>试运行1个月，验收合格且乙方出具一年运维承诺与质量保证函后，支付合同总价的5%</w:t>
      </w:r>
      <w:r>
        <w:rPr>
          <w:rFonts w:hint="eastAsia" w:ascii="宋体" w:hAnsi="宋体" w:cs="宋体"/>
          <w:spacing w:val="-1"/>
          <w:sz w:val="24"/>
          <w:szCs w:val="24"/>
          <w:highlight w:val="none"/>
          <w:lang w:val="en-US" w:eastAsia="zh-CN"/>
        </w:rPr>
        <w:t>。</w:t>
      </w:r>
    </w:p>
    <w:p w14:paraId="529E662E">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cs="宋体"/>
          <w:spacing w:val="-1"/>
          <w:sz w:val="24"/>
          <w:szCs w:val="24"/>
          <w:highlight w:val="none"/>
          <w:lang w:val="en-US" w:eastAsia="zh-CN"/>
        </w:rPr>
      </w:pPr>
      <w:r>
        <w:rPr>
          <w:rFonts w:hint="eastAsia" w:ascii="宋体" w:hAnsi="宋体" w:cs="宋体"/>
          <w:spacing w:val="-1"/>
          <w:sz w:val="24"/>
          <w:szCs w:val="24"/>
          <w:highlight w:val="none"/>
          <w:lang w:val="en-US" w:eastAsia="zh-CN"/>
        </w:rPr>
        <w:t>★3、运维期：验收合格次日起一年运行维护。</w:t>
      </w:r>
    </w:p>
    <w:p w14:paraId="5F7EA18D">
      <w:pPr>
        <w:keepNext w:val="0"/>
        <w:keepLines w:val="0"/>
        <w:pageBreakBefore w:val="0"/>
        <w:widowControl w:val="0"/>
        <w:kinsoku/>
        <w:wordWrap/>
        <w:overflowPunct/>
        <w:topLinePunct w:val="0"/>
        <w:autoSpaceDE/>
        <w:autoSpaceDN/>
        <w:bidi w:val="0"/>
        <w:spacing w:line="360" w:lineRule="auto"/>
        <w:ind w:right="19" w:firstLine="476" w:firstLineChars="200"/>
        <w:rPr>
          <w:rFonts w:hint="eastAsia" w:ascii="宋体" w:hAnsi="宋体" w:cs="宋体"/>
          <w:spacing w:val="-1"/>
          <w:sz w:val="24"/>
          <w:szCs w:val="24"/>
          <w:highlight w:val="none"/>
          <w:lang w:val="en-US" w:eastAsia="zh-CN"/>
        </w:rPr>
      </w:pPr>
      <w:r>
        <w:rPr>
          <w:rFonts w:hint="eastAsia" w:ascii="宋体" w:hAnsi="宋体" w:cs="宋体"/>
          <w:spacing w:val="-1"/>
          <w:sz w:val="24"/>
          <w:szCs w:val="24"/>
          <w:highlight w:val="none"/>
          <w:lang w:val="en-US" w:eastAsia="zh-CN"/>
        </w:rPr>
        <w:t xml:space="preserve">★4、质量保证：质保期为验收合格后 1 年。 </w:t>
      </w:r>
    </w:p>
    <w:p w14:paraId="776DF9D6">
      <w:pPr>
        <w:spacing w:line="408" w:lineRule="auto"/>
        <w:rPr>
          <w:rFonts w:ascii="宋体" w:hAnsi="宋体" w:cs="宋体"/>
          <w:sz w:val="24"/>
          <w:szCs w:val="24"/>
          <w:highlight w:val="none"/>
        </w:rPr>
      </w:pPr>
    </w:p>
    <w:p w14:paraId="54EBA4C9">
      <w:pPr>
        <w:spacing w:line="408" w:lineRule="auto"/>
        <w:jc w:val="left"/>
        <w:rPr>
          <w:rFonts w:hint="eastAsia" w:ascii="宋体" w:hAnsi="宋体" w:cs="宋体"/>
          <w:sz w:val="24"/>
          <w:szCs w:val="24"/>
          <w:highlight w:val="none"/>
        </w:rPr>
      </w:pPr>
      <w:r>
        <w:rPr>
          <w:rFonts w:hint="eastAsia" w:ascii="宋体" w:hAnsi="宋体" w:cs="宋体"/>
          <w:sz w:val="24"/>
          <w:szCs w:val="24"/>
          <w:highlight w:val="none"/>
        </w:rPr>
        <w:t xml:space="preserve"> </w:t>
      </w:r>
    </w:p>
    <w:p w14:paraId="07C93485">
      <w:pPr>
        <w:spacing w:line="408" w:lineRule="auto"/>
        <w:jc w:val="center"/>
        <w:rPr>
          <w:rFonts w:ascii="楷体" w:hAnsi="楷体" w:eastAsia="楷体"/>
          <w:b/>
          <w:kern w:val="0"/>
          <w:sz w:val="32"/>
          <w:szCs w:val="32"/>
          <w:highlight w:val="none"/>
          <w:shd w:val="clear" w:color="auto" w:fill="FFFFFF"/>
        </w:rPr>
      </w:pPr>
      <w:r>
        <w:rPr>
          <w:rFonts w:ascii="宋体" w:hAnsi="宋体" w:cs="宋体"/>
          <w:sz w:val="24"/>
          <w:szCs w:val="24"/>
          <w:highlight w:val="none"/>
        </w:rPr>
        <w:br w:type="page"/>
      </w:r>
      <w:bookmarkStart w:id="59" w:name="_Toc53083688"/>
      <w:r>
        <w:rPr>
          <w:rFonts w:hint="eastAsia" w:ascii="楷体" w:hAnsi="楷体" w:eastAsia="楷体"/>
          <w:b/>
          <w:kern w:val="0"/>
          <w:sz w:val="32"/>
          <w:szCs w:val="32"/>
          <w:highlight w:val="none"/>
          <w:shd w:val="clear" w:color="auto" w:fill="FFFFFF"/>
        </w:rPr>
        <w:t>第六章  评标方法</w:t>
      </w:r>
      <w:bookmarkEnd w:id="59"/>
    </w:p>
    <w:p w14:paraId="2F7BF999">
      <w:pPr>
        <w:spacing w:before="120" w:beforeLines="50" w:line="360" w:lineRule="auto"/>
        <w:rPr>
          <w:rFonts w:hint="eastAsia" w:ascii="宋体" w:hAnsi="宋体" w:cs="宋体"/>
          <w:b/>
          <w:sz w:val="24"/>
          <w:szCs w:val="24"/>
          <w:highlight w:val="none"/>
          <w:shd w:val="clear" w:color="auto" w:fill="FFFFFF"/>
        </w:rPr>
      </w:pPr>
      <w:r>
        <w:rPr>
          <w:rFonts w:hint="eastAsia" w:ascii="宋体" w:hAnsi="宋体" w:cs="宋体"/>
          <w:b/>
          <w:sz w:val="24"/>
          <w:szCs w:val="24"/>
          <w:highlight w:val="none"/>
          <w:shd w:val="clear" w:color="auto" w:fill="FFFFFF"/>
        </w:rPr>
        <w:t>一、评标方法</w:t>
      </w:r>
    </w:p>
    <w:p w14:paraId="5281BD25">
      <w:pPr>
        <w:spacing w:line="360" w:lineRule="auto"/>
        <w:ind w:firstLine="352" w:firstLineChars="147"/>
        <w:rPr>
          <w:rFonts w:hint="eastAsia" w:ascii="宋体" w:hAnsi="宋体" w:cs="宋体"/>
          <w:b/>
          <w:spacing w:val="4"/>
          <w:sz w:val="24"/>
          <w:highlight w:val="none"/>
        </w:rPr>
      </w:pPr>
      <w:r>
        <w:rPr>
          <w:rFonts w:hint="eastAsia" w:ascii="宋体" w:hAnsi="宋体" w:cs="宋体"/>
          <w:sz w:val="24"/>
          <w:szCs w:val="24"/>
          <w:highlight w:val="none"/>
        </w:rPr>
        <w:t>（一）按照《中华人民共和国政府采购法》、中华人民共和国2015年第658号国务院令--《中华人民共和国政府采购法实施条例》和中华人民共和国财政部2017年第87号部长令--《政府采购货物和服务招标投标管理办法》的规定，</w:t>
      </w:r>
      <w:r>
        <w:rPr>
          <w:rFonts w:hint="eastAsia" w:ascii="宋体" w:hAnsi="宋体" w:cs="宋体"/>
          <w:spacing w:val="4"/>
          <w:sz w:val="24"/>
          <w:highlight w:val="none"/>
        </w:rPr>
        <w:t>本次评标采用</w:t>
      </w:r>
      <w:r>
        <w:rPr>
          <w:rFonts w:hint="eastAsia" w:ascii="宋体" w:hAnsi="宋体" w:cs="宋体"/>
          <w:b/>
          <w:spacing w:val="4"/>
          <w:sz w:val="24"/>
          <w:highlight w:val="none"/>
        </w:rPr>
        <w:t>综合评分法</w:t>
      </w:r>
      <w:r>
        <w:rPr>
          <w:rFonts w:hint="eastAsia" w:ascii="宋体" w:hAnsi="宋体" w:cs="宋体"/>
          <w:kern w:val="0"/>
          <w:sz w:val="24"/>
          <w:szCs w:val="24"/>
          <w:highlight w:val="none"/>
        </w:rPr>
        <w:t>。</w:t>
      </w:r>
    </w:p>
    <w:p w14:paraId="3D50A537">
      <w:pPr>
        <w:spacing w:line="360" w:lineRule="auto"/>
        <w:ind w:firstLine="360" w:firstLineChars="150"/>
        <w:rPr>
          <w:rFonts w:hint="eastAsia" w:ascii="宋体" w:hAnsi="宋体" w:cs="宋体"/>
          <w:spacing w:val="4"/>
          <w:sz w:val="24"/>
          <w:highlight w:val="none"/>
        </w:rPr>
      </w:pPr>
      <w:r>
        <w:rPr>
          <w:rFonts w:hint="eastAsia" w:ascii="宋体" w:hAnsi="宋体" w:cs="宋体"/>
          <w:kern w:val="0"/>
          <w:sz w:val="24"/>
          <w:szCs w:val="24"/>
          <w:highlight w:val="none"/>
        </w:rPr>
        <w:t>（二）按包（标段）分别进行评审。</w:t>
      </w:r>
    </w:p>
    <w:p w14:paraId="62196DE1">
      <w:pPr>
        <w:spacing w:line="360" w:lineRule="auto"/>
        <w:rPr>
          <w:rFonts w:hint="eastAsia" w:ascii="宋体" w:hAnsi="宋体" w:cs="宋体"/>
          <w:b/>
          <w:spacing w:val="4"/>
          <w:sz w:val="24"/>
          <w:highlight w:val="none"/>
        </w:rPr>
      </w:pPr>
      <w:r>
        <w:rPr>
          <w:rFonts w:hint="eastAsia" w:ascii="宋体" w:hAnsi="宋体" w:cs="宋体"/>
          <w:b/>
          <w:spacing w:val="4"/>
          <w:sz w:val="24"/>
          <w:highlight w:val="none"/>
        </w:rPr>
        <w:t>二．评标委员会负责具体评标事务，并独立履行下列职责：</w:t>
      </w:r>
    </w:p>
    <w:p w14:paraId="2D28B6F1">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（一）审查、评价投标文件是否符合招标文件的商务、技术等实质性要求；</w:t>
      </w:r>
    </w:p>
    <w:p w14:paraId="14F2FA67">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（二）要求投标人对投标文件有关事项作出澄清或者说明；</w:t>
      </w:r>
    </w:p>
    <w:p w14:paraId="6ED5AA16">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（三）对投标文件进行比较和评价；</w:t>
      </w:r>
    </w:p>
    <w:p w14:paraId="5516BE53">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（四）确定中标候选人名单，以及根据采购人委托直接确定中标人；</w:t>
      </w:r>
    </w:p>
    <w:p w14:paraId="0455ED55">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（五）向采购人、采购代理机构或者有关部门报告评标中发现的违法行为。</w:t>
      </w:r>
    </w:p>
    <w:p w14:paraId="191DF530">
      <w:pPr>
        <w:spacing w:line="360" w:lineRule="auto"/>
        <w:rPr>
          <w:rFonts w:hint="eastAsia" w:ascii="宋体" w:hAnsi="宋体" w:cs="宋体"/>
          <w:b/>
          <w:spacing w:val="4"/>
          <w:sz w:val="24"/>
          <w:highlight w:val="none"/>
        </w:rPr>
      </w:pPr>
      <w:r>
        <w:rPr>
          <w:rFonts w:hint="eastAsia" w:ascii="宋体" w:hAnsi="宋体" w:cs="宋体"/>
          <w:b/>
          <w:spacing w:val="4"/>
          <w:sz w:val="24"/>
          <w:highlight w:val="none"/>
        </w:rPr>
        <w:t>三.投标人存在下列情况之一的，投标无效:</w:t>
      </w:r>
    </w:p>
    <w:p w14:paraId="4FF3D941">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（一）投标文件未按招标文件要求签署、盖章的；</w:t>
      </w:r>
    </w:p>
    <w:p w14:paraId="14B75295">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（二）不具备招标文件中规定的资格要求的；</w:t>
      </w:r>
    </w:p>
    <w:p w14:paraId="7EB939C5">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（三）报价超过招标文件中规定的预算金额或者最高限价的；</w:t>
      </w:r>
    </w:p>
    <w:p w14:paraId="0EAD143B">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（四）投标文件含有采购人不能接受的附加条件的；</w:t>
      </w:r>
    </w:p>
    <w:p w14:paraId="23A2BA8B">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（五）单位负责人为同一人或者存在直接控股、管理关系的不同供应商，参加本项目同一合同项下的投标的；</w:t>
      </w:r>
    </w:p>
    <w:p w14:paraId="53CFF5BA">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（六）为本采购项目提供整体设计、规范编制或者项目管理、监理、检测等服务的供应商，参加本采购项目投标的；</w:t>
      </w:r>
    </w:p>
    <w:p w14:paraId="1AB3CC6E">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（七）提供虚假投标文件和资料的；</w:t>
      </w:r>
    </w:p>
    <w:p w14:paraId="7B468F64">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（八）法律、法规和招标文件规定的其他无效情形；</w:t>
      </w:r>
    </w:p>
    <w:p w14:paraId="071F5571">
      <w:pPr>
        <w:spacing w:line="360" w:lineRule="auto"/>
        <w:rPr>
          <w:rFonts w:hint="eastAsia" w:ascii="宋体" w:hAnsi="宋体" w:cs="宋体"/>
          <w:b/>
          <w:spacing w:val="4"/>
          <w:sz w:val="24"/>
          <w:highlight w:val="none"/>
        </w:rPr>
      </w:pPr>
      <w:r>
        <w:rPr>
          <w:rFonts w:hint="eastAsia" w:ascii="宋体" w:hAnsi="宋体" w:cs="宋体"/>
          <w:b/>
          <w:spacing w:val="4"/>
          <w:sz w:val="24"/>
          <w:highlight w:val="none"/>
        </w:rPr>
        <w:t>四.投标人有下列情形之一的，视为投标人串通投标，其投标无效：</w:t>
      </w:r>
    </w:p>
    <w:p w14:paraId="2B4367AE">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（一）不同投标人的投标文件由同一单位或者个人编制；</w:t>
      </w:r>
    </w:p>
    <w:p w14:paraId="496BAB2B">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（二）不同投标人委托同一单位或者个人办理投标事宜；</w:t>
      </w:r>
    </w:p>
    <w:p w14:paraId="40A27A32">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（三）不同投标人的投标文件载明的项目管理成员或者联系人员为同一人；</w:t>
      </w:r>
    </w:p>
    <w:p w14:paraId="285338D5">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（四）不同投标人的投标文件异常一致或者投标报价呈规律性差异；</w:t>
      </w:r>
    </w:p>
    <w:p w14:paraId="41D63C50">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（五）不同投标人的投标文件相互混装；</w:t>
      </w:r>
    </w:p>
    <w:p w14:paraId="4B34126E">
      <w:pPr>
        <w:spacing w:line="360" w:lineRule="auto"/>
        <w:ind w:firstLine="372" w:firstLineChars="150"/>
        <w:rPr>
          <w:rFonts w:hint="eastAsia" w:ascii="宋体" w:hAnsi="宋体" w:cs="宋体"/>
          <w:spacing w:val="4"/>
          <w:sz w:val="24"/>
          <w:highlight w:val="none"/>
        </w:rPr>
      </w:pPr>
      <w:r>
        <w:rPr>
          <w:rFonts w:hint="eastAsia" w:ascii="宋体" w:hAnsi="宋体" w:cs="宋体"/>
          <w:spacing w:val="4"/>
          <w:sz w:val="24"/>
          <w:highlight w:val="none"/>
        </w:rPr>
        <w:t>（六）不同投标人的投标保证金从同一单位或者个人的账户转出。</w:t>
      </w:r>
    </w:p>
    <w:p w14:paraId="50650C85">
      <w:pPr>
        <w:spacing w:line="360" w:lineRule="auto"/>
        <w:rPr>
          <w:rFonts w:hint="eastAsia" w:ascii="宋体" w:hAnsi="宋体" w:cs="宋体"/>
          <w:b/>
          <w:spacing w:val="4"/>
          <w:sz w:val="24"/>
          <w:highlight w:val="none"/>
        </w:rPr>
      </w:pPr>
      <w:r>
        <w:rPr>
          <w:rFonts w:hint="eastAsia" w:ascii="宋体" w:hAnsi="宋体" w:cs="宋体"/>
          <w:b/>
          <w:spacing w:val="4"/>
          <w:sz w:val="24"/>
          <w:highlight w:val="none"/>
        </w:rPr>
        <w:t>五.评标程序</w:t>
      </w:r>
    </w:p>
    <w:p w14:paraId="1258308F">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1、投标文件的审查</w:t>
      </w:r>
    </w:p>
    <w:p w14:paraId="7A87D04E">
      <w:pPr>
        <w:spacing w:line="360" w:lineRule="auto"/>
        <w:ind w:left="959" w:leftChars="228" w:hanging="480" w:hangingChars="200"/>
        <w:rPr>
          <w:rFonts w:hint="eastAsia" w:ascii="宋体" w:hAnsi="宋体" w:cs="宋体"/>
          <w:kern w:val="0"/>
          <w:sz w:val="24"/>
          <w:szCs w:val="24"/>
          <w:highlight w:val="none"/>
        </w:rPr>
      </w:pPr>
      <w:r>
        <w:rPr>
          <w:rFonts w:hint="eastAsia" w:ascii="宋体" w:hAnsi="宋体" w:cs="宋体"/>
          <w:sz w:val="24"/>
          <w:szCs w:val="24"/>
          <w:highlight w:val="none"/>
        </w:rPr>
        <w:t>1.1</w:t>
      </w:r>
      <w:r>
        <w:rPr>
          <w:rFonts w:hint="eastAsia" w:ascii="宋体" w:hAnsi="宋体" w:cs="宋体"/>
          <w:kern w:val="0"/>
          <w:sz w:val="24"/>
          <w:szCs w:val="24"/>
          <w:highlight w:val="none"/>
        </w:rPr>
        <w:t>评标委员会对符合资格的投标人的投标文件进行符合性审查，以确定其是否满足招标文件的商务、技术等实质性要求。</w:t>
      </w:r>
    </w:p>
    <w:p w14:paraId="05C1E1F2">
      <w:pPr>
        <w:spacing w:line="360" w:lineRule="auto"/>
        <w:ind w:left="959" w:leftChars="228" w:hanging="480" w:hangingChars="200"/>
        <w:rPr>
          <w:rFonts w:hint="eastAsia" w:ascii="宋体" w:hAnsi="宋体" w:cs="宋体"/>
          <w:kern w:val="0"/>
          <w:sz w:val="24"/>
          <w:szCs w:val="24"/>
          <w:highlight w:val="none"/>
        </w:rPr>
      </w:pPr>
      <w:r>
        <w:rPr>
          <w:rFonts w:hint="eastAsia" w:ascii="宋体" w:hAnsi="宋体" w:cs="宋体"/>
          <w:kern w:val="0"/>
          <w:sz w:val="24"/>
          <w:szCs w:val="24"/>
          <w:highlight w:val="none"/>
        </w:rPr>
        <w:t>1.2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C7298C">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2、相同品牌产品投标的处理：</w:t>
      </w:r>
    </w:p>
    <w:p w14:paraId="5B115C93">
      <w:pPr>
        <w:spacing w:line="360" w:lineRule="auto"/>
        <w:ind w:left="535" w:leftChars="255" w:firstLine="480" w:firstLineChars="200"/>
        <w:rPr>
          <w:rFonts w:hint="eastAsia" w:ascii="宋体" w:hAnsi="宋体" w:cs="宋体"/>
          <w:sz w:val="24"/>
          <w:szCs w:val="24"/>
          <w:highlight w:val="none"/>
        </w:rPr>
      </w:pPr>
      <w:r>
        <w:rPr>
          <w:rFonts w:hint="eastAsia" w:ascii="宋体" w:hAnsi="宋体" w:cs="宋体"/>
          <w:sz w:val="24"/>
          <w:szCs w:val="24"/>
          <w:highlight w:val="none"/>
        </w:rPr>
        <w:t>提供相同品牌产品且通过资格审查、符合性审查的不同投标人参加同一包（标段）投标的，按一家投标人计算，评审后得分最高的同品牌投标人获得中标人推荐资格；评审得分相同的，由采购人自行确定一个投标人获得中标人推荐资格，其他同品牌投标人不作为中标候选人。</w:t>
      </w:r>
    </w:p>
    <w:p w14:paraId="792CF19E">
      <w:pPr>
        <w:spacing w:line="360" w:lineRule="auto"/>
        <w:ind w:left="535" w:leftChars="255" w:firstLine="480" w:firstLineChars="200"/>
        <w:rPr>
          <w:rFonts w:hint="eastAsia" w:ascii="宋体" w:hAnsi="宋体" w:cs="宋体"/>
          <w:sz w:val="24"/>
          <w:szCs w:val="24"/>
          <w:highlight w:val="none"/>
        </w:rPr>
      </w:pPr>
      <w:r>
        <w:rPr>
          <w:rFonts w:hint="eastAsia" w:ascii="宋体" w:hAnsi="宋体" w:cs="宋体"/>
          <w:sz w:val="24"/>
          <w:szCs w:val="24"/>
          <w:highlight w:val="none"/>
        </w:rPr>
        <w:t>在第五章招标内容招标内容一览表中载明核心产品，投标人提供的核心产品</w:t>
      </w:r>
      <w:r>
        <w:rPr>
          <w:rFonts w:hint="eastAsia" w:ascii="宋体" w:hAnsi="宋体" w:cs="宋体"/>
          <w:kern w:val="0"/>
          <w:sz w:val="24"/>
          <w:szCs w:val="24"/>
          <w:highlight w:val="none"/>
        </w:rPr>
        <w:t>品牌全部相同时</w:t>
      </w:r>
      <w:r>
        <w:rPr>
          <w:rFonts w:hint="eastAsia" w:ascii="宋体" w:hAnsi="宋体" w:cs="宋体"/>
          <w:sz w:val="24"/>
          <w:szCs w:val="24"/>
          <w:highlight w:val="none"/>
        </w:rPr>
        <w:t>，相关投标人将被认定为属于提供相同品牌产品，按以上规定处理。</w:t>
      </w:r>
    </w:p>
    <w:p w14:paraId="78B1CFF1">
      <w:pPr>
        <w:spacing w:line="360" w:lineRule="auto"/>
        <w:ind w:left="1103" w:leftChars="171" w:hanging="744" w:hangingChars="300"/>
        <w:rPr>
          <w:rFonts w:hint="eastAsia" w:ascii="宋体" w:hAnsi="宋体" w:cs="宋体"/>
          <w:spacing w:val="4"/>
          <w:sz w:val="24"/>
          <w:highlight w:val="none"/>
        </w:rPr>
      </w:pPr>
      <w:r>
        <w:rPr>
          <w:rFonts w:hint="eastAsia" w:ascii="宋体" w:hAnsi="宋体" w:cs="宋体"/>
          <w:spacing w:val="4"/>
          <w:sz w:val="24"/>
          <w:highlight w:val="none"/>
        </w:rPr>
        <w:t>3、澄清有关问题：</w:t>
      </w:r>
    </w:p>
    <w:p w14:paraId="7DDBB96B">
      <w:pPr>
        <w:spacing w:line="360" w:lineRule="auto"/>
        <w:ind w:left="992" w:leftChars="177" w:hanging="620" w:hangingChars="250"/>
        <w:rPr>
          <w:rFonts w:hint="eastAsia" w:ascii="宋体" w:hAnsi="宋体" w:cs="宋体"/>
          <w:kern w:val="0"/>
          <w:sz w:val="24"/>
          <w:szCs w:val="24"/>
          <w:highlight w:val="none"/>
        </w:rPr>
      </w:pPr>
      <w:r>
        <w:rPr>
          <w:rFonts w:hint="eastAsia" w:ascii="宋体" w:hAnsi="宋体" w:cs="宋体"/>
          <w:spacing w:val="4"/>
          <w:sz w:val="24"/>
          <w:highlight w:val="none"/>
        </w:rPr>
        <w:t>3.1</w:t>
      </w:r>
      <w:r>
        <w:rPr>
          <w:rFonts w:hint="eastAsia" w:ascii="宋体" w:hAnsi="宋体" w:cs="宋体"/>
          <w:kern w:val="0"/>
          <w:sz w:val="24"/>
          <w:szCs w:val="24"/>
          <w:highlight w:val="none"/>
        </w:rPr>
        <w:t>对于投标文件中含义不明确、同类问题表述不一致或者有明显文字和计算错误的内容，评标委员会以书面形式要求投标人做出必要的澄清、说明或者补正。投标人的澄清、说明或者补正应当采用书面形式，由法定代表人或其授权的代表签署全名。投标人的澄清、说明或者补正不得超出投标文件的范围或者改变投标文件的实质性内容。</w:t>
      </w:r>
    </w:p>
    <w:p w14:paraId="3BFBB26B">
      <w:pPr>
        <w:spacing w:line="360" w:lineRule="auto"/>
        <w:ind w:firstLine="372" w:firstLineChars="150"/>
        <w:rPr>
          <w:rFonts w:hint="eastAsia" w:ascii="宋体" w:hAnsi="宋体" w:cs="宋体"/>
          <w:kern w:val="0"/>
          <w:sz w:val="24"/>
          <w:szCs w:val="24"/>
          <w:highlight w:val="none"/>
        </w:rPr>
      </w:pPr>
      <w:r>
        <w:rPr>
          <w:rFonts w:hint="eastAsia" w:ascii="宋体" w:hAnsi="宋体" w:cs="宋体"/>
          <w:spacing w:val="4"/>
          <w:sz w:val="24"/>
          <w:highlight w:val="none"/>
        </w:rPr>
        <w:t>3.2</w:t>
      </w:r>
      <w:r>
        <w:rPr>
          <w:rFonts w:hint="eastAsia" w:ascii="宋体" w:hAnsi="宋体" w:cs="宋体"/>
          <w:kern w:val="0"/>
          <w:sz w:val="24"/>
          <w:szCs w:val="24"/>
          <w:highlight w:val="none"/>
        </w:rPr>
        <w:t>投标文件报价出现前后不一致的，按照下列规定修正：</w:t>
      </w:r>
    </w:p>
    <w:p w14:paraId="43F9E135">
      <w:pPr>
        <w:spacing w:line="360" w:lineRule="auto"/>
        <w:ind w:left="1267" w:leftChars="249" w:hanging="744" w:hangingChars="300"/>
        <w:rPr>
          <w:rFonts w:hint="eastAsia" w:ascii="宋体" w:hAnsi="宋体" w:cs="宋体"/>
          <w:spacing w:val="4"/>
          <w:sz w:val="24"/>
          <w:highlight w:val="none"/>
        </w:rPr>
      </w:pPr>
      <w:r>
        <w:rPr>
          <w:rFonts w:hint="eastAsia" w:ascii="宋体" w:hAnsi="宋体" w:cs="宋体"/>
          <w:spacing w:val="4"/>
          <w:sz w:val="24"/>
          <w:highlight w:val="none"/>
        </w:rPr>
        <w:t>（一）投标文件中开标一览表（报价表）内容与投标文件中相应内容不一致的，以开标一览表（报价表）为准；</w:t>
      </w:r>
    </w:p>
    <w:p w14:paraId="3E399437">
      <w:pPr>
        <w:spacing w:line="360" w:lineRule="auto"/>
        <w:ind w:left="523" w:leftChars="249"/>
        <w:rPr>
          <w:rFonts w:hint="eastAsia" w:ascii="宋体" w:hAnsi="宋体" w:cs="宋体"/>
          <w:spacing w:val="4"/>
          <w:sz w:val="24"/>
          <w:highlight w:val="none"/>
        </w:rPr>
      </w:pPr>
      <w:r>
        <w:rPr>
          <w:rFonts w:hint="eastAsia" w:ascii="宋体" w:hAnsi="宋体" w:cs="宋体"/>
          <w:spacing w:val="4"/>
          <w:sz w:val="24"/>
          <w:highlight w:val="none"/>
        </w:rPr>
        <w:t>（二）大写金额和小写金额不一致的，以大写金额为准；</w:t>
      </w:r>
    </w:p>
    <w:p w14:paraId="1A37F03C">
      <w:pPr>
        <w:spacing w:line="360" w:lineRule="auto"/>
        <w:ind w:left="1267" w:leftChars="249" w:hanging="744" w:hangingChars="300"/>
        <w:rPr>
          <w:rFonts w:hint="eastAsia" w:ascii="宋体" w:hAnsi="宋体" w:cs="宋体"/>
          <w:spacing w:val="4"/>
          <w:sz w:val="24"/>
          <w:highlight w:val="none"/>
        </w:rPr>
      </w:pPr>
      <w:r>
        <w:rPr>
          <w:rFonts w:hint="eastAsia" w:ascii="宋体" w:hAnsi="宋体" w:cs="宋体"/>
          <w:spacing w:val="4"/>
          <w:sz w:val="24"/>
          <w:highlight w:val="none"/>
        </w:rPr>
        <w:t>（三）单价金额小数点或者百分比有明显错位的，以开标一览表的总价为准，并修改单价；</w:t>
      </w:r>
    </w:p>
    <w:p w14:paraId="076043D7">
      <w:pPr>
        <w:spacing w:line="360" w:lineRule="auto"/>
        <w:ind w:left="523" w:leftChars="249"/>
        <w:rPr>
          <w:rFonts w:hint="eastAsia" w:ascii="宋体" w:hAnsi="宋体" w:cs="宋体"/>
          <w:spacing w:val="4"/>
          <w:sz w:val="24"/>
          <w:highlight w:val="none"/>
        </w:rPr>
      </w:pPr>
      <w:r>
        <w:rPr>
          <w:rFonts w:hint="eastAsia" w:ascii="宋体" w:hAnsi="宋体" w:cs="宋体"/>
          <w:spacing w:val="4"/>
          <w:sz w:val="24"/>
          <w:highlight w:val="none"/>
        </w:rPr>
        <w:t>（四）总价金额与按单价汇总金额不一致的，以单价金额计算结果为准。</w:t>
      </w:r>
    </w:p>
    <w:p w14:paraId="3463A5F2">
      <w:pPr>
        <w:spacing w:line="360" w:lineRule="auto"/>
        <w:ind w:left="718" w:leftChars="342" w:firstLine="480" w:firstLineChars="200"/>
        <w:rPr>
          <w:rFonts w:hint="eastAsia" w:ascii="宋体" w:hAnsi="宋体" w:cs="宋体"/>
          <w:spacing w:val="4"/>
          <w:sz w:val="24"/>
          <w:highlight w:val="none"/>
        </w:rPr>
      </w:pPr>
      <w:r>
        <w:rPr>
          <w:rFonts w:hint="eastAsia" w:ascii="宋体" w:hAnsi="宋体" w:cs="宋体"/>
          <w:kern w:val="0"/>
          <w:sz w:val="24"/>
          <w:szCs w:val="24"/>
          <w:highlight w:val="none"/>
        </w:rPr>
        <w:t>同时出现两种以上不一致的，按照前款规定的顺序修正。修正后的报价经投标人书面确认后产生约束力，投标人不确认的，其投标无效。</w:t>
      </w:r>
    </w:p>
    <w:p w14:paraId="73E383F3">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4、评标价的确定：</w:t>
      </w:r>
    </w:p>
    <w:p w14:paraId="447122C6">
      <w:pPr>
        <w:spacing w:line="360" w:lineRule="auto"/>
        <w:ind w:left="372" w:leftChars="177" w:firstLine="496" w:firstLineChars="200"/>
        <w:rPr>
          <w:rFonts w:hint="eastAsia" w:ascii="宋体" w:hAnsi="宋体" w:cs="宋体"/>
          <w:sz w:val="24"/>
          <w:szCs w:val="24"/>
          <w:highlight w:val="none"/>
        </w:rPr>
      </w:pPr>
      <w:r>
        <w:rPr>
          <w:rFonts w:hint="eastAsia" w:ascii="宋体" w:hAnsi="宋体" w:cs="宋体"/>
          <w:spacing w:val="4"/>
          <w:sz w:val="24"/>
          <w:highlight w:val="none"/>
        </w:rPr>
        <w:t>投标文件经审查合格的</w:t>
      </w:r>
      <w:r>
        <w:rPr>
          <w:rFonts w:hint="eastAsia" w:ascii="宋体" w:hAnsi="宋体" w:cs="宋体"/>
          <w:sz w:val="24"/>
          <w:szCs w:val="24"/>
          <w:highlight w:val="none"/>
        </w:rPr>
        <w:t>，为有效投标。对于所有有效投标按照以下规则进行评标价的确定。</w:t>
      </w:r>
    </w:p>
    <w:p w14:paraId="0DB645EA">
      <w:pPr>
        <w:spacing w:line="360" w:lineRule="auto"/>
        <w:ind w:left="960" w:hanging="960" w:hangingChars="400"/>
        <w:rPr>
          <w:rFonts w:hint="eastAsia" w:ascii="宋体" w:hAnsi="宋体" w:cs="宋体"/>
          <w:spacing w:val="4"/>
          <w:sz w:val="24"/>
          <w:highlight w:val="none"/>
        </w:rPr>
      </w:pPr>
      <w:r>
        <w:rPr>
          <w:rFonts w:hint="eastAsia" w:ascii="宋体" w:hAnsi="宋体" w:cs="宋体"/>
          <w:sz w:val="24"/>
          <w:szCs w:val="24"/>
          <w:highlight w:val="none"/>
        </w:rPr>
        <w:t xml:space="preserve">    </w:t>
      </w:r>
      <w:r>
        <w:rPr>
          <w:rFonts w:hint="eastAsia" w:ascii="宋体" w:hAnsi="宋体" w:cs="宋体"/>
          <w:spacing w:val="4"/>
          <w:sz w:val="24"/>
          <w:highlight w:val="none"/>
        </w:rPr>
        <w:t>4.1对于不需要进行政策性价格优惠调整的，其评标价为按照以上3.2条款修正后的投标总价。</w:t>
      </w:r>
    </w:p>
    <w:p w14:paraId="1E6BD7B8">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4.2对于符合政策性优惠的，其评标价按照以下规则进行计算调整。</w:t>
      </w:r>
    </w:p>
    <w:p w14:paraId="102D7C53">
      <w:pPr>
        <w:spacing w:line="360" w:lineRule="auto"/>
        <w:ind w:firstLine="520" w:firstLineChars="210"/>
        <w:rPr>
          <w:rFonts w:hint="eastAsia" w:ascii="宋体" w:hAnsi="宋体" w:cs="宋体"/>
          <w:spacing w:val="4"/>
          <w:sz w:val="24"/>
          <w:highlight w:val="none"/>
        </w:rPr>
      </w:pPr>
      <w:r>
        <w:rPr>
          <w:rFonts w:hint="eastAsia" w:ascii="宋体" w:hAnsi="宋体" w:cs="宋体"/>
          <w:spacing w:val="4"/>
          <w:sz w:val="24"/>
          <w:highlight w:val="none"/>
        </w:rPr>
        <w:t>4.2.1符合（陕财办采〔2023〕3号）文件规定的小微企业</w:t>
      </w:r>
      <w:r>
        <w:rPr>
          <w:rFonts w:hint="eastAsia" w:ascii="宋体" w:hAnsi="宋体" w:cs="宋体"/>
          <w:sz w:val="24"/>
          <w:szCs w:val="24"/>
          <w:highlight w:val="none"/>
        </w:rPr>
        <w:t>单位</w:t>
      </w:r>
      <w:r>
        <w:rPr>
          <w:rFonts w:hint="eastAsia" w:ascii="宋体" w:hAnsi="宋体" w:cs="宋体"/>
          <w:spacing w:val="4"/>
          <w:sz w:val="24"/>
          <w:highlight w:val="none"/>
        </w:rPr>
        <w:t>的评标价计算规则：</w:t>
      </w:r>
    </w:p>
    <w:p w14:paraId="57034A31">
      <w:pPr>
        <w:spacing w:line="360" w:lineRule="auto"/>
        <w:ind w:firstLine="520" w:firstLineChars="210"/>
        <w:rPr>
          <w:rFonts w:hint="eastAsia" w:ascii="宋体" w:hAnsi="宋体" w:cs="宋体"/>
          <w:spacing w:val="4"/>
          <w:sz w:val="24"/>
          <w:highlight w:val="none"/>
        </w:rPr>
      </w:pPr>
      <w:r>
        <w:rPr>
          <w:rFonts w:hint="eastAsia" w:ascii="宋体" w:hAnsi="宋体" w:cs="宋体"/>
          <w:spacing w:val="4"/>
          <w:sz w:val="24"/>
          <w:highlight w:val="none"/>
        </w:rPr>
        <w:t>4.2.1.1对符合规定的小型和微型企业（非联合体投标）报价给予1</w:t>
      </w:r>
      <w:r>
        <w:rPr>
          <w:rFonts w:hint="eastAsia" w:ascii="宋体" w:hAnsi="宋体" w:cs="宋体"/>
          <w:spacing w:val="4"/>
          <w:sz w:val="24"/>
          <w:highlight w:val="none"/>
          <w:lang w:val="en-US" w:eastAsia="zh-CN"/>
        </w:rPr>
        <w:t>0</w:t>
      </w:r>
      <w:r>
        <w:rPr>
          <w:rFonts w:hint="eastAsia" w:ascii="宋体" w:hAnsi="宋体" w:cs="宋体"/>
          <w:spacing w:val="4"/>
          <w:sz w:val="24"/>
          <w:highlight w:val="none"/>
        </w:rPr>
        <w:t>%的扣除，用扣除后的价格参加评审。</w:t>
      </w:r>
    </w:p>
    <w:p w14:paraId="37AB385F">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其评标价=投标报价*（1-1</w:t>
      </w:r>
      <w:r>
        <w:rPr>
          <w:rFonts w:hint="eastAsia" w:ascii="宋体" w:hAnsi="宋体" w:cs="宋体"/>
          <w:spacing w:val="4"/>
          <w:sz w:val="24"/>
          <w:highlight w:val="none"/>
          <w:lang w:val="en-US" w:eastAsia="zh-CN"/>
        </w:rPr>
        <w:t>0</w:t>
      </w:r>
      <w:r>
        <w:rPr>
          <w:rFonts w:hint="eastAsia" w:ascii="宋体" w:hAnsi="宋体" w:cs="宋体"/>
          <w:spacing w:val="4"/>
          <w:sz w:val="24"/>
          <w:highlight w:val="none"/>
        </w:rPr>
        <w:t>%）</w:t>
      </w:r>
    </w:p>
    <w:p w14:paraId="7223723A">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4.2.1.2对于联合协议或者分包意向协议约定小微企业的合同份额占到合同总金额</w:t>
      </w:r>
      <w:r>
        <w:rPr>
          <w:rFonts w:hint="eastAsia" w:ascii="宋体" w:hAnsi="宋体" w:cs="宋体"/>
          <w:spacing w:val="4"/>
          <w:sz w:val="24"/>
          <w:highlight w:val="none"/>
          <w:lang w:val="en-US" w:eastAsia="zh-CN"/>
        </w:rPr>
        <w:t>3</w:t>
      </w:r>
      <w:r>
        <w:rPr>
          <w:rFonts w:hint="eastAsia" w:ascii="宋体" w:hAnsi="宋体" w:cs="宋体"/>
          <w:spacing w:val="4"/>
          <w:sz w:val="24"/>
          <w:highlight w:val="none"/>
        </w:rPr>
        <w:t>0%以上的，对联合体或者大中型企业的报价给予5%的扣除，用扣除后的价格参加评审。</w:t>
      </w:r>
    </w:p>
    <w:p w14:paraId="63475787">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其评标价=投标报价*（1-5%）</w:t>
      </w:r>
    </w:p>
    <w:p w14:paraId="57D0F99F">
      <w:pPr>
        <w:spacing w:line="360" w:lineRule="auto"/>
        <w:ind w:firstLine="495"/>
        <w:rPr>
          <w:rFonts w:hint="eastAsia" w:ascii="宋体" w:hAnsi="宋体" w:cs="宋体"/>
          <w:spacing w:val="4"/>
          <w:sz w:val="24"/>
          <w:highlight w:val="none"/>
        </w:rPr>
      </w:pPr>
      <w:r>
        <w:rPr>
          <w:rFonts w:hint="eastAsia" w:ascii="宋体" w:hAnsi="宋体" w:cs="宋体"/>
          <w:spacing w:val="4"/>
          <w:sz w:val="24"/>
          <w:highlight w:val="none"/>
        </w:rPr>
        <w:t>4.2.1.3确认为小微企业（含小型、微型企业，下同）投标的，应当同时符合以下条件：</w:t>
      </w:r>
    </w:p>
    <w:p w14:paraId="732B9274">
      <w:pPr>
        <w:spacing w:line="360" w:lineRule="auto"/>
        <w:ind w:left="1" w:firstLine="520" w:firstLineChars="210"/>
        <w:rPr>
          <w:rFonts w:hint="eastAsia" w:ascii="宋体" w:hAnsi="宋体" w:cs="宋体"/>
          <w:spacing w:val="4"/>
          <w:sz w:val="24"/>
          <w:highlight w:val="none"/>
        </w:rPr>
      </w:pPr>
      <w:r>
        <w:rPr>
          <w:rFonts w:hint="eastAsia" w:ascii="宋体" w:hAnsi="宋体" w:cs="宋体"/>
          <w:spacing w:val="4"/>
          <w:sz w:val="24"/>
          <w:highlight w:val="none"/>
        </w:rPr>
        <w:t>4.2.1.3.1符合国务院有关部门根据企业从业人员、营业收入、资产总额等指标制定的中小企业划型标准（工信部联企业〔2011〕300号）；</w:t>
      </w:r>
    </w:p>
    <w:p w14:paraId="1098A651">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 xml:space="preserve">4.2.1.3.2在货物采购项目中，货物由中小企业制造，即货物由中小企业生产且使用该中小企业商号或者注册商标； </w:t>
      </w:r>
    </w:p>
    <w:p w14:paraId="673C2DF6">
      <w:pPr>
        <w:spacing w:line="360" w:lineRule="auto"/>
        <w:ind w:left="1143" w:leftChars="249" w:hanging="620" w:hangingChars="250"/>
        <w:rPr>
          <w:rFonts w:hint="eastAsia" w:ascii="宋体" w:hAnsi="宋体" w:cs="宋体"/>
          <w:spacing w:val="4"/>
          <w:sz w:val="24"/>
          <w:highlight w:val="none"/>
        </w:rPr>
      </w:pPr>
      <w:r>
        <w:rPr>
          <w:rFonts w:hint="eastAsia" w:ascii="宋体" w:hAnsi="宋体" w:cs="宋体"/>
          <w:spacing w:val="4"/>
          <w:sz w:val="24"/>
          <w:highlight w:val="none"/>
        </w:rPr>
        <w:t>4.2.1.3.3投标时须</w:t>
      </w:r>
      <w:r>
        <w:rPr>
          <w:rFonts w:hint="eastAsia" w:ascii="宋体" w:hAnsi="宋体" w:cs="宋体"/>
          <w:sz w:val="24"/>
          <w:szCs w:val="24"/>
          <w:highlight w:val="none"/>
        </w:rPr>
        <w:t>提供《中小企业声明函》。</w:t>
      </w:r>
    </w:p>
    <w:p w14:paraId="128C05D5">
      <w:pPr>
        <w:spacing w:line="360" w:lineRule="auto"/>
        <w:ind w:firstLine="520" w:firstLineChars="210"/>
        <w:rPr>
          <w:rFonts w:hint="eastAsia" w:ascii="宋体" w:hAnsi="宋体" w:cs="宋体"/>
          <w:spacing w:val="4"/>
          <w:sz w:val="24"/>
          <w:highlight w:val="none"/>
        </w:rPr>
      </w:pPr>
      <w:r>
        <w:rPr>
          <w:rFonts w:hint="eastAsia" w:ascii="宋体" w:hAnsi="宋体" w:cs="宋体"/>
          <w:spacing w:val="4"/>
          <w:sz w:val="24"/>
          <w:highlight w:val="none"/>
        </w:rPr>
        <w:t>4.2.2符合（财库〔2017〕141号）文件规定的残疾人福利性单位的评标价计算规则：</w:t>
      </w:r>
    </w:p>
    <w:p w14:paraId="732207DF">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4.2.2.1在政府采购活动中，残疾人福利性单位视同小型、微型企业，享受预留份额、评审中价格扣除等促进中小企业发展的政府采购政策。向残疾人福利性单位采购的金额，计入面向中小企业采购的统计数据。报价给予1</w:t>
      </w:r>
      <w:r>
        <w:rPr>
          <w:rFonts w:hint="eastAsia" w:ascii="宋体" w:hAnsi="宋体" w:cs="宋体"/>
          <w:spacing w:val="4"/>
          <w:sz w:val="24"/>
          <w:highlight w:val="none"/>
          <w:lang w:val="en-US" w:eastAsia="zh-CN"/>
        </w:rPr>
        <w:t>0</w:t>
      </w:r>
      <w:r>
        <w:rPr>
          <w:rFonts w:hint="eastAsia" w:ascii="宋体" w:hAnsi="宋体" w:cs="宋体"/>
          <w:spacing w:val="4"/>
          <w:sz w:val="24"/>
          <w:highlight w:val="none"/>
        </w:rPr>
        <w:t>%的扣除，用扣除后的价格参加评审。</w:t>
      </w:r>
    </w:p>
    <w:p w14:paraId="068CCD57">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其评标价=投标报价*（1-1</w:t>
      </w:r>
      <w:r>
        <w:rPr>
          <w:rFonts w:hint="eastAsia" w:ascii="宋体" w:hAnsi="宋体" w:cs="宋体"/>
          <w:spacing w:val="4"/>
          <w:sz w:val="24"/>
          <w:highlight w:val="none"/>
          <w:lang w:val="en-US" w:eastAsia="zh-CN"/>
        </w:rPr>
        <w:t>0</w:t>
      </w:r>
      <w:r>
        <w:rPr>
          <w:rFonts w:hint="eastAsia" w:ascii="宋体" w:hAnsi="宋体" w:cs="宋体"/>
          <w:spacing w:val="4"/>
          <w:sz w:val="24"/>
          <w:highlight w:val="none"/>
        </w:rPr>
        <w:t>%）</w:t>
      </w:r>
    </w:p>
    <w:p w14:paraId="286DBC61">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4.2.2.2对于联合协议或者分包意向协议约定残疾人福利性单位的合同份额占到合同总金额</w:t>
      </w:r>
      <w:r>
        <w:rPr>
          <w:rFonts w:hint="eastAsia" w:ascii="宋体" w:hAnsi="宋体" w:cs="宋体"/>
          <w:spacing w:val="4"/>
          <w:sz w:val="24"/>
          <w:highlight w:val="none"/>
          <w:lang w:val="en-US" w:eastAsia="zh-CN"/>
        </w:rPr>
        <w:t>3</w:t>
      </w:r>
      <w:r>
        <w:rPr>
          <w:rFonts w:hint="eastAsia" w:ascii="宋体" w:hAnsi="宋体" w:cs="宋体"/>
          <w:spacing w:val="4"/>
          <w:sz w:val="24"/>
          <w:highlight w:val="none"/>
        </w:rPr>
        <w:t>0%以上的，对联合体或者大中型企业的报价给予</w:t>
      </w:r>
      <w:r>
        <w:rPr>
          <w:rFonts w:hint="eastAsia" w:ascii="宋体" w:hAnsi="宋体" w:cs="宋体"/>
          <w:spacing w:val="4"/>
          <w:sz w:val="24"/>
          <w:highlight w:val="none"/>
          <w:lang w:val="en-US" w:eastAsia="zh-CN"/>
        </w:rPr>
        <w:t>5</w:t>
      </w:r>
      <w:r>
        <w:rPr>
          <w:rFonts w:hint="eastAsia" w:ascii="宋体" w:hAnsi="宋体" w:cs="宋体"/>
          <w:spacing w:val="4"/>
          <w:sz w:val="24"/>
          <w:highlight w:val="none"/>
        </w:rPr>
        <w:t>%的扣除，用扣除后的价格参加评审。</w:t>
      </w:r>
    </w:p>
    <w:p w14:paraId="60981F74">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其评标价=投标报价*（1-5%）</w:t>
      </w:r>
    </w:p>
    <w:p w14:paraId="522ACE07">
      <w:pPr>
        <w:spacing w:line="360" w:lineRule="auto"/>
        <w:ind w:left="1019" w:leftChars="249" w:hanging="496" w:hangingChars="200"/>
        <w:rPr>
          <w:rFonts w:hint="eastAsia" w:ascii="宋体" w:hAnsi="宋体" w:cs="宋体"/>
          <w:spacing w:val="4"/>
          <w:sz w:val="24"/>
          <w:highlight w:val="none"/>
        </w:rPr>
      </w:pPr>
      <w:r>
        <w:rPr>
          <w:rFonts w:hint="eastAsia" w:ascii="宋体" w:hAnsi="宋体" w:cs="宋体"/>
          <w:spacing w:val="4"/>
          <w:sz w:val="24"/>
          <w:highlight w:val="none"/>
        </w:rPr>
        <w:t>4.2.2.3确认为残疾人福利性单位投标的，应当同时符合以下条件：</w:t>
      </w:r>
    </w:p>
    <w:p w14:paraId="18E84F46">
      <w:pPr>
        <w:spacing w:line="360" w:lineRule="auto"/>
        <w:ind w:firstLine="520" w:firstLineChars="210"/>
        <w:rPr>
          <w:rFonts w:hint="eastAsia" w:ascii="宋体" w:hAnsi="宋体" w:cs="宋体"/>
          <w:spacing w:val="4"/>
          <w:sz w:val="24"/>
          <w:highlight w:val="none"/>
        </w:rPr>
      </w:pPr>
      <w:r>
        <w:rPr>
          <w:rFonts w:hint="eastAsia" w:ascii="宋体" w:hAnsi="宋体" w:cs="宋体"/>
          <w:spacing w:val="4"/>
          <w:sz w:val="24"/>
          <w:highlight w:val="none"/>
        </w:rPr>
        <w:t>4.2.2.3.1符合（财库〔2017〕141号）文件相关规定。</w:t>
      </w:r>
    </w:p>
    <w:p w14:paraId="27527431">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4.2.2.3.2投标时提供本单位制造的货物、承担的工程或者服务（以下简称产品），或者提供其他残疾人福利性单位制造的货物（不包括使用非残疾人福利性单位注册商标的货物）。</w:t>
      </w:r>
    </w:p>
    <w:p w14:paraId="4A2DC2D4">
      <w:pPr>
        <w:spacing w:line="360" w:lineRule="auto"/>
        <w:ind w:left="1019" w:leftChars="249" w:hanging="496" w:hangingChars="200"/>
        <w:rPr>
          <w:rFonts w:hint="eastAsia" w:ascii="宋体" w:hAnsi="宋体" w:cs="宋体"/>
          <w:spacing w:val="4"/>
          <w:sz w:val="24"/>
          <w:highlight w:val="none"/>
        </w:rPr>
      </w:pPr>
      <w:r>
        <w:rPr>
          <w:rFonts w:hint="eastAsia" w:ascii="宋体" w:hAnsi="宋体" w:cs="宋体"/>
          <w:spacing w:val="4"/>
          <w:sz w:val="24"/>
          <w:highlight w:val="none"/>
        </w:rPr>
        <w:t>4.2.2.3.3投标人须提供《残疾人福利性单位声明函》。</w:t>
      </w:r>
    </w:p>
    <w:p w14:paraId="5DE9774E">
      <w:pPr>
        <w:spacing w:line="360" w:lineRule="auto"/>
        <w:ind w:firstLine="520" w:firstLineChars="210"/>
        <w:rPr>
          <w:rFonts w:hint="eastAsia" w:ascii="宋体" w:hAnsi="宋体" w:cs="宋体"/>
          <w:spacing w:val="4"/>
          <w:sz w:val="24"/>
          <w:highlight w:val="none"/>
        </w:rPr>
      </w:pPr>
    </w:p>
    <w:p w14:paraId="2B67661C">
      <w:pPr>
        <w:spacing w:line="360" w:lineRule="auto"/>
        <w:ind w:firstLine="520" w:firstLineChars="210"/>
        <w:rPr>
          <w:rFonts w:hint="eastAsia" w:ascii="宋体" w:hAnsi="宋体" w:cs="宋体"/>
          <w:spacing w:val="4"/>
          <w:sz w:val="24"/>
          <w:highlight w:val="none"/>
        </w:rPr>
      </w:pPr>
      <w:r>
        <w:rPr>
          <w:rFonts w:hint="eastAsia" w:ascii="宋体" w:hAnsi="宋体" w:cs="宋体"/>
          <w:spacing w:val="4"/>
          <w:sz w:val="24"/>
          <w:highlight w:val="none"/>
        </w:rPr>
        <w:t>4.2.3符合（财库〔2014〕68号）文件规定的监狱企业的评标价计算规则：</w:t>
      </w:r>
    </w:p>
    <w:p w14:paraId="704F2DCE">
      <w:pPr>
        <w:spacing w:line="360" w:lineRule="auto"/>
        <w:ind w:firstLine="520" w:firstLineChars="210"/>
        <w:rPr>
          <w:rFonts w:hint="eastAsia" w:ascii="宋体" w:hAnsi="宋体" w:cs="宋体"/>
          <w:spacing w:val="4"/>
          <w:sz w:val="24"/>
          <w:highlight w:val="none"/>
        </w:rPr>
      </w:pPr>
      <w:r>
        <w:rPr>
          <w:rFonts w:hint="eastAsia" w:ascii="宋体" w:hAnsi="宋体" w:cs="宋体"/>
          <w:spacing w:val="4"/>
          <w:sz w:val="24"/>
          <w:highlight w:val="none"/>
        </w:rPr>
        <w:t>4.2.3.1在政府采购活动中，监狱企业视同小型、微型企业，享受预留份额、评审中价格扣除等政府采购促进中小企业发展的政府采购政策。向监狱企业采购的金额，计入面向中小企业采购的统计数据。报价给予1</w:t>
      </w:r>
      <w:r>
        <w:rPr>
          <w:rFonts w:hint="eastAsia" w:ascii="宋体" w:hAnsi="宋体" w:cs="宋体"/>
          <w:spacing w:val="4"/>
          <w:sz w:val="24"/>
          <w:highlight w:val="none"/>
          <w:lang w:val="en-US" w:eastAsia="zh-CN"/>
        </w:rPr>
        <w:t>0</w:t>
      </w:r>
      <w:r>
        <w:rPr>
          <w:rFonts w:hint="eastAsia" w:ascii="宋体" w:hAnsi="宋体" w:cs="宋体"/>
          <w:spacing w:val="4"/>
          <w:sz w:val="24"/>
          <w:highlight w:val="none"/>
        </w:rPr>
        <w:t>%的扣除，用扣除后的价格参加评审。</w:t>
      </w:r>
    </w:p>
    <w:p w14:paraId="6898C17C">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其评标价=投标报价*（1-1</w:t>
      </w:r>
      <w:r>
        <w:rPr>
          <w:rFonts w:hint="eastAsia" w:ascii="宋体" w:hAnsi="宋体" w:cs="宋体"/>
          <w:spacing w:val="4"/>
          <w:sz w:val="24"/>
          <w:highlight w:val="none"/>
          <w:lang w:val="en-US" w:eastAsia="zh-CN"/>
        </w:rPr>
        <w:t>0</w:t>
      </w:r>
      <w:r>
        <w:rPr>
          <w:rFonts w:hint="eastAsia" w:ascii="宋体" w:hAnsi="宋体" w:cs="宋体"/>
          <w:spacing w:val="4"/>
          <w:sz w:val="24"/>
          <w:highlight w:val="none"/>
        </w:rPr>
        <w:t>%）</w:t>
      </w:r>
    </w:p>
    <w:p w14:paraId="47D85639">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4.2.3.2对于联合协议或者分包意向协议约定监狱企业的合同份额占到合同总金额</w:t>
      </w:r>
      <w:r>
        <w:rPr>
          <w:rFonts w:hint="eastAsia" w:ascii="宋体" w:hAnsi="宋体" w:cs="宋体"/>
          <w:spacing w:val="4"/>
          <w:sz w:val="24"/>
          <w:highlight w:val="none"/>
          <w:lang w:val="en-US" w:eastAsia="zh-CN"/>
        </w:rPr>
        <w:t>3</w:t>
      </w:r>
      <w:r>
        <w:rPr>
          <w:rFonts w:hint="eastAsia" w:ascii="宋体" w:hAnsi="宋体" w:cs="宋体"/>
          <w:spacing w:val="4"/>
          <w:sz w:val="24"/>
          <w:highlight w:val="none"/>
        </w:rPr>
        <w:t>0%以上的，对联合体或者大中型企业的报价给予5%的扣除，用扣除后的价格参加评审。</w:t>
      </w:r>
    </w:p>
    <w:p w14:paraId="28E1CF33">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其评标价=投标报价*（1-5%）</w:t>
      </w:r>
    </w:p>
    <w:p w14:paraId="1AFB08C3">
      <w:pPr>
        <w:spacing w:line="360" w:lineRule="auto"/>
        <w:ind w:left="1019" w:leftChars="249" w:hanging="496" w:hangingChars="200"/>
        <w:rPr>
          <w:rFonts w:hint="eastAsia" w:ascii="宋体" w:hAnsi="宋体" w:cs="宋体"/>
          <w:spacing w:val="4"/>
          <w:sz w:val="24"/>
          <w:highlight w:val="none"/>
        </w:rPr>
      </w:pPr>
      <w:r>
        <w:rPr>
          <w:rFonts w:hint="eastAsia" w:ascii="宋体" w:hAnsi="宋体" w:cs="宋体"/>
          <w:spacing w:val="4"/>
          <w:sz w:val="24"/>
          <w:highlight w:val="none"/>
        </w:rPr>
        <w:t>4.2.3.3确认为监狱企业投标的，应当同时符合以下条件：</w:t>
      </w:r>
    </w:p>
    <w:p w14:paraId="40EE6858">
      <w:pPr>
        <w:spacing w:line="360" w:lineRule="auto"/>
        <w:ind w:firstLine="520" w:firstLineChars="210"/>
        <w:rPr>
          <w:rFonts w:hint="eastAsia" w:ascii="宋体" w:hAnsi="宋体" w:cs="宋体"/>
          <w:spacing w:val="4"/>
          <w:sz w:val="24"/>
          <w:highlight w:val="none"/>
        </w:rPr>
      </w:pPr>
      <w:r>
        <w:rPr>
          <w:rFonts w:hint="eastAsia" w:ascii="宋体" w:hAnsi="宋体" w:cs="宋体"/>
          <w:spacing w:val="4"/>
          <w:sz w:val="24"/>
          <w:highlight w:val="none"/>
        </w:rPr>
        <w:t>4.2.3.3.1符合（财库〔2014〕68号）文件相关规定。</w:t>
      </w:r>
    </w:p>
    <w:p w14:paraId="4DD7D53F">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4.2.3.3.2投标时提供本单位生产的货物，或者提供其他监狱企业生产的货物。</w:t>
      </w:r>
    </w:p>
    <w:p w14:paraId="13182012">
      <w:pPr>
        <w:spacing w:line="360" w:lineRule="auto"/>
        <w:ind w:firstLine="520" w:firstLineChars="210"/>
        <w:rPr>
          <w:rFonts w:hint="eastAsia" w:ascii="宋体" w:hAnsi="宋体" w:cs="宋体"/>
          <w:spacing w:val="4"/>
          <w:sz w:val="24"/>
          <w:highlight w:val="none"/>
        </w:rPr>
      </w:pPr>
      <w:r>
        <w:rPr>
          <w:rFonts w:hint="eastAsia" w:ascii="宋体" w:hAnsi="宋体" w:cs="宋体"/>
          <w:spacing w:val="4"/>
          <w:sz w:val="24"/>
          <w:highlight w:val="none"/>
        </w:rPr>
        <w:t>4.2.3.3.3投标人须提供由省级以上监狱管理局、戒毒管理局（含新疆生产建设兵团）出具的属于监狱企业的证明文件。</w:t>
      </w:r>
    </w:p>
    <w:p w14:paraId="364C543A">
      <w:pPr>
        <w:spacing w:line="360" w:lineRule="auto"/>
        <w:ind w:firstLine="520" w:firstLineChars="210"/>
        <w:rPr>
          <w:rFonts w:hint="eastAsia" w:ascii="宋体" w:hAnsi="宋体" w:cs="宋体"/>
          <w:spacing w:val="4"/>
          <w:sz w:val="24"/>
          <w:highlight w:val="none"/>
        </w:rPr>
      </w:pPr>
      <w:r>
        <w:rPr>
          <w:rFonts w:hint="eastAsia" w:ascii="宋体" w:hAnsi="宋体" w:cs="宋体"/>
          <w:spacing w:val="4"/>
          <w:sz w:val="24"/>
          <w:highlight w:val="none"/>
        </w:rPr>
        <w:t>4.2.4符合节能产品文件规定的评标价计算规则：</w:t>
      </w:r>
    </w:p>
    <w:p w14:paraId="0CB44ADC">
      <w:pPr>
        <w:spacing w:line="360" w:lineRule="auto"/>
        <w:ind w:firstLine="496" w:firstLineChars="200"/>
        <w:rPr>
          <w:rFonts w:hint="eastAsia" w:ascii="宋体" w:hAnsi="宋体" w:cs="宋体"/>
          <w:spacing w:val="4"/>
          <w:sz w:val="24"/>
          <w:highlight w:val="none"/>
        </w:rPr>
      </w:pPr>
      <w:r>
        <w:rPr>
          <w:rFonts w:hint="eastAsia" w:ascii="宋体" w:hAnsi="宋体" w:cs="宋体"/>
          <w:spacing w:val="4"/>
          <w:sz w:val="24"/>
          <w:highlight w:val="none"/>
        </w:rPr>
        <w:t>4.2.4.1投标货物涉及提供的所有投标产品进入“节能产品政府采购品目清单”（相关证书的颁发机构应来自《参与实施政府采购节能产品认证机构名录》）的，其评标价=投标报价*（1-3%）；（不是所有投标产品的不享受此项优惠）。</w:t>
      </w:r>
    </w:p>
    <w:p w14:paraId="74D659D6">
      <w:pPr>
        <w:spacing w:line="360" w:lineRule="auto"/>
        <w:ind w:firstLine="520" w:firstLineChars="210"/>
        <w:rPr>
          <w:rFonts w:hint="eastAsia" w:ascii="宋体" w:hAnsi="宋体" w:cs="宋体"/>
          <w:spacing w:val="4"/>
          <w:sz w:val="24"/>
          <w:highlight w:val="none"/>
        </w:rPr>
      </w:pPr>
    </w:p>
    <w:p w14:paraId="04E30DAF">
      <w:pPr>
        <w:spacing w:line="360" w:lineRule="auto"/>
        <w:ind w:firstLine="520" w:firstLineChars="210"/>
        <w:rPr>
          <w:rFonts w:hint="eastAsia" w:ascii="宋体" w:hAnsi="宋体" w:cs="宋体"/>
          <w:spacing w:val="4"/>
          <w:sz w:val="24"/>
          <w:highlight w:val="none"/>
        </w:rPr>
      </w:pPr>
      <w:r>
        <w:rPr>
          <w:rFonts w:hint="eastAsia" w:ascii="宋体" w:hAnsi="宋体" w:cs="宋体"/>
          <w:spacing w:val="4"/>
          <w:sz w:val="24"/>
          <w:highlight w:val="none"/>
        </w:rPr>
        <w:t>4.2.5符合环境标志产品文件规定的评标价计算规则：</w:t>
      </w:r>
    </w:p>
    <w:p w14:paraId="0C57DAFD">
      <w:pPr>
        <w:spacing w:line="360" w:lineRule="auto"/>
        <w:ind w:firstLine="495"/>
        <w:rPr>
          <w:rFonts w:hint="eastAsia" w:ascii="宋体" w:hAnsi="宋体" w:cs="宋体"/>
          <w:spacing w:val="4"/>
          <w:sz w:val="24"/>
          <w:highlight w:val="none"/>
        </w:rPr>
      </w:pPr>
      <w:r>
        <w:rPr>
          <w:rFonts w:hint="eastAsia" w:ascii="宋体" w:hAnsi="宋体" w:cs="宋体"/>
          <w:spacing w:val="4"/>
          <w:sz w:val="24"/>
          <w:highlight w:val="none"/>
        </w:rPr>
        <w:t xml:space="preserve">4.2.5.1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14:paraId="3EEEF817">
      <w:pPr>
        <w:spacing w:line="360" w:lineRule="auto"/>
        <w:ind w:left="523" w:leftChars="249"/>
        <w:rPr>
          <w:rFonts w:hint="eastAsia" w:ascii="宋体" w:hAnsi="宋体" w:cs="宋体"/>
          <w:sz w:val="24"/>
          <w:szCs w:val="24"/>
          <w:highlight w:val="none"/>
        </w:rPr>
      </w:pPr>
      <w:r>
        <w:rPr>
          <w:rFonts w:hint="eastAsia" w:ascii="宋体" w:hAnsi="宋体" w:cs="宋体"/>
          <w:sz w:val="24"/>
          <w:szCs w:val="24"/>
          <w:highlight w:val="none"/>
        </w:rPr>
        <w:t>5、比较与评价：</w:t>
      </w:r>
    </w:p>
    <w:p w14:paraId="0EEE4E2F">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5.1评委会各成员按照《评审因素量化赋分表》规定的内容，独立进行综合比较、评价打分。 </w:t>
      </w:r>
    </w:p>
    <w:p w14:paraId="751C6BAA">
      <w:pPr>
        <w:spacing w:line="360" w:lineRule="auto"/>
        <w:ind w:left="525" w:leftChars="250"/>
        <w:rPr>
          <w:rFonts w:hint="eastAsia" w:ascii="宋体" w:hAnsi="宋体" w:cs="宋体"/>
          <w:spacing w:val="4"/>
          <w:sz w:val="24"/>
          <w:highlight w:val="none"/>
        </w:rPr>
      </w:pPr>
      <w:r>
        <w:rPr>
          <w:rFonts w:hint="eastAsia" w:ascii="宋体" w:hAnsi="宋体" w:cs="宋体"/>
          <w:spacing w:val="4"/>
          <w:sz w:val="24"/>
          <w:highlight w:val="none"/>
        </w:rPr>
        <w:t>6、推荐中标候选人名单：</w:t>
      </w:r>
    </w:p>
    <w:p w14:paraId="0D0C5B0C">
      <w:pPr>
        <w:spacing w:line="360" w:lineRule="auto"/>
        <w:ind w:left="992" w:leftChars="236" w:hanging="496" w:hangingChars="200"/>
        <w:rPr>
          <w:rFonts w:hint="eastAsia" w:ascii="宋体" w:hAnsi="宋体" w:cs="宋体"/>
          <w:spacing w:val="4"/>
          <w:sz w:val="24"/>
          <w:highlight w:val="none"/>
        </w:rPr>
      </w:pPr>
      <w:r>
        <w:rPr>
          <w:rFonts w:hint="eastAsia" w:ascii="宋体" w:hAnsi="宋体" w:cs="宋体"/>
          <w:spacing w:val="4"/>
          <w:sz w:val="24"/>
          <w:highlight w:val="none"/>
        </w:rPr>
        <w:t>6.1</w:t>
      </w:r>
      <w:r>
        <w:rPr>
          <w:rFonts w:hint="eastAsia" w:ascii="宋体" w:hAnsi="宋体" w:cs="宋体"/>
          <w:sz w:val="24"/>
          <w:szCs w:val="24"/>
          <w:highlight w:val="none"/>
        </w:rPr>
        <w:t>汇总全体评委对每个投标人的赋分，计算出每个投标人的综合得分，按包得分</w:t>
      </w:r>
      <w:r>
        <w:rPr>
          <w:rFonts w:hint="eastAsia" w:ascii="宋体" w:hAnsi="宋体" w:cs="宋体"/>
          <w:spacing w:val="4"/>
          <w:sz w:val="24"/>
          <w:highlight w:val="none"/>
        </w:rPr>
        <w:t>从高到低顺序排列，推荐前3名为中标候选人。</w:t>
      </w:r>
    </w:p>
    <w:p w14:paraId="4332A746">
      <w:pPr>
        <w:spacing w:line="360" w:lineRule="auto"/>
        <w:ind w:firstLine="496" w:firstLineChars="200"/>
        <w:rPr>
          <w:rFonts w:ascii="宋体" w:hAnsi="宋体" w:cs="宋体"/>
          <w:spacing w:val="4"/>
          <w:sz w:val="24"/>
          <w:szCs w:val="24"/>
          <w:highlight w:val="none"/>
          <w:shd w:val="clear" w:color="auto" w:fill="FFFFFF"/>
        </w:rPr>
      </w:pPr>
      <w:r>
        <w:rPr>
          <w:rFonts w:hint="eastAsia" w:ascii="宋体" w:hAnsi="宋体" w:cs="宋体"/>
          <w:spacing w:val="4"/>
          <w:sz w:val="24"/>
          <w:highlight w:val="none"/>
        </w:rPr>
        <w:t>6.2</w:t>
      </w:r>
      <w:r>
        <w:rPr>
          <w:rFonts w:hint="eastAsia" w:ascii="宋体" w:hAnsi="宋体" w:cs="宋体"/>
          <w:kern w:val="0"/>
          <w:sz w:val="24"/>
          <w:szCs w:val="24"/>
          <w:highlight w:val="none"/>
        </w:rPr>
        <w:t>得分相同的，按投标报价由低到高顺序排列。得分且投标报价相同的并列。</w:t>
      </w:r>
    </w:p>
    <w:p w14:paraId="0CA7ABB5">
      <w:pPr>
        <w:spacing w:line="500" w:lineRule="exact"/>
        <w:ind w:firstLine="496" w:firstLineChars="200"/>
        <w:rPr>
          <w:rFonts w:ascii="宋体" w:hAnsi="宋体"/>
          <w:spacing w:val="4"/>
          <w:sz w:val="24"/>
          <w:highlight w:val="none"/>
          <w:shd w:val="clear" w:color="auto" w:fill="FFFFFF"/>
        </w:rPr>
      </w:pPr>
    </w:p>
    <w:p w14:paraId="00DA7618">
      <w:pPr>
        <w:pStyle w:val="18"/>
        <w:spacing w:before="120" w:beforeLines="50" w:line="360" w:lineRule="auto"/>
        <w:ind w:firstLine="0"/>
        <w:jc w:val="center"/>
        <w:rPr>
          <w:rFonts w:hAnsi="宋体"/>
          <w:b/>
          <w:sz w:val="30"/>
          <w:szCs w:val="30"/>
          <w:highlight w:val="none"/>
        </w:rPr>
      </w:pPr>
      <w:r>
        <w:rPr>
          <w:rFonts w:hAnsi="宋体"/>
          <w:highlight w:val="none"/>
          <w:shd w:val="clear" w:color="auto" w:fill="FFFFFF"/>
        </w:rPr>
        <w:br w:type="page"/>
      </w:r>
      <w:r>
        <w:rPr>
          <w:rFonts w:hint="eastAsia" w:hAnsi="宋体"/>
          <w:b/>
          <w:sz w:val="30"/>
          <w:szCs w:val="30"/>
          <w:highlight w:val="none"/>
        </w:rPr>
        <w:t>（一）符合性审查因素</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868"/>
        <w:gridCol w:w="6094"/>
      </w:tblGrid>
      <w:tr w14:paraId="096CE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034" w:type="dxa"/>
            <w:tcBorders>
              <w:top w:val="single" w:color="auto" w:sz="4" w:space="0"/>
              <w:left w:val="single" w:color="auto" w:sz="4" w:space="0"/>
              <w:bottom w:val="single" w:color="auto" w:sz="4" w:space="0"/>
              <w:right w:val="single" w:color="auto" w:sz="4" w:space="0"/>
            </w:tcBorders>
            <w:noWrap w:val="0"/>
            <w:vAlign w:val="center"/>
          </w:tcPr>
          <w:p w14:paraId="396FECC0">
            <w:pPr>
              <w:spacing w:line="360" w:lineRule="auto"/>
              <w:jc w:val="center"/>
              <w:rPr>
                <w:rFonts w:ascii="宋体" w:hAnsi="宋体"/>
                <w:b/>
                <w:bCs/>
                <w:sz w:val="24"/>
                <w:szCs w:val="24"/>
                <w:highlight w:val="none"/>
              </w:rPr>
            </w:pPr>
            <w:r>
              <w:rPr>
                <w:rFonts w:hint="eastAsia" w:ascii="宋体" w:hAnsi="宋体"/>
                <w:b/>
                <w:bCs/>
                <w:sz w:val="24"/>
                <w:szCs w:val="24"/>
                <w:highlight w:val="none"/>
              </w:rPr>
              <w:t>序号</w:t>
            </w:r>
          </w:p>
        </w:tc>
        <w:tc>
          <w:tcPr>
            <w:tcW w:w="1868" w:type="dxa"/>
            <w:tcBorders>
              <w:top w:val="single" w:color="auto" w:sz="4" w:space="0"/>
              <w:left w:val="single" w:color="auto" w:sz="4" w:space="0"/>
              <w:bottom w:val="single" w:color="auto" w:sz="4" w:space="0"/>
              <w:right w:val="single" w:color="auto" w:sz="4" w:space="0"/>
            </w:tcBorders>
            <w:noWrap w:val="0"/>
            <w:vAlign w:val="center"/>
          </w:tcPr>
          <w:p w14:paraId="0582805B">
            <w:pPr>
              <w:spacing w:line="360" w:lineRule="auto"/>
              <w:jc w:val="center"/>
              <w:rPr>
                <w:rFonts w:ascii="宋体" w:hAnsi="宋体"/>
                <w:b/>
                <w:bCs/>
                <w:sz w:val="24"/>
                <w:szCs w:val="24"/>
                <w:highlight w:val="none"/>
              </w:rPr>
            </w:pPr>
            <w:r>
              <w:rPr>
                <w:rFonts w:hint="eastAsia" w:ascii="宋体" w:hAnsi="宋体"/>
                <w:b/>
                <w:bCs/>
                <w:sz w:val="24"/>
                <w:szCs w:val="24"/>
                <w:highlight w:val="none"/>
              </w:rPr>
              <w:t>符合性审查类别</w:t>
            </w:r>
          </w:p>
        </w:tc>
        <w:tc>
          <w:tcPr>
            <w:tcW w:w="6094" w:type="dxa"/>
            <w:tcBorders>
              <w:top w:val="single" w:color="auto" w:sz="4" w:space="0"/>
              <w:left w:val="single" w:color="auto" w:sz="4" w:space="0"/>
              <w:bottom w:val="single" w:color="auto" w:sz="4" w:space="0"/>
              <w:right w:val="single" w:color="auto" w:sz="4" w:space="0"/>
            </w:tcBorders>
            <w:noWrap w:val="0"/>
            <w:vAlign w:val="center"/>
          </w:tcPr>
          <w:p w14:paraId="2D9CF512">
            <w:pPr>
              <w:spacing w:line="360" w:lineRule="auto"/>
              <w:jc w:val="center"/>
              <w:rPr>
                <w:rFonts w:ascii="宋体" w:hAnsi="宋体"/>
                <w:b/>
                <w:bCs/>
                <w:sz w:val="24"/>
                <w:szCs w:val="24"/>
                <w:highlight w:val="none"/>
              </w:rPr>
            </w:pPr>
            <w:r>
              <w:rPr>
                <w:rFonts w:hint="eastAsia" w:ascii="宋体" w:hAnsi="宋体"/>
                <w:b/>
                <w:bCs/>
                <w:sz w:val="24"/>
                <w:szCs w:val="24"/>
                <w:highlight w:val="none"/>
              </w:rPr>
              <w:t>审查内容</w:t>
            </w:r>
          </w:p>
        </w:tc>
      </w:tr>
      <w:tr w14:paraId="115A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1034" w:type="dxa"/>
            <w:tcBorders>
              <w:top w:val="single" w:color="auto" w:sz="4" w:space="0"/>
              <w:left w:val="single" w:color="auto" w:sz="4" w:space="0"/>
              <w:bottom w:val="single" w:color="auto" w:sz="4" w:space="0"/>
              <w:right w:val="single" w:color="auto" w:sz="4" w:space="0"/>
            </w:tcBorders>
            <w:noWrap w:val="0"/>
            <w:vAlign w:val="center"/>
          </w:tcPr>
          <w:p w14:paraId="73584F05">
            <w:pPr>
              <w:spacing w:line="360" w:lineRule="auto"/>
              <w:ind w:right="-107" w:rightChars="-51"/>
              <w:jc w:val="center"/>
              <w:rPr>
                <w:rFonts w:ascii="宋体" w:hAnsi="宋体"/>
                <w:b/>
                <w:sz w:val="24"/>
                <w:szCs w:val="24"/>
                <w:highlight w:val="none"/>
              </w:rPr>
            </w:pPr>
            <w:r>
              <w:rPr>
                <w:rFonts w:hint="eastAsia" w:ascii="宋体" w:hAnsi="宋体"/>
                <w:b/>
                <w:sz w:val="24"/>
                <w:szCs w:val="24"/>
                <w:highlight w:val="none"/>
              </w:rPr>
              <w:t>1</w:t>
            </w:r>
          </w:p>
        </w:tc>
        <w:tc>
          <w:tcPr>
            <w:tcW w:w="1868" w:type="dxa"/>
            <w:tcBorders>
              <w:top w:val="single" w:color="auto" w:sz="4" w:space="0"/>
              <w:left w:val="single" w:color="auto" w:sz="4" w:space="0"/>
              <w:bottom w:val="single" w:color="auto" w:sz="4" w:space="0"/>
              <w:right w:val="single" w:color="auto" w:sz="4" w:space="0"/>
            </w:tcBorders>
            <w:noWrap w:val="0"/>
            <w:vAlign w:val="center"/>
          </w:tcPr>
          <w:p w14:paraId="557BC96B">
            <w:pPr>
              <w:spacing w:line="360" w:lineRule="auto"/>
              <w:jc w:val="center"/>
              <w:rPr>
                <w:rFonts w:ascii="宋体" w:hAnsi="宋体"/>
                <w:sz w:val="24"/>
                <w:szCs w:val="24"/>
                <w:highlight w:val="none"/>
              </w:rPr>
            </w:pPr>
            <w:r>
              <w:rPr>
                <w:rFonts w:hint="eastAsia" w:ascii="宋体" w:hAnsi="宋体"/>
                <w:b/>
                <w:spacing w:val="4"/>
                <w:sz w:val="24"/>
                <w:szCs w:val="24"/>
                <w:highlight w:val="none"/>
                <w:lang w:val="en-US" w:eastAsia="zh-CN"/>
              </w:rPr>
              <w:t>投标</w:t>
            </w:r>
            <w:r>
              <w:rPr>
                <w:rFonts w:hint="eastAsia" w:ascii="宋体" w:hAnsi="宋体"/>
                <w:b/>
                <w:spacing w:val="4"/>
                <w:sz w:val="24"/>
                <w:szCs w:val="24"/>
                <w:highlight w:val="none"/>
              </w:rPr>
              <w:t>文件的完整性审查</w:t>
            </w:r>
          </w:p>
        </w:tc>
        <w:tc>
          <w:tcPr>
            <w:tcW w:w="6094" w:type="dxa"/>
            <w:tcBorders>
              <w:top w:val="single" w:color="auto" w:sz="4" w:space="0"/>
              <w:left w:val="single" w:color="auto" w:sz="4" w:space="0"/>
              <w:bottom w:val="single" w:color="auto" w:sz="4" w:space="0"/>
              <w:right w:val="single" w:color="auto" w:sz="4" w:space="0"/>
            </w:tcBorders>
            <w:noWrap w:val="0"/>
            <w:vAlign w:val="center"/>
          </w:tcPr>
          <w:p w14:paraId="5249E9DE">
            <w:pPr>
              <w:spacing w:line="360" w:lineRule="auto"/>
              <w:ind w:left="12" w:hanging="12" w:hangingChars="5"/>
              <w:jc w:val="left"/>
              <w:rPr>
                <w:rFonts w:ascii="宋体" w:hAnsi="宋体"/>
                <w:sz w:val="24"/>
                <w:szCs w:val="24"/>
                <w:highlight w:val="none"/>
              </w:rPr>
            </w:pPr>
            <w:r>
              <w:rPr>
                <w:rFonts w:hint="eastAsia" w:ascii="宋体" w:hAnsi="宋体" w:cs="宋体"/>
                <w:spacing w:val="4"/>
                <w:sz w:val="24"/>
                <w:szCs w:val="24"/>
                <w:highlight w:val="none"/>
                <w:lang w:val="en-US" w:eastAsia="zh-CN"/>
              </w:rPr>
              <w:t>投标</w:t>
            </w:r>
            <w:r>
              <w:rPr>
                <w:rFonts w:hint="eastAsia" w:ascii="宋体" w:hAnsi="宋体" w:cs="宋体"/>
                <w:spacing w:val="4"/>
                <w:sz w:val="24"/>
                <w:szCs w:val="24"/>
                <w:highlight w:val="none"/>
              </w:rPr>
              <w:t>文件是否按照招标文件要求的格式编写。</w:t>
            </w:r>
          </w:p>
        </w:tc>
      </w:tr>
      <w:tr w14:paraId="1AB6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exact"/>
        </w:trPr>
        <w:tc>
          <w:tcPr>
            <w:tcW w:w="1034" w:type="dxa"/>
            <w:tcBorders>
              <w:top w:val="single" w:color="auto" w:sz="4" w:space="0"/>
              <w:left w:val="single" w:color="auto" w:sz="4" w:space="0"/>
              <w:bottom w:val="single" w:color="auto" w:sz="4" w:space="0"/>
              <w:right w:val="single" w:color="auto" w:sz="4" w:space="0"/>
            </w:tcBorders>
            <w:noWrap w:val="0"/>
            <w:vAlign w:val="center"/>
          </w:tcPr>
          <w:p w14:paraId="70D7E6AA">
            <w:pPr>
              <w:spacing w:line="360" w:lineRule="auto"/>
              <w:ind w:right="-107" w:rightChars="-51"/>
              <w:jc w:val="center"/>
              <w:rPr>
                <w:rFonts w:ascii="宋体" w:hAnsi="宋体"/>
                <w:b/>
                <w:sz w:val="24"/>
                <w:szCs w:val="24"/>
                <w:highlight w:val="none"/>
              </w:rPr>
            </w:pPr>
            <w:r>
              <w:rPr>
                <w:rFonts w:hint="eastAsia" w:ascii="宋体" w:hAnsi="宋体"/>
                <w:b/>
                <w:sz w:val="24"/>
                <w:szCs w:val="24"/>
                <w:highlight w:val="none"/>
              </w:rPr>
              <w:t>2</w:t>
            </w:r>
          </w:p>
        </w:tc>
        <w:tc>
          <w:tcPr>
            <w:tcW w:w="1868" w:type="dxa"/>
            <w:tcBorders>
              <w:top w:val="single" w:color="auto" w:sz="4" w:space="0"/>
              <w:left w:val="single" w:color="auto" w:sz="4" w:space="0"/>
              <w:bottom w:val="single" w:color="auto" w:sz="4" w:space="0"/>
              <w:right w:val="single" w:color="auto" w:sz="4" w:space="0"/>
            </w:tcBorders>
            <w:noWrap w:val="0"/>
            <w:vAlign w:val="center"/>
          </w:tcPr>
          <w:p w14:paraId="13CB3D79">
            <w:pPr>
              <w:spacing w:line="360" w:lineRule="auto"/>
              <w:jc w:val="center"/>
              <w:rPr>
                <w:rFonts w:ascii="宋体" w:hAnsi="宋体"/>
                <w:sz w:val="24"/>
                <w:szCs w:val="24"/>
                <w:highlight w:val="none"/>
              </w:rPr>
            </w:pPr>
            <w:r>
              <w:rPr>
                <w:rFonts w:hint="eastAsia" w:ascii="宋体" w:hAnsi="宋体"/>
                <w:b/>
                <w:spacing w:val="4"/>
                <w:sz w:val="24"/>
                <w:szCs w:val="24"/>
                <w:highlight w:val="none"/>
                <w:lang w:val="en-US" w:eastAsia="zh-CN"/>
              </w:rPr>
              <w:t>投标</w:t>
            </w:r>
            <w:r>
              <w:rPr>
                <w:rFonts w:hint="eastAsia" w:ascii="宋体" w:hAnsi="宋体"/>
                <w:b/>
                <w:spacing w:val="4"/>
                <w:sz w:val="24"/>
                <w:szCs w:val="24"/>
                <w:highlight w:val="none"/>
              </w:rPr>
              <w:t>文件的有效性审查</w:t>
            </w:r>
          </w:p>
        </w:tc>
        <w:tc>
          <w:tcPr>
            <w:tcW w:w="6094" w:type="dxa"/>
            <w:tcBorders>
              <w:top w:val="single" w:color="auto" w:sz="4" w:space="0"/>
              <w:left w:val="single" w:color="auto" w:sz="4" w:space="0"/>
              <w:bottom w:val="single" w:color="auto" w:sz="4" w:space="0"/>
              <w:right w:val="single" w:color="auto" w:sz="4" w:space="0"/>
            </w:tcBorders>
            <w:noWrap w:val="0"/>
            <w:vAlign w:val="center"/>
          </w:tcPr>
          <w:p w14:paraId="7E2A1389">
            <w:pPr>
              <w:spacing w:line="360" w:lineRule="auto"/>
              <w:rPr>
                <w:rFonts w:ascii="宋体" w:hAnsi="宋体"/>
                <w:sz w:val="24"/>
                <w:szCs w:val="24"/>
                <w:highlight w:val="none"/>
              </w:rPr>
            </w:pPr>
            <w:r>
              <w:rPr>
                <w:rFonts w:hint="eastAsia" w:ascii="宋体" w:hAnsi="宋体" w:cs="宋体"/>
                <w:spacing w:val="4"/>
                <w:sz w:val="24"/>
                <w:szCs w:val="24"/>
                <w:highlight w:val="none"/>
                <w:lang w:val="en-US" w:eastAsia="zh-CN"/>
              </w:rPr>
              <w:t>投标</w:t>
            </w:r>
            <w:r>
              <w:rPr>
                <w:rFonts w:hint="eastAsia" w:ascii="宋体" w:hAnsi="宋体" w:cs="宋体"/>
                <w:spacing w:val="4"/>
                <w:sz w:val="24"/>
                <w:szCs w:val="24"/>
                <w:highlight w:val="none"/>
              </w:rPr>
              <w:t>文件的签署、加盖印章合格、有效；提供的各种证明文件、数据、资料真实、有效。</w:t>
            </w:r>
          </w:p>
        </w:tc>
      </w:tr>
      <w:tr w14:paraId="747C1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trPr>
        <w:tc>
          <w:tcPr>
            <w:tcW w:w="1034" w:type="dxa"/>
            <w:tcBorders>
              <w:top w:val="single" w:color="auto" w:sz="4" w:space="0"/>
              <w:left w:val="single" w:color="auto" w:sz="4" w:space="0"/>
              <w:bottom w:val="single" w:color="auto" w:sz="4" w:space="0"/>
              <w:right w:val="single" w:color="auto" w:sz="4" w:space="0"/>
            </w:tcBorders>
            <w:noWrap w:val="0"/>
            <w:vAlign w:val="center"/>
          </w:tcPr>
          <w:p w14:paraId="7D40B1AC">
            <w:pPr>
              <w:spacing w:line="360" w:lineRule="auto"/>
              <w:ind w:right="-107" w:rightChars="-51"/>
              <w:jc w:val="center"/>
              <w:rPr>
                <w:rFonts w:ascii="宋体" w:hAnsi="宋体"/>
                <w:b/>
                <w:sz w:val="24"/>
                <w:szCs w:val="24"/>
                <w:highlight w:val="none"/>
              </w:rPr>
            </w:pPr>
            <w:r>
              <w:rPr>
                <w:rFonts w:hint="eastAsia" w:ascii="宋体" w:hAnsi="宋体"/>
                <w:b/>
                <w:sz w:val="24"/>
                <w:szCs w:val="24"/>
                <w:highlight w:val="none"/>
              </w:rPr>
              <w:t>3</w:t>
            </w:r>
          </w:p>
        </w:tc>
        <w:tc>
          <w:tcPr>
            <w:tcW w:w="1868" w:type="dxa"/>
            <w:tcBorders>
              <w:top w:val="single" w:color="auto" w:sz="4" w:space="0"/>
              <w:left w:val="single" w:color="auto" w:sz="4" w:space="0"/>
              <w:bottom w:val="single" w:color="auto" w:sz="4" w:space="0"/>
              <w:right w:val="single" w:color="auto" w:sz="4" w:space="0"/>
            </w:tcBorders>
            <w:noWrap w:val="0"/>
            <w:vAlign w:val="center"/>
          </w:tcPr>
          <w:p w14:paraId="242C1A87">
            <w:pPr>
              <w:spacing w:line="360" w:lineRule="auto"/>
              <w:jc w:val="center"/>
              <w:rPr>
                <w:rFonts w:ascii="宋体" w:hAnsi="宋体"/>
                <w:sz w:val="24"/>
                <w:szCs w:val="24"/>
                <w:highlight w:val="none"/>
              </w:rPr>
            </w:pPr>
            <w:r>
              <w:rPr>
                <w:rFonts w:hint="eastAsia" w:ascii="宋体" w:hAnsi="宋体"/>
                <w:b/>
                <w:spacing w:val="4"/>
                <w:sz w:val="24"/>
                <w:szCs w:val="24"/>
                <w:highlight w:val="none"/>
                <w:lang w:val="en-US" w:eastAsia="zh-CN"/>
              </w:rPr>
              <w:t>投标</w:t>
            </w:r>
            <w:r>
              <w:rPr>
                <w:rFonts w:hint="eastAsia" w:ascii="宋体" w:hAnsi="宋体"/>
                <w:b/>
                <w:spacing w:val="4"/>
                <w:sz w:val="24"/>
                <w:szCs w:val="24"/>
                <w:highlight w:val="none"/>
              </w:rPr>
              <w:t>文件的响应性审查</w:t>
            </w:r>
          </w:p>
        </w:tc>
        <w:tc>
          <w:tcPr>
            <w:tcW w:w="6094" w:type="dxa"/>
            <w:tcBorders>
              <w:top w:val="single" w:color="auto" w:sz="4" w:space="0"/>
              <w:left w:val="single" w:color="auto" w:sz="4" w:space="0"/>
              <w:bottom w:val="single" w:color="auto" w:sz="4" w:space="0"/>
              <w:right w:val="single" w:color="auto" w:sz="4" w:space="0"/>
            </w:tcBorders>
            <w:noWrap w:val="0"/>
            <w:vAlign w:val="center"/>
          </w:tcPr>
          <w:p w14:paraId="061826E5">
            <w:pPr>
              <w:numPr>
                <w:ilvl w:val="0"/>
                <w:numId w:val="11"/>
              </w:numPr>
              <w:spacing w:line="360" w:lineRule="auto"/>
              <w:rPr>
                <w:rFonts w:hint="eastAsia" w:ascii="宋体" w:hAnsi="宋体"/>
                <w:sz w:val="24"/>
                <w:szCs w:val="24"/>
                <w:highlight w:val="none"/>
              </w:rPr>
            </w:pPr>
            <w:r>
              <w:rPr>
                <w:rFonts w:hint="eastAsia" w:ascii="宋体" w:hAnsi="宋体"/>
                <w:sz w:val="24"/>
                <w:szCs w:val="24"/>
                <w:highlight w:val="none"/>
              </w:rPr>
              <w:t>报价未超过采购预算及最高限价；</w:t>
            </w:r>
          </w:p>
          <w:p w14:paraId="7503270E">
            <w:pPr>
              <w:numPr>
                <w:ilvl w:val="0"/>
                <w:numId w:val="11"/>
              </w:numPr>
              <w:spacing w:line="360" w:lineRule="auto"/>
              <w:rPr>
                <w:rFonts w:ascii="宋体" w:hAnsi="宋体"/>
                <w:sz w:val="24"/>
                <w:szCs w:val="24"/>
                <w:highlight w:val="none"/>
              </w:rPr>
            </w:pPr>
            <w:r>
              <w:rPr>
                <w:rFonts w:hint="eastAsia" w:ascii="宋体" w:hAnsi="宋体" w:cs="宋体"/>
                <w:spacing w:val="4"/>
                <w:sz w:val="24"/>
                <w:szCs w:val="24"/>
                <w:highlight w:val="none"/>
              </w:rPr>
              <w:t>报价未低于成本价，涉嫌不正当竞争；</w:t>
            </w:r>
          </w:p>
          <w:p w14:paraId="0EA80C32">
            <w:pPr>
              <w:spacing w:line="360" w:lineRule="auto"/>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投标</w:t>
            </w:r>
            <w:r>
              <w:rPr>
                <w:rFonts w:hint="eastAsia" w:ascii="宋体" w:hAnsi="宋体"/>
                <w:sz w:val="24"/>
                <w:szCs w:val="24"/>
                <w:highlight w:val="none"/>
              </w:rPr>
              <w:t>有效期是否符合招标文件的要求；</w:t>
            </w:r>
          </w:p>
          <w:p w14:paraId="54EDBBF1">
            <w:pPr>
              <w:spacing w:line="360" w:lineRule="auto"/>
              <w:rPr>
                <w:rFonts w:hint="eastAsia" w:ascii="宋体" w:hAnsi="宋体"/>
                <w:sz w:val="24"/>
                <w:szCs w:val="24"/>
                <w:highlight w:val="none"/>
              </w:rPr>
            </w:pPr>
            <w:r>
              <w:rPr>
                <w:rFonts w:hint="eastAsia" w:ascii="宋体" w:hAnsi="宋体"/>
                <w:sz w:val="24"/>
                <w:szCs w:val="24"/>
                <w:highlight w:val="none"/>
              </w:rPr>
              <w:t>4、</w:t>
            </w:r>
            <w:r>
              <w:rPr>
                <w:rFonts w:hint="eastAsia" w:ascii="宋体" w:hAnsi="宋体"/>
                <w:sz w:val="24"/>
                <w:szCs w:val="24"/>
                <w:highlight w:val="none"/>
                <w:lang w:val="en-US" w:eastAsia="zh-CN"/>
              </w:rPr>
              <w:t>投标</w:t>
            </w:r>
            <w:r>
              <w:rPr>
                <w:rFonts w:hint="eastAsia" w:ascii="宋体" w:hAnsi="宋体"/>
                <w:sz w:val="24"/>
                <w:szCs w:val="24"/>
                <w:highlight w:val="none"/>
              </w:rPr>
              <w:t>文件是否实质性响应了招标文件要求的全部条款</w:t>
            </w:r>
            <w:r>
              <w:rPr>
                <w:rFonts w:hint="eastAsia" w:ascii="宋体" w:hAnsi="宋体" w:cs="宋体"/>
                <w:bCs/>
                <w:sz w:val="24"/>
                <w:szCs w:val="24"/>
                <w:highlight w:val="none"/>
              </w:rPr>
              <w:t>，不能有采购人不能接受的附加条件</w:t>
            </w:r>
            <w:r>
              <w:rPr>
                <w:rFonts w:hint="eastAsia" w:ascii="宋体" w:hAnsi="宋体"/>
                <w:sz w:val="24"/>
                <w:szCs w:val="24"/>
                <w:highlight w:val="none"/>
              </w:rPr>
              <w:t>；</w:t>
            </w:r>
          </w:p>
          <w:p w14:paraId="01608809">
            <w:pPr>
              <w:spacing w:line="360" w:lineRule="auto"/>
              <w:rPr>
                <w:rFonts w:ascii="宋体" w:hAnsi="宋体"/>
                <w:sz w:val="24"/>
                <w:szCs w:val="24"/>
                <w:highlight w:val="none"/>
              </w:rPr>
            </w:pPr>
            <w:r>
              <w:rPr>
                <w:rFonts w:hint="eastAsia" w:ascii="宋体" w:hAnsi="宋体"/>
                <w:sz w:val="24"/>
                <w:szCs w:val="24"/>
                <w:highlight w:val="none"/>
              </w:rPr>
              <w:t>5、</w:t>
            </w:r>
            <w:r>
              <w:rPr>
                <w:rFonts w:hint="eastAsia" w:ascii="宋体" w:hAnsi="宋体" w:cs="宋体"/>
                <w:spacing w:val="4"/>
                <w:sz w:val="24"/>
                <w:szCs w:val="24"/>
                <w:highlight w:val="none"/>
              </w:rPr>
              <w:t>付款条件和供货期是否满足要求。</w:t>
            </w:r>
          </w:p>
        </w:tc>
      </w:tr>
      <w:tr w14:paraId="4BF8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2902" w:type="dxa"/>
            <w:gridSpan w:val="2"/>
            <w:tcBorders>
              <w:top w:val="single" w:color="auto" w:sz="4" w:space="0"/>
              <w:left w:val="single" w:color="auto" w:sz="4" w:space="0"/>
              <w:bottom w:val="single" w:color="auto" w:sz="4" w:space="0"/>
              <w:right w:val="single" w:color="auto" w:sz="4" w:space="0"/>
            </w:tcBorders>
            <w:noWrap w:val="0"/>
            <w:vAlign w:val="center"/>
          </w:tcPr>
          <w:p w14:paraId="3C101E91">
            <w:pPr>
              <w:spacing w:line="360" w:lineRule="auto"/>
              <w:jc w:val="center"/>
              <w:rPr>
                <w:rFonts w:ascii="宋体" w:hAnsi="宋体"/>
                <w:b/>
                <w:sz w:val="24"/>
                <w:szCs w:val="24"/>
                <w:highlight w:val="none"/>
              </w:rPr>
            </w:pPr>
            <w:r>
              <w:rPr>
                <w:rFonts w:hint="eastAsia" w:ascii="宋体" w:hAnsi="宋体"/>
                <w:b/>
                <w:sz w:val="24"/>
                <w:szCs w:val="24"/>
                <w:highlight w:val="none"/>
              </w:rPr>
              <w:t>说明</w:t>
            </w:r>
          </w:p>
        </w:tc>
        <w:tc>
          <w:tcPr>
            <w:tcW w:w="6094" w:type="dxa"/>
            <w:tcBorders>
              <w:top w:val="single" w:color="auto" w:sz="4" w:space="0"/>
              <w:left w:val="single" w:color="auto" w:sz="4" w:space="0"/>
              <w:bottom w:val="single" w:color="auto" w:sz="4" w:space="0"/>
              <w:right w:val="single" w:color="auto" w:sz="4" w:space="0"/>
            </w:tcBorders>
            <w:noWrap w:val="0"/>
            <w:vAlign w:val="center"/>
          </w:tcPr>
          <w:p w14:paraId="6EAB637C">
            <w:pPr>
              <w:spacing w:line="360" w:lineRule="auto"/>
              <w:rPr>
                <w:rFonts w:ascii="宋体" w:hAnsi="宋体"/>
                <w:sz w:val="24"/>
                <w:szCs w:val="24"/>
                <w:highlight w:val="none"/>
              </w:rPr>
            </w:pPr>
            <w:r>
              <w:rPr>
                <w:rFonts w:hint="eastAsia" w:ascii="宋体" w:hAnsi="宋体"/>
                <w:sz w:val="24"/>
                <w:szCs w:val="24"/>
                <w:highlight w:val="none"/>
              </w:rPr>
              <w:t>以上审查内容有一项不合格即按照无效</w:t>
            </w:r>
            <w:r>
              <w:rPr>
                <w:rFonts w:hint="eastAsia" w:ascii="宋体" w:hAnsi="宋体"/>
                <w:sz w:val="24"/>
                <w:szCs w:val="24"/>
                <w:highlight w:val="none"/>
                <w:lang w:val="en-US" w:eastAsia="zh-CN"/>
              </w:rPr>
              <w:t>投标</w:t>
            </w:r>
            <w:r>
              <w:rPr>
                <w:rFonts w:hint="eastAsia" w:ascii="宋体" w:hAnsi="宋体"/>
                <w:sz w:val="24"/>
                <w:szCs w:val="24"/>
                <w:highlight w:val="none"/>
              </w:rPr>
              <w:t>处理</w:t>
            </w:r>
          </w:p>
        </w:tc>
      </w:tr>
    </w:tbl>
    <w:p w14:paraId="19C71302">
      <w:pPr>
        <w:spacing w:line="360" w:lineRule="auto"/>
        <w:jc w:val="center"/>
        <w:rPr>
          <w:rFonts w:hint="eastAsia" w:hAnsi="宋体"/>
          <w:highlight w:val="none"/>
          <w:shd w:val="clear" w:color="auto" w:fill="FFFFFF"/>
        </w:rPr>
      </w:pPr>
    </w:p>
    <w:p w14:paraId="7AE6D4BE">
      <w:pPr>
        <w:spacing w:before="48" w:beforeLines="20" w:after="120" w:afterLines="50" w:line="360" w:lineRule="auto"/>
        <w:jc w:val="center"/>
        <w:rPr>
          <w:rFonts w:ascii="宋体" w:hAnsi="宋体" w:cs="宋体"/>
          <w:b/>
          <w:sz w:val="30"/>
          <w:szCs w:val="30"/>
          <w:highlight w:val="none"/>
        </w:rPr>
      </w:pPr>
      <w:r>
        <w:rPr>
          <w:rFonts w:ascii="宋体" w:hAnsi="宋体" w:cs="宋体"/>
          <w:b/>
          <w:sz w:val="30"/>
          <w:szCs w:val="30"/>
          <w:highlight w:val="none"/>
        </w:rPr>
        <w:br w:type="page"/>
      </w:r>
      <w:r>
        <w:rPr>
          <w:rFonts w:hint="eastAsia" w:ascii="宋体" w:hAnsi="宋体" w:cs="宋体"/>
          <w:b/>
          <w:sz w:val="30"/>
          <w:szCs w:val="30"/>
          <w:highlight w:val="none"/>
        </w:rPr>
        <w:t>（二）评标因素及权重分值表</w:t>
      </w:r>
    </w:p>
    <w:p w14:paraId="2EF0356A">
      <w:pPr>
        <w:pStyle w:val="24"/>
        <w:ind w:firstLine="0"/>
        <w:rPr>
          <w:rFonts w:hint="eastAsia"/>
          <w:highlight w:val="none"/>
          <w:lang w:val="en-US" w:eastAsia="zh-CN"/>
        </w:rPr>
      </w:pPr>
    </w:p>
    <w:tbl>
      <w:tblPr>
        <w:tblStyle w:val="41"/>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868"/>
        <w:gridCol w:w="7115"/>
      </w:tblGrid>
      <w:tr w14:paraId="5CD4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81" w:type="dxa"/>
            <w:tcBorders>
              <w:top w:val="single" w:color="auto" w:sz="4" w:space="0"/>
              <w:left w:val="single" w:color="auto" w:sz="4" w:space="0"/>
              <w:bottom w:val="single" w:color="auto" w:sz="4" w:space="0"/>
              <w:right w:val="single" w:color="auto" w:sz="4" w:space="0"/>
            </w:tcBorders>
            <w:noWrap/>
            <w:vAlign w:val="center"/>
          </w:tcPr>
          <w:p w14:paraId="30FC96F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评标</w:t>
            </w:r>
          </w:p>
          <w:p w14:paraId="6B190D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因素</w:t>
            </w:r>
          </w:p>
        </w:tc>
        <w:tc>
          <w:tcPr>
            <w:tcW w:w="868" w:type="dxa"/>
            <w:tcBorders>
              <w:top w:val="single" w:color="auto" w:sz="4" w:space="0"/>
              <w:left w:val="single" w:color="auto" w:sz="4" w:space="0"/>
              <w:right w:val="single" w:color="auto" w:sz="4" w:space="0"/>
            </w:tcBorders>
            <w:noWrap/>
            <w:vAlign w:val="center"/>
          </w:tcPr>
          <w:p w14:paraId="7F9994A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权值%</w:t>
            </w:r>
          </w:p>
        </w:tc>
        <w:tc>
          <w:tcPr>
            <w:tcW w:w="7115" w:type="dxa"/>
            <w:tcBorders>
              <w:top w:val="single" w:color="auto" w:sz="4" w:space="0"/>
              <w:left w:val="single" w:color="auto" w:sz="4" w:space="0"/>
              <w:bottom w:val="single" w:color="auto" w:sz="4" w:space="0"/>
              <w:right w:val="single" w:color="auto" w:sz="4" w:space="0"/>
            </w:tcBorders>
            <w:noWrap/>
            <w:vAlign w:val="center"/>
          </w:tcPr>
          <w:p w14:paraId="20ED882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评价要素</w:t>
            </w:r>
          </w:p>
        </w:tc>
      </w:tr>
      <w:tr w14:paraId="5BD9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81" w:type="dxa"/>
            <w:tcBorders>
              <w:top w:val="single" w:color="auto" w:sz="4" w:space="0"/>
              <w:left w:val="single" w:color="auto" w:sz="4" w:space="0"/>
              <w:bottom w:val="single" w:color="auto" w:sz="4" w:space="0"/>
              <w:right w:val="single" w:color="auto" w:sz="4" w:space="0"/>
            </w:tcBorders>
            <w:noWrap/>
            <w:vAlign w:val="center"/>
          </w:tcPr>
          <w:p w14:paraId="3FD7386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 价</w:t>
            </w:r>
          </w:p>
        </w:tc>
        <w:tc>
          <w:tcPr>
            <w:tcW w:w="868" w:type="dxa"/>
            <w:tcBorders>
              <w:top w:val="single" w:color="auto" w:sz="4" w:space="0"/>
              <w:left w:val="single" w:color="auto" w:sz="4" w:space="0"/>
              <w:bottom w:val="single" w:color="auto" w:sz="4" w:space="0"/>
              <w:right w:val="single" w:color="auto" w:sz="4" w:space="0"/>
            </w:tcBorders>
            <w:noWrap/>
            <w:vAlign w:val="center"/>
          </w:tcPr>
          <w:p w14:paraId="36C64826">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7115" w:type="dxa"/>
            <w:tcBorders>
              <w:top w:val="single" w:color="auto" w:sz="4" w:space="0"/>
              <w:left w:val="single" w:color="auto" w:sz="4" w:space="0"/>
              <w:bottom w:val="single" w:color="auto" w:sz="4" w:space="0"/>
              <w:right w:val="single" w:color="auto" w:sz="4" w:space="0"/>
            </w:tcBorders>
            <w:noWrap/>
            <w:vAlign w:val="center"/>
          </w:tcPr>
          <w:p w14:paraId="2791AE5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1.最低评标价为评标基准价，得30分。</w:t>
            </w:r>
          </w:p>
          <w:p w14:paraId="6759449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2.按（评标基准价/评标价×30）的公式计算价格得分。</w:t>
            </w:r>
          </w:p>
        </w:tc>
      </w:tr>
      <w:tr w14:paraId="7A3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81" w:type="dxa"/>
            <w:vMerge w:val="restart"/>
            <w:tcBorders>
              <w:top w:val="single" w:color="auto" w:sz="4" w:space="0"/>
              <w:left w:val="single" w:color="auto" w:sz="4" w:space="0"/>
              <w:right w:val="single" w:color="auto" w:sz="4" w:space="0"/>
            </w:tcBorders>
            <w:noWrap/>
            <w:vAlign w:val="center"/>
          </w:tcPr>
          <w:p w14:paraId="6AAF28D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部分</w:t>
            </w:r>
          </w:p>
        </w:tc>
        <w:tc>
          <w:tcPr>
            <w:tcW w:w="868" w:type="dxa"/>
            <w:vMerge w:val="restart"/>
            <w:tcBorders>
              <w:top w:val="single" w:color="auto" w:sz="4" w:space="0"/>
              <w:left w:val="single" w:color="auto" w:sz="4" w:space="0"/>
              <w:right w:val="single" w:color="auto" w:sz="4" w:space="0"/>
            </w:tcBorders>
            <w:noWrap/>
            <w:vAlign w:val="center"/>
          </w:tcPr>
          <w:p w14:paraId="1CCEAED5">
            <w:pPr>
              <w:spacing w:line="360" w:lineRule="auto"/>
              <w:ind w:firstLine="240" w:firstLine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60</w:t>
            </w:r>
          </w:p>
        </w:tc>
        <w:tc>
          <w:tcPr>
            <w:tcW w:w="7115" w:type="dxa"/>
            <w:tcBorders>
              <w:top w:val="single" w:color="auto" w:sz="4" w:space="0"/>
              <w:left w:val="single" w:color="auto" w:sz="4" w:space="0"/>
              <w:bottom w:val="single" w:color="auto" w:sz="4" w:space="0"/>
              <w:right w:val="single" w:color="auto" w:sz="4" w:space="0"/>
            </w:tcBorders>
            <w:noWrap/>
            <w:vAlign w:val="center"/>
          </w:tcPr>
          <w:p w14:paraId="03BEA79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、技术参数：投标人所投标产品完全满足招标文件技术参数要求的得</w:t>
            </w:r>
            <w:r>
              <w:rPr>
                <w:rFonts w:hint="eastAsia" w:ascii="宋体" w:hAnsi="宋体" w:eastAsia="宋体" w:cs="宋体"/>
                <w:sz w:val="24"/>
                <w:szCs w:val="24"/>
                <w:highlight w:val="none"/>
                <w:lang w:val="en-US" w:eastAsia="zh-CN"/>
              </w:rPr>
              <w:t>18</w:t>
            </w:r>
            <w:r>
              <w:rPr>
                <w:rFonts w:hint="eastAsia" w:ascii="宋体" w:hAnsi="宋体" w:eastAsia="宋体" w:cs="宋体"/>
                <w:sz w:val="24"/>
                <w:szCs w:val="24"/>
                <w:highlight w:val="none"/>
              </w:rPr>
              <w:t>分。技术参数每有一项负偏离扣</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分,扣完为止。注：产品参数和性能以投标文件中《产品技术参数偏离表》为准。投标人须如实填写，否则按提供虚假材料处理。</w:t>
            </w:r>
          </w:p>
        </w:tc>
      </w:tr>
      <w:tr w14:paraId="5ED9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1" w:type="dxa"/>
            <w:vMerge w:val="continue"/>
            <w:tcBorders>
              <w:left w:val="single" w:color="auto" w:sz="4" w:space="0"/>
              <w:right w:val="single" w:color="auto" w:sz="4" w:space="0"/>
            </w:tcBorders>
            <w:noWrap/>
            <w:vAlign w:val="center"/>
          </w:tcPr>
          <w:p w14:paraId="7D357517">
            <w:pPr>
              <w:spacing w:line="360" w:lineRule="auto"/>
              <w:jc w:val="center"/>
              <w:rPr>
                <w:rFonts w:hint="eastAsia" w:ascii="宋体" w:hAnsi="宋体" w:eastAsia="宋体" w:cs="宋体"/>
                <w:sz w:val="24"/>
                <w:szCs w:val="24"/>
                <w:highlight w:val="none"/>
              </w:rPr>
            </w:pPr>
          </w:p>
        </w:tc>
        <w:tc>
          <w:tcPr>
            <w:tcW w:w="868" w:type="dxa"/>
            <w:vMerge w:val="continue"/>
            <w:tcBorders>
              <w:left w:val="single" w:color="auto" w:sz="4" w:space="0"/>
              <w:right w:val="single" w:color="auto" w:sz="4" w:space="0"/>
            </w:tcBorders>
            <w:noWrap/>
            <w:vAlign w:val="center"/>
          </w:tcPr>
          <w:p w14:paraId="293405FA">
            <w:pPr>
              <w:spacing w:line="360" w:lineRule="auto"/>
              <w:ind w:firstLine="240" w:firstLineChars="100"/>
              <w:rPr>
                <w:rFonts w:hint="eastAsia" w:ascii="宋体" w:hAnsi="宋体" w:eastAsia="宋体" w:cs="宋体"/>
                <w:sz w:val="24"/>
                <w:szCs w:val="24"/>
                <w:highlight w:val="none"/>
              </w:rPr>
            </w:pPr>
          </w:p>
        </w:tc>
        <w:tc>
          <w:tcPr>
            <w:tcW w:w="7115" w:type="dxa"/>
            <w:tcBorders>
              <w:top w:val="single" w:color="auto" w:sz="4" w:space="0"/>
              <w:left w:val="single" w:color="auto" w:sz="4" w:space="0"/>
              <w:bottom w:val="single" w:color="auto" w:sz="4" w:space="0"/>
              <w:right w:val="single" w:color="auto" w:sz="4" w:space="0"/>
            </w:tcBorders>
            <w:noWrap/>
            <w:vAlign w:val="center"/>
          </w:tcPr>
          <w:p w14:paraId="1D70A791">
            <w:pPr>
              <w:tabs>
                <w:tab w:val="left" w:pos="709"/>
              </w:tabs>
              <w:adjustRightIn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技术</w:t>
            </w:r>
            <w:r>
              <w:rPr>
                <w:rFonts w:hint="eastAsia" w:ascii="宋体" w:hAnsi="宋体" w:eastAsia="宋体" w:cs="宋体"/>
                <w:sz w:val="24"/>
                <w:szCs w:val="24"/>
                <w:highlight w:val="none"/>
              </w:rPr>
              <w:t>方案：</w:t>
            </w:r>
          </w:p>
          <w:p w14:paraId="4B87DA2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投标人提供技术方案应包含：产品选型的合理性、功能的完整性、产品的先进性、产品的安全可靠性。方案内容齐全，完全满足采购需求并符合本项目采购内容的特点得</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分；以上方面中每缺少一方面内容扣</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分；每有一处内容与项目实际需求不符或不满足要求的扣0.5-</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.5分，扣完为止。</w:t>
            </w:r>
          </w:p>
        </w:tc>
      </w:tr>
      <w:tr w14:paraId="75864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81" w:type="dxa"/>
            <w:vMerge w:val="continue"/>
            <w:tcBorders>
              <w:left w:val="single" w:color="auto" w:sz="4" w:space="0"/>
              <w:right w:val="single" w:color="auto" w:sz="4" w:space="0"/>
            </w:tcBorders>
            <w:noWrap/>
            <w:vAlign w:val="center"/>
          </w:tcPr>
          <w:p w14:paraId="17279D54">
            <w:pPr>
              <w:spacing w:line="360" w:lineRule="auto"/>
              <w:jc w:val="center"/>
              <w:rPr>
                <w:rFonts w:hint="eastAsia" w:ascii="宋体" w:hAnsi="宋体" w:eastAsia="宋体" w:cs="宋体"/>
                <w:sz w:val="24"/>
                <w:szCs w:val="24"/>
                <w:highlight w:val="none"/>
              </w:rPr>
            </w:pPr>
          </w:p>
        </w:tc>
        <w:tc>
          <w:tcPr>
            <w:tcW w:w="868" w:type="dxa"/>
            <w:vMerge w:val="continue"/>
            <w:tcBorders>
              <w:left w:val="single" w:color="auto" w:sz="4" w:space="0"/>
              <w:right w:val="single" w:color="auto" w:sz="4" w:space="0"/>
            </w:tcBorders>
            <w:noWrap/>
            <w:vAlign w:val="center"/>
          </w:tcPr>
          <w:p w14:paraId="48A1A947">
            <w:pPr>
              <w:spacing w:line="360" w:lineRule="auto"/>
              <w:ind w:firstLine="240" w:firstLineChars="100"/>
              <w:rPr>
                <w:rFonts w:hint="eastAsia" w:ascii="宋体" w:hAnsi="宋体" w:eastAsia="宋体" w:cs="宋体"/>
                <w:sz w:val="24"/>
                <w:szCs w:val="24"/>
                <w:highlight w:val="none"/>
                <w:lang w:val="en-US" w:eastAsia="zh-CN"/>
              </w:rPr>
            </w:pPr>
          </w:p>
        </w:tc>
        <w:tc>
          <w:tcPr>
            <w:tcW w:w="7115" w:type="dxa"/>
            <w:tcBorders>
              <w:top w:val="single" w:color="auto" w:sz="4" w:space="0"/>
              <w:left w:val="single" w:color="auto" w:sz="4" w:space="0"/>
              <w:right w:val="single" w:color="auto" w:sz="4" w:space="0"/>
            </w:tcBorders>
            <w:noWrap/>
            <w:vAlign w:val="center"/>
          </w:tcPr>
          <w:p w14:paraId="2B0CD225">
            <w:pPr>
              <w:tabs>
                <w:tab w:val="left" w:pos="709"/>
              </w:tabs>
              <w:adjustRightIn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、实施方案：</w:t>
            </w:r>
          </w:p>
          <w:p w14:paraId="7ED01A35">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具有完整的项目实施方案，供应商应结合自身实力和经验提供供货实施方案，方案包括但不限于：①产品来源及组织②</w:t>
            </w:r>
            <w:bookmarkStart w:id="60" w:name="_Toc26490"/>
            <w:bookmarkStart w:id="61" w:name="_Toc17503"/>
            <w:bookmarkStart w:id="62" w:name="_Toc27892"/>
            <w:bookmarkStart w:id="63" w:name="_Toc781"/>
            <w:bookmarkStart w:id="64" w:name="_Toc26401"/>
            <w:bookmarkStart w:id="65" w:name="_Toc18539"/>
            <w:r>
              <w:rPr>
                <w:rFonts w:hint="eastAsia" w:ascii="宋体" w:hAnsi="宋体" w:eastAsia="宋体" w:cs="宋体"/>
                <w:sz w:val="24"/>
                <w:szCs w:val="24"/>
                <w:highlight w:val="none"/>
                <w:lang w:val="en-US" w:eastAsia="zh-CN"/>
              </w:rPr>
              <w:t>供货团队人员安排</w:t>
            </w:r>
            <w:bookmarkEnd w:id="60"/>
            <w:bookmarkEnd w:id="61"/>
            <w:bookmarkEnd w:id="62"/>
            <w:bookmarkEnd w:id="63"/>
            <w:bookmarkEnd w:id="64"/>
            <w:bookmarkEnd w:id="65"/>
            <w:r>
              <w:rPr>
                <w:rFonts w:hint="eastAsia" w:ascii="宋体" w:hAnsi="宋体" w:eastAsia="宋体" w:cs="宋体"/>
                <w:sz w:val="24"/>
                <w:szCs w:val="24"/>
                <w:highlight w:val="none"/>
              </w:rPr>
              <w:t>③</w:t>
            </w:r>
            <w:r>
              <w:rPr>
                <w:rFonts w:hint="eastAsia" w:ascii="宋体" w:hAnsi="宋体" w:eastAsia="宋体" w:cs="宋体"/>
                <w:sz w:val="24"/>
                <w:szCs w:val="24"/>
                <w:highlight w:val="none"/>
                <w:lang w:val="en-US" w:eastAsia="zh-CN"/>
              </w:rPr>
              <w:t>供货时间表</w:t>
            </w:r>
            <w:r>
              <w:rPr>
                <w:rFonts w:hint="eastAsia" w:ascii="宋体" w:hAnsi="宋体" w:eastAsia="宋体" w:cs="宋体"/>
                <w:sz w:val="24"/>
                <w:szCs w:val="24"/>
                <w:highlight w:val="none"/>
              </w:rPr>
              <w:t>④</w:t>
            </w:r>
            <w:r>
              <w:rPr>
                <w:rFonts w:hint="eastAsia" w:ascii="宋体" w:hAnsi="宋体" w:eastAsia="宋体" w:cs="宋体"/>
                <w:sz w:val="24"/>
                <w:szCs w:val="24"/>
                <w:highlight w:val="none"/>
                <w:lang w:val="en-US" w:eastAsia="zh-CN"/>
              </w:rPr>
              <w:t>供货运输方案⑤物流质量控制⑥项目验收</w:t>
            </w:r>
            <w:r>
              <w:rPr>
                <w:rFonts w:hint="eastAsia" w:ascii="宋体" w:hAnsi="宋体" w:eastAsia="宋体" w:cs="宋体"/>
                <w:sz w:val="24"/>
                <w:szCs w:val="24"/>
                <w:highlight w:val="none"/>
              </w:rPr>
              <w:t>⑦应急预案等。完全满足采购需求并符合本项目实施特点的1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分；以上方面中每缺少一方面内容扣2分；每有一处内容与项目实际需求不符或不满足要求的扣0.5-1.5分，扣完为止。</w:t>
            </w:r>
          </w:p>
        </w:tc>
      </w:tr>
      <w:tr w14:paraId="419B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jc w:val="center"/>
        </w:trPr>
        <w:tc>
          <w:tcPr>
            <w:tcW w:w="981" w:type="dxa"/>
            <w:vMerge w:val="continue"/>
            <w:tcBorders>
              <w:left w:val="single" w:color="auto" w:sz="4" w:space="0"/>
              <w:right w:val="single" w:color="auto" w:sz="4" w:space="0"/>
            </w:tcBorders>
            <w:noWrap/>
            <w:vAlign w:val="center"/>
          </w:tcPr>
          <w:p w14:paraId="1F17EDDA">
            <w:pPr>
              <w:spacing w:line="360" w:lineRule="auto"/>
              <w:jc w:val="center"/>
              <w:rPr>
                <w:rFonts w:hint="eastAsia" w:ascii="宋体" w:hAnsi="宋体" w:eastAsia="宋体" w:cs="宋体"/>
                <w:sz w:val="24"/>
                <w:szCs w:val="24"/>
                <w:highlight w:val="none"/>
              </w:rPr>
            </w:pPr>
          </w:p>
        </w:tc>
        <w:tc>
          <w:tcPr>
            <w:tcW w:w="868" w:type="dxa"/>
            <w:vMerge w:val="continue"/>
            <w:tcBorders>
              <w:left w:val="single" w:color="auto" w:sz="4" w:space="0"/>
              <w:right w:val="single" w:color="auto" w:sz="4" w:space="0"/>
            </w:tcBorders>
            <w:noWrap/>
            <w:vAlign w:val="center"/>
          </w:tcPr>
          <w:p w14:paraId="140CF613">
            <w:pPr>
              <w:spacing w:line="360" w:lineRule="auto"/>
              <w:ind w:firstLine="240" w:firstLineChars="100"/>
              <w:rPr>
                <w:rFonts w:hint="eastAsia" w:ascii="宋体" w:hAnsi="宋体" w:eastAsia="宋体" w:cs="宋体"/>
                <w:sz w:val="24"/>
                <w:szCs w:val="24"/>
                <w:highlight w:val="none"/>
              </w:rPr>
            </w:pPr>
          </w:p>
        </w:tc>
        <w:tc>
          <w:tcPr>
            <w:tcW w:w="7115" w:type="dxa"/>
            <w:tcBorders>
              <w:top w:val="single" w:color="auto" w:sz="4" w:space="0"/>
              <w:left w:val="single" w:color="auto" w:sz="4" w:space="0"/>
              <w:right w:val="single" w:color="auto" w:sz="4" w:space="0"/>
            </w:tcBorders>
            <w:noWrap/>
            <w:vAlign w:val="center"/>
          </w:tcPr>
          <w:p w14:paraId="1A708D8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、售后服务方案：</w:t>
            </w:r>
          </w:p>
          <w:p w14:paraId="68C112B0">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投标人提供完善的售后服务方案，包括售后服务承诺及保障措施、售后服务人员配置及响应计划、故障处理及应急预案、质量保证期限及质量保证的范围承诺、本地化售后方案。 售后服务方案完整且具有符合本项目实际需求的得10分，以上方面中每缺少一方面内容扣2分；每有一处内容与实际需求不符或不满足要求的扣0.5-1.5分，扣完为止。</w:t>
            </w:r>
          </w:p>
        </w:tc>
      </w:tr>
      <w:tr w14:paraId="5D0A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981" w:type="dxa"/>
            <w:vMerge w:val="continue"/>
            <w:tcBorders>
              <w:left w:val="single" w:color="auto" w:sz="4" w:space="0"/>
              <w:bottom w:val="single" w:color="auto" w:sz="4" w:space="0"/>
              <w:right w:val="single" w:color="auto" w:sz="4" w:space="0"/>
            </w:tcBorders>
            <w:noWrap/>
            <w:vAlign w:val="center"/>
          </w:tcPr>
          <w:p w14:paraId="182DB23D">
            <w:pPr>
              <w:spacing w:line="360" w:lineRule="auto"/>
              <w:jc w:val="center"/>
              <w:rPr>
                <w:rFonts w:hint="eastAsia" w:ascii="宋体" w:hAnsi="宋体" w:eastAsia="宋体" w:cs="宋体"/>
                <w:sz w:val="24"/>
                <w:szCs w:val="24"/>
                <w:highlight w:val="none"/>
              </w:rPr>
            </w:pPr>
          </w:p>
        </w:tc>
        <w:tc>
          <w:tcPr>
            <w:tcW w:w="868" w:type="dxa"/>
            <w:vMerge w:val="continue"/>
            <w:tcBorders>
              <w:left w:val="single" w:color="auto" w:sz="4" w:space="0"/>
              <w:bottom w:val="single" w:color="auto" w:sz="4" w:space="0"/>
              <w:right w:val="single" w:color="auto" w:sz="4" w:space="0"/>
            </w:tcBorders>
            <w:noWrap/>
            <w:vAlign w:val="center"/>
          </w:tcPr>
          <w:p w14:paraId="0FB1CC05">
            <w:pPr>
              <w:spacing w:line="360" w:lineRule="auto"/>
              <w:ind w:firstLine="240" w:firstLineChars="100"/>
              <w:rPr>
                <w:rFonts w:hint="eastAsia" w:ascii="宋体" w:hAnsi="宋体" w:eastAsia="宋体" w:cs="宋体"/>
                <w:sz w:val="24"/>
                <w:szCs w:val="24"/>
                <w:highlight w:val="none"/>
              </w:rPr>
            </w:pPr>
          </w:p>
        </w:tc>
        <w:tc>
          <w:tcPr>
            <w:tcW w:w="7115" w:type="dxa"/>
            <w:tcBorders>
              <w:top w:val="single" w:color="auto" w:sz="4" w:space="0"/>
              <w:left w:val="single" w:color="auto" w:sz="4" w:space="0"/>
              <w:bottom w:val="single" w:color="auto" w:sz="4" w:space="0"/>
              <w:right w:val="single" w:color="auto" w:sz="4" w:space="0"/>
            </w:tcBorders>
            <w:noWrap/>
            <w:vAlign w:val="center"/>
          </w:tcPr>
          <w:p w14:paraId="0216CB51">
            <w:pPr>
              <w:tabs>
                <w:tab w:val="left" w:pos="709"/>
              </w:tabs>
              <w:adjustRightInd w:val="0"/>
              <w:spacing w:line="360"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、培训方案：</w:t>
            </w:r>
          </w:p>
          <w:p w14:paraId="78A48168">
            <w:pPr>
              <w:pStyle w:val="24"/>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根据投标人提供完善的培训方案，包括培训目标、培训对象、培训内容、培训计划、培训组织安排。 培训方案完整且具有符合本项目实际需求的得10分，以上方面中每缺少一方面内容扣2分；每有一处内容与实际需求不符或不满足要求的扣0.5-1.5分，扣完为止。</w:t>
            </w:r>
          </w:p>
        </w:tc>
      </w:tr>
      <w:tr w14:paraId="586E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jc w:val="center"/>
        </w:trPr>
        <w:tc>
          <w:tcPr>
            <w:tcW w:w="981" w:type="dxa"/>
            <w:vMerge w:val="restart"/>
            <w:tcBorders>
              <w:top w:val="single" w:color="auto" w:sz="4" w:space="0"/>
              <w:left w:val="single" w:color="auto" w:sz="4" w:space="0"/>
              <w:right w:val="single" w:color="auto" w:sz="4" w:space="0"/>
            </w:tcBorders>
            <w:noWrap/>
            <w:vAlign w:val="center"/>
          </w:tcPr>
          <w:p w14:paraId="18C83FFE">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w:t>
            </w:r>
          </w:p>
          <w:p w14:paraId="0AA57F86">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部分</w:t>
            </w:r>
          </w:p>
        </w:tc>
        <w:tc>
          <w:tcPr>
            <w:tcW w:w="868" w:type="dxa"/>
            <w:vMerge w:val="restart"/>
            <w:tcBorders>
              <w:top w:val="single" w:color="auto" w:sz="4" w:space="0"/>
              <w:left w:val="single" w:color="auto" w:sz="4" w:space="0"/>
              <w:right w:val="single" w:color="auto" w:sz="4" w:space="0"/>
            </w:tcBorders>
            <w:noWrap/>
            <w:vAlign w:val="center"/>
          </w:tcPr>
          <w:p w14:paraId="541F8B86">
            <w:pPr>
              <w:spacing w:line="360" w:lineRule="auto"/>
              <w:ind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7115" w:type="dxa"/>
            <w:tcBorders>
              <w:top w:val="single" w:color="auto" w:sz="4" w:space="0"/>
              <w:left w:val="single" w:color="auto" w:sz="4" w:space="0"/>
              <w:bottom w:val="single" w:color="auto" w:sz="4" w:space="0"/>
              <w:right w:val="single" w:color="auto" w:sz="4" w:space="0"/>
            </w:tcBorders>
            <w:noWrap/>
            <w:vAlign w:val="center"/>
          </w:tcPr>
          <w:p w14:paraId="6048B2E5">
            <w:pPr>
              <w:tabs>
                <w:tab w:val="left" w:pos="709"/>
              </w:tabs>
              <w:adjustRightIn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1、质量保证</w:t>
            </w:r>
          </w:p>
          <w:p w14:paraId="420260E2">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lang w:val="en-US" w:eastAsia="zh-CN"/>
              </w:rPr>
              <w:t>所投产品</w:t>
            </w:r>
            <w:r>
              <w:rPr>
                <w:rFonts w:hint="eastAsia" w:ascii="宋体" w:hAnsi="宋体" w:eastAsia="宋体" w:cs="宋体"/>
                <w:sz w:val="24"/>
                <w:szCs w:val="24"/>
                <w:highlight w:val="none"/>
              </w:rPr>
              <w:t>进货渠道正规，无假货、无产权纠纷。根据投标人提供产品合法来源渠道证明文件等进行评审。（证明文件包括但不限于：产品制造商授权或销售协议或代理协议等）</w:t>
            </w:r>
          </w:p>
          <w:p w14:paraId="14445851">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（1）产品合法来源渠道证明文件完整，齐全，得[</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p>
          <w:p w14:paraId="1AF2B9F5">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（2）产品合法来源渠道证明文件较完整，较齐全，得[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p>
          <w:p w14:paraId="1EBB85E9">
            <w:pPr>
              <w:tabs>
                <w:tab w:val="left" w:pos="709"/>
              </w:tabs>
              <w:adjustRightIn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（3）产品合法来源渠道证明文件不完整，不齐全，得[0-</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w:t>
            </w:r>
          </w:p>
        </w:tc>
      </w:tr>
      <w:tr w14:paraId="1B10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81" w:type="dxa"/>
            <w:vMerge w:val="continue"/>
            <w:tcBorders>
              <w:left w:val="single" w:color="auto" w:sz="4" w:space="0"/>
              <w:right w:val="single" w:color="auto" w:sz="4" w:space="0"/>
            </w:tcBorders>
            <w:noWrap/>
            <w:vAlign w:val="center"/>
          </w:tcPr>
          <w:p w14:paraId="2E54841B">
            <w:pPr>
              <w:spacing w:line="360" w:lineRule="auto"/>
              <w:jc w:val="center"/>
              <w:rPr>
                <w:rFonts w:hint="eastAsia" w:ascii="宋体" w:hAnsi="宋体" w:eastAsia="宋体" w:cs="宋体"/>
                <w:sz w:val="24"/>
                <w:szCs w:val="24"/>
                <w:highlight w:val="none"/>
              </w:rPr>
            </w:pPr>
          </w:p>
        </w:tc>
        <w:tc>
          <w:tcPr>
            <w:tcW w:w="868" w:type="dxa"/>
            <w:vMerge w:val="continue"/>
            <w:tcBorders>
              <w:left w:val="single" w:color="auto" w:sz="4" w:space="0"/>
              <w:right w:val="single" w:color="auto" w:sz="4" w:space="0"/>
            </w:tcBorders>
            <w:noWrap/>
            <w:vAlign w:val="center"/>
          </w:tcPr>
          <w:p w14:paraId="42589142">
            <w:pPr>
              <w:spacing w:line="360" w:lineRule="auto"/>
              <w:ind w:firstLine="240" w:firstLineChars="100"/>
              <w:rPr>
                <w:rFonts w:hint="eastAsia" w:ascii="宋体" w:hAnsi="宋体" w:eastAsia="宋体" w:cs="宋体"/>
                <w:sz w:val="24"/>
                <w:szCs w:val="24"/>
                <w:highlight w:val="none"/>
                <w:lang w:val="en-US" w:eastAsia="zh-CN"/>
              </w:rPr>
            </w:pPr>
          </w:p>
        </w:tc>
        <w:tc>
          <w:tcPr>
            <w:tcW w:w="7115" w:type="dxa"/>
            <w:tcBorders>
              <w:top w:val="single" w:color="auto" w:sz="4" w:space="0"/>
              <w:left w:val="single" w:color="auto" w:sz="4" w:space="0"/>
              <w:bottom w:val="single" w:color="auto" w:sz="4" w:space="0"/>
              <w:right w:val="single" w:color="auto" w:sz="4" w:space="0"/>
            </w:tcBorders>
            <w:noWrap/>
            <w:vAlign w:val="center"/>
          </w:tcPr>
          <w:p w14:paraId="6D2D3178">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2、业绩</w:t>
            </w:r>
          </w:p>
          <w:p w14:paraId="6709BDF6">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供应商需提供20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年1月1日至今类</w:t>
            </w:r>
            <w:r>
              <w:rPr>
                <w:rFonts w:hint="eastAsia" w:ascii="宋体" w:hAnsi="宋体" w:eastAsia="宋体" w:cs="宋体"/>
                <w:color w:val="auto"/>
                <w:sz w:val="24"/>
                <w:szCs w:val="24"/>
                <w:highlight w:val="none"/>
                <w:lang w:val="en-US" w:eastAsia="zh-CN"/>
              </w:rPr>
              <w:t>似</w:t>
            </w:r>
            <w:r>
              <w:rPr>
                <w:rFonts w:hint="eastAsia" w:ascii="宋体" w:hAnsi="宋体" w:eastAsia="宋体" w:cs="宋体"/>
                <w:color w:val="auto"/>
                <w:sz w:val="24"/>
                <w:szCs w:val="24"/>
                <w:highlight w:val="none"/>
              </w:rPr>
              <w:t>项目业绩，投标文件中附有其业绩证明材料，业绩以合同文件为依据（复印件加盖公章），每提供一份计</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r>
    </w:tbl>
    <w:p w14:paraId="13FB8A95">
      <w:pPr>
        <w:pStyle w:val="24"/>
        <w:ind w:firstLine="0"/>
        <w:rPr>
          <w:rFonts w:hint="eastAsia"/>
          <w:highlight w:val="none"/>
          <w:lang w:val="en-US" w:eastAsia="zh-CN"/>
        </w:rPr>
      </w:pPr>
    </w:p>
    <w:p w14:paraId="720DE9E7">
      <w:pPr>
        <w:pStyle w:val="24"/>
        <w:ind w:firstLine="0"/>
        <w:rPr>
          <w:highlight w:val="none"/>
          <w:lang w:val="en-US" w:eastAsia="zh-CN"/>
        </w:rPr>
      </w:pPr>
    </w:p>
    <w:sectPr>
      <w:headerReference r:id="rId3" w:type="default"/>
      <w:footerReference r:id="rId4" w:type="default"/>
      <w:pgSz w:w="11907" w:h="16840"/>
      <w:pgMar w:top="1417" w:right="1361" w:bottom="1417" w:left="1417" w:header="1020" w:footer="964" w:gutter="284"/>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DejaVu Math TeX Gyre"/>
    <w:panose1 w:val="000000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华文行楷">
    <w:panose1 w:val="02010800040101010101"/>
    <w:charset w:val="86"/>
    <w:family w:val="auto"/>
    <w:pitch w:val="default"/>
    <w:sig w:usb0="00000001" w:usb1="080F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D7E8C">
    <w:pPr>
      <w:pStyle w:val="26"/>
      <w:jc w:val="center"/>
      <w:rPr>
        <w:rFonts w:ascii="Cambria" w:hAnsi="Cambria"/>
        <w:sz w:val="28"/>
        <w:szCs w:val="28"/>
      </w:rPr>
    </w:pPr>
    <w:r>
      <w:rPr>
        <w:rFonts w:ascii="Cambria" w:hAnsi="Cambria"/>
        <w:sz w:val="28"/>
        <w:szCs w:val="28"/>
        <w:lang w:val="zh-CN"/>
      </w:rPr>
      <w:t xml:space="preserve">~ </w:t>
    </w:r>
    <w:r>
      <w:fldChar w:fldCharType="begin"/>
    </w:r>
    <w:r>
      <w:instrText xml:space="preserve"> PAGE    \* MERGEFORMAT </w:instrText>
    </w:r>
    <w:r>
      <w:fldChar w:fldCharType="separate"/>
    </w:r>
    <w:r>
      <w:rPr>
        <w:rFonts w:ascii="Cambria" w:hAnsi="Cambria"/>
        <w:sz w:val="28"/>
        <w:szCs w:val="28"/>
        <w:lang w:val="zh-CN"/>
      </w:rPr>
      <w:t>65</w:t>
    </w:r>
    <w:r>
      <w:fldChar w:fldCharType="end"/>
    </w:r>
    <w:r>
      <w:rPr>
        <w:rFonts w:ascii="Cambria" w:hAnsi="Cambria"/>
        <w:sz w:val="28"/>
        <w:szCs w:val="28"/>
        <w:lang w:val="zh-CN"/>
      </w:rPr>
      <w:t xml:space="preserve"> ~</w:t>
    </w:r>
  </w:p>
  <w:p w14:paraId="5D666F6F">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AF8D9">
    <w:pPr>
      <w:rPr>
        <w:rFonts w:hint="eastAsia" w:eastAsia="宋体"/>
        <w:lang w:eastAsia="zh-CN"/>
      </w:rPr>
    </w:pPr>
    <w:r>
      <w:rPr>
        <w:rFonts w:hint="eastAsia"/>
        <w:sz w:val="18"/>
        <w:szCs w:val="18"/>
        <w:u w:val="single"/>
      </w:rPr>
      <w:t xml:space="preserve">政府采购货物项目公开招标文件                                    </w:t>
    </w:r>
    <w:r>
      <w:rPr>
        <w:rFonts w:hint="eastAsia"/>
        <w:sz w:val="18"/>
        <w:szCs w:val="18"/>
        <w:u w:val="single"/>
        <w:lang w:val="en-US" w:eastAsia="zh-CN"/>
      </w:rPr>
      <w:t xml:space="preserve">  </w:t>
    </w:r>
    <w:r>
      <w:rPr>
        <w:rFonts w:hint="eastAsia"/>
        <w:sz w:val="18"/>
        <w:szCs w:val="18"/>
        <w:u w:val="single"/>
      </w:rPr>
      <w:t xml:space="preserve">         </w:t>
    </w:r>
    <w:r>
      <w:rPr>
        <w:rFonts w:hint="eastAsia"/>
        <w:sz w:val="18"/>
        <w:szCs w:val="18"/>
        <w:u w:val="single"/>
        <w:lang w:eastAsia="zh-CN"/>
      </w:rPr>
      <w:t>陕西广联达招标有限公司</w:t>
    </w:r>
  </w:p>
  <w:p w14:paraId="031468AB">
    <w:pPr>
      <w:pStyle w:val="2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5A0BF"/>
    <w:multiLevelType w:val="singleLevel"/>
    <w:tmpl w:val="E425A0BF"/>
    <w:lvl w:ilvl="0" w:tentative="0">
      <w:start w:val="2"/>
      <w:numFmt w:val="decimal"/>
      <w:lvlText w:val="%1."/>
      <w:lvlJc w:val="left"/>
      <w:pPr>
        <w:tabs>
          <w:tab w:val="left" w:pos="312"/>
        </w:tabs>
      </w:pPr>
    </w:lvl>
  </w:abstractNum>
  <w:abstractNum w:abstractNumId="1">
    <w:nsid w:val="FF67BEF5"/>
    <w:multiLevelType w:val="singleLevel"/>
    <w:tmpl w:val="FF67BEF5"/>
    <w:lvl w:ilvl="0" w:tentative="0">
      <w:start w:val="6"/>
      <w:numFmt w:val="decimal"/>
      <w:suff w:val="space"/>
      <w:lvlText w:val="%1."/>
      <w:lvlJc w:val="left"/>
    </w:lvl>
  </w:abstractNum>
  <w:abstractNum w:abstractNumId="2">
    <w:nsid w:val="053097C2"/>
    <w:multiLevelType w:val="singleLevel"/>
    <w:tmpl w:val="053097C2"/>
    <w:lvl w:ilvl="0" w:tentative="0">
      <w:start w:val="1"/>
      <w:numFmt w:val="decimal"/>
      <w:lvlText w:val="%1."/>
      <w:lvlJc w:val="left"/>
      <w:pPr>
        <w:tabs>
          <w:tab w:val="left" w:pos="312"/>
        </w:tabs>
      </w:pPr>
      <w:rPr>
        <w:rFonts w:hint="default"/>
        <w:b/>
        <w:bCs/>
      </w:rPr>
    </w:lvl>
  </w:abstractNum>
  <w:abstractNum w:abstractNumId="3">
    <w:nsid w:val="1D6EB00D"/>
    <w:multiLevelType w:val="singleLevel"/>
    <w:tmpl w:val="1D6EB00D"/>
    <w:lvl w:ilvl="0" w:tentative="0">
      <w:start w:val="1"/>
      <w:numFmt w:val="decimal"/>
      <w:suff w:val="nothing"/>
      <w:lvlText w:val="%1、"/>
      <w:lvlJc w:val="left"/>
    </w:lvl>
  </w:abstractNum>
  <w:abstractNum w:abstractNumId="4">
    <w:nsid w:val="22E44851"/>
    <w:multiLevelType w:val="multilevel"/>
    <w:tmpl w:val="22E448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4DC295C"/>
    <w:multiLevelType w:val="multilevel"/>
    <w:tmpl w:val="34DC29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D0764C"/>
    <w:multiLevelType w:val="singleLevel"/>
    <w:tmpl w:val="4FD0764C"/>
    <w:lvl w:ilvl="0" w:tentative="0">
      <w:start w:val="1"/>
      <w:numFmt w:val="chineseCounting"/>
      <w:suff w:val="nothing"/>
      <w:lvlText w:val="%1、"/>
      <w:lvlJc w:val="left"/>
      <w:rPr>
        <w:rFonts w:hint="eastAsia"/>
        <w:b/>
        <w:bCs/>
      </w:rPr>
    </w:lvl>
  </w:abstractNum>
  <w:abstractNum w:abstractNumId="7">
    <w:nsid w:val="5399DFEE"/>
    <w:multiLevelType w:val="singleLevel"/>
    <w:tmpl w:val="5399DFEE"/>
    <w:lvl w:ilvl="0" w:tentative="0">
      <w:start w:val="2"/>
      <w:numFmt w:val="decimal"/>
      <w:lvlText w:val="%1."/>
      <w:lvlJc w:val="left"/>
      <w:pPr>
        <w:tabs>
          <w:tab w:val="left" w:pos="312"/>
        </w:tabs>
      </w:pPr>
    </w:lvl>
  </w:abstractNum>
  <w:abstractNum w:abstractNumId="8">
    <w:nsid w:val="53EC41AD"/>
    <w:multiLevelType w:val="singleLevel"/>
    <w:tmpl w:val="53EC41AD"/>
    <w:lvl w:ilvl="0" w:tentative="0">
      <w:start w:val="1"/>
      <w:numFmt w:val="decimal"/>
      <w:lvlText w:val="（%1）"/>
      <w:lvlJc w:val="left"/>
      <w:pPr>
        <w:tabs>
          <w:tab w:val="left" w:pos="1146"/>
        </w:tabs>
        <w:ind w:left="1146" w:hanging="720"/>
      </w:pPr>
      <w:rPr>
        <w:rFonts w:hint="eastAsia"/>
      </w:rPr>
    </w:lvl>
  </w:abstractNum>
  <w:abstractNum w:abstractNumId="9">
    <w:nsid w:val="69942E35"/>
    <w:multiLevelType w:val="singleLevel"/>
    <w:tmpl w:val="69942E35"/>
    <w:lvl w:ilvl="0" w:tentative="0">
      <w:start w:val="1"/>
      <w:numFmt w:val="decimal"/>
      <w:lvlText w:val="%1."/>
      <w:lvlJc w:val="left"/>
      <w:pPr>
        <w:tabs>
          <w:tab w:val="left" w:pos="312"/>
        </w:tabs>
      </w:pPr>
    </w:lvl>
  </w:abstractNum>
  <w:abstractNum w:abstractNumId="10">
    <w:nsid w:val="79C8CD11"/>
    <w:multiLevelType w:val="singleLevel"/>
    <w:tmpl w:val="79C8CD11"/>
    <w:lvl w:ilvl="0" w:tentative="0">
      <w:start w:val="1"/>
      <w:numFmt w:val="decimal"/>
      <w:lvlText w:val="%1."/>
      <w:lvlJc w:val="left"/>
      <w:pPr>
        <w:tabs>
          <w:tab w:val="left" w:pos="312"/>
        </w:tabs>
      </w:pPr>
    </w:lvl>
  </w:abstractNum>
  <w:num w:numId="1">
    <w:abstractNumId w:val="4"/>
  </w:num>
  <w:num w:numId="2">
    <w:abstractNumId w:val="8"/>
  </w:num>
  <w:num w:numId="3">
    <w:abstractNumId w:val="6"/>
  </w:num>
  <w:num w:numId="4">
    <w:abstractNumId w:val="2"/>
  </w:num>
  <w:num w:numId="5">
    <w:abstractNumId w:val="1"/>
  </w:num>
  <w:num w:numId="6">
    <w:abstractNumId w:val="0"/>
  </w:num>
  <w:num w:numId="7">
    <w:abstractNumId w:val="3"/>
  </w:num>
  <w:num w:numId="8">
    <w:abstractNumId w:val="7"/>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OGQyMjAyN2M0MzdiYWMyMmFmMDUwYzE1NzRjM2MifQ=="/>
  </w:docVars>
  <w:rsids>
    <w:rsidRoot w:val="00FB25EC"/>
    <w:rsid w:val="000000D7"/>
    <w:rsid w:val="00000CCA"/>
    <w:rsid w:val="00000F20"/>
    <w:rsid w:val="0000101D"/>
    <w:rsid w:val="0000130B"/>
    <w:rsid w:val="0000362A"/>
    <w:rsid w:val="00003ED1"/>
    <w:rsid w:val="0000441E"/>
    <w:rsid w:val="00004514"/>
    <w:rsid w:val="0000467C"/>
    <w:rsid w:val="00004A25"/>
    <w:rsid w:val="00004B36"/>
    <w:rsid w:val="00005A5B"/>
    <w:rsid w:val="0000602F"/>
    <w:rsid w:val="00007484"/>
    <w:rsid w:val="00007DA5"/>
    <w:rsid w:val="00011849"/>
    <w:rsid w:val="000118F4"/>
    <w:rsid w:val="000120F6"/>
    <w:rsid w:val="000129C3"/>
    <w:rsid w:val="000153A7"/>
    <w:rsid w:val="00015B52"/>
    <w:rsid w:val="00016074"/>
    <w:rsid w:val="00016747"/>
    <w:rsid w:val="00016780"/>
    <w:rsid w:val="000167BC"/>
    <w:rsid w:val="0001730A"/>
    <w:rsid w:val="0002015F"/>
    <w:rsid w:val="000210B1"/>
    <w:rsid w:val="000223AE"/>
    <w:rsid w:val="000228EF"/>
    <w:rsid w:val="00022FC2"/>
    <w:rsid w:val="000235EE"/>
    <w:rsid w:val="00023C67"/>
    <w:rsid w:val="000245B5"/>
    <w:rsid w:val="0002628F"/>
    <w:rsid w:val="00026A83"/>
    <w:rsid w:val="00026B18"/>
    <w:rsid w:val="00027245"/>
    <w:rsid w:val="000274B5"/>
    <w:rsid w:val="00027996"/>
    <w:rsid w:val="00027DC9"/>
    <w:rsid w:val="00030EA8"/>
    <w:rsid w:val="00034064"/>
    <w:rsid w:val="000349BA"/>
    <w:rsid w:val="00034F7B"/>
    <w:rsid w:val="00040005"/>
    <w:rsid w:val="00040122"/>
    <w:rsid w:val="00041008"/>
    <w:rsid w:val="000414B5"/>
    <w:rsid w:val="000418CD"/>
    <w:rsid w:val="000423AB"/>
    <w:rsid w:val="000429EE"/>
    <w:rsid w:val="00042AB8"/>
    <w:rsid w:val="00043C34"/>
    <w:rsid w:val="00043E5C"/>
    <w:rsid w:val="000442B2"/>
    <w:rsid w:val="000448DE"/>
    <w:rsid w:val="00044961"/>
    <w:rsid w:val="000451EB"/>
    <w:rsid w:val="000458B0"/>
    <w:rsid w:val="000468C6"/>
    <w:rsid w:val="000469AC"/>
    <w:rsid w:val="000471BE"/>
    <w:rsid w:val="00047EB8"/>
    <w:rsid w:val="000504BA"/>
    <w:rsid w:val="00051277"/>
    <w:rsid w:val="00051881"/>
    <w:rsid w:val="00051F1D"/>
    <w:rsid w:val="00052D57"/>
    <w:rsid w:val="00052EB1"/>
    <w:rsid w:val="000535D6"/>
    <w:rsid w:val="00054701"/>
    <w:rsid w:val="00054D22"/>
    <w:rsid w:val="0005565B"/>
    <w:rsid w:val="000556B0"/>
    <w:rsid w:val="00056B70"/>
    <w:rsid w:val="00060527"/>
    <w:rsid w:val="000607CC"/>
    <w:rsid w:val="00060FB1"/>
    <w:rsid w:val="00061142"/>
    <w:rsid w:val="000612E2"/>
    <w:rsid w:val="00061640"/>
    <w:rsid w:val="00061B95"/>
    <w:rsid w:val="0006212D"/>
    <w:rsid w:val="00063B47"/>
    <w:rsid w:val="00064A58"/>
    <w:rsid w:val="0006557E"/>
    <w:rsid w:val="00065781"/>
    <w:rsid w:val="000667B5"/>
    <w:rsid w:val="00066825"/>
    <w:rsid w:val="00067555"/>
    <w:rsid w:val="00067849"/>
    <w:rsid w:val="00067851"/>
    <w:rsid w:val="00067F43"/>
    <w:rsid w:val="00070FA9"/>
    <w:rsid w:val="00071CF6"/>
    <w:rsid w:val="0007245B"/>
    <w:rsid w:val="0007404B"/>
    <w:rsid w:val="0007422F"/>
    <w:rsid w:val="00074846"/>
    <w:rsid w:val="00080978"/>
    <w:rsid w:val="000811B4"/>
    <w:rsid w:val="00081947"/>
    <w:rsid w:val="0008287A"/>
    <w:rsid w:val="000835A9"/>
    <w:rsid w:val="00083D6D"/>
    <w:rsid w:val="0008551A"/>
    <w:rsid w:val="00085C2E"/>
    <w:rsid w:val="00086F3B"/>
    <w:rsid w:val="00087266"/>
    <w:rsid w:val="00087BEB"/>
    <w:rsid w:val="000910F1"/>
    <w:rsid w:val="000913F1"/>
    <w:rsid w:val="000918D0"/>
    <w:rsid w:val="000932A5"/>
    <w:rsid w:val="0009344A"/>
    <w:rsid w:val="00094A35"/>
    <w:rsid w:val="00095542"/>
    <w:rsid w:val="00095665"/>
    <w:rsid w:val="00097A8A"/>
    <w:rsid w:val="000A1221"/>
    <w:rsid w:val="000A1CAE"/>
    <w:rsid w:val="000A1D2F"/>
    <w:rsid w:val="000A3503"/>
    <w:rsid w:val="000A6A34"/>
    <w:rsid w:val="000A6CDF"/>
    <w:rsid w:val="000A73D3"/>
    <w:rsid w:val="000B0971"/>
    <w:rsid w:val="000B1E4C"/>
    <w:rsid w:val="000B2292"/>
    <w:rsid w:val="000B25E3"/>
    <w:rsid w:val="000B2B57"/>
    <w:rsid w:val="000B370F"/>
    <w:rsid w:val="000B43C5"/>
    <w:rsid w:val="000B4788"/>
    <w:rsid w:val="000B4D0D"/>
    <w:rsid w:val="000B506C"/>
    <w:rsid w:val="000B721A"/>
    <w:rsid w:val="000C035E"/>
    <w:rsid w:val="000C19DD"/>
    <w:rsid w:val="000C1C60"/>
    <w:rsid w:val="000C1D92"/>
    <w:rsid w:val="000C21B0"/>
    <w:rsid w:val="000C2DAD"/>
    <w:rsid w:val="000C3BE5"/>
    <w:rsid w:val="000C52B1"/>
    <w:rsid w:val="000C709E"/>
    <w:rsid w:val="000C7EE7"/>
    <w:rsid w:val="000D1D4D"/>
    <w:rsid w:val="000D1D7C"/>
    <w:rsid w:val="000D2850"/>
    <w:rsid w:val="000D43CF"/>
    <w:rsid w:val="000D4713"/>
    <w:rsid w:val="000D4DF5"/>
    <w:rsid w:val="000D66EC"/>
    <w:rsid w:val="000E054D"/>
    <w:rsid w:val="000E31DA"/>
    <w:rsid w:val="000E4166"/>
    <w:rsid w:val="000E4596"/>
    <w:rsid w:val="000E4CF3"/>
    <w:rsid w:val="000E7915"/>
    <w:rsid w:val="000E7DA8"/>
    <w:rsid w:val="000F0DDA"/>
    <w:rsid w:val="000F0F01"/>
    <w:rsid w:val="000F0FBA"/>
    <w:rsid w:val="000F1652"/>
    <w:rsid w:val="000F1FD6"/>
    <w:rsid w:val="000F344F"/>
    <w:rsid w:val="000F3490"/>
    <w:rsid w:val="000F3786"/>
    <w:rsid w:val="000F37A5"/>
    <w:rsid w:val="000F4429"/>
    <w:rsid w:val="000F489A"/>
    <w:rsid w:val="000F4952"/>
    <w:rsid w:val="000F4B75"/>
    <w:rsid w:val="000F57F9"/>
    <w:rsid w:val="000F5A18"/>
    <w:rsid w:val="000F5D17"/>
    <w:rsid w:val="000F64E4"/>
    <w:rsid w:val="000F6855"/>
    <w:rsid w:val="000F7B51"/>
    <w:rsid w:val="000F7CEB"/>
    <w:rsid w:val="00100693"/>
    <w:rsid w:val="00101AE8"/>
    <w:rsid w:val="00101AF2"/>
    <w:rsid w:val="00101DA2"/>
    <w:rsid w:val="00102615"/>
    <w:rsid w:val="001034BF"/>
    <w:rsid w:val="001046A1"/>
    <w:rsid w:val="00104DBB"/>
    <w:rsid w:val="00105197"/>
    <w:rsid w:val="0010791A"/>
    <w:rsid w:val="00107BA7"/>
    <w:rsid w:val="00107D5F"/>
    <w:rsid w:val="00110184"/>
    <w:rsid w:val="001105DF"/>
    <w:rsid w:val="00112396"/>
    <w:rsid w:val="00113FB8"/>
    <w:rsid w:val="00114BBC"/>
    <w:rsid w:val="00114C16"/>
    <w:rsid w:val="00115AFB"/>
    <w:rsid w:val="00115C5C"/>
    <w:rsid w:val="00116585"/>
    <w:rsid w:val="00117742"/>
    <w:rsid w:val="001210C0"/>
    <w:rsid w:val="001219AA"/>
    <w:rsid w:val="00121CBE"/>
    <w:rsid w:val="00123B14"/>
    <w:rsid w:val="001268B0"/>
    <w:rsid w:val="00126C2E"/>
    <w:rsid w:val="00130B03"/>
    <w:rsid w:val="001323F3"/>
    <w:rsid w:val="0013291C"/>
    <w:rsid w:val="00133C29"/>
    <w:rsid w:val="00134290"/>
    <w:rsid w:val="00134802"/>
    <w:rsid w:val="00134BB3"/>
    <w:rsid w:val="00134C00"/>
    <w:rsid w:val="00135568"/>
    <w:rsid w:val="00136826"/>
    <w:rsid w:val="00141A1E"/>
    <w:rsid w:val="0014211D"/>
    <w:rsid w:val="00142C37"/>
    <w:rsid w:val="00142F1A"/>
    <w:rsid w:val="00142FC3"/>
    <w:rsid w:val="0014342C"/>
    <w:rsid w:val="0014346A"/>
    <w:rsid w:val="0014368E"/>
    <w:rsid w:val="001438A9"/>
    <w:rsid w:val="001443F8"/>
    <w:rsid w:val="00145F12"/>
    <w:rsid w:val="001461FB"/>
    <w:rsid w:val="00146413"/>
    <w:rsid w:val="00146579"/>
    <w:rsid w:val="00147BA8"/>
    <w:rsid w:val="00150A8B"/>
    <w:rsid w:val="00150B16"/>
    <w:rsid w:val="00150FF4"/>
    <w:rsid w:val="001510CE"/>
    <w:rsid w:val="001512DF"/>
    <w:rsid w:val="001513F8"/>
    <w:rsid w:val="0015208D"/>
    <w:rsid w:val="00153148"/>
    <w:rsid w:val="0015376C"/>
    <w:rsid w:val="00153BAA"/>
    <w:rsid w:val="0015514B"/>
    <w:rsid w:val="00155174"/>
    <w:rsid w:val="0015560D"/>
    <w:rsid w:val="00156025"/>
    <w:rsid w:val="0015704F"/>
    <w:rsid w:val="0015714A"/>
    <w:rsid w:val="001574B1"/>
    <w:rsid w:val="001611CF"/>
    <w:rsid w:val="00161792"/>
    <w:rsid w:val="00161BB3"/>
    <w:rsid w:val="00162180"/>
    <w:rsid w:val="00162848"/>
    <w:rsid w:val="00162DD7"/>
    <w:rsid w:val="001630FA"/>
    <w:rsid w:val="00163C85"/>
    <w:rsid w:val="00164368"/>
    <w:rsid w:val="001647B1"/>
    <w:rsid w:val="001652E7"/>
    <w:rsid w:val="001654A7"/>
    <w:rsid w:val="001658C3"/>
    <w:rsid w:val="00166274"/>
    <w:rsid w:val="00166977"/>
    <w:rsid w:val="00166A16"/>
    <w:rsid w:val="00167DD3"/>
    <w:rsid w:val="0017046E"/>
    <w:rsid w:val="00170B81"/>
    <w:rsid w:val="00170CDA"/>
    <w:rsid w:val="00171421"/>
    <w:rsid w:val="00172088"/>
    <w:rsid w:val="00172374"/>
    <w:rsid w:val="00172D84"/>
    <w:rsid w:val="001743CA"/>
    <w:rsid w:val="001764F7"/>
    <w:rsid w:val="00176DD9"/>
    <w:rsid w:val="00177B31"/>
    <w:rsid w:val="00177B65"/>
    <w:rsid w:val="00177CA0"/>
    <w:rsid w:val="00181808"/>
    <w:rsid w:val="0018198F"/>
    <w:rsid w:val="0018328A"/>
    <w:rsid w:val="00183581"/>
    <w:rsid w:val="00184062"/>
    <w:rsid w:val="00184BA6"/>
    <w:rsid w:val="0018555F"/>
    <w:rsid w:val="00185FD9"/>
    <w:rsid w:val="00186A35"/>
    <w:rsid w:val="00187C90"/>
    <w:rsid w:val="0019269E"/>
    <w:rsid w:val="00192E87"/>
    <w:rsid w:val="00193A29"/>
    <w:rsid w:val="0019442E"/>
    <w:rsid w:val="00194E3B"/>
    <w:rsid w:val="001951FD"/>
    <w:rsid w:val="001959FC"/>
    <w:rsid w:val="00195EBF"/>
    <w:rsid w:val="00196562"/>
    <w:rsid w:val="00196835"/>
    <w:rsid w:val="001A0E3F"/>
    <w:rsid w:val="001A0E5E"/>
    <w:rsid w:val="001A14B5"/>
    <w:rsid w:val="001A28D3"/>
    <w:rsid w:val="001A4B52"/>
    <w:rsid w:val="001A52A9"/>
    <w:rsid w:val="001A6202"/>
    <w:rsid w:val="001A69EA"/>
    <w:rsid w:val="001A7B80"/>
    <w:rsid w:val="001B2458"/>
    <w:rsid w:val="001B37BD"/>
    <w:rsid w:val="001B3B69"/>
    <w:rsid w:val="001B45C1"/>
    <w:rsid w:val="001B477E"/>
    <w:rsid w:val="001B51EA"/>
    <w:rsid w:val="001B5FA5"/>
    <w:rsid w:val="001B7C58"/>
    <w:rsid w:val="001C00E0"/>
    <w:rsid w:val="001C05B0"/>
    <w:rsid w:val="001C20F6"/>
    <w:rsid w:val="001C389D"/>
    <w:rsid w:val="001C42B1"/>
    <w:rsid w:val="001C42DD"/>
    <w:rsid w:val="001C46BD"/>
    <w:rsid w:val="001C46C4"/>
    <w:rsid w:val="001C481B"/>
    <w:rsid w:val="001C49B1"/>
    <w:rsid w:val="001C5F42"/>
    <w:rsid w:val="001C64BA"/>
    <w:rsid w:val="001C6620"/>
    <w:rsid w:val="001D171D"/>
    <w:rsid w:val="001D1AD9"/>
    <w:rsid w:val="001D1DA0"/>
    <w:rsid w:val="001D2BFB"/>
    <w:rsid w:val="001D3ADC"/>
    <w:rsid w:val="001D4D68"/>
    <w:rsid w:val="001D5128"/>
    <w:rsid w:val="001D59A9"/>
    <w:rsid w:val="001D5EB4"/>
    <w:rsid w:val="001D5F68"/>
    <w:rsid w:val="001D667A"/>
    <w:rsid w:val="001D6818"/>
    <w:rsid w:val="001D7798"/>
    <w:rsid w:val="001D7A71"/>
    <w:rsid w:val="001E0350"/>
    <w:rsid w:val="001E2944"/>
    <w:rsid w:val="001E3081"/>
    <w:rsid w:val="001E365F"/>
    <w:rsid w:val="001E47DD"/>
    <w:rsid w:val="001E519D"/>
    <w:rsid w:val="001E6171"/>
    <w:rsid w:val="001E6791"/>
    <w:rsid w:val="001E70D6"/>
    <w:rsid w:val="001E74B1"/>
    <w:rsid w:val="001E7EF6"/>
    <w:rsid w:val="001E7FDF"/>
    <w:rsid w:val="001F02DA"/>
    <w:rsid w:val="001F0533"/>
    <w:rsid w:val="001F072C"/>
    <w:rsid w:val="001F0B9A"/>
    <w:rsid w:val="001F0D58"/>
    <w:rsid w:val="001F3A62"/>
    <w:rsid w:val="001F3E72"/>
    <w:rsid w:val="001F45F5"/>
    <w:rsid w:val="001F480D"/>
    <w:rsid w:val="001F4E7D"/>
    <w:rsid w:val="001F67BE"/>
    <w:rsid w:val="002001CC"/>
    <w:rsid w:val="00200D3C"/>
    <w:rsid w:val="00200E74"/>
    <w:rsid w:val="002014C1"/>
    <w:rsid w:val="00201FB0"/>
    <w:rsid w:val="0020330F"/>
    <w:rsid w:val="0020413F"/>
    <w:rsid w:val="002051E7"/>
    <w:rsid w:val="00206D54"/>
    <w:rsid w:val="00206DA2"/>
    <w:rsid w:val="00207675"/>
    <w:rsid w:val="00207A8F"/>
    <w:rsid w:val="00207CB5"/>
    <w:rsid w:val="0021153E"/>
    <w:rsid w:val="00211BAB"/>
    <w:rsid w:val="00211E16"/>
    <w:rsid w:val="002123A5"/>
    <w:rsid w:val="00212823"/>
    <w:rsid w:val="0021289C"/>
    <w:rsid w:val="00212966"/>
    <w:rsid w:val="00213623"/>
    <w:rsid w:val="00213665"/>
    <w:rsid w:val="00213C20"/>
    <w:rsid w:val="00215310"/>
    <w:rsid w:val="00217515"/>
    <w:rsid w:val="002177E0"/>
    <w:rsid w:val="00217B26"/>
    <w:rsid w:val="00217B64"/>
    <w:rsid w:val="002214C7"/>
    <w:rsid w:val="00221DDD"/>
    <w:rsid w:val="002225AF"/>
    <w:rsid w:val="00222743"/>
    <w:rsid w:val="00222A7A"/>
    <w:rsid w:val="0022439F"/>
    <w:rsid w:val="00225197"/>
    <w:rsid w:val="002260EB"/>
    <w:rsid w:val="00227E45"/>
    <w:rsid w:val="002305EC"/>
    <w:rsid w:val="0023120D"/>
    <w:rsid w:val="0023310E"/>
    <w:rsid w:val="00234EA1"/>
    <w:rsid w:val="00235AB9"/>
    <w:rsid w:val="00235F91"/>
    <w:rsid w:val="00236B51"/>
    <w:rsid w:val="00236D2E"/>
    <w:rsid w:val="0023702B"/>
    <w:rsid w:val="00237126"/>
    <w:rsid w:val="00237E34"/>
    <w:rsid w:val="00240CE6"/>
    <w:rsid w:val="0024133E"/>
    <w:rsid w:val="00241CC1"/>
    <w:rsid w:val="00242498"/>
    <w:rsid w:val="00243173"/>
    <w:rsid w:val="0024319D"/>
    <w:rsid w:val="002436FD"/>
    <w:rsid w:val="00244255"/>
    <w:rsid w:val="00244497"/>
    <w:rsid w:val="00246EE3"/>
    <w:rsid w:val="002477D5"/>
    <w:rsid w:val="00247E1B"/>
    <w:rsid w:val="00250C61"/>
    <w:rsid w:val="0025122B"/>
    <w:rsid w:val="0025203B"/>
    <w:rsid w:val="00253397"/>
    <w:rsid w:val="002533D5"/>
    <w:rsid w:val="00253808"/>
    <w:rsid w:val="00253CB9"/>
    <w:rsid w:val="00254604"/>
    <w:rsid w:val="002556FF"/>
    <w:rsid w:val="00255BBF"/>
    <w:rsid w:val="0025676B"/>
    <w:rsid w:val="00260F46"/>
    <w:rsid w:val="002625BF"/>
    <w:rsid w:val="002627B2"/>
    <w:rsid w:val="00262E6C"/>
    <w:rsid w:val="0026409E"/>
    <w:rsid w:val="00265C3C"/>
    <w:rsid w:val="00267406"/>
    <w:rsid w:val="00270A64"/>
    <w:rsid w:val="00270CC3"/>
    <w:rsid w:val="002713A9"/>
    <w:rsid w:val="0027198B"/>
    <w:rsid w:val="00271F17"/>
    <w:rsid w:val="002723BF"/>
    <w:rsid w:val="00272B2A"/>
    <w:rsid w:val="00272E02"/>
    <w:rsid w:val="00272F08"/>
    <w:rsid w:val="002734AE"/>
    <w:rsid w:val="00273F2A"/>
    <w:rsid w:val="00274124"/>
    <w:rsid w:val="00275A01"/>
    <w:rsid w:val="002768BB"/>
    <w:rsid w:val="00280454"/>
    <w:rsid w:val="00281626"/>
    <w:rsid w:val="0028204F"/>
    <w:rsid w:val="00282416"/>
    <w:rsid w:val="00282F7C"/>
    <w:rsid w:val="002831AD"/>
    <w:rsid w:val="0028337F"/>
    <w:rsid w:val="00286D28"/>
    <w:rsid w:val="00287F36"/>
    <w:rsid w:val="0029042D"/>
    <w:rsid w:val="00290E2C"/>
    <w:rsid w:val="0029190E"/>
    <w:rsid w:val="002932B6"/>
    <w:rsid w:val="00293C82"/>
    <w:rsid w:val="00293E21"/>
    <w:rsid w:val="00295B96"/>
    <w:rsid w:val="00296EEF"/>
    <w:rsid w:val="00297303"/>
    <w:rsid w:val="00297D0A"/>
    <w:rsid w:val="00297DFD"/>
    <w:rsid w:val="002A0927"/>
    <w:rsid w:val="002A0B80"/>
    <w:rsid w:val="002A0D8E"/>
    <w:rsid w:val="002A1145"/>
    <w:rsid w:val="002A162D"/>
    <w:rsid w:val="002A1D4B"/>
    <w:rsid w:val="002A1EF1"/>
    <w:rsid w:val="002A2553"/>
    <w:rsid w:val="002A29E8"/>
    <w:rsid w:val="002A499D"/>
    <w:rsid w:val="002A5527"/>
    <w:rsid w:val="002A56A6"/>
    <w:rsid w:val="002A5BC6"/>
    <w:rsid w:val="002A5DC5"/>
    <w:rsid w:val="002A5E32"/>
    <w:rsid w:val="002A680E"/>
    <w:rsid w:val="002A7198"/>
    <w:rsid w:val="002A7DFB"/>
    <w:rsid w:val="002B006B"/>
    <w:rsid w:val="002B09A1"/>
    <w:rsid w:val="002B0B03"/>
    <w:rsid w:val="002B1ADF"/>
    <w:rsid w:val="002B279F"/>
    <w:rsid w:val="002B352D"/>
    <w:rsid w:val="002B3EEA"/>
    <w:rsid w:val="002B5CAC"/>
    <w:rsid w:val="002B74B0"/>
    <w:rsid w:val="002B768F"/>
    <w:rsid w:val="002C16DB"/>
    <w:rsid w:val="002C221B"/>
    <w:rsid w:val="002C3CF5"/>
    <w:rsid w:val="002C41D6"/>
    <w:rsid w:val="002C4279"/>
    <w:rsid w:val="002C4E40"/>
    <w:rsid w:val="002C4F3E"/>
    <w:rsid w:val="002C5AF6"/>
    <w:rsid w:val="002C62B9"/>
    <w:rsid w:val="002C699B"/>
    <w:rsid w:val="002C772D"/>
    <w:rsid w:val="002D0349"/>
    <w:rsid w:val="002D0C1D"/>
    <w:rsid w:val="002D2079"/>
    <w:rsid w:val="002D22BD"/>
    <w:rsid w:val="002D296B"/>
    <w:rsid w:val="002D2A46"/>
    <w:rsid w:val="002D336A"/>
    <w:rsid w:val="002D37F2"/>
    <w:rsid w:val="002D3A69"/>
    <w:rsid w:val="002D4329"/>
    <w:rsid w:val="002D5A4E"/>
    <w:rsid w:val="002D6342"/>
    <w:rsid w:val="002D6E91"/>
    <w:rsid w:val="002D70A6"/>
    <w:rsid w:val="002D7282"/>
    <w:rsid w:val="002D76B9"/>
    <w:rsid w:val="002D7B33"/>
    <w:rsid w:val="002E062F"/>
    <w:rsid w:val="002E1B10"/>
    <w:rsid w:val="002E1D3A"/>
    <w:rsid w:val="002E38B8"/>
    <w:rsid w:val="002E3BFA"/>
    <w:rsid w:val="002E440F"/>
    <w:rsid w:val="002E4B99"/>
    <w:rsid w:val="002E5211"/>
    <w:rsid w:val="002E59B2"/>
    <w:rsid w:val="002E5EF6"/>
    <w:rsid w:val="002E689C"/>
    <w:rsid w:val="002E702D"/>
    <w:rsid w:val="002E7037"/>
    <w:rsid w:val="002E7075"/>
    <w:rsid w:val="002F200F"/>
    <w:rsid w:val="002F2449"/>
    <w:rsid w:val="002F28A8"/>
    <w:rsid w:val="002F663C"/>
    <w:rsid w:val="002F6CB1"/>
    <w:rsid w:val="002F7A48"/>
    <w:rsid w:val="003005A9"/>
    <w:rsid w:val="003005C5"/>
    <w:rsid w:val="00300807"/>
    <w:rsid w:val="00300BFD"/>
    <w:rsid w:val="0030159A"/>
    <w:rsid w:val="003030B1"/>
    <w:rsid w:val="003061FC"/>
    <w:rsid w:val="003064F4"/>
    <w:rsid w:val="00307863"/>
    <w:rsid w:val="00307927"/>
    <w:rsid w:val="003110D8"/>
    <w:rsid w:val="00312455"/>
    <w:rsid w:val="00313604"/>
    <w:rsid w:val="003148EC"/>
    <w:rsid w:val="00315078"/>
    <w:rsid w:val="00315876"/>
    <w:rsid w:val="00315F1B"/>
    <w:rsid w:val="00316A26"/>
    <w:rsid w:val="00317A8A"/>
    <w:rsid w:val="003218A9"/>
    <w:rsid w:val="003218CF"/>
    <w:rsid w:val="00321F16"/>
    <w:rsid w:val="00323914"/>
    <w:rsid w:val="0032396B"/>
    <w:rsid w:val="00323C6D"/>
    <w:rsid w:val="003241C4"/>
    <w:rsid w:val="003241D8"/>
    <w:rsid w:val="00325A85"/>
    <w:rsid w:val="00325D1E"/>
    <w:rsid w:val="00326773"/>
    <w:rsid w:val="003268EA"/>
    <w:rsid w:val="003269EE"/>
    <w:rsid w:val="00326C7B"/>
    <w:rsid w:val="003277CA"/>
    <w:rsid w:val="00331387"/>
    <w:rsid w:val="00331602"/>
    <w:rsid w:val="0033166C"/>
    <w:rsid w:val="003328BD"/>
    <w:rsid w:val="0033295F"/>
    <w:rsid w:val="00332DF3"/>
    <w:rsid w:val="00333B56"/>
    <w:rsid w:val="00333FE3"/>
    <w:rsid w:val="00334298"/>
    <w:rsid w:val="00334947"/>
    <w:rsid w:val="0033542E"/>
    <w:rsid w:val="00335521"/>
    <w:rsid w:val="00335A3D"/>
    <w:rsid w:val="00335ADC"/>
    <w:rsid w:val="00335C94"/>
    <w:rsid w:val="003364E6"/>
    <w:rsid w:val="00336562"/>
    <w:rsid w:val="00336EEA"/>
    <w:rsid w:val="00337503"/>
    <w:rsid w:val="00337891"/>
    <w:rsid w:val="003405C4"/>
    <w:rsid w:val="00341100"/>
    <w:rsid w:val="00341419"/>
    <w:rsid w:val="00341A6A"/>
    <w:rsid w:val="00341AFE"/>
    <w:rsid w:val="00341D3E"/>
    <w:rsid w:val="00342102"/>
    <w:rsid w:val="003435F5"/>
    <w:rsid w:val="003438C0"/>
    <w:rsid w:val="00346FB9"/>
    <w:rsid w:val="00350013"/>
    <w:rsid w:val="00350D57"/>
    <w:rsid w:val="00351E77"/>
    <w:rsid w:val="003521C6"/>
    <w:rsid w:val="00352637"/>
    <w:rsid w:val="00352773"/>
    <w:rsid w:val="00352BF0"/>
    <w:rsid w:val="003532E1"/>
    <w:rsid w:val="003546ED"/>
    <w:rsid w:val="00356250"/>
    <w:rsid w:val="003575D8"/>
    <w:rsid w:val="00357DB2"/>
    <w:rsid w:val="00360318"/>
    <w:rsid w:val="00360470"/>
    <w:rsid w:val="003611D2"/>
    <w:rsid w:val="00361B75"/>
    <w:rsid w:val="00361BCF"/>
    <w:rsid w:val="003624BB"/>
    <w:rsid w:val="003625D1"/>
    <w:rsid w:val="00362AB8"/>
    <w:rsid w:val="0036400C"/>
    <w:rsid w:val="00366946"/>
    <w:rsid w:val="00367B77"/>
    <w:rsid w:val="00367BD4"/>
    <w:rsid w:val="00370C49"/>
    <w:rsid w:val="00372FB9"/>
    <w:rsid w:val="00373215"/>
    <w:rsid w:val="0037385C"/>
    <w:rsid w:val="00373B4C"/>
    <w:rsid w:val="00373EE7"/>
    <w:rsid w:val="0037457E"/>
    <w:rsid w:val="003753B6"/>
    <w:rsid w:val="003758F0"/>
    <w:rsid w:val="003767A0"/>
    <w:rsid w:val="00376A3E"/>
    <w:rsid w:val="0038059D"/>
    <w:rsid w:val="00381E3D"/>
    <w:rsid w:val="00382D27"/>
    <w:rsid w:val="0038326B"/>
    <w:rsid w:val="00383F52"/>
    <w:rsid w:val="003841F3"/>
    <w:rsid w:val="00384452"/>
    <w:rsid w:val="003858BF"/>
    <w:rsid w:val="00386159"/>
    <w:rsid w:val="003869EF"/>
    <w:rsid w:val="00386F86"/>
    <w:rsid w:val="003872B6"/>
    <w:rsid w:val="00387751"/>
    <w:rsid w:val="003879CD"/>
    <w:rsid w:val="0039100B"/>
    <w:rsid w:val="00391350"/>
    <w:rsid w:val="003920F5"/>
    <w:rsid w:val="00392534"/>
    <w:rsid w:val="00393610"/>
    <w:rsid w:val="00394104"/>
    <w:rsid w:val="003945CC"/>
    <w:rsid w:val="0039485C"/>
    <w:rsid w:val="00394A70"/>
    <w:rsid w:val="00395165"/>
    <w:rsid w:val="003963ED"/>
    <w:rsid w:val="00396418"/>
    <w:rsid w:val="0039666E"/>
    <w:rsid w:val="003966DD"/>
    <w:rsid w:val="00396AA4"/>
    <w:rsid w:val="00397254"/>
    <w:rsid w:val="003A1BF4"/>
    <w:rsid w:val="003A1C64"/>
    <w:rsid w:val="003A2522"/>
    <w:rsid w:val="003A2CCD"/>
    <w:rsid w:val="003A37B4"/>
    <w:rsid w:val="003A5342"/>
    <w:rsid w:val="003A58E0"/>
    <w:rsid w:val="003A5D22"/>
    <w:rsid w:val="003A6E58"/>
    <w:rsid w:val="003A72C0"/>
    <w:rsid w:val="003A7B27"/>
    <w:rsid w:val="003B035D"/>
    <w:rsid w:val="003B056D"/>
    <w:rsid w:val="003B0890"/>
    <w:rsid w:val="003B0D07"/>
    <w:rsid w:val="003B11EB"/>
    <w:rsid w:val="003B1872"/>
    <w:rsid w:val="003B2684"/>
    <w:rsid w:val="003B4456"/>
    <w:rsid w:val="003B4D7B"/>
    <w:rsid w:val="003B51B0"/>
    <w:rsid w:val="003B5682"/>
    <w:rsid w:val="003B5AD0"/>
    <w:rsid w:val="003B64B8"/>
    <w:rsid w:val="003B7B3F"/>
    <w:rsid w:val="003B7ECD"/>
    <w:rsid w:val="003C08D0"/>
    <w:rsid w:val="003C0972"/>
    <w:rsid w:val="003C1B47"/>
    <w:rsid w:val="003C271F"/>
    <w:rsid w:val="003C3E87"/>
    <w:rsid w:val="003C417B"/>
    <w:rsid w:val="003C4876"/>
    <w:rsid w:val="003C498A"/>
    <w:rsid w:val="003C5B32"/>
    <w:rsid w:val="003C5D07"/>
    <w:rsid w:val="003C65E5"/>
    <w:rsid w:val="003C751D"/>
    <w:rsid w:val="003D0F8D"/>
    <w:rsid w:val="003D1FAB"/>
    <w:rsid w:val="003D27BF"/>
    <w:rsid w:val="003D2D23"/>
    <w:rsid w:val="003D2E9D"/>
    <w:rsid w:val="003D3654"/>
    <w:rsid w:val="003D37BD"/>
    <w:rsid w:val="003D5728"/>
    <w:rsid w:val="003D6932"/>
    <w:rsid w:val="003D7745"/>
    <w:rsid w:val="003D78DA"/>
    <w:rsid w:val="003D7D6B"/>
    <w:rsid w:val="003E06AC"/>
    <w:rsid w:val="003E0C56"/>
    <w:rsid w:val="003E0CDF"/>
    <w:rsid w:val="003E0E16"/>
    <w:rsid w:val="003E1640"/>
    <w:rsid w:val="003E184C"/>
    <w:rsid w:val="003E233C"/>
    <w:rsid w:val="003E4E67"/>
    <w:rsid w:val="003E5641"/>
    <w:rsid w:val="003E6217"/>
    <w:rsid w:val="003E6899"/>
    <w:rsid w:val="003E6DA9"/>
    <w:rsid w:val="003E7462"/>
    <w:rsid w:val="003E78F3"/>
    <w:rsid w:val="003E7CB1"/>
    <w:rsid w:val="003E7EBE"/>
    <w:rsid w:val="003F03FA"/>
    <w:rsid w:val="003F1094"/>
    <w:rsid w:val="003F1254"/>
    <w:rsid w:val="003F147C"/>
    <w:rsid w:val="003F1CB3"/>
    <w:rsid w:val="003F252E"/>
    <w:rsid w:val="003F426D"/>
    <w:rsid w:val="003F5199"/>
    <w:rsid w:val="003F5A8C"/>
    <w:rsid w:val="003F66E6"/>
    <w:rsid w:val="003F6FC1"/>
    <w:rsid w:val="003F7459"/>
    <w:rsid w:val="003F7932"/>
    <w:rsid w:val="00400D82"/>
    <w:rsid w:val="00400F9E"/>
    <w:rsid w:val="00401797"/>
    <w:rsid w:val="00401B72"/>
    <w:rsid w:val="00401BC9"/>
    <w:rsid w:val="00402A65"/>
    <w:rsid w:val="00403C71"/>
    <w:rsid w:val="00404803"/>
    <w:rsid w:val="0040480A"/>
    <w:rsid w:val="00404F71"/>
    <w:rsid w:val="004062C5"/>
    <w:rsid w:val="0040684C"/>
    <w:rsid w:val="00406A42"/>
    <w:rsid w:val="0040749B"/>
    <w:rsid w:val="004110A8"/>
    <w:rsid w:val="00411575"/>
    <w:rsid w:val="00411B03"/>
    <w:rsid w:val="00411E23"/>
    <w:rsid w:val="004127CC"/>
    <w:rsid w:val="00413558"/>
    <w:rsid w:val="00413E88"/>
    <w:rsid w:val="00413F35"/>
    <w:rsid w:val="00414889"/>
    <w:rsid w:val="0041502E"/>
    <w:rsid w:val="004158A1"/>
    <w:rsid w:val="00416193"/>
    <w:rsid w:val="004162BD"/>
    <w:rsid w:val="00422EAE"/>
    <w:rsid w:val="0042320F"/>
    <w:rsid w:val="00423AC8"/>
    <w:rsid w:val="00424B3D"/>
    <w:rsid w:val="004251FC"/>
    <w:rsid w:val="004278BE"/>
    <w:rsid w:val="004307BA"/>
    <w:rsid w:val="004310D7"/>
    <w:rsid w:val="00432361"/>
    <w:rsid w:val="00433259"/>
    <w:rsid w:val="004333CD"/>
    <w:rsid w:val="00433865"/>
    <w:rsid w:val="00433D6D"/>
    <w:rsid w:val="00434AF1"/>
    <w:rsid w:val="004353F8"/>
    <w:rsid w:val="004357CC"/>
    <w:rsid w:val="00436FF7"/>
    <w:rsid w:val="00437206"/>
    <w:rsid w:val="004374DF"/>
    <w:rsid w:val="0044075E"/>
    <w:rsid w:val="00444058"/>
    <w:rsid w:val="00444096"/>
    <w:rsid w:val="004440B2"/>
    <w:rsid w:val="00444839"/>
    <w:rsid w:val="00445642"/>
    <w:rsid w:val="00445874"/>
    <w:rsid w:val="00446915"/>
    <w:rsid w:val="00447D17"/>
    <w:rsid w:val="00452E96"/>
    <w:rsid w:val="00453812"/>
    <w:rsid w:val="004547CE"/>
    <w:rsid w:val="00454E10"/>
    <w:rsid w:val="004558B5"/>
    <w:rsid w:val="004560C2"/>
    <w:rsid w:val="0045647E"/>
    <w:rsid w:val="00456C08"/>
    <w:rsid w:val="00461007"/>
    <w:rsid w:val="0046187C"/>
    <w:rsid w:val="0046204A"/>
    <w:rsid w:val="0046205B"/>
    <w:rsid w:val="00462EC8"/>
    <w:rsid w:val="00463657"/>
    <w:rsid w:val="00464642"/>
    <w:rsid w:val="004650EE"/>
    <w:rsid w:val="00465755"/>
    <w:rsid w:val="00465D05"/>
    <w:rsid w:val="00467835"/>
    <w:rsid w:val="00467C67"/>
    <w:rsid w:val="00471982"/>
    <w:rsid w:val="00471DB6"/>
    <w:rsid w:val="00471F96"/>
    <w:rsid w:val="0047258D"/>
    <w:rsid w:val="0047382C"/>
    <w:rsid w:val="00473E91"/>
    <w:rsid w:val="00474146"/>
    <w:rsid w:val="00474A86"/>
    <w:rsid w:val="00474E08"/>
    <w:rsid w:val="004751F2"/>
    <w:rsid w:val="00475D26"/>
    <w:rsid w:val="00476F78"/>
    <w:rsid w:val="00476FB3"/>
    <w:rsid w:val="00480755"/>
    <w:rsid w:val="00482B9B"/>
    <w:rsid w:val="00484058"/>
    <w:rsid w:val="004841FC"/>
    <w:rsid w:val="00484341"/>
    <w:rsid w:val="0048596B"/>
    <w:rsid w:val="00485D66"/>
    <w:rsid w:val="004869AE"/>
    <w:rsid w:val="00486A0C"/>
    <w:rsid w:val="00486E6C"/>
    <w:rsid w:val="00490531"/>
    <w:rsid w:val="00492672"/>
    <w:rsid w:val="004941D7"/>
    <w:rsid w:val="00495CE9"/>
    <w:rsid w:val="00495ED2"/>
    <w:rsid w:val="0049603D"/>
    <w:rsid w:val="00496364"/>
    <w:rsid w:val="00497556"/>
    <w:rsid w:val="00497681"/>
    <w:rsid w:val="004A026A"/>
    <w:rsid w:val="004A0315"/>
    <w:rsid w:val="004A1C21"/>
    <w:rsid w:val="004A2189"/>
    <w:rsid w:val="004A2C8C"/>
    <w:rsid w:val="004A34F8"/>
    <w:rsid w:val="004A3D78"/>
    <w:rsid w:val="004A4090"/>
    <w:rsid w:val="004A4819"/>
    <w:rsid w:val="004A4A8E"/>
    <w:rsid w:val="004A4F51"/>
    <w:rsid w:val="004A51C4"/>
    <w:rsid w:val="004A5435"/>
    <w:rsid w:val="004A5440"/>
    <w:rsid w:val="004A62CC"/>
    <w:rsid w:val="004A6C2B"/>
    <w:rsid w:val="004A7E63"/>
    <w:rsid w:val="004B01AA"/>
    <w:rsid w:val="004B0890"/>
    <w:rsid w:val="004B1EE3"/>
    <w:rsid w:val="004B26EA"/>
    <w:rsid w:val="004B2AC1"/>
    <w:rsid w:val="004B3267"/>
    <w:rsid w:val="004B34B6"/>
    <w:rsid w:val="004B5905"/>
    <w:rsid w:val="004B5E5E"/>
    <w:rsid w:val="004B62BA"/>
    <w:rsid w:val="004C0357"/>
    <w:rsid w:val="004C0C5F"/>
    <w:rsid w:val="004C111B"/>
    <w:rsid w:val="004C22EE"/>
    <w:rsid w:val="004C49E4"/>
    <w:rsid w:val="004C4A06"/>
    <w:rsid w:val="004C4E0A"/>
    <w:rsid w:val="004C5E24"/>
    <w:rsid w:val="004C621F"/>
    <w:rsid w:val="004C633F"/>
    <w:rsid w:val="004C6495"/>
    <w:rsid w:val="004C64D4"/>
    <w:rsid w:val="004C6D7C"/>
    <w:rsid w:val="004C7BAB"/>
    <w:rsid w:val="004D1027"/>
    <w:rsid w:val="004D104C"/>
    <w:rsid w:val="004D1415"/>
    <w:rsid w:val="004D1C49"/>
    <w:rsid w:val="004D1CD1"/>
    <w:rsid w:val="004D2247"/>
    <w:rsid w:val="004D3A66"/>
    <w:rsid w:val="004D4598"/>
    <w:rsid w:val="004D54AA"/>
    <w:rsid w:val="004D5E9F"/>
    <w:rsid w:val="004D7791"/>
    <w:rsid w:val="004E03B1"/>
    <w:rsid w:val="004E08CC"/>
    <w:rsid w:val="004E0965"/>
    <w:rsid w:val="004E0E46"/>
    <w:rsid w:val="004E100A"/>
    <w:rsid w:val="004E164B"/>
    <w:rsid w:val="004E1D17"/>
    <w:rsid w:val="004E1E47"/>
    <w:rsid w:val="004E237C"/>
    <w:rsid w:val="004E26A0"/>
    <w:rsid w:val="004E4CF1"/>
    <w:rsid w:val="004E5049"/>
    <w:rsid w:val="004E5220"/>
    <w:rsid w:val="004E5727"/>
    <w:rsid w:val="004E594D"/>
    <w:rsid w:val="004E5B81"/>
    <w:rsid w:val="004E6236"/>
    <w:rsid w:val="004E6A84"/>
    <w:rsid w:val="004E72F8"/>
    <w:rsid w:val="004F0C9D"/>
    <w:rsid w:val="004F1027"/>
    <w:rsid w:val="004F1E4C"/>
    <w:rsid w:val="004F1EB8"/>
    <w:rsid w:val="004F282F"/>
    <w:rsid w:val="004F291D"/>
    <w:rsid w:val="004F29AD"/>
    <w:rsid w:val="004F364B"/>
    <w:rsid w:val="004F3B90"/>
    <w:rsid w:val="004F417F"/>
    <w:rsid w:val="004F51C1"/>
    <w:rsid w:val="004F64F4"/>
    <w:rsid w:val="004F73E2"/>
    <w:rsid w:val="00500D09"/>
    <w:rsid w:val="00500E31"/>
    <w:rsid w:val="005012B4"/>
    <w:rsid w:val="005021EB"/>
    <w:rsid w:val="005027CD"/>
    <w:rsid w:val="0050285E"/>
    <w:rsid w:val="005028E0"/>
    <w:rsid w:val="00502C88"/>
    <w:rsid w:val="00503D96"/>
    <w:rsid w:val="00504C24"/>
    <w:rsid w:val="00504D6D"/>
    <w:rsid w:val="00504EC0"/>
    <w:rsid w:val="0050576F"/>
    <w:rsid w:val="00505884"/>
    <w:rsid w:val="00506E62"/>
    <w:rsid w:val="0050722A"/>
    <w:rsid w:val="00507420"/>
    <w:rsid w:val="005074F4"/>
    <w:rsid w:val="0050765A"/>
    <w:rsid w:val="00507970"/>
    <w:rsid w:val="005108F0"/>
    <w:rsid w:val="00510A00"/>
    <w:rsid w:val="00511C7B"/>
    <w:rsid w:val="005130C1"/>
    <w:rsid w:val="0051471C"/>
    <w:rsid w:val="00514E94"/>
    <w:rsid w:val="00515A35"/>
    <w:rsid w:val="005161DE"/>
    <w:rsid w:val="00516C12"/>
    <w:rsid w:val="00516F2E"/>
    <w:rsid w:val="005178FA"/>
    <w:rsid w:val="005179BC"/>
    <w:rsid w:val="00517BB0"/>
    <w:rsid w:val="00517DE9"/>
    <w:rsid w:val="005202B2"/>
    <w:rsid w:val="00520812"/>
    <w:rsid w:val="0052284E"/>
    <w:rsid w:val="00522959"/>
    <w:rsid w:val="00522F92"/>
    <w:rsid w:val="0052392D"/>
    <w:rsid w:val="00523B26"/>
    <w:rsid w:val="00526256"/>
    <w:rsid w:val="00526613"/>
    <w:rsid w:val="00527B41"/>
    <w:rsid w:val="00527E65"/>
    <w:rsid w:val="0053005D"/>
    <w:rsid w:val="005312DF"/>
    <w:rsid w:val="00531E2C"/>
    <w:rsid w:val="00533631"/>
    <w:rsid w:val="00534945"/>
    <w:rsid w:val="00534D17"/>
    <w:rsid w:val="00535A64"/>
    <w:rsid w:val="00535D1C"/>
    <w:rsid w:val="00535D5B"/>
    <w:rsid w:val="00536248"/>
    <w:rsid w:val="005371B1"/>
    <w:rsid w:val="005371B9"/>
    <w:rsid w:val="00537A0A"/>
    <w:rsid w:val="00537BFF"/>
    <w:rsid w:val="00540895"/>
    <w:rsid w:val="00541569"/>
    <w:rsid w:val="00542BC9"/>
    <w:rsid w:val="00543723"/>
    <w:rsid w:val="005437F4"/>
    <w:rsid w:val="0054538F"/>
    <w:rsid w:val="00545500"/>
    <w:rsid w:val="005460A6"/>
    <w:rsid w:val="005471E2"/>
    <w:rsid w:val="005479EC"/>
    <w:rsid w:val="005506F7"/>
    <w:rsid w:val="00550927"/>
    <w:rsid w:val="00550CA9"/>
    <w:rsid w:val="005513DA"/>
    <w:rsid w:val="005514CC"/>
    <w:rsid w:val="0055240A"/>
    <w:rsid w:val="00552467"/>
    <w:rsid w:val="00552DD9"/>
    <w:rsid w:val="00552FB8"/>
    <w:rsid w:val="00553396"/>
    <w:rsid w:val="00553B92"/>
    <w:rsid w:val="00553C40"/>
    <w:rsid w:val="00554D5F"/>
    <w:rsid w:val="00554E16"/>
    <w:rsid w:val="005551B0"/>
    <w:rsid w:val="00555248"/>
    <w:rsid w:val="00555BA6"/>
    <w:rsid w:val="00555BAC"/>
    <w:rsid w:val="0055639E"/>
    <w:rsid w:val="0055706B"/>
    <w:rsid w:val="005575CA"/>
    <w:rsid w:val="00557B41"/>
    <w:rsid w:val="005603C3"/>
    <w:rsid w:val="005604E1"/>
    <w:rsid w:val="00560F36"/>
    <w:rsid w:val="00561704"/>
    <w:rsid w:val="00562BFF"/>
    <w:rsid w:val="00563017"/>
    <w:rsid w:val="00563DFF"/>
    <w:rsid w:val="005643C6"/>
    <w:rsid w:val="00565411"/>
    <w:rsid w:val="00565AD3"/>
    <w:rsid w:val="005660DC"/>
    <w:rsid w:val="00566DFB"/>
    <w:rsid w:val="00570CE5"/>
    <w:rsid w:val="0057223A"/>
    <w:rsid w:val="005724A5"/>
    <w:rsid w:val="005735F0"/>
    <w:rsid w:val="005739B1"/>
    <w:rsid w:val="005754DC"/>
    <w:rsid w:val="0057581A"/>
    <w:rsid w:val="00575F22"/>
    <w:rsid w:val="005775ED"/>
    <w:rsid w:val="00581087"/>
    <w:rsid w:val="00581C22"/>
    <w:rsid w:val="00581FA9"/>
    <w:rsid w:val="005822C6"/>
    <w:rsid w:val="005827C8"/>
    <w:rsid w:val="00582A5F"/>
    <w:rsid w:val="005833D4"/>
    <w:rsid w:val="005858D9"/>
    <w:rsid w:val="00586FE5"/>
    <w:rsid w:val="00587191"/>
    <w:rsid w:val="005871BA"/>
    <w:rsid w:val="005878B2"/>
    <w:rsid w:val="00590A94"/>
    <w:rsid w:val="00590B44"/>
    <w:rsid w:val="00592A8B"/>
    <w:rsid w:val="00593243"/>
    <w:rsid w:val="00594214"/>
    <w:rsid w:val="00594EEC"/>
    <w:rsid w:val="005966A3"/>
    <w:rsid w:val="005A0976"/>
    <w:rsid w:val="005A1BBE"/>
    <w:rsid w:val="005A204C"/>
    <w:rsid w:val="005A224C"/>
    <w:rsid w:val="005A25B8"/>
    <w:rsid w:val="005A2B50"/>
    <w:rsid w:val="005A2C6E"/>
    <w:rsid w:val="005A2D5C"/>
    <w:rsid w:val="005A3505"/>
    <w:rsid w:val="005A3758"/>
    <w:rsid w:val="005A3D91"/>
    <w:rsid w:val="005A4960"/>
    <w:rsid w:val="005A4A6B"/>
    <w:rsid w:val="005A4C9F"/>
    <w:rsid w:val="005A5EB8"/>
    <w:rsid w:val="005A71E0"/>
    <w:rsid w:val="005A7742"/>
    <w:rsid w:val="005A7B03"/>
    <w:rsid w:val="005B040B"/>
    <w:rsid w:val="005B21A2"/>
    <w:rsid w:val="005B302D"/>
    <w:rsid w:val="005B360D"/>
    <w:rsid w:val="005B41DE"/>
    <w:rsid w:val="005B4522"/>
    <w:rsid w:val="005B48B1"/>
    <w:rsid w:val="005B4C1B"/>
    <w:rsid w:val="005B5B60"/>
    <w:rsid w:val="005B7563"/>
    <w:rsid w:val="005C0625"/>
    <w:rsid w:val="005C1812"/>
    <w:rsid w:val="005C1BEC"/>
    <w:rsid w:val="005C2B6F"/>
    <w:rsid w:val="005C3339"/>
    <w:rsid w:val="005C3393"/>
    <w:rsid w:val="005C5DD2"/>
    <w:rsid w:val="005C6524"/>
    <w:rsid w:val="005C745E"/>
    <w:rsid w:val="005C7560"/>
    <w:rsid w:val="005D0520"/>
    <w:rsid w:val="005D1112"/>
    <w:rsid w:val="005D1596"/>
    <w:rsid w:val="005D231A"/>
    <w:rsid w:val="005D26DA"/>
    <w:rsid w:val="005D2E5B"/>
    <w:rsid w:val="005D3F68"/>
    <w:rsid w:val="005D46B2"/>
    <w:rsid w:val="005D504B"/>
    <w:rsid w:val="005D5197"/>
    <w:rsid w:val="005D73CD"/>
    <w:rsid w:val="005D7F96"/>
    <w:rsid w:val="005E0B73"/>
    <w:rsid w:val="005E0CE6"/>
    <w:rsid w:val="005E15F8"/>
    <w:rsid w:val="005E1B0D"/>
    <w:rsid w:val="005E2611"/>
    <w:rsid w:val="005E2B54"/>
    <w:rsid w:val="005E2F8C"/>
    <w:rsid w:val="005E327D"/>
    <w:rsid w:val="005E3F73"/>
    <w:rsid w:val="005E42F8"/>
    <w:rsid w:val="005E498E"/>
    <w:rsid w:val="005E4EE7"/>
    <w:rsid w:val="005E626D"/>
    <w:rsid w:val="005E7066"/>
    <w:rsid w:val="005E719B"/>
    <w:rsid w:val="005F0221"/>
    <w:rsid w:val="005F19AD"/>
    <w:rsid w:val="005F1B9D"/>
    <w:rsid w:val="005F25E3"/>
    <w:rsid w:val="005F438A"/>
    <w:rsid w:val="005F4A6C"/>
    <w:rsid w:val="005F4D0F"/>
    <w:rsid w:val="005F5760"/>
    <w:rsid w:val="005F5C4C"/>
    <w:rsid w:val="005F5D2F"/>
    <w:rsid w:val="005F5E4F"/>
    <w:rsid w:val="005F607A"/>
    <w:rsid w:val="005F65DD"/>
    <w:rsid w:val="005F6C80"/>
    <w:rsid w:val="005F6E8D"/>
    <w:rsid w:val="006015D5"/>
    <w:rsid w:val="006017E6"/>
    <w:rsid w:val="0060209F"/>
    <w:rsid w:val="00602516"/>
    <w:rsid w:val="00602650"/>
    <w:rsid w:val="00604A58"/>
    <w:rsid w:val="00604A9C"/>
    <w:rsid w:val="00604C47"/>
    <w:rsid w:val="0060535C"/>
    <w:rsid w:val="006057B4"/>
    <w:rsid w:val="00606AD1"/>
    <w:rsid w:val="00607A6B"/>
    <w:rsid w:val="00607E8D"/>
    <w:rsid w:val="00610892"/>
    <w:rsid w:val="00610BFF"/>
    <w:rsid w:val="006111EE"/>
    <w:rsid w:val="00611215"/>
    <w:rsid w:val="006117D0"/>
    <w:rsid w:val="00612A49"/>
    <w:rsid w:val="0061367C"/>
    <w:rsid w:val="006175C5"/>
    <w:rsid w:val="0061790D"/>
    <w:rsid w:val="00617F5C"/>
    <w:rsid w:val="00620323"/>
    <w:rsid w:val="006205D6"/>
    <w:rsid w:val="00621A2E"/>
    <w:rsid w:val="00621D2D"/>
    <w:rsid w:val="00622DFB"/>
    <w:rsid w:val="00623EB5"/>
    <w:rsid w:val="00624773"/>
    <w:rsid w:val="00624C30"/>
    <w:rsid w:val="00625644"/>
    <w:rsid w:val="0062621A"/>
    <w:rsid w:val="00626674"/>
    <w:rsid w:val="00626914"/>
    <w:rsid w:val="00627CAE"/>
    <w:rsid w:val="006301D1"/>
    <w:rsid w:val="00630323"/>
    <w:rsid w:val="00630B6C"/>
    <w:rsid w:val="00631BA1"/>
    <w:rsid w:val="006332BD"/>
    <w:rsid w:val="00633888"/>
    <w:rsid w:val="00633E69"/>
    <w:rsid w:val="0063409E"/>
    <w:rsid w:val="00635248"/>
    <w:rsid w:val="00635721"/>
    <w:rsid w:val="00635728"/>
    <w:rsid w:val="00635B53"/>
    <w:rsid w:val="006363A8"/>
    <w:rsid w:val="006365C2"/>
    <w:rsid w:val="00636FD8"/>
    <w:rsid w:val="00637B53"/>
    <w:rsid w:val="0064102E"/>
    <w:rsid w:val="006412C9"/>
    <w:rsid w:val="00643BEB"/>
    <w:rsid w:val="00643CCA"/>
    <w:rsid w:val="006448A5"/>
    <w:rsid w:val="006450C0"/>
    <w:rsid w:val="00645807"/>
    <w:rsid w:val="006458C1"/>
    <w:rsid w:val="00646BC4"/>
    <w:rsid w:val="006478C7"/>
    <w:rsid w:val="00647F6E"/>
    <w:rsid w:val="006503B2"/>
    <w:rsid w:val="006504B3"/>
    <w:rsid w:val="00650BDE"/>
    <w:rsid w:val="00650F45"/>
    <w:rsid w:val="00651D0A"/>
    <w:rsid w:val="00652493"/>
    <w:rsid w:val="00653352"/>
    <w:rsid w:val="006541A4"/>
    <w:rsid w:val="00654ACA"/>
    <w:rsid w:val="0065501B"/>
    <w:rsid w:val="00655DF5"/>
    <w:rsid w:val="006574A6"/>
    <w:rsid w:val="00657A9F"/>
    <w:rsid w:val="00661139"/>
    <w:rsid w:val="006627CF"/>
    <w:rsid w:val="0066475B"/>
    <w:rsid w:val="00666454"/>
    <w:rsid w:val="0066717C"/>
    <w:rsid w:val="00667951"/>
    <w:rsid w:val="00670B3D"/>
    <w:rsid w:val="00670D62"/>
    <w:rsid w:val="00671018"/>
    <w:rsid w:val="006729E7"/>
    <w:rsid w:val="00673195"/>
    <w:rsid w:val="00673CE4"/>
    <w:rsid w:val="00674D93"/>
    <w:rsid w:val="006768F3"/>
    <w:rsid w:val="00676E2B"/>
    <w:rsid w:val="00676F31"/>
    <w:rsid w:val="006806B3"/>
    <w:rsid w:val="006815B0"/>
    <w:rsid w:val="006818D8"/>
    <w:rsid w:val="006819B1"/>
    <w:rsid w:val="00681C1E"/>
    <w:rsid w:val="00684086"/>
    <w:rsid w:val="0068413F"/>
    <w:rsid w:val="00684431"/>
    <w:rsid w:val="00684AF8"/>
    <w:rsid w:val="00684F9F"/>
    <w:rsid w:val="0068629B"/>
    <w:rsid w:val="00686A4B"/>
    <w:rsid w:val="00686D34"/>
    <w:rsid w:val="0068704F"/>
    <w:rsid w:val="00687459"/>
    <w:rsid w:val="006914BF"/>
    <w:rsid w:val="00691DE0"/>
    <w:rsid w:val="006920CF"/>
    <w:rsid w:val="006944B4"/>
    <w:rsid w:val="006945E9"/>
    <w:rsid w:val="0069467D"/>
    <w:rsid w:val="00694861"/>
    <w:rsid w:val="006A01BB"/>
    <w:rsid w:val="006A1A97"/>
    <w:rsid w:val="006A1B1F"/>
    <w:rsid w:val="006A3205"/>
    <w:rsid w:val="006A456C"/>
    <w:rsid w:val="006A4A6B"/>
    <w:rsid w:val="006A6309"/>
    <w:rsid w:val="006A6A70"/>
    <w:rsid w:val="006A6B5E"/>
    <w:rsid w:val="006A798F"/>
    <w:rsid w:val="006A7C98"/>
    <w:rsid w:val="006B012B"/>
    <w:rsid w:val="006B1955"/>
    <w:rsid w:val="006B25EB"/>
    <w:rsid w:val="006B281A"/>
    <w:rsid w:val="006B353E"/>
    <w:rsid w:val="006B4856"/>
    <w:rsid w:val="006B535A"/>
    <w:rsid w:val="006B537C"/>
    <w:rsid w:val="006B548B"/>
    <w:rsid w:val="006B559C"/>
    <w:rsid w:val="006B55DE"/>
    <w:rsid w:val="006B73B2"/>
    <w:rsid w:val="006B7756"/>
    <w:rsid w:val="006C01E7"/>
    <w:rsid w:val="006C0CDD"/>
    <w:rsid w:val="006C2542"/>
    <w:rsid w:val="006C3955"/>
    <w:rsid w:val="006C455F"/>
    <w:rsid w:val="006C58EA"/>
    <w:rsid w:val="006C78F9"/>
    <w:rsid w:val="006D06FC"/>
    <w:rsid w:val="006D0DA6"/>
    <w:rsid w:val="006D2295"/>
    <w:rsid w:val="006D32F7"/>
    <w:rsid w:val="006D66D0"/>
    <w:rsid w:val="006D6C9F"/>
    <w:rsid w:val="006E0BE7"/>
    <w:rsid w:val="006E1231"/>
    <w:rsid w:val="006E16B8"/>
    <w:rsid w:val="006E2EA8"/>
    <w:rsid w:val="006E3223"/>
    <w:rsid w:val="006E325A"/>
    <w:rsid w:val="006E4EBC"/>
    <w:rsid w:val="006E7127"/>
    <w:rsid w:val="006E7228"/>
    <w:rsid w:val="006E7918"/>
    <w:rsid w:val="006E7F89"/>
    <w:rsid w:val="006F03B2"/>
    <w:rsid w:val="006F0BB7"/>
    <w:rsid w:val="006F1060"/>
    <w:rsid w:val="006F1AC9"/>
    <w:rsid w:val="006F1DE9"/>
    <w:rsid w:val="006F1E0B"/>
    <w:rsid w:val="006F2A21"/>
    <w:rsid w:val="006F2E83"/>
    <w:rsid w:val="006F3E1E"/>
    <w:rsid w:val="006F453C"/>
    <w:rsid w:val="006F592A"/>
    <w:rsid w:val="006F5DBD"/>
    <w:rsid w:val="006F61B9"/>
    <w:rsid w:val="006F6419"/>
    <w:rsid w:val="006F68F8"/>
    <w:rsid w:val="006F793B"/>
    <w:rsid w:val="007008A6"/>
    <w:rsid w:val="00700DBC"/>
    <w:rsid w:val="007011C9"/>
    <w:rsid w:val="00702A4C"/>
    <w:rsid w:val="00703FF3"/>
    <w:rsid w:val="007041B9"/>
    <w:rsid w:val="00704445"/>
    <w:rsid w:val="00704F22"/>
    <w:rsid w:val="00705EAE"/>
    <w:rsid w:val="007064C2"/>
    <w:rsid w:val="0070659E"/>
    <w:rsid w:val="00707290"/>
    <w:rsid w:val="00707AF3"/>
    <w:rsid w:val="00707E27"/>
    <w:rsid w:val="007105ED"/>
    <w:rsid w:val="0071161C"/>
    <w:rsid w:val="007124B7"/>
    <w:rsid w:val="00712503"/>
    <w:rsid w:val="00712A4B"/>
    <w:rsid w:val="00713639"/>
    <w:rsid w:val="0071486E"/>
    <w:rsid w:val="00714E37"/>
    <w:rsid w:val="00715A81"/>
    <w:rsid w:val="00716014"/>
    <w:rsid w:val="0071648A"/>
    <w:rsid w:val="00716C2F"/>
    <w:rsid w:val="007218FF"/>
    <w:rsid w:val="00722758"/>
    <w:rsid w:val="0072305D"/>
    <w:rsid w:val="007236A4"/>
    <w:rsid w:val="00723882"/>
    <w:rsid w:val="00725D8E"/>
    <w:rsid w:val="00725EC2"/>
    <w:rsid w:val="00726C21"/>
    <w:rsid w:val="007271A3"/>
    <w:rsid w:val="00727A14"/>
    <w:rsid w:val="00730281"/>
    <w:rsid w:val="00730BF9"/>
    <w:rsid w:val="00731133"/>
    <w:rsid w:val="007313CD"/>
    <w:rsid w:val="00731454"/>
    <w:rsid w:val="0073155E"/>
    <w:rsid w:val="0073200F"/>
    <w:rsid w:val="00732847"/>
    <w:rsid w:val="00732F21"/>
    <w:rsid w:val="00733BF3"/>
    <w:rsid w:val="00734106"/>
    <w:rsid w:val="00734716"/>
    <w:rsid w:val="0073600F"/>
    <w:rsid w:val="00736852"/>
    <w:rsid w:val="007404B3"/>
    <w:rsid w:val="00740DA7"/>
    <w:rsid w:val="007410B5"/>
    <w:rsid w:val="00741DE1"/>
    <w:rsid w:val="007421ED"/>
    <w:rsid w:val="00742708"/>
    <w:rsid w:val="00742AD0"/>
    <w:rsid w:val="00744771"/>
    <w:rsid w:val="00745C43"/>
    <w:rsid w:val="0074617A"/>
    <w:rsid w:val="007461AA"/>
    <w:rsid w:val="007462DD"/>
    <w:rsid w:val="00746BF1"/>
    <w:rsid w:val="0075191C"/>
    <w:rsid w:val="007524A2"/>
    <w:rsid w:val="00754F4F"/>
    <w:rsid w:val="00755134"/>
    <w:rsid w:val="007574C9"/>
    <w:rsid w:val="00757EA9"/>
    <w:rsid w:val="00757FF3"/>
    <w:rsid w:val="00760172"/>
    <w:rsid w:val="00760D67"/>
    <w:rsid w:val="00761615"/>
    <w:rsid w:val="007619CB"/>
    <w:rsid w:val="00762B93"/>
    <w:rsid w:val="00764BA2"/>
    <w:rsid w:val="00766185"/>
    <w:rsid w:val="00766291"/>
    <w:rsid w:val="00766C2E"/>
    <w:rsid w:val="00766DF1"/>
    <w:rsid w:val="00766E9A"/>
    <w:rsid w:val="007704CF"/>
    <w:rsid w:val="00770D2F"/>
    <w:rsid w:val="007712CA"/>
    <w:rsid w:val="0077152B"/>
    <w:rsid w:val="00771AA9"/>
    <w:rsid w:val="00771C68"/>
    <w:rsid w:val="0077313E"/>
    <w:rsid w:val="00773D96"/>
    <w:rsid w:val="00773E5B"/>
    <w:rsid w:val="00774E35"/>
    <w:rsid w:val="00776CD7"/>
    <w:rsid w:val="00776CE7"/>
    <w:rsid w:val="0077708C"/>
    <w:rsid w:val="007773C5"/>
    <w:rsid w:val="007779ED"/>
    <w:rsid w:val="00780B85"/>
    <w:rsid w:val="00781390"/>
    <w:rsid w:val="00781C49"/>
    <w:rsid w:val="00781DA8"/>
    <w:rsid w:val="007827DE"/>
    <w:rsid w:val="00782AF8"/>
    <w:rsid w:val="00784310"/>
    <w:rsid w:val="007859E6"/>
    <w:rsid w:val="00785A81"/>
    <w:rsid w:val="00785D1B"/>
    <w:rsid w:val="00786AF9"/>
    <w:rsid w:val="0078752F"/>
    <w:rsid w:val="0078776F"/>
    <w:rsid w:val="00787D25"/>
    <w:rsid w:val="007906B6"/>
    <w:rsid w:val="0079096C"/>
    <w:rsid w:val="00791E4B"/>
    <w:rsid w:val="007924FA"/>
    <w:rsid w:val="00793E2D"/>
    <w:rsid w:val="00795408"/>
    <w:rsid w:val="00795D32"/>
    <w:rsid w:val="00795F71"/>
    <w:rsid w:val="00796C60"/>
    <w:rsid w:val="00796E5A"/>
    <w:rsid w:val="00796EEB"/>
    <w:rsid w:val="0079712B"/>
    <w:rsid w:val="0079728D"/>
    <w:rsid w:val="007977E4"/>
    <w:rsid w:val="007978D2"/>
    <w:rsid w:val="007A0AFE"/>
    <w:rsid w:val="007A0C61"/>
    <w:rsid w:val="007A0C98"/>
    <w:rsid w:val="007A15FD"/>
    <w:rsid w:val="007A292C"/>
    <w:rsid w:val="007A4DFE"/>
    <w:rsid w:val="007A62FF"/>
    <w:rsid w:val="007A66C1"/>
    <w:rsid w:val="007A7575"/>
    <w:rsid w:val="007A7DEC"/>
    <w:rsid w:val="007B00C1"/>
    <w:rsid w:val="007B0B67"/>
    <w:rsid w:val="007B461A"/>
    <w:rsid w:val="007B4820"/>
    <w:rsid w:val="007B679D"/>
    <w:rsid w:val="007B7230"/>
    <w:rsid w:val="007C0698"/>
    <w:rsid w:val="007C0803"/>
    <w:rsid w:val="007C0CD4"/>
    <w:rsid w:val="007C128E"/>
    <w:rsid w:val="007C12D4"/>
    <w:rsid w:val="007C1CE5"/>
    <w:rsid w:val="007C1DF2"/>
    <w:rsid w:val="007C39D7"/>
    <w:rsid w:val="007C41A6"/>
    <w:rsid w:val="007C494A"/>
    <w:rsid w:val="007C4A6E"/>
    <w:rsid w:val="007C70DC"/>
    <w:rsid w:val="007C7EC3"/>
    <w:rsid w:val="007D0AB3"/>
    <w:rsid w:val="007D0E3B"/>
    <w:rsid w:val="007D13A4"/>
    <w:rsid w:val="007D213F"/>
    <w:rsid w:val="007D2F8C"/>
    <w:rsid w:val="007D3D21"/>
    <w:rsid w:val="007D4006"/>
    <w:rsid w:val="007D686C"/>
    <w:rsid w:val="007D72C3"/>
    <w:rsid w:val="007D7B63"/>
    <w:rsid w:val="007D7C21"/>
    <w:rsid w:val="007E09AD"/>
    <w:rsid w:val="007E1C21"/>
    <w:rsid w:val="007E1FEB"/>
    <w:rsid w:val="007E2C7D"/>
    <w:rsid w:val="007E3069"/>
    <w:rsid w:val="007E47BF"/>
    <w:rsid w:val="007E6105"/>
    <w:rsid w:val="007E62E7"/>
    <w:rsid w:val="007E7449"/>
    <w:rsid w:val="007E7D8E"/>
    <w:rsid w:val="007F088A"/>
    <w:rsid w:val="007F0F27"/>
    <w:rsid w:val="007F31C5"/>
    <w:rsid w:val="007F4500"/>
    <w:rsid w:val="007F4EF0"/>
    <w:rsid w:val="007F55DA"/>
    <w:rsid w:val="007F57F9"/>
    <w:rsid w:val="007F5D17"/>
    <w:rsid w:val="007F5FC2"/>
    <w:rsid w:val="007F6083"/>
    <w:rsid w:val="007F6E6B"/>
    <w:rsid w:val="008015ED"/>
    <w:rsid w:val="008018A1"/>
    <w:rsid w:val="00802458"/>
    <w:rsid w:val="00802BD1"/>
    <w:rsid w:val="008037A0"/>
    <w:rsid w:val="008040E7"/>
    <w:rsid w:val="00804B4E"/>
    <w:rsid w:val="00804D2C"/>
    <w:rsid w:val="00805A83"/>
    <w:rsid w:val="00805BF2"/>
    <w:rsid w:val="00807CD6"/>
    <w:rsid w:val="00812C04"/>
    <w:rsid w:val="00812EE8"/>
    <w:rsid w:val="0081369A"/>
    <w:rsid w:val="00813CFE"/>
    <w:rsid w:val="00813D79"/>
    <w:rsid w:val="00813F2D"/>
    <w:rsid w:val="00815762"/>
    <w:rsid w:val="00817EF8"/>
    <w:rsid w:val="00817F8B"/>
    <w:rsid w:val="008205EE"/>
    <w:rsid w:val="0082071D"/>
    <w:rsid w:val="008209D5"/>
    <w:rsid w:val="00820B55"/>
    <w:rsid w:val="00820BBD"/>
    <w:rsid w:val="008210B1"/>
    <w:rsid w:val="0082194E"/>
    <w:rsid w:val="00822B13"/>
    <w:rsid w:val="00822D0C"/>
    <w:rsid w:val="00822ED2"/>
    <w:rsid w:val="00823D7F"/>
    <w:rsid w:val="00825015"/>
    <w:rsid w:val="00825073"/>
    <w:rsid w:val="008259F7"/>
    <w:rsid w:val="00825D4D"/>
    <w:rsid w:val="00825E07"/>
    <w:rsid w:val="00826304"/>
    <w:rsid w:val="008263C4"/>
    <w:rsid w:val="00827498"/>
    <w:rsid w:val="00827BE9"/>
    <w:rsid w:val="00830736"/>
    <w:rsid w:val="008328CA"/>
    <w:rsid w:val="00833811"/>
    <w:rsid w:val="00833D54"/>
    <w:rsid w:val="00834008"/>
    <w:rsid w:val="00834061"/>
    <w:rsid w:val="00834071"/>
    <w:rsid w:val="00834616"/>
    <w:rsid w:val="00834AD3"/>
    <w:rsid w:val="00835824"/>
    <w:rsid w:val="0083734E"/>
    <w:rsid w:val="00841A67"/>
    <w:rsid w:val="008425EA"/>
    <w:rsid w:val="00843969"/>
    <w:rsid w:val="00844CC2"/>
    <w:rsid w:val="00844F54"/>
    <w:rsid w:val="0084610F"/>
    <w:rsid w:val="008466A5"/>
    <w:rsid w:val="008514C4"/>
    <w:rsid w:val="00852A5F"/>
    <w:rsid w:val="00853165"/>
    <w:rsid w:val="00853315"/>
    <w:rsid w:val="00853D74"/>
    <w:rsid w:val="00854F10"/>
    <w:rsid w:val="0085586A"/>
    <w:rsid w:val="00856783"/>
    <w:rsid w:val="00856C18"/>
    <w:rsid w:val="00857B21"/>
    <w:rsid w:val="00860E63"/>
    <w:rsid w:val="00861F17"/>
    <w:rsid w:val="00862890"/>
    <w:rsid w:val="00864CDD"/>
    <w:rsid w:val="00865FAA"/>
    <w:rsid w:val="00870765"/>
    <w:rsid w:val="0087100A"/>
    <w:rsid w:val="0087113A"/>
    <w:rsid w:val="0087347D"/>
    <w:rsid w:val="00873531"/>
    <w:rsid w:val="00874278"/>
    <w:rsid w:val="0087445A"/>
    <w:rsid w:val="0087451D"/>
    <w:rsid w:val="008763C4"/>
    <w:rsid w:val="008768B8"/>
    <w:rsid w:val="00876AAD"/>
    <w:rsid w:val="008771C1"/>
    <w:rsid w:val="00877314"/>
    <w:rsid w:val="00877559"/>
    <w:rsid w:val="008775D3"/>
    <w:rsid w:val="00880E4B"/>
    <w:rsid w:val="008812C8"/>
    <w:rsid w:val="0088264E"/>
    <w:rsid w:val="0088356B"/>
    <w:rsid w:val="00883638"/>
    <w:rsid w:val="0088390E"/>
    <w:rsid w:val="00884177"/>
    <w:rsid w:val="00884C66"/>
    <w:rsid w:val="00886302"/>
    <w:rsid w:val="0088657D"/>
    <w:rsid w:val="00886B4A"/>
    <w:rsid w:val="00887659"/>
    <w:rsid w:val="0088788C"/>
    <w:rsid w:val="00887A27"/>
    <w:rsid w:val="00890F94"/>
    <w:rsid w:val="00891662"/>
    <w:rsid w:val="00893192"/>
    <w:rsid w:val="00894C10"/>
    <w:rsid w:val="00894DD1"/>
    <w:rsid w:val="00895331"/>
    <w:rsid w:val="008954E0"/>
    <w:rsid w:val="00895CCE"/>
    <w:rsid w:val="00895E9D"/>
    <w:rsid w:val="0089673C"/>
    <w:rsid w:val="00896871"/>
    <w:rsid w:val="00896F14"/>
    <w:rsid w:val="008970D2"/>
    <w:rsid w:val="008A06DB"/>
    <w:rsid w:val="008A0DB6"/>
    <w:rsid w:val="008A1827"/>
    <w:rsid w:val="008A1E1C"/>
    <w:rsid w:val="008A281F"/>
    <w:rsid w:val="008A2913"/>
    <w:rsid w:val="008A3232"/>
    <w:rsid w:val="008A35A6"/>
    <w:rsid w:val="008A38C9"/>
    <w:rsid w:val="008A4BF2"/>
    <w:rsid w:val="008A5F7A"/>
    <w:rsid w:val="008A7205"/>
    <w:rsid w:val="008B029D"/>
    <w:rsid w:val="008B24BB"/>
    <w:rsid w:val="008B28F1"/>
    <w:rsid w:val="008B479A"/>
    <w:rsid w:val="008B4CD9"/>
    <w:rsid w:val="008B5BDA"/>
    <w:rsid w:val="008B6036"/>
    <w:rsid w:val="008B69BC"/>
    <w:rsid w:val="008B726E"/>
    <w:rsid w:val="008B753E"/>
    <w:rsid w:val="008B77AF"/>
    <w:rsid w:val="008C10A9"/>
    <w:rsid w:val="008C1B4B"/>
    <w:rsid w:val="008C1FDA"/>
    <w:rsid w:val="008C2023"/>
    <w:rsid w:val="008C289D"/>
    <w:rsid w:val="008C4125"/>
    <w:rsid w:val="008C45EB"/>
    <w:rsid w:val="008C5A17"/>
    <w:rsid w:val="008C61FA"/>
    <w:rsid w:val="008C6A8E"/>
    <w:rsid w:val="008C6B54"/>
    <w:rsid w:val="008C74FC"/>
    <w:rsid w:val="008C75DD"/>
    <w:rsid w:val="008C7B4D"/>
    <w:rsid w:val="008C7EAA"/>
    <w:rsid w:val="008D0E29"/>
    <w:rsid w:val="008D19F2"/>
    <w:rsid w:val="008D1F6C"/>
    <w:rsid w:val="008D2AFC"/>
    <w:rsid w:val="008D3E3B"/>
    <w:rsid w:val="008D426E"/>
    <w:rsid w:val="008D61BE"/>
    <w:rsid w:val="008D6A5A"/>
    <w:rsid w:val="008D6AFA"/>
    <w:rsid w:val="008D7AC5"/>
    <w:rsid w:val="008D7E8B"/>
    <w:rsid w:val="008E10C1"/>
    <w:rsid w:val="008E112B"/>
    <w:rsid w:val="008E1F78"/>
    <w:rsid w:val="008E2056"/>
    <w:rsid w:val="008E232A"/>
    <w:rsid w:val="008E26A5"/>
    <w:rsid w:val="008E2BDB"/>
    <w:rsid w:val="008E3246"/>
    <w:rsid w:val="008E337B"/>
    <w:rsid w:val="008E39BF"/>
    <w:rsid w:val="008E4545"/>
    <w:rsid w:val="008E4C55"/>
    <w:rsid w:val="008E5236"/>
    <w:rsid w:val="008E5931"/>
    <w:rsid w:val="008E6889"/>
    <w:rsid w:val="008E6C6B"/>
    <w:rsid w:val="008E6F81"/>
    <w:rsid w:val="008E70A9"/>
    <w:rsid w:val="008E7DB6"/>
    <w:rsid w:val="008F0251"/>
    <w:rsid w:val="008F0CA1"/>
    <w:rsid w:val="008F151D"/>
    <w:rsid w:val="008F1E0F"/>
    <w:rsid w:val="008F252A"/>
    <w:rsid w:val="008F2E67"/>
    <w:rsid w:val="008F37C2"/>
    <w:rsid w:val="008F3AE6"/>
    <w:rsid w:val="008F4E77"/>
    <w:rsid w:val="008F506C"/>
    <w:rsid w:val="008F55EE"/>
    <w:rsid w:val="008F5B5A"/>
    <w:rsid w:val="008F6A44"/>
    <w:rsid w:val="008F7213"/>
    <w:rsid w:val="00901915"/>
    <w:rsid w:val="00901DBC"/>
    <w:rsid w:val="00902935"/>
    <w:rsid w:val="009038E1"/>
    <w:rsid w:val="00903B8D"/>
    <w:rsid w:val="00903F24"/>
    <w:rsid w:val="00907A20"/>
    <w:rsid w:val="00907D64"/>
    <w:rsid w:val="009122DF"/>
    <w:rsid w:val="0091236F"/>
    <w:rsid w:val="009136F1"/>
    <w:rsid w:val="0091382C"/>
    <w:rsid w:val="009143E5"/>
    <w:rsid w:val="00914F82"/>
    <w:rsid w:val="00915914"/>
    <w:rsid w:val="00916C76"/>
    <w:rsid w:val="00920EB4"/>
    <w:rsid w:val="00921176"/>
    <w:rsid w:val="0092167A"/>
    <w:rsid w:val="009225D6"/>
    <w:rsid w:val="009229EF"/>
    <w:rsid w:val="00922D1D"/>
    <w:rsid w:val="00923A7C"/>
    <w:rsid w:val="00923C62"/>
    <w:rsid w:val="00924499"/>
    <w:rsid w:val="00924869"/>
    <w:rsid w:val="00925893"/>
    <w:rsid w:val="009261BB"/>
    <w:rsid w:val="00926EBB"/>
    <w:rsid w:val="00926F7F"/>
    <w:rsid w:val="00930DAA"/>
    <w:rsid w:val="00930F69"/>
    <w:rsid w:val="00931735"/>
    <w:rsid w:val="00932BDE"/>
    <w:rsid w:val="00932ECD"/>
    <w:rsid w:val="0093369E"/>
    <w:rsid w:val="0093377F"/>
    <w:rsid w:val="00933AF6"/>
    <w:rsid w:val="00934FCC"/>
    <w:rsid w:val="009356F5"/>
    <w:rsid w:val="00936144"/>
    <w:rsid w:val="00936D27"/>
    <w:rsid w:val="009377C3"/>
    <w:rsid w:val="00937A53"/>
    <w:rsid w:val="00937AE4"/>
    <w:rsid w:val="009403D3"/>
    <w:rsid w:val="009415C1"/>
    <w:rsid w:val="00941EC7"/>
    <w:rsid w:val="00942782"/>
    <w:rsid w:val="009429D2"/>
    <w:rsid w:val="009439B6"/>
    <w:rsid w:val="009443C4"/>
    <w:rsid w:val="009444A0"/>
    <w:rsid w:val="009462A9"/>
    <w:rsid w:val="009471EE"/>
    <w:rsid w:val="00950405"/>
    <w:rsid w:val="009505EE"/>
    <w:rsid w:val="00951369"/>
    <w:rsid w:val="00951D01"/>
    <w:rsid w:val="00952D68"/>
    <w:rsid w:val="009543F3"/>
    <w:rsid w:val="00954DC8"/>
    <w:rsid w:val="0095536A"/>
    <w:rsid w:val="00955694"/>
    <w:rsid w:val="009557A2"/>
    <w:rsid w:val="00955A76"/>
    <w:rsid w:val="00955DDA"/>
    <w:rsid w:val="00956650"/>
    <w:rsid w:val="0095751A"/>
    <w:rsid w:val="009578FE"/>
    <w:rsid w:val="00957D73"/>
    <w:rsid w:val="00961543"/>
    <w:rsid w:val="009638D2"/>
    <w:rsid w:val="00964E20"/>
    <w:rsid w:val="009650BB"/>
    <w:rsid w:val="00966969"/>
    <w:rsid w:val="00966BA5"/>
    <w:rsid w:val="00966D1E"/>
    <w:rsid w:val="009702B0"/>
    <w:rsid w:val="00970B09"/>
    <w:rsid w:val="009713B7"/>
    <w:rsid w:val="009715BA"/>
    <w:rsid w:val="00971905"/>
    <w:rsid w:val="00971BB6"/>
    <w:rsid w:val="00972456"/>
    <w:rsid w:val="009730C2"/>
    <w:rsid w:val="0097368F"/>
    <w:rsid w:val="0097441D"/>
    <w:rsid w:val="0097497C"/>
    <w:rsid w:val="009751C2"/>
    <w:rsid w:val="0097611D"/>
    <w:rsid w:val="00976E5C"/>
    <w:rsid w:val="00977102"/>
    <w:rsid w:val="0097767D"/>
    <w:rsid w:val="00980030"/>
    <w:rsid w:val="00980544"/>
    <w:rsid w:val="00980A65"/>
    <w:rsid w:val="00980C94"/>
    <w:rsid w:val="00980E35"/>
    <w:rsid w:val="00981F4D"/>
    <w:rsid w:val="00982064"/>
    <w:rsid w:val="00982665"/>
    <w:rsid w:val="0098477D"/>
    <w:rsid w:val="00984E85"/>
    <w:rsid w:val="00985239"/>
    <w:rsid w:val="00986476"/>
    <w:rsid w:val="009865DD"/>
    <w:rsid w:val="00987986"/>
    <w:rsid w:val="0099094A"/>
    <w:rsid w:val="00990C69"/>
    <w:rsid w:val="00990FE9"/>
    <w:rsid w:val="00993731"/>
    <w:rsid w:val="00993F99"/>
    <w:rsid w:val="009959F3"/>
    <w:rsid w:val="00995B5B"/>
    <w:rsid w:val="0099795E"/>
    <w:rsid w:val="009A06EC"/>
    <w:rsid w:val="009A0E10"/>
    <w:rsid w:val="009A12CD"/>
    <w:rsid w:val="009A2FEB"/>
    <w:rsid w:val="009A3308"/>
    <w:rsid w:val="009A3EDA"/>
    <w:rsid w:val="009A7A1D"/>
    <w:rsid w:val="009B0029"/>
    <w:rsid w:val="009B28DF"/>
    <w:rsid w:val="009B321D"/>
    <w:rsid w:val="009B4377"/>
    <w:rsid w:val="009B5A73"/>
    <w:rsid w:val="009B6D23"/>
    <w:rsid w:val="009B6DDB"/>
    <w:rsid w:val="009B71E0"/>
    <w:rsid w:val="009B7205"/>
    <w:rsid w:val="009B769E"/>
    <w:rsid w:val="009C0433"/>
    <w:rsid w:val="009C2452"/>
    <w:rsid w:val="009C2545"/>
    <w:rsid w:val="009C26B9"/>
    <w:rsid w:val="009C2EF4"/>
    <w:rsid w:val="009C329D"/>
    <w:rsid w:val="009C3A20"/>
    <w:rsid w:val="009C4C23"/>
    <w:rsid w:val="009C4CE0"/>
    <w:rsid w:val="009C5011"/>
    <w:rsid w:val="009C562D"/>
    <w:rsid w:val="009C579D"/>
    <w:rsid w:val="009C5914"/>
    <w:rsid w:val="009C6AD5"/>
    <w:rsid w:val="009C6C1B"/>
    <w:rsid w:val="009C6C67"/>
    <w:rsid w:val="009C6E26"/>
    <w:rsid w:val="009C7FF9"/>
    <w:rsid w:val="009D084F"/>
    <w:rsid w:val="009D086F"/>
    <w:rsid w:val="009D0B1C"/>
    <w:rsid w:val="009D0D94"/>
    <w:rsid w:val="009D18B8"/>
    <w:rsid w:val="009D1D8D"/>
    <w:rsid w:val="009D1F6D"/>
    <w:rsid w:val="009D278F"/>
    <w:rsid w:val="009D322A"/>
    <w:rsid w:val="009D4B59"/>
    <w:rsid w:val="009D7232"/>
    <w:rsid w:val="009D73A4"/>
    <w:rsid w:val="009D75A8"/>
    <w:rsid w:val="009D7940"/>
    <w:rsid w:val="009E0461"/>
    <w:rsid w:val="009E05F6"/>
    <w:rsid w:val="009E1BAB"/>
    <w:rsid w:val="009E2999"/>
    <w:rsid w:val="009E4769"/>
    <w:rsid w:val="009E4F78"/>
    <w:rsid w:val="009E53B4"/>
    <w:rsid w:val="009E5628"/>
    <w:rsid w:val="009E62B6"/>
    <w:rsid w:val="009E690E"/>
    <w:rsid w:val="009E6B82"/>
    <w:rsid w:val="009E6DEA"/>
    <w:rsid w:val="009F0E0D"/>
    <w:rsid w:val="009F157A"/>
    <w:rsid w:val="009F15EB"/>
    <w:rsid w:val="009F1FEC"/>
    <w:rsid w:val="009F306D"/>
    <w:rsid w:val="009F340A"/>
    <w:rsid w:val="009F3E32"/>
    <w:rsid w:val="009F5ED9"/>
    <w:rsid w:val="009F6163"/>
    <w:rsid w:val="009F6BA0"/>
    <w:rsid w:val="009F7213"/>
    <w:rsid w:val="00A0234D"/>
    <w:rsid w:val="00A02372"/>
    <w:rsid w:val="00A02600"/>
    <w:rsid w:val="00A02A12"/>
    <w:rsid w:val="00A02C75"/>
    <w:rsid w:val="00A033C9"/>
    <w:rsid w:val="00A050D3"/>
    <w:rsid w:val="00A05478"/>
    <w:rsid w:val="00A05BAB"/>
    <w:rsid w:val="00A06FDE"/>
    <w:rsid w:val="00A07D0F"/>
    <w:rsid w:val="00A1052B"/>
    <w:rsid w:val="00A10B0F"/>
    <w:rsid w:val="00A10B45"/>
    <w:rsid w:val="00A10E4A"/>
    <w:rsid w:val="00A11895"/>
    <w:rsid w:val="00A11AF4"/>
    <w:rsid w:val="00A11DB5"/>
    <w:rsid w:val="00A11E23"/>
    <w:rsid w:val="00A1250F"/>
    <w:rsid w:val="00A149FE"/>
    <w:rsid w:val="00A156C8"/>
    <w:rsid w:val="00A15C24"/>
    <w:rsid w:val="00A160E5"/>
    <w:rsid w:val="00A1705F"/>
    <w:rsid w:val="00A1774F"/>
    <w:rsid w:val="00A20CDE"/>
    <w:rsid w:val="00A21E34"/>
    <w:rsid w:val="00A220E5"/>
    <w:rsid w:val="00A22230"/>
    <w:rsid w:val="00A22729"/>
    <w:rsid w:val="00A22E63"/>
    <w:rsid w:val="00A23695"/>
    <w:rsid w:val="00A23973"/>
    <w:rsid w:val="00A2398C"/>
    <w:rsid w:val="00A248D5"/>
    <w:rsid w:val="00A24B3F"/>
    <w:rsid w:val="00A24D31"/>
    <w:rsid w:val="00A24E22"/>
    <w:rsid w:val="00A26E15"/>
    <w:rsid w:val="00A27A73"/>
    <w:rsid w:val="00A3055F"/>
    <w:rsid w:val="00A30DED"/>
    <w:rsid w:val="00A3139C"/>
    <w:rsid w:val="00A3147F"/>
    <w:rsid w:val="00A3165D"/>
    <w:rsid w:val="00A31E63"/>
    <w:rsid w:val="00A32B77"/>
    <w:rsid w:val="00A32C94"/>
    <w:rsid w:val="00A32D2D"/>
    <w:rsid w:val="00A33B5B"/>
    <w:rsid w:val="00A345A3"/>
    <w:rsid w:val="00A34C9D"/>
    <w:rsid w:val="00A35263"/>
    <w:rsid w:val="00A353B1"/>
    <w:rsid w:val="00A400A2"/>
    <w:rsid w:val="00A40611"/>
    <w:rsid w:val="00A40D1C"/>
    <w:rsid w:val="00A413EE"/>
    <w:rsid w:val="00A41BBF"/>
    <w:rsid w:val="00A420F9"/>
    <w:rsid w:val="00A42F84"/>
    <w:rsid w:val="00A431C9"/>
    <w:rsid w:val="00A44252"/>
    <w:rsid w:val="00A444DE"/>
    <w:rsid w:val="00A44705"/>
    <w:rsid w:val="00A44D6F"/>
    <w:rsid w:val="00A45412"/>
    <w:rsid w:val="00A45423"/>
    <w:rsid w:val="00A47789"/>
    <w:rsid w:val="00A50095"/>
    <w:rsid w:val="00A50A65"/>
    <w:rsid w:val="00A51148"/>
    <w:rsid w:val="00A51B08"/>
    <w:rsid w:val="00A51B9F"/>
    <w:rsid w:val="00A52B18"/>
    <w:rsid w:val="00A53CA3"/>
    <w:rsid w:val="00A54020"/>
    <w:rsid w:val="00A542E9"/>
    <w:rsid w:val="00A546C6"/>
    <w:rsid w:val="00A54FA7"/>
    <w:rsid w:val="00A55DE3"/>
    <w:rsid w:val="00A5731C"/>
    <w:rsid w:val="00A57921"/>
    <w:rsid w:val="00A57D3D"/>
    <w:rsid w:val="00A6074A"/>
    <w:rsid w:val="00A62860"/>
    <w:rsid w:val="00A62C9A"/>
    <w:rsid w:val="00A63235"/>
    <w:rsid w:val="00A63300"/>
    <w:rsid w:val="00A633B0"/>
    <w:rsid w:val="00A63629"/>
    <w:rsid w:val="00A65A44"/>
    <w:rsid w:val="00A65EDC"/>
    <w:rsid w:val="00A6630C"/>
    <w:rsid w:val="00A6677E"/>
    <w:rsid w:val="00A671B8"/>
    <w:rsid w:val="00A70526"/>
    <w:rsid w:val="00A70E28"/>
    <w:rsid w:val="00A71526"/>
    <w:rsid w:val="00A72F8A"/>
    <w:rsid w:val="00A73A86"/>
    <w:rsid w:val="00A73E8C"/>
    <w:rsid w:val="00A753C7"/>
    <w:rsid w:val="00A75E6D"/>
    <w:rsid w:val="00A76544"/>
    <w:rsid w:val="00A76BD2"/>
    <w:rsid w:val="00A77C31"/>
    <w:rsid w:val="00A8171B"/>
    <w:rsid w:val="00A8193E"/>
    <w:rsid w:val="00A81DBD"/>
    <w:rsid w:val="00A83002"/>
    <w:rsid w:val="00A83C18"/>
    <w:rsid w:val="00A83CC2"/>
    <w:rsid w:val="00A83DED"/>
    <w:rsid w:val="00A84807"/>
    <w:rsid w:val="00A85407"/>
    <w:rsid w:val="00A857FC"/>
    <w:rsid w:val="00A85C14"/>
    <w:rsid w:val="00A87528"/>
    <w:rsid w:val="00A87B10"/>
    <w:rsid w:val="00A9021C"/>
    <w:rsid w:val="00A905A4"/>
    <w:rsid w:val="00A90797"/>
    <w:rsid w:val="00A90FA3"/>
    <w:rsid w:val="00A93BC7"/>
    <w:rsid w:val="00A94449"/>
    <w:rsid w:val="00A947FE"/>
    <w:rsid w:val="00A94A82"/>
    <w:rsid w:val="00A95233"/>
    <w:rsid w:val="00A95985"/>
    <w:rsid w:val="00A960B3"/>
    <w:rsid w:val="00A96ADF"/>
    <w:rsid w:val="00A9702A"/>
    <w:rsid w:val="00A97C29"/>
    <w:rsid w:val="00A97C58"/>
    <w:rsid w:val="00AA0449"/>
    <w:rsid w:val="00AA06B3"/>
    <w:rsid w:val="00AA0A68"/>
    <w:rsid w:val="00AA1840"/>
    <w:rsid w:val="00AA19BB"/>
    <w:rsid w:val="00AA2387"/>
    <w:rsid w:val="00AA2A24"/>
    <w:rsid w:val="00AA378E"/>
    <w:rsid w:val="00AA4CF3"/>
    <w:rsid w:val="00AA5F05"/>
    <w:rsid w:val="00AA67BE"/>
    <w:rsid w:val="00AA6C13"/>
    <w:rsid w:val="00AA79CD"/>
    <w:rsid w:val="00AB0587"/>
    <w:rsid w:val="00AB0990"/>
    <w:rsid w:val="00AB1343"/>
    <w:rsid w:val="00AB191B"/>
    <w:rsid w:val="00AB22F9"/>
    <w:rsid w:val="00AB386C"/>
    <w:rsid w:val="00AB525C"/>
    <w:rsid w:val="00AB55E5"/>
    <w:rsid w:val="00AB6ACF"/>
    <w:rsid w:val="00AB7A46"/>
    <w:rsid w:val="00AC02B3"/>
    <w:rsid w:val="00AC0DE8"/>
    <w:rsid w:val="00AC0FB5"/>
    <w:rsid w:val="00AC217F"/>
    <w:rsid w:val="00AC2E42"/>
    <w:rsid w:val="00AC2FA6"/>
    <w:rsid w:val="00AC367A"/>
    <w:rsid w:val="00AC386E"/>
    <w:rsid w:val="00AC3D71"/>
    <w:rsid w:val="00AC40FE"/>
    <w:rsid w:val="00AC514C"/>
    <w:rsid w:val="00AC53B4"/>
    <w:rsid w:val="00AC6578"/>
    <w:rsid w:val="00AC662D"/>
    <w:rsid w:val="00AC7D9B"/>
    <w:rsid w:val="00AD025D"/>
    <w:rsid w:val="00AD0A85"/>
    <w:rsid w:val="00AD1569"/>
    <w:rsid w:val="00AD1FF9"/>
    <w:rsid w:val="00AD2A3B"/>
    <w:rsid w:val="00AD3EA5"/>
    <w:rsid w:val="00AD4880"/>
    <w:rsid w:val="00AD49BD"/>
    <w:rsid w:val="00AD6322"/>
    <w:rsid w:val="00AE17D1"/>
    <w:rsid w:val="00AE20EC"/>
    <w:rsid w:val="00AE2724"/>
    <w:rsid w:val="00AE2918"/>
    <w:rsid w:val="00AE2B13"/>
    <w:rsid w:val="00AE2B1E"/>
    <w:rsid w:val="00AE33F3"/>
    <w:rsid w:val="00AE3A83"/>
    <w:rsid w:val="00AE46B7"/>
    <w:rsid w:val="00AE5151"/>
    <w:rsid w:val="00AE52B5"/>
    <w:rsid w:val="00AE5D2C"/>
    <w:rsid w:val="00AE5DC4"/>
    <w:rsid w:val="00AE6027"/>
    <w:rsid w:val="00AE64C6"/>
    <w:rsid w:val="00AE72A6"/>
    <w:rsid w:val="00AF031C"/>
    <w:rsid w:val="00AF0516"/>
    <w:rsid w:val="00AF056D"/>
    <w:rsid w:val="00AF0753"/>
    <w:rsid w:val="00AF077E"/>
    <w:rsid w:val="00AF247F"/>
    <w:rsid w:val="00AF2E33"/>
    <w:rsid w:val="00AF36A3"/>
    <w:rsid w:val="00AF493B"/>
    <w:rsid w:val="00AF4C43"/>
    <w:rsid w:val="00AF5427"/>
    <w:rsid w:val="00AF566C"/>
    <w:rsid w:val="00AF7E1F"/>
    <w:rsid w:val="00B00717"/>
    <w:rsid w:val="00B00FA7"/>
    <w:rsid w:val="00B01922"/>
    <w:rsid w:val="00B02314"/>
    <w:rsid w:val="00B033AB"/>
    <w:rsid w:val="00B039E5"/>
    <w:rsid w:val="00B03E63"/>
    <w:rsid w:val="00B0545F"/>
    <w:rsid w:val="00B062A6"/>
    <w:rsid w:val="00B06BF9"/>
    <w:rsid w:val="00B10F34"/>
    <w:rsid w:val="00B110AD"/>
    <w:rsid w:val="00B11692"/>
    <w:rsid w:val="00B11CC9"/>
    <w:rsid w:val="00B123EB"/>
    <w:rsid w:val="00B13CB5"/>
    <w:rsid w:val="00B13D23"/>
    <w:rsid w:val="00B13ECA"/>
    <w:rsid w:val="00B1478C"/>
    <w:rsid w:val="00B149B8"/>
    <w:rsid w:val="00B14B3B"/>
    <w:rsid w:val="00B14ED5"/>
    <w:rsid w:val="00B15253"/>
    <w:rsid w:val="00B15916"/>
    <w:rsid w:val="00B15EAD"/>
    <w:rsid w:val="00B16DA4"/>
    <w:rsid w:val="00B176B1"/>
    <w:rsid w:val="00B17A94"/>
    <w:rsid w:val="00B17CFC"/>
    <w:rsid w:val="00B2035A"/>
    <w:rsid w:val="00B20ABD"/>
    <w:rsid w:val="00B21908"/>
    <w:rsid w:val="00B21D4C"/>
    <w:rsid w:val="00B232A7"/>
    <w:rsid w:val="00B23375"/>
    <w:rsid w:val="00B23A80"/>
    <w:rsid w:val="00B23E82"/>
    <w:rsid w:val="00B24141"/>
    <w:rsid w:val="00B24843"/>
    <w:rsid w:val="00B263A0"/>
    <w:rsid w:val="00B269ED"/>
    <w:rsid w:val="00B26AC7"/>
    <w:rsid w:val="00B27AFF"/>
    <w:rsid w:val="00B30457"/>
    <w:rsid w:val="00B314E9"/>
    <w:rsid w:val="00B31A20"/>
    <w:rsid w:val="00B344A1"/>
    <w:rsid w:val="00B3453D"/>
    <w:rsid w:val="00B35976"/>
    <w:rsid w:val="00B365CF"/>
    <w:rsid w:val="00B36A2D"/>
    <w:rsid w:val="00B36F11"/>
    <w:rsid w:val="00B40A9D"/>
    <w:rsid w:val="00B42CFD"/>
    <w:rsid w:val="00B4352D"/>
    <w:rsid w:val="00B440BC"/>
    <w:rsid w:val="00B440C8"/>
    <w:rsid w:val="00B442F5"/>
    <w:rsid w:val="00B4490B"/>
    <w:rsid w:val="00B44CCB"/>
    <w:rsid w:val="00B45671"/>
    <w:rsid w:val="00B45C76"/>
    <w:rsid w:val="00B4677C"/>
    <w:rsid w:val="00B46B6C"/>
    <w:rsid w:val="00B47571"/>
    <w:rsid w:val="00B475A7"/>
    <w:rsid w:val="00B5168E"/>
    <w:rsid w:val="00B518EB"/>
    <w:rsid w:val="00B52608"/>
    <w:rsid w:val="00B52646"/>
    <w:rsid w:val="00B52835"/>
    <w:rsid w:val="00B5387D"/>
    <w:rsid w:val="00B541FF"/>
    <w:rsid w:val="00B54638"/>
    <w:rsid w:val="00B54E70"/>
    <w:rsid w:val="00B551FB"/>
    <w:rsid w:val="00B5737D"/>
    <w:rsid w:val="00B575A4"/>
    <w:rsid w:val="00B61829"/>
    <w:rsid w:val="00B621FA"/>
    <w:rsid w:val="00B6223F"/>
    <w:rsid w:val="00B62B3E"/>
    <w:rsid w:val="00B62E77"/>
    <w:rsid w:val="00B63221"/>
    <w:rsid w:val="00B635BB"/>
    <w:rsid w:val="00B63B37"/>
    <w:rsid w:val="00B63C82"/>
    <w:rsid w:val="00B6561E"/>
    <w:rsid w:val="00B65B6B"/>
    <w:rsid w:val="00B67108"/>
    <w:rsid w:val="00B67416"/>
    <w:rsid w:val="00B676BF"/>
    <w:rsid w:val="00B67F6A"/>
    <w:rsid w:val="00B7052E"/>
    <w:rsid w:val="00B70640"/>
    <w:rsid w:val="00B70DFB"/>
    <w:rsid w:val="00B719D5"/>
    <w:rsid w:val="00B71D68"/>
    <w:rsid w:val="00B723CA"/>
    <w:rsid w:val="00B732F4"/>
    <w:rsid w:val="00B75361"/>
    <w:rsid w:val="00B756DE"/>
    <w:rsid w:val="00B75C6D"/>
    <w:rsid w:val="00B75F64"/>
    <w:rsid w:val="00B7602A"/>
    <w:rsid w:val="00B772C2"/>
    <w:rsid w:val="00B802F3"/>
    <w:rsid w:val="00B803D8"/>
    <w:rsid w:val="00B8060E"/>
    <w:rsid w:val="00B813C5"/>
    <w:rsid w:val="00B82C89"/>
    <w:rsid w:val="00B83414"/>
    <w:rsid w:val="00B84EFD"/>
    <w:rsid w:val="00B85077"/>
    <w:rsid w:val="00B8582D"/>
    <w:rsid w:val="00B8588C"/>
    <w:rsid w:val="00B85BCE"/>
    <w:rsid w:val="00B86D92"/>
    <w:rsid w:val="00B87103"/>
    <w:rsid w:val="00B920ED"/>
    <w:rsid w:val="00B92CF5"/>
    <w:rsid w:val="00B92D58"/>
    <w:rsid w:val="00B94668"/>
    <w:rsid w:val="00B94818"/>
    <w:rsid w:val="00B94C35"/>
    <w:rsid w:val="00B95056"/>
    <w:rsid w:val="00B95AF6"/>
    <w:rsid w:val="00B95DB0"/>
    <w:rsid w:val="00B95F36"/>
    <w:rsid w:val="00B968B6"/>
    <w:rsid w:val="00B97604"/>
    <w:rsid w:val="00B97800"/>
    <w:rsid w:val="00BA03C4"/>
    <w:rsid w:val="00BA0E09"/>
    <w:rsid w:val="00BA1151"/>
    <w:rsid w:val="00BA1516"/>
    <w:rsid w:val="00BA1BF1"/>
    <w:rsid w:val="00BA1D55"/>
    <w:rsid w:val="00BA2802"/>
    <w:rsid w:val="00BA53BF"/>
    <w:rsid w:val="00BA6DC5"/>
    <w:rsid w:val="00BA6EDB"/>
    <w:rsid w:val="00BA749A"/>
    <w:rsid w:val="00BA7DBF"/>
    <w:rsid w:val="00BB00C9"/>
    <w:rsid w:val="00BB0FC4"/>
    <w:rsid w:val="00BB357A"/>
    <w:rsid w:val="00BB379D"/>
    <w:rsid w:val="00BB4196"/>
    <w:rsid w:val="00BB4E38"/>
    <w:rsid w:val="00BB4E56"/>
    <w:rsid w:val="00BB4FFD"/>
    <w:rsid w:val="00BB541E"/>
    <w:rsid w:val="00BB664E"/>
    <w:rsid w:val="00BB7770"/>
    <w:rsid w:val="00BB7A45"/>
    <w:rsid w:val="00BC0CD8"/>
    <w:rsid w:val="00BC1A22"/>
    <w:rsid w:val="00BC26D9"/>
    <w:rsid w:val="00BC3295"/>
    <w:rsid w:val="00BC37DC"/>
    <w:rsid w:val="00BC3E5B"/>
    <w:rsid w:val="00BC4578"/>
    <w:rsid w:val="00BC4883"/>
    <w:rsid w:val="00BC5070"/>
    <w:rsid w:val="00BC6F70"/>
    <w:rsid w:val="00BC7561"/>
    <w:rsid w:val="00BC75E3"/>
    <w:rsid w:val="00BD0592"/>
    <w:rsid w:val="00BD15AA"/>
    <w:rsid w:val="00BD1A4A"/>
    <w:rsid w:val="00BD213E"/>
    <w:rsid w:val="00BD2CFE"/>
    <w:rsid w:val="00BD3ACD"/>
    <w:rsid w:val="00BD4A87"/>
    <w:rsid w:val="00BD594C"/>
    <w:rsid w:val="00BD62FA"/>
    <w:rsid w:val="00BD65F7"/>
    <w:rsid w:val="00BD6CD5"/>
    <w:rsid w:val="00BD77E1"/>
    <w:rsid w:val="00BD7904"/>
    <w:rsid w:val="00BE01CC"/>
    <w:rsid w:val="00BE1E12"/>
    <w:rsid w:val="00BE3318"/>
    <w:rsid w:val="00BE36B5"/>
    <w:rsid w:val="00BE3ACB"/>
    <w:rsid w:val="00BE3B4F"/>
    <w:rsid w:val="00BE451D"/>
    <w:rsid w:val="00BE5973"/>
    <w:rsid w:val="00BE5C27"/>
    <w:rsid w:val="00BE6A03"/>
    <w:rsid w:val="00BE7184"/>
    <w:rsid w:val="00BE727E"/>
    <w:rsid w:val="00BE769A"/>
    <w:rsid w:val="00BF2AC9"/>
    <w:rsid w:val="00BF3562"/>
    <w:rsid w:val="00BF38D6"/>
    <w:rsid w:val="00BF40F1"/>
    <w:rsid w:val="00BF4A7F"/>
    <w:rsid w:val="00BF4B77"/>
    <w:rsid w:val="00BF6780"/>
    <w:rsid w:val="00C007F2"/>
    <w:rsid w:val="00C0086B"/>
    <w:rsid w:val="00C01232"/>
    <w:rsid w:val="00C02DB9"/>
    <w:rsid w:val="00C03445"/>
    <w:rsid w:val="00C03F44"/>
    <w:rsid w:val="00C040C9"/>
    <w:rsid w:val="00C0501E"/>
    <w:rsid w:val="00C074BC"/>
    <w:rsid w:val="00C11232"/>
    <w:rsid w:val="00C1144A"/>
    <w:rsid w:val="00C11D92"/>
    <w:rsid w:val="00C1256C"/>
    <w:rsid w:val="00C12996"/>
    <w:rsid w:val="00C13553"/>
    <w:rsid w:val="00C140DA"/>
    <w:rsid w:val="00C14935"/>
    <w:rsid w:val="00C1522C"/>
    <w:rsid w:val="00C155A5"/>
    <w:rsid w:val="00C16066"/>
    <w:rsid w:val="00C21A8F"/>
    <w:rsid w:val="00C223C7"/>
    <w:rsid w:val="00C22910"/>
    <w:rsid w:val="00C22D36"/>
    <w:rsid w:val="00C2394B"/>
    <w:rsid w:val="00C239E4"/>
    <w:rsid w:val="00C23C33"/>
    <w:rsid w:val="00C241A0"/>
    <w:rsid w:val="00C2577E"/>
    <w:rsid w:val="00C25F85"/>
    <w:rsid w:val="00C279BD"/>
    <w:rsid w:val="00C27DA1"/>
    <w:rsid w:val="00C27F00"/>
    <w:rsid w:val="00C30070"/>
    <w:rsid w:val="00C329F9"/>
    <w:rsid w:val="00C334B7"/>
    <w:rsid w:val="00C33C6B"/>
    <w:rsid w:val="00C34032"/>
    <w:rsid w:val="00C34591"/>
    <w:rsid w:val="00C34B1B"/>
    <w:rsid w:val="00C350A0"/>
    <w:rsid w:val="00C36237"/>
    <w:rsid w:val="00C365B1"/>
    <w:rsid w:val="00C40080"/>
    <w:rsid w:val="00C40E50"/>
    <w:rsid w:val="00C41ABA"/>
    <w:rsid w:val="00C44A35"/>
    <w:rsid w:val="00C452D3"/>
    <w:rsid w:val="00C45C97"/>
    <w:rsid w:val="00C46AB9"/>
    <w:rsid w:val="00C477AC"/>
    <w:rsid w:val="00C51118"/>
    <w:rsid w:val="00C52393"/>
    <w:rsid w:val="00C5353F"/>
    <w:rsid w:val="00C535C9"/>
    <w:rsid w:val="00C56494"/>
    <w:rsid w:val="00C568A1"/>
    <w:rsid w:val="00C56C30"/>
    <w:rsid w:val="00C60208"/>
    <w:rsid w:val="00C60DE7"/>
    <w:rsid w:val="00C62A8C"/>
    <w:rsid w:val="00C63095"/>
    <w:rsid w:val="00C63D69"/>
    <w:rsid w:val="00C64038"/>
    <w:rsid w:val="00C647FD"/>
    <w:rsid w:val="00C64A30"/>
    <w:rsid w:val="00C65474"/>
    <w:rsid w:val="00C6558C"/>
    <w:rsid w:val="00C67B5E"/>
    <w:rsid w:val="00C67F70"/>
    <w:rsid w:val="00C70D30"/>
    <w:rsid w:val="00C7136E"/>
    <w:rsid w:val="00C71891"/>
    <w:rsid w:val="00C72A77"/>
    <w:rsid w:val="00C72E9E"/>
    <w:rsid w:val="00C734EC"/>
    <w:rsid w:val="00C7398E"/>
    <w:rsid w:val="00C747F8"/>
    <w:rsid w:val="00C74D1A"/>
    <w:rsid w:val="00C75A4E"/>
    <w:rsid w:val="00C75D00"/>
    <w:rsid w:val="00C75FF7"/>
    <w:rsid w:val="00C7669D"/>
    <w:rsid w:val="00C7731D"/>
    <w:rsid w:val="00C77682"/>
    <w:rsid w:val="00C80269"/>
    <w:rsid w:val="00C80AAC"/>
    <w:rsid w:val="00C813D2"/>
    <w:rsid w:val="00C82DC5"/>
    <w:rsid w:val="00C82F5D"/>
    <w:rsid w:val="00C83575"/>
    <w:rsid w:val="00C85979"/>
    <w:rsid w:val="00C8713C"/>
    <w:rsid w:val="00C875AF"/>
    <w:rsid w:val="00C91B0E"/>
    <w:rsid w:val="00C9389F"/>
    <w:rsid w:val="00C945D9"/>
    <w:rsid w:val="00C94611"/>
    <w:rsid w:val="00C9512C"/>
    <w:rsid w:val="00C967CD"/>
    <w:rsid w:val="00C96853"/>
    <w:rsid w:val="00C97191"/>
    <w:rsid w:val="00C97F2E"/>
    <w:rsid w:val="00CA0490"/>
    <w:rsid w:val="00CA0DFD"/>
    <w:rsid w:val="00CA1266"/>
    <w:rsid w:val="00CA2196"/>
    <w:rsid w:val="00CA30E4"/>
    <w:rsid w:val="00CA3197"/>
    <w:rsid w:val="00CA34A4"/>
    <w:rsid w:val="00CA3D3B"/>
    <w:rsid w:val="00CA4B60"/>
    <w:rsid w:val="00CA4D30"/>
    <w:rsid w:val="00CA516B"/>
    <w:rsid w:val="00CA6165"/>
    <w:rsid w:val="00CA7DC8"/>
    <w:rsid w:val="00CB0CD9"/>
    <w:rsid w:val="00CB1643"/>
    <w:rsid w:val="00CB1A4D"/>
    <w:rsid w:val="00CB2820"/>
    <w:rsid w:val="00CB2AB6"/>
    <w:rsid w:val="00CB3200"/>
    <w:rsid w:val="00CB3D7A"/>
    <w:rsid w:val="00CB466B"/>
    <w:rsid w:val="00CB5525"/>
    <w:rsid w:val="00CB63CE"/>
    <w:rsid w:val="00CB6AB0"/>
    <w:rsid w:val="00CB78E8"/>
    <w:rsid w:val="00CC02B5"/>
    <w:rsid w:val="00CC0607"/>
    <w:rsid w:val="00CC06E5"/>
    <w:rsid w:val="00CC08F6"/>
    <w:rsid w:val="00CC0FCA"/>
    <w:rsid w:val="00CC1607"/>
    <w:rsid w:val="00CC220A"/>
    <w:rsid w:val="00CC2AE0"/>
    <w:rsid w:val="00CC2C8B"/>
    <w:rsid w:val="00CC38A5"/>
    <w:rsid w:val="00CC573A"/>
    <w:rsid w:val="00CC5D16"/>
    <w:rsid w:val="00CC7205"/>
    <w:rsid w:val="00CC75CF"/>
    <w:rsid w:val="00CC7F39"/>
    <w:rsid w:val="00CD07E8"/>
    <w:rsid w:val="00CD0DC7"/>
    <w:rsid w:val="00CD174D"/>
    <w:rsid w:val="00CD271D"/>
    <w:rsid w:val="00CD273C"/>
    <w:rsid w:val="00CD3966"/>
    <w:rsid w:val="00CD3B05"/>
    <w:rsid w:val="00CD3B44"/>
    <w:rsid w:val="00CD4407"/>
    <w:rsid w:val="00CD453F"/>
    <w:rsid w:val="00CD4AE2"/>
    <w:rsid w:val="00CD4F00"/>
    <w:rsid w:val="00CD567D"/>
    <w:rsid w:val="00CD57C3"/>
    <w:rsid w:val="00CD5C49"/>
    <w:rsid w:val="00CD5D2D"/>
    <w:rsid w:val="00CD60EE"/>
    <w:rsid w:val="00CD6B2E"/>
    <w:rsid w:val="00CE02E9"/>
    <w:rsid w:val="00CE0AE0"/>
    <w:rsid w:val="00CE1395"/>
    <w:rsid w:val="00CE27D1"/>
    <w:rsid w:val="00CE29E4"/>
    <w:rsid w:val="00CE2D82"/>
    <w:rsid w:val="00CE3223"/>
    <w:rsid w:val="00CE3EC6"/>
    <w:rsid w:val="00CE4A08"/>
    <w:rsid w:val="00CE71D8"/>
    <w:rsid w:val="00CE7A33"/>
    <w:rsid w:val="00CF279F"/>
    <w:rsid w:val="00CF2CC2"/>
    <w:rsid w:val="00CF3A7D"/>
    <w:rsid w:val="00CF49AF"/>
    <w:rsid w:val="00CF5857"/>
    <w:rsid w:val="00CF59D5"/>
    <w:rsid w:val="00CF5B7A"/>
    <w:rsid w:val="00CF69CF"/>
    <w:rsid w:val="00D006A0"/>
    <w:rsid w:val="00D00EDC"/>
    <w:rsid w:val="00D00F0B"/>
    <w:rsid w:val="00D0146A"/>
    <w:rsid w:val="00D01D74"/>
    <w:rsid w:val="00D026C3"/>
    <w:rsid w:val="00D0312F"/>
    <w:rsid w:val="00D0420A"/>
    <w:rsid w:val="00D05552"/>
    <w:rsid w:val="00D05A15"/>
    <w:rsid w:val="00D0690B"/>
    <w:rsid w:val="00D07D9B"/>
    <w:rsid w:val="00D10CC3"/>
    <w:rsid w:val="00D10E5B"/>
    <w:rsid w:val="00D1153C"/>
    <w:rsid w:val="00D133BC"/>
    <w:rsid w:val="00D13D0B"/>
    <w:rsid w:val="00D13DE6"/>
    <w:rsid w:val="00D14753"/>
    <w:rsid w:val="00D154C6"/>
    <w:rsid w:val="00D16B3A"/>
    <w:rsid w:val="00D1792D"/>
    <w:rsid w:val="00D17BC4"/>
    <w:rsid w:val="00D20A12"/>
    <w:rsid w:val="00D221B3"/>
    <w:rsid w:val="00D22B47"/>
    <w:rsid w:val="00D22D92"/>
    <w:rsid w:val="00D23576"/>
    <w:rsid w:val="00D23FD6"/>
    <w:rsid w:val="00D24B0C"/>
    <w:rsid w:val="00D24C6D"/>
    <w:rsid w:val="00D26C7A"/>
    <w:rsid w:val="00D30D91"/>
    <w:rsid w:val="00D3124D"/>
    <w:rsid w:val="00D31781"/>
    <w:rsid w:val="00D3286B"/>
    <w:rsid w:val="00D32C05"/>
    <w:rsid w:val="00D3343D"/>
    <w:rsid w:val="00D3409A"/>
    <w:rsid w:val="00D34180"/>
    <w:rsid w:val="00D35670"/>
    <w:rsid w:val="00D35A32"/>
    <w:rsid w:val="00D35C13"/>
    <w:rsid w:val="00D37E9F"/>
    <w:rsid w:val="00D4007A"/>
    <w:rsid w:val="00D412DA"/>
    <w:rsid w:val="00D414A3"/>
    <w:rsid w:val="00D42AF5"/>
    <w:rsid w:val="00D42B36"/>
    <w:rsid w:val="00D43509"/>
    <w:rsid w:val="00D43683"/>
    <w:rsid w:val="00D43E68"/>
    <w:rsid w:val="00D4623F"/>
    <w:rsid w:val="00D46EEE"/>
    <w:rsid w:val="00D47A7B"/>
    <w:rsid w:val="00D50959"/>
    <w:rsid w:val="00D509BF"/>
    <w:rsid w:val="00D50ED4"/>
    <w:rsid w:val="00D511D8"/>
    <w:rsid w:val="00D519C5"/>
    <w:rsid w:val="00D5281E"/>
    <w:rsid w:val="00D52E1D"/>
    <w:rsid w:val="00D5313D"/>
    <w:rsid w:val="00D5343F"/>
    <w:rsid w:val="00D535AB"/>
    <w:rsid w:val="00D53F7D"/>
    <w:rsid w:val="00D55F36"/>
    <w:rsid w:val="00D57B53"/>
    <w:rsid w:val="00D60E75"/>
    <w:rsid w:val="00D6186C"/>
    <w:rsid w:val="00D61FAD"/>
    <w:rsid w:val="00D62618"/>
    <w:rsid w:val="00D62650"/>
    <w:rsid w:val="00D631E7"/>
    <w:rsid w:val="00D63846"/>
    <w:rsid w:val="00D65625"/>
    <w:rsid w:val="00D6562B"/>
    <w:rsid w:val="00D65D58"/>
    <w:rsid w:val="00D6680F"/>
    <w:rsid w:val="00D669E3"/>
    <w:rsid w:val="00D66E34"/>
    <w:rsid w:val="00D70B4C"/>
    <w:rsid w:val="00D71851"/>
    <w:rsid w:val="00D724BA"/>
    <w:rsid w:val="00D74D2A"/>
    <w:rsid w:val="00D751ED"/>
    <w:rsid w:val="00D754D9"/>
    <w:rsid w:val="00D762A8"/>
    <w:rsid w:val="00D76998"/>
    <w:rsid w:val="00D80156"/>
    <w:rsid w:val="00D81F95"/>
    <w:rsid w:val="00D8219D"/>
    <w:rsid w:val="00D82513"/>
    <w:rsid w:val="00D8346C"/>
    <w:rsid w:val="00D83BAD"/>
    <w:rsid w:val="00D846FA"/>
    <w:rsid w:val="00D84BA2"/>
    <w:rsid w:val="00D84BD4"/>
    <w:rsid w:val="00D84DAD"/>
    <w:rsid w:val="00D850C2"/>
    <w:rsid w:val="00D855C1"/>
    <w:rsid w:val="00D866DE"/>
    <w:rsid w:val="00D90713"/>
    <w:rsid w:val="00D9178D"/>
    <w:rsid w:val="00D91C7E"/>
    <w:rsid w:val="00D92F82"/>
    <w:rsid w:val="00D940B0"/>
    <w:rsid w:val="00D947C9"/>
    <w:rsid w:val="00D94851"/>
    <w:rsid w:val="00D94D91"/>
    <w:rsid w:val="00D95AF1"/>
    <w:rsid w:val="00D96B5D"/>
    <w:rsid w:val="00D96FF4"/>
    <w:rsid w:val="00D97098"/>
    <w:rsid w:val="00D972FF"/>
    <w:rsid w:val="00D97D81"/>
    <w:rsid w:val="00DA0040"/>
    <w:rsid w:val="00DA06FE"/>
    <w:rsid w:val="00DA0C48"/>
    <w:rsid w:val="00DA1DFC"/>
    <w:rsid w:val="00DA222F"/>
    <w:rsid w:val="00DA2C8E"/>
    <w:rsid w:val="00DA402A"/>
    <w:rsid w:val="00DA40FB"/>
    <w:rsid w:val="00DA440E"/>
    <w:rsid w:val="00DA4D0F"/>
    <w:rsid w:val="00DA511C"/>
    <w:rsid w:val="00DA52F1"/>
    <w:rsid w:val="00DA54F1"/>
    <w:rsid w:val="00DA5FE7"/>
    <w:rsid w:val="00DB0119"/>
    <w:rsid w:val="00DB09AD"/>
    <w:rsid w:val="00DB0F54"/>
    <w:rsid w:val="00DB0F8D"/>
    <w:rsid w:val="00DB11B0"/>
    <w:rsid w:val="00DB25C6"/>
    <w:rsid w:val="00DB3F0B"/>
    <w:rsid w:val="00DB5F8F"/>
    <w:rsid w:val="00DB6776"/>
    <w:rsid w:val="00DC0309"/>
    <w:rsid w:val="00DC094B"/>
    <w:rsid w:val="00DC0A6D"/>
    <w:rsid w:val="00DC14EB"/>
    <w:rsid w:val="00DC17BB"/>
    <w:rsid w:val="00DC21B3"/>
    <w:rsid w:val="00DC22F2"/>
    <w:rsid w:val="00DC292A"/>
    <w:rsid w:val="00DC3408"/>
    <w:rsid w:val="00DC346D"/>
    <w:rsid w:val="00DC4CBF"/>
    <w:rsid w:val="00DC4E12"/>
    <w:rsid w:val="00DC57A8"/>
    <w:rsid w:val="00DC590A"/>
    <w:rsid w:val="00DC61F9"/>
    <w:rsid w:val="00DC637F"/>
    <w:rsid w:val="00DC6F95"/>
    <w:rsid w:val="00DC7C65"/>
    <w:rsid w:val="00DD209A"/>
    <w:rsid w:val="00DD4665"/>
    <w:rsid w:val="00DD4EEF"/>
    <w:rsid w:val="00DD542D"/>
    <w:rsid w:val="00DD5464"/>
    <w:rsid w:val="00DD56B5"/>
    <w:rsid w:val="00DD68CF"/>
    <w:rsid w:val="00DD761D"/>
    <w:rsid w:val="00DE1D84"/>
    <w:rsid w:val="00DE34B4"/>
    <w:rsid w:val="00DE36FC"/>
    <w:rsid w:val="00DE37A6"/>
    <w:rsid w:val="00DE3891"/>
    <w:rsid w:val="00DE4730"/>
    <w:rsid w:val="00DE49E4"/>
    <w:rsid w:val="00DE50BC"/>
    <w:rsid w:val="00DE5434"/>
    <w:rsid w:val="00DE5526"/>
    <w:rsid w:val="00DE579D"/>
    <w:rsid w:val="00DE57BE"/>
    <w:rsid w:val="00DE63D3"/>
    <w:rsid w:val="00DE6583"/>
    <w:rsid w:val="00DE6858"/>
    <w:rsid w:val="00DE7886"/>
    <w:rsid w:val="00DF052C"/>
    <w:rsid w:val="00DF113C"/>
    <w:rsid w:val="00DF1D05"/>
    <w:rsid w:val="00DF28D3"/>
    <w:rsid w:val="00DF4EE6"/>
    <w:rsid w:val="00DF5299"/>
    <w:rsid w:val="00DF6034"/>
    <w:rsid w:val="00DF7798"/>
    <w:rsid w:val="00E000A8"/>
    <w:rsid w:val="00E0052F"/>
    <w:rsid w:val="00E00890"/>
    <w:rsid w:val="00E01F01"/>
    <w:rsid w:val="00E01F27"/>
    <w:rsid w:val="00E03288"/>
    <w:rsid w:val="00E04CA8"/>
    <w:rsid w:val="00E058EF"/>
    <w:rsid w:val="00E06077"/>
    <w:rsid w:val="00E06290"/>
    <w:rsid w:val="00E068B3"/>
    <w:rsid w:val="00E06B77"/>
    <w:rsid w:val="00E06F72"/>
    <w:rsid w:val="00E1002F"/>
    <w:rsid w:val="00E10BCB"/>
    <w:rsid w:val="00E11F06"/>
    <w:rsid w:val="00E1233A"/>
    <w:rsid w:val="00E1352C"/>
    <w:rsid w:val="00E139CD"/>
    <w:rsid w:val="00E14DDD"/>
    <w:rsid w:val="00E16E65"/>
    <w:rsid w:val="00E20518"/>
    <w:rsid w:val="00E20828"/>
    <w:rsid w:val="00E20BFE"/>
    <w:rsid w:val="00E20C46"/>
    <w:rsid w:val="00E2136B"/>
    <w:rsid w:val="00E22342"/>
    <w:rsid w:val="00E22C85"/>
    <w:rsid w:val="00E2334A"/>
    <w:rsid w:val="00E2487E"/>
    <w:rsid w:val="00E26196"/>
    <w:rsid w:val="00E2630C"/>
    <w:rsid w:val="00E264C1"/>
    <w:rsid w:val="00E26DED"/>
    <w:rsid w:val="00E277FF"/>
    <w:rsid w:val="00E279FA"/>
    <w:rsid w:val="00E30529"/>
    <w:rsid w:val="00E31741"/>
    <w:rsid w:val="00E31E92"/>
    <w:rsid w:val="00E3257C"/>
    <w:rsid w:val="00E333E4"/>
    <w:rsid w:val="00E33AF6"/>
    <w:rsid w:val="00E33C1B"/>
    <w:rsid w:val="00E345FD"/>
    <w:rsid w:val="00E35D3D"/>
    <w:rsid w:val="00E36246"/>
    <w:rsid w:val="00E3659C"/>
    <w:rsid w:val="00E403EF"/>
    <w:rsid w:val="00E4058C"/>
    <w:rsid w:val="00E4062C"/>
    <w:rsid w:val="00E41673"/>
    <w:rsid w:val="00E43210"/>
    <w:rsid w:val="00E436D6"/>
    <w:rsid w:val="00E443EE"/>
    <w:rsid w:val="00E44725"/>
    <w:rsid w:val="00E452FD"/>
    <w:rsid w:val="00E467BA"/>
    <w:rsid w:val="00E477C2"/>
    <w:rsid w:val="00E4780F"/>
    <w:rsid w:val="00E504CE"/>
    <w:rsid w:val="00E5104C"/>
    <w:rsid w:val="00E52238"/>
    <w:rsid w:val="00E532D8"/>
    <w:rsid w:val="00E537A2"/>
    <w:rsid w:val="00E53AE7"/>
    <w:rsid w:val="00E53D0D"/>
    <w:rsid w:val="00E56194"/>
    <w:rsid w:val="00E56211"/>
    <w:rsid w:val="00E56273"/>
    <w:rsid w:val="00E603EB"/>
    <w:rsid w:val="00E61993"/>
    <w:rsid w:val="00E61B41"/>
    <w:rsid w:val="00E61E36"/>
    <w:rsid w:val="00E62F7C"/>
    <w:rsid w:val="00E636E5"/>
    <w:rsid w:val="00E637A0"/>
    <w:rsid w:val="00E66348"/>
    <w:rsid w:val="00E66F96"/>
    <w:rsid w:val="00E71409"/>
    <w:rsid w:val="00E719EA"/>
    <w:rsid w:val="00E71DDB"/>
    <w:rsid w:val="00E72600"/>
    <w:rsid w:val="00E72630"/>
    <w:rsid w:val="00E73340"/>
    <w:rsid w:val="00E73F70"/>
    <w:rsid w:val="00E746A8"/>
    <w:rsid w:val="00E74992"/>
    <w:rsid w:val="00E74C08"/>
    <w:rsid w:val="00E75881"/>
    <w:rsid w:val="00E764F8"/>
    <w:rsid w:val="00E77C77"/>
    <w:rsid w:val="00E80DBF"/>
    <w:rsid w:val="00E836DF"/>
    <w:rsid w:val="00E85F0A"/>
    <w:rsid w:val="00E86344"/>
    <w:rsid w:val="00E870C2"/>
    <w:rsid w:val="00E87BFE"/>
    <w:rsid w:val="00E908CE"/>
    <w:rsid w:val="00E920E8"/>
    <w:rsid w:val="00E93996"/>
    <w:rsid w:val="00E940F5"/>
    <w:rsid w:val="00E94819"/>
    <w:rsid w:val="00E94E6F"/>
    <w:rsid w:val="00E95525"/>
    <w:rsid w:val="00E9571B"/>
    <w:rsid w:val="00E95D7F"/>
    <w:rsid w:val="00E963AB"/>
    <w:rsid w:val="00E97522"/>
    <w:rsid w:val="00E97E47"/>
    <w:rsid w:val="00EA00B8"/>
    <w:rsid w:val="00EA07CB"/>
    <w:rsid w:val="00EA12C5"/>
    <w:rsid w:val="00EA143D"/>
    <w:rsid w:val="00EA19A0"/>
    <w:rsid w:val="00EA25B1"/>
    <w:rsid w:val="00EA2CF9"/>
    <w:rsid w:val="00EA3BDA"/>
    <w:rsid w:val="00EA3C4C"/>
    <w:rsid w:val="00EA40F7"/>
    <w:rsid w:val="00EA45A2"/>
    <w:rsid w:val="00EA46EC"/>
    <w:rsid w:val="00EA4964"/>
    <w:rsid w:val="00EA579F"/>
    <w:rsid w:val="00EA7831"/>
    <w:rsid w:val="00EA7B96"/>
    <w:rsid w:val="00EA7BD5"/>
    <w:rsid w:val="00EA7EF6"/>
    <w:rsid w:val="00EB0060"/>
    <w:rsid w:val="00EB02E2"/>
    <w:rsid w:val="00EB07C0"/>
    <w:rsid w:val="00EB0CD6"/>
    <w:rsid w:val="00EB135F"/>
    <w:rsid w:val="00EB22B7"/>
    <w:rsid w:val="00EB238B"/>
    <w:rsid w:val="00EB3750"/>
    <w:rsid w:val="00EB4B0E"/>
    <w:rsid w:val="00EB54F9"/>
    <w:rsid w:val="00EB597C"/>
    <w:rsid w:val="00EB5F1F"/>
    <w:rsid w:val="00EB6A16"/>
    <w:rsid w:val="00EB6C81"/>
    <w:rsid w:val="00EB6FAE"/>
    <w:rsid w:val="00EB7E46"/>
    <w:rsid w:val="00EC0778"/>
    <w:rsid w:val="00EC0A6E"/>
    <w:rsid w:val="00EC1791"/>
    <w:rsid w:val="00EC179C"/>
    <w:rsid w:val="00EC198F"/>
    <w:rsid w:val="00EC1DB1"/>
    <w:rsid w:val="00EC249A"/>
    <w:rsid w:val="00EC28C0"/>
    <w:rsid w:val="00EC304B"/>
    <w:rsid w:val="00EC30BC"/>
    <w:rsid w:val="00EC3944"/>
    <w:rsid w:val="00EC3A0C"/>
    <w:rsid w:val="00EC3E82"/>
    <w:rsid w:val="00EC3EE7"/>
    <w:rsid w:val="00EC4498"/>
    <w:rsid w:val="00EC467C"/>
    <w:rsid w:val="00EC4D38"/>
    <w:rsid w:val="00EC5FCC"/>
    <w:rsid w:val="00EC6B14"/>
    <w:rsid w:val="00EC6E63"/>
    <w:rsid w:val="00EC725F"/>
    <w:rsid w:val="00ED1953"/>
    <w:rsid w:val="00ED28C7"/>
    <w:rsid w:val="00ED2D6B"/>
    <w:rsid w:val="00ED2FEB"/>
    <w:rsid w:val="00ED2FF0"/>
    <w:rsid w:val="00ED3936"/>
    <w:rsid w:val="00ED3F1B"/>
    <w:rsid w:val="00ED46EC"/>
    <w:rsid w:val="00ED5233"/>
    <w:rsid w:val="00ED5DC2"/>
    <w:rsid w:val="00ED5F5A"/>
    <w:rsid w:val="00ED6F2C"/>
    <w:rsid w:val="00ED74E2"/>
    <w:rsid w:val="00ED782F"/>
    <w:rsid w:val="00EE0153"/>
    <w:rsid w:val="00EE0BB2"/>
    <w:rsid w:val="00EE1BC9"/>
    <w:rsid w:val="00EE20BA"/>
    <w:rsid w:val="00EE2A27"/>
    <w:rsid w:val="00EE329C"/>
    <w:rsid w:val="00EE34C3"/>
    <w:rsid w:val="00EE4248"/>
    <w:rsid w:val="00EE49DC"/>
    <w:rsid w:val="00EE52EC"/>
    <w:rsid w:val="00EE5C1F"/>
    <w:rsid w:val="00EE77A5"/>
    <w:rsid w:val="00EF0F2C"/>
    <w:rsid w:val="00EF2ED4"/>
    <w:rsid w:val="00EF4A16"/>
    <w:rsid w:val="00EF4EC0"/>
    <w:rsid w:val="00EF583F"/>
    <w:rsid w:val="00EF5A79"/>
    <w:rsid w:val="00EF6826"/>
    <w:rsid w:val="00EF6999"/>
    <w:rsid w:val="00EF6B5E"/>
    <w:rsid w:val="00F01266"/>
    <w:rsid w:val="00F01FD7"/>
    <w:rsid w:val="00F034A4"/>
    <w:rsid w:val="00F037C5"/>
    <w:rsid w:val="00F04A5E"/>
    <w:rsid w:val="00F04ECF"/>
    <w:rsid w:val="00F0508A"/>
    <w:rsid w:val="00F07D20"/>
    <w:rsid w:val="00F10ACA"/>
    <w:rsid w:val="00F10BC8"/>
    <w:rsid w:val="00F116B7"/>
    <w:rsid w:val="00F118E8"/>
    <w:rsid w:val="00F119CE"/>
    <w:rsid w:val="00F1205B"/>
    <w:rsid w:val="00F121E4"/>
    <w:rsid w:val="00F12642"/>
    <w:rsid w:val="00F13052"/>
    <w:rsid w:val="00F13946"/>
    <w:rsid w:val="00F13A75"/>
    <w:rsid w:val="00F13F3A"/>
    <w:rsid w:val="00F14DE5"/>
    <w:rsid w:val="00F15686"/>
    <w:rsid w:val="00F163C6"/>
    <w:rsid w:val="00F179E8"/>
    <w:rsid w:val="00F17DEF"/>
    <w:rsid w:val="00F203B8"/>
    <w:rsid w:val="00F20D4E"/>
    <w:rsid w:val="00F21766"/>
    <w:rsid w:val="00F23A0E"/>
    <w:rsid w:val="00F24524"/>
    <w:rsid w:val="00F25A57"/>
    <w:rsid w:val="00F26AAA"/>
    <w:rsid w:val="00F26B84"/>
    <w:rsid w:val="00F26D14"/>
    <w:rsid w:val="00F27CF1"/>
    <w:rsid w:val="00F3090F"/>
    <w:rsid w:val="00F30B06"/>
    <w:rsid w:val="00F311AB"/>
    <w:rsid w:val="00F32F62"/>
    <w:rsid w:val="00F33FED"/>
    <w:rsid w:val="00F34BCE"/>
    <w:rsid w:val="00F3588F"/>
    <w:rsid w:val="00F361B6"/>
    <w:rsid w:val="00F36E50"/>
    <w:rsid w:val="00F3726B"/>
    <w:rsid w:val="00F37A40"/>
    <w:rsid w:val="00F401B2"/>
    <w:rsid w:val="00F410E7"/>
    <w:rsid w:val="00F4113D"/>
    <w:rsid w:val="00F415F7"/>
    <w:rsid w:val="00F44F18"/>
    <w:rsid w:val="00F4514B"/>
    <w:rsid w:val="00F468AB"/>
    <w:rsid w:val="00F46C36"/>
    <w:rsid w:val="00F47175"/>
    <w:rsid w:val="00F47179"/>
    <w:rsid w:val="00F47522"/>
    <w:rsid w:val="00F47630"/>
    <w:rsid w:val="00F52C0F"/>
    <w:rsid w:val="00F54B67"/>
    <w:rsid w:val="00F54B9C"/>
    <w:rsid w:val="00F55055"/>
    <w:rsid w:val="00F55404"/>
    <w:rsid w:val="00F5547E"/>
    <w:rsid w:val="00F557FB"/>
    <w:rsid w:val="00F55C19"/>
    <w:rsid w:val="00F55D61"/>
    <w:rsid w:val="00F56992"/>
    <w:rsid w:val="00F57010"/>
    <w:rsid w:val="00F5712D"/>
    <w:rsid w:val="00F6115A"/>
    <w:rsid w:val="00F62AE7"/>
    <w:rsid w:val="00F62F01"/>
    <w:rsid w:val="00F63D75"/>
    <w:rsid w:val="00F644E7"/>
    <w:rsid w:val="00F645A6"/>
    <w:rsid w:val="00F65B28"/>
    <w:rsid w:val="00F6684F"/>
    <w:rsid w:val="00F66B45"/>
    <w:rsid w:val="00F670F5"/>
    <w:rsid w:val="00F67FAB"/>
    <w:rsid w:val="00F7010E"/>
    <w:rsid w:val="00F72D46"/>
    <w:rsid w:val="00F738FB"/>
    <w:rsid w:val="00F73AFB"/>
    <w:rsid w:val="00F73D82"/>
    <w:rsid w:val="00F740A9"/>
    <w:rsid w:val="00F74359"/>
    <w:rsid w:val="00F76F86"/>
    <w:rsid w:val="00F777C2"/>
    <w:rsid w:val="00F8044D"/>
    <w:rsid w:val="00F80516"/>
    <w:rsid w:val="00F8115C"/>
    <w:rsid w:val="00F81818"/>
    <w:rsid w:val="00F85621"/>
    <w:rsid w:val="00F8634C"/>
    <w:rsid w:val="00F86580"/>
    <w:rsid w:val="00F87471"/>
    <w:rsid w:val="00F87D7A"/>
    <w:rsid w:val="00F917EE"/>
    <w:rsid w:val="00F92A46"/>
    <w:rsid w:val="00F9383E"/>
    <w:rsid w:val="00F93C41"/>
    <w:rsid w:val="00F95641"/>
    <w:rsid w:val="00F958CD"/>
    <w:rsid w:val="00F96024"/>
    <w:rsid w:val="00F96217"/>
    <w:rsid w:val="00F96FCA"/>
    <w:rsid w:val="00F97B29"/>
    <w:rsid w:val="00FA071A"/>
    <w:rsid w:val="00FA1718"/>
    <w:rsid w:val="00FA171A"/>
    <w:rsid w:val="00FA182A"/>
    <w:rsid w:val="00FA1C3F"/>
    <w:rsid w:val="00FA2799"/>
    <w:rsid w:val="00FA2BCF"/>
    <w:rsid w:val="00FA2E5C"/>
    <w:rsid w:val="00FA47A8"/>
    <w:rsid w:val="00FA4F08"/>
    <w:rsid w:val="00FA5568"/>
    <w:rsid w:val="00FA584D"/>
    <w:rsid w:val="00FA5A91"/>
    <w:rsid w:val="00FA6076"/>
    <w:rsid w:val="00FA6842"/>
    <w:rsid w:val="00FA6DF9"/>
    <w:rsid w:val="00FA6ED7"/>
    <w:rsid w:val="00FA7497"/>
    <w:rsid w:val="00FA7500"/>
    <w:rsid w:val="00FB0B97"/>
    <w:rsid w:val="00FB25EC"/>
    <w:rsid w:val="00FB36D2"/>
    <w:rsid w:val="00FB3D16"/>
    <w:rsid w:val="00FB4048"/>
    <w:rsid w:val="00FB418B"/>
    <w:rsid w:val="00FB4898"/>
    <w:rsid w:val="00FB4D28"/>
    <w:rsid w:val="00FB5233"/>
    <w:rsid w:val="00FB6696"/>
    <w:rsid w:val="00FC1731"/>
    <w:rsid w:val="00FC285D"/>
    <w:rsid w:val="00FC3DBA"/>
    <w:rsid w:val="00FC56A0"/>
    <w:rsid w:val="00FC6200"/>
    <w:rsid w:val="00FC746F"/>
    <w:rsid w:val="00FC7A12"/>
    <w:rsid w:val="00FC7DC3"/>
    <w:rsid w:val="00FD053F"/>
    <w:rsid w:val="00FD0FEC"/>
    <w:rsid w:val="00FD18E0"/>
    <w:rsid w:val="00FD1B3F"/>
    <w:rsid w:val="00FD2573"/>
    <w:rsid w:val="00FD260E"/>
    <w:rsid w:val="00FD36B7"/>
    <w:rsid w:val="00FD43DB"/>
    <w:rsid w:val="00FD4525"/>
    <w:rsid w:val="00FD5677"/>
    <w:rsid w:val="00FD5A27"/>
    <w:rsid w:val="00FD5E0B"/>
    <w:rsid w:val="00FD7953"/>
    <w:rsid w:val="00FD7FD3"/>
    <w:rsid w:val="00FE029C"/>
    <w:rsid w:val="00FE073A"/>
    <w:rsid w:val="00FE1523"/>
    <w:rsid w:val="00FE1527"/>
    <w:rsid w:val="00FE3F82"/>
    <w:rsid w:val="00FE451F"/>
    <w:rsid w:val="00FE45E1"/>
    <w:rsid w:val="00FE58E7"/>
    <w:rsid w:val="00FE6187"/>
    <w:rsid w:val="00FE6872"/>
    <w:rsid w:val="00FE7E3B"/>
    <w:rsid w:val="00FF050F"/>
    <w:rsid w:val="00FF0EBE"/>
    <w:rsid w:val="00FF2392"/>
    <w:rsid w:val="00FF27A0"/>
    <w:rsid w:val="00FF2847"/>
    <w:rsid w:val="00FF3E6C"/>
    <w:rsid w:val="00FF4D75"/>
    <w:rsid w:val="00FF606A"/>
    <w:rsid w:val="00FF6FF8"/>
    <w:rsid w:val="00FF7F12"/>
    <w:rsid w:val="015F0183"/>
    <w:rsid w:val="01A861D0"/>
    <w:rsid w:val="01B938CE"/>
    <w:rsid w:val="01CA78C3"/>
    <w:rsid w:val="02ED75DB"/>
    <w:rsid w:val="03413D3B"/>
    <w:rsid w:val="03517515"/>
    <w:rsid w:val="046140F6"/>
    <w:rsid w:val="046F2D51"/>
    <w:rsid w:val="04E24AEA"/>
    <w:rsid w:val="04F60EFC"/>
    <w:rsid w:val="04FD6203"/>
    <w:rsid w:val="0530678A"/>
    <w:rsid w:val="05733463"/>
    <w:rsid w:val="06F45AD8"/>
    <w:rsid w:val="07A61D2E"/>
    <w:rsid w:val="07E02CB3"/>
    <w:rsid w:val="089710F7"/>
    <w:rsid w:val="08D6301C"/>
    <w:rsid w:val="09557F71"/>
    <w:rsid w:val="0A5D3D93"/>
    <w:rsid w:val="0A696E00"/>
    <w:rsid w:val="0B2B177B"/>
    <w:rsid w:val="0B325825"/>
    <w:rsid w:val="0B3474FD"/>
    <w:rsid w:val="0B822D26"/>
    <w:rsid w:val="0BC35BD8"/>
    <w:rsid w:val="0C1A784C"/>
    <w:rsid w:val="0C972F87"/>
    <w:rsid w:val="0CB86D18"/>
    <w:rsid w:val="0D035C24"/>
    <w:rsid w:val="0D485AB7"/>
    <w:rsid w:val="0D6644B8"/>
    <w:rsid w:val="0D782426"/>
    <w:rsid w:val="0DAD464C"/>
    <w:rsid w:val="0F342F8E"/>
    <w:rsid w:val="0FF824A5"/>
    <w:rsid w:val="100B1BA1"/>
    <w:rsid w:val="103C1BB6"/>
    <w:rsid w:val="118E279A"/>
    <w:rsid w:val="124B22F7"/>
    <w:rsid w:val="12B038F1"/>
    <w:rsid w:val="14384A58"/>
    <w:rsid w:val="15D6508A"/>
    <w:rsid w:val="161B4457"/>
    <w:rsid w:val="16614970"/>
    <w:rsid w:val="16CE1049"/>
    <w:rsid w:val="174E36AE"/>
    <w:rsid w:val="17CE7E2A"/>
    <w:rsid w:val="182C4D12"/>
    <w:rsid w:val="18341948"/>
    <w:rsid w:val="191B1F53"/>
    <w:rsid w:val="193261D5"/>
    <w:rsid w:val="197607B7"/>
    <w:rsid w:val="19C30A26"/>
    <w:rsid w:val="19CF1DF0"/>
    <w:rsid w:val="1A3F173E"/>
    <w:rsid w:val="1A48564D"/>
    <w:rsid w:val="1AD2176E"/>
    <w:rsid w:val="1B9B2757"/>
    <w:rsid w:val="1BE41FCD"/>
    <w:rsid w:val="1C266934"/>
    <w:rsid w:val="1D272744"/>
    <w:rsid w:val="1DF9BED6"/>
    <w:rsid w:val="1E4C1AE7"/>
    <w:rsid w:val="1EBE5045"/>
    <w:rsid w:val="1F24228D"/>
    <w:rsid w:val="1F376720"/>
    <w:rsid w:val="1F4838B7"/>
    <w:rsid w:val="1FBA3BCF"/>
    <w:rsid w:val="20952BC4"/>
    <w:rsid w:val="211C4A0A"/>
    <w:rsid w:val="22531A19"/>
    <w:rsid w:val="22A43544"/>
    <w:rsid w:val="22A6341D"/>
    <w:rsid w:val="236C029E"/>
    <w:rsid w:val="23AE2367"/>
    <w:rsid w:val="23BA628E"/>
    <w:rsid w:val="24B139C3"/>
    <w:rsid w:val="24F23035"/>
    <w:rsid w:val="25A47847"/>
    <w:rsid w:val="26E843FD"/>
    <w:rsid w:val="27350C59"/>
    <w:rsid w:val="27A57BF0"/>
    <w:rsid w:val="2870527C"/>
    <w:rsid w:val="2896616C"/>
    <w:rsid w:val="28981BC9"/>
    <w:rsid w:val="296E1DB3"/>
    <w:rsid w:val="2A5C6C8C"/>
    <w:rsid w:val="2B722731"/>
    <w:rsid w:val="2BAE5A7E"/>
    <w:rsid w:val="2BB17AD7"/>
    <w:rsid w:val="2BCC7685"/>
    <w:rsid w:val="2C7E7C57"/>
    <w:rsid w:val="2E594AE4"/>
    <w:rsid w:val="2E982711"/>
    <w:rsid w:val="2EBC3A3B"/>
    <w:rsid w:val="2F5E43FF"/>
    <w:rsid w:val="2FD427F7"/>
    <w:rsid w:val="2FFA3A98"/>
    <w:rsid w:val="302B0F5B"/>
    <w:rsid w:val="309A4091"/>
    <w:rsid w:val="312F36B8"/>
    <w:rsid w:val="334A04A9"/>
    <w:rsid w:val="338F6983"/>
    <w:rsid w:val="33D07360"/>
    <w:rsid w:val="3417273F"/>
    <w:rsid w:val="34B62146"/>
    <w:rsid w:val="36175841"/>
    <w:rsid w:val="36DA7E01"/>
    <w:rsid w:val="371838AC"/>
    <w:rsid w:val="37B15378"/>
    <w:rsid w:val="37CD3840"/>
    <w:rsid w:val="395E32CD"/>
    <w:rsid w:val="39AA3F3A"/>
    <w:rsid w:val="39CB7C97"/>
    <w:rsid w:val="3BA13E00"/>
    <w:rsid w:val="3CA04896"/>
    <w:rsid w:val="3CE748B6"/>
    <w:rsid w:val="3D6469F5"/>
    <w:rsid w:val="3DA71E8E"/>
    <w:rsid w:val="3DB20B8A"/>
    <w:rsid w:val="3DC20716"/>
    <w:rsid w:val="3DC93C88"/>
    <w:rsid w:val="3DEF1BA5"/>
    <w:rsid w:val="3E155E41"/>
    <w:rsid w:val="3E5864E6"/>
    <w:rsid w:val="3E741757"/>
    <w:rsid w:val="3EA852B5"/>
    <w:rsid w:val="3EC67696"/>
    <w:rsid w:val="3EF4389B"/>
    <w:rsid w:val="3F8C3675"/>
    <w:rsid w:val="3FB27987"/>
    <w:rsid w:val="40966AEA"/>
    <w:rsid w:val="414A7AB2"/>
    <w:rsid w:val="41BD6944"/>
    <w:rsid w:val="448837BA"/>
    <w:rsid w:val="44D93AD9"/>
    <w:rsid w:val="450879C1"/>
    <w:rsid w:val="46853538"/>
    <w:rsid w:val="46AB640D"/>
    <w:rsid w:val="477F61D9"/>
    <w:rsid w:val="47E556B4"/>
    <w:rsid w:val="49692AE5"/>
    <w:rsid w:val="49C12AD9"/>
    <w:rsid w:val="49F679E6"/>
    <w:rsid w:val="4B0F1A6F"/>
    <w:rsid w:val="4B183C90"/>
    <w:rsid w:val="4B626DA5"/>
    <w:rsid w:val="4B8D1C66"/>
    <w:rsid w:val="4D2E400B"/>
    <w:rsid w:val="4D330192"/>
    <w:rsid w:val="4D58588C"/>
    <w:rsid w:val="4EA333B5"/>
    <w:rsid w:val="4FCA5663"/>
    <w:rsid w:val="50520EDB"/>
    <w:rsid w:val="50D17B4D"/>
    <w:rsid w:val="50F15A0A"/>
    <w:rsid w:val="53DA174D"/>
    <w:rsid w:val="545E48E0"/>
    <w:rsid w:val="54A729F5"/>
    <w:rsid w:val="55D16D3A"/>
    <w:rsid w:val="56273BD2"/>
    <w:rsid w:val="56525998"/>
    <w:rsid w:val="56BD07AB"/>
    <w:rsid w:val="5A3367B1"/>
    <w:rsid w:val="5B914A01"/>
    <w:rsid w:val="5D255838"/>
    <w:rsid w:val="5D3A5D20"/>
    <w:rsid w:val="5D3F44EB"/>
    <w:rsid w:val="5DAC1CA8"/>
    <w:rsid w:val="5F3E2048"/>
    <w:rsid w:val="5F837F36"/>
    <w:rsid w:val="5FAE7A09"/>
    <w:rsid w:val="5FB0031A"/>
    <w:rsid w:val="60561859"/>
    <w:rsid w:val="614B6138"/>
    <w:rsid w:val="62003C91"/>
    <w:rsid w:val="62393368"/>
    <w:rsid w:val="62822FC4"/>
    <w:rsid w:val="62C46BE6"/>
    <w:rsid w:val="635E6FC5"/>
    <w:rsid w:val="63CF06BF"/>
    <w:rsid w:val="641D1A64"/>
    <w:rsid w:val="65020480"/>
    <w:rsid w:val="659113D4"/>
    <w:rsid w:val="664176C8"/>
    <w:rsid w:val="66A74CE3"/>
    <w:rsid w:val="67070DB9"/>
    <w:rsid w:val="679477B2"/>
    <w:rsid w:val="685D646B"/>
    <w:rsid w:val="68FB2EF0"/>
    <w:rsid w:val="69294A2E"/>
    <w:rsid w:val="69CF1D8C"/>
    <w:rsid w:val="69DC0F53"/>
    <w:rsid w:val="6A951E8A"/>
    <w:rsid w:val="6AC6183B"/>
    <w:rsid w:val="6C0855E0"/>
    <w:rsid w:val="6C1955E1"/>
    <w:rsid w:val="6CF50B68"/>
    <w:rsid w:val="6EAC41D7"/>
    <w:rsid w:val="6F463D1E"/>
    <w:rsid w:val="6F4C789A"/>
    <w:rsid w:val="6F7BE993"/>
    <w:rsid w:val="70866B1F"/>
    <w:rsid w:val="70D860B4"/>
    <w:rsid w:val="712469CE"/>
    <w:rsid w:val="716C059F"/>
    <w:rsid w:val="718E26BD"/>
    <w:rsid w:val="72BF5785"/>
    <w:rsid w:val="72ED76C9"/>
    <w:rsid w:val="73122B67"/>
    <w:rsid w:val="754464F2"/>
    <w:rsid w:val="76AD6ED9"/>
    <w:rsid w:val="77704F2E"/>
    <w:rsid w:val="778B6172"/>
    <w:rsid w:val="78176AF7"/>
    <w:rsid w:val="782E082C"/>
    <w:rsid w:val="7A9F2245"/>
    <w:rsid w:val="7AB27C48"/>
    <w:rsid w:val="7BED30EB"/>
    <w:rsid w:val="7CC451FF"/>
    <w:rsid w:val="7CE5286F"/>
    <w:rsid w:val="7CE75B3C"/>
    <w:rsid w:val="7D02120B"/>
    <w:rsid w:val="7D0B7E88"/>
    <w:rsid w:val="7D292A16"/>
    <w:rsid w:val="7DA45727"/>
    <w:rsid w:val="7DC63331"/>
    <w:rsid w:val="7DCA4A14"/>
    <w:rsid w:val="7DF356D1"/>
    <w:rsid w:val="7E592B91"/>
    <w:rsid w:val="D87FAE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39"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1"/>
    <w:qFormat/>
    <w:uiPriority w:val="0"/>
    <w:pPr>
      <w:keepNext/>
      <w:jc w:val="center"/>
      <w:outlineLvl w:val="0"/>
    </w:pPr>
    <w:rPr>
      <w:sz w:val="28"/>
    </w:rPr>
  </w:style>
  <w:style w:type="paragraph" w:styleId="3">
    <w:name w:val="heading 2"/>
    <w:basedOn w:val="1"/>
    <w:next w:val="1"/>
    <w:link w:val="5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3"/>
    <w:qFormat/>
    <w:uiPriority w:val="0"/>
    <w:pPr>
      <w:keepNext/>
      <w:keepLines/>
      <w:spacing w:line="360" w:lineRule="auto"/>
      <w:outlineLvl w:val="2"/>
    </w:pPr>
    <w:rPr>
      <w:b/>
      <w:bCs/>
      <w:sz w:val="24"/>
      <w:szCs w:val="32"/>
    </w:rPr>
  </w:style>
  <w:style w:type="paragraph" w:styleId="5">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5"/>
    <w:qFormat/>
    <w:uiPriority w:val="0"/>
    <w:pPr>
      <w:keepNext/>
      <w:keepLines/>
      <w:widowControl/>
      <w:spacing w:before="120" w:after="120" w:line="360" w:lineRule="auto"/>
      <w:ind w:firstLine="499"/>
      <w:jc w:val="left"/>
      <w:outlineLvl w:val="4"/>
    </w:pPr>
    <w:rPr>
      <w:rFonts w:ascii="宋体" w:hAnsi="宋体"/>
      <w:b/>
      <w:kern w:val="0"/>
      <w:sz w:val="24"/>
    </w:rPr>
  </w:style>
  <w:style w:type="paragraph" w:styleId="7">
    <w:name w:val="heading 6"/>
    <w:basedOn w:val="1"/>
    <w:next w:val="1"/>
    <w:link w:val="56"/>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8">
    <w:name w:val="heading 7"/>
    <w:basedOn w:val="1"/>
    <w:next w:val="1"/>
    <w:link w:val="57"/>
    <w:qFormat/>
    <w:uiPriority w:val="0"/>
    <w:pPr>
      <w:keepNext/>
      <w:keepLines/>
      <w:widowControl/>
      <w:tabs>
        <w:tab w:val="left" w:pos="2520"/>
      </w:tabs>
      <w:spacing w:before="240" w:after="64" w:line="320" w:lineRule="auto"/>
      <w:ind w:left="1296" w:hanging="1296"/>
      <w:jc w:val="left"/>
      <w:outlineLvl w:val="6"/>
    </w:pPr>
    <w:rPr>
      <w:b/>
      <w:bCs/>
      <w:kern w:val="0"/>
      <w:sz w:val="24"/>
      <w:szCs w:val="24"/>
    </w:rPr>
  </w:style>
  <w:style w:type="paragraph" w:styleId="9">
    <w:name w:val="heading 8"/>
    <w:basedOn w:val="1"/>
    <w:next w:val="1"/>
    <w:link w:val="58"/>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0">
    <w:name w:val="heading 9"/>
    <w:basedOn w:val="1"/>
    <w:next w:val="1"/>
    <w:link w:val="59"/>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ind w:left="100" w:leftChars="400" w:hanging="200" w:hangingChars="200"/>
      <w:jc w:val="left"/>
    </w:pPr>
    <w:rPr>
      <w:kern w:val="0"/>
      <w:sz w:val="20"/>
    </w:rPr>
  </w:style>
  <w:style w:type="paragraph" w:styleId="12">
    <w:name w:val="Normal Indent"/>
    <w:basedOn w:val="1"/>
    <w:next w:val="13"/>
    <w:qFormat/>
    <w:uiPriority w:val="0"/>
    <w:pPr>
      <w:widowControl/>
      <w:ind w:firstLine="420"/>
      <w:jc w:val="left"/>
    </w:pPr>
    <w:rPr>
      <w:kern w:val="0"/>
      <w:sz w:val="20"/>
    </w:rPr>
  </w:style>
  <w:style w:type="paragraph" w:styleId="13">
    <w:name w:val="toc 4"/>
    <w:basedOn w:val="1"/>
    <w:next w:val="1"/>
    <w:qFormat/>
    <w:uiPriority w:val="39"/>
    <w:pPr>
      <w:ind w:left="1260" w:leftChars="600"/>
    </w:pPr>
  </w:style>
  <w:style w:type="paragraph" w:styleId="14">
    <w:name w:val="Document Map"/>
    <w:basedOn w:val="1"/>
    <w:link w:val="60"/>
    <w:qFormat/>
    <w:uiPriority w:val="0"/>
    <w:pPr>
      <w:shd w:val="clear" w:color="auto" w:fill="000080"/>
    </w:pPr>
    <w:rPr>
      <w:szCs w:val="24"/>
    </w:rPr>
  </w:style>
  <w:style w:type="paragraph" w:styleId="15">
    <w:name w:val="annotation text"/>
    <w:basedOn w:val="1"/>
    <w:link w:val="61"/>
    <w:qFormat/>
    <w:uiPriority w:val="0"/>
    <w:pPr>
      <w:jc w:val="left"/>
    </w:pPr>
  </w:style>
  <w:style w:type="paragraph" w:styleId="16">
    <w:name w:val="Body Text 3"/>
    <w:basedOn w:val="1"/>
    <w:link w:val="62"/>
    <w:qFormat/>
    <w:uiPriority w:val="0"/>
    <w:rPr>
      <w:rFonts w:ascii="宋体"/>
      <w:sz w:val="24"/>
    </w:rPr>
  </w:style>
  <w:style w:type="paragraph" w:styleId="17">
    <w:name w:val="Body Text"/>
    <w:basedOn w:val="1"/>
    <w:next w:val="1"/>
    <w:link w:val="63"/>
    <w:qFormat/>
    <w:uiPriority w:val="0"/>
    <w:pPr>
      <w:adjustRightInd w:val="0"/>
      <w:spacing w:after="60" w:line="360" w:lineRule="atLeast"/>
      <w:ind w:left="72" w:leftChars="30" w:right="30" w:rightChars="30"/>
      <w:jc w:val="center"/>
      <w:textAlignment w:val="baseline"/>
    </w:pPr>
  </w:style>
  <w:style w:type="paragraph" w:styleId="18">
    <w:name w:val="Body Text Indent"/>
    <w:basedOn w:val="1"/>
    <w:link w:val="64"/>
    <w:qFormat/>
    <w:uiPriority w:val="0"/>
    <w:pPr>
      <w:ind w:firstLine="552"/>
    </w:pPr>
    <w:rPr>
      <w:rFonts w:ascii="宋体"/>
      <w:sz w:val="28"/>
    </w:rPr>
  </w:style>
  <w:style w:type="paragraph" w:styleId="19">
    <w:name w:val="List 2"/>
    <w:basedOn w:val="1"/>
    <w:qFormat/>
    <w:uiPriority w:val="0"/>
    <w:pPr>
      <w:widowControl/>
      <w:ind w:left="100" w:leftChars="200" w:hanging="200" w:hangingChars="200"/>
      <w:jc w:val="left"/>
    </w:pPr>
    <w:rPr>
      <w:kern w:val="0"/>
      <w:sz w:val="20"/>
    </w:rPr>
  </w:style>
  <w:style w:type="paragraph" w:styleId="20">
    <w:name w:val="Block Text"/>
    <w:basedOn w:val="1"/>
    <w:qFormat/>
    <w:uiPriority w:val="0"/>
    <w:pPr>
      <w:adjustRightInd w:val="0"/>
      <w:ind w:left="420" w:right="33"/>
      <w:jc w:val="left"/>
      <w:textAlignment w:val="baseline"/>
    </w:pPr>
    <w:rPr>
      <w:kern w:val="0"/>
      <w:sz w:val="24"/>
    </w:rPr>
  </w:style>
  <w:style w:type="paragraph" w:styleId="21">
    <w:name w:val="toc 3"/>
    <w:basedOn w:val="1"/>
    <w:next w:val="1"/>
    <w:qFormat/>
    <w:uiPriority w:val="0"/>
    <w:pPr>
      <w:ind w:left="840" w:leftChars="400"/>
    </w:pPr>
    <w:rPr>
      <w:szCs w:val="24"/>
    </w:rPr>
  </w:style>
  <w:style w:type="paragraph" w:styleId="22">
    <w:name w:val="Plain Text"/>
    <w:basedOn w:val="1"/>
    <w:link w:val="65"/>
    <w:qFormat/>
    <w:uiPriority w:val="0"/>
    <w:rPr>
      <w:rFonts w:ascii="宋体" w:hAnsi="Courier New"/>
    </w:rPr>
  </w:style>
  <w:style w:type="paragraph" w:styleId="23">
    <w:name w:val="Date"/>
    <w:basedOn w:val="1"/>
    <w:next w:val="1"/>
    <w:link w:val="66"/>
    <w:qFormat/>
    <w:uiPriority w:val="0"/>
    <w:rPr>
      <w:rFonts w:ascii="宋体"/>
      <w:sz w:val="24"/>
    </w:rPr>
  </w:style>
  <w:style w:type="paragraph" w:styleId="24">
    <w:name w:val="Body Text Indent 2"/>
    <w:basedOn w:val="1"/>
    <w:link w:val="67"/>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rPr>
  </w:style>
  <w:style w:type="paragraph" w:styleId="25">
    <w:name w:val="Balloon Text"/>
    <w:basedOn w:val="1"/>
    <w:link w:val="68"/>
    <w:qFormat/>
    <w:uiPriority w:val="99"/>
    <w:rPr>
      <w:sz w:val="18"/>
      <w:szCs w:val="18"/>
    </w:rPr>
  </w:style>
  <w:style w:type="paragraph" w:styleId="26">
    <w:name w:val="footer"/>
    <w:basedOn w:val="1"/>
    <w:link w:val="69"/>
    <w:qFormat/>
    <w:uiPriority w:val="0"/>
    <w:pPr>
      <w:tabs>
        <w:tab w:val="right" w:pos="8931"/>
      </w:tabs>
      <w:adjustRightInd w:val="0"/>
      <w:spacing w:line="240" w:lineRule="atLeast"/>
      <w:jc w:val="left"/>
      <w:textAlignment w:val="baseline"/>
    </w:pPr>
    <w:rPr>
      <w:rFonts w:ascii="宋体" w:hAnsi="宋体"/>
      <w:kern w:val="0"/>
      <w:sz w:val="18"/>
    </w:rPr>
  </w:style>
  <w:style w:type="paragraph" w:styleId="27">
    <w:name w:val="header"/>
    <w:basedOn w:val="1"/>
    <w:link w:val="70"/>
    <w:qFormat/>
    <w:uiPriority w:val="99"/>
    <w:pP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List"/>
    <w:basedOn w:val="1"/>
    <w:qFormat/>
    <w:uiPriority w:val="0"/>
    <w:pPr>
      <w:widowControl/>
      <w:ind w:left="200" w:hanging="200" w:hangingChars="200"/>
      <w:jc w:val="left"/>
    </w:pPr>
    <w:rPr>
      <w:kern w:val="0"/>
      <w:sz w:val="20"/>
    </w:rPr>
  </w:style>
  <w:style w:type="paragraph" w:styleId="30">
    <w:name w:val="Body Text Indent 3"/>
    <w:basedOn w:val="1"/>
    <w:link w:val="71"/>
    <w:qFormat/>
    <w:uiPriority w:val="0"/>
    <w:pPr>
      <w:spacing w:after="120"/>
      <w:ind w:left="420" w:leftChars="200"/>
    </w:pPr>
    <w:rPr>
      <w:sz w:val="16"/>
      <w:szCs w:val="16"/>
    </w:rPr>
  </w:style>
  <w:style w:type="paragraph" w:styleId="31">
    <w:name w:val="toc 2"/>
    <w:basedOn w:val="1"/>
    <w:next w:val="1"/>
    <w:qFormat/>
    <w:uiPriority w:val="39"/>
    <w:pPr>
      <w:ind w:left="420" w:leftChars="200"/>
    </w:pPr>
    <w:rPr>
      <w:szCs w:val="24"/>
    </w:rPr>
  </w:style>
  <w:style w:type="paragraph" w:styleId="32">
    <w:name w:val="Body Text 2"/>
    <w:basedOn w:val="1"/>
    <w:link w:val="72"/>
    <w:qFormat/>
    <w:uiPriority w:val="0"/>
    <w:rPr>
      <w:sz w:val="28"/>
    </w:rPr>
  </w:style>
  <w:style w:type="paragraph" w:styleId="3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34">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6">
    <w:name w:val="index 1"/>
    <w:basedOn w:val="1"/>
    <w:next w:val="1"/>
    <w:qFormat/>
    <w:uiPriority w:val="0"/>
    <w:rPr>
      <w:szCs w:val="24"/>
    </w:rPr>
  </w:style>
  <w:style w:type="paragraph" w:styleId="37">
    <w:name w:val="Title"/>
    <w:basedOn w:val="1"/>
    <w:link w:val="74"/>
    <w:qFormat/>
    <w:uiPriority w:val="0"/>
    <w:pPr>
      <w:adjustRightInd w:val="0"/>
      <w:spacing w:before="240" w:after="60" w:line="312" w:lineRule="atLeast"/>
      <w:jc w:val="center"/>
      <w:textAlignment w:val="baseline"/>
      <w:outlineLvl w:val="0"/>
    </w:pPr>
    <w:rPr>
      <w:rFonts w:ascii="Arial" w:hAnsi="Arial" w:eastAsia="楷体_GB2312"/>
      <w:b/>
      <w:kern w:val="0"/>
      <w:sz w:val="32"/>
      <w:szCs w:val="32"/>
    </w:rPr>
  </w:style>
  <w:style w:type="paragraph" w:styleId="38">
    <w:name w:val="annotation subject"/>
    <w:basedOn w:val="15"/>
    <w:next w:val="15"/>
    <w:link w:val="75"/>
    <w:unhideWhenUsed/>
    <w:qFormat/>
    <w:uiPriority w:val="99"/>
    <w:rPr>
      <w:b/>
      <w:bCs/>
      <w:szCs w:val="24"/>
    </w:rPr>
  </w:style>
  <w:style w:type="paragraph" w:styleId="39">
    <w:name w:val="Body Text First Indent"/>
    <w:basedOn w:val="17"/>
    <w:link w:val="76"/>
    <w:qFormat/>
    <w:uiPriority w:val="0"/>
    <w:pPr>
      <w:adjustRightInd/>
      <w:spacing w:after="120" w:line="240" w:lineRule="auto"/>
      <w:ind w:left="0" w:leftChars="0" w:right="0" w:rightChars="0" w:firstLine="420" w:firstLineChars="100"/>
      <w:jc w:val="both"/>
      <w:textAlignment w:val="auto"/>
    </w:pPr>
    <w:rPr>
      <w:szCs w:val="24"/>
    </w:rPr>
  </w:style>
  <w:style w:type="paragraph" w:styleId="40">
    <w:name w:val="Body Text First Indent 2"/>
    <w:basedOn w:val="18"/>
    <w:link w:val="77"/>
    <w:qFormat/>
    <w:uiPriority w:val="0"/>
    <w:pPr>
      <w:widowControl/>
      <w:spacing w:after="120"/>
      <w:ind w:left="420" w:leftChars="200" w:firstLine="420" w:firstLineChars="200"/>
      <w:jc w:val="left"/>
    </w:pPr>
  </w:style>
  <w:style w:type="table" w:styleId="42">
    <w:name w:val="Table Grid"/>
    <w:basedOn w:val="4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basedOn w:val="43"/>
    <w:qFormat/>
    <w:uiPriority w:val="22"/>
    <w:rPr>
      <w:b/>
      <w:bCs/>
    </w:rPr>
  </w:style>
  <w:style w:type="character" w:styleId="45">
    <w:name w:val="FollowedHyperlink"/>
    <w:unhideWhenUsed/>
    <w:qFormat/>
    <w:uiPriority w:val="0"/>
    <w:rPr>
      <w:color w:val="800080"/>
      <w:u w:val="single"/>
    </w:rPr>
  </w:style>
  <w:style w:type="character" w:styleId="46">
    <w:name w:val="Emphasis"/>
    <w:qFormat/>
    <w:uiPriority w:val="0"/>
    <w:rPr>
      <w:i/>
      <w:iCs/>
    </w:rPr>
  </w:style>
  <w:style w:type="character" w:styleId="47">
    <w:name w:val="Hyperlink"/>
    <w:qFormat/>
    <w:uiPriority w:val="99"/>
    <w:rPr>
      <w:color w:val="0000FF"/>
      <w:u w:val="single"/>
    </w:rPr>
  </w:style>
  <w:style w:type="character" w:styleId="48">
    <w:name w:val="annotation reference"/>
    <w:unhideWhenUsed/>
    <w:qFormat/>
    <w:uiPriority w:val="99"/>
    <w:rPr>
      <w:sz w:val="21"/>
      <w:szCs w:val="21"/>
    </w:rPr>
  </w:style>
  <w:style w:type="paragraph" w:customStyle="1" w:styleId="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0">
    <w:name w:val="BodyText"/>
    <w:basedOn w:val="1"/>
    <w:next w:val="1"/>
    <w:qFormat/>
    <w:uiPriority w:val="0"/>
    <w:pPr>
      <w:spacing w:after="120"/>
      <w:jc w:val="both"/>
      <w:textAlignment w:val="baseline"/>
    </w:pPr>
  </w:style>
  <w:style w:type="character" w:customStyle="1" w:styleId="51">
    <w:name w:val="标题 1 Char"/>
    <w:link w:val="2"/>
    <w:qFormat/>
    <w:uiPriority w:val="0"/>
    <w:rPr>
      <w:kern w:val="2"/>
      <w:sz w:val="28"/>
    </w:rPr>
  </w:style>
  <w:style w:type="character" w:customStyle="1" w:styleId="52">
    <w:name w:val="标题 2 Char"/>
    <w:link w:val="3"/>
    <w:qFormat/>
    <w:uiPriority w:val="0"/>
    <w:rPr>
      <w:rFonts w:ascii="Arial" w:hAnsi="Arial" w:eastAsia="黑体"/>
      <w:b/>
      <w:bCs/>
      <w:kern w:val="2"/>
      <w:sz w:val="32"/>
      <w:szCs w:val="32"/>
    </w:rPr>
  </w:style>
  <w:style w:type="character" w:customStyle="1" w:styleId="53">
    <w:name w:val="标题 3 Char1"/>
    <w:link w:val="4"/>
    <w:qFormat/>
    <w:uiPriority w:val="0"/>
    <w:rPr>
      <w:b/>
      <w:bCs/>
      <w:kern w:val="2"/>
      <w:sz w:val="24"/>
      <w:szCs w:val="32"/>
    </w:rPr>
  </w:style>
  <w:style w:type="character" w:customStyle="1" w:styleId="54">
    <w:name w:val="标题 4 Char"/>
    <w:link w:val="5"/>
    <w:qFormat/>
    <w:uiPriority w:val="0"/>
    <w:rPr>
      <w:rFonts w:ascii="Arial" w:hAnsi="Arial" w:eastAsia="黑体"/>
      <w:b/>
      <w:bCs/>
      <w:kern w:val="2"/>
      <w:sz w:val="28"/>
      <w:szCs w:val="28"/>
    </w:rPr>
  </w:style>
  <w:style w:type="character" w:customStyle="1" w:styleId="55">
    <w:name w:val="标题 5 Char"/>
    <w:link w:val="6"/>
    <w:qFormat/>
    <w:uiPriority w:val="0"/>
    <w:rPr>
      <w:rFonts w:ascii="宋体" w:hAnsi="宋体"/>
      <w:b/>
      <w:sz w:val="24"/>
    </w:rPr>
  </w:style>
  <w:style w:type="character" w:customStyle="1" w:styleId="56">
    <w:name w:val="标题 6 Char"/>
    <w:link w:val="7"/>
    <w:qFormat/>
    <w:uiPriority w:val="0"/>
    <w:rPr>
      <w:rFonts w:ascii="Arial" w:hAnsi="Arial" w:eastAsia="黑体"/>
      <w:b/>
      <w:bCs/>
      <w:sz w:val="24"/>
      <w:szCs w:val="24"/>
    </w:rPr>
  </w:style>
  <w:style w:type="character" w:customStyle="1" w:styleId="57">
    <w:name w:val="标题 7 Char"/>
    <w:link w:val="8"/>
    <w:qFormat/>
    <w:uiPriority w:val="0"/>
    <w:rPr>
      <w:b/>
      <w:bCs/>
      <w:sz w:val="24"/>
      <w:szCs w:val="24"/>
    </w:rPr>
  </w:style>
  <w:style w:type="character" w:customStyle="1" w:styleId="58">
    <w:name w:val="标题 8 Char"/>
    <w:link w:val="9"/>
    <w:qFormat/>
    <w:uiPriority w:val="0"/>
    <w:rPr>
      <w:rFonts w:ascii="Arial" w:hAnsi="Arial" w:eastAsia="黑体"/>
      <w:sz w:val="24"/>
      <w:szCs w:val="24"/>
    </w:rPr>
  </w:style>
  <w:style w:type="character" w:customStyle="1" w:styleId="59">
    <w:name w:val="标题 9 Char"/>
    <w:link w:val="10"/>
    <w:qFormat/>
    <w:uiPriority w:val="0"/>
    <w:rPr>
      <w:rFonts w:ascii="Arial" w:hAnsi="Arial" w:eastAsia="黑体"/>
      <w:sz w:val="21"/>
      <w:szCs w:val="21"/>
    </w:rPr>
  </w:style>
  <w:style w:type="character" w:customStyle="1" w:styleId="60">
    <w:name w:val="文档结构图 Char"/>
    <w:link w:val="14"/>
    <w:qFormat/>
    <w:uiPriority w:val="0"/>
    <w:rPr>
      <w:kern w:val="2"/>
      <w:sz w:val="21"/>
      <w:szCs w:val="24"/>
      <w:shd w:val="clear" w:color="auto" w:fill="000080"/>
    </w:rPr>
  </w:style>
  <w:style w:type="character" w:customStyle="1" w:styleId="61">
    <w:name w:val="批注文字 Char1"/>
    <w:link w:val="15"/>
    <w:qFormat/>
    <w:uiPriority w:val="0"/>
    <w:rPr>
      <w:kern w:val="2"/>
      <w:sz w:val="21"/>
    </w:rPr>
  </w:style>
  <w:style w:type="character" w:customStyle="1" w:styleId="62">
    <w:name w:val="正文文本 3 Char"/>
    <w:link w:val="16"/>
    <w:qFormat/>
    <w:uiPriority w:val="0"/>
    <w:rPr>
      <w:rFonts w:ascii="宋体"/>
      <w:kern w:val="2"/>
      <w:sz w:val="24"/>
    </w:rPr>
  </w:style>
  <w:style w:type="character" w:customStyle="1" w:styleId="63">
    <w:name w:val="正文文本 Char"/>
    <w:link w:val="17"/>
    <w:qFormat/>
    <w:uiPriority w:val="0"/>
    <w:rPr>
      <w:kern w:val="2"/>
      <w:sz w:val="21"/>
    </w:rPr>
  </w:style>
  <w:style w:type="character" w:customStyle="1" w:styleId="64">
    <w:name w:val="正文文本缩进 Char"/>
    <w:link w:val="18"/>
    <w:qFormat/>
    <w:uiPriority w:val="0"/>
    <w:rPr>
      <w:rFonts w:ascii="宋体" w:eastAsia="宋体"/>
      <w:kern w:val="2"/>
      <w:sz w:val="28"/>
      <w:lang w:val="en-US" w:eastAsia="zh-CN" w:bidi="ar-SA"/>
    </w:rPr>
  </w:style>
  <w:style w:type="character" w:customStyle="1" w:styleId="65">
    <w:name w:val="纯文本 Char"/>
    <w:link w:val="22"/>
    <w:qFormat/>
    <w:uiPriority w:val="0"/>
    <w:rPr>
      <w:rFonts w:ascii="宋体" w:hAnsi="Courier New" w:eastAsia="宋体"/>
      <w:kern w:val="2"/>
      <w:sz w:val="21"/>
      <w:lang w:val="en-US" w:eastAsia="zh-CN" w:bidi="ar-SA"/>
    </w:rPr>
  </w:style>
  <w:style w:type="character" w:customStyle="1" w:styleId="66">
    <w:name w:val="日期 Char"/>
    <w:link w:val="23"/>
    <w:qFormat/>
    <w:uiPriority w:val="0"/>
    <w:rPr>
      <w:rFonts w:ascii="宋体" w:eastAsia="宋体"/>
      <w:kern w:val="2"/>
      <w:sz w:val="24"/>
      <w:lang w:val="en-US" w:eastAsia="zh-CN" w:bidi="ar-SA"/>
    </w:rPr>
  </w:style>
  <w:style w:type="character" w:customStyle="1" w:styleId="67">
    <w:name w:val="正文文本缩进 2 Char"/>
    <w:link w:val="24"/>
    <w:qFormat/>
    <w:uiPriority w:val="0"/>
    <w:rPr>
      <w:rFonts w:ascii="宋体" w:hAnsi="MS Sans Serif"/>
      <w:spacing w:val="12"/>
      <w:sz w:val="24"/>
    </w:rPr>
  </w:style>
  <w:style w:type="character" w:customStyle="1" w:styleId="68">
    <w:name w:val="批注框文本 Char"/>
    <w:link w:val="25"/>
    <w:qFormat/>
    <w:uiPriority w:val="99"/>
    <w:rPr>
      <w:kern w:val="2"/>
      <w:sz w:val="18"/>
      <w:szCs w:val="18"/>
    </w:rPr>
  </w:style>
  <w:style w:type="character" w:customStyle="1" w:styleId="69">
    <w:name w:val="页脚 Char"/>
    <w:link w:val="26"/>
    <w:qFormat/>
    <w:uiPriority w:val="0"/>
    <w:rPr>
      <w:rFonts w:ascii="宋体" w:hAnsi="宋体"/>
      <w:sz w:val="18"/>
    </w:rPr>
  </w:style>
  <w:style w:type="character" w:customStyle="1" w:styleId="70">
    <w:name w:val="页眉 Char"/>
    <w:link w:val="27"/>
    <w:qFormat/>
    <w:uiPriority w:val="99"/>
    <w:rPr>
      <w:kern w:val="2"/>
      <w:sz w:val="18"/>
      <w:szCs w:val="18"/>
    </w:rPr>
  </w:style>
  <w:style w:type="character" w:customStyle="1" w:styleId="71">
    <w:name w:val="正文文本缩进 3 Char"/>
    <w:link w:val="30"/>
    <w:qFormat/>
    <w:uiPriority w:val="0"/>
    <w:rPr>
      <w:kern w:val="2"/>
      <w:sz w:val="16"/>
      <w:szCs w:val="16"/>
    </w:rPr>
  </w:style>
  <w:style w:type="character" w:customStyle="1" w:styleId="72">
    <w:name w:val="正文文本 2 Char"/>
    <w:link w:val="32"/>
    <w:qFormat/>
    <w:uiPriority w:val="0"/>
    <w:rPr>
      <w:kern w:val="2"/>
      <w:sz w:val="28"/>
    </w:rPr>
  </w:style>
  <w:style w:type="character" w:customStyle="1" w:styleId="73">
    <w:name w:val="HTML 预设格式 Char"/>
    <w:link w:val="34"/>
    <w:qFormat/>
    <w:uiPriority w:val="0"/>
    <w:rPr>
      <w:rFonts w:ascii="黑体" w:hAnsi="Courier New" w:eastAsia="黑体" w:cs="Courier New"/>
    </w:rPr>
  </w:style>
  <w:style w:type="character" w:customStyle="1" w:styleId="74">
    <w:name w:val="标题 Char"/>
    <w:link w:val="37"/>
    <w:qFormat/>
    <w:uiPriority w:val="0"/>
    <w:rPr>
      <w:rFonts w:ascii="Arial" w:hAnsi="Arial" w:eastAsia="楷体_GB2312" w:cs="Arial"/>
      <w:b/>
      <w:sz w:val="32"/>
      <w:szCs w:val="32"/>
    </w:rPr>
  </w:style>
  <w:style w:type="character" w:customStyle="1" w:styleId="75">
    <w:name w:val="批注主题 Char"/>
    <w:link w:val="38"/>
    <w:qFormat/>
    <w:uiPriority w:val="99"/>
    <w:rPr>
      <w:b/>
      <w:bCs/>
      <w:kern w:val="2"/>
      <w:sz w:val="21"/>
      <w:szCs w:val="24"/>
    </w:rPr>
  </w:style>
  <w:style w:type="character" w:customStyle="1" w:styleId="76">
    <w:name w:val="正文首行缩进 Char"/>
    <w:link w:val="39"/>
    <w:qFormat/>
    <w:uiPriority w:val="0"/>
    <w:rPr>
      <w:kern w:val="2"/>
      <w:sz w:val="21"/>
      <w:szCs w:val="24"/>
    </w:rPr>
  </w:style>
  <w:style w:type="character" w:customStyle="1" w:styleId="77">
    <w:name w:val="正文首行缩进 2 Char"/>
    <w:link w:val="40"/>
    <w:qFormat/>
    <w:uiPriority w:val="0"/>
    <w:rPr>
      <w:rFonts w:ascii="宋体" w:eastAsia="宋体"/>
      <w:kern w:val="2"/>
      <w:sz w:val="28"/>
      <w:lang w:val="en-US" w:eastAsia="zh-CN" w:bidi="ar-SA"/>
    </w:rPr>
  </w:style>
  <w:style w:type="paragraph" w:customStyle="1" w:styleId="78">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79">
    <w:name w:val="正文文本_"/>
    <w:link w:val="80"/>
    <w:qFormat/>
    <w:uiPriority w:val="0"/>
    <w:rPr>
      <w:rFonts w:ascii="MingLiU" w:hAnsi="MingLiU" w:eastAsia="MingLiU" w:cs="MingLiU"/>
      <w:spacing w:val="10"/>
      <w:kern w:val="0"/>
      <w:sz w:val="20"/>
      <w:szCs w:val="21"/>
    </w:rPr>
  </w:style>
  <w:style w:type="paragraph" w:customStyle="1" w:styleId="80">
    <w:name w:val="正文文本6"/>
    <w:basedOn w:val="1"/>
    <w:link w:val="79"/>
    <w:qFormat/>
    <w:uiPriority w:val="0"/>
    <w:pPr>
      <w:shd w:val="clear" w:color="auto" w:fill="FFFFFF"/>
      <w:spacing w:after="2340" w:line="0" w:lineRule="atLeast"/>
      <w:jc w:val="right"/>
    </w:pPr>
    <w:rPr>
      <w:rFonts w:ascii="MingLiU" w:hAnsi="MingLiU" w:eastAsia="MingLiU"/>
      <w:spacing w:val="10"/>
      <w:kern w:val="0"/>
      <w:sz w:val="20"/>
      <w:szCs w:val="21"/>
    </w:rPr>
  </w:style>
  <w:style w:type="character" w:customStyle="1" w:styleId="81">
    <w:name w:val="正文文本 + 粗体"/>
    <w:qFormat/>
    <w:uiPriority w:val="0"/>
    <w:rPr>
      <w:rFonts w:ascii="MingLiU" w:hAnsi="MingLiU" w:eastAsia="MingLiU" w:cs="MingLiU"/>
      <w:b/>
      <w:bCs/>
      <w:color w:val="000000"/>
      <w:spacing w:val="0"/>
      <w:w w:val="100"/>
      <w:position w:val="0"/>
      <w:szCs w:val="21"/>
      <w:shd w:val="clear" w:color="auto" w:fill="FFFFFF"/>
      <w:lang w:val="en-US"/>
    </w:rPr>
  </w:style>
  <w:style w:type="character" w:customStyle="1" w:styleId="82">
    <w:name w:val="browse_class"/>
    <w:qFormat/>
    <w:uiPriority w:val="0"/>
  </w:style>
  <w:style w:type="character" w:customStyle="1" w:styleId="83">
    <w:name w:val="Char Char19"/>
    <w:qFormat/>
    <w:uiPriority w:val="0"/>
    <w:rPr>
      <w:rFonts w:ascii="宋体" w:hAnsi="Courier New"/>
      <w:kern w:val="2"/>
      <w:sz w:val="21"/>
    </w:rPr>
  </w:style>
  <w:style w:type="character" w:customStyle="1" w:styleId="84">
    <w:name w:val="apple-converted-space"/>
    <w:qFormat/>
    <w:uiPriority w:val="0"/>
  </w:style>
  <w:style w:type="character" w:customStyle="1" w:styleId="85">
    <w:name w:val="Char Char Char1 Char Char"/>
    <w:qFormat/>
    <w:uiPriority w:val="0"/>
    <w:rPr>
      <w:rFonts w:eastAsia="宋体"/>
      <w:kern w:val="2"/>
      <w:sz w:val="18"/>
      <w:lang w:val="en-US" w:eastAsia="zh-CN" w:bidi="ar-SA"/>
    </w:rPr>
  </w:style>
  <w:style w:type="character" w:customStyle="1" w:styleId="86">
    <w:name w:val="正文文本4"/>
    <w:qFormat/>
    <w:uiPriority w:val="0"/>
    <w:rPr>
      <w:rFonts w:ascii="MingLiU" w:hAnsi="MingLiU" w:eastAsia="MingLiU" w:cs="MingLiU"/>
      <w:color w:val="000000"/>
      <w:spacing w:val="10"/>
      <w:w w:val="100"/>
      <w:kern w:val="0"/>
      <w:position w:val="0"/>
      <w:sz w:val="21"/>
      <w:szCs w:val="21"/>
      <w:u w:val="none"/>
      <w:lang w:val="zh-TW"/>
    </w:rPr>
  </w:style>
  <w:style w:type="paragraph" w:customStyle="1" w:styleId="87">
    <w:name w:val="样式2"/>
    <w:basedOn w:val="1"/>
    <w:qFormat/>
    <w:uiPriority w:val="0"/>
    <w:pPr>
      <w:spacing w:line="300" w:lineRule="auto"/>
      <w:jc w:val="center"/>
      <w:outlineLvl w:val="0"/>
    </w:pPr>
    <w:rPr>
      <w:b/>
      <w:sz w:val="24"/>
      <w:szCs w:val="24"/>
    </w:rPr>
  </w:style>
  <w:style w:type="paragraph" w:styleId="88">
    <w:name w:val="List Paragraph"/>
    <w:basedOn w:val="1"/>
    <w:link w:val="89"/>
    <w:qFormat/>
    <w:uiPriority w:val="34"/>
    <w:pPr>
      <w:ind w:firstLine="420" w:firstLineChars="200"/>
    </w:pPr>
    <w:rPr>
      <w:rFonts w:ascii="Calibri" w:hAnsi="Calibri"/>
      <w:szCs w:val="22"/>
    </w:rPr>
  </w:style>
  <w:style w:type="character" w:customStyle="1" w:styleId="89">
    <w:name w:val="列出段落 Char"/>
    <w:link w:val="88"/>
    <w:qFormat/>
    <w:uiPriority w:val="34"/>
    <w:rPr>
      <w:rFonts w:ascii="Calibri" w:hAnsi="Calibri"/>
      <w:kern w:val="2"/>
      <w:sz w:val="21"/>
      <w:szCs w:val="22"/>
    </w:rPr>
  </w:style>
  <w:style w:type="paragraph" w:customStyle="1" w:styleId="90">
    <w:name w:val="Char2"/>
    <w:basedOn w:val="1"/>
    <w:qFormat/>
    <w:uiPriority w:val="0"/>
    <w:rPr>
      <w:rFonts w:ascii="Tahoma" w:hAnsi="Tahoma"/>
      <w:sz w:val="24"/>
    </w:rPr>
  </w:style>
  <w:style w:type="paragraph" w:customStyle="1" w:styleId="91">
    <w:name w:val="正文文本 (4)"/>
    <w:basedOn w:val="1"/>
    <w:qFormat/>
    <w:uiPriority w:val="0"/>
    <w:pPr>
      <w:shd w:val="clear" w:color="auto" w:fill="FFFFFF"/>
      <w:spacing w:line="398" w:lineRule="exact"/>
      <w:jc w:val="distribute"/>
    </w:pPr>
    <w:rPr>
      <w:rFonts w:ascii="MingLiU" w:hAnsi="MingLiU" w:eastAsia="MingLiU" w:cs="MingLiU"/>
      <w:b/>
      <w:bCs/>
      <w:kern w:val="0"/>
      <w:sz w:val="20"/>
      <w:szCs w:val="21"/>
    </w:rPr>
  </w:style>
  <w:style w:type="paragraph" w:customStyle="1" w:styleId="92">
    <w:name w:val="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93">
    <w:name w:val="标题 3 Char"/>
    <w:qFormat/>
    <w:uiPriority w:val="0"/>
    <w:rPr>
      <w:b/>
      <w:bCs/>
      <w:kern w:val="2"/>
      <w:sz w:val="32"/>
      <w:szCs w:val="32"/>
    </w:rPr>
  </w:style>
  <w:style w:type="character" w:customStyle="1" w:styleId="94">
    <w:name w:val="页眉 Char1"/>
    <w:qFormat/>
    <w:locked/>
    <w:uiPriority w:val="99"/>
    <w:rPr>
      <w:kern w:val="2"/>
      <w:sz w:val="18"/>
      <w:szCs w:val="18"/>
    </w:rPr>
  </w:style>
  <w:style w:type="paragraph" w:customStyle="1" w:styleId="95">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6">
    <w:name w:val="Char Char Char Char"/>
    <w:basedOn w:val="1"/>
    <w:qFormat/>
    <w:uiPriority w:val="0"/>
    <w:pPr>
      <w:adjustRightInd w:val="0"/>
      <w:spacing w:line="440" w:lineRule="exact"/>
    </w:pPr>
    <w:rPr>
      <w:rFonts w:ascii="宋体"/>
      <w:kern w:val="0"/>
      <w:sz w:val="28"/>
      <w:szCs w:val="27"/>
    </w:rPr>
  </w:style>
  <w:style w:type="paragraph" w:customStyle="1" w:styleId="97">
    <w:name w:val="Char Char1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98">
    <w:name w:val="纯文本 Char1"/>
    <w:qFormat/>
    <w:uiPriority w:val="99"/>
    <w:rPr>
      <w:rFonts w:ascii="宋体" w:hAnsi="Courier New" w:cs="Courier New"/>
      <w:kern w:val="2"/>
      <w:sz w:val="21"/>
      <w:szCs w:val="21"/>
    </w:rPr>
  </w:style>
  <w:style w:type="paragraph" w:customStyle="1" w:styleId="99">
    <w:name w:val="Char Char Char"/>
    <w:basedOn w:val="1"/>
    <w:qFormat/>
    <w:uiPriority w:val="0"/>
    <w:pPr>
      <w:widowControl/>
      <w:spacing w:after="160" w:line="240" w:lineRule="exact"/>
      <w:jc w:val="left"/>
    </w:pPr>
    <w:rPr>
      <w:szCs w:val="24"/>
    </w:rPr>
  </w:style>
  <w:style w:type="paragraph" w:customStyle="1" w:styleId="100">
    <w:name w:val="样式1"/>
    <w:basedOn w:val="27"/>
    <w:qFormat/>
    <w:uiPriority w:val="0"/>
    <w:pPr>
      <w:jc w:val="left"/>
    </w:pPr>
    <w:rPr>
      <w:rFonts w:ascii="宋体" w:hAnsi="宋体"/>
      <w:szCs w:val="21"/>
    </w:rPr>
  </w:style>
  <w:style w:type="paragraph" w:customStyle="1" w:styleId="101">
    <w:name w:val="Char Char Char Char Char1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2">
    <w:name w:val="Char Char Char Char Char Char Char Char Char Char"/>
    <w:basedOn w:val="1"/>
    <w:qFormat/>
    <w:uiPriority w:val="0"/>
    <w:pPr>
      <w:adjustRightInd w:val="0"/>
      <w:spacing w:line="312" w:lineRule="atLeast"/>
      <w:textAlignment w:val="baseline"/>
    </w:pPr>
    <w:rPr>
      <w:b/>
      <w:bCs/>
      <w:kern w:val="0"/>
      <w:sz w:val="36"/>
      <w:szCs w:val="32"/>
    </w:rPr>
  </w:style>
  <w:style w:type="paragraph" w:customStyle="1" w:styleId="103">
    <w:name w:val="Char Char2"/>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04">
    <w:name w:val="Char1"/>
    <w:basedOn w:val="1"/>
    <w:qFormat/>
    <w:uiPriority w:val="0"/>
    <w:pPr>
      <w:spacing w:after="160" w:line="240" w:lineRule="exact"/>
    </w:pPr>
    <w:rPr>
      <w:szCs w:val="24"/>
    </w:rPr>
  </w:style>
  <w:style w:type="paragraph" w:customStyle="1" w:styleId="105">
    <w:name w:val="_Style 11"/>
    <w:basedOn w:val="1"/>
    <w:qFormat/>
    <w:uiPriority w:val="0"/>
    <w:rPr>
      <w:szCs w:val="24"/>
    </w:rPr>
  </w:style>
  <w:style w:type="paragraph" w:customStyle="1" w:styleId="106">
    <w:name w:val="样式 标题 1 + 宋体 小四"/>
    <w:basedOn w:val="2"/>
    <w:link w:val="107"/>
    <w:qFormat/>
    <w:uiPriority w:val="0"/>
    <w:pPr>
      <w:keepLines/>
      <w:spacing w:before="340" w:after="330" w:line="578" w:lineRule="auto"/>
      <w:jc w:val="both"/>
    </w:pPr>
    <w:rPr>
      <w:rFonts w:ascii="宋体" w:hAnsi="宋体"/>
      <w:b/>
      <w:bCs/>
      <w:kern w:val="44"/>
      <w:sz w:val="21"/>
      <w:szCs w:val="44"/>
    </w:rPr>
  </w:style>
  <w:style w:type="character" w:customStyle="1" w:styleId="107">
    <w:name w:val="样式 标题 1 + 宋体 小四 Char"/>
    <w:link w:val="106"/>
    <w:qFormat/>
    <w:uiPriority w:val="0"/>
    <w:rPr>
      <w:rFonts w:ascii="宋体" w:hAnsi="宋体"/>
      <w:b/>
      <w:bCs/>
      <w:kern w:val="44"/>
      <w:sz w:val="21"/>
      <w:szCs w:val="44"/>
    </w:rPr>
  </w:style>
  <w:style w:type="paragraph" w:customStyle="1" w:styleId="108">
    <w:name w:val="item"/>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109">
    <w:name w:val="样式4"/>
    <w:basedOn w:val="1"/>
    <w:qFormat/>
    <w:uiPriority w:val="0"/>
    <w:pPr>
      <w:pBdr>
        <w:top w:val="dashDotStroked" w:color="auto" w:sz="24" w:space="4"/>
      </w:pBdr>
      <w:spacing w:before="240" w:after="240"/>
    </w:pPr>
    <w:rPr>
      <w:b/>
      <w:szCs w:val="24"/>
    </w:rPr>
  </w:style>
  <w:style w:type="character" w:customStyle="1" w:styleId="110">
    <w:name w:val="普通(网站) Char"/>
    <w:link w:val="111"/>
    <w:qFormat/>
    <w:uiPriority w:val="0"/>
    <w:rPr>
      <w:rFonts w:ascii="宋体" w:hAnsi="宋体"/>
      <w:sz w:val="24"/>
    </w:rPr>
  </w:style>
  <w:style w:type="paragraph" w:customStyle="1" w:styleId="111">
    <w:name w:val="普通(网站)1"/>
    <w:basedOn w:val="1"/>
    <w:link w:val="110"/>
    <w:qFormat/>
    <w:uiPriority w:val="0"/>
    <w:pPr>
      <w:widowControl/>
      <w:spacing w:before="100" w:beforeAutospacing="1" w:after="100" w:afterAutospacing="1" w:line="360" w:lineRule="auto"/>
      <w:ind w:firstLine="420" w:firstLineChars="200"/>
      <w:jc w:val="left"/>
    </w:pPr>
    <w:rPr>
      <w:rFonts w:ascii="宋体" w:hAnsi="宋体"/>
      <w:kern w:val="0"/>
      <w:sz w:val="24"/>
    </w:rPr>
  </w:style>
  <w:style w:type="paragraph" w:customStyle="1" w:styleId="112">
    <w:name w:val="Char Char Char Char Char Char Char"/>
    <w:basedOn w:val="1"/>
    <w:qFormat/>
    <w:uiPriority w:val="0"/>
    <w:rPr>
      <w:rFonts w:ascii="Tahoma" w:hAnsi="Tahoma"/>
      <w:sz w:val="24"/>
      <w:szCs w:val="24"/>
    </w:rPr>
  </w:style>
  <w:style w:type="paragraph" w:customStyle="1" w:styleId="113">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114">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character" w:customStyle="1" w:styleId="116">
    <w:name w:val="批注文字 Char"/>
    <w:qFormat/>
    <w:uiPriority w:val="99"/>
    <w:rPr>
      <w:sz w:val="24"/>
    </w:rPr>
  </w:style>
  <w:style w:type="paragraph" w:customStyle="1" w:styleId="11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118">
    <w:name w:val="Para head"/>
    <w:qFormat/>
    <w:uiPriority w:val="0"/>
    <w:rPr>
      <w:rFonts w:ascii="Arial" w:hAnsi="Arial" w:eastAsia="Times New Roman"/>
      <w:sz w:val="20"/>
    </w:rPr>
  </w:style>
  <w:style w:type="paragraph" w:customStyle="1" w:styleId="119">
    <w:name w:val="菲页2"/>
    <w:basedOn w:val="4"/>
    <w:qFormat/>
    <w:uiPriority w:val="0"/>
    <w:pPr>
      <w:widowControl/>
      <w:tabs>
        <w:tab w:val="left" w:pos="720"/>
      </w:tabs>
      <w:spacing w:before="120" w:after="120"/>
      <w:ind w:left="720" w:hanging="720"/>
      <w:jc w:val="center"/>
    </w:pPr>
    <w:rPr>
      <w:rFonts w:ascii="黑体" w:hAnsi="宋体" w:eastAsia="黑体"/>
      <w:b w:val="0"/>
      <w:bCs w:val="0"/>
      <w:kern w:val="0"/>
      <w:sz w:val="44"/>
      <w:szCs w:val="20"/>
    </w:rPr>
  </w:style>
  <w:style w:type="paragraph" w:customStyle="1" w:styleId="120">
    <w:name w:val="菲页1"/>
    <w:basedOn w:val="3"/>
    <w:qFormat/>
    <w:uiPriority w:val="0"/>
    <w:pPr>
      <w:widowControl/>
      <w:jc w:val="center"/>
    </w:pPr>
    <w:rPr>
      <w:rFonts w:ascii="黑体" w:hAnsi="宋体"/>
      <w:b w:val="0"/>
      <w:bCs w:val="0"/>
      <w:kern w:val="0"/>
      <w:sz w:val="52"/>
      <w:szCs w:val="20"/>
    </w:rPr>
  </w:style>
  <w:style w:type="paragraph" w:customStyle="1" w:styleId="121">
    <w:name w:val="目录"/>
    <w:basedOn w:val="1"/>
    <w:qFormat/>
    <w:uiPriority w:val="0"/>
    <w:pPr>
      <w:widowControl/>
      <w:jc w:val="center"/>
    </w:pPr>
    <w:rPr>
      <w:rFonts w:ascii="宋体"/>
      <w:b/>
      <w:kern w:val="0"/>
      <w:sz w:val="36"/>
    </w:rPr>
  </w:style>
  <w:style w:type="paragraph" w:customStyle="1" w:styleId="122">
    <w:name w:val="目录文字"/>
    <w:basedOn w:val="1"/>
    <w:qFormat/>
    <w:uiPriority w:val="0"/>
    <w:pPr>
      <w:widowControl/>
      <w:spacing w:line="480" w:lineRule="auto"/>
      <w:jc w:val="left"/>
    </w:pPr>
    <w:rPr>
      <w:rFonts w:ascii="宋体" w:hAnsi="宋体"/>
      <w:kern w:val="0"/>
      <w:sz w:val="24"/>
    </w:rPr>
  </w:style>
  <w:style w:type="paragraph" w:customStyle="1" w:styleId="123">
    <w:name w:val="菲页(卷)"/>
    <w:basedOn w:val="2"/>
    <w:next w:val="117"/>
    <w:qFormat/>
    <w:uiPriority w:val="0"/>
    <w:pPr>
      <w:widowControl/>
      <w:tabs>
        <w:tab w:val="left" w:pos="432"/>
      </w:tabs>
      <w:ind w:left="432" w:hanging="432"/>
      <w:outlineLvl w:val="1"/>
    </w:pPr>
    <w:rPr>
      <w:rFonts w:ascii="黑体" w:eastAsia="黑体"/>
      <w:kern w:val="0"/>
      <w:sz w:val="52"/>
    </w:rPr>
  </w:style>
  <w:style w:type="paragraph" w:customStyle="1" w:styleId="124">
    <w:name w:val="1"/>
    <w:basedOn w:val="1"/>
    <w:qFormat/>
    <w:uiPriority w:val="0"/>
    <w:rPr>
      <w:szCs w:val="24"/>
    </w:rPr>
  </w:style>
  <w:style w:type="paragraph" w:customStyle="1" w:styleId="125">
    <w:name w:val="xl52"/>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32"/>
      <w:szCs w:val="32"/>
    </w:rPr>
  </w:style>
  <w:style w:type="paragraph" w:customStyle="1" w:styleId="126">
    <w:name w:val="样式 标题 5 + 小四 行距: 1.5 倍行距"/>
    <w:basedOn w:val="6"/>
    <w:qFormat/>
    <w:uiPriority w:val="0"/>
    <w:pPr>
      <w:keepNext w:val="0"/>
      <w:keepLines w:val="0"/>
      <w:spacing w:before="0" w:after="0"/>
      <w:ind w:firstLine="0"/>
      <w:outlineLvl w:val="9"/>
    </w:pPr>
    <w:rPr>
      <w:rFonts w:ascii="Times New Roman" w:hAnsi="Times New Roman" w:eastAsia="华文中宋"/>
      <w:bCs/>
      <w:sz w:val="21"/>
    </w:rPr>
  </w:style>
  <w:style w:type="paragraph" w:customStyle="1" w:styleId="127">
    <w:name w:val="表头"/>
    <w:basedOn w:val="1"/>
    <w:qFormat/>
    <w:uiPriority w:val="0"/>
    <w:pPr>
      <w:spacing w:line="360" w:lineRule="auto"/>
      <w:jc w:val="center"/>
    </w:pPr>
    <w:rPr>
      <w:rFonts w:ascii="黑体" w:eastAsia="黑体"/>
      <w:kern w:val="0"/>
      <w:sz w:val="24"/>
    </w:rPr>
  </w:style>
  <w:style w:type="paragraph" w:customStyle="1" w:styleId="128">
    <w:name w:val="Blockquote"/>
    <w:basedOn w:val="1"/>
    <w:qFormat/>
    <w:uiPriority w:val="0"/>
    <w:pPr>
      <w:autoSpaceDE w:val="0"/>
      <w:autoSpaceDN w:val="0"/>
      <w:adjustRightInd w:val="0"/>
      <w:spacing w:before="100" w:after="100"/>
      <w:ind w:left="360" w:right="360"/>
      <w:jc w:val="left"/>
    </w:pPr>
    <w:rPr>
      <w:kern w:val="0"/>
      <w:sz w:val="24"/>
      <w:szCs w:val="24"/>
    </w:rPr>
  </w:style>
  <w:style w:type="paragraph" w:customStyle="1" w:styleId="129">
    <w:name w:val="图表文字"/>
    <w:basedOn w:val="1"/>
    <w:qFormat/>
    <w:uiPriority w:val="0"/>
    <w:pPr>
      <w:widowControl/>
      <w:adjustRightInd w:val="0"/>
      <w:spacing w:before="120" w:after="120"/>
      <w:jc w:val="center"/>
    </w:pPr>
    <w:rPr>
      <w:rFonts w:ascii="黑体" w:eastAsia="黑体"/>
      <w:kern w:val="0"/>
      <w:sz w:val="28"/>
    </w:rPr>
  </w:style>
  <w:style w:type="paragraph" w:customStyle="1" w:styleId="130">
    <w:name w:val="Char Char Char Char Char Char Char1"/>
    <w:basedOn w:val="1"/>
    <w:qFormat/>
    <w:uiPriority w:val="0"/>
    <w:rPr>
      <w:rFonts w:ascii="Tahoma" w:hAnsi="Tahoma"/>
      <w:sz w:val="24"/>
    </w:rPr>
  </w:style>
  <w:style w:type="paragraph" w:customStyle="1" w:styleId="131">
    <w:name w:val="正文文本1"/>
    <w:basedOn w:val="1"/>
    <w:qFormat/>
    <w:uiPriority w:val="0"/>
    <w:rPr>
      <w:rFonts w:ascii="宋体" w:hAnsi="宋体"/>
      <w:sz w:val="30"/>
    </w:rPr>
  </w:style>
  <w:style w:type="paragraph" w:customStyle="1" w:styleId="132">
    <w:name w:val="contentarticle"/>
    <w:basedOn w:val="1"/>
    <w:qFormat/>
    <w:uiPriority w:val="0"/>
    <w:pPr>
      <w:widowControl/>
      <w:spacing w:before="100" w:beforeAutospacing="1" w:after="100" w:afterAutospacing="1"/>
      <w:jc w:val="left"/>
    </w:pPr>
    <w:rPr>
      <w:rFonts w:ascii="宋体" w:hAnsi="宋体" w:cs="宋体"/>
      <w:kern w:val="0"/>
      <w:sz w:val="19"/>
      <w:szCs w:val="19"/>
    </w:rPr>
  </w:style>
  <w:style w:type="character" w:customStyle="1" w:styleId="133">
    <w:name w:val="普通文字 Char Char"/>
    <w:qFormat/>
    <w:uiPriority w:val="0"/>
    <w:rPr>
      <w:rFonts w:ascii="宋体" w:eastAsia="宋体"/>
      <w:kern w:val="2"/>
      <w:sz w:val="21"/>
      <w:lang w:val="en-US" w:eastAsia="zh-CN" w:bidi="ar-SA"/>
    </w:rPr>
  </w:style>
  <w:style w:type="paragraph" w:customStyle="1" w:styleId="134">
    <w:name w:val="Char Char6"/>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35">
    <w:name w:val="Char Char20"/>
    <w:qFormat/>
    <w:uiPriority w:val="0"/>
    <w:rPr>
      <w:b/>
      <w:bCs/>
      <w:kern w:val="44"/>
      <w:sz w:val="44"/>
      <w:szCs w:val="44"/>
    </w:rPr>
  </w:style>
  <w:style w:type="paragraph" w:customStyle="1" w:styleId="136">
    <w:name w:val="Char3"/>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7">
    <w:name w:val="Char Char1 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Char Char Char1"/>
    <w:basedOn w:val="1"/>
    <w:qFormat/>
    <w:uiPriority w:val="0"/>
    <w:pPr>
      <w:widowControl/>
      <w:spacing w:after="160" w:line="240" w:lineRule="exact"/>
      <w:jc w:val="left"/>
    </w:pPr>
    <w:rPr>
      <w:szCs w:val="24"/>
    </w:rPr>
  </w:style>
  <w:style w:type="paragraph" w:customStyle="1" w:styleId="139">
    <w:name w:val="Char Char Char Char Char1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0">
    <w:name w:val="Char Char Char Char Char Char Char Char Char Char1"/>
    <w:basedOn w:val="1"/>
    <w:qFormat/>
    <w:uiPriority w:val="0"/>
    <w:pPr>
      <w:adjustRightInd w:val="0"/>
      <w:spacing w:line="312" w:lineRule="atLeast"/>
      <w:textAlignment w:val="baseline"/>
    </w:pPr>
    <w:rPr>
      <w:b/>
      <w:bCs/>
      <w:kern w:val="0"/>
      <w:sz w:val="36"/>
      <w:szCs w:val="32"/>
    </w:rPr>
  </w:style>
  <w:style w:type="paragraph" w:customStyle="1" w:styleId="141">
    <w:name w:val="Char Char2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142">
    <w:name w:val="Char12"/>
    <w:basedOn w:val="1"/>
    <w:qFormat/>
    <w:uiPriority w:val="0"/>
    <w:pPr>
      <w:spacing w:after="160" w:line="240" w:lineRule="exact"/>
    </w:pPr>
    <w:rPr>
      <w:szCs w:val="24"/>
    </w:rPr>
  </w:style>
  <w:style w:type="paragraph" w:customStyle="1" w:styleId="143">
    <w:name w:val="列出段落1"/>
    <w:basedOn w:val="1"/>
    <w:link w:val="144"/>
    <w:qFormat/>
    <w:uiPriority w:val="0"/>
    <w:pPr>
      <w:ind w:firstLine="420" w:firstLineChars="200"/>
    </w:pPr>
    <w:rPr>
      <w:rFonts w:ascii="Calibri" w:hAnsi="Calibri"/>
      <w:szCs w:val="22"/>
    </w:rPr>
  </w:style>
  <w:style w:type="character" w:customStyle="1" w:styleId="144">
    <w:name w:val="List Paragraph Char"/>
    <w:link w:val="143"/>
    <w:qFormat/>
    <w:locked/>
    <w:uiPriority w:val="0"/>
    <w:rPr>
      <w:rFonts w:ascii="Calibri" w:hAnsi="Calibri"/>
      <w:kern w:val="2"/>
      <w:sz w:val="21"/>
      <w:szCs w:val="22"/>
    </w:rPr>
  </w:style>
  <w:style w:type="character" w:customStyle="1" w:styleId="145">
    <w:name w:val="纯文本 Char Char Char Char Char Char2"/>
    <w:qFormat/>
    <w:uiPriority w:val="0"/>
    <w:rPr>
      <w:rFonts w:ascii="宋体" w:eastAsia="宋体"/>
      <w:kern w:val="2"/>
      <w:sz w:val="21"/>
      <w:lang w:val="en-US" w:eastAsia="zh-CN"/>
    </w:rPr>
  </w:style>
  <w:style w:type="paragraph" w:customStyle="1" w:styleId="146">
    <w:name w:val="普通(网站)11"/>
    <w:basedOn w:val="1"/>
    <w:qFormat/>
    <w:uiPriority w:val="0"/>
    <w:pPr>
      <w:widowControl/>
      <w:spacing w:before="100" w:beforeAutospacing="1" w:after="100" w:afterAutospacing="1" w:line="360" w:lineRule="auto"/>
      <w:ind w:firstLine="420" w:firstLineChars="200"/>
      <w:jc w:val="left"/>
    </w:pPr>
    <w:rPr>
      <w:rFonts w:ascii="宋体" w:hAnsi="宋体"/>
      <w:kern w:val="0"/>
      <w:sz w:val="24"/>
    </w:rPr>
  </w:style>
  <w:style w:type="paragraph" w:customStyle="1" w:styleId="147">
    <w:name w:val="正文文本11"/>
    <w:basedOn w:val="1"/>
    <w:qFormat/>
    <w:uiPriority w:val="0"/>
    <w:rPr>
      <w:rFonts w:ascii="宋体" w:hAnsi="宋体"/>
      <w:sz w:val="30"/>
    </w:rPr>
  </w:style>
  <w:style w:type="paragraph" w:customStyle="1" w:styleId="148">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49">
    <w:name w:val="格式2"/>
    <w:qFormat/>
    <w:uiPriority w:val="0"/>
    <w:pPr>
      <w:widowControl w:val="0"/>
      <w:adjustRightInd w:val="0"/>
      <w:snapToGrid w:val="0"/>
      <w:spacing w:before="50" w:line="440" w:lineRule="exact"/>
      <w:jc w:val="both"/>
    </w:pPr>
    <w:rPr>
      <w:rFonts w:ascii="Times New Roman" w:hAnsi="Times New Roman" w:eastAsia="宋体" w:cs="Times New Roman"/>
      <w:sz w:val="24"/>
      <w:szCs w:val="24"/>
      <w:lang w:val="en-US" w:eastAsia="zh-CN" w:bidi="ar-SA"/>
    </w:rPr>
  </w:style>
  <w:style w:type="paragraph" w:customStyle="1" w:styleId="150">
    <w:name w:val="Char Char1 Char Char Char Char Char Char Char"/>
    <w:basedOn w:val="1"/>
    <w:qFormat/>
    <w:uiPriority w:val="0"/>
    <w:pPr>
      <w:adjustRightInd w:val="0"/>
      <w:spacing w:line="440" w:lineRule="exact"/>
    </w:pPr>
    <w:rPr>
      <w:rFonts w:ascii="宋体"/>
      <w:kern w:val="0"/>
      <w:sz w:val="28"/>
      <w:szCs w:val="27"/>
    </w:rPr>
  </w:style>
  <w:style w:type="paragraph" w:customStyle="1" w:styleId="151">
    <w:name w:val="Char Char Char Char Char"/>
    <w:basedOn w:val="1"/>
    <w:qFormat/>
    <w:uiPriority w:val="0"/>
    <w:pPr>
      <w:adjustRightInd w:val="0"/>
      <w:spacing w:line="440" w:lineRule="exact"/>
    </w:pPr>
    <w:rPr>
      <w:rFonts w:ascii="宋体"/>
      <w:kern w:val="0"/>
      <w:sz w:val="28"/>
      <w:szCs w:val="27"/>
    </w:rPr>
  </w:style>
  <w:style w:type="paragraph" w:customStyle="1" w:styleId="152">
    <w:name w:val="Char Char"/>
    <w:basedOn w:val="1"/>
    <w:qFormat/>
    <w:uiPriority w:val="0"/>
    <w:pPr>
      <w:widowControl/>
      <w:spacing w:after="160"/>
      <w:jc w:val="center"/>
    </w:pPr>
    <w:rPr>
      <w:rFonts w:ascii="宋体" w:hAnsi="宋体"/>
      <w:kern w:val="0"/>
      <w:sz w:val="28"/>
      <w:szCs w:val="28"/>
      <w:lang w:eastAsia="en-US"/>
    </w:rPr>
  </w:style>
  <w:style w:type="paragraph" w:customStyle="1" w:styleId="153">
    <w:name w:val="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4">
    <w:name w:val="Char Char Char Char Char Char Char Char"/>
    <w:basedOn w:val="1"/>
    <w:qFormat/>
    <w:uiPriority w:val="0"/>
    <w:pPr>
      <w:adjustRightInd w:val="0"/>
      <w:spacing w:line="440" w:lineRule="exact"/>
    </w:pPr>
    <w:rPr>
      <w:rFonts w:ascii="宋体"/>
      <w:kern w:val="0"/>
      <w:sz w:val="28"/>
      <w:szCs w:val="27"/>
    </w:rPr>
  </w:style>
  <w:style w:type="paragraph" w:customStyle="1" w:styleId="155">
    <w:name w:val="Char1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6">
    <w:name w:val="Char Char1 Char Char Char Char"/>
    <w:basedOn w:val="1"/>
    <w:qFormat/>
    <w:uiPriority w:val="0"/>
    <w:pPr>
      <w:adjustRightInd w:val="0"/>
      <w:spacing w:line="440" w:lineRule="exact"/>
    </w:pPr>
    <w:rPr>
      <w:rFonts w:ascii="宋体"/>
      <w:kern w:val="0"/>
      <w:sz w:val="28"/>
      <w:szCs w:val="27"/>
    </w:rPr>
  </w:style>
  <w:style w:type="paragraph" w:customStyle="1" w:styleId="157">
    <w:name w:val="Char Char1 Char Char Char Char Char Char Char Char Char"/>
    <w:basedOn w:val="1"/>
    <w:link w:val="158"/>
    <w:qFormat/>
    <w:uiPriority w:val="0"/>
    <w:pPr>
      <w:widowControl/>
      <w:spacing w:after="160" w:line="240" w:lineRule="exact"/>
      <w:jc w:val="left"/>
    </w:pPr>
    <w:rPr>
      <w:rFonts w:ascii="Verdana" w:hAnsi="Verdana" w:eastAsia="仿宋_GB2312"/>
      <w:kern w:val="0"/>
      <w:sz w:val="24"/>
      <w:lang w:eastAsia="en-US"/>
    </w:rPr>
  </w:style>
  <w:style w:type="character" w:customStyle="1" w:styleId="158">
    <w:name w:val="Char Char1 Char Char Char Char Char Char Char Char Char Char"/>
    <w:link w:val="157"/>
    <w:qFormat/>
    <w:locked/>
    <w:uiPriority w:val="0"/>
    <w:rPr>
      <w:rFonts w:ascii="Verdana" w:hAnsi="Verdana" w:eastAsia="仿宋_GB2312"/>
      <w:sz w:val="24"/>
      <w:lang w:eastAsia="en-US"/>
    </w:rPr>
  </w:style>
  <w:style w:type="paragraph" w:customStyle="1" w:styleId="159">
    <w:name w:val="Char Char1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0">
    <w:name w:val="Char Char1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1">
    <w:name w:val="Char Char Char Char Char Char Char Char Char Char Char Char Char Char Char1 Char"/>
    <w:basedOn w:val="1"/>
    <w:qFormat/>
    <w:uiPriority w:val="0"/>
    <w:pPr>
      <w:adjustRightInd w:val="0"/>
      <w:spacing w:line="312" w:lineRule="atLeast"/>
      <w:textAlignment w:val="baseline"/>
    </w:pPr>
    <w:rPr>
      <w:b/>
      <w:bCs/>
      <w:kern w:val="0"/>
      <w:sz w:val="36"/>
      <w:szCs w:val="32"/>
    </w:rPr>
  </w:style>
  <w:style w:type="paragraph" w:customStyle="1" w:styleId="162">
    <w:name w:val="格式1"/>
    <w:next w:val="1"/>
    <w:qFormat/>
    <w:uiPriority w:val="0"/>
    <w:pPr>
      <w:keepNext/>
      <w:widowControl w:val="0"/>
      <w:adjustRightInd w:val="0"/>
      <w:snapToGrid w:val="0"/>
      <w:spacing w:before="156" w:line="440" w:lineRule="exact"/>
      <w:jc w:val="both"/>
      <w:outlineLvl w:val="3"/>
    </w:pPr>
    <w:rPr>
      <w:rFonts w:ascii="Times New Roman" w:hAnsi="Times New Roman" w:eastAsia="宋体" w:cs="Times New Roman"/>
      <w:b/>
      <w:bCs/>
      <w:sz w:val="24"/>
      <w:szCs w:val="24"/>
      <w:lang w:val="en-US" w:eastAsia="zh-CN" w:bidi="ar-SA"/>
    </w:rPr>
  </w:style>
  <w:style w:type="paragraph" w:customStyle="1" w:styleId="163">
    <w:name w:val="Char2 Char Char Char"/>
    <w:basedOn w:val="1"/>
    <w:qFormat/>
    <w:uiPriority w:val="0"/>
    <w:rPr>
      <w:rFonts w:ascii="仿宋_GB2312"/>
      <w:b/>
      <w:sz w:val="30"/>
      <w:szCs w:val="32"/>
    </w:rPr>
  </w:style>
  <w:style w:type="paragraph" w:customStyle="1" w:styleId="164">
    <w:name w:val="特点"/>
    <w:basedOn w:val="1"/>
    <w:next w:val="20"/>
    <w:qFormat/>
    <w:uiPriority w:val="0"/>
    <w:pPr>
      <w:spacing w:after="120"/>
      <w:ind w:left="1440" w:leftChars="700" w:right="1440" w:rightChars="700"/>
    </w:pPr>
    <w:rPr>
      <w:szCs w:val="21"/>
    </w:rPr>
  </w:style>
  <w:style w:type="paragraph" w:customStyle="1" w:styleId="165">
    <w:name w:val="Char Char1 Char Char Char Char Char Char"/>
    <w:basedOn w:val="1"/>
    <w:qFormat/>
    <w:uiPriority w:val="0"/>
    <w:pPr>
      <w:widowControl/>
      <w:adjustRightInd w:val="0"/>
      <w:snapToGrid w:val="0"/>
      <w:spacing w:line="360" w:lineRule="auto"/>
      <w:ind w:firstLine="601"/>
    </w:pPr>
    <w:rPr>
      <w:rFonts w:ascii="宋体" w:hAnsi="宋体"/>
      <w:color w:val="000000"/>
      <w:kern w:val="0"/>
      <w:sz w:val="24"/>
      <w:szCs w:val="24"/>
    </w:rPr>
  </w:style>
  <w:style w:type="paragraph" w:customStyle="1" w:styleId="166">
    <w:name w:val="Char Char Char Char1"/>
    <w:basedOn w:val="1"/>
    <w:qFormat/>
    <w:uiPriority w:val="0"/>
    <w:pPr>
      <w:adjustRightInd w:val="0"/>
      <w:spacing w:line="312" w:lineRule="atLeast"/>
      <w:textAlignment w:val="baseline"/>
    </w:pPr>
    <w:rPr>
      <w:b/>
      <w:bCs/>
      <w:kern w:val="0"/>
      <w:sz w:val="36"/>
      <w:szCs w:val="32"/>
    </w:rPr>
  </w:style>
  <w:style w:type="paragraph" w:customStyle="1" w:styleId="167">
    <w:name w:val="Char Char Char Char Char Char Char Char Char Char Char1 Char Char Char Char Char Char Char Char Char Char Char Char"/>
    <w:basedOn w:val="1"/>
    <w:qFormat/>
    <w:uiPriority w:val="0"/>
    <w:rPr>
      <w:rFonts w:ascii="Tahoma" w:hAnsi="Tahoma"/>
      <w:sz w:val="24"/>
      <w:szCs w:val="24"/>
    </w:rPr>
  </w:style>
  <w:style w:type="paragraph" w:customStyle="1" w:styleId="168">
    <w:name w:val="二级标题"/>
    <w:basedOn w:val="37"/>
    <w:qFormat/>
    <w:uiPriority w:val="0"/>
    <w:pPr>
      <w:keepNext/>
      <w:adjustRightInd/>
      <w:spacing w:before="100" w:after="100" w:line="240" w:lineRule="auto"/>
      <w:textAlignment w:val="auto"/>
    </w:pPr>
    <w:rPr>
      <w:rFonts w:ascii="宋体" w:hAnsi="宋体" w:eastAsia="宋体" w:cs="Times New Roman"/>
      <w:b w:val="0"/>
      <w:color w:val="000000"/>
      <w:kern w:val="2"/>
      <w:sz w:val="24"/>
      <w:szCs w:val="24"/>
    </w:rPr>
  </w:style>
  <w:style w:type="paragraph" w:customStyle="1" w:styleId="169">
    <w:name w:val="Char Char1 Char Char"/>
    <w:basedOn w:val="1"/>
    <w:qFormat/>
    <w:uiPriority w:val="0"/>
    <w:rPr>
      <w:szCs w:val="24"/>
    </w:rPr>
  </w:style>
  <w:style w:type="paragraph" w:customStyle="1" w:styleId="170">
    <w:name w:val="Char21"/>
    <w:basedOn w:val="1"/>
    <w:qFormat/>
    <w:uiPriority w:val="0"/>
    <w:rPr>
      <w:szCs w:val="24"/>
    </w:rPr>
  </w:style>
  <w:style w:type="character" w:customStyle="1" w:styleId="171">
    <w:name w:val="apple-style-span"/>
    <w:qFormat/>
    <w:uiPriority w:val="0"/>
    <w:rPr>
      <w:rFonts w:cs="Times New Roman"/>
    </w:rPr>
  </w:style>
  <w:style w:type="character" w:customStyle="1" w:styleId="172">
    <w:name w:val="段 Char"/>
    <w:link w:val="173"/>
    <w:qFormat/>
    <w:locked/>
    <w:uiPriority w:val="0"/>
    <w:rPr>
      <w:rFonts w:ascii="宋体" w:hAnsi="宋体" w:eastAsia="Times New Roman"/>
      <w:kern w:val="2"/>
      <w:sz w:val="21"/>
      <w:szCs w:val="22"/>
      <w:lang w:val="en-US" w:eastAsia="zh-CN" w:bidi="ar-SA"/>
    </w:rPr>
  </w:style>
  <w:style w:type="paragraph" w:customStyle="1" w:styleId="173">
    <w:name w:val="段"/>
    <w:link w:val="172"/>
    <w:qFormat/>
    <w:uiPriority w:val="0"/>
    <w:pPr>
      <w:tabs>
        <w:tab w:val="center" w:pos="4201"/>
        <w:tab w:val="right" w:leader="dot" w:pos="9298"/>
      </w:tabs>
      <w:autoSpaceDE w:val="0"/>
      <w:autoSpaceDN w:val="0"/>
      <w:ind w:firstLine="420" w:firstLineChars="200"/>
      <w:jc w:val="both"/>
    </w:pPr>
    <w:rPr>
      <w:rFonts w:ascii="宋体" w:hAnsi="宋体" w:eastAsia="Times New Roman" w:cs="Times New Roman"/>
      <w:kern w:val="2"/>
      <w:sz w:val="21"/>
      <w:szCs w:val="22"/>
      <w:lang w:val="en-US" w:eastAsia="zh-CN" w:bidi="ar-SA"/>
    </w:rPr>
  </w:style>
  <w:style w:type="character" w:customStyle="1" w:styleId="174">
    <w:name w:val="Char Char211"/>
    <w:qFormat/>
    <w:uiPriority w:val="0"/>
    <w:rPr>
      <w:rFonts w:eastAsia="宋体"/>
      <w:b/>
      <w:bCs/>
      <w:kern w:val="44"/>
      <w:sz w:val="44"/>
      <w:szCs w:val="44"/>
      <w:lang w:val="en-US" w:eastAsia="zh-CN" w:bidi="ar-SA"/>
    </w:rPr>
  </w:style>
  <w:style w:type="character" w:customStyle="1" w:styleId="175">
    <w:name w:val="标题 1 Char1"/>
    <w:qFormat/>
    <w:uiPriority w:val="0"/>
    <w:rPr>
      <w:b/>
      <w:bCs/>
      <w:kern w:val="44"/>
      <w:sz w:val="44"/>
      <w:szCs w:val="44"/>
    </w:rPr>
  </w:style>
  <w:style w:type="character" w:customStyle="1" w:styleId="176">
    <w:name w:val="标题 1 Char Char Char"/>
    <w:qFormat/>
    <w:uiPriority w:val="0"/>
    <w:rPr>
      <w:rFonts w:ascii="黑体" w:hAnsi="Times New Roman" w:eastAsia="黑体" w:cs="宋体"/>
      <w:sz w:val="28"/>
      <w:szCs w:val="20"/>
    </w:rPr>
  </w:style>
  <w:style w:type="character" w:customStyle="1" w:styleId="177">
    <w:name w:val="锐丰正文 Char"/>
    <w:link w:val="178"/>
    <w:qFormat/>
    <w:uiPriority w:val="0"/>
    <w:rPr>
      <w:rFonts w:eastAsia="楷体_GB2312"/>
      <w:kern w:val="2"/>
      <w:sz w:val="28"/>
    </w:rPr>
  </w:style>
  <w:style w:type="paragraph" w:customStyle="1" w:styleId="178">
    <w:name w:val="锐丰正文"/>
    <w:basedOn w:val="1"/>
    <w:link w:val="177"/>
    <w:qFormat/>
    <w:uiPriority w:val="0"/>
    <w:pPr>
      <w:spacing w:line="520" w:lineRule="exact"/>
      <w:ind w:firstLine="200" w:firstLineChars="200"/>
    </w:pPr>
    <w:rPr>
      <w:rFonts w:eastAsia="楷体_GB2312"/>
      <w:sz w:val="28"/>
    </w:rPr>
  </w:style>
  <w:style w:type="paragraph" w:customStyle="1" w:styleId="179">
    <w:name w:val="_Style 1"/>
    <w:basedOn w:val="1"/>
    <w:qFormat/>
    <w:uiPriority w:val="0"/>
    <w:pPr>
      <w:ind w:firstLine="420" w:firstLineChars="200"/>
    </w:pPr>
  </w:style>
  <w:style w:type="paragraph" w:customStyle="1" w:styleId="180">
    <w:name w:val="字母编号列项（一级）"/>
    <w:qFormat/>
    <w:uiPriority w:val="0"/>
    <w:pPr>
      <w:tabs>
        <w:tab w:val="left" w:pos="360"/>
        <w:tab w:val="left" w:pos="839"/>
      </w:tabs>
      <w:ind w:left="360" w:hanging="360"/>
      <w:jc w:val="both"/>
    </w:pPr>
    <w:rPr>
      <w:rFonts w:ascii="宋体" w:hAnsi="Times New Roman" w:eastAsia="宋体" w:cs="Times New Roman"/>
      <w:sz w:val="21"/>
      <w:lang w:val="en-US" w:eastAsia="zh-CN" w:bidi="ar-SA"/>
    </w:rPr>
  </w:style>
  <w:style w:type="paragraph" w:customStyle="1" w:styleId="181">
    <w:name w:val="数字编号列项（二级）"/>
    <w:qFormat/>
    <w:uiPriority w:val="0"/>
    <w:pPr>
      <w:tabs>
        <w:tab w:val="left" w:pos="840"/>
        <w:tab w:val="left" w:pos="1259"/>
      </w:tabs>
      <w:ind w:left="840" w:hanging="420"/>
      <w:jc w:val="both"/>
    </w:pPr>
    <w:rPr>
      <w:rFonts w:ascii="宋体" w:hAnsi="Times New Roman" w:eastAsia="宋体" w:cs="Times New Roman"/>
      <w:sz w:val="21"/>
      <w:lang w:val="en-US" w:eastAsia="zh-CN" w:bidi="ar-SA"/>
    </w:rPr>
  </w:style>
  <w:style w:type="paragraph" w:customStyle="1" w:styleId="182">
    <w:name w:val="正文 A"/>
    <w:qFormat/>
    <w:uiPriority w:val="0"/>
    <w:pPr>
      <w:widowControl w:val="0"/>
      <w:jc w:val="both"/>
    </w:pPr>
    <w:rPr>
      <w:rFonts w:ascii="Times New Roman" w:hAnsi="Times New Roman" w:eastAsia="宋体" w:cs="Times New Roman"/>
      <w:color w:val="000000"/>
      <w:u w:val="none" w:color="000000"/>
      <w:lang w:val="en-US" w:eastAsia="zh-CN" w:bidi="ar-SA"/>
    </w:rPr>
  </w:style>
  <w:style w:type="paragraph" w:customStyle="1" w:styleId="183">
    <w:name w:val="TOC 标题1"/>
    <w:basedOn w:val="2"/>
    <w:next w:val="1"/>
    <w:qFormat/>
    <w:uiPriority w:val="0"/>
    <w:pPr>
      <w:keepLines/>
      <w:widowControl/>
      <w:spacing w:before="480" w:line="276" w:lineRule="auto"/>
      <w:jc w:val="left"/>
      <w:outlineLvl w:val="9"/>
    </w:pPr>
    <w:rPr>
      <w:rFonts w:ascii="Cambria" w:hAnsi="Cambria"/>
      <w:b/>
      <w:bCs/>
      <w:color w:val="365F91"/>
      <w:kern w:val="0"/>
      <w:szCs w:val="28"/>
    </w:rPr>
  </w:style>
  <w:style w:type="paragraph" w:customStyle="1" w:styleId="184">
    <w:name w:val="编号列项（三级）"/>
    <w:qFormat/>
    <w:uiPriority w:val="0"/>
    <w:pPr>
      <w:tabs>
        <w:tab w:val="left" w:pos="0"/>
        <w:tab w:val="left" w:pos="1260"/>
      </w:tabs>
      <w:ind w:left="1260" w:hanging="420"/>
    </w:pPr>
    <w:rPr>
      <w:rFonts w:ascii="宋体" w:hAnsi="Times New Roman" w:eastAsia="宋体" w:cs="Times New Roman"/>
      <w:sz w:val="21"/>
      <w:lang w:val="en-US" w:eastAsia="zh-CN" w:bidi="ar-SA"/>
    </w:rPr>
  </w:style>
  <w:style w:type="character" w:customStyle="1" w:styleId="185">
    <w:name w:val="msonormal"/>
    <w:qFormat/>
    <w:uiPriority w:val="0"/>
  </w:style>
  <w:style w:type="paragraph" w:customStyle="1" w:styleId="186">
    <w:name w:val="_Style 13"/>
    <w:basedOn w:val="14"/>
    <w:qFormat/>
    <w:uiPriority w:val="0"/>
  </w:style>
  <w:style w:type="character" w:customStyle="1" w:styleId="187">
    <w:name w:val="一上图表名称 字符"/>
    <w:link w:val="188"/>
    <w:qFormat/>
    <w:locked/>
    <w:uiPriority w:val="0"/>
    <w:rPr>
      <w:rFonts w:ascii="黑体" w:hAnsi="黑体" w:eastAsia="黑体"/>
      <w:kern w:val="2"/>
      <w:sz w:val="21"/>
      <w:szCs w:val="21"/>
    </w:rPr>
  </w:style>
  <w:style w:type="paragraph" w:customStyle="1" w:styleId="188">
    <w:name w:val="一上图表名称"/>
    <w:basedOn w:val="1"/>
    <w:link w:val="187"/>
    <w:qFormat/>
    <w:uiPriority w:val="0"/>
    <w:pPr>
      <w:spacing w:line="360" w:lineRule="auto"/>
      <w:jc w:val="center"/>
    </w:pPr>
    <w:rPr>
      <w:rFonts w:ascii="黑体" w:hAnsi="黑体" w:eastAsia="黑体"/>
      <w:szCs w:val="21"/>
    </w:rPr>
  </w:style>
  <w:style w:type="paragraph" w:customStyle="1" w:styleId="189">
    <w:name w:val="title1"/>
    <w:basedOn w:val="1"/>
    <w:qFormat/>
    <w:uiPriority w:val="0"/>
    <w:pPr>
      <w:widowControl/>
      <w:jc w:val="left"/>
    </w:pPr>
    <w:rPr>
      <w:rFonts w:ascii="宋体" w:hAnsi="宋体" w:cs="宋体"/>
      <w:kern w:val="0"/>
      <w:sz w:val="24"/>
      <w:szCs w:val="24"/>
    </w:rPr>
  </w:style>
  <w:style w:type="character" w:customStyle="1" w:styleId="190">
    <w:name w:val="NormalCharacter"/>
    <w:qFormat/>
    <w:uiPriority w:val="0"/>
  </w:style>
  <w:style w:type="paragraph" w:customStyle="1" w:styleId="191">
    <w:name w:val="章节1"/>
    <w:basedOn w:val="1"/>
    <w:link w:val="192"/>
    <w:qFormat/>
    <w:uiPriority w:val="0"/>
    <w:pPr>
      <w:spacing w:before="240" w:beforeLines="100" w:line="360" w:lineRule="auto"/>
      <w:jc w:val="center"/>
      <w:outlineLvl w:val="0"/>
    </w:pPr>
    <w:rPr>
      <w:rFonts w:ascii="宋体" w:hAnsi="宋体"/>
      <w:b/>
      <w:sz w:val="32"/>
      <w:szCs w:val="32"/>
      <w:shd w:val="clear" w:color="auto" w:fill="FFFFFF"/>
    </w:rPr>
  </w:style>
  <w:style w:type="character" w:customStyle="1" w:styleId="192">
    <w:name w:val="章节1 Char"/>
    <w:link w:val="191"/>
    <w:qFormat/>
    <w:uiPriority w:val="0"/>
    <w:rPr>
      <w:rFonts w:ascii="宋体" w:hAnsi="宋体"/>
      <w:b/>
      <w:kern w:val="2"/>
      <w:sz w:val="32"/>
      <w:szCs w:val="32"/>
    </w:rPr>
  </w:style>
  <w:style w:type="paragraph" w:customStyle="1" w:styleId="193">
    <w:name w:val="_Style 190"/>
    <w:basedOn w:val="2"/>
    <w:next w:val="1"/>
    <w:qFormat/>
    <w:uiPriority w:val="39"/>
    <w:pPr>
      <w:keepLines/>
      <w:widowControl/>
      <w:spacing w:before="480" w:line="276" w:lineRule="auto"/>
      <w:jc w:val="left"/>
      <w:outlineLvl w:val="9"/>
    </w:pPr>
    <w:rPr>
      <w:rFonts w:ascii="Cambria" w:hAnsi="Cambria" w:eastAsia="宋体" w:cs="Times New Roman"/>
      <w:b/>
      <w:bCs/>
      <w:color w:val="365F91"/>
      <w:kern w:val="0"/>
      <w:szCs w:val="28"/>
      <w:lang w:val="en-US" w:eastAsia="zh-CN"/>
    </w:rPr>
  </w:style>
  <w:style w:type="character" w:customStyle="1" w:styleId="194">
    <w:name w:val="日期 Char1"/>
    <w:qFormat/>
    <w:uiPriority w:val="0"/>
    <w:rPr>
      <w:rFonts w:ascii="宋体" w:hAnsi="宋体" w:eastAsia="宋体"/>
      <w:szCs w:val="24"/>
    </w:rPr>
  </w:style>
  <w:style w:type="character" w:customStyle="1" w:styleId="195">
    <w:name w:val="文档结构图 Char1"/>
    <w:semiHidden/>
    <w:qFormat/>
    <w:uiPriority w:val="99"/>
    <w:rPr>
      <w:rFonts w:ascii="宋体" w:hAnsi="Times New Roman" w:eastAsia="宋体" w:cs="Times New Roman"/>
      <w:sz w:val="18"/>
      <w:szCs w:val="18"/>
    </w:rPr>
  </w:style>
  <w:style w:type="paragraph" w:customStyle="1" w:styleId="196">
    <w:name w:val="List Paragraph1"/>
    <w:qFormat/>
    <w:uiPriority w:val="0"/>
    <w:pPr>
      <w:ind w:firstLine="420" w:firstLineChars="200"/>
    </w:pPr>
    <w:rPr>
      <w:rFonts w:ascii="Calibri" w:hAnsi="Calibri" w:eastAsia="宋体" w:cs="Times New Roman"/>
      <w:lang w:val="en-US" w:eastAsia="zh-CN" w:bidi="ar-SA"/>
    </w:rPr>
  </w:style>
  <w:style w:type="paragraph" w:customStyle="1" w:styleId="19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98">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小标题 一"/>
    <w:basedOn w:val="200"/>
    <w:next w:val="200"/>
    <w:qFormat/>
    <w:uiPriority w:val="0"/>
    <w:pPr>
      <w:spacing w:before="120" w:line="240" w:lineRule="auto"/>
      <w:outlineLvl w:val="2"/>
    </w:pPr>
    <w:rPr>
      <w:b/>
      <w:color w:val="1F3864"/>
      <w:sz w:val="32"/>
    </w:rPr>
  </w:style>
  <w:style w:type="paragraph" w:customStyle="1" w:styleId="200">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201">
    <w:name w:val="※章节标题（第Y部分）"/>
    <w:basedOn w:val="1"/>
    <w:next w:val="1"/>
    <w:qFormat/>
    <w:uiPriority w:val="0"/>
    <w:pPr>
      <w:widowControl/>
      <w:jc w:val="center"/>
      <w:outlineLvl w:val="1"/>
    </w:pPr>
    <w:rPr>
      <w:rFonts w:ascii="Calibri Light" w:hAnsi="Calibri Light" w:eastAsia="黑体"/>
      <w:color w:val="1F4E79"/>
      <w:sz w:val="32"/>
      <w:szCs w:val="36"/>
    </w:rPr>
  </w:style>
  <w:style w:type="paragraph" w:customStyle="1" w:styleId="202">
    <w:name w:val="※章节标题（第Z部分分项）"/>
    <w:basedOn w:val="201"/>
    <w:qFormat/>
    <w:uiPriority w:val="0"/>
    <w:pPr>
      <w:outlineLvl w:val="2"/>
    </w:pPr>
    <w:rPr>
      <w:color w:val="1F4E79"/>
    </w:rPr>
  </w:style>
  <w:style w:type="paragraph" w:customStyle="1" w:styleId="203">
    <w:name w:val="样式"/>
    <w:link w:val="204"/>
    <w:qFormat/>
    <w:uiPriority w:val="0"/>
    <w:pPr>
      <w:widowControl w:val="0"/>
      <w:autoSpaceDE w:val="0"/>
      <w:autoSpaceDN w:val="0"/>
      <w:adjustRightInd w:val="0"/>
    </w:pPr>
    <w:rPr>
      <w:rFonts w:ascii="宋体" w:hAnsi="宋体" w:eastAsia="宋体" w:cs="Times New Roman"/>
      <w:sz w:val="24"/>
      <w:szCs w:val="24"/>
      <w:lang w:bidi="ar-SA"/>
    </w:rPr>
  </w:style>
  <w:style w:type="character" w:customStyle="1" w:styleId="204">
    <w:name w:val="样式 Char Char"/>
    <w:link w:val="203"/>
    <w:qFormat/>
    <w:locked/>
    <w:uiPriority w:val="0"/>
    <w:rPr>
      <w:rFonts w:ascii="宋体" w:hAnsi="宋体"/>
      <w:sz w:val="24"/>
      <w:szCs w:val="24"/>
      <w:lang w:bidi="ar-SA"/>
    </w:rPr>
  </w:style>
  <w:style w:type="paragraph" w:customStyle="1" w:styleId="205">
    <w:name w:val="列表段落1"/>
    <w:basedOn w:val="1"/>
    <w:qFormat/>
    <w:uiPriority w:val="34"/>
    <w:pPr>
      <w:ind w:firstLine="420" w:firstLineChars="200"/>
    </w:pPr>
    <w:rPr>
      <w:rFonts w:ascii="等线" w:hAnsi="等线" w:cs="Times New Roman"/>
      <w:szCs w:val="22"/>
    </w:rPr>
  </w:style>
  <w:style w:type="paragraph" w:customStyle="1" w:styleId="206">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207">
    <w:name w:val="标题 2（投标文件）"/>
    <w:basedOn w:val="3"/>
    <w:qFormat/>
    <w:uiPriority w:val="0"/>
    <w:pPr>
      <w:widowControl/>
      <w:spacing w:before="0" w:after="0" w:line="240" w:lineRule="auto"/>
      <w:jc w:val="center"/>
    </w:pPr>
    <w:rPr>
      <w:rFonts w:ascii="Calibri" w:hAnsi="Calibri" w:eastAsia="华文仿宋"/>
      <w:lang w:val="en-US" w:eastAsia="zh-CN"/>
    </w:rPr>
  </w:style>
  <w:style w:type="paragraph" w:customStyle="1" w:styleId="208">
    <w:name w:val="BodyText1I"/>
    <w:basedOn w:val="50"/>
    <w:qFormat/>
    <w:uiPriority w:val="0"/>
    <w:pPr>
      <w:spacing w:after="120"/>
      <w:ind w:firstLine="420" w:firstLineChars="100"/>
      <w:jc w:val="both"/>
      <w:textAlignment w:val="baseline"/>
    </w:pPr>
  </w:style>
  <w:style w:type="paragraph" w:customStyle="1" w:styleId="209">
    <w:name w:val="正文_0_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0">
    <w:name w:val="15_6"/>
    <w:qFormat/>
    <w:uiPriority w:val="0"/>
    <w:rPr>
      <w:rFonts w:hint="default" w:ascii="Times New Roman" w:hAnsi="Times New Roman" w:cs="Times New Roman"/>
    </w:rPr>
  </w:style>
  <w:style w:type="paragraph" w:customStyle="1" w:styleId="211">
    <w:name w:val="正文_0_7"/>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2">
    <w:name w:val="15_7"/>
    <w:qFormat/>
    <w:uiPriority w:val="0"/>
    <w:rPr>
      <w:rFonts w:hint="default" w:ascii="Times New Roman" w:hAnsi="Times New Roman" w:cs="Times New Roman"/>
    </w:rPr>
  </w:style>
  <w:style w:type="character" w:customStyle="1" w:styleId="213">
    <w:name w:val="15_10"/>
    <w:qFormat/>
    <w:uiPriority w:val="0"/>
    <w:rPr>
      <w:rFonts w:hint="default" w:ascii="Times New Roman" w:hAnsi="Times New Roman" w:cs="Times New Roman"/>
    </w:rPr>
  </w:style>
  <w:style w:type="character" w:customStyle="1" w:styleId="214">
    <w:name w:val="font41"/>
    <w:basedOn w:val="43"/>
    <w:qFormat/>
    <w:uiPriority w:val="0"/>
    <w:rPr>
      <w:rFonts w:hint="eastAsia" w:ascii="宋体" w:hAnsi="宋体" w:eastAsia="宋体" w:cs="宋体"/>
      <w:b/>
      <w:bCs/>
      <w:color w:val="000000"/>
      <w:sz w:val="22"/>
      <w:szCs w:val="22"/>
      <w:u w:val="none"/>
    </w:rPr>
  </w:style>
  <w:style w:type="character" w:customStyle="1" w:styleId="215">
    <w:name w:val="font31"/>
    <w:basedOn w:val="43"/>
    <w:qFormat/>
    <w:uiPriority w:val="0"/>
    <w:rPr>
      <w:rFonts w:hint="eastAsia" w:ascii="宋体" w:hAnsi="宋体" w:eastAsia="宋体" w:cs="宋体"/>
      <w:color w:val="000000"/>
      <w:sz w:val="22"/>
      <w:szCs w:val="22"/>
      <w:u w:val="none"/>
    </w:rPr>
  </w:style>
  <w:style w:type="character" w:customStyle="1" w:styleId="216">
    <w:name w:val="font01"/>
    <w:basedOn w:val="43"/>
    <w:qFormat/>
    <w:uiPriority w:val="0"/>
    <w:rPr>
      <w:rFonts w:hint="default" w:ascii="Times New Roman" w:hAnsi="Times New Roman" w:cs="Times New Roman"/>
      <w:color w:val="000000"/>
      <w:sz w:val="22"/>
      <w:szCs w:val="22"/>
      <w:u w:val="none"/>
    </w:rPr>
  </w:style>
  <w:style w:type="table" w:customStyle="1" w:styleId="217">
    <w:name w:val="Table Normal"/>
    <w:semiHidden/>
    <w:unhideWhenUsed/>
    <w:qFormat/>
    <w:uiPriority w:val="0"/>
    <w:tblPr>
      <w:tblCellMar>
        <w:top w:w="0" w:type="dxa"/>
        <w:left w:w="0" w:type="dxa"/>
        <w:bottom w:w="0" w:type="dxa"/>
        <w:right w:w="0" w:type="dxa"/>
      </w:tblCellMar>
    </w:tblPr>
  </w:style>
  <w:style w:type="paragraph" w:customStyle="1" w:styleId="218">
    <w:name w:val="null3"/>
    <w:qFormat/>
    <w:uiPriority w:val="0"/>
    <w:rPr>
      <w:rFonts w:hint="eastAsia" w:ascii="Calibri" w:hAnsi="Calibri" w:eastAsia="宋体" w:cs="Times New Roman"/>
      <w:lang w:val="en-US" w:eastAsia="zh-Hans"/>
    </w:rPr>
  </w:style>
  <w:style w:type="paragraph" w:customStyle="1" w:styleId="21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99</Pages>
  <Words>45540</Words>
  <Characters>52513</Characters>
  <Lines>259</Lines>
  <Paragraphs>73</Paragraphs>
  <TotalTime>47</TotalTime>
  <ScaleCrop>false</ScaleCrop>
  <LinksUpToDate>false</LinksUpToDate>
  <CharactersWithSpaces>55755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2021-11-22T06:44:00Z</dcterms:created>
  <dc:creator>User</dc:creator>
  <cp:lastModifiedBy>ZP</cp:lastModifiedBy>
  <cp:lastPrinted>2024-09-20T22:49:00Z</cp:lastPrinted>
  <dcterms:modified xsi:type="dcterms:W3CDTF">2025-04-23T02:29:01Z</dcterms:modified>
  <dc:title>政府采购服务项目招标文件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633A2FAAE9484EE9B55686EE4A745C88_13</vt:lpwstr>
  </property>
  <property fmtid="{D5CDD505-2E9C-101B-9397-08002B2CF9AE}" pid="4" name="KSOTemplateDocerSaveRecord">
    <vt:lpwstr>eyJoZGlkIjoiNDZlNGU3MTRkNWJlZjQ5MjY3Y2E1OTlkNGUxZGUwMTgiLCJ1c2VySWQiOiI2MjUzNTYzNjMifQ==</vt:lpwstr>
  </property>
</Properties>
</file>