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8B88">
      <w:pPr>
        <w:spacing w:line="460" w:lineRule="exact"/>
        <w:rPr>
          <w:rFonts w:hint="eastAsia" w:ascii="宋体" w:hAnsi="宋体" w:eastAsia="宋体"/>
          <w:szCs w:val="21"/>
          <w:highlight w:val="none"/>
          <w:lang w:eastAsia="zh-CN"/>
        </w:rPr>
      </w:pPr>
      <w:r>
        <w:rPr>
          <w:rFonts w:hint="eastAsia" w:ascii="宋体" w:hAnsi="宋体"/>
          <w:b/>
          <w:sz w:val="30"/>
          <w:szCs w:val="30"/>
          <w:highlight w:val="none"/>
        </w:rPr>
        <w:t>项目编号：</w:t>
      </w:r>
      <w:r>
        <w:rPr>
          <w:rFonts w:hint="eastAsia" w:ascii="宋体" w:hAnsi="宋体"/>
          <w:b/>
          <w:sz w:val="30"/>
          <w:szCs w:val="30"/>
          <w:highlight w:val="none"/>
          <w:lang w:eastAsia="zh-CN"/>
        </w:rPr>
        <w:t>HJCS2501-048</w:t>
      </w:r>
    </w:p>
    <w:p w14:paraId="5072961F">
      <w:pPr>
        <w:tabs>
          <w:tab w:val="left" w:pos="5065"/>
        </w:tabs>
        <w:spacing w:line="460" w:lineRule="exact"/>
        <w:rPr>
          <w:rFonts w:ascii="宋体" w:hAnsi="宋体"/>
          <w:szCs w:val="21"/>
          <w:highlight w:val="none"/>
        </w:rPr>
      </w:pPr>
    </w:p>
    <w:p w14:paraId="0045847A">
      <w:pPr>
        <w:tabs>
          <w:tab w:val="left" w:pos="5065"/>
        </w:tabs>
        <w:spacing w:line="460" w:lineRule="exact"/>
        <w:rPr>
          <w:rFonts w:ascii="宋体" w:hAnsi="宋体"/>
          <w:szCs w:val="21"/>
          <w:highlight w:val="none"/>
        </w:rPr>
      </w:pPr>
    </w:p>
    <w:p w14:paraId="045A451C">
      <w:pPr>
        <w:tabs>
          <w:tab w:val="left" w:pos="5065"/>
        </w:tabs>
        <w:spacing w:line="460" w:lineRule="exact"/>
        <w:rPr>
          <w:rFonts w:ascii="宋体" w:hAnsi="宋体"/>
          <w:szCs w:val="21"/>
          <w:highlight w:val="none"/>
        </w:rPr>
      </w:pPr>
    </w:p>
    <w:p w14:paraId="2D43C3DE">
      <w:pPr>
        <w:spacing w:line="460" w:lineRule="exact"/>
        <w:jc w:val="center"/>
        <w:rPr>
          <w:b/>
          <w:bCs/>
          <w:sz w:val="44"/>
          <w:szCs w:val="40"/>
          <w:highlight w:val="none"/>
        </w:rPr>
      </w:pPr>
    </w:p>
    <w:p w14:paraId="4E7E526F">
      <w:pPr>
        <w:jc w:val="center"/>
        <w:rPr>
          <w:rFonts w:ascii="宋体" w:hAnsi="宋体"/>
          <w:b/>
          <w:sz w:val="52"/>
          <w:szCs w:val="52"/>
          <w:highlight w:val="none"/>
        </w:rPr>
      </w:pPr>
    </w:p>
    <w:p w14:paraId="1284857F">
      <w:pPr>
        <w:jc w:val="center"/>
        <w:rPr>
          <w:rFonts w:hint="eastAsia" w:ascii="宋体" w:hAnsi="宋体" w:eastAsia="宋体"/>
          <w:b/>
          <w:sz w:val="52"/>
          <w:szCs w:val="52"/>
          <w:highlight w:val="none"/>
          <w:lang w:eastAsia="zh-CN"/>
        </w:rPr>
      </w:pPr>
      <w:r>
        <w:rPr>
          <w:rFonts w:hint="eastAsia" w:ascii="宋体" w:hAnsi="宋体"/>
          <w:b/>
          <w:sz w:val="52"/>
          <w:szCs w:val="52"/>
          <w:highlight w:val="none"/>
          <w:lang w:eastAsia="zh-CN"/>
        </w:rPr>
        <w:t>大雁塔不均匀沉降及变形监测项目</w:t>
      </w:r>
    </w:p>
    <w:p w14:paraId="2F273D96">
      <w:pPr>
        <w:rPr>
          <w:highlight w:val="none"/>
        </w:rPr>
      </w:pPr>
    </w:p>
    <w:p w14:paraId="5D0F8AD5">
      <w:pPr>
        <w:pStyle w:val="14"/>
        <w:rPr>
          <w:highlight w:val="none"/>
        </w:rPr>
      </w:pPr>
    </w:p>
    <w:p w14:paraId="2F60C49F">
      <w:pPr>
        <w:jc w:val="center"/>
        <w:rPr>
          <w:rFonts w:ascii="宋体" w:hAnsi="宋体"/>
          <w:b/>
          <w:sz w:val="52"/>
          <w:szCs w:val="52"/>
          <w:highlight w:val="none"/>
        </w:rPr>
      </w:pPr>
      <w:r>
        <w:rPr>
          <w:rFonts w:hint="eastAsia" w:ascii="宋体" w:hAnsi="宋体"/>
          <w:b/>
          <w:sz w:val="52"/>
          <w:szCs w:val="52"/>
          <w:highlight w:val="none"/>
        </w:rPr>
        <w:t>竞争性磋商文件</w:t>
      </w:r>
    </w:p>
    <w:p w14:paraId="7D5A44BC">
      <w:pPr>
        <w:spacing w:line="460" w:lineRule="exact"/>
        <w:jc w:val="center"/>
        <w:rPr>
          <w:rFonts w:ascii="宋体" w:hAnsi="宋体"/>
          <w:b/>
          <w:w w:val="130"/>
          <w:szCs w:val="21"/>
          <w:highlight w:val="none"/>
        </w:rPr>
      </w:pPr>
    </w:p>
    <w:p w14:paraId="6CF0733D">
      <w:pPr>
        <w:spacing w:line="460" w:lineRule="exact"/>
        <w:jc w:val="center"/>
        <w:rPr>
          <w:rFonts w:ascii="宋体" w:hAnsi="宋体"/>
          <w:b/>
          <w:bCs/>
          <w:szCs w:val="21"/>
          <w:highlight w:val="none"/>
        </w:rPr>
      </w:pPr>
    </w:p>
    <w:p w14:paraId="244EBDF7">
      <w:pPr>
        <w:spacing w:line="460" w:lineRule="exact"/>
        <w:rPr>
          <w:rFonts w:ascii="宋体" w:hAnsi="宋体"/>
          <w:b/>
          <w:szCs w:val="21"/>
          <w:highlight w:val="none"/>
        </w:rPr>
      </w:pPr>
    </w:p>
    <w:p w14:paraId="01CD3498">
      <w:pPr>
        <w:spacing w:line="460" w:lineRule="exact"/>
        <w:jc w:val="center"/>
        <w:rPr>
          <w:rFonts w:ascii="宋体" w:hAnsi="宋体"/>
          <w:b/>
          <w:szCs w:val="21"/>
          <w:highlight w:val="none"/>
        </w:rPr>
      </w:pPr>
    </w:p>
    <w:p w14:paraId="1371FD83">
      <w:pPr>
        <w:spacing w:line="460" w:lineRule="exact"/>
        <w:jc w:val="center"/>
        <w:rPr>
          <w:rFonts w:ascii="宋体" w:hAnsi="宋体"/>
          <w:b/>
          <w:szCs w:val="21"/>
          <w:highlight w:val="none"/>
        </w:rPr>
      </w:pPr>
    </w:p>
    <w:p w14:paraId="5B72F0E0">
      <w:pPr>
        <w:spacing w:line="460" w:lineRule="exact"/>
        <w:jc w:val="center"/>
        <w:rPr>
          <w:rFonts w:ascii="宋体" w:hAnsi="宋体"/>
          <w:b/>
          <w:szCs w:val="21"/>
          <w:highlight w:val="none"/>
        </w:rPr>
      </w:pPr>
    </w:p>
    <w:p w14:paraId="3BA4BEF6">
      <w:pPr>
        <w:spacing w:line="460" w:lineRule="exact"/>
        <w:jc w:val="center"/>
        <w:rPr>
          <w:rFonts w:ascii="宋体" w:hAnsi="宋体"/>
          <w:b/>
          <w:szCs w:val="21"/>
          <w:highlight w:val="none"/>
        </w:rPr>
      </w:pPr>
    </w:p>
    <w:p w14:paraId="4176B74A">
      <w:pPr>
        <w:spacing w:line="460" w:lineRule="exact"/>
        <w:jc w:val="center"/>
        <w:rPr>
          <w:rFonts w:ascii="宋体" w:hAnsi="宋体"/>
          <w:b/>
          <w:szCs w:val="21"/>
          <w:highlight w:val="none"/>
        </w:rPr>
      </w:pPr>
    </w:p>
    <w:p w14:paraId="4723920E">
      <w:pPr>
        <w:spacing w:line="460" w:lineRule="exact"/>
        <w:jc w:val="center"/>
        <w:rPr>
          <w:rFonts w:ascii="宋体" w:hAnsi="宋体"/>
          <w:b/>
          <w:szCs w:val="21"/>
          <w:highlight w:val="none"/>
        </w:rPr>
      </w:pPr>
    </w:p>
    <w:p w14:paraId="2CD88A04">
      <w:pPr>
        <w:spacing w:line="460" w:lineRule="exact"/>
        <w:rPr>
          <w:rFonts w:ascii="宋体" w:hAnsi="宋体"/>
          <w:b/>
          <w:szCs w:val="21"/>
          <w:highlight w:val="none"/>
        </w:rPr>
      </w:pPr>
    </w:p>
    <w:p w14:paraId="59E2D590">
      <w:pPr>
        <w:spacing w:line="460" w:lineRule="exact"/>
        <w:ind w:left="3591" w:leftChars="710" w:hanging="2100" w:hangingChars="700"/>
        <w:rPr>
          <w:rFonts w:ascii="宋体" w:hAnsi="宋体"/>
          <w:b/>
          <w:sz w:val="30"/>
          <w:szCs w:val="30"/>
          <w:highlight w:val="none"/>
        </w:rPr>
      </w:pPr>
      <w:r>
        <w:rPr>
          <w:rFonts w:hint="eastAsia" w:ascii="宋体" w:hAnsi="宋体"/>
          <w:b/>
          <w:sz w:val="30"/>
          <w:szCs w:val="30"/>
          <w:highlight w:val="none"/>
        </w:rPr>
        <w:t xml:space="preserve">采 </w:t>
      </w:r>
      <w:r>
        <w:rPr>
          <w:rFonts w:ascii="宋体" w:hAnsi="宋体"/>
          <w:b/>
          <w:sz w:val="30"/>
          <w:szCs w:val="30"/>
          <w:highlight w:val="none"/>
        </w:rPr>
        <w:t xml:space="preserve">  </w:t>
      </w:r>
      <w:r>
        <w:rPr>
          <w:rFonts w:hint="eastAsia" w:ascii="宋体" w:hAnsi="宋体"/>
          <w:b/>
          <w:sz w:val="30"/>
          <w:szCs w:val="30"/>
          <w:highlight w:val="none"/>
        </w:rPr>
        <w:t xml:space="preserve">购 </w:t>
      </w:r>
      <w:r>
        <w:rPr>
          <w:rFonts w:ascii="宋体" w:hAnsi="宋体"/>
          <w:b/>
          <w:sz w:val="30"/>
          <w:szCs w:val="30"/>
          <w:highlight w:val="none"/>
        </w:rPr>
        <w:t xml:space="preserve"> </w:t>
      </w:r>
      <w:r>
        <w:rPr>
          <w:rFonts w:hint="eastAsia" w:ascii="宋体" w:hAnsi="宋体"/>
          <w:b/>
          <w:sz w:val="30"/>
          <w:szCs w:val="30"/>
          <w:highlight w:val="none"/>
        </w:rPr>
        <w:t xml:space="preserve"> 人：</w:t>
      </w:r>
      <w:r>
        <w:rPr>
          <w:rFonts w:hint="eastAsia" w:ascii="宋体" w:hAnsi="宋体"/>
          <w:b/>
          <w:sz w:val="30"/>
          <w:szCs w:val="30"/>
          <w:highlight w:val="none"/>
          <w:lang w:val="en-US" w:eastAsia="zh-CN"/>
        </w:rPr>
        <w:t>西安市大雁塔保管所</w:t>
      </w:r>
    </w:p>
    <w:p w14:paraId="10FA210E">
      <w:pPr>
        <w:pStyle w:val="27"/>
        <w:rPr>
          <w:highlight w:val="none"/>
        </w:rPr>
      </w:pPr>
    </w:p>
    <w:p w14:paraId="29B9BA66">
      <w:pPr>
        <w:spacing w:line="460" w:lineRule="exact"/>
        <w:ind w:firstLine="1500" w:firstLineChars="500"/>
        <w:rPr>
          <w:rFonts w:ascii="宋体" w:hAnsi="宋体"/>
          <w:b/>
          <w:sz w:val="30"/>
          <w:szCs w:val="30"/>
          <w:highlight w:val="none"/>
        </w:rPr>
      </w:pPr>
      <w:r>
        <w:rPr>
          <w:rFonts w:hint="eastAsia" w:ascii="宋体" w:hAnsi="宋体"/>
          <w:b/>
          <w:sz w:val="30"/>
          <w:szCs w:val="30"/>
          <w:highlight w:val="none"/>
        </w:rPr>
        <w:t>采购代理机构:陕西海佳项目管理有限公司</w:t>
      </w:r>
    </w:p>
    <w:p w14:paraId="019E3CD1">
      <w:pPr>
        <w:spacing w:line="460" w:lineRule="exact"/>
        <w:jc w:val="center"/>
        <w:rPr>
          <w:rFonts w:ascii="宋体" w:hAnsi="宋体"/>
          <w:b/>
          <w:sz w:val="30"/>
          <w:szCs w:val="30"/>
          <w:highlight w:val="none"/>
        </w:rPr>
      </w:pPr>
    </w:p>
    <w:p w14:paraId="16F2D851">
      <w:pPr>
        <w:spacing w:line="460" w:lineRule="exact"/>
        <w:jc w:val="center"/>
        <w:rPr>
          <w:rFonts w:ascii="宋体" w:hAnsi="宋体"/>
          <w:b/>
          <w:bCs/>
          <w:sz w:val="30"/>
          <w:szCs w:val="30"/>
          <w:highlight w:val="none"/>
          <w:lang w:val="zh-CN"/>
        </w:rPr>
      </w:pPr>
      <w:r>
        <w:rPr>
          <w:rFonts w:hint="eastAsia" w:ascii="宋体" w:hAnsi="宋体"/>
          <w:b/>
          <w:bCs/>
          <w:sz w:val="30"/>
          <w:szCs w:val="30"/>
          <w:highlight w:val="none"/>
          <w:lang w:val="zh-CN"/>
        </w:rPr>
        <w:t>二〇二</w:t>
      </w:r>
      <w:r>
        <w:rPr>
          <w:rFonts w:hint="eastAsia" w:ascii="宋体" w:hAnsi="宋体"/>
          <w:b/>
          <w:bCs/>
          <w:sz w:val="30"/>
          <w:szCs w:val="30"/>
          <w:highlight w:val="none"/>
          <w:lang w:val="en-US" w:eastAsia="zh-CN"/>
        </w:rPr>
        <w:t>五</w:t>
      </w:r>
      <w:r>
        <w:rPr>
          <w:rFonts w:hint="eastAsia" w:ascii="宋体" w:hAnsi="宋体"/>
          <w:b/>
          <w:bCs/>
          <w:sz w:val="30"/>
          <w:szCs w:val="30"/>
          <w:highlight w:val="none"/>
          <w:lang w:val="zh-CN"/>
        </w:rPr>
        <w:t>年</w:t>
      </w:r>
      <w:r>
        <w:rPr>
          <w:rFonts w:hint="eastAsia" w:ascii="宋体" w:hAnsi="宋体"/>
          <w:b/>
          <w:bCs/>
          <w:sz w:val="30"/>
          <w:szCs w:val="30"/>
          <w:highlight w:val="none"/>
          <w:lang w:val="en-US" w:eastAsia="zh-CN"/>
        </w:rPr>
        <w:t>四</w:t>
      </w:r>
      <w:r>
        <w:rPr>
          <w:rFonts w:hint="eastAsia" w:ascii="宋体" w:hAnsi="宋体"/>
          <w:b/>
          <w:bCs/>
          <w:sz w:val="30"/>
          <w:szCs w:val="30"/>
          <w:highlight w:val="none"/>
          <w:lang w:val="zh-CN"/>
        </w:rPr>
        <w:t>月</w:t>
      </w:r>
    </w:p>
    <w:p w14:paraId="468A74E9">
      <w:pPr>
        <w:pStyle w:val="4"/>
        <w:rPr>
          <w:highlight w:val="none"/>
        </w:rPr>
      </w:pPr>
      <w:r>
        <w:rPr>
          <w:rFonts w:hint="eastAsia"/>
          <w:highlight w:val="none"/>
        </w:rPr>
        <w:br w:type="page"/>
      </w:r>
    </w:p>
    <w:p w14:paraId="544581DA">
      <w:pPr>
        <w:spacing w:line="460" w:lineRule="exact"/>
        <w:jc w:val="center"/>
        <w:rPr>
          <w:rFonts w:ascii="宋体" w:hAnsi="宋体"/>
          <w:b/>
          <w:sz w:val="40"/>
          <w:szCs w:val="40"/>
          <w:highlight w:val="none"/>
        </w:rPr>
      </w:pPr>
    </w:p>
    <w:p w14:paraId="7E20382D">
      <w:pPr>
        <w:tabs>
          <w:tab w:val="center" w:pos="4535"/>
          <w:tab w:val="right" w:pos="9070"/>
        </w:tabs>
        <w:spacing w:line="460" w:lineRule="exact"/>
        <w:jc w:val="left"/>
        <w:rPr>
          <w:rFonts w:ascii="宋体" w:hAnsi="宋体"/>
          <w:b/>
          <w:sz w:val="40"/>
          <w:szCs w:val="40"/>
          <w:highlight w:val="none"/>
        </w:rPr>
      </w:pPr>
      <w:r>
        <w:rPr>
          <w:rFonts w:ascii="宋体" w:hAnsi="宋体"/>
          <w:b/>
          <w:sz w:val="40"/>
          <w:szCs w:val="40"/>
          <w:highlight w:val="none"/>
        </w:rPr>
        <w:tab/>
      </w:r>
      <w:r>
        <w:rPr>
          <w:rFonts w:hint="eastAsia" w:ascii="宋体" w:hAnsi="宋体"/>
          <w:b/>
          <w:sz w:val="40"/>
          <w:szCs w:val="40"/>
          <w:highlight w:val="none"/>
        </w:rPr>
        <w:t>目    录</w:t>
      </w:r>
      <w:r>
        <w:rPr>
          <w:rFonts w:ascii="宋体" w:hAnsi="宋体"/>
          <w:b/>
          <w:sz w:val="40"/>
          <w:szCs w:val="40"/>
          <w:highlight w:val="none"/>
        </w:rPr>
        <w:tab/>
      </w:r>
    </w:p>
    <w:sdt>
      <w:sdtPr>
        <w:rPr>
          <w:rFonts w:ascii="宋体" w:hAnsi="宋体"/>
          <w:highlight w:val="none"/>
        </w:rPr>
        <w:id w:val="147465071"/>
        <w15:color w:val="DBDBDB"/>
        <w:docPartObj>
          <w:docPartGallery w:val="Table of Contents"/>
          <w:docPartUnique/>
        </w:docPartObj>
      </w:sdtPr>
      <w:sdtEndPr>
        <w:rPr>
          <w:rFonts w:ascii="Calibri" w:hAnsi="Calibri"/>
          <w:szCs w:val="21"/>
          <w:highlight w:val="none"/>
        </w:rPr>
      </w:sdtEndPr>
      <w:sdtContent>
        <w:p w14:paraId="353807C7">
          <w:pPr>
            <w:jc w:val="center"/>
            <w:rPr>
              <w:highlight w:val="none"/>
            </w:rPr>
          </w:pPr>
        </w:p>
        <w:p w14:paraId="10C21C08">
          <w:pPr>
            <w:pStyle w:val="2"/>
            <w:tabs>
              <w:tab w:val="left" w:pos="1050"/>
            </w:tabs>
            <w:spacing w:line="480" w:lineRule="auto"/>
            <w:rPr>
              <w:rFonts w:asciiTheme="majorEastAsia" w:hAnsiTheme="majorEastAsia" w:eastAsiaTheme="majorEastAsia" w:cstheme="minorBidi"/>
              <w:sz w:val="24"/>
              <w:szCs w:val="28"/>
              <w:highlight w:val="none"/>
            </w:rPr>
          </w:pPr>
          <w:r>
            <w:rPr>
              <w:rFonts w:asciiTheme="minorHAnsi" w:hAnsiTheme="minorHAnsi" w:eastAsiaTheme="minorEastAsia" w:cstheme="minorBidi"/>
              <w:b/>
              <w:bCs/>
              <w:kern w:val="0"/>
              <w:szCs w:val="21"/>
              <w:highlight w:val="none"/>
            </w:rPr>
            <w:fldChar w:fldCharType="begin"/>
          </w:r>
          <w:r>
            <w:rPr>
              <w:b/>
              <w:bCs/>
              <w:szCs w:val="21"/>
              <w:highlight w:val="none"/>
            </w:rPr>
            <w:instrText xml:space="preserve">TOC \o "1-1" \h \u </w:instrText>
          </w:r>
          <w:r>
            <w:rPr>
              <w:rFonts w:asciiTheme="minorHAnsi" w:hAnsiTheme="minorHAnsi" w:eastAsiaTheme="minorEastAsia" w:cstheme="minorBidi"/>
              <w:b/>
              <w:bCs/>
              <w:kern w:val="0"/>
              <w:szCs w:val="21"/>
              <w:highlight w:val="none"/>
            </w:rPr>
            <w:fldChar w:fldCharType="separate"/>
          </w:r>
          <w:r>
            <w:rPr>
              <w:highlight w:val="none"/>
            </w:rPr>
            <w:fldChar w:fldCharType="begin"/>
          </w:r>
          <w:r>
            <w:rPr>
              <w:highlight w:val="none"/>
            </w:rPr>
            <w:instrText xml:space="preserve"> HYPERLINK \l "_Toc133244817" </w:instrText>
          </w:r>
          <w:r>
            <w:rPr>
              <w:highlight w:val="none"/>
            </w:rPr>
            <w:fldChar w:fldCharType="separate"/>
          </w:r>
          <w:r>
            <w:rPr>
              <w:rStyle w:val="24"/>
              <w:rFonts w:asciiTheme="majorEastAsia" w:hAnsiTheme="majorEastAsia" w:eastAsiaTheme="majorEastAsia"/>
              <w:b/>
              <w:sz w:val="24"/>
              <w:szCs w:val="22"/>
              <w:highlight w:val="none"/>
            </w:rPr>
            <w:t>第一章</w:t>
          </w:r>
          <w:r>
            <w:rPr>
              <w:rFonts w:asciiTheme="majorEastAsia" w:hAnsiTheme="majorEastAsia" w:eastAsiaTheme="majorEastAsia" w:cstheme="minorBidi"/>
              <w:sz w:val="24"/>
              <w:szCs w:val="28"/>
              <w:highlight w:val="none"/>
            </w:rPr>
            <w:tab/>
          </w:r>
          <w:r>
            <w:rPr>
              <w:rStyle w:val="24"/>
              <w:rFonts w:asciiTheme="majorEastAsia" w:hAnsiTheme="majorEastAsia" w:eastAsiaTheme="majorEastAsia"/>
              <w:b/>
              <w:sz w:val="24"/>
              <w:szCs w:val="22"/>
              <w:highlight w:val="none"/>
            </w:rPr>
            <w:t>竞争性磋商公告</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_Toc133244817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2</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299E4660">
          <w:pPr>
            <w:pStyle w:val="2"/>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"_Toc133244818" </w:instrText>
          </w:r>
          <w:r>
            <w:rPr>
              <w:highlight w:val="none"/>
            </w:rPr>
            <w:fldChar w:fldCharType="separate"/>
          </w:r>
          <w:r>
            <w:rPr>
              <w:rStyle w:val="24"/>
              <w:rFonts w:asciiTheme="majorEastAsia" w:hAnsiTheme="majorEastAsia" w:eastAsiaTheme="majorEastAsia"/>
              <w:b/>
              <w:sz w:val="24"/>
              <w:szCs w:val="22"/>
              <w:highlight w:val="none"/>
            </w:rPr>
            <w:t>第二章</w:t>
          </w:r>
          <w:r>
            <w:rPr>
              <w:rFonts w:asciiTheme="majorEastAsia" w:hAnsiTheme="majorEastAsia" w:eastAsiaTheme="majorEastAsia" w:cstheme="minorBidi"/>
              <w:sz w:val="24"/>
              <w:szCs w:val="28"/>
              <w:highlight w:val="none"/>
            </w:rPr>
            <w:tab/>
          </w:r>
          <w:r>
            <w:rPr>
              <w:rStyle w:val="24"/>
              <w:rFonts w:asciiTheme="majorEastAsia" w:hAnsiTheme="majorEastAsia" w:eastAsiaTheme="majorEastAsia"/>
              <w:b/>
              <w:sz w:val="24"/>
              <w:szCs w:val="22"/>
              <w:highlight w:val="none"/>
            </w:rPr>
            <w:t>竞争性磋商采购须知</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_Toc133244818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5</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103700EA">
          <w:pPr>
            <w:pStyle w:val="2"/>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"_Toc133244830" </w:instrText>
          </w:r>
          <w:r>
            <w:rPr>
              <w:highlight w:val="none"/>
            </w:rPr>
            <w:fldChar w:fldCharType="separate"/>
          </w:r>
          <w:r>
            <w:rPr>
              <w:rStyle w:val="24"/>
              <w:rFonts w:asciiTheme="majorEastAsia" w:hAnsiTheme="majorEastAsia" w:eastAsiaTheme="majorEastAsia"/>
              <w:b/>
              <w:sz w:val="24"/>
              <w:szCs w:val="22"/>
              <w:highlight w:val="none"/>
            </w:rPr>
            <w:t>第三章</w:t>
          </w:r>
          <w:r>
            <w:rPr>
              <w:rFonts w:asciiTheme="majorEastAsia" w:hAnsiTheme="majorEastAsia" w:eastAsiaTheme="majorEastAsia" w:cstheme="minorBidi"/>
              <w:sz w:val="24"/>
              <w:szCs w:val="28"/>
              <w:highlight w:val="none"/>
            </w:rPr>
            <w:tab/>
          </w:r>
          <w:r>
            <w:rPr>
              <w:rStyle w:val="24"/>
              <w:rFonts w:asciiTheme="majorEastAsia" w:hAnsiTheme="majorEastAsia" w:eastAsiaTheme="majorEastAsia"/>
              <w:b/>
              <w:sz w:val="24"/>
              <w:szCs w:val="22"/>
              <w:highlight w:val="none"/>
            </w:rPr>
            <w:t>采购内容及要求</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_Toc133244830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15</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17C6E35F">
          <w:pPr>
            <w:pStyle w:val="2"/>
            <w:tabs>
              <w:tab w:val="left" w:pos="1050"/>
            </w:tabs>
            <w:spacing w:line="480" w:lineRule="auto"/>
            <w:rPr>
              <w:rFonts w:asciiTheme="majorEastAsia" w:hAnsiTheme="majorEastAsia" w:eastAsiaTheme="majorEastAsia" w:cstheme="minorBidi"/>
              <w:sz w:val="24"/>
              <w:szCs w:val="28"/>
              <w:highlight w:val="none"/>
            </w:rPr>
          </w:pPr>
          <w:r>
            <w:rPr>
              <w:highlight w:val="none"/>
            </w:rPr>
            <w:fldChar w:fldCharType="begin"/>
          </w:r>
          <w:r>
            <w:rPr>
              <w:highlight w:val="none"/>
            </w:rPr>
            <w:instrText xml:space="preserve"> HYPERLINK \l "_Toc133244853" </w:instrText>
          </w:r>
          <w:r>
            <w:rPr>
              <w:highlight w:val="none"/>
            </w:rPr>
            <w:fldChar w:fldCharType="separate"/>
          </w:r>
          <w:r>
            <w:rPr>
              <w:rStyle w:val="24"/>
              <w:rFonts w:asciiTheme="majorEastAsia" w:hAnsiTheme="majorEastAsia" w:eastAsiaTheme="majorEastAsia"/>
              <w:b/>
              <w:sz w:val="24"/>
              <w:szCs w:val="22"/>
              <w:highlight w:val="none"/>
            </w:rPr>
            <w:t>第四章</w:t>
          </w:r>
          <w:r>
            <w:rPr>
              <w:rFonts w:asciiTheme="majorEastAsia" w:hAnsiTheme="majorEastAsia" w:eastAsiaTheme="majorEastAsia" w:cstheme="minorBidi"/>
              <w:sz w:val="24"/>
              <w:szCs w:val="28"/>
              <w:highlight w:val="none"/>
            </w:rPr>
            <w:tab/>
          </w:r>
          <w:r>
            <w:rPr>
              <w:rStyle w:val="24"/>
              <w:rFonts w:asciiTheme="majorEastAsia" w:hAnsiTheme="majorEastAsia" w:eastAsiaTheme="majorEastAsia"/>
              <w:b/>
              <w:sz w:val="24"/>
              <w:szCs w:val="22"/>
              <w:highlight w:val="none"/>
            </w:rPr>
            <w:t>合同主要条款</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_Toc133244853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17</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6A41CD9C">
          <w:pPr>
            <w:pStyle w:val="2"/>
            <w:tabs>
              <w:tab w:val="left" w:pos="1050"/>
            </w:tabs>
            <w:spacing w:line="480" w:lineRule="auto"/>
            <w:rPr>
              <w:rFonts w:asciiTheme="minorHAnsi" w:hAnsiTheme="minorHAnsi" w:eastAsiaTheme="minorEastAsia" w:cstheme="minorBidi"/>
              <w:sz w:val="20"/>
              <w:szCs w:val="21"/>
              <w:highlight w:val="none"/>
            </w:rPr>
          </w:pPr>
          <w:r>
            <w:rPr>
              <w:highlight w:val="none"/>
            </w:rPr>
            <w:fldChar w:fldCharType="begin"/>
          </w:r>
          <w:r>
            <w:rPr>
              <w:highlight w:val="none"/>
            </w:rPr>
            <w:instrText xml:space="preserve"> HYPERLINK \l "_Toc133244854" </w:instrText>
          </w:r>
          <w:r>
            <w:rPr>
              <w:highlight w:val="none"/>
            </w:rPr>
            <w:fldChar w:fldCharType="separate"/>
          </w:r>
          <w:r>
            <w:rPr>
              <w:rStyle w:val="24"/>
              <w:rFonts w:asciiTheme="majorEastAsia" w:hAnsiTheme="majorEastAsia" w:eastAsiaTheme="majorEastAsia"/>
              <w:b/>
              <w:bCs/>
              <w:sz w:val="24"/>
              <w:szCs w:val="22"/>
              <w:highlight w:val="none"/>
              <w:lang w:val="zh-CN"/>
            </w:rPr>
            <w:t>第五章</w:t>
          </w:r>
          <w:r>
            <w:rPr>
              <w:rFonts w:asciiTheme="majorEastAsia" w:hAnsiTheme="majorEastAsia" w:eastAsiaTheme="majorEastAsia" w:cstheme="minorBidi"/>
              <w:sz w:val="24"/>
              <w:szCs w:val="28"/>
              <w:highlight w:val="none"/>
            </w:rPr>
            <w:tab/>
          </w:r>
          <w:r>
            <w:rPr>
              <w:rStyle w:val="24"/>
              <w:rFonts w:asciiTheme="majorEastAsia" w:hAnsiTheme="majorEastAsia" w:eastAsiaTheme="majorEastAsia"/>
              <w:b/>
              <w:sz w:val="24"/>
              <w:szCs w:val="22"/>
              <w:highlight w:val="none"/>
            </w:rPr>
            <w:t>竞争性磋商响应文件格式</w:t>
          </w:r>
          <w:r>
            <w:rPr>
              <w:rFonts w:asciiTheme="majorEastAsia" w:hAnsiTheme="majorEastAsia" w:eastAsiaTheme="majorEastAsia"/>
              <w:sz w:val="24"/>
              <w:szCs w:val="22"/>
              <w:highlight w:val="none"/>
            </w:rPr>
            <w:tab/>
          </w:r>
          <w:r>
            <w:rPr>
              <w:rFonts w:asciiTheme="majorEastAsia" w:hAnsiTheme="majorEastAsia" w:eastAsiaTheme="majorEastAsia"/>
              <w:sz w:val="24"/>
              <w:szCs w:val="22"/>
              <w:highlight w:val="none"/>
            </w:rPr>
            <w:fldChar w:fldCharType="begin"/>
          </w:r>
          <w:r>
            <w:rPr>
              <w:rFonts w:asciiTheme="majorEastAsia" w:hAnsiTheme="majorEastAsia" w:eastAsiaTheme="majorEastAsia"/>
              <w:sz w:val="24"/>
              <w:szCs w:val="22"/>
              <w:highlight w:val="none"/>
            </w:rPr>
            <w:instrText xml:space="preserve"> PAGEREF _Toc133244854 \h </w:instrText>
          </w:r>
          <w:r>
            <w:rPr>
              <w:rFonts w:asciiTheme="majorEastAsia" w:hAnsiTheme="majorEastAsia" w:eastAsiaTheme="majorEastAsia"/>
              <w:sz w:val="24"/>
              <w:szCs w:val="22"/>
              <w:highlight w:val="none"/>
            </w:rPr>
            <w:fldChar w:fldCharType="separate"/>
          </w:r>
          <w:r>
            <w:rPr>
              <w:rFonts w:asciiTheme="majorEastAsia" w:hAnsiTheme="majorEastAsia" w:eastAsiaTheme="majorEastAsia"/>
              <w:sz w:val="24"/>
              <w:szCs w:val="22"/>
              <w:highlight w:val="none"/>
            </w:rPr>
            <w:t>23</w:t>
          </w:r>
          <w:r>
            <w:rPr>
              <w:rFonts w:asciiTheme="majorEastAsia" w:hAnsiTheme="majorEastAsia" w:eastAsiaTheme="majorEastAsia"/>
              <w:sz w:val="24"/>
              <w:szCs w:val="22"/>
              <w:highlight w:val="none"/>
            </w:rPr>
            <w:fldChar w:fldCharType="end"/>
          </w:r>
          <w:r>
            <w:rPr>
              <w:rFonts w:asciiTheme="majorEastAsia" w:hAnsiTheme="majorEastAsia" w:eastAsiaTheme="majorEastAsia"/>
              <w:sz w:val="24"/>
              <w:szCs w:val="22"/>
              <w:highlight w:val="none"/>
            </w:rPr>
            <w:fldChar w:fldCharType="end"/>
          </w:r>
        </w:p>
        <w:p w14:paraId="659AAF7F">
          <w:pPr>
            <w:tabs>
              <w:tab w:val="left" w:pos="2150"/>
            </w:tabs>
            <w:spacing w:line="480" w:lineRule="auto"/>
            <w:rPr>
              <w:b/>
              <w:bCs/>
              <w:szCs w:val="21"/>
              <w:highlight w:val="none"/>
            </w:rPr>
          </w:pPr>
          <w:r>
            <w:rPr>
              <w:b/>
              <w:bCs/>
              <w:szCs w:val="21"/>
              <w:highlight w:val="none"/>
            </w:rPr>
            <w:fldChar w:fldCharType="end"/>
          </w:r>
        </w:p>
      </w:sdtContent>
    </w:sdt>
    <w:p w14:paraId="4C86CB03">
      <w:pPr>
        <w:rPr>
          <w:sz w:val="22"/>
          <w:szCs w:val="21"/>
          <w:highlight w:val="none"/>
        </w:rPr>
      </w:pPr>
      <w:bookmarkStart w:id="0" w:name="_Toc50656397"/>
    </w:p>
    <w:p w14:paraId="5B3D8873">
      <w:pPr>
        <w:rPr>
          <w:sz w:val="22"/>
          <w:szCs w:val="21"/>
          <w:highlight w:val="none"/>
        </w:rPr>
      </w:pPr>
    </w:p>
    <w:p w14:paraId="2A9837A8">
      <w:pPr>
        <w:rPr>
          <w:sz w:val="22"/>
          <w:szCs w:val="21"/>
          <w:highlight w:val="none"/>
        </w:rPr>
      </w:pPr>
    </w:p>
    <w:p w14:paraId="79B9F1CF">
      <w:pPr>
        <w:rPr>
          <w:sz w:val="22"/>
          <w:szCs w:val="21"/>
          <w:highlight w:val="none"/>
        </w:rPr>
      </w:pPr>
    </w:p>
    <w:p w14:paraId="4B807B9C">
      <w:pPr>
        <w:rPr>
          <w:sz w:val="22"/>
          <w:szCs w:val="21"/>
          <w:highlight w:val="none"/>
        </w:rPr>
      </w:pPr>
    </w:p>
    <w:p w14:paraId="17AD2CDD">
      <w:pPr>
        <w:rPr>
          <w:sz w:val="22"/>
          <w:szCs w:val="21"/>
          <w:highlight w:val="none"/>
        </w:rPr>
      </w:pPr>
    </w:p>
    <w:p w14:paraId="1418F98D">
      <w:pPr>
        <w:rPr>
          <w:sz w:val="22"/>
          <w:szCs w:val="21"/>
          <w:highlight w:val="none"/>
        </w:rPr>
      </w:pPr>
    </w:p>
    <w:p w14:paraId="318836EE">
      <w:pPr>
        <w:rPr>
          <w:sz w:val="22"/>
          <w:szCs w:val="21"/>
          <w:highlight w:val="none"/>
        </w:rPr>
      </w:pPr>
    </w:p>
    <w:p w14:paraId="719F0DAC">
      <w:pPr>
        <w:rPr>
          <w:sz w:val="22"/>
          <w:szCs w:val="21"/>
          <w:highlight w:val="none"/>
        </w:rPr>
      </w:pPr>
    </w:p>
    <w:p w14:paraId="662B2E2E">
      <w:pPr>
        <w:rPr>
          <w:sz w:val="22"/>
          <w:szCs w:val="21"/>
          <w:highlight w:val="none"/>
        </w:rPr>
      </w:pPr>
    </w:p>
    <w:p w14:paraId="29003A2F">
      <w:pPr>
        <w:rPr>
          <w:b/>
          <w:bCs/>
          <w:szCs w:val="21"/>
          <w:highlight w:val="none"/>
        </w:rPr>
      </w:pPr>
    </w:p>
    <w:p w14:paraId="62B7947D">
      <w:pPr>
        <w:tabs>
          <w:tab w:val="left" w:pos="5460"/>
        </w:tabs>
        <w:rPr>
          <w:b/>
          <w:bCs/>
          <w:szCs w:val="21"/>
          <w:highlight w:val="none"/>
        </w:rPr>
      </w:pPr>
      <w:r>
        <w:rPr>
          <w:b/>
          <w:bCs/>
          <w:szCs w:val="21"/>
          <w:highlight w:val="none"/>
        </w:rPr>
        <w:tab/>
      </w:r>
    </w:p>
    <w:p w14:paraId="6530F6C8">
      <w:pPr>
        <w:rPr>
          <w:b/>
          <w:bCs/>
          <w:szCs w:val="21"/>
          <w:highlight w:val="none"/>
        </w:rPr>
      </w:pPr>
    </w:p>
    <w:p w14:paraId="61AC3239">
      <w:pPr>
        <w:rPr>
          <w:sz w:val="22"/>
          <w:szCs w:val="21"/>
          <w:highlight w:val="none"/>
        </w:rPr>
        <w:sectPr>
          <w:footerReference r:id="rId4" w:type="first"/>
          <w:footerReference r:id="rId3" w:type="default"/>
          <w:pgSz w:w="11906" w:h="16838"/>
          <w:pgMar w:top="1281" w:right="1418" w:bottom="1247" w:left="1418" w:header="851" w:footer="1020" w:gutter="0"/>
          <w:pgBorders w:display="notFirstPage">
            <w:bottom w:val="single" w:color="auto" w:sz="4" w:space="1"/>
          </w:pgBorders>
          <w:pgNumType w:start="0" w:chapStyle="1"/>
          <w:cols w:space="720" w:num="1"/>
          <w:titlePg/>
          <w:docGrid w:type="linesAndChars" w:linePitch="487" w:charSpace="0"/>
        </w:sectPr>
      </w:pPr>
    </w:p>
    <w:p w14:paraId="002E5A17">
      <w:pPr>
        <w:numPr>
          <w:ilvl w:val="0"/>
          <w:numId w:val="1"/>
        </w:numPr>
        <w:spacing w:line="460" w:lineRule="exact"/>
        <w:jc w:val="center"/>
        <w:outlineLvl w:val="0"/>
        <w:rPr>
          <w:rFonts w:ascii="宋体" w:hAnsi="宋体"/>
          <w:b/>
          <w:sz w:val="28"/>
          <w:szCs w:val="28"/>
          <w:highlight w:val="none"/>
        </w:rPr>
      </w:pPr>
      <w:r>
        <w:rPr>
          <w:rFonts w:hint="eastAsia" w:ascii="宋体" w:hAnsi="宋体"/>
          <w:b/>
          <w:sz w:val="28"/>
          <w:szCs w:val="28"/>
          <w:highlight w:val="none"/>
        </w:rPr>
        <w:t xml:space="preserve"> </w:t>
      </w:r>
      <w:bookmarkStart w:id="1" w:name="_Toc133244817"/>
      <w:r>
        <w:rPr>
          <w:rFonts w:hint="eastAsia" w:ascii="宋体" w:hAnsi="宋体"/>
          <w:b/>
          <w:sz w:val="28"/>
          <w:szCs w:val="28"/>
          <w:highlight w:val="none"/>
        </w:rPr>
        <w:t>竞争性磋商公告</w:t>
      </w:r>
      <w:bookmarkEnd w:id="0"/>
      <w:bookmarkEnd w:id="1"/>
    </w:p>
    <w:p w14:paraId="6A525BB5">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项目概况</w:t>
      </w:r>
    </w:p>
    <w:p w14:paraId="2CD8BC48">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lang w:eastAsia="zh-CN"/>
        </w:rPr>
        <w:t>大雁塔不均匀沉降及变形监测项目</w:t>
      </w:r>
      <w:r>
        <w:rPr>
          <w:rFonts w:hint="eastAsia" w:cs="仿宋"/>
          <w:bCs/>
          <w:sz w:val="21"/>
          <w:szCs w:val="21"/>
          <w:highlight w:val="none"/>
        </w:rPr>
        <w:t>的潜在供应商应在陕西省西安市雁塔区唐延路35号旺座现代城C座2604室获取采购文件，并于202</w:t>
      </w:r>
      <w:r>
        <w:rPr>
          <w:rFonts w:hint="eastAsia" w:cs="仿宋"/>
          <w:bCs/>
          <w:sz w:val="21"/>
          <w:szCs w:val="21"/>
          <w:highlight w:val="none"/>
          <w:lang w:val="en-US" w:eastAsia="zh-CN"/>
        </w:rPr>
        <w:t>5</w:t>
      </w:r>
      <w:r>
        <w:rPr>
          <w:rFonts w:hint="eastAsia" w:cs="仿宋"/>
          <w:bCs/>
          <w:color w:val="auto"/>
          <w:sz w:val="21"/>
          <w:szCs w:val="21"/>
          <w:highlight w:val="none"/>
        </w:rPr>
        <w:t>年</w:t>
      </w:r>
      <w:r>
        <w:rPr>
          <w:rFonts w:hint="eastAsia" w:cs="仿宋"/>
          <w:bCs/>
          <w:color w:val="auto"/>
          <w:sz w:val="21"/>
          <w:szCs w:val="21"/>
          <w:highlight w:val="none"/>
          <w:lang w:val="en-US" w:eastAsia="zh-CN"/>
        </w:rPr>
        <w:t>5</w:t>
      </w:r>
      <w:r>
        <w:rPr>
          <w:rFonts w:hint="eastAsia" w:cs="仿宋"/>
          <w:bCs/>
          <w:color w:val="auto"/>
          <w:sz w:val="21"/>
          <w:szCs w:val="21"/>
          <w:highlight w:val="none"/>
        </w:rPr>
        <w:t>月</w:t>
      </w:r>
      <w:r>
        <w:rPr>
          <w:rFonts w:hint="eastAsia" w:cs="仿宋"/>
          <w:bCs/>
          <w:color w:val="auto"/>
          <w:sz w:val="21"/>
          <w:szCs w:val="21"/>
          <w:highlight w:val="none"/>
          <w:lang w:val="en-US" w:eastAsia="zh-CN"/>
        </w:rPr>
        <w:t>19</w:t>
      </w:r>
      <w:r>
        <w:rPr>
          <w:rFonts w:hint="eastAsia" w:cs="仿宋"/>
          <w:bCs/>
          <w:sz w:val="21"/>
          <w:szCs w:val="21"/>
          <w:highlight w:val="none"/>
        </w:rPr>
        <w:t>日</w:t>
      </w:r>
      <w:r>
        <w:rPr>
          <w:rFonts w:hint="eastAsia" w:cs="仿宋"/>
          <w:bCs/>
          <w:sz w:val="21"/>
          <w:szCs w:val="21"/>
          <w:highlight w:val="none"/>
          <w:lang w:val="en-US" w:eastAsia="zh-CN"/>
        </w:rPr>
        <w:t>10</w:t>
      </w:r>
      <w:r>
        <w:rPr>
          <w:rFonts w:hint="eastAsia" w:cs="仿宋"/>
          <w:bCs/>
          <w:sz w:val="21"/>
          <w:szCs w:val="21"/>
          <w:highlight w:val="none"/>
        </w:rPr>
        <w:t>时</w:t>
      </w:r>
      <w:r>
        <w:rPr>
          <w:rFonts w:hint="eastAsia" w:cs="仿宋"/>
          <w:bCs/>
          <w:sz w:val="21"/>
          <w:szCs w:val="21"/>
          <w:highlight w:val="none"/>
          <w:lang w:val="en-US" w:eastAsia="zh-CN"/>
        </w:rPr>
        <w:t>0</w:t>
      </w:r>
      <w:r>
        <w:rPr>
          <w:rFonts w:hint="eastAsia" w:cs="仿宋"/>
          <w:bCs/>
          <w:sz w:val="21"/>
          <w:szCs w:val="21"/>
          <w:highlight w:val="none"/>
        </w:rPr>
        <w:t>0分（北京时间）前提交响应文件。</w:t>
      </w:r>
    </w:p>
    <w:p w14:paraId="480DCD0A">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一、项目基本情况</w:t>
      </w:r>
    </w:p>
    <w:p w14:paraId="787CEB7B">
      <w:pPr>
        <w:pStyle w:val="15"/>
        <w:adjustRightInd w:val="0"/>
        <w:snapToGrid w:val="0"/>
        <w:spacing w:before="0" w:beforeAutospacing="0" w:after="0" w:afterAutospacing="0" w:line="460" w:lineRule="exact"/>
        <w:ind w:firstLine="420"/>
        <w:rPr>
          <w:rFonts w:hint="eastAsia" w:eastAsia="宋体" w:cs="仿宋"/>
          <w:bCs/>
          <w:sz w:val="21"/>
          <w:szCs w:val="21"/>
          <w:highlight w:val="none"/>
          <w:lang w:eastAsia="zh-CN"/>
        </w:rPr>
      </w:pPr>
      <w:r>
        <w:rPr>
          <w:rFonts w:hint="eastAsia" w:cs="仿宋"/>
          <w:bCs/>
          <w:sz w:val="21"/>
          <w:szCs w:val="21"/>
          <w:highlight w:val="none"/>
        </w:rPr>
        <w:t>项目编号：</w:t>
      </w:r>
      <w:r>
        <w:rPr>
          <w:rFonts w:hint="eastAsia" w:cs="仿宋"/>
          <w:bCs/>
          <w:sz w:val="21"/>
          <w:szCs w:val="21"/>
          <w:highlight w:val="none"/>
          <w:lang w:eastAsia="zh-CN"/>
        </w:rPr>
        <w:t>HJCS2501-048</w:t>
      </w:r>
    </w:p>
    <w:p w14:paraId="3922E617">
      <w:pPr>
        <w:pStyle w:val="15"/>
        <w:adjustRightInd w:val="0"/>
        <w:snapToGrid w:val="0"/>
        <w:spacing w:before="0" w:beforeAutospacing="0" w:after="0" w:afterAutospacing="0" w:line="460" w:lineRule="exact"/>
        <w:ind w:firstLine="420"/>
        <w:rPr>
          <w:rFonts w:hint="eastAsia" w:eastAsia="宋体" w:cs="仿宋"/>
          <w:bCs/>
          <w:sz w:val="21"/>
          <w:szCs w:val="21"/>
          <w:highlight w:val="none"/>
          <w:lang w:eastAsia="zh-CN"/>
        </w:rPr>
      </w:pPr>
      <w:r>
        <w:rPr>
          <w:rFonts w:hint="eastAsia" w:cs="仿宋"/>
          <w:bCs/>
          <w:sz w:val="21"/>
          <w:szCs w:val="21"/>
          <w:highlight w:val="none"/>
        </w:rPr>
        <w:t>项目名称：</w:t>
      </w:r>
      <w:r>
        <w:rPr>
          <w:rFonts w:hint="eastAsia" w:cs="仿宋"/>
          <w:bCs/>
          <w:sz w:val="21"/>
          <w:szCs w:val="21"/>
          <w:highlight w:val="none"/>
          <w:lang w:eastAsia="zh-CN"/>
        </w:rPr>
        <w:t>大雁塔不均匀沉降及变形监测项目</w:t>
      </w:r>
    </w:p>
    <w:p w14:paraId="2FA21450">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采购方式：竞争性磋商</w:t>
      </w:r>
    </w:p>
    <w:p w14:paraId="3343DEFD">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预算金额：</w:t>
      </w:r>
      <w:r>
        <w:rPr>
          <w:rFonts w:hint="eastAsia" w:cs="仿宋"/>
          <w:bCs/>
          <w:sz w:val="21"/>
          <w:szCs w:val="21"/>
          <w:highlight w:val="none"/>
          <w:lang w:val="en-US" w:eastAsia="zh-CN"/>
        </w:rPr>
        <w:t>150000</w:t>
      </w:r>
      <w:r>
        <w:rPr>
          <w:rFonts w:hint="eastAsia" w:cs="仿宋"/>
          <w:bCs/>
          <w:sz w:val="21"/>
          <w:szCs w:val="21"/>
          <w:highlight w:val="none"/>
        </w:rPr>
        <w:t>.00元</w:t>
      </w:r>
    </w:p>
    <w:p w14:paraId="3325D9FC">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采购需求：</w:t>
      </w:r>
    </w:p>
    <w:p w14:paraId="661B8E7F">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合同包1(</w:t>
      </w:r>
      <w:r>
        <w:rPr>
          <w:rFonts w:hint="eastAsia" w:cs="仿宋"/>
          <w:bCs/>
          <w:sz w:val="21"/>
          <w:szCs w:val="21"/>
          <w:highlight w:val="none"/>
          <w:lang w:eastAsia="zh-CN"/>
        </w:rPr>
        <w:t>大雁塔不均匀沉降及变形监测项目</w:t>
      </w:r>
      <w:r>
        <w:rPr>
          <w:rFonts w:hint="eastAsia" w:cs="仿宋"/>
          <w:bCs/>
          <w:sz w:val="21"/>
          <w:szCs w:val="21"/>
          <w:highlight w:val="none"/>
        </w:rPr>
        <w:t>):</w:t>
      </w:r>
    </w:p>
    <w:p w14:paraId="26F63C65">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合同包预算金额：</w:t>
      </w:r>
      <w:r>
        <w:rPr>
          <w:rFonts w:hint="eastAsia" w:cs="仿宋"/>
          <w:bCs/>
          <w:sz w:val="21"/>
          <w:szCs w:val="21"/>
          <w:highlight w:val="none"/>
          <w:lang w:eastAsia="zh-CN"/>
        </w:rPr>
        <w:t>150000</w:t>
      </w:r>
      <w:r>
        <w:rPr>
          <w:rFonts w:hint="eastAsia" w:cs="仿宋"/>
          <w:bCs/>
          <w:sz w:val="21"/>
          <w:szCs w:val="21"/>
          <w:highlight w:val="none"/>
        </w:rPr>
        <w:t>.00元</w:t>
      </w:r>
    </w:p>
    <w:p w14:paraId="66ED5591">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合同包最高限价：</w:t>
      </w:r>
      <w:r>
        <w:rPr>
          <w:rFonts w:hint="eastAsia" w:cs="仿宋"/>
          <w:bCs/>
          <w:sz w:val="21"/>
          <w:szCs w:val="21"/>
          <w:highlight w:val="none"/>
          <w:lang w:eastAsia="zh-CN"/>
        </w:rPr>
        <w:t>150000</w:t>
      </w:r>
      <w:r>
        <w:rPr>
          <w:rFonts w:hint="eastAsia" w:cs="仿宋"/>
          <w:bCs/>
          <w:sz w:val="21"/>
          <w:szCs w:val="21"/>
          <w:highlight w:val="none"/>
        </w:rPr>
        <w:t>.00元</w:t>
      </w:r>
    </w:p>
    <w:tbl>
      <w:tblPr>
        <w:tblStyle w:val="19"/>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5"/>
        <w:gridCol w:w="1710"/>
        <w:gridCol w:w="1710"/>
        <w:gridCol w:w="994"/>
        <w:gridCol w:w="1389"/>
        <w:gridCol w:w="1376"/>
        <w:gridCol w:w="1376"/>
      </w:tblGrid>
      <w:tr w14:paraId="1FD2D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0CADD21">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品目号</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374CF9E">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品目名称</w:t>
            </w:r>
          </w:p>
        </w:tc>
        <w:tc>
          <w:tcPr>
            <w:tcW w:w="4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DBCB57F">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采购标的</w:t>
            </w:r>
          </w:p>
        </w:tc>
        <w:tc>
          <w:tcPr>
            <w:tcW w:w="15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7E9CF1">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数量（单位）</w:t>
            </w:r>
          </w:p>
        </w:tc>
        <w:tc>
          <w:tcPr>
            <w:tcW w:w="30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20FD94A">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技术规格、参数及要求</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9A6D6C5">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品目预算(元)</w:t>
            </w:r>
          </w:p>
        </w:tc>
        <w:tc>
          <w:tcPr>
            <w:tcW w:w="18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EB3D449">
            <w:pPr>
              <w:widowControl/>
              <w:adjustRightInd w:val="0"/>
              <w:snapToGrid w:val="0"/>
              <w:spacing w:line="460" w:lineRule="exact"/>
              <w:jc w:val="center"/>
              <w:rPr>
                <w:rFonts w:ascii="宋体" w:hAnsi="宋体" w:cs="宋体"/>
                <w:b/>
                <w:bCs/>
                <w:kern w:val="0"/>
                <w:szCs w:val="21"/>
                <w:highlight w:val="none"/>
              </w:rPr>
            </w:pPr>
            <w:r>
              <w:rPr>
                <w:rFonts w:ascii="宋体" w:hAnsi="宋体" w:cs="宋体"/>
                <w:b/>
                <w:bCs/>
                <w:kern w:val="0"/>
                <w:szCs w:val="21"/>
                <w:highlight w:val="none"/>
              </w:rPr>
              <w:t>最高限价(元)</w:t>
            </w:r>
          </w:p>
        </w:tc>
      </w:tr>
      <w:tr w14:paraId="1A8E2B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3EA9FA3">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9DBBED">
            <w:pPr>
              <w:widowControl/>
              <w:adjustRightInd w:val="0"/>
              <w:snapToGrid w:val="0"/>
              <w:spacing w:line="460" w:lineRule="exact"/>
              <w:jc w:val="center"/>
              <w:rPr>
                <w:rFonts w:hint="eastAsia" w:ascii="宋体" w:hAnsi="宋体" w:eastAsia="宋体" w:cs="宋体"/>
                <w:kern w:val="0"/>
                <w:szCs w:val="21"/>
                <w:highlight w:val="none"/>
                <w:lang w:eastAsia="zh-CN"/>
              </w:rPr>
            </w:pPr>
            <w:r>
              <w:rPr>
                <w:rFonts w:hint="eastAsia" w:cs="仿宋"/>
                <w:bCs/>
                <w:szCs w:val="21"/>
                <w:highlight w:val="none"/>
                <w:lang w:eastAsia="zh-CN"/>
              </w:rPr>
              <w:t>大雁塔不均匀沉降及变形监测项目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73718C">
            <w:pPr>
              <w:widowControl/>
              <w:adjustRightInd w:val="0"/>
              <w:snapToGrid w:val="0"/>
              <w:spacing w:line="460" w:lineRule="exact"/>
              <w:jc w:val="center"/>
              <w:rPr>
                <w:rFonts w:hint="eastAsia" w:ascii="宋体" w:hAnsi="宋体" w:eastAsia="宋体" w:cs="宋体"/>
                <w:kern w:val="0"/>
                <w:szCs w:val="21"/>
                <w:highlight w:val="none"/>
                <w:lang w:eastAsia="zh-CN"/>
              </w:rPr>
            </w:pPr>
            <w:r>
              <w:rPr>
                <w:rFonts w:hint="eastAsia" w:cs="仿宋"/>
                <w:bCs/>
                <w:szCs w:val="21"/>
                <w:highlight w:val="none"/>
                <w:lang w:eastAsia="zh-CN"/>
              </w:rPr>
              <w:t>大雁塔不均匀沉降及变形监测项目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2DCA57">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1(项)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3DA395">
            <w:pPr>
              <w:widowControl/>
              <w:adjustRightInd w:val="0"/>
              <w:snapToGrid w:val="0"/>
              <w:spacing w:line="460" w:lineRule="exact"/>
              <w:jc w:val="center"/>
              <w:rPr>
                <w:rFonts w:ascii="宋体" w:hAnsi="宋体" w:cs="宋体"/>
                <w:kern w:val="0"/>
                <w:szCs w:val="21"/>
                <w:highlight w:val="none"/>
              </w:rPr>
            </w:pPr>
            <w:r>
              <w:rPr>
                <w:rFonts w:ascii="宋体" w:hAnsi="宋体" w:cs="宋体"/>
                <w:kern w:val="0"/>
                <w:szCs w:val="21"/>
                <w:highlight w:val="none"/>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1FAFF83">
            <w:pPr>
              <w:widowControl/>
              <w:adjustRightInd w:val="0"/>
              <w:snapToGrid w:val="0"/>
              <w:spacing w:line="460" w:lineRule="exact"/>
              <w:jc w:val="right"/>
              <w:rPr>
                <w:rFonts w:ascii="宋体" w:hAnsi="宋体" w:cs="宋体"/>
                <w:kern w:val="0"/>
                <w:szCs w:val="21"/>
                <w:highlight w:val="none"/>
              </w:rPr>
            </w:pPr>
            <w:r>
              <w:rPr>
                <w:rFonts w:hint="eastAsia" w:ascii="宋体" w:hAnsi="宋体" w:cs="宋体"/>
                <w:kern w:val="0"/>
                <w:szCs w:val="21"/>
                <w:highlight w:val="none"/>
                <w:lang w:eastAsia="zh-CN"/>
              </w:rPr>
              <w:t>150000</w:t>
            </w:r>
            <w:r>
              <w:rPr>
                <w:rFonts w:hint="eastAsia" w:ascii="宋体" w:hAnsi="宋体" w:cs="宋体"/>
                <w:kern w:val="0"/>
                <w:szCs w:val="21"/>
                <w:highlight w:val="none"/>
              </w:rPr>
              <w:t>.00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8AB5416">
            <w:pPr>
              <w:widowControl/>
              <w:adjustRightInd w:val="0"/>
              <w:snapToGrid w:val="0"/>
              <w:spacing w:line="460" w:lineRule="exact"/>
              <w:jc w:val="right"/>
              <w:rPr>
                <w:rFonts w:ascii="宋体" w:hAnsi="宋体" w:cs="宋体"/>
                <w:kern w:val="0"/>
                <w:szCs w:val="21"/>
                <w:highlight w:val="none"/>
              </w:rPr>
            </w:pPr>
            <w:r>
              <w:rPr>
                <w:rFonts w:hint="eastAsia" w:ascii="宋体" w:hAnsi="宋体" w:cs="宋体"/>
                <w:kern w:val="0"/>
                <w:szCs w:val="21"/>
                <w:highlight w:val="none"/>
                <w:lang w:eastAsia="zh-CN"/>
              </w:rPr>
              <w:t>150000</w:t>
            </w:r>
            <w:r>
              <w:rPr>
                <w:rFonts w:hint="eastAsia" w:ascii="宋体" w:hAnsi="宋体" w:cs="宋体"/>
                <w:kern w:val="0"/>
                <w:szCs w:val="21"/>
                <w:highlight w:val="none"/>
              </w:rPr>
              <w:t>.00</w:t>
            </w:r>
          </w:p>
        </w:tc>
      </w:tr>
    </w:tbl>
    <w:p w14:paraId="3A6C000C">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本合同包不接受联合体投标</w:t>
      </w:r>
    </w:p>
    <w:p w14:paraId="4A23E13D">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合同履行期限：15个日历日。</w:t>
      </w:r>
    </w:p>
    <w:p w14:paraId="6675DBD5">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二、申请人的资格要求：</w:t>
      </w:r>
    </w:p>
    <w:p w14:paraId="54374BC0">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1.满足《中华人民共和国政府采购法》第二十二条规定;</w:t>
      </w:r>
    </w:p>
    <w:p w14:paraId="55E88F5F">
      <w:pPr>
        <w:pStyle w:val="15"/>
        <w:adjustRightInd w:val="0"/>
        <w:snapToGrid w:val="0"/>
        <w:spacing w:before="0" w:beforeAutospacing="0" w:after="0" w:afterAutospacing="0" w:line="460" w:lineRule="exact"/>
        <w:ind w:firstLine="420"/>
        <w:rPr>
          <w:rFonts w:cs="仿宋"/>
          <w:bCs/>
          <w:sz w:val="21"/>
          <w:szCs w:val="21"/>
          <w:highlight w:val="none"/>
        </w:rPr>
      </w:pPr>
      <w:r>
        <w:rPr>
          <w:rFonts w:hint="eastAsia" w:cs="仿宋"/>
          <w:bCs/>
          <w:sz w:val="21"/>
          <w:szCs w:val="21"/>
          <w:highlight w:val="none"/>
        </w:rPr>
        <w:t>2.落实政府采购政策需满足的资格要求：</w:t>
      </w:r>
    </w:p>
    <w:p w14:paraId="233366AC">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sz w:val="21"/>
          <w:szCs w:val="21"/>
          <w:highlight w:val="none"/>
        </w:rPr>
        <w:t>合</w:t>
      </w:r>
      <w:r>
        <w:rPr>
          <w:rFonts w:hint="eastAsia" w:cs="仿宋"/>
          <w:bCs/>
          <w:color w:val="000000" w:themeColor="text1"/>
          <w:sz w:val="21"/>
          <w:szCs w:val="21"/>
          <w:highlight w:val="none"/>
          <w14:textFill>
            <w14:solidFill>
              <w14:schemeClr w14:val="tx1"/>
            </w14:solidFill>
          </w14:textFill>
        </w:rPr>
        <w:t>同包1(</w:t>
      </w:r>
      <w:r>
        <w:rPr>
          <w:rFonts w:hint="eastAsia" w:cs="仿宋"/>
          <w:bCs/>
          <w:color w:val="000000" w:themeColor="text1"/>
          <w:sz w:val="21"/>
          <w:szCs w:val="21"/>
          <w:highlight w:val="none"/>
          <w:lang w:eastAsia="zh-CN"/>
          <w14:textFill>
            <w14:solidFill>
              <w14:schemeClr w14:val="tx1"/>
            </w14:solidFill>
          </w14:textFill>
        </w:rPr>
        <w:t>大雁塔不均匀沉降及变形监测项目</w:t>
      </w:r>
      <w:r>
        <w:rPr>
          <w:rFonts w:hint="eastAsia" w:cs="仿宋"/>
          <w:bCs/>
          <w:color w:val="000000" w:themeColor="text1"/>
          <w:sz w:val="21"/>
          <w:szCs w:val="21"/>
          <w:highlight w:val="none"/>
          <w14:textFill>
            <w14:solidFill>
              <w14:schemeClr w14:val="tx1"/>
            </w14:solidFill>
          </w14:textFill>
        </w:rPr>
        <w:t>)落实政府采购政策需满足的资格要求如下:</w:t>
      </w:r>
    </w:p>
    <w:p w14:paraId="53351BC5">
      <w:pPr>
        <w:pStyle w:val="15"/>
        <w:adjustRightInd w:val="0"/>
        <w:snapToGrid w:val="0"/>
        <w:spacing w:before="0" w:beforeAutospacing="0" w:after="0" w:afterAutospacing="0" w:line="460" w:lineRule="exact"/>
        <w:ind w:firstLine="420"/>
        <w:rPr>
          <w:rFonts w:hint="eastAsia" w:eastAsia="宋体" w:cs="仿宋"/>
          <w:bCs/>
          <w:color w:val="000000" w:themeColor="text1"/>
          <w:sz w:val="21"/>
          <w:szCs w:val="21"/>
          <w:highlight w:val="none"/>
          <w:lang w:val="en-US" w:eastAsia="zh-CN"/>
          <w14:textFill>
            <w14:solidFill>
              <w14:schemeClr w14:val="tx1"/>
            </w14:solidFill>
          </w14:textFill>
        </w:rPr>
      </w:pPr>
      <w:r>
        <w:rPr>
          <w:rFonts w:hint="eastAsia" w:cs="仿宋"/>
          <w:bCs/>
          <w:color w:val="000000" w:themeColor="text1"/>
          <w:sz w:val="21"/>
          <w:szCs w:val="21"/>
          <w:highlight w:val="none"/>
          <w:lang w:val="en-US" w:eastAsia="zh-CN"/>
          <w14:textFill>
            <w14:solidFill>
              <w14:schemeClr w14:val="tx1"/>
            </w14:solidFill>
          </w14:textFill>
        </w:rPr>
        <w:t>/</w:t>
      </w:r>
    </w:p>
    <w:p w14:paraId="5CD08E92">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3.本项目的特定资格要求：</w:t>
      </w:r>
    </w:p>
    <w:p w14:paraId="1FCFA8B5">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合同包1(</w:t>
      </w:r>
      <w:r>
        <w:rPr>
          <w:rFonts w:hint="eastAsia" w:cs="仿宋"/>
          <w:bCs/>
          <w:color w:val="000000" w:themeColor="text1"/>
          <w:sz w:val="21"/>
          <w:szCs w:val="21"/>
          <w:highlight w:val="none"/>
          <w:lang w:eastAsia="zh-CN"/>
          <w14:textFill>
            <w14:solidFill>
              <w14:schemeClr w14:val="tx1"/>
            </w14:solidFill>
          </w14:textFill>
        </w:rPr>
        <w:t>大雁塔不均匀沉降及变形监测项目</w:t>
      </w:r>
      <w:r>
        <w:rPr>
          <w:rFonts w:hint="eastAsia" w:cs="仿宋"/>
          <w:bCs/>
          <w:color w:val="000000" w:themeColor="text1"/>
          <w:sz w:val="21"/>
          <w:szCs w:val="21"/>
          <w:highlight w:val="none"/>
          <w14:textFill>
            <w14:solidFill>
              <w14:schemeClr w14:val="tx1"/>
            </w14:solidFill>
          </w14:textFill>
        </w:rPr>
        <w:t>)特定资格要求如下:</w:t>
      </w:r>
    </w:p>
    <w:p w14:paraId="1788896E">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 xml:space="preserve">（1）法定代表人（或单位负责人）直接参加磋商，须出具法定代表人（或单位负责人）身份证，非法定代表人（或单位负责人）参加磋商，须出具法定代表人（或单位负责人）授权书及被授权人身份证； </w:t>
      </w:r>
      <w:bookmarkStart w:id="98" w:name="_GoBack"/>
      <w:bookmarkEnd w:id="98"/>
    </w:p>
    <w:p w14:paraId="2C71E84E">
      <w:pPr>
        <w:pStyle w:val="15"/>
        <w:adjustRightInd w:val="0"/>
        <w:snapToGrid w:val="0"/>
        <w:spacing w:before="0" w:beforeAutospacing="0" w:after="0" w:afterAutospacing="0" w:line="460" w:lineRule="exact"/>
        <w:ind w:firstLine="420"/>
        <w:rPr>
          <w:rFonts w:hint="eastAsia" w:eastAsia="宋体" w:cs="仿宋"/>
          <w:bCs/>
          <w:color w:val="000000" w:themeColor="text1"/>
          <w:sz w:val="21"/>
          <w:szCs w:val="21"/>
          <w:highlight w:val="none"/>
          <w:lang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2）未被“中国执行信息公开网”（http://zxgk.court.gov.cn/shixin/）列入失信被执行人、未被“信用中国”网站（www.creditchina.gov.cn）列入重大税收违法失信主体及未被“中国政府采购网”（http://www.ccgp.gov.cn/）列入政府采购严重失信行为记录名单。（此项供应商无需提供，以磋商当日采购代理机构现场查询为准）</w:t>
      </w:r>
      <w:r>
        <w:rPr>
          <w:rFonts w:hint="eastAsia" w:cs="仿宋"/>
          <w:bCs/>
          <w:color w:val="000000" w:themeColor="text1"/>
          <w:sz w:val="21"/>
          <w:szCs w:val="21"/>
          <w:highlight w:val="none"/>
          <w:lang w:eastAsia="zh-CN"/>
          <w14:textFill>
            <w14:solidFill>
              <w14:schemeClr w14:val="tx1"/>
            </w14:solidFill>
          </w14:textFill>
        </w:rPr>
        <w:t>；</w:t>
      </w:r>
    </w:p>
    <w:p w14:paraId="7E0554F7">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auto"/>
        <w:rPr>
          <w:rFonts w:hint="eastAsia" w:ascii="宋体" w:hAnsi="宋体" w:eastAsia="宋体" w:cs="仿宋"/>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仿宋"/>
          <w:bCs/>
          <w:color w:val="000000" w:themeColor="text1"/>
          <w:kern w:val="0"/>
          <w:sz w:val="21"/>
          <w:szCs w:val="21"/>
          <w:highlight w:val="none"/>
          <w:lang w:val="en-US" w:eastAsia="zh-CN" w:bidi="ar-SA"/>
          <w14:textFill>
            <w14:solidFill>
              <w14:schemeClr w14:val="tx1"/>
            </w14:solidFill>
          </w14:textFill>
        </w:rPr>
        <w:t>（3）投标人应具备行政主管部门核发的工程测绘甲级资质或工程测量专业甲级测绘资质；</w:t>
      </w:r>
    </w:p>
    <w:p w14:paraId="39333B07">
      <w:pPr>
        <w:pStyle w:val="15"/>
        <w:adjustRightInd w:val="0"/>
        <w:snapToGrid w:val="0"/>
        <w:spacing w:before="0" w:beforeAutospacing="0" w:after="0" w:afterAutospacing="0" w:line="460" w:lineRule="exact"/>
        <w:ind w:firstLine="420"/>
        <w:rPr>
          <w:rFonts w:hint="eastAsia" w:ascii="宋体" w:hAnsi="宋体" w:eastAsia="宋体" w:cs="仿宋"/>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仿宋"/>
          <w:bCs/>
          <w:color w:val="000000" w:themeColor="text1"/>
          <w:kern w:val="0"/>
          <w:sz w:val="21"/>
          <w:szCs w:val="21"/>
          <w:highlight w:val="none"/>
          <w:lang w:val="en-US" w:eastAsia="zh-CN" w:bidi="ar-SA"/>
          <w14:textFill>
            <w14:solidFill>
              <w14:schemeClr w14:val="tx1"/>
            </w14:solidFill>
          </w14:textFill>
        </w:rPr>
        <w:t>（4）</w:t>
      </w:r>
      <w:r>
        <w:rPr>
          <w:rFonts w:hint="eastAsia" w:cs="仿宋"/>
          <w:bCs/>
          <w:color w:val="000000" w:themeColor="text1"/>
          <w:kern w:val="0"/>
          <w:sz w:val="21"/>
          <w:szCs w:val="21"/>
          <w:highlight w:val="none"/>
          <w:lang w:val="en-US" w:eastAsia="zh-CN" w:bidi="ar-SA"/>
          <w14:textFill>
            <w14:solidFill>
              <w14:schemeClr w14:val="tx1"/>
            </w14:solidFill>
          </w14:textFill>
        </w:rPr>
        <w:t>项目负责人需具备注册测绘师资格或相关行业中级职称</w:t>
      </w:r>
      <w:r>
        <w:rPr>
          <w:rFonts w:hint="eastAsia" w:ascii="宋体" w:hAnsi="宋体" w:eastAsia="宋体" w:cs="仿宋"/>
          <w:bCs/>
          <w:color w:val="000000" w:themeColor="text1"/>
          <w:kern w:val="0"/>
          <w:sz w:val="21"/>
          <w:szCs w:val="21"/>
          <w:highlight w:val="none"/>
          <w:lang w:val="en-US" w:eastAsia="zh-CN" w:bidi="ar-SA"/>
          <w14:textFill>
            <w14:solidFill>
              <w14:schemeClr w14:val="tx1"/>
            </w14:solidFill>
          </w14:textFill>
        </w:rPr>
        <w:t>。</w:t>
      </w:r>
    </w:p>
    <w:p w14:paraId="7AB28465">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三、获取采购文件</w:t>
      </w:r>
    </w:p>
    <w:p w14:paraId="0F93C4FE">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9</w:t>
      </w:r>
      <w:r>
        <w:rPr>
          <w:rFonts w:hint="eastAsia" w:cs="仿宋"/>
          <w:bCs/>
          <w:color w:val="000000" w:themeColor="text1"/>
          <w:sz w:val="21"/>
          <w:szCs w:val="21"/>
          <w:highlight w:val="none"/>
          <w14:textFill>
            <w14:solidFill>
              <w14:schemeClr w14:val="tx1"/>
            </w14:solidFill>
          </w14:textFill>
        </w:rPr>
        <w:t>日至202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15</w:t>
      </w:r>
      <w:r>
        <w:rPr>
          <w:rFonts w:hint="eastAsia" w:cs="仿宋"/>
          <w:bCs/>
          <w:color w:val="000000" w:themeColor="text1"/>
          <w:sz w:val="21"/>
          <w:szCs w:val="21"/>
          <w:highlight w:val="none"/>
          <w14:textFill>
            <w14:solidFill>
              <w14:schemeClr w14:val="tx1"/>
            </w14:solidFill>
          </w14:textFill>
        </w:rPr>
        <w:t>日，每天上午09:00:00至12:00:00，下午12:00:00至17:00:00（北京时间,法定节假日除外）</w:t>
      </w:r>
    </w:p>
    <w:p w14:paraId="613C7F15">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w:t>
      </w:r>
    </w:p>
    <w:p w14:paraId="5D19490D">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方式：现场获取</w:t>
      </w:r>
    </w:p>
    <w:p w14:paraId="45E3FAAE">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售价：免费获取</w:t>
      </w:r>
    </w:p>
    <w:p w14:paraId="1436178B">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四、响应文件提交</w:t>
      </w:r>
    </w:p>
    <w:p w14:paraId="1931E475">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截止时间：202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19</w:t>
      </w:r>
      <w:r>
        <w:rPr>
          <w:rFonts w:hint="eastAsia" w:cs="仿宋"/>
          <w:bCs/>
          <w:color w:val="000000" w:themeColor="text1"/>
          <w:sz w:val="21"/>
          <w:szCs w:val="21"/>
          <w:highlight w:val="none"/>
          <w14:textFill>
            <w14:solidFill>
              <w14:schemeClr w14:val="tx1"/>
            </w14:solidFill>
          </w14:textFill>
        </w:rPr>
        <w:t>日</w:t>
      </w:r>
      <w:r>
        <w:rPr>
          <w:rFonts w:hint="eastAsia" w:cs="仿宋"/>
          <w:bCs/>
          <w:color w:val="000000" w:themeColor="text1"/>
          <w:sz w:val="21"/>
          <w:szCs w:val="21"/>
          <w:highlight w:val="none"/>
          <w:lang w:val="en-US" w:eastAsia="zh-CN"/>
          <w14:textFill>
            <w14:solidFill>
              <w14:schemeClr w14:val="tx1"/>
            </w14:solidFill>
          </w14:textFill>
        </w:rPr>
        <w:t>10</w:t>
      </w:r>
      <w:r>
        <w:rPr>
          <w:rFonts w:hint="eastAsia" w:cs="仿宋"/>
          <w:bCs/>
          <w:color w:val="000000" w:themeColor="text1"/>
          <w:sz w:val="21"/>
          <w:szCs w:val="21"/>
          <w:highlight w:val="none"/>
          <w14:textFill>
            <w14:solidFill>
              <w14:schemeClr w14:val="tx1"/>
            </w14:solidFill>
          </w14:textFill>
        </w:rPr>
        <w:t>时</w:t>
      </w:r>
      <w:r>
        <w:rPr>
          <w:rFonts w:hint="eastAsia" w:cs="仿宋"/>
          <w:bCs/>
          <w:color w:val="000000" w:themeColor="text1"/>
          <w:sz w:val="21"/>
          <w:szCs w:val="21"/>
          <w:highlight w:val="none"/>
          <w:lang w:val="en-US" w:eastAsia="zh-CN"/>
          <w14:textFill>
            <w14:solidFill>
              <w14:schemeClr w14:val="tx1"/>
            </w14:solidFill>
          </w14:textFill>
        </w:rPr>
        <w:t>0</w:t>
      </w:r>
      <w:r>
        <w:rPr>
          <w:rFonts w:hint="eastAsia" w:cs="仿宋"/>
          <w:bCs/>
          <w:color w:val="000000" w:themeColor="text1"/>
          <w:sz w:val="21"/>
          <w:szCs w:val="21"/>
          <w:highlight w:val="none"/>
          <w14:textFill>
            <w14:solidFill>
              <w14:schemeClr w14:val="tx1"/>
            </w14:solidFill>
          </w14:textFill>
        </w:rPr>
        <w:t>0分00秒（北京时间）</w:t>
      </w:r>
    </w:p>
    <w:p w14:paraId="4BC71A99">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地点：陕西省西安市雁塔区唐延路35号旺座现代城C座2604室第一会议室</w:t>
      </w:r>
    </w:p>
    <w:p w14:paraId="123D490D">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五、开启</w:t>
      </w:r>
    </w:p>
    <w:p w14:paraId="183CBFDB">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时间：202</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年</w:t>
      </w:r>
      <w:r>
        <w:rPr>
          <w:rFonts w:hint="eastAsia" w:cs="仿宋"/>
          <w:bCs/>
          <w:color w:val="000000" w:themeColor="text1"/>
          <w:sz w:val="21"/>
          <w:szCs w:val="21"/>
          <w:highlight w:val="none"/>
          <w:lang w:val="en-US" w:eastAsia="zh-CN"/>
          <w14:textFill>
            <w14:solidFill>
              <w14:schemeClr w14:val="tx1"/>
            </w14:solidFill>
          </w14:textFill>
        </w:rPr>
        <w:t>5</w:t>
      </w:r>
      <w:r>
        <w:rPr>
          <w:rFonts w:hint="eastAsia" w:cs="仿宋"/>
          <w:bCs/>
          <w:color w:val="000000" w:themeColor="text1"/>
          <w:sz w:val="21"/>
          <w:szCs w:val="21"/>
          <w:highlight w:val="none"/>
          <w14:textFill>
            <w14:solidFill>
              <w14:schemeClr w14:val="tx1"/>
            </w14:solidFill>
          </w14:textFill>
        </w:rPr>
        <w:t>月</w:t>
      </w:r>
      <w:r>
        <w:rPr>
          <w:rFonts w:hint="eastAsia" w:cs="仿宋"/>
          <w:bCs/>
          <w:color w:val="000000" w:themeColor="text1"/>
          <w:sz w:val="21"/>
          <w:szCs w:val="21"/>
          <w:highlight w:val="none"/>
          <w:lang w:val="en-US" w:eastAsia="zh-CN"/>
          <w14:textFill>
            <w14:solidFill>
              <w14:schemeClr w14:val="tx1"/>
            </w14:solidFill>
          </w14:textFill>
        </w:rPr>
        <w:t>19</w:t>
      </w:r>
      <w:r>
        <w:rPr>
          <w:rFonts w:hint="eastAsia" w:cs="仿宋"/>
          <w:bCs/>
          <w:color w:val="000000" w:themeColor="text1"/>
          <w:sz w:val="21"/>
          <w:szCs w:val="21"/>
          <w:highlight w:val="none"/>
          <w14:textFill>
            <w14:solidFill>
              <w14:schemeClr w14:val="tx1"/>
            </w14:solidFill>
          </w14:textFill>
        </w:rPr>
        <w:t>日14时</w:t>
      </w:r>
      <w:r>
        <w:rPr>
          <w:rFonts w:hint="eastAsia" w:cs="仿宋"/>
          <w:bCs/>
          <w:color w:val="000000" w:themeColor="text1"/>
          <w:sz w:val="21"/>
          <w:szCs w:val="21"/>
          <w:highlight w:val="none"/>
          <w:lang w:val="en-US" w:eastAsia="zh-CN"/>
          <w14:textFill>
            <w14:solidFill>
              <w14:schemeClr w14:val="tx1"/>
            </w14:solidFill>
          </w14:textFill>
        </w:rPr>
        <w:t>0</w:t>
      </w:r>
      <w:r>
        <w:rPr>
          <w:rFonts w:hint="eastAsia" w:cs="仿宋"/>
          <w:bCs/>
          <w:color w:val="000000" w:themeColor="text1"/>
          <w:sz w:val="21"/>
          <w:szCs w:val="21"/>
          <w:highlight w:val="none"/>
          <w14:textFill>
            <w14:solidFill>
              <w14:schemeClr w14:val="tx1"/>
            </w14:solidFill>
          </w14:textFill>
        </w:rPr>
        <w:t>0分00秒（北京时间）</w:t>
      </w:r>
    </w:p>
    <w:p w14:paraId="525C63BE">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地点：陕西省西安市雁塔区唐延路35号旺座现代城C座2604室第一会议室</w:t>
      </w:r>
    </w:p>
    <w:p w14:paraId="60E97713">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六、公告期限</w:t>
      </w:r>
    </w:p>
    <w:p w14:paraId="7638A676">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自本公告发布之日起3个工作日。</w:t>
      </w:r>
    </w:p>
    <w:p w14:paraId="22871741">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七、其他补充事宜</w:t>
      </w:r>
    </w:p>
    <w:p w14:paraId="65EAC648">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需要落实的政府采购政策：（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w:t>
      </w:r>
      <w:r>
        <w:rPr>
          <w:rFonts w:hint="eastAsia" w:cs="仿宋"/>
          <w:bCs/>
          <w:color w:val="000000" w:themeColor="text1"/>
          <w:sz w:val="21"/>
          <w:szCs w:val="21"/>
          <w:highlight w:val="none"/>
          <w:lang w:eastAsia="zh-CN"/>
          <w14:textFill>
            <w14:solidFill>
              <w14:schemeClr w14:val="tx1"/>
            </w14:solidFill>
          </w14:textFill>
        </w:rPr>
        <w:t>；</w:t>
      </w:r>
      <w:r>
        <w:rPr>
          <w:rFonts w:hint="eastAsia" w:cs="仿宋"/>
          <w:bCs/>
          <w:color w:val="000000" w:themeColor="text1"/>
          <w:sz w:val="21"/>
          <w:szCs w:val="21"/>
          <w:highlight w:val="none"/>
          <w14:textFill>
            <w14:solidFill>
              <w14:schemeClr w14:val="tx1"/>
            </w14:solidFill>
          </w14:textFill>
        </w:rPr>
        <w:t>（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关于陕西省中小企业政府采购信用融资政策》（陕财办采〔2018〕23号）；（10）《关于进一步加大政府采购支持中小企业力度的通知》财库〔2022〕19号；（11）《关于运用政府采购政策支持乡村产业振兴的通知》财库〔2021〕19号。</w:t>
      </w:r>
    </w:p>
    <w:p w14:paraId="1C3383F3">
      <w:pPr>
        <w:pStyle w:val="15"/>
        <w:adjustRightInd w:val="0"/>
        <w:snapToGrid w:val="0"/>
        <w:spacing w:before="0" w:beforeAutospacing="0" w:after="0" w:afterAutospacing="0" w:line="460" w:lineRule="exact"/>
        <w:ind w:firstLine="420"/>
        <w:rPr>
          <w:rFonts w:cs="仿宋"/>
          <w:b/>
          <w:color w:val="000000" w:themeColor="text1"/>
          <w:sz w:val="21"/>
          <w:szCs w:val="21"/>
          <w:highlight w:val="none"/>
          <w14:textFill>
            <w14:solidFill>
              <w14:schemeClr w14:val="tx1"/>
            </w14:solidFill>
          </w14:textFill>
        </w:rPr>
      </w:pPr>
      <w:r>
        <w:rPr>
          <w:rFonts w:hint="eastAsia" w:cs="仿宋"/>
          <w:b/>
          <w:color w:val="000000" w:themeColor="text1"/>
          <w:sz w:val="21"/>
          <w:szCs w:val="21"/>
          <w:highlight w:val="none"/>
          <w14:textFill>
            <w14:solidFill>
              <w14:schemeClr w14:val="tx1"/>
            </w14:solidFill>
          </w14:textFill>
        </w:rPr>
        <w:t>注：（1）需向采购代理机构登记并领取磋商文件，领取磋商文件时请携带介绍信原件及授权人合法有效的身份证原件及加盖公章的复印件（阅后退还）。未经过以上渠道向采购代理机构登记并领取磋商文件的供应商均无资格参加磋商。（2）请供应商按照陕西省财政厅关于政府采购供应商注册登记有关事项的通知中的要求，通过陕西省政府采购网（http://www.ccgp-shaanxi.gov.cn/）注册登记加入陕西省政府采购供应商库。</w:t>
      </w:r>
    </w:p>
    <w:p w14:paraId="54CDC835">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八、凡对本次采购提出询问，请按以下方式联系。</w:t>
      </w:r>
    </w:p>
    <w:p w14:paraId="5238F0E6">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1.采购人信息</w:t>
      </w:r>
    </w:p>
    <w:p w14:paraId="0BE3D99F">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名称：</w:t>
      </w:r>
      <w:r>
        <w:rPr>
          <w:rFonts w:hint="eastAsia" w:cs="仿宋"/>
          <w:bCs/>
          <w:color w:val="000000" w:themeColor="text1"/>
          <w:sz w:val="21"/>
          <w:szCs w:val="21"/>
          <w:highlight w:val="none"/>
          <w:lang w:val="en-US" w:eastAsia="zh-CN"/>
          <w14:textFill>
            <w14:solidFill>
              <w14:schemeClr w14:val="tx1"/>
            </w14:solidFill>
          </w14:textFill>
        </w:rPr>
        <w:t>西安市大雁塔保管所</w:t>
      </w:r>
    </w:p>
    <w:p w14:paraId="5FAAE3AA">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地址：</w:t>
      </w:r>
      <w:r>
        <w:rPr>
          <w:rFonts w:hint="eastAsia" w:cs="仿宋"/>
          <w:bCs/>
          <w:color w:val="000000" w:themeColor="text1"/>
          <w:sz w:val="21"/>
          <w:szCs w:val="21"/>
          <w:highlight w:val="none"/>
          <w:lang w:val="en-US" w:eastAsia="zh-CN"/>
          <w14:textFill>
            <w14:solidFill>
              <w14:schemeClr w14:val="tx1"/>
            </w14:solidFill>
          </w14:textFill>
        </w:rPr>
        <w:t>陕西省西安市大慈恩寺院内</w:t>
      </w:r>
    </w:p>
    <w:p w14:paraId="100CD466">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联系方式：</w:t>
      </w:r>
      <w:r>
        <w:rPr>
          <w:rFonts w:hint="eastAsia" w:cs="仿宋"/>
          <w:bCs/>
          <w:color w:val="000000" w:themeColor="text1"/>
          <w:sz w:val="21"/>
          <w:szCs w:val="21"/>
          <w:highlight w:val="none"/>
          <w:lang w:val="en-US" w:eastAsia="zh-CN"/>
          <w14:textFill>
            <w14:solidFill>
              <w14:schemeClr w14:val="tx1"/>
            </w14:solidFill>
          </w14:textFill>
        </w:rPr>
        <w:t>029-85518039</w:t>
      </w:r>
    </w:p>
    <w:p w14:paraId="1CF78D84">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2.采购代理机构信息</w:t>
      </w:r>
    </w:p>
    <w:p w14:paraId="738766A8">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名称：陕西海佳项目管理有限公司</w:t>
      </w:r>
    </w:p>
    <w:p w14:paraId="48B5FF1E">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地址：陕西省西安市雁塔区唐延路35号旺座现代城C座2604室</w:t>
      </w:r>
    </w:p>
    <w:p w14:paraId="6ED8CBFE">
      <w:pPr>
        <w:pStyle w:val="15"/>
        <w:adjustRightInd w:val="0"/>
        <w:snapToGrid w:val="0"/>
        <w:spacing w:before="0" w:beforeAutospacing="0" w:after="0" w:afterAutospacing="0" w:line="460" w:lineRule="exact"/>
        <w:ind w:firstLine="420"/>
        <w:rPr>
          <w:rFonts w:hint="default" w:eastAsia="宋体" w:cs="仿宋"/>
          <w:bCs/>
          <w:color w:val="000000" w:themeColor="text1"/>
          <w:sz w:val="21"/>
          <w:szCs w:val="21"/>
          <w:highlight w:val="none"/>
          <w:lang w:val="en-US"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联系方式：</w:t>
      </w:r>
      <w:r>
        <w:rPr>
          <w:rFonts w:hint="eastAsia" w:cs="仿宋"/>
          <w:bCs/>
          <w:color w:val="000000" w:themeColor="text1"/>
          <w:sz w:val="21"/>
          <w:szCs w:val="21"/>
          <w:highlight w:val="none"/>
          <w:lang w:val="en-US" w:eastAsia="zh-CN"/>
          <w14:textFill>
            <w14:solidFill>
              <w14:schemeClr w14:val="tx1"/>
            </w14:solidFill>
          </w14:textFill>
        </w:rPr>
        <w:t>13319210869</w:t>
      </w:r>
    </w:p>
    <w:p w14:paraId="6A832A37">
      <w:pPr>
        <w:pStyle w:val="15"/>
        <w:adjustRightInd w:val="0"/>
        <w:snapToGrid w:val="0"/>
        <w:spacing w:before="0" w:beforeAutospacing="0" w:after="0" w:afterAutospacing="0" w:line="460" w:lineRule="exact"/>
        <w:ind w:firstLine="420"/>
        <w:rPr>
          <w:rFonts w:cs="仿宋"/>
          <w:bCs/>
          <w:color w:val="000000" w:themeColor="text1"/>
          <w:sz w:val="21"/>
          <w:szCs w:val="21"/>
          <w:highlight w:val="none"/>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3.项目联系方式</w:t>
      </w:r>
    </w:p>
    <w:p w14:paraId="1813A957">
      <w:pPr>
        <w:pStyle w:val="15"/>
        <w:adjustRightInd w:val="0"/>
        <w:snapToGrid w:val="0"/>
        <w:spacing w:before="0" w:beforeAutospacing="0" w:after="0" w:afterAutospacing="0" w:line="460" w:lineRule="exact"/>
        <w:ind w:firstLine="420"/>
        <w:rPr>
          <w:rFonts w:hint="eastAsia" w:eastAsia="宋体" w:cs="仿宋"/>
          <w:bCs/>
          <w:color w:val="000000" w:themeColor="text1"/>
          <w:sz w:val="21"/>
          <w:szCs w:val="21"/>
          <w:highlight w:val="none"/>
          <w:lang w:eastAsia="zh-CN"/>
          <w14:textFill>
            <w14:solidFill>
              <w14:schemeClr w14:val="tx1"/>
            </w14:solidFill>
          </w14:textFill>
        </w:rPr>
      </w:pPr>
      <w:r>
        <w:rPr>
          <w:rFonts w:hint="eastAsia" w:cs="仿宋"/>
          <w:bCs/>
          <w:color w:val="000000" w:themeColor="text1"/>
          <w:sz w:val="21"/>
          <w:szCs w:val="21"/>
          <w:highlight w:val="none"/>
          <w14:textFill>
            <w14:solidFill>
              <w14:schemeClr w14:val="tx1"/>
            </w14:solidFill>
          </w14:textFill>
        </w:rPr>
        <w:t>项目联系人：</w:t>
      </w:r>
      <w:r>
        <w:rPr>
          <w:rFonts w:hint="eastAsia" w:cs="仿宋"/>
          <w:bCs/>
          <w:color w:val="000000" w:themeColor="text1"/>
          <w:sz w:val="21"/>
          <w:szCs w:val="21"/>
          <w:highlight w:val="none"/>
          <w:lang w:val="en-US" w:eastAsia="zh-CN"/>
          <w14:textFill>
            <w14:solidFill>
              <w14:schemeClr w14:val="tx1"/>
            </w14:solidFill>
          </w14:textFill>
        </w:rPr>
        <w:t>王工</w:t>
      </w:r>
    </w:p>
    <w:p w14:paraId="52433331">
      <w:pPr>
        <w:widowControl/>
        <w:shd w:val="clear" w:color="auto" w:fill="FFFFFF"/>
        <w:spacing w:line="460" w:lineRule="exact"/>
        <w:ind w:firstLine="48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cs="仿宋"/>
          <w:bCs/>
          <w:color w:val="000000" w:themeColor="text1"/>
          <w:szCs w:val="21"/>
          <w:highlight w:val="none"/>
          <w14:textFill>
            <w14:solidFill>
              <w14:schemeClr w14:val="tx1"/>
            </w14:solidFill>
          </w14:textFill>
        </w:rPr>
        <w:t>电话：</w:t>
      </w:r>
      <w:r>
        <w:rPr>
          <w:rFonts w:hint="eastAsia" w:cs="仿宋"/>
          <w:bCs/>
          <w:color w:val="000000" w:themeColor="text1"/>
          <w:szCs w:val="21"/>
          <w:highlight w:val="none"/>
          <w:lang w:val="en-US" w:eastAsia="zh-CN"/>
          <w14:textFill>
            <w14:solidFill>
              <w14:schemeClr w14:val="tx1"/>
            </w14:solidFill>
          </w14:textFill>
        </w:rPr>
        <w:t>13319210869</w:t>
      </w:r>
    </w:p>
    <w:p w14:paraId="325D0C11">
      <w:pPr>
        <w:numPr>
          <w:ilvl w:val="0"/>
          <w:numId w:val="1"/>
        </w:numPr>
        <w:spacing w:line="460" w:lineRule="exact"/>
        <w:jc w:val="center"/>
        <w:outlineLvl w:val="0"/>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2" w:name="_Toc50656398"/>
      <w:bookmarkStart w:id="3" w:name="_Toc133244818"/>
      <w:r>
        <w:rPr>
          <w:rFonts w:hint="eastAsia" w:ascii="宋体" w:hAnsi="宋体"/>
          <w:b/>
          <w:color w:val="000000" w:themeColor="text1"/>
          <w:sz w:val="28"/>
          <w:szCs w:val="28"/>
          <w:highlight w:val="none"/>
          <w14:textFill>
            <w14:solidFill>
              <w14:schemeClr w14:val="tx1"/>
            </w14:solidFill>
          </w14:textFill>
        </w:rPr>
        <w:t>竞争性磋商采购须知</w:t>
      </w:r>
      <w:bookmarkEnd w:id="2"/>
      <w:bookmarkEnd w:id="3"/>
    </w:p>
    <w:p w14:paraId="1F6C598D">
      <w:pPr>
        <w:spacing w:line="460" w:lineRule="exact"/>
        <w:ind w:firstLine="420" w:firstLineChars="200"/>
        <w:outlineLvl w:val="0"/>
        <w:rPr>
          <w:rFonts w:ascii="宋体" w:hAnsi="宋体"/>
          <w:color w:val="000000" w:themeColor="text1"/>
          <w:szCs w:val="21"/>
          <w:highlight w:val="none"/>
          <w14:textFill>
            <w14:solidFill>
              <w14:schemeClr w14:val="tx1"/>
            </w14:solidFill>
          </w14:textFill>
        </w:rPr>
      </w:pPr>
      <w:bookmarkStart w:id="4" w:name="_Toc133244819"/>
      <w:bookmarkStart w:id="5" w:name="_Toc15679"/>
      <w:bookmarkStart w:id="6" w:name="_Toc133244593"/>
      <w:r>
        <w:rPr>
          <w:rFonts w:hint="eastAsia" w:ascii="宋体" w:hAnsi="宋体"/>
          <w:b/>
          <w:color w:val="000000" w:themeColor="text1"/>
          <w:szCs w:val="21"/>
          <w:highlight w:val="none"/>
          <w14:textFill>
            <w14:solidFill>
              <w14:schemeClr w14:val="tx1"/>
            </w14:solidFill>
          </w14:textFill>
        </w:rPr>
        <w:t>一、名词解释</w:t>
      </w:r>
      <w:bookmarkEnd w:id="4"/>
      <w:bookmarkEnd w:id="5"/>
      <w:bookmarkEnd w:id="6"/>
    </w:p>
    <w:p w14:paraId="37E1C5B2">
      <w:pPr>
        <w:spacing w:line="460" w:lineRule="exact"/>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w:t>
      </w:r>
      <w:r>
        <w:rPr>
          <w:rFonts w:hint="eastAsia" w:ascii="宋体" w:hAnsi="宋体"/>
          <w:color w:val="000000" w:themeColor="text1"/>
          <w:szCs w:val="21"/>
          <w:highlight w:val="none"/>
          <w:lang w:eastAsia="zh-CN"/>
          <w14:textFill>
            <w14:solidFill>
              <w14:schemeClr w14:val="tx1"/>
            </w14:solidFill>
          </w14:textFill>
        </w:rPr>
        <w:t>西安市大雁塔保管所</w:t>
      </w:r>
    </w:p>
    <w:p w14:paraId="0DA46C2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2.采购代理机构：陕西海佳项目管理有限公司</w:t>
      </w:r>
    </w:p>
    <w:p w14:paraId="09AF602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3.供应商：响应磋商并且符合竞争性磋商文件规定资格条件和参加磋商竞争的法人或其他组织。</w:t>
      </w:r>
    </w:p>
    <w:p w14:paraId="51BCC2D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4.磋商文件：竞争性磋商文件与磋商响应文件的统称</w:t>
      </w:r>
    </w:p>
    <w:p w14:paraId="7520CD84">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7" w:name="_Toc13591"/>
      <w:bookmarkStart w:id="8" w:name="_Toc133244594"/>
      <w:bookmarkStart w:id="9" w:name="_Toc133244820"/>
      <w:r>
        <w:rPr>
          <w:rFonts w:hint="eastAsia" w:ascii="宋体" w:hAnsi="宋体"/>
          <w:b/>
          <w:color w:val="000000" w:themeColor="text1"/>
          <w:szCs w:val="21"/>
          <w:highlight w:val="none"/>
          <w14:textFill>
            <w14:solidFill>
              <w14:schemeClr w14:val="tx1"/>
            </w14:solidFill>
          </w14:textFill>
        </w:rPr>
        <w:t>二、竞争性磋商文件</w:t>
      </w:r>
      <w:bookmarkEnd w:id="7"/>
      <w:bookmarkEnd w:id="8"/>
      <w:bookmarkEnd w:id="9"/>
    </w:p>
    <w:p w14:paraId="4F7C6EB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争性磋商文件包括目录中所列的五部分，各供应商应仔细阅读竞争性磋商文件中所有的事项、格式、条款和规范要求，在磋商响应文件中对竞争性磋商文件的各方面都做出实质性的响应，按照竞争性磋商文件的要求提交全部资料。</w:t>
      </w:r>
    </w:p>
    <w:p w14:paraId="24B6C8FB">
      <w:pPr>
        <w:spacing w:line="46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可对已发出的竞争性磋商文件进行必要的澄清或者修改，澄清或者修改的内容可能影响响应文件编制的，澄清或修改的内容应以书面形式在提交首次响应文件截止时间至少五日前通知所有获取竞争性磋商文件的供应商，不足五日应延迟</w:t>
      </w:r>
      <w:r>
        <w:rPr>
          <w:rFonts w:hint="eastAsia" w:cs="宋体"/>
          <w:color w:val="000000" w:themeColor="text1"/>
          <w:kern w:val="0"/>
          <w:highlight w:val="none"/>
          <w14:textFill>
            <w14:solidFill>
              <w14:schemeClr w14:val="tx1"/>
            </w14:solidFill>
          </w14:textFill>
        </w:rPr>
        <w:t>首次响应文件递交的截止时间</w:t>
      </w:r>
      <w:r>
        <w:rPr>
          <w:rFonts w:hint="eastAsia"/>
          <w:color w:val="000000" w:themeColor="text1"/>
          <w:highlight w:val="none"/>
          <w14:textFill>
            <w14:solidFill>
              <w14:schemeClr w14:val="tx1"/>
            </w14:solidFill>
          </w14:textFill>
        </w:rPr>
        <w:t>。澄清或者修改内容作为竞争性磋商文件的组成部分。</w:t>
      </w:r>
    </w:p>
    <w:p w14:paraId="06CECEA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对采购活动事项有疑问或有质疑的供应商，应在首次响应文件递交截止时间两个工作日前，以书面形式提出。采购代理机构将予以答复，涉及变更或修正内容以书面形式通知所有竞争性磋商文件收受人，且作为竞争性磋商文件的组成部分。</w:t>
      </w:r>
    </w:p>
    <w:p w14:paraId="492F552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4.各供应商必须从采购代理机构获取竞争性磋商文件，各供应商自行转让或复制文件视为无效。竞争性磋商文件一经售出，一律不退，仅作为本次磋商使用。</w:t>
      </w:r>
    </w:p>
    <w:p w14:paraId="458E3F3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磋商小组有权对在磋商会议、磋商及评审过程中出现的一切问题，参照《中华人民共和国政府采购法》、《中华人民共和国政府采购法实施条例》及有关法规、法令精神，本着公开、公平、公正的原则作出处理。</w:t>
      </w:r>
    </w:p>
    <w:p w14:paraId="0EEE84E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6.竞争性磋商文件的解释权归采购代理机构。</w:t>
      </w:r>
    </w:p>
    <w:p w14:paraId="7E2BC1B6">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0" w:name="_Toc12309"/>
      <w:bookmarkStart w:id="11" w:name="_Toc133244595"/>
      <w:bookmarkStart w:id="12" w:name="_Toc133244821"/>
      <w:r>
        <w:rPr>
          <w:rFonts w:hint="eastAsia" w:ascii="宋体" w:hAnsi="宋体"/>
          <w:b/>
          <w:color w:val="000000" w:themeColor="text1"/>
          <w:szCs w:val="21"/>
          <w:highlight w:val="none"/>
          <w14:textFill>
            <w14:solidFill>
              <w14:schemeClr w14:val="tx1"/>
            </w14:solidFill>
          </w14:textFill>
        </w:rPr>
        <w:t>三、磋商及响应文件</w:t>
      </w:r>
      <w:bookmarkEnd w:id="10"/>
      <w:bookmarkEnd w:id="11"/>
      <w:bookmarkEnd w:id="12"/>
    </w:p>
    <w:p w14:paraId="1B0C072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各供应商按照竞争性磋商文件中的所有事项、格式、条款和要求编制响应文件，对竞争性磋商文件的内容及要求作出实质性响应，提交响应资料，并对其提交的响应文件的真实性和合法性承担法律责任。磋商响应文件应以包为单位，不得在其中选项或将其中内容再行分解。</w:t>
      </w:r>
    </w:p>
    <w:p w14:paraId="0C66E2B6">
      <w:pPr>
        <w:widowControl/>
        <w:spacing w:line="460" w:lineRule="exact"/>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2.合格供应商要求：</w:t>
      </w:r>
      <w:r>
        <w:rPr>
          <w:rFonts w:hint="eastAsia" w:ascii="宋体" w:hAnsi="宋体" w:cs="宋体"/>
          <w:color w:val="000000" w:themeColor="text1"/>
          <w:kern w:val="0"/>
          <w:szCs w:val="21"/>
          <w:highlight w:val="none"/>
          <w14:textFill>
            <w14:solidFill>
              <w14:schemeClr w14:val="tx1"/>
            </w14:solidFill>
          </w14:textFill>
        </w:rPr>
        <w:t>见竞争性磋商公告。</w:t>
      </w:r>
    </w:p>
    <w:p w14:paraId="6764EA70">
      <w:pPr>
        <w:spacing w:line="460" w:lineRule="exact"/>
        <w:ind w:firstLine="478" w:firstLineChars="228"/>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合格供应商要求</w:t>
      </w:r>
      <w:r>
        <w:rPr>
          <w:rFonts w:hint="eastAsia" w:ascii="宋体" w:hAnsi="宋体"/>
          <w:color w:val="000000" w:themeColor="text1"/>
          <w:szCs w:val="21"/>
          <w:highlight w:val="none"/>
          <w14:textFill>
            <w14:solidFill>
              <w14:schemeClr w14:val="tx1"/>
            </w14:solidFill>
          </w14:textFill>
        </w:rPr>
        <w:t>为供应商必备要求，各供应商在响应文件中须附有加盖供应商公章的复印件，在评审过程中由采购人或采购代理机构进行评审，无效或缺项将被视为无效文件。</w:t>
      </w:r>
    </w:p>
    <w:p w14:paraId="0988FAEF">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3.限制磋商的供应商</w:t>
      </w:r>
    </w:p>
    <w:p w14:paraId="5D081759">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供应商单位负责人为同一人或者存在直接控股、管理关系的不同供应商，不得参加同一标段或不划分标段的同一项目的采购活动。</w:t>
      </w:r>
    </w:p>
    <w:p w14:paraId="29A099C4">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4.本次采购项目不接受联合体磋商。</w:t>
      </w:r>
    </w:p>
    <w:p w14:paraId="25C5BF90">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5.响应文件的编制：</w:t>
      </w:r>
    </w:p>
    <w:p w14:paraId="58F31B14">
      <w:pPr>
        <w:spacing w:line="4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5.1供应商可参照采购代理机构提供的磋商响应文件格式编制，正本一份，副本二份，并各自装订成册，每套响应文件须清楚地标明“正本”或“副本”，一旦正本与副本不符，以正本为准。</w:t>
      </w:r>
    </w:p>
    <w:p w14:paraId="75EAA166">
      <w:pPr>
        <w:spacing w:line="46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5.2供应商在编制响应文件时，应依据竞争性磋商文件的要求，对竞争性磋商文件作出实质性的响应，内容应包括：</w:t>
      </w:r>
    </w:p>
    <w:p w14:paraId="118132A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5.2.1对磋商响应函格式中内容的响应；</w:t>
      </w:r>
    </w:p>
    <w:p w14:paraId="7D77BD9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5.2.2首次磋商报价一览表和分项报价表（如有）。报价货币用人民币，单位为元。</w:t>
      </w:r>
    </w:p>
    <w:p w14:paraId="5EB4F74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5.2.3供应商须出具的合格供应商证明文件，证明参加磋商供应商是响应本项目磋商的合格供应商。</w:t>
      </w:r>
    </w:p>
    <w:p w14:paraId="54BD86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5.2.4供应商为本次竞争性磋商活动编制的实施方案。</w:t>
      </w:r>
    </w:p>
    <w:p w14:paraId="2738466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5.2.5供应商根据竞争性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14:paraId="1476CD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5.3响应文件的正本和所有的副本均需打印或用不褪色蓝（黑）墨水（汁）书写，统一装订、标码。</w:t>
      </w:r>
    </w:p>
    <w:p w14:paraId="4724B5A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5.4.响应文件必须加盖供应商单位公章和法定代表人</w:t>
      </w:r>
      <w:r>
        <w:rPr>
          <w:rFonts w:hint="eastAsia" w:ascii="宋体" w:hAnsi="宋体" w:cs="宋体"/>
          <w:color w:val="000000" w:themeColor="text1"/>
          <w:kern w:val="0"/>
          <w:szCs w:val="21"/>
          <w:highlight w:val="none"/>
          <w14:textFill>
            <w14:solidFill>
              <w14:schemeClr w14:val="tx1"/>
            </w14:solidFill>
          </w14:textFill>
        </w:rPr>
        <w:t>（或其他组织负责人）</w:t>
      </w:r>
      <w:r>
        <w:rPr>
          <w:rFonts w:hint="eastAsia" w:ascii="宋体" w:hAnsi="宋体"/>
          <w:color w:val="000000" w:themeColor="text1"/>
          <w:szCs w:val="21"/>
          <w:highlight w:val="none"/>
          <w14:textFill>
            <w14:solidFill>
              <w14:schemeClr w14:val="tx1"/>
            </w14:solidFill>
          </w14:textFill>
        </w:rPr>
        <w:t>或其授权代表人签字或盖章。</w:t>
      </w:r>
    </w:p>
    <w:p w14:paraId="15F7C3B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5.5.响应文件不得行间插字、涂改和增删，如有修改错漏处，必须由供应商法定代表人（或其授权代表人）签字或盖章。</w:t>
      </w:r>
    </w:p>
    <w:p w14:paraId="624F8AE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6.响应报价要求</w:t>
      </w:r>
    </w:p>
    <w:p w14:paraId="321691D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6.1供应商应按照竞争性磋商文件规定的要求，责任范围和合同条件进行报价，在响应文件中的磋商报价表上按要求标明总价、服务期等，任何有选择的报价采购代理机构不予接受。</w:t>
      </w:r>
    </w:p>
    <w:p w14:paraId="792006A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6.2磋商最终报价为</w:t>
      </w:r>
      <w:r>
        <w:rPr>
          <w:rFonts w:hint="eastAsia"/>
          <w:color w:val="000000" w:themeColor="text1"/>
          <w:highlight w:val="none"/>
          <w14:textFill>
            <w14:solidFill>
              <w14:schemeClr w14:val="tx1"/>
            </w14:solidFill>
          </w14:textFill>
        </w:rPr>
        <w:t>完成采购内容所需的全部费用，包括</w:t>
      </w:r>
      <w:r>
        <w:rPr>
          <w:rFonts w:hint="eastAsia" w:ascii="宋体" w:hAnsi="宋体"/>
          <w:color w:val="000000" w:themeColor="text1"/>
          <w:szCs w:val="21"/>
          <w:highlight w:val="none"/>
          <w14:textFill>
            <w14:solidFill>
              <w14:schemeClr w14:val="tx1"/>
            </w14:solidFill>
          </w14:textFill>
        </w:rPr>
        <w:t>人工费、设备费</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耗材费、利润</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税金、保险费、规费等所有完成本项目的费用</w:t>
      </w:r>
      <w:r>
        <w:rPr>
          <w:rFonts w:hint="eastAsia"/>
          <w:color w:val="000000" w:themeColor="text1"/>
          <w:highlight w:val="none"/>
          <w14:textFill>
            <w14:solidFill>
              <w14:schemeClr w14:val="tx1"/>
            </w14:solidFill>
          </w14:textFill>
        </w:rPr>
        <w:t>。</w:t>
      </w:r>
    </w:p>
    <w:p w14:paraId="27606BD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w:t>
      </w:r>
      <w:r>
        <w:rPr>
          <w:rFonts w:hint="eastAsia" w:ascii="宋体" w:hAnsi="宋体"/>
          <w:b/>
          <w:bCs/>
          <w:color w:val="000000" w:themeColor="text1"/>
          <w:szCs w:val="21"/>
          <w:highlight w:val="none"/>
          <w14:textFill>
            <w14:solidFill>
              <w14:schemeClr w14:val="tx1"/>
            </w14:solidFill>
          </w14:textFill>
        </w:rPr>
        <w:t>首次响应报价随响应文件提交，最后响应报价在磋商后提交。各供应商应在响应前在最后响应报价表加盖公章，磋商后，填写价格，法定代表人（</w:t>
      </w:r>
      <w:r>
        <w:rPr>
          <w:rFonts w:hint="eastAsia" w:ascii="宋体" w:hAnsi="宋体" w:cs="宋体"/>
          <w:b/>
          <w:bCs/>
          <w:color w:val="000000" w:themeColor="text1"/>
          <w:kern w:val="0"/>
          <w:szCs w:val="21"/>
          <w:highlight w:val="none"/>
          <w14:textFill>
            <w14:solidFill>
              <w14:schemeClr w14:val="tx1"/>
            </w14:solidFill>
          </w14:textFill>
        </w:rPr>
        <w:t>或其他组织负责人</w:t>
      </w:r>
      <w:r>
        <w:rPr>
          <w:rFonts w:hint="eastAsia" w:ascii="宋体" w:hAnsi="宋体"/>
          <w:b/>
          <w:bCs/>
          <w:color w:val="000000" w:themeColor="text1"/>
          <w:szCs w:val="21"/>
          <w:highlight w:val="none"/>
          <w14:textFill>
            <w14:solidFill>
              <w14:schemeClr w14:val="tx1"/>
            </w14:solidFill>
          </w14:textFill>
        </w:rPr>
        <w:t>）或其授权代表人签字或盖章。</w:t>
      </w:r>
    </w:p>
    <w:p w14:paraId="33F1806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6.4最后响应报价，在采购内容无实质性变更下，不得高于首次响应报价。对于差异较大的报价，须作出明确的说明。</w:t>
      </w:r>
    </w:p>
    <w:p w14:paraId="265C25C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6.5磋商后最终的响应报价，一次性包死，在合同洽谈和合同执行过程中，不得以任何理由变更。</w:t>
      </w:r>
    </w:p>
    <w:p w14:paraId="616492D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6.6凡因供应商对竞争性磋商文件阅读不深、理解不透、误解、疏漏、或因市场行情了解不清造成的后果和风险均由供应商自行负责。</w:t>
      </w:r>
    </w:p>
    <w:p w14:paraId="36CFE2D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6.7磋商过程中所产生的一切费用由供应商自行承担。</w:t>
      </w:r>
    </w:p>
    <w:p w14:paraId="2D435AFE">
      <w:pPr>
        <w:spacing w:line="460" w:lineRule="exact"/>
        <w:ind w:firstLine="420" w:firstLineChars="200"/>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6.8本项目采购预算为 ¥</w:t>
      </w:r>
      <w:r>
        <w:rPr>
          <w:rFonts w:hint="eastAsia" w:ascii="宋体" w:hAnsi="宋体"/>
          <w:b/>
          <w:bCs/>
          <w:color w:val="000000" w:themeColor="text1"/>
          <w:szCs w:val="21"/>
          <w:highlight w:val="none"/>
          <w:lang w:eastAsia="zh-CN"/>
          <w14:textFill>
            <w14:solidFill>
              <w14:schemeClr w14:val="tx1"/>
            </w14:solidFill>
          </w14:textFill>
        </w:rPr>
        <w:t>150000</w:t>
      </w:r>
      <w:r>
        <w:rPr>
          <w:rFonts w:hint="eastAsia" w:ascii="宋体" w:hAnsi="宋体"/>
          <w:b/>
          <w:bCs/>
          <w:color w:val="000000" w:themeColor="text1"/>
          <w:szCs w:val="21"/>
          <w:highlight w:val="none"/>
          <w14:textFill>
            <w14:solidFill>
              <w14:schemeClr w14:val="tx1"/>
            </w14:solidFill>
          </w14:textFill>
        </w:rPr>
        <w:t>.00元，大于采购预算按无效文件处理。</w:t>
      </w:r>
    </w:p>
    <w:p w14:paraId="5BA8E53A">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7.磋商保证金：无需缴纳</w:t>
      </w:r>
    </w:p>
    <w:p w14:paraId="5F3A52A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8.响应文件有效期</w:t>
      </w:r>
    </w:p>
    <w:p w14:paraId="0EAF61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响应文件有效期为自磋商之日起六十（60）个日历日，在有效期内响应文件对供应商具有法律约束力，以保证采购人完成评审、确定成交供应商以及合同签订事项。成交供应商的响应文件有效期自动延长至合同执行完毕。</w:t>
      </w:r>
    </w:p>
    <w:p w14:paraId="0AE0738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特殊情况需延长有效期的，采购代理机构可于有效期届满之前，要求供应商同意延长有效期，采购代理机构的要求与供应商的答复均应为书面形式。供应商拒绝延长的，其磋商响应文件在原有效期届满后将不再有效；供应商同意延长的，应相应延长其保证金的有效期，但不允许修改或撤回响应文件。</w:t>
      </w:r>
    </w:p>
    <w:p w14:paraId="0DA2BDDC">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3" w:name="_Toc133244822"/>
      <w:bookmarkStart w:id="14" w:name="_Toc133244596"/>
      <w:bookmarkStart w:id="15" w:name="_Toc26232"/>
      <w:r>
        <w:rPr>
          <w:rFonts w:hint="eastAsia" w:ascii="宋体" w:hAnsi="宋体"/>
          <w:b/>
          <w:color w:val="000000" w:themeColor="text1"/>
          <w:szCs w:val="21"/>
          <w:highlight w:val="none"/>
          <w14:textFill>
            <w14:solidFill>
              <w14:schemeClr w14:val="tx1"/>
            </w14:solidFill>
          </w14:textFill>
        </w:rPr>
        <w:t>四、响应文件的密封和提交</w:t>
      </w:r>
      <w:bookmarkEnd w:id="13"/>
      <w:bookmarkEnd w:id="14"/>
      <w:bookmarkEnd w:id="15"/>
    </w:p>
    <w:p w14:paraId="593AC54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1.响应文件密封</w:t>
      </w:r>
    </w:p>
    <w:p w14:paraId="7134BB2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1.1供应商应将响应文件的正本和所有副本，用单独的信封分别密封，在信封上标明文件编号、项目名称，供应商全称（公章）、“正本”或“副本”等内容。</w:t>
      </w:r>
    </w:p>
    <w:p w14:paraId="26C862B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1.2响应文件未按要求密封，采购代理机构对误投或过早启封的响应文件概不负责。</w:t>
      </w:r>
    </w:p>
    <w:p w14:paraId="70070A2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2.响应文件提交</w:t>
      </w:r>
    </w:p>
    <w:p w14:paraId="0D11ED3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2.1供应商应在竞争性磋商文件要求提交响应文件的截止时间前将响应文件密封送达磋商地点，递交并办理签收手续。</w:t>
      </w:r>
    </w:p>
    <w:p w14:paraId="3312313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2.2在竞争性磋商文件要求提交响应文件的截止时间之后送达的响应文件，为无效文件，采购代理机构应当拒绝接收。</w:t>
      </w:r>
    </w:p>
    <w:p w14:paraId="1C36C2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供应商在竞争性磋商文件递交截止时间前，可以对所提交的响应文件进行补充、修改或者撤回，并书面通知采购代理机构。补充、修改的内容应当按竞争性磋商文件要求签署、盖章，并作为响应文件的组成部分。补充、修改的内容与响应文件不一致的，以补充、修改的内容为准。</w:t>
      </w:r>
    </w:p>
    <w:p w14:paraId="7B6F929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2.4竞争性磋商时间/首次响应文件递交的截止时间：详见竞争性磋商公告。</w:t>
      </w:r>
    </w:p>
    <w:p w14:paraId="3133DFD7">
      <w:pPr>
        <w:widowControl/>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2.5磋商地点：详见竞争性磋商公告。</w:t>
      </w:r>
    </w:p>
    <w:p w14:paraId="43873F3E">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6" w:name="_Toc133244597"/>
      <w:bookmarkStart w:id="17" w:name="_Toc8300"/>
      <w:bookmarkStart w:id="18" w:name="_Toc133244823"/>
      <w:r>
        <w:rPr>
          <w:rFonts w:hint="eastAsia" w:ascii="宋体" w:hAnsi="宋体"/>
          <w:b/>
          <w:color w:val="000000" w:themeColor="text1"/>
          <w:szCs w:val="21"/>
          <w:highlight w:val="none"/>
          <w14:textFill>
            <w14:solidFill>
              <w14:schemeClr w14:val="tx1"/>
            </w14:solidFill>
          </w14:textFill>
        </w:rPr>
        <w:t>五、磋商小组职责及义务</w:t>
      </w:r>
      <w:bookmarkEnd w:id="16"/>
      <w:bookmarkEnd w:id="17"/>
      <w:bookmarkEnd w:id="18"/>
    </w:p>
    <w:p w14:paraId="0378241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1.磋商小组组成：在磋商开始前，组建磋商小组，磋商小组由有关专家组成。</w:t>
      </w:r>
    </w:p>
    <w:p w14:paraId="02A123E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2.磋商小组职责</w:t>
      </w:r>
    </w:p>
    <w:p w14:paraId="48C4DBF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2.1确认竞争性磋商文件。</w:t>
      </w:r>
    </w:p>
    <w:p w14:paraId="211004C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2.2确定符合资质条件的供应商参加磋商。</w:t>
      </w:r>
    </w:p>
    <w:p w14:paraId="6BD319F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2.3审查供应商的响应文件并做出评价。</w:t>
      </w:r>
    </w:p>
    <w:p w14:paraId="681D583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2.4要求供应商解释或者澄清其响应文件。</w:t>
      </w:r>
    </w:p>
    <w:p w14:paraId="51D2019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2.5编写评审报告。</w:t>
      </w:r>
    </w:p>
    <w:p w14:paraId="4CCD897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2.6告知采购人或采购代理机构在评审过程中发现供应商违法违规行为。</w:t>
      </w:r>
    </w:p>
    <w:p w14:paraId="5EC8350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3.磋商小组义务</w:t>
      </w:r>
    </w:p>
    <w:p w14:paraId="75B4E2B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3.1遵纪守法、客观、公正、廉洁地履行职责；</w:t>
      </w:r>
    </w:p>
    <w:p w14:paraId="7901D2E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3.2根据竞争性磋商文件的规定独立进行评审，对个人的评审意见承担法律责任；</w:t>
      </w:r>
    </w:p>
    <w:p w14:paraId="6B91C6E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3.3参与评审报告的起草；</w:t>
      </w:r>
    </w:p>
    <w:p w14:paraId="4D49603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3.4配合采购人、采购代理机构答复供应商提出的质疑；</w:t>
      </w:r>
    </w:p>
    <w:p w14:paraId="7AF467A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3.5配合财政部门的投诉处理和监督检查工作。</w:t>
      </w:r>
    </w:p>
    <w:p w14:paraId="3B1174E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4.确认竞争性磋商文件：磋商小组对竞争性磋商文件进行审阅，无异议进行签字确认；有异议进行修改，修改内容经采购人确认后，磋商小组以书面形式通知所有供应商。</w:t>
      </w:r>
    </w:p>
    <w:p w14:paraId="0B876042">
      <w:pPr>
        <w:spacing w:line="460" w:lineRule="exact"/>
        <w:ind w:firstLine="420" w:firstLineChars="200"/>
        <w:outlineLvl w:val="0"/>
        <w:rPr>
          <w:rFonts w:ascii="宋体" w:hAnsi="宋体"/>
          <w:b/>
          <w:color w:val="000000" w:themeColor="text1"/>
          <w:szCs w:val="21"/>
          <w:highlight w:val="none"/>
          <w14:textFill>
            <w14:solidFill>
              <w14:schemeClr w14:val="tx1"/>
            </w14:solidFill>
          </w14:textFill>
        </w:rPr>
      </w:pPr>
      <w:bookmarkStart w:id="19" w:name="_Toc133244598"/>
      <w:bookmarkStart w:id="20" w:name="_Toc8612"/>
      <w:bookmarkStart w:id="21" w:name="_Toc133244824"/>
      <w:r>
        <w:rPr>
          <w:rFonts w:hint="eastAsia" w:ascii="宋体" w:hAnsi="宋体"/>
          <w:b/>
          <w:color w:val="000000" w:themeColor="text1"/>
          <w:szCs w:val="21"/>
          <w:highlight w:val="none"/>
          <w14:textFill>
            <w14:solidFill>
              <w14:schemeClr w14:val="tx1"/>
            </w14:solidFill>
          </w14:textFill>
        </w:rPr>
        <w:t>六、磋商程序</w:t>
      </w:r>
      <w:bookmarkEnd w:id="19"/>
      <w:bookmarkEnd w:id="20"/>
      <w:bookmarkEnd w:id="21"/>
    </w:p>
    <w:p w14:paraId="13751E7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1.磋商会议</w:t>
      </w:r>
    </w:p>
    <w:p w14:paraId="3DA3074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1.1在竞争性磋商文件规定的时间和地点，由采购代理机构组织磋商工作，供应商须委派代表参加，签名报到以证明其出席。</w:t>
      </w:r>
    </w:p>
    <w:p w14:paraId="7722AA2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1.2由供应商或其推荐的代表与采购监督人共同检查响应文件的密封情况，经检查无误后，签字确认。</w:t>
      </w:r>
    </w:p>
    <w:p w14:paraId="7EE61A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1.3采购代理机构工作人员按照顺序，将各供应商首次响应文件的份数等内容公布。</w:t>
      </w:r>
    </w:p>
    <w:p w14:paraId="3AA4B9E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1.4、磋商过程由采购代理机构指定专人记录。</w:t>
      </w:r>
    </w:p>
    <w:p w14:paraId="760F4E9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2.响应文件评审</w:t>
      </w:r>
    </w:p>
    <w:p w14:paraId="74AB0B8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响应文件的资格性审查：依据法律法规和响应文件的规定，由采购人或采购代理机构对响应文件中的合格供应商证明文件进行审查，供应商应为小微企业或监狱企业或残疾人福利性单位，以确认合格供应商具备相应资格。</w:t>
      </w:r>
    </w:p>
    <w:p w14:paraId="61DFA8F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2.2响应文件符合性审查：依据竞争性磋商文件的规定，对响应文件的有效性、完整性和对竞争性磋商文件的响应程度进行审查，以确定是否对竞争性磋商文件的实质性内容作出响应。</w:t>
      </w:r>
    </w:p>
    <w:p w14:paraId="16D1ED2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2.3经过供应商及响应文件的资格性和符合性审查，出现下列情况者（但不限于），按无效文件处理。</w:t>
      </w:r>
    </w:p>
    <w:p w14:paraId="3F06522C">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2.3.1供应商没有经过正常渠道获取竞争性磋商文件或供应商的名称与登记领取竞争性磋商文件单位的名称不符。</w:t>
      </w:r>
    </w:p>
    <w:p w14:paraId="6FCB794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2.3.2磋商响应文件中未提交委托代理人授权书（法定代表人（</w:t>
      </w:r>
      <w:r>
        <w:rPr>
          <w:rFonts w:hint="eastAsia" w:ascii="宋体" w:hAnsi="宋体" w:cs="宋体"/>
          <w:color w:val="000000" w:themeColor="text1"/>
          <w:kern w:val="0"/>
          <w:szCs w:val="21"/>
          <w:highlight w:val="none"/>
          <w14:textFill>
            <w14:solidFill>
              <w14:schemeClr w14:val="tx1"/>
            </w14:solidFill>
          </w14:textFill>
        </w:rPr>
        <w:t>或其他组织负责人</w:t>
      </w:r>
      <w:r>
        <w:rPr>
          <w:rFonts w:hint="eastAsia" w:ascii="宋体" w:hAnsi="宋体"/>
          <w:color w:val="000000" w:themeColor="text1"/>
          <w:szCs w:val="21"/>
          <w:highlight w:val="none"/>
          <w14:textFill>
            <w14:solidFill>
              <w14:schemeClr w14:val="tx1"/>
            </w14:solidFill>
          </w14:textFill>
        </w:rPr>
        <w:t>）直接参加磋商未按要求提交其有效身份证）或授权书的合法性或有效性不符合竞争性磋商文件规定。授权书有效期小于磋商有效期。</w:t>
      </w:r>
    </w:p>
    <w:p w14:paraId="15225CF4">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2.3.3响应文件有关内容未按竞争性磋商文件规定加盖供应商印章或未经法定代表人或其委托代理人签字、盖章。无磋商有效期或有效期达不到竞争性磋商文件的要求。响应文件格式未按照竞争性磋商文件格式编制或响应文件数量不符合要求。</w:t>
      </w:r>
    </w:p>
    <w:p w14:paraId="1D52E5F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2.3.4响应文件的合同主要条款对竞争性磋商文件合同主要条款要求不一致，或附加了采购人难以接受的条件。</w:t>
      </w:r>
    </w:p>
    <w:p w14:paraId="3D5613D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2.3.5磋商内容与要求不符。</w:t>
      </w:r>
    </w:p>
    <w:p w14:paraId="5F84CF8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2.3.6响应报价与市场价偏离较大，低于成本，形成不正当竞争。</w:t>
      </w:r>
    </w:p>
    <w:p w14:paraId="5BC1F15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2.3.7提供虚假证明，开具虚假资质，出现虚假应答或故意隐瞒行为。</w:t>
      </w:r>
    </w:p>
    <w:p w14:paraId="75758D7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3.磋商：磋商小组所有成员集中与单一供应商分别进行磋商，并给所有参加磋商供应商平等的磋商机会。</w:t>
      </w:r>
    </w:p>
    <w:p w14:paraId="38B411F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4600920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磋商过程中，磋商小组可以根据竞争性磋商文件和磋商情况实质性变动采购需求中的技术、服务要求以及合同条款，但不得变动竞争性磋商文件中的其他内容。实质性变动的内容，须经采购人代表确认，并成为竞争性磋商文件的有效组成部分。</w:t>
      </w:r>
    </w:p>
    <w:p w14:paraId="0566A9B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3.3供应商应在磋商小组规定的时间内，以书面形式进行澄清、说明或者更正，并由法定代表人或者授权代表签字或者加盖公章。</w:t>
      </w:r>
    </w:p>
    <w:p w14:paraId="3F55FFA7">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4.最后报价</w:t>
      </w:r>
    </w:p>
    <w:p w14:paraId="5A50E2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4.1磋商结束后，提交最后报价的供应商不少于3家。磋商小组要求实质性响应的供应商在规定时间内提交最后报价，最后报价是供应商响应文件的有效组成部分。</w:t>
      </w:r>
    </w:p>
    <w:p w14:paraId="0C21D6D2">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4.2最后报价应按报价的格式内容填写，并且同时提交最后响应报价表、最后报价明细表等内容。各供应商在提交响应文件时，应对最后报价加盖供应商公章，且由法定代表人（或授权代表人）签字。</w:t>
      </w:r>
    </w:p>
    <w:p w14:paraId="0A8F8A0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5.比较与评价</w:t>
      </w:r>
    </w:p>
    <w:p w14:paraId="4ED2463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5.1磋商小组在评审过程中，发现响应文件出现下列情况之一者，按以下原则修正：</w:t>
      </w:r>
    </w:p>
    <w:p w14:paraId="151E507E">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5.1.1大写金额与小写金额不一致的，以大写金额为准；</w:t>
      </w:r>
    </w:p>
    <w:p w14:paraId="6E05DDF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5.1.2总价金额与按单价汇总金额不一致的，以单价金额计算结果为准；</w:t>
      </w:r>
    </w:p>
    <w:p w14:paraId="15D82BF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5.1.3单价金额小数点有明显错位的，应以总价为准，并修改单价；</w:t>
      </w:r>
    </w:p>
    <w:p w14:paraId="5964B31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5.1.4对不同文字文本响应文件的解释发生异议的，以中文文本为准；</w:t>
      </w:r>
    </w:p>
    <w:p w14:paraId="75D619F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5.1.5文字与图表不一致的，以文字为准；</w:t>
      </w:r>
    </w:p>
    <w:p w14:paraId="1348557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5.1.6正本与副本不一致的，以正本为准；</w:t>
      </w:r>
    </w:p>
    <w:p w14:paraId="74F20D79">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5.2按照竞争性磋商文件规定的评审方法和标准，对审查合格的文件进行商务和技术评审，综合比较和评价，最低报价不作为成交的唯一条件。</w:t>
      </w:r>
    </w:p>
    <w:p w14:paraId="7AC3BF7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6.评审程序：采取逐项分步评审方式，每一步评审不符合者，不进入下一步评审，全部评审合格的供应商进行最后的综合评审和打分，按最后得分由高向低排序，推荐成交候选单位。</w:t>
      </w:r>
    </w:p>
    <w:p w14:paraId="0DEA8D4A">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7.评审方法：综合评分法（总计100分）</w:t>
      </w:r>
    </w:p>
    <w:tbl>
      <w:tblPr>
        <w:tblStyle w:val="19"/>
        <w:tblW w:w="93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815"/>
        <w:gridCol w:w="7305"/>
      </w:tblGrid>
      <w:tr w14:paraId="459C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27" w:type="dxa"/>
            <w:gridSpan w:val="2"/>
            <w:shd w:val="clear" w:color="auto" w:fill="auto"/>
            <w:vAlign w:val="center"/>
          </w:tcPr>
          <w:p w14:paraId="06C25EE4">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分值构成</w:t>
            </w:r>
          </w:p>
        </w:tc>
        <w:tc>
          <w:tcPr>
            <w:tcW w:w="7305" w:type="dxa"/>
            <w:shd w:val="clear" w:color="auto" w:fill="auto"/>
            <w:vAlign w:val="center"/>
          </w:tcPr>
          <w:p w14:paraId="5D6720B7">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详细评审</w:t>
            </w:r>
            <w:r>
              <w:rPr>
                <w:rFonts w:hint="eastAsia" w:ascii="宋体" w:hAnsi="宋体" w:cs="宋体"/>
                <w:color w:val="000000" w:themeColor="text1"/>
                <w:kern w:val="0"/>
                <w:szCs w:val="21"/>
                <w:highlight w:val="none"/>
                <w:lang w:val="en-US" w:eastAsia="zh-CN" w:bidi="ar"/>
                <w14:textFill>
                  <w14:solidFill>
                    <w14:schemeClr w14:val="tx1"/>
                  </w14:solidFill>
                </w14:textFill>
              </w:rPr>
              <w:t>90</w:t>
            </w:r>
            <w:r>
              <w:rPr>
                <w:rFonts w:hint="eastAsia" w:ascii="宋体" w:hAnsi="宋体" w:cs="宋体"/>
                <w:color w:val="000000" w:themeColor="text1"/>
                <w:kern w:val="0"/>
                <w:szCs w:val="21"/>
                <w:highlight w:val="none"/>
                <w:lang w:bidi="ar"/>
                <w14:textFill>
                  <w14:solidFill>
                    <w14:schemeClr w14:val="tx1"/>
                  </w14:solidFill>
                </w14:textFill>
              </w:rPr>
              <w:t>.00分</w:t>
            </w:r>
          </w:p>
          <w:p w14:paraId="4EF1C848">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报价得分</w:t>
            </w:r>
            <w:r>
              <w:rPr>
                <w:rFonts w:hint="eastAsia" w:ascii="宋体" w:hAnsi="宋体" w:cs="宋体"/>
                <w:color w:val="000000" w:themeColor="text1"/>
                <w:kern w:val="0"/>
                <w:szCs w:val="21"/>
                <w:highlight w:val="none"/>
                <w:lang w:val="en-US" w:eastAsia="zh-CN" w:bidi="ar"/>
                <w14:textFill>
                  <w14:solidFill>
                    <w14:schemeClr w14:val="tx1"/>
                  </w14:solidFill>
                </w14:textFill>
              </w:rPr>
              <w:t>1</w:t>
            </w:r>
            <w:r>
              <w:rPr>
                <w:rFonts w:hint="eastAsia" w:ascii="宋体" w:hAnsi="宋体" w:cs="宋体"/>
                <w:color w:val="000000" w:themeColor="text1"/>
                <w:kern w:val="0"/>
                <w:szCs w:val="21"/>
                <w:highlight w:val="none"/>
                <w:lang w:bidi="ar"/>
                <w14:textFill>
                  <w14:solidFill>
                    <w14:schemeClr w14:val="tx1"/>
                  </w14:solidFill>
                </w14:textFill>
              </w:rPr>
              <w:t>0.00分</w:t>
            </w:r>
          </w:p>
        </w:tc>
      </w:tr>
      <w:tr w14:paraId="35BE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12" w:type="dxa"/>
            <w:shd w:val="clear" w:color="auto" w:fill="auto"/>
            <w:vAlign w:val="center"/>
          </w:tcPr>
          <w:p w14:paraId="0E2081D6">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项别</w:t>
            </w:r>
          </w:p>
        </w:tc>
        <w:tc>
          <w:tcPr>
            <w:tcW w:w="815" w:type="dxa"/>
            <w:shd w:val="clear" w:color="auto" w:fill="auto"/>
            <w:vAlign w:val="center"/>
          </w:tcPr>
          <w:p w14:paraId="2180FAA3">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分值</w:t>
            </w:r>
          </w:p>
        </w:tc>
        <w:tc>
          <w:tcPr>
            <w:tcW w:w="7305" w:type="dxa"/>
            <w:shd w:val="clear" w:color="auto" w:fill="auto"/>
            <w:vAlign w:val="center"/>
          </w:tcPr>
          <w:p w14:paraId="0ADF5D3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评审要素</w:t>
            </w:r>
          </w:p>
        </w:tc>
      </w:tr>
      <w:tr w14:paraId="772B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112" w:type="dxa"/>
            <w:shd w:val="clear" w:color="auto" w:fill="auto"/>
            <w:vAlign w:val="center"/>
          </w:tcPr>
          <w:p w14:paraId="0FCAD1C9">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价格评审</w:t>
            </w:r>
          </w:p>
        </w:tc>
        <w:tc>
          <w:tcPr>
            <w:tcW w:w="815" w:type="dxa"/>
            <w:shd w:val="clear" w:color="auto" w:fill="auto"/>
            <w:vAlign w:val="center"/>
          </w:tcPr>
          <w:p w14:paraId="75BF8200">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70D89847">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按照财政部《政府采购竞争性磋商采购方式管理暂行办法》的有关规定，将满足磋商文件要求且最后报价最低的供应商的价格作为磋商基准价，其价格得分为满分。其他供应商的价格分统一按照下列公式计算：</w:t>
            </w:r>
          </w:p>
          <w:p w14:paraId="0E11AD40">
            <w:pPr>
              <w:ind w:firstLine="420"/>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磋商报价得分=(磋商基准价／磋商报价)×</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%×100</w:t>
            </w:r>
          </w:p>
        </w:tc>
      </w:tr>
      <w:tr w14:paraId="3335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699939E4">
            <w:pPr>
              <w:widowControl/>
              <w:jc w:val="center"/>
              <w:textAlignment w:val="center"/>
              <w:rPr>
                <w:rFonts w:hint="eastAsia" w:ascii="宋体" w:hAnsi="宋体" w:eastAsia="宋体" w:cs="宋体"/>
                <w:color w:val="000000" w:themeColor="text1"/>
                <w:kern w:val="0"/>
                <w:szCs w:val="21"/>
                <w:highlight w:val="none"/>
                <w:lang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服务方案</w:t>
            </w:r>
          </w:p>
        </w:tc>
        <w:tc>
          <w:tcPr>
            <w:tcW w:w="815" w:type="dxa"/>
            <w:shd w:val="clear" w:color="auto" w:fill="auto"/>
            <w:vAlign w:val="center"/>
          </w:tcPr>
          <w:p w14:paraId="5F7456E3">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39330281">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针对本项目提供详细、具体、可行的实施方案，且方案合理科学，措施得当，并对本项目实施的重点、难点给出相应的解决方案。方案完整，合理可行计</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分；方案简单，有实施方案及解决方案的计</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分；能提供实施方案大纲的，单内容过于简单的计</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分；未提供的不计分</w:t>
            </w:r>
            <w:r>
              <w:rPr>
                <w:rFonts w:hint="eastAsia" w:ascii="宋体" w:hAnsi="宋体" w:cs="宋体"/>
                <w:color w:val="000000" w:themeColor="text1"/>
                <w:szCs w:val="21"/>
                <w:highlight w:val="none"/>
                <w:lang w:eastAsia="zh-CN"/>
                <w14:textFill>
                  <w14:solidFill>
                    <w14:schemeClr w14:val="tx1"/>
                  </w14:solidFill>
                </w14:textFill>
              </w:rPr>
              <w:t>。</w:t>
            </w:r>
          </w:p>
        </w:tc>
      </w:tr>
      <w:tr w14:paraId="1BDB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2CF89FDC">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进度控制</w:t>
            </w:r>
          </w:p>
        </w:tc>
        <w:tc>
          <w:tcPr>
            <w:tcW w:w="815" w:type="dxa"/>
            <w:shd w:val="clear" w:color="auto" w:fill="auto"/>
            <w:vAlign w:val="center"/>
          </w:tcPr>
          <w:p w14:paraId="550E8AD1">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10分</w:t>
            </w:r>
          </w:p>
        </w:tc>
        <w:tc>
          <w:tcPr>
            <w:tcW w:w="7305" w:type="dxa"/>
            <w:shd w:val="clear" w:color="auto" w:fill="auto"/>
            <w:vAlign w:val="center"/>
          </w:tcPr>
          <w:p w14:paraId="44D034E5">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针对本项目有具体的时间进度控制</w:t>
            </w:r>
            <w:r>
              <w:rPr>
                <w:rFonts w:hint="eastAsia" w:ascii="宋体" w:hAnsi="宋体" w:cs="宋体"/>
                <w:color w:val="000000" w:themeColor="text1"/>
                <w:kern w:val="0"/>
                <w:szCs w:val="21"/>
                <w:highlight w:val="none"/>
                <w:lang w:val="en-US" w:eastAsia="zh-CN" w:bidi="ar"/>
                <w14:textFill>
                  <w14:solidFill>
                    <w14:schemeClr w14:val="tx1"/>
                  </w14:solidFill>
                </w14:textFill>
              </w:rPr>
              <w:t>方案</w:t>
            </w:r>
            <w:r>
              <w:rPr>
                <w:rFonts w:hint="eastAsia" w:ascii="宋体" w:hAnsi="宋体" w:cs="宋体"/>
                <w:color w:val="000000" w:themeColor="text1"/>
                <w:kern w:val="0"/>
                <w:szCs w:val="21"/>
                <w:highlight w:val="none"/>
                <w:lang w:bidi="ar"/>
                <w14:textFill>
                  <w14:solidFill>
                    <w14:schemeClr w14:val="tx1"/>
                  </w14:solidFill>
                </w14:textFill>
              </w:rPr>
              <w:t>和</w:t>
            </w:r>
            <w:r>
              <w:rPr>
                <w:rFonts w:hint="eastAsia" w:ascii="宋体" w:hAnsi="宋体" w:cs="宋体"/>
                <w:color w:val="000000" w:themeColor="text1"/>
                <w:kern w:val="0"/>
                <w:szCs w:val="21"/>
                <w:highlight w:val="none"/>
                <w:lang w:val="en-US" w:eastAsia="zh-CN" w:bidi="ar"/>
                <w14:textFill>
                  <w14:solidFill>
                    <w14:schemeClr w14:val="tx1"/>
                  </w14:solidFill>
                </w14:textFill>
              </w:rPr>
              <w:t>应急处理方案</w:t>
            </w:r>
            <w:r>
              <w:rPr>
                <w:rFonts w:hint="eastAsia" w:ascii="宋体" w:hAnsi="宋体" w:cs="宋体"/>
                <w:color w:val="000000" w:themeColor="text1"/>
                <w:kern w:val="0"/>
                <w:szCs w:val="21"/>
                <w:highlight w:val="none"/>
                <w:lang w:bidi="ar"/>
                <w14:textFill>
                  <w14:solidFill>
                    <w14:schemeClr w14:val="tx1"/>
                  </w14:solidFill>
                </w14:textFill>
              </w:rPr>
              <w:t>，方案合理、架构完整、时间节点层次清楚，分级明确，根据方案横向对比计分。方案科学合理、完全满足计</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分；方案基本合理可行计</w:t>
            </w:r>
            <w:r>
              <w:rPr>
                <w:rFonts w:hint="eastAsia" w:ascii="宋体" w:hAnsi="宋体" w:cs="宋体"/>
                <w:color w:val="000000" w:themeColor="text1"/>
                <w:kern w:val="0"/>
                <w:szCs w:val="21"/>
                <w:highlight w:val="none"/>
                <w:lang w:val="en-US" w:eastAsia="zh-CN" w:bidi="ar"/>
                <w14:textFill>
                  <w14:solidFill>
                    <w14:schemeClr w14:val="tx1"/>
                  </w14:solidFill>
                </w14:textFill>
              </w:rPr>
              <w:t>7</w:t>
            </w:r>
            <w:r>
              <w:rPr>
                <w:rFonts w:hint="eastAsia" w:ascii="宋体" w:hAnsi="宋体" w:cs="宋体"/>
                <w:color w:val="000000" w:themeColor="text1"/>
                <w:kern w:val="0"/>
                <w:szCs w:val="21"/>
                <w:highlight w:val="none"/>
                <w:lang w:bidi="ar"/>
                <w14:textFill>
                  <w14:solidFill>
                    <w14:schemeClr w14:val="tx1"/>
                  </w14:solidFill>
                </w14:textFill>
              </w:rPr>
              <w:t>分，方案欠缺、不利于实施计</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分，未提供不计分。</w:t>
            </w:r>
          </w:p>
        </w:tc>
      </w:tr>
      <w:tr w14:paraId="7437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79479234">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应急</w:t>
            </w:r>
            <w:r>
              <w:rPr>
                <w:rFonts w:hint="eastAsia" w:ascii="宋体" w:hAnsi="宋体" w:cs="宋体"/>
                <w:color w:val="000000" w:themeColor="text1"/>
                <w:kern w:val="0"/>
                <w:szCs w:val="21"/>
                <w:highlight w:val="none"/>
                <w:lang w:bidi="ar"/>
                <w14:textFill>
                  <w14:solidFill>
                    <w14:schemeClr w14:val="tx1"/>
                  </w14:solidFill>
                </w14:textFill>
              </w:rPr>
              <w:t>方案</w:t>
            </w:r>
          </w:p>
        </w:tc>
        <w:tc>
          <w:tcPr>
            <w:tcW w:w="815" w:type="dxa"/>
            <w:shd w:val="clear" w:color="auto" w:fill="auto"/>
            <w:vAlign w:val="center"/>
          </w:tcPr>
          <w:p w14:paraId="73323182">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10分</w:t>
            </w:r>
          </w:p>
        </w:tc>
        <w:tc>
          <w:tcPr>
            <w:tcW w:w="7305" w:type="dxa"/>
            <w:shd w:val="clear" w:color="auto" w:fill="auto"/>
            <w:vAlign w:val="center"/>
          </w:tcPr>
          <w:p w14:paraId="391CB1CF">
            <w:pP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eastAsia="zh-CN" w:bidi="ar"/>
                <w14:textFill>
                  <w14:solidFill>
                    <w14:schemeClr w14:val="tx1"/>
                  </w14:solidFill>
                </w14:textFill>
              </w:rPr>
              <w:t>投</w:t>
            </w:r>
            <w:r>
              <w:rPr>
                <w:rFonts w:hint="eastAsia" w:ascii="宋体" w:hAnsi="宋体" w:cs="宋体"/>
                <w:color w:val="000000" w:themeColor="text1"/>
                <w:kern w:val="0"/>
                <w:szCs w:val="21"/>
                <w:highlight w:val="none"/>
                <w:lang w:bidi="ar"/>
                <w14:textFill>
                  <w14:solidFill>
                    <w14:schemeClr w14:val="tx1"/>
                  </w14:solidFill>
                </w14:textFill>
              </w:rPr>
              <w:t>标人提供</w:t>
            </w:r>
            <w:r>
              <w:rPr>
                <w:rFonts w:hint="eastAsia" w:ascii="宋体" w:hAnsi="宋体" w:cs="宋体"/>
                <w:color w:val="000000" w:themeColor="text1"/>
                <w:kern w:val="0"/>
                <w:szCs w:val="21"/>
                <w:highlight w:val="none"/>
                <w:lang w:eastAsia="zh-CN" w:bidi="ar"/>
                <w14:textFill>
                  <w14:solidFill>
                    <w14:schemeClr w14:val="tx1"/>
                  </w14:solidFill>
                </w14:textFill>
              </w:rPr>
              <w:t>本项目</w:t>
            </w:r>
            <w:r>
              <w:rPr>
                <w:rFonts w:hint="eastAsia" w:ascii="宋体" w:hAnsi="宋体" w:cs="宋体"/>
                <w:color w:val="000000" w:themeColor="text1"/>
                <w:kern w:val="0"/>
                <w:szCs w:val="21"/>
                <w:highlight w:val="none"/>
                <w:lang w:bidi="ar"/>
                <w14:textFill>
                  <w14:solidFill>
                    <w14:schemeClr w14:val="tx1"/>
                  </w14:solidFill>
                </w14:textFill>
              </w:rPr>
              <w:t>应急预案，针对突发情况在补救措施及响应时间等方面，具备详细的服务措施及承诺，并制定异常数据监控制度和处理处置方法。方案科学合理、完全满足计</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分；方案基本合理可行计</w:t>
            </w:r>
            <w:r>
              <w:rPr>
                <w:rFonts w:hint="eastAsia" w:ascii="宋体" w:hAnsi="宋体" w:cs="宋体"/>
                <w:color w:val="000000" w:themeColor="text1"/>
                <w:kern w:val="0"/>
                <w:szCs w:val="21"/>
                <w:highlight w:val="none"/>
                <w:lang w:val="en-US" w:eastAsia="zh-CN" w:bidi="ar"/>
                <w14:textFill>
                  <w14:solidFill>
                    <w14:schemeClr w14:val="tx1"/>
                  </w14:solidFill>
                </w14:textFill>
              </w:rPr>
              <w:t>7</w:t>
            </w:r>
            <w:r>
              <w:rPr>
                <w:rFonts w:hint="eastAsia" w:ascii="宋体" w:hAnsi="宋体" w:cs="宋体"/>
                <w:color w:val="000000" w:themeColor="text1"/>
                <w:kern w:val="0"/>
                <w:szCs w:val="21"/>
                <w:highlight w:val="none"/>
                <w:lang w:bidi="ar"/>
                <w14:textFill>
                  <w14:solidFill>
                    <w14:schemeClr w14:val="tx1"/>
                  </w14:solidFill>
                </w14:textFill>
              </w:rPr>
              <w:t>分，方案欠缺、不利于实施计</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分，未提供不计分。</w:t>
            </w:r>
          </w:p>
        </w:tc>
      </w:tr>
      <w:tr w14:paraId="61AE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501796D1">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质量保证措施</w:t>
            </w:r>
          </w:p>
        </w:tc>
        <w:tc>
          <w:tcPr>
            <w:tcW w:w="815" w:type="dxa"/>
            <w:shd w:val="clear" w:color="auto" w:fill="auto"/>
            <w:vAlign w:val="center"/>
          </w:tcPr>
          <w:p w14:paraId="08C00035">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val="en-US" w:eastAsia="zh-CN" w:bidi="ar"/>
                <w14:textFill>
                  <w14:solidFill>
                    <w14:schemeClr w14:val="tx1"/>
                  </w14:solidFill>
                </w14:textFill>
              </w:rPr>
              <w:t>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6D70795B">
            <w:pPr>
              <w:ind w:firstLine="210" w:firstLineChars="100"/>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根据提供的质量保证措施、安全文明施工措施、安装调试流程、运维方案进行赋分，服务方案详细、科学、合理计</w:t>
            </w: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分；方案基本详细，较为科学合理计</w:t>
            </w:r>
            <w:r>
              <w:rPr>
                <w:rFonts w:hint="eastAsia" w:ascii="宋体" w:hAnsi="宋体" w:cs="宋体"/>
                <w:color w:val="000000" w:themeColor="text1"/>
                <w:kern w:val="0"/>
                <w:szCs w:val="21"/>
                <w:highlight w:val="none"/>
                <w:lang w:val="en-US" w:eastAsia="zh-CN" w:bidi="ar"/>
                <w14:textFill>
                  <w14:solidFill>
                    <w14:schemeClr w14:val="tx1"/>
                  </w14:solidFill>
                </w14:textFill>
              </w:rPr>
              <w:t>7</w:t>
            </w:r>
            <w:r>
              <w:rPr>
                <w:rFonts w:hint="eastAsia" w:ascii="宋体" w:hAnsi="宋体" w:cs="宋体"/>
                <w:color w:val="000000" w:themeColor="text1"/>
                <w:kern w:val="0"/>
                <w:szCs w:val="21"/>
                <w:highlight w:val="none"/>
                <w:lang w:bidi="ar"/>
                <w14:textFill>
                  <w14:solidFill>
                    <w14:schemeClr w14:val="tx1"/>
                  </w14:solidFill>
                </w14:textFill>
              </w:rPr>
              <w:t>分；方案不详细或不合理得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cs="宋体"/>
                <w:color w:val="000000" w:themeColor="text1"/>
                <w:kern w:val="0"/>
                <w:szCs w:val="21"/>
                <w:highlight w:val="none"/>
                <w:lang w:bidi="ar"/>
                <w14:textFill>
                  <w14:solidFill>
                    <w14:schemeClr w14:val="tx1"/>
                  </w14:solidFill>
                </w14:textFill>
              </w:rPr>
              <w:t>分</w:t>
            </w:r>
            <w:r>
              <w:rPr>
                <w:rFonts w:hint="eastAsia" w:ascii="宋体" w:hAnsi="宋体" w:cs="宋体"/>
                <w:color w:val="000000" w:themeColor="text1"/>
                <w:kern w:val="0"/>
                <w:szCs w:val="21"/>
                <w:highlight w:val="none"/>
                <w:lang w:eastAsia="zh-CN" w:bidi="ar"/>
                <w14:textFill>
                  <w14:solidFill>
                    <w14:schemeClr w14:val="tx1"/>
                  </w14:solidFill>
                </w14:textFill>
              </w:rPr>
              <w:t>，</w:t>
            </w:r>
            <w:r>
              <w:rPr>
                <w:rFonts w:hint="eastAsia" w:ascii="宋体" w:hAnsi="宋体" w:cs="宋体"/>
                <w:color w:val="000000" w:themeColor="text1"/>
                <w:kern w:val="0"/>
                <w:szCs w:val="21"/>
                <w:highlight w:val="none"/>
                <w:lang w:bidi="ar"/>
                <w14:textFill>
                  <w14:solidFill>
                    <w14:schemeClr w14:val="tx1"/>
                  </w14:solidFill>
                </w14:textFill>
              </w:rPr>
              <w:t>未提供不计分。</w:t>
            </w:r>
          </w:p>
        </w:tc>
      </w:tr>
      <w:tr w14:paraId="6D5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7F2BDD6A">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项目团队</w:t>
            </w:r>
          </w:p>
        </w:tc>
        <w:tc>
          <w:tcPr>
            <w:tcW w:w="815" w:type="dxa"/>
            <w:shd w:val="clear" w:color="auto" w:fill="auto"/>
            <w:vAlign w:val="center"/>
          </w:tcPr>
          <w:p w14:paraId="594DD2A9">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20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1C65B47D">
            <w:pPr>
              <w:jc w:val="left"/>
              <w:rPr>
                <w:rFonts w:hint="eastAsia"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1、项目负责人具有高级及以上职称得</w:t>
            </w:r>
            <w:r>
              <w:rPr>
                <w:rFonts w:hint="eastAsia" w:ascii="宋体" w:hAnsi="宋体" w:cs="宋体"/>
                <w:color w:val="000000" w:themeColor="text1"/>
                <w:kern w:val="0"/>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分；具有同类型古建筑物监测类业绩，每提供一个计2分，满分6分</w:t>
            </w:r>
          </w:p>
          <w:p w14:paraId="4C5A4279">
            <w:pPr>
              <w:jc w:val="left"/>
              <w:rPr>
                <w:rFonts w:hint="default"/>
                <w:highlight w:val="none"/>
                <w:lang w:val="en-US"/>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项目团队人员配置情况。项目团队人员结构数量合理，专业技术人员配备齐全、分工合理，专业人员能力强、项目经验丰富。10分；人员配置满足项目需求，分工明确、配置合理，总体实力较强，得7分；人员配置基本满足项目需求，分工较明确，配置一般，得4分；未提供相关方案不计分。提供相关证明材料。</w:t>
            </w:r>
          </w:p>
        </w:tc>
      </w:tr>
      <w:tr w14:paraId="1780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112" w:type="dxa"/>
            <w:shd w:val="clear" w:color="auto" w:fill="auto"/>
            <w:vAlign w:val="center"/>
          </w:tcPr>
          <w:p w14:paraId="69EB6C50">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仪器设备配置方案</w:t>
            </w:r>
          </w:p>
        </w:tc>
        <w:tc>
          <w:tcPr>
            <w:tcW w:w="815" w:type="dxa"/>
            <w:shd w:val="clear" w:color="auto" w:fill="auto"/>
            <w:vAlign w:val="center"/>
          </w:tcPr>
          <w:p w14:paraId="7D70E9BE">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eastAsia" w:ascii="宋体" w:hAnsi="宋体" w:cs="宋体"/>
                <w:color w:val="000000" w:themeColor="text1"/>
                <w:kern w:val="0"/>
                <w:szCs w:val="21"/>
                <w:highlight w:val="none"/>
                <w:lang w:bidi="ar"/>
                <w14:textFill>
                  <w14:solidFill>
                    <w14:schemeClr w14:val="tx1"/>
                  </w14:solidFill>
                </w14:textFill>
              </w:rPr>
              <w:t>分</w:t>
            </w:r>
          </w:p>
        </w:tc>
        <w:tc>
          <w:tcPr>
            <w:tcW w:w="7305" w:type="dxa"/>
            <w:shd w:val="clear" w:color="auto" w:fill="auto"/>
            <w:vAlign w:val="center"/>
          </w:tcPr>
          <w:p w14:paraId="29020B69">
            <w:pPr>
              <w:widowControl/>
              <w:jc w:val="left"/>
              <w:textAlignment w:val="center"/>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拟投入本项目的设备配置方案，方案科学合理、完全满足计10分；方案基本合理可行计7分，方案欠缺、不利于实施计4分，未提供不计分。</w:t>
            </w:r>
          </w:p>
        </w:tc>
      </w:tr>
      <w:tr w14:paraId="05A7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270AAB26">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服务承诺</w:t>
            </w:r>
          </w:p>
        </w:tc>
        <w:tc>
          <w:tcPr>
            <w:tcW w:w="815" w:type="dxa"/>
            <w:shd w:val="clear" w:color="auto" w:fill="auto"/>
            <w:vAlign w:val="center"/>
          </w:tcPr>
          <w:p w14:paraId="230D2562">
            <w:pPr>
              <w:widowControl/>
              <w:jc w:val="center"/>
              <w:textAlignment w:val="center"/>
              <w:rPr>
                <w:rFonts w:hint="default" w:ascii="宋体" w:hAnsi="宋体" w:eastAsia="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10分</w:t>
            </w:r>
          </w:p>
        </w:tc>
        <w:tc>
          <w:tcPr>
            <w:tcW w:w="7305" w:type="dxa"/>
            <w:shd w:val="clear" w:color="auto" w:fill="auto"/>
            <w:noWrap/>
            <w:vAlign w:val="center"/>
          </w:tcPr>
          <w:p w14:paraId="76851D22">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服务承诺方案及合理化建议内容完善、可行、具体、针对性强得</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eastAsia="zh-CN"/>
                <w14:textFill>
                  <w14:solidFill>
                    <w14:schemeClr w14:val="tx1"/>
                  </w14:solidFill>
                </w14:textFill>
              </w:rPr>
              <w:t>分；服务承诺方案及合理化建议内容较为完善，基本可行，有针对性得得</w:t>
            </w:r>
            <w:r>
              <w:rPr>
                <w:rFonts w:hint="eastAsia" w:ascii="宋体" w:hAnsi="宋体" w:cs="宋体"/>
                <w:color w:val="000000" w:themeColor="text1"/>
                <w:szCs w:val="21"/>
                <w:highlight w:val="none"/>
                <w:lang w:val="en-US" w:eastAsia="zh-CN"/>
                <w14:textFill>
                  <w14:solidFill>
                    <w14:schemeClr w14:val="tx1"/>
                  </w14:solidFill>
                </w14:textFill>
              </w:rPr>
              <w:t>7分；</w:t>
            </w:r>
            <w:r>
              <w:rPr>
                <w:rFonts w:hint="eastAsia" w:ascii="宋体" w:hAnsi="宋体" w:cs="宋体"/>
                <w:color w:val="000000" w:themeColor="text1"/>
                <w:szCs w:val="21"/>
                <w:highlight w:val="none"/>
                <w:lang w:eastAsia="zh-CN"/>
                <w14:textFill>
                  <w14:solidFill>
                    <w14:schemeClr w14:val="tx1"/>
                  </w14:solidFill>
                </w14:textFill>
              </w:rPr>
              <w:t>服务承诺方案及合理化建议内容欠缺、不具有针对性的得</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分；未提供服务承诺不得分。</w:t>
            </w:r>
          </w:p>
        </w:tc>
      </w:tr>
      <w:tr w14:paraId="320F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12" w:type="dxa"/>
            <w:shd w:val="clear" w:color="auto" w:fill="auto"/>
            <w:vAlign w:val="center"/>
          </w:tcPr>
          <w:p w14:paraId="2D791676">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类似业绩</w:t>
            </w:r>
          </w:p>
        </w:tc>
        <w:tc>
          <w:tcPr>
            <w:tcW w:w="815" w:type="dxa"/>
            <w:shd w:val="clear" w:color="auto" w:fill="auto"/>
            <w:vAlign w:val="center"/>
          </w:tcPr>
          <w:p w14:paraId="14F2D444">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10分</w:t>
            </w:r>
          </w:p>
        </w:tc>
        <w:tc>
          <w:tcPr>
            <w:tcW w:w="7305" w:type="dxa"/>
            <w:shd w:val="clear" w:color="auto" w:fill="auto"/>
            <w:noWrap/>
            <w:vAlign w:val="center"/>
          </w:tcPr>
          <w:p w14:paraId="525283BF">
            <w:pPr>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且具有同类古建物监测类业绩（不限年份），每提供一份计2分，满分10分</w:t>
            </w:r>
          </w:p>
        </w:tc>
      </w:tr>
    </w:tbl>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50"/>
        <w:gridCol w:w="1683"/>
        <w:gridCol w:w="783"/>
        <w:gridCol w:w="4188"/>
      </w:tblGrid>
      <w:tr w14:paraId="6137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597C751">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序号</w:t>
            </w:r>
          </w:p>
        </w:tc>
        <w:tc>
          <w:tcPr>
            <w:tcW w:w="1850" w:type="dxa"/>
            <w:vAlign w:val="center"/>
          </w:tcPr>
          <w:p w14:paraId="52A6BBD9">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情形</w:t>
            </w:r>
          </w:p>
        </w:tc>
        <w:tc>
          <w:tcPr>
            <w:tcW w:w="1683" w:type="dxa"/>
            <w:vAlign w:val="center"/>
          </w:tcPr>
          <w:p w14:paraId="587A4554">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适用对象</w:t>
            </w:r>
          </w:p>
        </w:tc>
        <w:tc>
          <w:tcPr>
            <w:tcW w:w="783" w:type="dxa"/>
            <w:vAlign w:val="center"/>
          </w:tcPr>
          <w:p w14:paraId="20473EB1">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比例</w:t>
            </w:r>
          </w:p>
        </w:tc>
        <w:tc>
          <w:tcPr>
            <w:tcW w:w="4188" w:type="dxa"/>
            <w:vAlign w:val="center"/>
          </w:tcPr>
          <w:p w14:paraId="5287379F">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说明</w:t>
            </w:r>
          </w:p>
        </w:tc>
      </w:tr>
      <w:tr w14:paraId="7C70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7579E14">
            <w:pPr>
              <w:widowControl/>
              <w:jc w:val="center"/>
              <w:textAlignment w:val="center"/>
              <w:rPr>
                <w:rFonts w:hint="default"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w:t>
            </w:r>
          </w:p>
        </w:tc>
        <w:tc>
          <w:tcPr>
            <w:tcW w:w="1850" w:type="dxa"/>
            <w:vAlign w:val="center"/>
          </w:tcPr>
          <w:p w14:paraId="7C607B81">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小型、微型企业，监狱企业，残疾人福利性单位</w:t>
            </w:r>
          </w:p>
        </w:tc>
        <w:tc>
          <w:tcPr>
            <w:tcW w:w="1683" w:type="dxa"/>
            <w:vAlign w:val="center"/>
          </w:tcPr>
          <w:p w14:paraId="6E2A2C57">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投标人或联合体成员均为小型、微型企业</w:t>
            </w:r>
          </w:p>
        </w:tc>
        <w:tc>
          <w:tcPr>
            <w:tcW w:w="783" w:type="dxa"/>
            <w:vAlign w:val="center"/>
          </w:tcPr>
          <w:p w14:paraId="33F09606">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10</w:t>
            </w:r>
            <w:r>
              <w:rPr>
                <w:rFonts w:hint="default" w:ascii="宋体" w:hAnsi="宋体" w:cs="宋体"/>
                <w:color w:val="000000" w:themeColor="text1"/>
                <w:kern w:val="0"/>
                <w:szCs w:val="21"/>
                <w:highlight w:val="none"/>
                <w:lang w:val="en-US" w:eastAsia="zh-CN" w:bidi="ar"/>
                <w14:textFill>
                  <w14:solidFill>
                    <w14:schemeClr w14:val="tx1"/>
                  </w14:solidFill>
                </w14:textFill>
              </w:rPr>
              <w:t>%</w:t>
            </w:r>
          </w:p>
        </w:tc>
        <w:tc>
          <w:tcPr>
            <w:tcW w:w="4188" w:type="dxa"/>
            <w:vAlign w:val="center"/>
          </w:tcPr>
          <w:p w14:paraId="64E03844">
            <w:pPr>
              <w:widowControl/>
              <w:jc w:val="center"/>
              <w:textAlignment w:val="center"/>
              <w:rPr>
                <w:rFonts w:hint="eastAsia" w:ascii="宋体" w:hAnsi="宋体" w:cs="宋体"/>
                <w:color w:val="000000" w:themeColor="text1"/>
                <w:kern w:val="0"/>
                <w:szCs w:val="21"/>
                <w:highlight w:val="none"/>
                <w:lang w:val="en-US" w:eastAsia="zh-CN" w:bidi="ar"/>
                <w14:textFill>
                  <w14:solidFill>
                    <w14:schemeClr w14:val="tx1"/>
                  </w14:solidFill>
                </w14:textFill>
              </w:rPr>
            </w:pPr>
            <w:r>
              <w:rPr>
                <w:rFonts w:hint="eastAsia" w:ascii="宋体" w:hAnsi="宋体" w:cs="宋体"/>
                <w:color w:val="000000" w:themeColor="text1"/>
                <w:kern w:val="0"/>
                <w:szCs w:val="21"/>
                <w:highlight w:val="none"/>
                <w:lang w:val="en-US" w:eastAsia="zh-CN" w:bidi="ar"/>
                <w14:textFill>
                  <w14:solidFill>
                    <w14:schemeClr w14:val="tx1"/>
                  </w14:solidFill>
                </w14:textFill>
              </w:rPr>
              <w:t>对于经主管预算单位 统筹后未预留份额专门面向中小企业采购的采购项目，以及预留份额项目中的非预留部分采购包，对符合《政府采购促进中小企业发展管理办法》（财库〔2020〕</w:t>
            </w:r>
            <w:r>
              <w:rPr>
                <w:rFonts w:hint="default" w:ascii="宋体" w:hAnsi="宋体" w:cs="宋体"/>
                <w:color w:val="000000" w:themeColor="text1"/>
                <w:kern w:val="0"/>
                <w:szCs w:val="21"/>
                <w:highlight w:val="none"/>
                <w:lang w:val="en-US" w:eastAsia="zh-CN" w:bidi="ar"/>
                <w14:textFill>
                  <w14:solidFill>
                    <w14:schemeClr w14:val="tx1"/>
                  </w14:solidFill>
                </w14:textFill>
              </w:rPr>
              <w:t>46</w:t>
            </w:r>
            <w:r>
              <w:rPr>
                <w:rFonts w:hint="eastAsia" w:ascii="宋体" w:hAnsi="宋体" w:cs="宋体"/>
                <w:color w:val="000000" w:themeColor="text1"/>
                <w:kern w:val="0"/>
                <w:szCs w:val="21"/>
                <w:highlight w:val="none"/>
                <w:lang w:val="en-US" w:eastAsia="zh-CN" w:bidi="ar"/>
                <w14:textFill>
                  <w14:solidFill>
                    <w14:schemeClr w14:val="tx1"/>
                  </w14:solidFill>
                </w14:textFill>
              </w:rPr>
              <w:t>号）规定的小微企业报价给予</w:t>
            </w:r>
            <w:r>
              <w:rPr>
                <w:rFonts w:hint="default" w:ascii="宋体" w:hAnsi="宋体" w:cs="宋体"/>
                <w:color w:val="000000" w:themeColor="text1"/>
                <w:kern w:val="0"/>
                <w:szCs w:val="21"/>
                <w:highlight w:val="none"/>
                <w:lang w:val="en-US" w:eastAsia="zh-CN" w:bidi="ar"/>
                <w14:textFill>
                  <w14:solidFill>
                    <w14:schemeClr w14:val="tx1"/>
                  </w14:solidFill>
                </w14:textFill>
              </w:rPr>
              <w:t>C1</w:t>
            </w:r>
            <w:r>
              <w:rPr>
                <w:rFonts w:hint="eastAsia" w:ascii="宋体" w:hAnsi="宋体" w:cs="宋体"/>
                <w:color w:val="000000" w:themeColor="text1"/>
                <w:kern w:val="0"/>
                <w:szCs w:val="21"/>
                <w:highlight w:val="none"/>
                <w:lang w:val="en-US" w:eastAsia="zh-CN" w:bidi="ar"/>
                <w14:textFill>
                  <w14:solidFill>
                    <w14:schemeClr w14:val="tx1"/>
                  </w14:solidFill>
                </w14:textFill>
              </w:rPr>
              <w:t>的扣除，用扣除后的价格参加评审。承接本项目的供应商符合相应条件时，给予</w:t>
            </w:r>
            <w:r>
              <w:rPr>
                <w:rFonts w:hint="default" w:ascii="宋体" w:hAnsi="宋体" w:cs="宋体"/>
                <w:color w:val="000000" w:themeColor="text1"/>
                <w:kern w:val="0"/>
                <w:szCs w:val="21"/>
                <w:highlight w:val="none"/>
                <w:lang w:val="en-US" w:eastAsia="zh-CN" w:bidi="ar"/>
                <w14:textFill>
                  <w14:solidFill>
                    <w14:schemeClr w14:val="tx1"/>
                  </w14:solidFill>
                </w14:textFill>
              </w:rPr>
              <w:t>C1</w:t>
            </w:r>
            <w:r>
              <w:rPr>
                <w:rFonts w:hint="eastAsia" w:ascii="宋体" w:hAnsi="宋体" w:cs="宋体"/>
                <w:color w:val="000000" w:themeColor="text1"/>
                <w:kern w:val="0"/>
                <w:szCs w:val="21"/>
                <w:highlight w:val="none"/>
                <w:lang w:val="en-US" w:eastAsia="zh-CN" w:bidi="ar"/>
                <w14:textFill>
                  <w14:solidFill>
                    <w14:schemeClr w14:val="tx1"/>
                  </w14:solidFill>
                </w14:textFill>
              </w:rPr>
              <w:t>的价格扣除，即：评标价</w:t>
            </w:r>
            <w:r>
              <w:rPr>
                <w:rFonts w:hint="default"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最后报价</w:t>
            </w:r>
            <w:r>
              <w:rPr>
                <w:rFonts w:hint="default" w:ascii="宋体" w:hAnsi="宋体" w:cs="宋体"/>
                <w:color w:val="000000" w:themeColor="text1"/>
                <w:kern w:val="0"/>
                <w:szCs w:val="21"/>
                <w:highlight w:val="none"/>
                <w:lang w:val="en-US" w:eastAsia="zh-CN" w:bidi="ar"/>
                <w14:textFill>
                  <w14:solidFill>
                    <w14:schemeClr w14:val="tx1"/>
                  </w14:solidFill>
                </w14:textFill>
              </w:rPr>
              <w:t>×</w:t>
            </w:r>
            <w:r>
              <w:rPr>
                <w:rFonts w:hint="eastAsia" w:ascii="宋体" w:hAnsi="宋体" w:cs="宋体"/>
                <w:color w:val="000000" w:themeColor="text1"/>
                <w:kern w:val="0"/>
                <w:szCs w:val="21"/>
                <w:highlight w:val="none"/>
                <w:lang w:val="en-US" w:eastAsia="zh-CN" w:bidi="ar"/>
                <w14:textFill>
                  <w14:solidFill>
                    <w14:schemeClr w14:val="tx1"/>
                  </w14:solidFill>
                </w14:textFill>
              </w:rPr>
              <w:t>（</w:t>
            </w:r>
            <w:r>
              <w:rPr>
                <w:rFonts w:hint="default" w:ascii="宋体" w:hAnsi="宋体" w:cs="宋体"/>
                <w:color w:val="000000" w:themeColor="text1"/>
                <w:kern w:val="0"/>
                <w:szCs w:val="21"/>
                <w:highlight w:val="none"/>
                <w:lang w:val="en-US" w:eastAsia="zh-CN" w:bidi="ar"/>
                <w14:textFill>
                  <w14:solidFill>
                    <w14:schemeClr w14:val="tx1"/>
                  </w14:solidFill>
                </w14:textFill>
              </w:rPr>
              <w:t>1-C1</w:t>
            </w:r>
            <w:r>
              <w:rPr>
                <w:rFonts w:hint="eastAsia" w:ascii="宋体" w:hAnsi="宋体" w:cs="宋体"/>
                <w:color w:val="000000" w:themeColor="text1"/>
                <w:kern w:val="0"/>
                <w:szCs w:val="21"/>
                <w:highlight w:val="none"/>
                <w:lang w:val="en-US" w:eastAsia="zh-CN" w:bidi="ar"/>
                <w14:textFill>
                  <w14:solidFill>
                    <w14:schemeClr w14:val="tx1"/>
                  </w14:solidFill>
                </w14:textFill>
              </w:rPr>
              <w:t>）监狱企业与残疾人福利性单位视同小型、微型企业，享受同等价格扣除，当企业属性重复时，不重复价格扣除</w:t>
            </w:r>
          </w:p>
        </w:tc>
      </w:tr>
    </w:tbl>
    <w:p w14:paraId="22D49165">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推荐成交候选供应商名单：磋商小组根据以上内容进行综合比较，自主打分，技术部分得分为磋商小组所有专家赋分的平均分，报价及技术部分得分均四舍五入保留两位小数，最终按照综合得分由高到低进行排序，推荐出成交候选单位。磋商小组依据评审结果写出评审报告。</w:t>
      </w:r>
    </w:p>
    <w:p w14:paraId="54273418">
      <w:pPr>
        <w:spacing w:line="46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9.需要落实的政府采购政策</w:t>
      </w:r>
    </w:p>
    <w:p w14:paraId="2C73330A">
      <w:pPr>
        <w:spacing w:line="460" w:lineRule="exact"/>
        <w:ind w:firstLine="420" w:firstLineChars="200"/>
        <w:rPr>
          <w:rFonts w:ascii="宋体" w:hAnsi="宋体"/>
          <w:color w:val="000000" w:themeColor="text1"/>
          <w:szCs w:val="21"/>
          <w:highlight w:val="none"/>
          <w14:textFill>
            <w14:solidFill>
              <w14:schemeClr w14:val="tx1"/>
            </w14:solidFill>
          </w14:textFill>
        </w:rPr>
      </w:pPr>
      <w:bookmarkStart w:id="22" w:name="_Toc32115"/>
      <w:r>
        <w:rPr>
          <w:rFonts w:hint="eastAsia" w:ascii="宋体" w:hAnsi="宋体"/>
          <w:color w:val="000000" w:themeColor="text1"/>
          <w:szCs w:val="21"/>
          <w:highlight w:val="none"/>
          <w14:textFill>
            <w14:solidFill>
              <w14:schemeClr w14:val="tx1"/>
            </w14:solidFill>
          </w14:textFill>
        </w:rPr>
        <w:t>（1）关于印发《政府采购促进中小企业发展管理办法》的通知--财库[2020]46号</w:t>
      </w:r>
    </w:p>
    <w:p w14:paraId="4B906D63">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（2）财政部司法部关于政府采购支持监狱企业发展有关问题的通知--财库〔2014〕68号 </w:t>
      </w:r>
    </w:p>
    <w:p w14:paraId="72B0F7BD">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（3）《关于政府采购优先购买福利性企业产品和服务的意见》（陕民发（2015）1号）</w:t>
      </w:r>
    </w:p>
    <w:p w14:paraId="4C31B68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根据《关于政府采购优先购买福利性企业产品和服务的意见》（陕民发（2015）1号）规定，在政府采购活动中，本省福利性企业享受我省规定的采购扶持政策。</w:t>
      </w:r>
    </w:p>
    <w:p w14:paraId="285CFF96">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（4）《国务院办公厅关于建立政府强制采购节能产品制度的通知》--国办发〔2007〕51号</w:t>
      </w:r>
    </w:p>
    <w:p w14:paraId="5BA917E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各级政府机构使用财政性资金进行政府采购活动时，在技术、服务等指标满足采购需求的前提下，要优先采购节能产品，对部分节能效果、性能等达到要求的产品，实行强制采购。</w:t>
      </w:r>
    </w:p>
    <w:p w14:paraId="7E2B9DEF">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（5）《节能产品政府采购实施意见》--（财库[2004]185号）</w:t>
      </w:r>
    </w:p>
    <w:p w14:paraId="0AD40D2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根据《节能产品政府采购实施意见》--（财库[2004]185号）规定，政府采购属于节能清单中产品时，在技术、服务等指标同等条件下，应当优先采购节能清单所列的节能产品。</w:t>
      </w:r>
    </w:p>
    <w:p w14:paraId="54136F48">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提供有效证明材料（证明材料须加盖供应商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14:paraId="0DDAB9C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（6）《环境标志产品政府采购实施的意见》--财库[2006]90号</w:t>
      </w:r>
    </w:p>
    <w:p w14:paraId="65AAD81B">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根据《环境标志产品政府采购实施的意见》--财库[2006]90号规定，采购人采购的产品属于清单中品目的，在性能、技术、服务等指标同等条件下，应当优先采购清单中的产品。</w:t>
      </w:r>
    </w:p>
    <w:p w14:paraId="4325D371">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应提供有效证明材料（证明材料须加盖供应商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173C33B0">
      <w:pPr>
        <w:spacing w:line="46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（7）《关于促进残疾人就业政府采购政策的通知》--财库〔2017〕144号</w:t>
      </w:r>
    </w:p>
    <w:p w14:paraId="527168D1">
      <w:pPr>
        <w:spacing w:line="460" w:lineRule="exact"/>
        <w:ind w:firstLine="420" w:firstLineChars="200"/>
        <w:rPr>
          <w:rFonts w:ascii="宋体" w:hAnsi="宋体"/>
          <w:szCs w:val="21"/>
          <w:highlight w:val="none"/>
        </w:rPr>
      </w:pPr>
      <w:r>
        <w:rPr>
          <w:rFonts w:hint="eastAsia" w:ascii="宋体" w:hAnsi="宋体"/>
          <w:color w:val="000000" w:themeColor="text1"/>
          <w:szCs w:val="21"/>
          <w:highlight w:val="none"/>
          <w14:textFill>
            <w14:solidFill>
              <w14:schemeClr w14:val="tx1"/>
            </w14:solidFill>
          </w14:textFill>
        </w:rPr>
        <w:t>符合条件的残疾人福利性单位在参加政府采购活动时，应提供本通知规定的《残疾人福利性单位声明函》，并对声明的真实</w:t>
      </w:r>
      <w:r>
        <w:rPr>
          <w:rFonts w:hint="eastAsia" w:ascii="宋体" w:hAnsi="宋体"/>
          <w:szCs w:val="21"/>
          <w:highlight w:val="none"/>
        </w:rPr>
        <w:t>性负责。</w:t>
      </w:r>
    </w:p>
    <w:p w14:paraId="1AB5BED3">
      <w:pPr>
        <w:spacing w:line="460" w:lineRule="exact"/>
        <w:ind w:firstLine="420" w:firstLineChars="200"/>
        <w:rPr>
          <w:rFonts w:ascii="宋体" w:hAnsi="宋体"/>
          <w:szCs w:val="21"/>
          <w:highlight w:val="none"/>
        </w:rPr>
      </w:pPr>
      <w:r>
        <w:rPr>
          <w:rFonts w:hint="eastAsia" w:ascii="宋体" w:hAnsi="宋体"/>
          <w:szCs w:val="21"/>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159A23F">
      <w:pPr>
        <w:spacing w:line="460" w:lineRule="exact"/>
        <w:ind w:firstLine="420" w:firstLineChars="200"/>
        <w:rPr>
          <w:rFonts w:ascii="宋体" w:hAnsi="宋体"/>
          <w:szCs w:val="21"/>
          <w:highlight w:val="none"/>
        </w:rPr>
      </w:pPr>
      <w:r>
        <w:rPr>
          <w:rFonts w:hint="eastAsia" w:ascii="宋体" w:hAnsi="宋体"/>
          <w:szCs w:val="21"/>
          <w:highlight w:val="none"/>
        </w:rPr>
        <w:t>（8）政府采购支持脱贫攻坚政策</w:t>
      </w:r>
    </w:p>
    <w:p w14:paraId="291280DA">
      <w:pPr>
        <w:spacing w:line="460" w:lineRule="exact"/>
        <w:ind w:firstLine="420" w:firstLineChars="200"/>
        <w:rPr>
          <w:rFonts w:ascii="宋体" w:hAnsi="宋体"/>
          <w:szCs w:val="21"/>
          <w:highlight w:val="none"/>
        </w:rPr>
      </w:pPr>
      <w:r>
        <w:rPr>
          <w:rFonts w:hint="eastAsia" w:ascii="宋体" w:hAnsi="宋体"/>
          <w:szCs w:val="21"/>
          <w:highlight w:val="none"/>
        </w:rPr>
        <w:t>优先采购贫困地区农副产品和物业服务、采购农副产品的，同等条件下应优先采购贫困地区农副产品。使用财政资金采购物业服务的，有条件的应当优先采购注册地在832个国家级贫困县域内，且聘用建档立卡贫困县人员物业公司提供的物业服务。</w:t>
      </w:r>
    </w:p>
    <w:p w14:paraId="46EDB9DC">
      <w:pPr>
        <w:spacing w:line="460" w:lineRule="exact"/>
        <w:ind w:firstLine="420" w:firstLineChars="200"/>
        <w:rPr>
          <w:rFonts w:ascii="宋体" w:hAnsi="宋体"/>
          <w:szCs w:val="21"/>
          <w:highlight w:val="none"/>
        </w:rPr>
      </w:pPr>
      <w:r>
        <w:rPr>
          <w:rFonts w:hint="eastAsia" w:ascii="宋体" w:hAnsi="宋体"/>
          <w:szCs w:val="21"/>
          <w:highlight w:val="none"/>
        </w:rPr>
        <w:t>（9）关于陕西省中小企业政府采购信用融资政策</w:t>
      </w:r>
    </w:p>
    <w:p w14:paraId="59FE4566">
      <w:pPr>
        <w:spacing w:line="460" w:lineRule="exact"/>
        <w:ind w:firstLine="420" w:firstLineChars="200"/>
        <w:rPr>
          <w:rFonts w:ascii="宋体" w:hAnsi="宋体"/>
          <w:szCs w:val="21"/>
          <w:highlight w:val="none"/>
        </w:rPr>
      </w:pPr>
      <w:r>
        <w:rPr>
          <w:rFonts w:hint="eastAsia" w:ascii="宋体" w:hAnsi="宋体"/>
          <w:szCs w:val="21"/>
          <w:highlight w:val="none"/>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14:paraId="02E244C7">
      <w:pPr>
        <w:spacing w:line="460" w:lineRule="exact"/>
        <w:ind w:firstLine="420" w:firstLineChars="200"/>
        <w:rPr>
          <w:rFonts w:ascii="宋体" w:hAnsi="宋体"/>
          <w:szCs w:val="21"/>
          <w:highlight w:val="none"/>
        </w:rPr>
      </w:pPr>
      <w:r>
        <w:rPr>
          <w:rFonts w:hint="eastAsia" w:ascii="宋体" w:hAnsi="宋体"/>
          <w:szCs w:val="21"/>
          <w:highlight w:val="none"/>
        </w:rPr>
        <w:t>（10）《关于进一步加大政府采购支持中小企业力度的通知》财库〔2022〕19号。</w:t>
      </w:r>
    </w:p>
    <w:p w14:paraId="282103AF">
      <w:pPr>
        <w:spacing w:line="460" w:lineRule="exact"/>
        <w:ind w:firstLine="420" w:firstLineChars="200"/>
        <w:rPr>
          <w:rFonts w:ascii="宋体" w:hAnsi="宋体"/>
          <w:szCs w:val="21"/>
          <w:highlight w:val="none"/>
        </w:rPr>
      </w:pPr>
      <w:r>
        <w:rPr>
          <w:rFonts w:hint="eastAsia" w:ascii="宋体" w:hAnsi="宋体"/>
          <w:szCs w:val="21"/>
          <w:highlight w:val="none"/>
        </w:rPr>
        <w:t>（11）关于陕西省中小企业政府采购信用融资政策。</w:t>
      </w:r>
    </w:p>
    <w:p w14:paraId="7D285E57">
      <w:pPr>
        <w:spacing w:line="460" w:lineRule="exact"/>
        <w:ind w:firstLine="420" w:firstLineChars="200"/>
        <w:rPr>
          <w:rFonts w:ascii="宋体" w:hAnsi="宋体" w:cs="宋体"/>
          <w:highlight w:val="none"/>
        </w:rPr>
      </w:pPr>
      <w:r>
        <w:rPr>
          <w:rFonts w:hint="eastAsia" w:ascii="宋体" w:hAnsi="宋体"/>
          <w:szCs w:val="21"/>
          <w:highlight w:val="none"/>
        </w:rPr>
        <w:t>供应商应如实提供以上证明文件，如存在虚假应标，将取消其投标资格。</w:t>
      </w:r>
    </w:p>
    <w:p w14:paraId="01B8B9F1">
      <w:pPr>
        <w:spacing w:line="460" w:lineRule="exact"/>
        <w:ind w:firstLine="420" w:firstLineChars="200"/>
        <w:outlineLvl w:val="0"/>
        <w:rPr>
          <w:rFonts w:ascii="宋体" w:hAnsi="宋体"/>
          <w:b/>
          <w:szCs w:val="21"/>
          <w:highlight w:val="none"/>
        </w:rPr>
      </w:pPr>
      <w:bookmarkStart w:id="23" w:name="_Toc133244825"/>
      <w:bookmarkStart w:id="24" w:name="_Toc133244599"/>
      <w:r>
        <w:rPr>
          <w:rFonts w:hint="eastAsia" w:ascii="宋体" w:hAnsi="宋体"/>
          <w:b/>
          <w:szCs w:val="21"/>
          <w:highlight w:val="none"/>
        </w:rPr>
        <w:t>七、确定成交单位</w:t>
      </w:r>
      <w:bookmarkEnd w:id="22"/>
      <w:bookmarkEnd w:id="23"/>
      <w:bookmarkEnd w:id="24"/>
    </w:p>
    <w:p w14:paraId="6A9AB6E1">
      <w:pPr>
        <w:spacing w:line="460" w:lineRule="exact"/>
        <w:ind w:firstLine="420" w:firstLineChars="200"/>
        <w:rPr>
          <w:rFonts w:ascii="宋体" w:hAnsi="宋体"/>
          <w:szCs w:val="21"/>
          <w:highlight w:val="none"/>
        </w:rPr>
      </w:pPr>
      <w:r>
        <w:rPr>
          <w:rFonts w:hint="eastAsia" w:ascii="宋体" w:hAnsi="宋体"/>
          <w:szCs w:val="21"/>
          <w:highlight w:val="none"/>
        </w:rPr>
        <w:t>1.采购代理机构应在评审结束后两个工作日内，将评审报告送采购人确定成交单位。</w:t>
      </w:r>
    </w:p>
    <w:p w14:paraId="6A07BDE5">
      <w:pPr>
        <w:spacing w:line="460" w:lineRule="exact"/>
        <w:ind w:firstLine="420" w:firstLineChars="200"/>
        <w:rPr>
          <w:rFonts w:ascii="宋体" w:hAnsi="宋体"/>
          <w:szCs w:val="21"/>
          <w:highlight w:val="none"/>
        </w:rPr>
      </w:pPr>
      <w:r>
        <w:rPr>
          <w:rFonts w:hint="eastAsia" w:ascii="宋体" w:hAnsi="宋体"/>
          <w:szCs w:val="21"/>
          <w:highlight w:val="none"/>
        </w:rPr>
        <w:t>2.采购人在收到评审报告后五个工作日内，根据评审报告对评审过程及结果进行严格审核后确定成交供应商，复函采购代理机构。</w:t>
      </w:r>
    </w:p>
    <w:p w14:paraId="3B153BF0">
      <w:pPr>
        <w:spacing w:line="460" w:lineRule="exact"/>
        <w:ind w:firstLine="420" w:firstLineChars="200"/>
        <w:rPr>
          <w:rFonts w:ascii="宋体" w:hAnsi="宋体"/>
          <w:szCs w:val="21"/>
          <w:highlight w:val="none"/>
        </w:rPr>
      </w:pPr>
      <w:r>
        <w:rPr>
          <w:rFonts w:hint="eastAsia" w:ascii="宋体" w:hAnsi="宋体"/>
          <w:szCs w:val="21"/>
          <w:highlight w:val="none"/>
        </w:rPr>
        <w:t>3.采购代理机构在接到采购人的成交复函后，在公告发布媒体发布成交供应商公示并向成交供应商发出“成交通知书”。</w:t>
      </w:r>
    </w:p>
    <w:p w14:paraId="5CA6AC3E">
      <w:pPr>
        <w:spacing w:line="460" w:lineRule="exact"/>
        <w:ind w:firstLine="420" w:firstLineChars="200"/>
        <w:outlineLvl w:val="0"/>
        <w:rPr>
          <w:rFonts w:ascii="宋体" w:hAnsi="宋体"/>
          <w:b/>
          <w:szCs w:val="21"/>
          <w:highlight w:val="none"/>
        </w:rPr>
      </w:pPr>
      <w:bookmarkStart w:id="25" w:name="_Toc133244826"/>
      <w:bookmarkStart w:id="26" w:name="_Toc133244600"/>
      <w:bookmarkStart w:id="27" w:name="_Toc17812"/>
      <w:r>
        <w:rPr>
          <w:rFonts w:hint="eastAsia" w:ascii="宋体" w:hAnsi="宋体"/>
          <w:b/>
          <w:szCs w:val="21"/>
          <w:highlight w:val="none"/>
        </w:rPr>
        <w:t>八、询问与质疑</w:t>
      </w:r>
      <w:bookmarkEnd w:id="25"/>
      <w:bookmarkEnd w:id="26"/>
      <w:bookmarkEnd w:id="27"/>
    </w:p>
    <w:p w14:paraId="14C9B7E4">
      <w:pPr>
        <w:spacing w:line="460" w:lineRule="exact"/>
        <w:ind w:firstLine="420" w:firstLineChars="200"/>
        <w:rPr>
          <w:rFonts w:ascii="宋体" w:hAnsi="宋体"/>
          <w:szCs w:val="21"/>
          <w:highlight w:val="none"/>
        </w:rPr>
      </w:pPr>
      <w:r>
        <w:rPr>
          <w:rFonts w:hint="eastAsia" w:ascii="宋体" w:hAnsi="宋体"/>
          <w:szCs w:val="21"/>
          <w:highlight w:val="none"/>
        </w:rPr>
        <w:t>1.供应商认为采购文件、采购过程和成交结果使自己的权益受到损害的，按照相关法律法规的规定，可以在知道或者应知其权益受到损害之日起七个工作日内，以书面形式向采购代理机构提出询问或质疑。</w:t>
      </w:r>
    </w:p>
    <w:p w14:paraId="1F3834B9">
      <w:pPr>
        <w:spacing w:line="460" w:lineRule="exact"/>
        <w:ind w:firstLine="420" w:firstLineChars="200"/>
        <w:rPr>
          <w:rFonts w:ascii="宋体" w:hAnsi="宋体"/>
          <w:szCs w:val="21"/>
          <w:highlight w:val="none"/>
        </w:rPr>
      </w:pPr>
      <w:r>
        <w:rPr>
          <w:rFonts w:hint="eastAsia" w:ascii="宋体" w:hAnsi="宋体"/>
          <w:szCs w:val="21"/>
          <w:highlight w:val="none"/>
        </w:rPr>
        <w:t>2.供应商应知其权益受到损害之日，是指：</w:t>
      </w:r>
    </w:p>
    <w:p w14:paraId="0961F754">
      <w:pPr>
        <w:spacing w:line="460" w:lineRule="exact"/>
        <w:ind w:firstLine="420" w:firstLineChars="200"/>
        <w:rPr>
          <w:rFonts w:ascii="宋体" w:hAnsi="宋体"/>
          <w:szCs w:val="21"/>
          <w:highlight w:val="none"/>
        </w:rPr>
      </w:pPr>
      <w:r>
        <w:rPr>
          <w:rFonts w:hint="eastAsia" w:ascii="宋体" w:hAnsi="宋体"/>
          <w:szCs w:val="21"/>
          <w:highlight w:val="none"/>
        </w:rPr>
        <w:t>2.1对可以质疑的采购文件提出质疑的，为收到采购文件之日或者采购文件公告期限届满之日；</w:t>
      </w:r>
    </w:p>
    <w:p w14:paraId="05A70438">
      <w:pPr>
        <w:spacing w:line="460" w:lineRule="exact"/>
        <w:ind w:firstLine="420" w:firstLineChars="200"/>
        <w:rPr>
          <w:rFonts w:ascii="宋体" w:hAnsi="宋体"/>
          <w:szCs w:val="21"/>
          <w:highlight w:val="none"/>
        </w:rPr>
      </w:pPr>
      <w:r>
        <w:rPr>
          <w:rFonts w:hint="eastAsia" w:ascii="宋体" w:hAnsi="宋体"/>
          <w:szCs w:val="21"/>
          <w:highlight w:val="none"/>
        </w:rPr>
        <w:t>2.2对采购过程提出质疑的，为各采购程序环节结束之日；</w:t>
      </w:r>
    </w:p>
    <w:p w14:paraId="5C9E479F">
      <w:pPr>
        <w:spacing w:line="460" w:lineRule="exact"/>
        <w:ind w:firstLine="420" w:firstLineChars="200"/>
        <w:rPr>
          <w:rFonts w:ascii="宋体" w:hAnsi="宋体"/>
          <w:szCs w:val="21"/>
          <w:highlight w:val="none"/>
        </w:rPr>
      </w:pPr>
      <w:r>
        <w:rPr>
          <w:rFonts w:hint="eastAsia" w:ascii="宋体" w:hAnsi="宋体"/>
          <w:szCs w:val="21"/>
          <w:highlight w:val="none"/>
        </w:rPr>
        <w:t>2.3对成交结果提出质疑的，为收到未成交的通知之日。</w:t>
      </w:r>
    </w:p>
    <w:p w14:paraId="294CF1A8">
      <w:pPr>
        <w:spacing w:line="460" w:lineRule="exact"/>
        <w:ind w:firstLine="420" w:firstLineChars="200"/>
        <w:rPr>
          <w:rFonts w:ascii="宋体" w:hAnsi="宋体"/>
          <w:szCs w:val="21"/>
          <w:highlight w:val="none"/>
        </w:rPr>
      </w:pPr>
      <w:r>
        <w:rPr>
          <w:rFonts w:hint="eastAsia" w:ascii="宋体" w:hAnsi="宋体"/>
          <w:szCs w:val="21"/>
          <w:highlight w:val="none"/>
        </w:rPr>
        <w:t>3.供应商提出质疑时须有明确的请求和相应的证明材料。</w:t>
      </w:r>
    </w:p>
    <w:p w14:paraId="47FD256A">
      <w:pPr>
        <w:spacing w:line="460" w:lineRule="exact"/>
        <w:ind w:firstLine="420" w:firstLineChars="200"/>
        <w:rPr>
          <w:rFonts w:ascii="宋体" w:hAnsi="宋体"/>
          <w:szCs w:val="21"/>
          <w:highlight w:val="none"/>
        </w:rPr>
      </w:pPr>
      <w:r>
        <w:rPr>
          <w:rFonts w:hint="eastAsia" w:ascii="宋体" w:hAnsi="宋体"/>
          <w:szCs w:val="21"/>
          <w:highlight w:val="none"/>
        </w:rPr>
        <w:t>4.采购代理机构对受理的质疑，按照法定程序，将予以答复。供应商进行虚假和恶意质疑的，采购代理机构将提供相关资料报监督机构，按其情况进行相应处理。</w:t>
      </w:r>
    </w:p>
    <w:p w14:paraId="0DA6A08C">
      <w:pPr>
        <w:spacing w:line="460" w:lineRule="exact"/>
        <w:ind w:firstLine="420" w:firstLineChars="200"/>
        <w:outlineLvl w:val="0"/>
        <w:rPr>
          <w:rFonts w:ascii="宋体" w:hAnsi="宋体"/>
          <w:b/>
          <w:szCs w:val="21"/>
          <w:highlight w:val="none"/>
        </w:rPr>
      </w:pPr>
      <w:bookmarkStart w:id="28" w:name="_Toc133244827"/>
      <w:bookmarkStart w:id="29" w:name="_Toc11444"/>
      <w:bookmarkStart w:id="30" w:name="_Toc133244601"/>
      <w:r>
        <w:rPr>
          <w:rFonts w:hint="eastAsia" w:ascii="宋体" w:hAnsi="宋体"/>
          <w:b/>
          <w:szCs w:val="21"/>
          <w:highlight w:val="none"/>
        </w:rPr>
        <w:t>九、合同</w:t>
      </w:r>
      <w:bookmarkEnd w:id="28"/>
      <w:bookmarkEnd w:id="29"/>
      <w:bookmarkEnd w:id="30"/>
    </w:p>
    <w:p w14:paraId="6D4769D2">
      <w:pPr>
        <w:spacing w:line="460" w:lineRule="exact"/>
        <w:ind w:firstLine="420" w:firstLineChars="200"/>
        <w:rPr>
          <w:rFonts w:ascii="宋体" w:hAnsi="宋体"/>
          <w:szCs w:val="21"/>
          <w:highlight w:val="none"/>
        </w:rPr>
      </w:pPr>
      <w:r>
        <w:rPr>
          <w:rFonts w:hint="eastAsia" w:ascii="宋体" w:hAnsi="宋体"/>
          <w:szCs w:val="21"/>
          <w:highlight w:val="none"/>
        </w:rPr>
        <w:t>1.自成交通知书发出后三十日内，按照竞争性磋商文件和成交供应商响应文件的约定，采购人与成交供应商洽谈合同条款，并签订合同。竞争性磋商文件及成交供应商的响应文件均作为合同的组成部分。</w:t>
      </w:r>
    </w:p>
    <w:p w14:paraId="195F8F7C">
      <w:pPr>
        <w:spacing w:line="460" w:lineRule="exact"/>
        <w:ind w:firstLine="420" w:firstLineChars="200"/>
        <w:rPr>
          <w:rFonts w:ascii="宋体" w:hAnsi="宋体"/>
          <w:szCs w:val="21"/>
          <w:highlight w:val="none"/>
        </w:rPr>
      </w:pPr>
      <w:r>
        <w:rPr>
          <w:rFonts w:hint="eastAsia" w:ascii="宋体" w:hAnsi="宋体"/>
          <w:szCs w:val="21"/>
          <w:highlight w:val="none"/>
        </w:rPr>
        <w:t>2.确定成交单位后，成交供应商因自身原因未按程序签订合同，采购人将取消其成交资格。在此情况下，采购人可按评审结果顺序将合同授予下一成交候选人或重新采购。</w:t>
      </w:r>
    </w:p>
    <w:p w14:paraId="3C40C054">
      <w:pPr>
        <w:spacing w:line="460" w:lineRule="exact"/>
        <w:ind w:firstLine="420" w:firstLineChars="200"/>
        <w:outlineLvl w:val="0"/>
        <w:rPr>
          <w:rFonts w:ascii="宋体" w:hAnsi="宋体"/>
          <w:b/>
          <w:szCs w:val="21"/>
          <w:highlight w:val="none"/>
        </w:rPr>
      </w:pPr>
      <w:bookmarkStart w:id="31" w:name="_Toc133244602"/>
      <w:bookmarkStart w:id="32" w:name="_Toc133244828"/>
      <w:bookmarkStart w:id="33" w:name="_Toc571"/>
      <w:r>
        <w:rPr>
          <w:rFonts w:hint="eastAsia" w:ascii="宋体" w:hAnsi="宋体"/>
          <w:b/>
          <w:szCs w:val="21"/>
          <w:highlight w:val="none"/>
        </w:rPr>
        <w:t>十、代理费用收取标准及方式</w:t>
      </w:r>
      <w:bookmarkEnd w:id="31"/>
      <w:bookmarkEnd w:id="32"/>
      <w:bookmarkEnd w:id="33"/>
    </w:p>
    <w:p w14:paraId="5E910D5D">
      <w:pPr>
        <w:spacing w:line="460" w:lineRule="exact"/>
        <w:ind w:firstLine="420" w:firstLineChars="200"/>
        <w:rPr>
          <w:rFonts w:ascii="宋体" w:hAnsi="宋体"/>
          <w:bCs/>
          <w:szCs w:val="21"/>
          <w:highlight w:val="none"/>
        </w:rPr>
      </w:pPr>
      <w:r>
        <w:rPr>
          <w:rFonts w:hint="eastAsia" w:ascii="宋体" w:hAnsi="宋体"/>
          <w:bCs/>
          <w:szCs w:val="21"/>
          <w:highlight w:val="none"/>
        </w:rPr>
        <w:t>1、代理服务费金额：5000元。</w:t>
      </w:r>
    </w:p>
    <w:p w14:paraId="02EEDB09">
      <w:pPr>
        <w:spacing w:line="460" w:lineRule="exact"/>
        <w:ind w:firstLine="420" w:firstLineChars="200"/>
        <w:rPr>
          <w:rFonts w:ascii="宋体" w:hAnsi="宋体"/>
          <w:bCs/>
          <w:szCs w:val="21"/>
          <w:highlight w:val="none"/>
        </w:rPr>
      </w:pPr>
      <w:r>
        <w:rPr>
          <w:rFonts w:hint="eastAsia" w:ascii="宋体" w:hAnsi="宋体"/>
          <w:bCs/>
          <w:szCs w:val="21"/>
          <w:highlight w:val="none"/>
        </w:rPr>
        <w:t xml:space="preserve">2、代理服务费的收取方式：成交供应商在领取成交通知书之前采用转账方式支付。受托人应在成交人支付代理服务费后提供等额合法税票。 </w:t>
      </w:r>
    </w:p>
    <w:p w14:paraId="657BFAA5">
      <w:pPr>
        <w:spacing w:line="460" w:lineRule="exact"/>
        <w:ind w:firstLine="420" w:firstLineChars="200"/>
        <w:rPr>
          <w:rFonts w:ascii="宋体" w:hAnsi="宋体"/>
          <w:szCs w:val="21"/>
          <w:highlight w:val="none"/>
        </w:rPr>
      </w:pPr>
      <w:r>
        <w:rPr>
          <w:rFonts w:hint="eastAsia" w:ascii="宋体" w:hAnsi="宋体"/>
          <w:szCs w:val="21"/>
          <w:highlight w:val="none"/>
        </w:rPr>
        <w:t>3.成交单位服务费交纳信息</w:t>
      </w:r>
    </w:p>
    <w:p w14:paraId="1CC7627E">
      <w:pPr>
        <w:spacing w:line="460" w:lineRule="exact"/>
        <w:ind w:firstLine="420" w:firstLineChars="200"/>
        <w:rPr>
          <w:rFonts w:ascii="宋体" w:hAnsi="宋体"/>
          <w:szCs w:val="21"/>
          <w:highlight w:val="none"/>
        </w:rPr>
      </w:pPr>
      <w:r>
        <w:rPr>
          <w:rFonts w:hint="eastAsia" w:ascii="宋体" w:hAnsi="宋体"/>
          <w:szCs w:val="21"/>
          <w:highlight w:val="none"/>
        </w:rPr>
        <w:t>银行户名：陕西海佳项目管理有限公司</w:t>
      </w:r>
    </w:p>
    <w:p w14:paraId="5AC7B560">
      <w:pPr>
        <w:spacing w:line="460" w:lineRule="exact"/>
        <w:ind w:firstLine="420" w:firstLineChars="200"/>
        <w:rPr>
          <w:rFonts w:ascii="宋体" w:hAnsi="宋体"/>
          <w:szCs w:val="21"/>
          <w:highlight w:val="none"/>
        </w:rPr>
      </w:pPr>
      <w:r>
        <w:rPr>
          <w:rFonts w:hint="eastAsia" w:ascii="宋体" w:hAnsi="宋体"/>
          <w:szCs w:val="21"/>
          <w:highlight w:val="none"/>
        </w:rPr>
        <w:t>开户银行：招商银行股份有限公司西安城西支行</w:t>
      </w:r>
    </w:p>
    <w:p w14:paraId="4897EF3D">
      <w:pPr>
        <w:spacing w:line="460" w:lineRule="exact"/>
        <w:ind w:firstLine="420" w:firstLineChars="200"/>
        <w:rPr>
          <w:rFonts w:ascii="宋体" w:hAnsi="宋体"/>
          <w:szCs w:val="21"/>
          <w:highlight w:val="none"/>
        </w:rPr>
      </w:pPr>
      <w:r>
        <w:rPr>
          <w:rFonts w:hint="eastAsia" w:ascii="宋体" w:hAnsi="宋体"/>
          <w:szCs w:val="21"/>
          <w:highlight w:val="none"/>
        </w:rPr>
        <w:t>账    号：129911759510401</w:t>
      </w:r>
    </w:p>
    <w:p w14:paraId="5BB3FB0D">
      <w:pPr>
        <w:spacing w:line="4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王工</w:t>
      </w:r>
      <w:r>
        <w:rPr>
          <w:rFonts w:hint="eastAsia" w:ascii="宋体" w:hAnsi="宋体"/>
          <w:szCs w:val="21"/>
          <w:highlight w:val="none"/>
        </w:rPr>
        <w:t xml:space="preserve">   联系电话：</w:t>
      </w:r>
      <w:r>
        <w:rPr>
          <w:rFonts w:hint="eastAsia" w:ascii="宋体" w:hAnsi="宋体"/>
          <w:szCs w:val="21"/>
          <w:highlight w:val="none"/>
          <w:lang w:val="en-US" w:eastAsia="zh-CN"/>
        </w:rPr>
        <w:t>13319210869</w:t>
      </w:r>
    </w:p>
    <w:p w14:paraId="7F74A558">
      <w:pPr>
        <w:spacing w:line="460" w:lineRule="exact"/>
        <w:ind w:firstLine="420" w:firstLineChars="200"/>
        <w:outlineLvl w:val="0"/>
        <w:rPr>
          <w:rFonts w:ascii="宋体" w:hAnsi="宋体"/>
          <w:b/>
          <w:bCs/>
          <w:szCs w:val="21"/>
          <w:highlight w:val="none"/>
        </w:rPr>
      </w:pPr>
      <w:bookmarkStart w:id="34" w:name="_Toc133244603"/>
      <w:bookmarkStart w:id="35" w:name="_Toc17573"/>
      <w:bookmarkStart w:id="36" w:name="_Toc133244829"/>
      <w:r>
        <w:rPr>
          <w:rFonts w:hint="eastAsia" w:ascii="宋体" w:hAnsi="宋体"/>
          <w:b/>
          <w:bCs/>
          <w:szCs w:val="21"/>
          <w:highlight w:val="none"/>
        </w:rPr>
        <w:t>十一、其它</w:t>
      </w:r>
      <w:bookmarkEnd w:id="34"/>
      <w:bookmarkEnd w:id="35"/>
      <w:bookmarkEnd w:id="36"/>
    </w:p>
    <w:p w14:paraId="2A2100D5">
      <w:pPr>
        <w:spacing w:line="460" w:lineRule="exact"/>
        <w:ind w:firstLine="420" w:firstLineChars="200"/>
        <w:rPr>
          <w:rFonts w:ascii="宋体" w:hAnsi="宋体"/>
          <w:szCs w:val="21"/>
          <w:highlight w:val="none"/>
        </w:rPr>
      </w:pPr>
      <w:r>
        <w:rPr>
          <w:rFonts w:hint="eastAsia" w:ascii="宋体" w:hAnsi="宋体"/>
          <w:szCs w:val="21"/>
          <w:highlight w:val="none"/>
        </w:rPr>
        <w:t>磋商截止时间结束后，递交响应文件或者经评审的实质性响应竞争性磋商文件的供应商不足三家，采购代理机构请示监督机构后，终止竞争性磋商活动或继续磋商。</w:t>
      </w:r>
    </w:p>
    <w:p w14:paraId="1DC6C4CC">
      <w:pPr>
        <w:spacing w:line="460" w:lineRule="exact"/>
        <w:jc w:val="center"/>
        <w:rPr>
          <w:rFonts w:ascii="宋体" w:hAnsi="宋体"/>
          <w:b/>
          <w:szCs w:val="21"/>
          <w:highlight w:val="none"/>
        </w:rPr>
      </w:pPr>
      <w:r>
        <w:rPr>
          <w:rFonts w:ascii="宋体" w:hAnsi="宋体"/>
          <w:b/>
          <w:szCs w:val="21"/>
          <w:highlight w:val="none"/>
        </w:rPr>
        <w:br w:type="page"/>
      </w:r>
    </w:p>
    <w:p w14:paraId="14AE0733">
      <w:pPr>
        <w:numPr>
          <w:ilvl w:val="0"/>
          <w:numId w:val="1"/>
        </w:numPr>
        <w:spacing w:line="460" w:lineRule="exact"/>
        <w:jc w:val="center"/>
        <w:outlineLvl w:val="0"/>
        <w:rPr>
          <w:rFonts w:ascii="宋体" w:hAnsi="宋体"/>
          <w:b/>
          <w:sz w:val="28"/>
          <w:szCs w:val="28"/>
          <w:highlight w:val="none"/>
        </w:rPr>
      </w:pPr>
      <w:bookmarkStart w:id="37" w:name="_Toc50656399"/>
      <w:bookmarkStart w:id="38" w:name="_Toc133244830"/>
      <w:r>
        <w:rPr>
          <w:rFonts w:hint="eastAsia" w:ascii="宋体" w:hAnsi="宋体"/>
          <w:b/>
          <w:sz w:val="28"/>
          <w:szCs w:val="28"/>
          <w:highlight w:val="none"/>
        </w:rPr>
        <w:t>采购内容及要求</w:t>
      </w:r>
      <w:bookmarkEnd w:id="37"/>
      <w:bookmarkEnd w:id="38"/>
    </w:p>
    <w:p w14:paraId="3A978900">
      <w:pPr>
        <w:pStyle w:val="36"/>
        <w:spacing w:line="460" w:lineRule="exact"/>
        <w:jc w:val="center"/>
        <w:outlineLvl w:val="0"/>
        <w:rPr>
          <w:rFonts w:cs="方正大标宋简体" w:asciiTheme="majorEastAsia" w:hAnsiTheme="majorEastAsia" w:eastAsiaTheme="majorEastAsia"/>
          <w:b/>
          <w:bCs/>
          <w:sz w:val="28"/>
          <w:szCs w:val="28"/>
          <w:highlight w:val="none"/>
        </w:rPr>
      </w:pPr>
      <w:bookmarkStart w:id="39" w:name="_Toc50656400"/>
    </w:p>
    <w:p w14:paraId="6C43B406">
      <w:pPr>
        <w:rPr>
          <w:rFonts w:hint="eastAsia"/>
          <w:highlight w:val="none"/>
          <w:lang w:val="en-US" w:eastAsia="zh-CN"/>
        </w:rPr>
      </w:pPr>
      <w:bookmarkStart w:id="40" w:name="_Toc12047"/>
      <w:r>
        <w:rPr>
          <w:rFonts w:hint="eastAsia"/>
          <w:highlight w:val="none"/>
          <w:lang w:val="en-US" w:eastAsia="zh-CN"/>
        </w:rPr>
        <w:t>一、招标要求</w:t>
      </w:r>
      <w:bookmarkEnd w:id="40"/>
    </w:p>
    <w:p w14:paraId="45C1E3C9">
      <w:pPr>
        <w:rPr>
          <w:rFonts w:hint="eastAsia"/>
          <w:highlight w:val="none"/>
          <w:lang w:val="en-US" w:eastAsia="zh-CN"/>
        </w:rPr>
      </w:pPr>
      <w:r>
        <w:rPr>
          <w:rFonts w:hint="eastAsia"/>
          <w:highlight w:val="none"/>
          <w:lang w:val="en-US" w:eastAsia="zh-CN"/>
        </w:rPr>
        <w:t>1、编制“大雁塔不均匀沉降及变形监测”项目方案，并提供大雁塔监测专用测量设备工具。</w:t>
      </w:r>
    </w:p>
    <w:p w14:paraId="36E0A3AA">
      <w:pPr>
        <w:rPr>
          <w:rFonts w:hint="eastAsia"/>
          <w:highlight w:val="none"/>
          <w:lang w:val="en-US" w:eastAsia="zh-CN"/>
        </w:rPr>
      </w:pPr>
      <w:r>
        <w:rPr>
          <w:rFonts w:hint="eastAsia"/>
          <w:highlight w:val="none"/>
          <w:lang w:val="en-US" w:eastAsia="zh-CN"/>
        </w:rPr>
        <w:t>2、本项目监测等级为“一等”，一年监测不少于三次，特殊情况需随时加测，监测程序及监测技术科学合理，每次监测完成后及时向大雁塔管理机构提交专业技术报告，形成数据累计、对比分析，为综合研判提供监测依据。</w:t>
      </w:r>
    </w:p>
    <w:p w14:paraId="719F66C9">
      <w:pPr>
        <w:rPr>
          <w:rFonts w:hint="eastAsia"/>
          <w:highlight w:val="none"/>
          <w:lang w:val="en-US" w:eastAsia="zh-CN"/>
        </w:rPr>
      </w:pPr>
      <w:r>
        <w:rPr>
          <w:rFonts w:hint="eastAsia"/>
          <w:highlight w:val="none"/>
          <w:lang w:val="en-US" w:eastAsia="zh-CN"/>
        </w:rPr>
        <w:t>3、满足测绘内容：塔身轴线变化监测；塔身总体倾斜监测；塔身挠度监测；环塔路及其半径1公里范围内的地面沉降监测；塔身沉降监测；塔座及近处地面加密沉降点的监测；塔身结构稳定性的监测。</w:t>
      </w:r>
    </w:p>
    <w:p w14:paraId="2260AB33">
      <w:pPr>
        <w:rPr>
          <w:rFonts w:hint="eastAsia"/>
          <w:highlight w:val="none"/>
          <w:lang w:val="en-US" w:eastAsia="zh-CN"/>
        </w:rPr>
      </w:pPr>
      <w:bookmarkStart w:id="41" w:name="_Toc30426"/>
      <w:r>
        <w:rPr>
          <w:rFonts w:hint="eastAsia"/>
          <w:highlight w:val="none"/>
          <w:lang w:val="en-US" w:eastAsia="zh-CN"/>
        </w:rPr>
        <w:t>二、技术要求</w:t>
      </w:r>
      <w:bookmarkEnd w:id="41"/>
    </w:p>
    <w:p w14:paraId="1A65816E">
      <w:pPr>
        <w:rPr>
          <w:rFonts w:hint="eastAsia"/>
          <w:highlight w:val="none"/>
          <w:lang w:val="en-US" w:eastAsia="zh-CN"/>
        </w:rPr>
      </w:pPr>
      <w:r>
        <w:rPr>
          <w:rFonts w:hint="eastAsia"/>
          <w:highlight w:val="none"/>
          <w:lang w:val="en-US" w:eastAsia="zh-CN"/>
        </w:rPr>
        <w:t>依据本项目技术文件的要求，观测需达到但不限于下列现行主要的中华人民共和国以及 省、市或行业的沉降观测技术标准或规范的要求</w:t>
      </w:r>
    </w:p>
    <w:p w14:paraId="75B0AA7B">
      <w:pPr>
        <w:rPr>
          <w:rFonts w:hint="eastAsia"/>
          <w:highlight w:val="none"/>
          <w:lang w:val="en-US" w:eastAsia="zh-CN"/>
        </w:rPr>
      </w:pPr>
      <w:r>
        <w:rPr>
          <w:rFonts w:hint="eastAsia"/>
          <w:highlight w:val="none"/>
          <w:lang w:val="en-US" w:eastAsia="zh-CN"/>
        </w:rPr>
        <w:t>1、《中华人民共和国文物保护法》；</w:t>
      </w:r>
    </w:p>
    <w:p w14:paraId="48DFE6A6">
      <w:pPr>
        <w:rPr>
          <w:rFonts w:hint="eastAsia"/>
          <w:highlight w:val="none"/>
          <w:lang w:val="en-US" w:eastAsia="zh-CN"/>
        </w:rPr>
      </w:pPr>
      <w:r>
        <w:rPr>
          <w:rFonts w:hint="eastAsia"/>
          <w:highlight w:val="none"/>
          <w:lang w:val="en-US" w:eastAsia="zh-CN"/>
        </w:rPr>
        <w:t>2、《中国文物古迹保护准则》；</w:t>
      </w:r>
    </w:p>
    <w:p w14:paraId="78CFD592">
      <w:pPr>
        <w:rPr>
          <w:rFonts w:hint="eastAsia"/>
          <w:highlight w:val="none"/>
          <w:lang w:val="en-US" w:eastAsia="zh-CN"/>
        </w:rPr>
      </w:pPr>
      <w:r>
        <w:rPr>
          <w:rFonts w:hint="eastAsia"/>
          <w:highlight w:val="none"/>
          <w:lang w:val="en-US" w:eastAsia="zh-CN"/>
        </w:rPr>
        <w:t xml:space="preserve">3、《陕西省文物保护管理条例》； </w:t>
      </w:r>
    </w:p>
    <w:p w14:paraId="5BE3EDA4">
      <w:pPr>
        <w:rPr>
          <w:rFonts w:hint="eastAsia"/>
          <w:highlight w:val="none"/>
          <w:lang w:val="en-US" w:eastAsia="zh-CN"/>
        </w:rPr>
      </w:pPr>
      <w:r>
        <w:rPr>
          <w:rFonts w:hint="eastAsia"/>
          <w:highlight w:val="none"/>
          <w:lang w:val="en-US" w:eastAsia="zh-CN"/>
        </w:rPr>
        <w:t xml:space="preserve">4、《西安市不可移动文物保护条例》； </w:t>
      </w:r>
    </w:p>
    <w:p w14:paraId="5FB9A5FA">
      <w:pPr>
        <w:rPr>
          <w:rFonts w:hint="eastAsia"/>
          <w:highlight w:val="none"/>
          <w:lang w:val="en-US" w:eastAsia="zh-CN"/>
        </w:rPr>
      </w:pPr>
      <w:r>
        <w:rPr>
          <w:rFonts w:hint="eastAsia"/>
          <w:highlight w:val="none"/>
          <w:lang w:val="en-US" w:eastAsia="zh-CN"/>
        </w:rPr>
        <w:t xml:space="preserve">5、《工程测量标准》（GB50026-2020）； </w:t>
      </w:r>
    </w:p>
    <w:p w14:paraId="16218288">
      <w:pPr>
        <w:rPr>
          <w:rFonts w:hint="eastAsia"/>
          <w:highlight w:val="none"/>
          <w:lang w:val="en-US" w:eastAsia="zh-CN"/>
        </w:rPr>
      </w:pPr>
      <w:r>
        <w:rPr>
          <w:rFonts w:hint="eastAsia"/>
          <w:highlight w:val="none"/>
          <w:lang w:val="en-US" w:eastAsia="zh-CN"/>
        </w:rPr>
        <w:t xml:space="preserve">6、《建筑变形测量规范》（JGJ8-2016）； </w:t>
      </w:r>
    </w:p>
    <w:p w14:paraId="412D9F83">
      <w:pPr>
        <w:rPr>
          <w:rFonts w:hint="eastAsia"/>
          <w:highlight w:val="none"/>
          <w:lang w:val="en-US" w:eastAsia="zh-CN"/>
        </w:rPr>
      </w:pPr>
      <w:r>
        <w:rPr>
          <w:rFonts w:hint="eastAsia"/>
          <w:highlight w:val="none"/>
          <w:lang w:val="en-US" w:eastAsia="zh-CN"/>
        </w:rPr>
        <w:t>7《全球定位系统（GPS）测量规范》（GB/T 18314-2009）；</w:t>
      </w:r>
    </w:p>
    <w:p w14:paraId="140CC8E7">
      <w:pPr>
        <w:rPr>
          <w:rFonts w:hint="eastAsia"/>
          <w:highlight w:val="none"/>
          <w:lang w:val="en-US" w:eastAsia="zh-CN"/>
        </w:rPr>
      </w:pPr>
      <w:r>
        <w:rPr>
          <w:rFonts w:hint="eastAsia"/>
          <w:highlight w:val="none"/>
          <w:lang w:val="en-US" w:eastAsia="zh-CN"/>
        </w:rPr>
        <w:t xml:space="preserve">8、《国家一、二等水准测量规范》（GB/T 12897-2006）； </w:t>
      </w:r>
    </w:p>
    <w:p w14:paraId="50908538">
      <w:pPr>
        <w:rPr>
          <w:rFonts w:hint="eastAsia"/>
          <w:highlight w:val="none"/>
          <w:lang w:val="en-US" w:eastAsia="zh-CN"/>
        </w:rPr>
      </w:pPr>
      <w:r>
        <w:rPr>
          <w:rFonts w:hint="eastAsia"/>
          <w:highlight w:val="none"/>
          <w:lang w:val="en-US" w:eastAsia="zh-CN"/>
        </w:rPr>
        <w:t>9、《岩土工程勘察规范》（GB50021-2001）（2009 年版）；</w:t>
      </w:r>
    </w:p>
    <w:p w14:paraId="3C3C4C82">
      <w:pPr>
        <w:rPr>
          <w:rFonts w:hint="eastAsia"/>
          <w:highlight w:val="none"/>
          <w:lang w:val="en-US" w:eastAsia="zh-CN"/>
        </w:rPr>
      </w:pPr>
      <w:r>
        <w:rPr>
          <w:rFonts w:hint="eastAsia"/>
          <w:highlight w:val="none"/>
          <w:lang w:val="en-US" w:eastAsia="zh-CN"/>
        </w:rPr>
        <w:t xml:space="preserve">10、《供水水文地质勘察规范》GB50027-2001； </w:t>
      </w:r>
    </w:p>
    <w:p w14:paraId="357B158D">
      <w:pPr>
        <w:rPr>
          <w:rFonts w:hint="eastAsia"/>
          <w:highlight w:val="none"/>
          <w:lang w:val="en-US" w:eastAsia="zh-CN"/>
        </w:rPr>
      </w:pPr>
      <w:r>
        <w:rPr>
          <w:rFonts w:hint="eastAsia"/>
          <w:highlight w:val="none"/>
          <w:lang w:val="en-US" w:eastAsia="zh-CN"/>
        </w:rPr>
        <w:t xml:space="preserve">11、《公共安全视频监控联网系统信息传输、交换、控制技术要求》（GB/T28181-2016） ； </w:t>
      </w:r>
    </w:p>
    <w:p w14:paraId="2C990394">
      <w:pPr>
        <w:rPr>
          <w:rFonts w:hint="eastAsia"/>
          <w:highlight w:val="none"/>
          <w:lang w:val="en-US" w:eastAsia="zh-CN"/>
        </w:rPr>
      </w:pPr>
      <w:r>
        <w:rPr>
          <w:rFonts w:hint="eastAsia"/>
          <w:highlight w:val="none"/>
          <w:lang w:val="en-US" w:eastAsia="zh-CN"/>
        </w:rPr>
        <w:t xml:space="preserve">12、《视频安防监控系统工程设计规范》 GB50395-2015； </w:t>
      </w:r>
    </w:p>
    <w:p w14:paraId="731C1D19">
      <w:pPr>
        <w:rPr>
          <w:rFonts w:hint="eastAsia"/>
          <w:highlight w:val="none"/>
          <w:lang w:val="en-US" w:eastAsia="zh-CN"/>
        </w:rPr>
      </w:pPr>
      <w:r>
        <w:rPr>
          <w:rFonts w:hint="eastAsia"/>
          <w:highlight w:val="none"/>
          <w:lang w:val="en-US" w:eastAsia="zh-CN"/>
        </w:rPr>
        <w:t>13.国家或行业其他相关规范、强制性标准</w:t>
      </w:r>
    </w:p>
    <w:p w14:paraId="3943264A">
      <w:pPr>
        <w:rPr>
          <w:rFonts w:hint="eastAsia"/>
          <w:highlight w:val="none"/>
          <w:lang w:val="en-US" w:eastAsia="zh-CN"/>
        </w:rPr>
      </w:pPr>
      <w:bookmarkStart w:id="42" w:name="_Toc24615"/>
      <w:r>
        <w:rPr>
          <w:rFonts w:hint="eastAsia"/>
          <w:highlight w:val="none"/>
          <w:lang w:val="en-US" w:eastAsia="zh-CN"/>
        </w:rPr>
        <w:t>三、商务要求</w:t>
      </w:r>
      <w:bookmarkEnd w:id="42"/>
    </w:p>
    <w:p w14:paraId="6268BF96">
      <w:pPr>
        <w:rPr>
          <w:rFonts w:hint="eastAsia"/>
          <w:highlight w:val="none"/>
          <w:lang w:val="en-US" w:eastAsia="zh-CN"/>
        </w:rPr>
      </w:pPr>
      <w:r>
        <w:rPr>
          <w:rFonts w:hint="eastAsia"/>
          <w:highlight w:val="none"/>
          <w:lang w:val="en-US" w:eastAsia="zh-CN"/>
        </w:rPr>
        <w:t>1、服务期及实施地点</w:t>
      </w:r>
    </w:p>
    <w:p w14:paraId="4D6EB6F2">
      <w:pPr>
        <w:rPr>
          <w:rFonts w:hint="eastAsia"/>
          <w:highlight w:val="none"/>
          <w:lang w:val="en-US" w:eastAsia="zh-CN"/>
        </w:rPr>
      </w:pPr>
      <w:r>
        <w:rPr>
          <w:rFonts w:hint="eastAsia"/>
          <w:highlight w:val="none"/>
          <w:lang w:val="en-US" w:eastAsia="zh-CN"/>
        </w:rPr>
        <w:t>（1）服务期：自合同签订之日起365日历天。</w:t>
      </w:r>
    </w:p>
    <w:p w14:paraId="144FB034">
      <w:pPr>
        <w:rPr>
          <w:rFonts w:hint="eastAsia"/>
          <w:highlight w:val="none"/>
          <w:lang w:val="en-US" w:eastAsia="zh-CN"/>
        </w:rPr>
      </w:pPr>
      <w:r>
        <w:rPr>
          <w:rFonts w:hint="eastAsia"/>
          <w:highlight w:val="none"/>
          <w:lang w:val="en-US" w:eastAsia="zh-CN"/>
        </w:rPr>
        <w:t>（2）实施地点：大慈恩寺内</w:t>
      </w:r>
    </w:p>
    <w:p w14:paraId="12EB52D2">
      <w:pPr>
        <w:rPr>
          <w:rFonts w:hint="eastAsia"/>
          <w:highlight w:val="none"/>
          <w:lang w:val="en-US" w:eastAsia="zh-CN"/>
        </w:rPr>
      </w:pPr>
      <w:r>
        <w:rPr>
          <w:rFonts w:hint="eastAsia"/>
          <w:highlight w:val="none"/>
          <w:lang w:val="en-US" w:eastAsia="zh-CN"/>
        </w:rPr>
        <w:t>付款方式：</w:t>
      </w:r>
    </w:p>
    <w:p w14:paraId="213A3F2E">
      <w:pPr>
        <w:rPr>
          <w:rFonts w:hint="eastAsia"/>
          <w:highlight w:val="none"/>
          <w:lang w:val="en-US" w:eastAsia="zh-CN"/>
        </w:rPr>
      </w:pPr>
      <w:r>
        <w:rPr>
          <w:rFonts w:hint="eastAsia"/>
          <w:highlight w:val="none"/>
          <w:lang w:val="en-US" w:eastAsia="zh-CN"/>
        </w:rPr>
        <w:t>（1）合同生效后10日内，支付合同总价的20%；</w:t>
      </w:r>
    </w:p>
    <w:p w14:paraId="0653FA3E">
      <w:pPr>
        <w:rPr>
          <w:rFonts w:hint="eastAsia"/>
          <w:highlight w:val="none"/>
          <w:lang w:val="en-US" w:eastAsia="zh-CN"/>
        </w:rPr>
      </w:pPr>
      <w:r>
        <w:rPr>
          <w:rFonts w:hint="eastAsia"/>
          <w:highlight w:val="none"/>
          <w:lang w:val="en-US" w:eastAsia="zh-CN"/>
        </w:rPr>
        <w:t>（2）本合同约定的全部监测工作量达到 70%时，在乙方提交相关工作成果并经甲方审核确认后，支付合同总价的50%；</w:t>
      </w:r>
    </w:p>
    <w:p w14:paraId="78601C72">
      <w:pPr>
        <w:rPr>
          <w:rFonts w:hint="eastAsia"/>
          <w:highlight w:val="none"/>
          <w:lang w:val="en-US" w:eastAsia="zh-CN"/>
        </w:rPr>
      </w:pPr>
      <w:r>
        <w:rPr>
          <w:rFonts w:hint="eastAsia"/>
          <w:highlight w:val="none"/>
          <w:lang w:val="en-US" w:eastAsia="zh-CN"/>
        </w:rPr>
        <w:t>（3）本合同约定的全部监测工作结束后，支付合同总价的30%</w:t>
      </w:r>
    </w:p>
    <w:p w14:paraId="0251796E">
      <w:pPr>
        <w:rPr>
          <w:rFonts w:hint="eastAsia"/>
          <w:highlight w:val="none"/>
          <w:lang w:val="en-US" w:eastAsia="zh-CN"/>
        </w:rPr>
      </w:pPr>
      <w:r>
        <w:rPr>
          <w:rFonts w:hint="eastAsia"/>
          <w:highlight w:val="none"/>
          <w:lang w:val="en-US" w:eastAsia="zh-CN"/>
        </w:rPr>
        <w:t>（4）投标人应于招标人每次付款前向招标人开具等额发票，因投标人迟延开票，招标人有权拒不付款且不承担任何责任。</w:t>
      </w:r>
    </w:p>
    <w:p w14:paraId="309DB428">
      <w:pPr>
        <w:rPr>
          <w:rFonts w:hint="eastAsia"/>
          <w:highlight w:val="none"/>
          <w:lang w:val="en-US" w:eastAsia="zh-CN"/>
        </w:rPr>
      </w:pPr>
      <w:r>
        <w:rPr>
          <w:rFonts w:hint="eastAsia"/>
          <w:highlight w:val="none"/>
          <w:lang w:val="en-US" w:eastAsia="zh-CN"/>
        </w:rPr>
        <w:t>3、中标人须承诺根据招标人要求能够保证在临时因工作需要时，安排1名人员，在招标人指定的场所驻点工作。</w:t>
      </w:r>
    </w:p>
    <w:p w14:paraId="5C145C91">
      <w:pPr>
        <w:rPr>
          <w:rFonts w:hint="eastAsia"/>
          <w:highlight w:val="none"/>
          <w:lang w:val="en-US" w:eastAsia="zh-CN"/>
        </w:rPr>
      </w:pPr>
      <w:r>
        <w:rPr>
          <w:rFonts w:hint="eastAsia"/>
          <w:highlight w:val="none"/>
          <w:lang w:val="en-US" w:eastAsia="zh-CN"/>
        </w:rPr>
        <w:t>4、中标人须在投标文件中详细列清参与本项目人员的名单、资历、资格。项目执行期间，中标人须严格按照投标文件填报的项目人员进行考勤管理。</w:t>
      </w:r>
    </w:p>
    <w:p w14:paraId="59D43D79">
      <w:pPr>
        <w:rPr>
          <w:rFonts w:hint="eastAsia"/>
          <w:highlight w:val="none"/>
          <w:lang w:val="en-US" w:eastAsia="zh-CN"/>
        </w:rPr>
      </w:pPr>
      <w:r>
        <w:rPr>
          <w:rFonts w:hint="eastAsia"/>
          <w:highlight w:val="none"/>
          <w:lang w:val="en-US" w:eastAsia="zh-CN"/>
        </w:rPr>
        <w:t>5、中标人在投标文件中填报的项目人员不得随意更换，如确需更换须经招标人同意，且拟更换人员应具备同等或以上专业技术资格。</w:t>
      </w:r>
    </w:p>
    <w:p w14:paraId="69B278FB">
      <w:pPr>
        <w:rPr>
          <w:rFonts w:hint="eastAsia"/>
          <w:highlight w:val="none"/>
          <w:lang w:val="en-US" w:eastAsia="zh-CN"/>
        </w:rPr>
      </w:pPr>
      <w:r>
        <w:rPr>
          <w:rFonts w:hint="eastAsia"/>
          <w:highlight w:val="none"/>
          <w:lang w:val="en-US" w:eastAsia="zh-CN"/>
        </w:rPr>
        <w:t>5、中标人派出的人员不能胜任该项工作的，招标人有权要求调换。</w:t>
      </w:r>
    </w:p>
    <w:p w14:paraId="601A76F2">
      <w:pPr>
        <w:rPr>
          <w:rFonts w:hint="eastAsia"/>
          <w:highlight w:val="none"/>
          <w:lang w:val="en-US" w:eastAsia="zh-CN"/>
        </w:rPr>
      </w:pPr>
      <w:r>
        <w:rPr>
          <w:rFonts w:hint="eastAsia"/>
          <w:highlight w:val="none"/>
          <w:lang w:val="en-US" w:eastAsia="zh-CN"/>
        </w:rPr>
        <w:t>6、中标人派出的人员违反有关法律、法规或招标人制定的工作纪律、或被有效投诉的，招标人除相应扣减要支付给中标人的费用外，可视情节解除与中标人的服务协议。</w:t>
      </w:r>
    </w:p>
    <w:p w14:paraId="76F3B8F3">
      <w:pPr>
        <w:jc w:val="center"/>
        <w:rPr>
          <w:highlight w:val="none"/>
        </w:rPr>
      </w:pPr>
      <w:r>
        <w:rPr>
          <w:rFonts w:hint="eastAsia"/>
          <w:b/>
          <w:bCs/>
          <w:highlight w:val="none"/>
        </w:rPr>
        <w:t>注：</w:t>
      </w:r>
      <w:r>
        <w:rPr>
          <w:rFonts w:hint="eastAsia"/>
          <w:b/>
          <w:bCs/>
          <w:highlight w:val="none"/>
          <w:lang w:val="en-US" w:eastAsia="zh-CN"/>
        </w:rPr>
        <w:t>以上所有内容</w:t>
      </w:r>
      <w:r>
        <w:rPr>
          <w:rFonts w:hint="eastAsia"/>
          <w:b/>
          <w:bCs/>
          <w:highlight w:val="none"/>
        </w:rPr>
        <w:t>为实质性要求，不得负偏离。</w:t>
      </w:r>
      <w:r>
        <w:rPr>
          <w:rFonts w:hint="eastAsia"/>
          <w:highlight w:val="none"/>
        </w:rPr>
        <w:br w:type="page"/>
      </w:r>
    </w:p>
    <w:p w14:paraId="52FDE209">
      <w:pPr>
        <w:numPr>
          <w:ilvl w:val="0"/>
          <w:numId w:val="1"/>
        </w:numPr>
        <w:spacing w:line="460" w:lineRule="exact"/>
        <w:jc w:val="center"/>
        <w:outlineLvl w:val="0"/>
        <w:rPr>
          <w:rFonts w:ascii="宋体" w:hAnsi="宋体"/>
          <w:b/>
          <w:sz w:val="28"/>
          <w:szCs w:val="28"/>
          <w:highlight w:val="none"/>
        </w:rPr>
      </w:pPr>
      <w:bookmarkStart w:id="43" w:name="_Toc133244853"/>
      <w:r>
        <w:rPr>
          <w:rFonts w:hint="eastAsia" w:ascii="宋体" w:hAnsi="宋体"/>
          <w:b/>
          <w:sz w:val="28"/>
          <w:szCs w:val="28"/>
          <w:highlight w:val="none"/>
        </w:rPr>
        <w:t>合同主要条款</w:t>
      </w:r>
      <w:bookmarkEnd w:id="39"/>
      <w:bookmarkEnd w:id="43"/>
    </w:p>
    <w:p w14:paraId="0D3E812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z w:val="24"/>
          <w:szCs w:val="24"/>
          <w:highlight w:val="none"/>
        </w:rPr>
      </w:pPr>
      <w:bookmarkStart w:id="44" w:name="_Toc50656401"/>
      <w:r>
        <w:rPr>
          <w:rFonts w:hint="eastAsia" w:ascii="楷体" w:hAnsi="楷体" w:eastAsia="楷体" w:cs="楷体"/>
          <w:spacing w:val="-3"/>
          <w:sz w:val="24"/>
          <w:szCs w:val="24"/>
          <w:highlight w:val="none"/>
        </w:rPr>
        <w:t>甲方</w:t>
      </w:r>
      <w:r>
        <w:rPr>
          <w:rFonts w:hint="eastAsia" w:ascii="楷体" w:hAnsi="楷体" w:eastAsia="楷体" w:cs="楷体"/>
          <w:spacing w:val="-18"/>
          <w:sz w:val="24"/>
          <w:szCs w:val="24"/>
          <w:highlight w:val="none"/>
        </w:rPr>
        <w:t>：</w:t>
      </w:r>
      <w:r>
        <w:rPr>
          <w:rFonts w:hint="eastAsia" w:ascii="楷体" w:hAnsi="楷体" w:eastAsia="楷体" w:cs="楷体"/>
          <w:sz w:val="24"/>
          <w:szCs w:val="24"/>
          <w:highlight w:val="none"/>
          <w:u w:val="single" w:color="auto"/>
        </w:rPr>
        <w:t xml:space="preserve">                             </w:t>
      </w:r>
      <w:r>
        <w:rPr>
          <w:rFonts w:hint="eastAsia" w:ascii="楷体" w:hAnsi="楷体" w:eastAsia="楷体" w:cs="楷体"/>
          <w:sz w:val="24"/>
          <w:szCs w:val="24"/>
          <w:highlight w:val="none"/>
        </w:rPr>
        <w:t xml:space="preserve"> </w:t>
      </w:r>
      <w:r>
        <w:rPr>
          <w:rFonts w:hint="eastAsia" w:ascii="楷体" w:hAnsi="楷体" w:eastAsia="楷体" w:cs="楷体"/>
          <w:spacing w:val="-18"/>
          <w:sz w:val="24"/>
          <w:szCs w:val="24"/>
          <w:highlight w:val="none"/>
        </w:rPr>
        <w:t>（</w:t>
      </w:r>
      <w:r>
        <w:rPr>
          <w:rFonts w:hint="eastAsia" w:ascii="楷体" w:hAnsi="楷体" w:eastAsia="楷体" w:cs="楷体"/>
          <w:spacing w:val="-3"/>
          <w:sz w:val="24"/>
          <w:szCs w:val="24"/>
          <w:highlight w:val="none"/>
        </w:rPr>
        <w:t>以下简称甲方）</w:t>
      </w:r>
      <w:r>
        <w:rPr>
          <w:rFonts w:hint="eastAsia" w:ascii="楷体" w:hAnsi="楷体" w:eastAsia="楷体" w:cs="楷体"/>
          <w:sz w:val="24"/>
          <w:szCs w:val="24"/>
          <w:highlight w:val="none"/>
        </w:rPr>
        <w:t xml:space="preserve"> </w:t>
      </w:r>
    </w:p>
    <w:p w14:paraId="0A94DC8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highlight w:val="none"/>
        </w:rPr>
      </w:pPr>
      <w:r>
        <w:rPr>
          <w:rFonts w:hint="eastAsia" w:ascii="楷体" w:hAnsi="楷体" w:eastAsia="楷体" w:cs="楷体"/>
          <w:spacing w:val="-2"/>
          <w:sz w:val="24"/>
          <w:szCs w:val="24"/>
          <w:highlight w:val="none"/>
        </w:rPr>
        <w:t>乙方</w:t>
      </w:r>
      <w:r>
        <w:rPr>
          <w:rFonts w:hint="eastAsia" w:ascii="楷体" w:hAnsi="楷体" w:eastAsia="楷体" w:cs="楷体"/>
          <w:spacing w:val="-17"/>
          <w:sz w:val="24"/>
          <w:szCs w:val="24"/>
          <w:highlight w:val="none"/>
        </w:rPr>
        <w:t>：</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17"/>
          <w:sz w:val="24"/>
          <w:szCs w:val="24"/>
          <w:highlight w:val="none"/>
        </w:rPr>
        <w:t>（</w:t>
      </w:r>
      <w:r>
        <w:rPr>
          <w:rFonts w:hint="eastAsia" w:ascii="楷体" w:hAnsi="楷体" w:eastAsia="楷体" w:cs="楷体"/>
          <w:spacing w:val="-2"/>
          <w:sz w:val="24"/>
          <w:szCs w:val="24"/>
          <w:highlight w:val="none"/>
        </w:rPr>
        <w:t>以下简称乙方）</w:t>
      </w:r>
    </w:p>
    <w:p w14:paraId="76F7397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甲方委托乙方开展</w:t>
      </w:r>
      <w:r>
        <w:rPr>
          <w:rFonts w:hint="eastAsia" w:ascii="楷体" w:hAnsi="楷体" w:eastAsia="楷体" w:cs="楷体"/>
          <w:spacing w:val="-3"/>
          <w:sz w:val="24"/>
          <w:szCs w:val="24"/>
          <w:highlight w:val="none"/>
          <w:u w:val="single" w:color="auto"/>
        </w:rPr>
        <w:t xml:space="preserve"> </w:t>
      </w:r>
      <w:r>
        <w:rPr>
          <w:rFonts w:hint="eastAsia" w:ascii="楷体" w:hAnsi="楷体" w:eastAsia="楷体" w:cs="楷体"/>
          <w:spacing w:val="-3"/>
          <w:sz w:val="24"/>
          <w:szCs w:val="24"/>
          <w:highlight w:val="none"/>
          <w:u w:val="single" w:color="auto"/>
          <w:lang w:eastAsia="zh-CN"/>
        </w:rPr>
        <w:t>大雁塔不均匀沉降及变形监测项目</w:t>
      </w:r>
      <w:r>
        <w:rPr>
          <w:rFonts w:hint="eastAsia" w:ascii="楷体" w:hAnsi="楷体" w:eastAsia="楷体" w:cs="楷体"/>
          <w:spacing w:val="-3"/>
          <w:sz w:val="24"/>
          <w:szCs w:val="24"/>
          <w:highlight w:val="none"/>
          <w:u w:val="single" w:color="auto"/>
          <w:lang w:val="en-US" w:eastAsia="zh-CN"/>
        </w:rPr>
        <w:t xml:space="preserve"> </w:t>
      </w:r>
      <w:r>
        <w:rPr>
          <w:rFonts w:hint="eastAsia" w:ascii="楷体" w:hAnsi="楷体" w:eastAsia="楷体" w:cs="楷体"/>
          <w:spacing w:val="-4"/>
          <w:sz w:val="24"/>
          <w:szCs w:val="24"/>
          <w:highlight w:val="none"/>
        </w:rPr>
        <w:t>。结合该项目的具</w:t>
      </w:r>
      <w:r>
        <w:rPr>
          <w:rFonts w:hint="eastAsia" w:ascii="楷体" w:hAnsi="楷体" w:eastAsia="楷体" w:cs="楷体"/>
          <w:sz w:val="24"/>
          <w:szCs w:val="24"/>
          <w:highlight w:val="none"/>
        </w:rPr>
        <w:t xml:space="preserve"> </w:t>
      </w:r>
      <w:r>
        <w:rPr>
          <w:rFonts w:hint="eastAsia" w:ascii="楷体" w:hAnsi="楷体" w:eastAsia="楷体" w:cs="楷体"/>
          <w:spacing w:val="-6"/>
          <w:sz w:val="24"/>
          <w:szCs w:val="24"/>
          <w:highlight w:val="none"/>
        </w:rPr>
        <w:t>体情况，为明确责任、分工协作，协作配合，经双方协商一致，就本监测工作签订</w:t>
      </w:r>
      <w:r>
        <w:rPr>
          <w:rFonts w:hint="eastAsia" w:ascii="楷体" w:hAnsi="楷体" w:eastAsia="楷体" w:cs="楷体"/>
          <w:spacing w:val="-7"/>
          <w:sz w:val="24"/>
          <w:szCs w:val="24"/>
          <w:highlight w:val="none"/>
        </w:rPr>
        <w:t>合同，</w:t>
      </w:r>
      <w:r>
        <w:rPr>
          <w:rFonts w:hint="eastAsia" w:ascii="楷体" w:hAnsi="楷体" w:eastAsia="楷体" w:cs="楷体"/>
          <w:spacing w:val="-2"/>
          <w:sz w:val="24"/>
          <w:szCs w:val="24"/>
          <w:highlight w:val="none"/>
        </w:rPr>
        <w:t>共同遵守。</w:t>
      </w:r>
    </w:p>
    <w:p w14:paraId="5B4BE97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45" w:name="_Toc17068"/>
      <w:r>
        <w:rPr>
          <w:rFonts w:hint="eastAsia" w:ascii="楷体" w:hAnsi="楷体" w:eastAsia="楷体" w:cs="楷体"/>
          <w:b/>
          <w:bCs/>
          <w:spacing w:val="-3"/>
          <w:sz w:val="24"/>
          <w:szCs w:val="24"/>
          <w:highlight w:val="none"/>
        </w:rPr>
        <w:t>第一条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项目名称</w:t>
      </w:r>
      <w:bookmarkEnd w:id="45"/>
    </w:p>
    <w:p w14:paraId="3F1FD7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b w:val="0"/>
          <w:bCs w:val="0"/>
          <w:spacing w:val="-3"/>
          <w:sz w:val="24"/>
          <w:szCs w:val="24"/>
          <w:highlight w:val="none"/>
          <w:u w:val="single"/>
        </w:rPr>
      </w:pPr>
      <w:r>
        <w:rPr>
          <w:rFonts w:hint="eastAsia" w:ascii="楷体" w:hAnsi="楷体" w:eastAsia="楷体" w:cs="楷体"/>
          <w:b w:val="0"/>
          <w:bCs w:val="0"/>
          <w:spacing w:val="-3"/>
          <w:sz w:val="24"/>
          <w:szCs w:val="24"/>
          <w:highlight w:val="none"/>
          <w:u w:val="single"/>
          <w:lang w:eastAsia="zh-CN"/>
        </w:rPr>
        <w:t>大雁塔不均匀沉降及变形监测项目</w:t>
      </w:r>
    </w:p>
    <w:p w14:paraId="7A3F962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46" w:name="_Toc9080"/>
      <w:r>
        <w:rPr>
          <w:rFonts w:hint="eastAsia" w:ascii="楷体" w:hAnsi="楷体" w:eastAsia="楷体" w:cs="楷体"/>
          <w:b/>
          <w:bCs/>
          <w:spacing w:val="-3"/>
          <w:sz w:val="24"/>
          <w:szCs w:val="24"/>
          <w:highlight w:val="none"/>
        </w:rPr>
        <w:t>第二条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项目地点</w:t>
      </w:r>
      <w:bookmarkEnd w:id="46"/>
    </w:p>
    <w:p w14:paraId="7829475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b w:val="0"/>
          <w:bCs w:val="0"/>
          <w:spacing w:val="-3"/>
          <w:sz w:val="24"/>
          <w:szCs w:val="24"/>
          <w:highlight w:val="none"/>
          <w:u w:val="single"/>
          <w:lang w:val="en-US" w:eastAsia="zh-CN"/>
        </w:rPr>
      </w:pPr>
      <w:r>
        <w:rPr>
          <w:rFonts w:hint="eastAsia" w:ascii="楷体" w:hAnsi="楷体" w:eastAsia="楷体" w:cs="楷体"/>
          <w:b w:val="0"/>
          <w:bCs w:val="0"/>
          <w:spacing w:val="-3"/>
          <w:sz w:val="24"/>
          <w:szCs w:val="24"/>
          <w:highlight w:val="none"/>
          <w:u w:val="single"/>
          <w:lang w:val="en-US" w:eastAsia="zh-CN"/>
        </w:rPr>
        <w:t xml:space="preserve">西安市雁塔区大雁塔街道雁塔南路北口大雁塔南广场北侧大慈恩寺大雁塔风景区大慈恩寺内 </w:t>
      </w:r>
    </w:p>
    <w:p w14:paraId="57A60EA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47" w:name="_Toc4985"/>
      <w:r>
        <w:rPr>
          <w:rFonts w:hint="eastAsia" w:ascii="楷体" w:hAnsi="楷体" w:eastAsia="楷体" w:cs="楷体"/>
          <w:b/>
          <w:bCs/>
          <w:spacing w:val="-3"/>
          <w:sz w:val="24"/>
          <w:szCs w:val="24"/>
          <w:highlight w:val="none"/>
        </w:rPr>
        <w:t>第三条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项目内容</w:t>
      </w:r>
      <w:bookmarkEnd w:id="47"/>
    </w:p>
    <w:p w14:paraId="654EC5A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pacing w:val="-3"/>
          <w:sz w:val="24"/>
          <w:szCs w:val="24"/>
          <w:highlight w:val="none"/>
          <w:lang w:val="en-US" w:eastAsia="zh-CN"/>
        </w:rPr>
      </w:pPr>
      <w:r>
        <w:rPr>
          <w:rFonts w:hint="eastAsia" w:ascii="楷体" w:hAnsi="楷体" w:eastAsia="楷体" w:cs="楷体"/>
          <w:spacing w:val="-3"/>
          <w:sz w:val="24"/>
          <w:szCs w:val="24"/>
          <w:highlight w:val="none"/>
          <w:lang w:val="en-US" w:eastAsia="zh-CN"/>
        </w:rPr>
        <w:t>1、编制“大雁塔不均匀沉降及变形监测”项目方案，并提供大雁塔监测专用测量设备工具。</w:t>
      </w:r>
    </w:p>
    <w:p w14:paraId="4889E78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pacing w:val="-3"/>
          <w:sz w:val="24"/>
          <w:szCs w:val="24"/>
          <w:highlight w:val="none"/>
          <w:lang w:val="en-US" w:eastAsia="zh-CN"/>
        </w:rPr>
      </w:pPr>
      <w:r>
        <w:rPr>
          <w:rFonts w:hint="eastAsia" w:ascii="楷体" w:hAnsi="楷体" w:eastAsia="楷体" w:cs="楷体"/>
          <w:spacing w:val="-3"/>
          <w:sz w:val="24"/>
          <w:szCs w:val="24"/>
          <w:highlight w:val="none"/>
          <w:lang w:val="en-US" w:eastAsia="zh-CN"/>
        </w:rPr>
        <w:t>2、一年监测两次，特殊情况需随时加测，监测程序及监测技术科学合理，每次监测完成后及时向大雁塔管理机构提交专业技术报告，形成数据累计、对比分析，为综合研判提供监测依据。</w:t>
      </w:r>
    </w:p>
    <w:p w14:paraId="5C3BAB6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pacing w:val="-3"/>
          <w:sz w:val="24"/>
          <w:szCs w:val="24"/>
          <w:highlight w:val="none"/>
          <w:lang w:val="en-US" w:eastAsia="zh-CN"/>
        </w:rPr>
      </w:pPr>
      <w:r>
        <w:rPr>
          <w:rFonts w:hint="eastAsia" w:ascii="楷体" w:hAnsi="楷体" w:eastAsia="楷体" w:cs="楷体"/>
          <w:spacing w:val="-3"/>
          <w:sz w:val="24"/>
          <w:szCs w:val="24"/>
          <w:highlight w:val="none"/>
          <w:lang w:val="en-US" w:eastAsia="zh-CN"/>
        </w:rPr>
        <w:t>3、满足测绘内容：塔身轴线变化监测；塔身总体倾斜监测；塔身挠度监测；环塔路及其半径1公里范围内的地面沉降监测；塔身沉降监测；塔座及近处地面加密沉降点的监测；塔身结构稳定性的监测。</w:t>
      </w:r>
    </w:p>
    <w:p w14:paraId="5F7CA9C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2、观测周期</w:t>
      </w:r>
    </w:p>
    <w:p w14:paraId="20082B2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监测期限：</w:t>
      </w:r>
      <w:r>
        <w:rPr>
          <w:rFonts w:hint="eastAsia" w:ascii="楷体" w:hAnsi="楷体" w:eastAsia="楷体" w:cs="楷体"/>
          <w:spacing w:val="-6"/>
          <w:sz w:val="24"/>
          <w:szCs w:val="24"/>
          <w:highlight w:val="none"/>
          <w:lang w:val="en-US" w:eastAsia="zh-CN"/>
        </w:rPr>
        <w:t>365</w:t>
      </w:r>
      <w:r>
        <w:rPr>
          <w:rFonts w:hint="eastAsia" w:ascii="楷体" w:hAnsi="楷体" w:eastAsia="楷体" w:cs="楷体"/>
          <w:spacing w:val="-6"/>
          <w:sz w:val="24"/>
          <w:szCs w:val="24"/>
          <w:highlight w:val="none"/>
        </w:rPr>
        <w:t xml:space="preserve"> 日历天；</w:t>
      </w:r>
    </w:p>
    <w:p w14:paraId="599BD1C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3、在观测过程中，当出现异常变形情况或甲</w:t>
      </w:r>
      <w:r>
        <w:rPr>
          <w:rFonts w:hint="eastAsia" w:ascii="楷体" w:hAnsi="楷体" w:eastAsia="楷体" w:cs="楷体"/>
          <w:spacing w:val="-1"/>
          <w:sz w:val="24"/>
          <w:szCs w:val="24"/>
          <w:highlight w:val="none"/>
        </w:rPr>
        <w:t>方需要时，应在发现后当日或甲方提</w:t>
      </w:r>
      <w:r>
        <w:rPr>
          <w:rFonts w:hint="eastAsia" w:ascii="楷体" w:hAnsi="楷体" w:eastAsia="楷体" w:cs="楷体"/>
          <w:sz w:val="24"/>
          <w:szCs w:val="24"/>
          <w:highlight w:val="none"/>
        </w:rPr>
        <w:t xml:space="preserve"> </w:t>
      </w:r>
      <w:r>
        <w:rPr>
          <w:rFonts w:hint="eastAsia" w:ascii="楷体" w:hAnsi="楷体" w:eastAsia="楷体" w:cs="楷体"/>
          <w:spacing w:val="-3"/>
          <w:sz w:val="24"/>
          <w:szCs w:val="24"/>
          <w:highlight w:val="none"/>
        </w:rPr>
        <w:t>出需求后</w:t>
      </w:r>
      <w:r>
        <w:rPr>
          <w:rFonts w:hint="eastAsia" w:ascii="楷体" w:hAnsi="楷体" w:eastAsia="楷体" w:cs="楷体"/>
          <w:spacing w:val="-47"/>
          <w:sz w:val="24"/>
          <w:szCs w:val="24"/>
          <w:highlight w:val="none"/>
        </w:rPr>
        <w:t xml:space="preserve"> </w:t>
      </w:r>
      <w:r>
        <w:rPr>
          <w:rFonts w:hint="eastAsia" w:ascii="楷体" w:hAnsi="楷体" w:eastAsia="楷体" w:cs="楷体"/>
          <w:spacing w:val="-3"/>
          <w:sz w:val="24"/>
          <w:szCs w:val="24"/>
          <w:highlight w:val="none"/>
        </w:rPr>
        <w:t>2 日内向甲方提出口头或文字资料。如需</w:t>
      </w:r>
      <w:r>
        <w:rPr>
          <w:rFonts w:hint="eastAsia" w:ascii="楷体" w:hAnsi="楷体" w:eastAsia="楷体" w:cs="楷体"/>
          <w:spacing w:val="-4"/>
          <w:sz w:val="24"/>
          <w:szCs w:val="24"/>
          <w:highlight w:val="none"/>
        </w:rPr>
        <w:t>增加观测次数，经甲乙双方协商后，</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在得到甲方许可的情况下及时开展工作。各个部位基准点、观测点的位置按现场情况确</w:t>
      </w:r>
      <w:r>
        <w:rPr>
          <w:rFonts w:hint="eastAsia" w:ascii="楷体" w:hAnsi="楷体" w:eastAsia="楷体" w:cs="楷体"/>
          <w:spacing w:val="16"/>
          <w:sz w:val="24"/>
          <w:szCs w:val="24"/>
          <w:highlight w:val="none"/>
        </w:rPr>
        <w:t xml:space="preserve"> </w:t>
      </w:r>
      <w:r>
        <w:rPr>
          <w:rFonts w:hint="eastAsia" w:ascii="楷体" w:hAnsi="楷体" w:eastAsia="楷体" w:cs="楷体"/>
          <w:spacing w:val="-1"/>
          <w:sz w:val="24"/>
          <w:szCs w:val="24"/>
          <w:highlight w:val="none"/>
        </w:rPr>
        <w:t>定。观测方法按《规范》和《方案》执行。</w:t>
      </w:r>
    </w:p>
    <w:p w14:paraId="2D6CD33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48" w:name="_Toc12602"/>
      <w:r>
        <w:rPr>
          <w:rFonts w:hint="eastAsia" w:ascii="楷体" w:hAnsi="楷体" w:eastAsia="楷体" w:cs="楷体"/>
          <w:b/>
          <w:bCs/>
          <w:spacing w:val="-3"/>
          <w:sz w:val="24"/>
          <w:szCs w:val="24"/>
          <w:highlight w:val="none"/>
        </w:rPr>
        <w:t>第四条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项目成果</w:t>
      </w:r>
      <w:bookmarkEnd w:id="48"/>
    </w:p>
    <w:p w14:paraId="6FF27DF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按照监测周期及次数，每个监测周期结束后</w:t>
      </w:r>
      <w:r>
        <w:rPr>
          <w:rFonts w:hint="eastAsia" w:ascii="楷体" w:hAnsi="楷体" w:eastAsia="楷体" w:cs="楷体"/>
          <w:spacing w:val="-46"/>
          <w:sz w:val="24"/>
          <w:szCs w:val="24"/>
          <w:highlight w:val="none"/>
        </w:rPr>
        <w:t xml:space="preserve"> </w:t>
      </w:r>
      <w:r>
        <w:rPr>
          <w:rFonts w:hint="eastAsia" w:ascii="楷体" w:hAnsi="楷体" w:eastAsia="楷体" w:cs="楷体"/>
          <w:spacing w:val="-2"/>
          <w:sz w:val="24"/>
          <w:szCs w:val="24"/>
          <w:highlight w:val="none"/>
        </w:rPr>
        <w:t>3</w:t>
      </w:r>
      <w:r>
        <w:rPr>
          <w:rFonts w:hint="eastAsia" w:ascii="楷体" w:hAnsi="楷体" w:eastAsia="楷体" w:cs="楷体"/>
          <w:spacing w:val="-50"/>
          <w:sz w:val="24"/>
          <w:szCs w:val="24"/>
          <w:highlight w:val="none"/>
        </w:rPr>
        <w:t xml:space="preserve"> </w:t>
      </w:r>
      <w:r>
        <w:rPr>
          <w:rFonts w:hint="eastAsia" w:ascii="楷体" w:hAnsi="楷体" w:eastAsia="楷体" w:cs="楷体"/>
          <w:spacing w:val="-2"/>
          <w:sz w:val="24"/>
          <w:szCs w:val="24"/>
          <w:highlight w:val="none"/>
        </w:rPr>
        <w:t>个</w:t>
      </w:r>
      <w:r>
        <w:rPr>
          <w:rFonts w:hint="eastAsia" w:ascii="楷体" w:hAnsi="楷体" w:eastAsia="楷体" w:cs="楷体"/>
          <w:spacing w:val="-3"/>
          <w:sz w:val="24"/>
          <w:szCs w:val="24"/>
          <w:highlight w:val="none"/>
        </w:rPr>
        <w:t>工作日内均应提交甲方各阶段监测</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成果一式</w:t>
      </w:r>
      <w:r>
        <w:rPr>
          <w:rFonts w:hint="eastAsia" w:ascii="楷体" w:hAnsi="楷体" w:eastAsia="楷体" w:cs="楷体"/>
          <w:spacing w:val="-52"/>
          <w:sz w:val="24"/>
          <w:szCs w:val="24"/>
          <w:highlight w:val="none"/>
        </w:rPr>
        <w:t xml:space="preserve"> </w:t>
      </w:r>
      <w:r>
        <w:rPr>
          <w:rFonts w:hint="eastAsia" w:ascii="楷体" w:hAnsi="楷体" w:eastAsia="楷体" w:cs="楷体"/>
          <w:spacing w:val="-2"/>
          <w:sz w:val="24"/>
          <w:szCs w:val="24"/>
          <w:highlight w:val="none"/>
        </w:rPr>
        <w:t>4</w:t>
      </w:r>
      <w:r>
        <w:rPr>
          <w:rFonts w:hint="eastAsia" w:ascii="楷体" w:hAnsi="楷体" w:eastAsia="楷体" w:cs="楷体"/>
          <w:spacing w:val="-50"/>
          <w:sz w:val="24"/>
          <w:szCs w:val="24"/>
          <w:highlight w:val="none"/>
        </w:rPr>
        <w:t xml:space="preserve"> </w:t>
      </w:r>
      <w:r>
        <w:rPr>
          <w:rFonts w:hint="eastAsia" w:ascii="楷体" w:hAnsi="楷体" w:eastAsia="楷体" w:cs="楷体"/>
          <w:spacing w:val="-2"/>
          <w:sz w:val="24"/>
          <w:szCs w:val="24"/>
          <w:highlight w:val="none"/>
        </w:rPr>
        <w:t>份，内容包括监测点位布设平面图、监测结果汇总表、监测变化曲</w:t>
      </w:r>
      <w:r>
        <w:rPr>
          <w:rFonts w:hint="eastAsia" w:ascii="楷体" w:hAnsi="楷体" w:eastAsia="楷体" w:cs="楷体"/>
          <w:spacing w:val="-3"/>
          <w:sz w:val="24"/>
          <w:szCs w:val="24"/>
          <w:highlight w:val="none"/>
        </w:rPr>
        <w:t>线图、监</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测研判报告等。</w:t>
      </w:r>
    </w:p>
    <w:p w14:paraId="19AD56C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49" w:name="_Toc24544"/>
      <w:r>
        <w:rPr>
          <w:rFonts w:hint="eastAsia" w:ascii="楷体" w:hAnsi="楷体" w:eastAsia="楷体" w:cs="楷体"/>
          <w:b/>
          <w:bCs/>
          <w:spacing w:val="-3"/>
          <w:sz w:val="24"/>
          <w:szCs w:val="24"/>
          <w:highlight w:val="none"/>
        </w:rPr>
        <w:t>第五条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项目费用及支付方式</w:t>
      </w:r>
      <w:bookmarkEnd w:id="49"/>
    </w:p>
    <w:p w14:paraId="624918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1、项目费用：￥暂定</w:t>
      </w:r>
      <w:r>
        <w:rPr>
          <w:rFonts w:hint="eastAsia" w:ascii="楷体" w:hAnsi="楷体" w:eastAsia="楷体" w:cs="楷体"/>
          <w:spacing w:val="-2"/>
          <w:sz w:val="24"/>
          <w:szCs w:val="24"/>
          <w:highlight w:val="none"/>
          <w:u w:val="single" w:color="auto"/>
        </w:rPr>
        <w:t xml:space="preserve">        </w:t>
      </w:r>
      <w:r>
        <w:rPr>
          <w:rFonts w:hint="eastAsia" w:ascii="楷体" w:hAnsi="楷体" w:eastAsia="楷体" w:cs="楷体"/>
          <w:spacing w:val="-107"/>
          <w:sz w:val="24"/>
          <w:szCs w:val="24"/>
          <w:highlight w:val="none"/>
        </w:rPr>
        <w:t xml:space="preserve"> </w:t>
      </w:r>
      <w:r>
        <w:rPr>
          <w:rFonts w:hint="eastAsia" w:ascii="楷体" w:hAnsi="楷体" w:eastAsia="楷体" w:cs="楷体"/>
          <w:spacing w:val="-2"/>
          <w:sz w:val="24"/>
          <w:szCs w:val="24"/>
          <w:highlight w:val="none"/>
        </w:rPr>
        <w:t>元</w:t>
      </w:r>
      <w:r>
        <w:rPr>
          <w:rFonts w:hint="eastAsia" w:ascii="楷体" w:hAnsi="楷体" w:eastAsia="楷体" w:cs="楷体"/>
          <w:spacing w:val="-3"/>
          <w:sz w:val="24"/>
          <w:szCs w:val="24"/>
          <w:highlight w:val="none"/>
        </w:rPr>
        <w:t>（大写</w:t>
      </w:r>
      <w:r>
        <w:rPr>
          <w:rFonts w:hint="eastAsia" w:ascii="楷体" w:hAnsi="楷体" w:eastAsia="楷体" w:cs="楷体"/>
          <w:spacing w:val="-17"/>
          <w:sz w:val="24"/>
          <w:szCs w:val="24"/>
          <w:highlight w:val="none"/>
        </w:rPr>
        <w:t>：</w:t>
      </w:r>
      <w:r>
        <w:rPr>
          <w:rFonts w:hint="eastAsia" w:ascii="楷体" w:hAnsi="楷体" w:eastAsia="楷体" w:cs="楷体"/>
          <w:sz w:val="24"/>
          <w:szCs w:val="24"/>
          <w:highlight w:val="none"/>
          <w:u w:val="single" w:color="auto"/>
        </w:rPr>
        <w:t xml:space="preserve">           </w:t>
      </w:r>
      <w:r>
        <w:rPr>
          <w:rFonts w:hint="eastAsia" w:ascii="楷体" w:hAnsi="楷体" w:eastAsia="楷体" w:cs="楷体"/>
          <w:spacing w:val="-84"/>
          <w:sz w:val="24"/>
          <w:szCs w:val="24"/>
          <w:highlight w:val="none"/>
        </w:rPr>
        <w:t xml:space="preserve"> </w:t>
      </w:r>
      <w:r>
        <w:rPr>
          <w:rFonts w:hint="eastAsia" w:ascii="楷体" w:hAnsi="楷体" w:eastAsia="楷体" w:cs="楷体"/>
          <w:spacing w:val="-17"/>
          <w:sz w:val="24"/>
          <w:szCs w:val="24"/>
          <w:highlight w:val="none"/>
        </w:rPr>
        <w:t>），</w:t>
      </w:r>
      <w:r>
        <w:rPr>
          <w:rFonts w:hint="eastAsia" w:ascii="楷体" w:hAnsi="楷体" w:eastAsia="楷体" w:cs="楷体"/>
          <w:spacing w:val="-3"/>
          <w:sz w:val="24"/>
          <w:szCs w:val="24"/>
          <w:highlight w:val="none"/>
        </w:rPr>
        <w:t>项目结束后根据监测实</w:t>
      </w:r>
      <w:r>
        <w:rPr>
          <w:rFonts w:hint="eastAsia" w:ascii="楷体" w:hAnsi="楷体" w:eastAsia="楷体" w:cs="楷体"/>
          <w:spacing w:val="-2"/>
          <w:sz w:val="24"/>
          <w:szCs w:val="24"/>
          <w:highlight w:val="none"/>
        </w:rPr>
        <w:t>际发生工作量按照综合单价进行结算。</w:t>
      </w:r>
    </w:p>
    <w:p w14:paraId="0C0BA94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2、项目费用支付</w:t>
      </w:r>
    </w:p>
    <w:p w14:paraId="2FEF0BB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经双方友好协商，自本合同生效后，甲方按以下约定分三次向乙方支付工程款项，</w:t>
      </w:r>
      <w:r>
        <w:rPr>
          <w:rFonts w:hint="eastAsia" w:ascii="楷体" w:hAnsi="楷体" w:eastAsia="楷体" w:cs="楷体"/>
          <w:spacing w:val="3"/>
          <w:sz w:val="24"/>
          <w:szCs w:val="24"/>
          <w:highlight w:val="none"/>
        </w:rPr>
        <w:t xml:space="preserve"> </w:t>
      </w:r>
      <w:r>
        <w:rPr>
          <w:rFonts w:hint="eastAsia" w:ascii="楷体" w:hAnsi="楷体" w:eastAsia="楷体" w:cs="楷体"/>
          <w:spacing w:val="-3"/>
          <w:sz w:val="24"/>
          <w:szCs w:val="24"/>
          <w:highlight w:val="none"/>
        </w:rPr>
        <w:t>以下各阶段付款均需经甲方确认。</w:t>
      </w:r>
    </w:p>
    <w:tbl>
      <w:tblPr>
        <w:tblStyle w:val="46"/>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9"/>
        <w:gridCol w:w="922"/>
        <w:gridCol w:w="2128"/>
      </w:tblGrid>
      <w:tr w14:paraId="4DA49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6009" w:type="dxa"/>
            <w:vAlign w:val="center"/>
          </w:tcPr>
          <w:p w14:paraId="1E148101">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3"/>
                <w:sz w:val="24"/>
                <w:szCs w:val="24"/>
                <w:highlight w:val="none"/>
              </w:rPr>
              <w:t>项目进度计划</w:t>
            </w:r>
          </w:p>
        </w:tc>
        <w:tc>
          <w:tcPr>
            <w:tcW w:w="922" w:type="dxa"/>
            <w:vAlign w:val="center"/>
          </w:tcPr>
          <w:p w14:paraId="6AF36AA9">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9"/>
                <w:sz w:val="24"/>
                <w:szCs w:val="24"/>
                <w:highlight w:val="none"/>
              </w:rPr>
              <w:t>占合同总额百</w:t>
            </w:r>
            <w:r>
              <w:rPr>
                <w:rFonts w:hint="eastAsia" w:ascii="楷体" w:hAnsi="楷体" w:eastAsia="楷体" w:cs="楷体"/>
                <w:spacing w:val="-7"/>
                <w:sz w:val="24"/>
                <w:szCs w:val="24"/>
                <w:highlight w:val="none"/>
              </w:rPr>
              <w:t>分比</w:t>
            </w:r>
          </w:p>
        </w:tc>
        <w:tc>
          <w:tcPr>
            <w:tcW w:w="2128" w:type="dxa"/>
            <w:vAlign w:val="center"/>
          </w:tcPr>
          <w:p w14:paraId="2C4D4140">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金额人民币(元)</w:t>
            </w:r>
          </w:p>
        </w:tc>
      </w:tr>
      <w:tr w14:paraId="4DBB9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6009" w:type="dxa"/>
            <w:vAlign w:val="center"/>
          </w:tcPr>
          <w:p w14:paraId="2DDBEEF7">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8"/>
                <w:sz w:val="24"/>
                <w:szCs w:val="24"/>
                <w:highlight w:val="none"/>
              </w:rPr>
              <w:t>乙方应于本合同生效后</w:t>
            </w:r>
            <w:r>
              <w:rPr>
                <w:rFonts w:hint="eastAsia" w:ascii="楷体" w:hAnsi="楷体" w:eastAsia="楷体" w:cs="楷体"/>
                <w:spacing w:val="-28"/>
                <w:sz w:val="24"/>
                <w:szCs w:val="24"/>
                <w:highlight w:val="none"/>
              </w:rPr>
              <w:t xml:space="preserve"> </w:t>
            </w:r>
            <w:r>
              <w:rPr>
                <w:rFonts w:hint="eastAsia" w:ascii="楷体" w:hAnsi="楷体" w:eastAsia="楷体" w:cs="楷体"/>
                <w:spacing w:val="-8"/>
                <w:sz w:val="24"/>
                <w:szCs w:val="24"/>
                <w:highlight w:val="none"/>
                <w:lang w:val="en-US" w:eastAsia="zh-CN"/>
              </w:rPr>
              <w:t>10</w:t>
            </w:r>
            <w:r>
              <w:rPr>
                <w:rFonts w:hint="eastAsia" w:ascii="楷体" w:hAnsi="楷体" w:eastAsia="楷体" w:cs="楷体"/>
                <w:spacing w:val="-8"/>
                <w:sz w:val="24"/>
                <w:szCs w:val="24"/>
                <w:highlight w:val="none"/>
              </w:rPr>
              <w:t>日内提供等额正规发票，甲</w:t>
            </w:r>
            <w:r>
              <w:rPr>
                <w:rFonts w:hint="eastAsia" w:ascii="楷体" w:hAnsi="楷体" w:eastAsia="楷体" w:cs="楷体"/>
                <w:sz w:val="24"/>
                <w:szCs w:val="24"/>
                <w:highlight w:val="none"/>
              </w:rPr>
              <w:t xml:space="preserve"> </w:t>
            </w:r>
            <w:r>
              <w:rPr>
                <w:rFonts w:hint="eastAsia" w:ascii="楷体" w:hAnsi="楷体" w:eastAsia="楷体" w:cs="楷体"/>
                <w:spacing w:val="-8"/>
                <w:sz w:val="24"/>
                <w:szCs w:val="24"/>
                <w:highlight w:val="none"/>
              </w:rPr>
              <w:t>方收到发票后</w:t>
            </w:r>
            <w:r>
              <w:rPr>
                <w:rFonts w:hint="eastAsia" w:ascii="楷体" w:hAnsi="楷体" w:eastAsia="楷体" w:cs="楷体"/>
                <w:spacing w:val="-44"/>
                <w:sz w:val="24"/>
                <w:szCs w:val="24"/>
                <w:highlight w:val="none"/>
              </w:rPr>
              <w:t xml:space="preserve"> </w:t>
            </w:r>
            <w:r>
              <w:rPr>
                <w:rFonts w:hint="eastAsia" w:ascii="楷体" w:hAnsi="楷体" w:eastAsia="楷体" w:cs="楷体"/>
                <w:spacing w:val="-8"/>
                <w:sz w:val="24"/>
                <w:szCs w:val="24"/>
                <w:highlight w:val="none"/>
              </w:rPr>
              <w:t>30 日内</w:t>
            </w:r>
          </w:p>
        </w:tc>
        <w:tc>
          <w:tcPr>
            <w:tcW w:w="922" w:type="dxa"/>
            <w:vAlign w:val="center"/>
          </w:tcPr>
          <w:p w14:paraId="35534B1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0" w:firstLineChars="200"/>
              <w:jc w:val="both"/>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20%</w:t>
            </w:r>
          </w:p>
        </w:tc>
        <w:tc>
          <w:tcPr>
            <w:tcW w:w="2128" w:type="dxa"/>
            <w:vAlign w:val="center"/>
          </w:tcPr>
          <w:p w14:paraId="282B810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hint="eastAsia" w:ascii="楷体" w:hAnsi="楷体" w:eastAsia="楷体" w:cs="楷体"/>
                <w:sz w:val="21"/>
                <w:highlight w:val="none"/>
              </w:rPr>
            </w:pPr>
          </w:p>
        </w:tc>
      </w:tr>
      <w:tr w14:paraId="5BB6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009" w:type="dxa"/>
            <w:vAlign w:val="center"/>
          </w:tcPr>
          <w:p w14:paraId="42D9252B">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本合同约定的全部监测工作量达到</w:t>
            </w:r>
            <w:r>
              <w:rPr>
                <w:rFonts w:hint="eastAsia" w:ascii="楷体" w:hAnsi="楷体" w:eastAsia="楷体" w:cs="楷体"/>
                <w:spacing w:val="-33"/>
                <w:sz w:val="24"/>
                <w:szCs w:val="24"/>
                <w:highlight w:val="none"/>
              </w:rPr>
              <w:t xml:space="preserve"> </w:t>
            </w:r>
            <w:r>
              <w:rPr>
                <w:rFonts w:hint="eastAsia" w:ascii="楷体" w:hAnsi="楷体" w:eastAsia="楷体" w:cs="楷体"/>
                <w:spacing w:val="-2"/>
                <w:sz w:val="24"/>
                <w:szCs w:val="24"/>
                <w:highlight w:val="none"/>
              </w:rPr>
              <w:t>70%时，在乙方提</w:t>
            </w:r>
            <w:r>
              <w:rPr>
                <w:rFonts w:hint="eastAsia" w:ascii="楷体" w:hAnsi="楷体" w:eastAsia="楷体" w:cs="楷体"/>
                <w:spacing w:val="-4"/>
                <w:sz w:val="24"/>
                <w:szCs w:val="24"/>
                <w:highlight w:val="none"/>
              </w:rPr>
              <w:t>交相关工作成果并经甲方审核确认后，乙方提供等额</w:t>
            </w:r>
            <w:r>
              <w:rPr>
                <w:rFonts w:hint="eastAsia" w:ascii="楷体" w:hAnsi="楷体" w:eastAsia="楷体" w:cs="楷体"/>
                <w:spacing w:val="-6"/>
                <w:sz w:val="24"/>
                <w:szCs w:val="24"/>
                <w:highlight w:val="none"/>
              </w:rPr>
              <w:t>正规发票，甲方收到发票后</w:t>
            </w:r>
            <w:r>
              <w:rPr>
                <w:rFonts w:hint="eastAsia" w:ascii="楷体" w:hAnsi="楷体" w:eastAsia="楷体" w:cs="楷体"/>
                <w:spacing w:val="-34"/>
                <w:sz w:val="24"/>
                <w:szCs w:val="24"/>
                <w:highlight w:val="none"/>
              </w:rPr>
              <w:t xml:space="preserve"> </w:t>
            </w:r>
            <w:r>
              <w:rPr>
                <w:rFonts w:hint="eastAsia" w:ascii="楷体" w:hAnsi="楷体" w:eastAsia="楷体" w:cs="楷体"/>
                <w:spacing w:val="-6"/>
                <w:sz w:val="24"/>
                <w:szCs w:val="24"/>
                <w:highlight w:val="none"/>
              </w:rPr>
              <w:t>30 日内</w:t>
            </w:r>
          </w:p>
        </w:tc>
        <w:tc>
          <w:tcPr>
            <w:tcW w:w="922" w:type="dxa"/>
            <w:vAlign w:val="center"/>
          </w:tcPr>
          <w:p w14:paraId="48745F3D">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hint="eastAsia" w:ascii="楷体" w:hAnsi="楷体" w:eastAsia="楷体" w:cs="楷体"/>
                <w:sz w:val="21"/>
                <w:highlight w:val="none"/>
              </w:rPr>
            </w:pPr>
          </w:p>
          <w:p w14:paraId="0736536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0" w:firstLineChars="200"/>
              <w:jc w:val="both"/>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50%</w:t>
            </w:r>
          </w:p>
        </w:tc>
        <w:tc>
          <w:tcPr>
            <w:tcW w:w="2128" w:type="dxa"/>
            <w:vAlign w:val="center"/>
          </w:tcPr>
          <w:p w14:paraId="4BADC67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hint="eastAsia" w:ascii="楷体" w:hAnsi="楷体" w:eastAsia="楷体" w:cs="楷体"/>
                <w:sz w:val="21"/>
                <w:highlight w:val="none"/>
              </w:rPr>
            </w:pPr>
          </w:p>
        </w:tc>
      </w:tr>
      <w:tr w14:paraId="0027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6009" w:type="dxa"/>
            <w:vAlign w:val="center"/>
          </w:tcPr>
          <w:p w14:paraId="0570D39D">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在本合同约定的全部监测工作结束后，乙方提供按照</w:t>
            </w:r>
          </w:p>
          <w:p w14:paraId="7DD79200">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实际工作量及约定单价计算的合同价款总额及明细，</w:t>
            </w:r>
          </w:p>
          <w:p w14:paraId="11765769">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经甲方审核确认最终合同价款后乙方提供余款等额</w:t>
            </w:r>
          </w:p>
          <w:p w14:paraId="23F11EE7">
            <w:pPr>
              <w:keepNext w:val="0"/>
              <w:keepLines w:val="0"/>
              <w:pageBreakBefore w:val="0"/>
              <w:widowControl/>
              <w:kinsoku w:val="0"/>
              <w:wordWrap/>
              <w:overflowPunct/>
              <w:topLinePunct w:val="0"/>
              <w:autoSpaceDE w:val="0"/>
              <w:autoSpaceDN w:val="0"/>
              <w:bidi w:val="0"/>
              <w:adjustRightInd w:val="0"/>
              <w:snapToGrid w:val="0"/>
              <w:spacing w:line="480" w:lineRule="auto"/>
              <w:ind w:right="0"/>
              <w:jc w:val="both"/>
              <w:textAlignment w:val="baseline"/>
              <w:rPr>
                <w:rFonts w:hint="eastAsia" w:ascii="楷体" w:hAnsi="楷体" w:eastAsia="楷体" w:cs="楷体"/>
                <w:sz w:val="24"/>
                <w:szCs w:val="24"/>
                <w:highlight w:val="none"/>
              </w:rPr>
            </w:pPr>
            <w:r>
              <w:rPr>
                <w:rFonts w:hint="eastAsia" w:ascii="楷体" w:hAnsi="楷体" w:eastAsia="楷体" w:cs="楷体"/>
                <w:spacing w:val="-6"/>
                <w:sz w:val="24"/>
                <w:szCs w:val="24"/>
                <w:highlight w:val="none"/>
              </w:rPr>
              <w:t>正规发票，甲方收到发票后</w:t>
            </w:r>
            <w:r>
              <w:rPr>
                <w:rFonts w:hint="eastAsia" w:ascii="楷体" w:hAnsi="楷体" w:eastAsia="楷体" w:cs="楷体"/>
                <w:spacing w:val="-34"/>
                <w:sz w:val="24"/>
                <w:szCs w:val="24"/>
                <w:highlight w:val="none"/>
              </w:rPr>
              <w:t xml:space="preserve"> </w:t>
            </w:r>
            <w:r>
              <w:rPr>
                <w:rFonts w:hint="eastAsia" w:ascii="楷体" w:hAnsi="楷体" w:eastAsia="楷体" w:cs="楷体"/>
                <w:spacing w:val="-6"/>
                <w:sz w:val="24"/>
                <w:szCs w:val="24"/>
                <w:highlight w:val="none"/>
              </w:rPr>
              <w:t>30 日内</w:t>
            </w:r>
          </w:p>
        </w:tc>
        <w:tc>
          <w:tcPr>
            <w:tcW w:w="922" w:type="dxa"/>
            <w:vAlign w:val="center"/>
          </w:tcPr>
          <w:p w14:paraId="705B267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hint="eastAsia" w:ascii="楷体" w:hAnsi="楷体" w:eastAsia="楷体" w:cs="楷体"/>
                <w:sz w:val="21"/>
                <w:highlight w:val="none"/>
              </w:rPr>
            </w:pPr>
          </w:p>
          <w:p w14:paraId="5EF4A52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0" w:firstLineChars="200"/>
              <w:jc w:val="both"/>
              <w:textAlignment w:val="baseline"/>
              <w:rPr>
                <w:rFonts w:hint="eastAsia" w:ascii="楷体" w:hAnsi="楷体" w:eastAsia="楷体" w:cs="楷体"/>
                <w:sz w:val="24"/>
                <w:szCs w:val="24"/>
                <w:highlight w:val="none"/>
              </w:rPr>
            </w:pPr>
            <w:r>
              <w:rPr>
                <w:rFonts w:hint="eastAsia" w:ascii="楷体" w:hAnsi="楷体" w:eastAsia="楷体" w:cs="楷体"/>
                <w:spacing w:val="-5"/>
                <w:sz w:val="24"/>
                <w:szCs w:val="24"/>
                <w:highlight w:val="none"/>
              </w:rPr>
              <w:t>30%</w:t>
            </w:r>
          </w:p>
        </w:tc>
        <w:tc>
          <w:tcPr>
            <w:tcW w:w="2128" w:type="dxa"/>
            <w:vAlign w:val="center"/>
          </w:tcPr>
          <w:p w14:paraId="0F81105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20" w:firstLineChars="200"/>
              <w:jc w:val="both"/>
              <w:textAlignment w:val="baseline"/>
              <w:rPr>
                <w:rFonts w:hint="eastAsia" w:ascii="楷体" w:hAnsi="楷体" w:eastAsia="楷体" w:cs="楷体"/>
                <w:sz w:val="21"/>
                <w:highlight w:val="none"/>
              </w:rPr>
            </w:pPr>
          </w:p>
        </w:tc>
      </w:tr>
    </w:tbl>
    <w:p w14:paraId="7A4159A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4" w:firstLineChars="200"/>
        <w:jc w:val="left"/>
        <w:textAlignment w:val="baseline"/>
        <w:outlineLvl w:val="1"/>
        <w:rPr>
          <w:rFonts w:hint="eastAsia" w:ascii="楷体" w:hAnsi="楷体" w:eastAsia="楷体" w:cs="楷体"/>
          <w:sz w:val="24"/>
          <w:szCs w:val="24"/>
          <w:highlight w:val="none"/>
        </w:rPr>
      </w:pPr>
      <w:bookmarkStart w:id="50" w:name="_Toc2212"/>
      <w:r>
        <w:rPr>
          <w:rFonts w:hint="eastAsia" w:ascii="楷体" w:hAnsi="楷体" w:eastAsia="楷体" w:cs="楷体"/>
          <w:b/>
          <w:bCs/>
          <w:spacing w:val="-9"/>
          <w:sz w:val="24"/>
          <w:szCs w:val="24"/>
          <w:highlight w:val="none"/>
        </w:rPr>
        <w:t>第六条</w:t>
      </w:r>
      <w:r>
        <w:rPr>
          <w:rFonts w:hint="eastAsia" w:ascii="楷体" w:hAnsi="楷体" w:eastAsia="楷体" w:cs="楷体"/>
          <w:spacing w:val="40"/>
          <w:sz w:val="24"/>
          <w:szCs w:val="24"/>
          <w:highlight w:val="none"/>
        </w:rPr>
        <w:t xml:space="preserve"> </w:t>
      </w:r>
      <w:r>
        <w:rPr>
          <w:rFonts w:hint="eastAsia" w:ascii="楷体" w:hAnsi="楷体" w:eastAsia="楷体" w:cs="楷体"/>
          <w:b/>
          <w:bCs/>
          <w:spacing w:val="-9"/>
          <w:sz w:val="24"/>
          <w:szCs w:val="24"/>
          <w:highlight w:val="none"/>
        </w:rPr>
        <w:t>甲方责任</w:t>
      </w:r>
      <w:bookmarkEnd w:id="50"/>
    </w:p>
    <w:p w14:paraId="17E1140B">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1、向乙方提出具体明确年度</w:t>
      </w:r>
      <w:r>
        <w:rPr>
          <w:rFonts w:hint="eastAsia" w:ascii="楷体" w:hAnsi="楷体" w:eastAsia="楷体" w:cs="楷体"/>
          <w:spacing w:val="-1"/>
          <w:sz w:val="24"/>
          <w:szCs w:val="24"/>
          <w:highlight w:val="none"/>
          <w:lang w:eastAsia="zh-CN"/>
        </w:rPr>
        <w:t>大雁塔</w:t>
      </w:r>
      <w:r>
        <w:rPr>
          <w:rFonts w:hint="eastAsia" w:ascii="楷体" w:hAnsi="楷体" w:eastAsia="楷体" w:cs="楷体"/>
          <w:spacing w:val="-1"/>
          <w:sz w:val="24"/>
          <w:szCs w:val="24"/>
          <w:highlight w:val="none"/>
        </w:rPr>
        <w:t>综合监测</w:t>
      </w:r>
      <w:r>
        <w:rPr>
          <w:rFonts w:hint="eastAsia" w:ascii="楷体" w:hAnsi="楷体" w:eastAsia="楷体" w:cs="楷体"/>
          <w:spacing w:val="-2"/>
          <w:sz w:val="24"/>
          <w:szCs w:val="24"/>
          <w:highlight w:val="none"/>
        </w:rPr>
        <w:t>要求；</w:t>
      </w:r>
    </w:p>
    <w:p w14:paraId="70643B5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2、向乙方提供项目涉及</w:t>
      </w:r>
      <w:r>
        <w:rPr>
          <w:rFonts w:hint="eastAsia" w:ascii="楷体" w:hAnsi="楷体" w:eastAsia="楷体" w:cs="楷体"/>
          <w:spacing w:val="-1"/>
          <w:sz w:val="24"/>
          <w:szCs w:val="24"/>
          <w:highlight w:val="none"/>
          <w:lang w:eastAsia="zh-CN"/>
        </w:rPr>
        <w:t>大雁塔</w:t>
      </w:r>
      <w:r>
        <w:rPr>
          <w:rFonts w:hint="eastAsia" w:ascii="楷体" w:hAnsi="楷体" w:eastAsia="楷体" w:cs="楷体"/>
          <w:spacing w:val="-1"/>
          <w:sz w:val="24"/>
          <w:szCs w:val="24"/>
          <w:highlight w:val="none"/>
        </w:rPr>
        <w:t>各项基础资料；</w:t>
      </w:r>
    </w:p>
    <w:p w14:paraId="44B29F38">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3、与乙方协商确定年度</w:t>
      </w:r>
      <w:r>
        <w:rPr>
          <w:rFonts w:hint="eastAsia" w:ascii="楷体" w:hAnsi="楷体" w:eastAsia="楷体" w:cs="楷体"/>
          <w:spacing w:val="-1"/>
          <w:sz w:val="24"/>
          <w:szCs w:val="24"/>
          <w:highlight w:val="none"/>
          <w:lang w:eastAsia="zh-CN"/>
        </w:rPr>
        <w:t>大雁塔</w:t>
      </w:r>
      <w:r>
        <w:rPr>
          <w:rFonts w:hint="eastAsia" w:ascii="楷体" w:hAnsi="楷体" w:eastAsia="楷体" w:cs="楷体"/>
          <w:spacing w:val="-1"/>
          <w:sz w:val="24"/>
          <w:szCs w:val="24"/>
          <w:highlight w:val="none"/>
        </w:rPr>
        <w:t>综合监测基准点和监测点位置；</w:t>
      </w:r>
    </w:p>
    <w:p w14:paraId="1F995B8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4、为乙方工作人员办理监测期间</w:t>
      </w:r>
      <w:r>
        <w:rPr>
          <w:rFonts w:hint="eastAsia" w:ascii="楷体" w:hAnsi="楷体" w:eastAsia="楷体" w:cs="楷体"/>
          <w:spacing w:val="-1"/>
          <w:sz w:val="24"/>
          <w:szCs w:val="24"/>
          <w:highlight w:val="none"/>
          <w:lang w:eastAsia="zh-CN"/>
        </w:rPr>
        <w:t>大雁塔</w:t>
      </w:r>
      <w:r>
        <w:rPr>
          <w:rFonts w:hint="eastAsia" w:ascii="楷体" w:hAnsi="楷体" w:eastAsia="楷体" w:cs="楷体"/>
          <w:spacing w:val="-1"/>
          <w:sz w:val="24"/>
          <w:szCs w:val="24"/>
          <w:highlight w:val="none"/>
        </w:rPr>
        <w:t>出入证件；</w:t>
      </w:r>
    </w:p>
    <w:p w14:paraId="7A90881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5、按合同约定支付项目费用；</w:t>
      </w:r>
    </w:p>
    <w:p w14:paraId="3FE2983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6、当乙方出具的监测结果出现异常变化时，及</w:t>
      </w:r>
      <w:r>
        <w:rPr>
          <w:rFonts w:hint="eastAsia" w:ascii="楷体" w:hAnsi="楷体" w:eastAsia="楷体" w:cs="楷体"/>
          <w:spacing w:val="1"/>
          <w:sz w:val="24"/>
          <w:szCs w:val="24"/>
          <w:highlight w:val="none"/>
        </w:rPr>
        <w:t>时组织召开研判会议，确定应对措</w:t>
      </w:r>
      <w:r>
        <w:rPr>
          <w:rFonts w:hint="eastAsia" w:ascii="楷体" w:hAnsi="楷体" w:eastAsia="楷体" w:cs="楷体"/>
          <w:spacing w:val="-5"/>
          <w:sz w:val="24"/>
          <w:szCs w:val="24"/>
          <w:highlight w:val="none"/>
        </w:rPr>
        <w:t>施。</w:t>
      </w:r>
    </w:p>
    <w:p w14:paraId="0A06360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48" w:firstLineChars="200"/>
        <w:jc w:val="left"/>
        <w:textAlignment w:val="baseline"/>
        <w:outlineLvl w:val="1"/>
        <w:rPr>
          <w:rFonts w:hint="eastAsia" w:ascii="楷体" w:hAnsi="楷体" w:eastAsia="楷体" w:cs="楷体"/>
          <w:sz w:val="24"/>
          <w:szCs w:val="24"/>
          <w:highlight w:val="none"/>
        </w:rPr>
      </w:pPr>
      <w:bookmarkStart w:id="51" w:name="_Toc19169"/>
      <w:r>
        <w:rPr>
          <w:rFonts w:hint="eastAsia" w:ascii="楷体" w:hAnsi="楷体" w:eastAsia="楷体" w:cs="楷体"/>
          <w:b/>
          <w:bCs/>
          <w:spacing w:val="-8"/>
          <w:sz w:val="24"/>
          <w:szCs w:val="24"/>
          <w:highlight w:val="none"/>
        </w:rPr>
        <w:t>第七条</w:t>
      </w:r>
      <w:r>
        <w:rPr>
          <w:rFonts w:hint="eastAsia" w:ascii="楷体" w:hAnsi="楷体" w:eastAsia="楷体" w:cs="楷体"/>
          <w:spacing w:val="32"/>
          <w:sz w:val="24"/>
          <w:szCs w:val="24"/>
          <w:highlight w:val="none"/>
        </w:rPr>
        <w:t xml:space="preserve"> </w:t>
      </w:r>
      <w:r>
        <w:rPr>
          <w:rFonts w:hint="eastAsia" w:ascii="楷体" w:hAnsi="楷体" w:eastAsia="楷体" w:cs="楷体"/>
          <w:b/>
          <w:bCs/>
          <w:spacing w:val="-8"/>
          <w:sz w:val="24"/>
          <w:szCs w:val="24"/>
          <w:highlight w:val="none"/>
        </w:rPr>
        <w:t>乙方责任</w:t>
      </w:r>
      <w:bookmarkEnd w:id="51"/>
    </w:p>
    <w:p w14:paraId="336C72A8">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1、与甲方协商确定年监测基准点和监测点位置。</w:t>
      </w:r>
    </w:p>
    <w:p w14:paraId="20A9B67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2、按照国家的相应规定以及精度要求，按</w:t>
      </w:r>
      <w:r>
        <w:rPr>
          <w:rFonts w:hint="eastAsia" w:ascii="楷体" w:hAnsi="楷体" w:eastAsia="楷体" w:cs="楷体"/>
          <w:spacing w:val="-1"/>
          <w:sz w:val="24"/>
          <w:szCs w:val="24"/>
          <w:highlight w:val="none"/>
        </w:rPr>
        <w:t>照双方约定周期开展监测工作。</w:t>
      </w:r>
    </w:p>
    <w:p w14:paraId="14FCA83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3、按照双方协商确定的方案布设、标识、</w:t>
      </w:r>
      <w:r>
        <w:rPr>
          <w:rFonts w:hint="eastAsia" w:ascii="楷体" w:hAnsi="楷体" w:eastAsia="楷体" w:cs="楷体"/>
          <w:spacing w:val="-67"/>
          <w:sz w:val="24"/>
          <w:szCs w:val="24"/>
          <w:highlight w:val="none"/>
        </w:rPr>
        <w:t xml:space="preserve"> </w:t>
      </w:r>
      <w:r>
        <w:rPr>
          <w:rFonts w:hint="eastAsia" w:ascii="楷体" w:hAnsi="楷体" w:eastAsia="楷体" w:cs="楷体"/>
          <w:spacing w:val="-1"/>
          <w:sz w:val="24"/>
          <w:szCs w:val="24"/>
          <w:highlight w:val="none"/>
        </w:rPr>
        <w:t>日常管理监测基准点和观测点。</w:t>
      </w:r>
      <w:r>
        <w:rPr>
          <w:rFonts w:hint="eastAsia" w:ascii="楷体" w:hAnsi="楷体" w:eastAsia="楷体" w:cs="楷体"/>
          <w:spacing w:val="-2"/>
          <w:sz w:val="24"/>
          <w:szCs w:val="24"/>
          <w:highlight w:val="none"/>
        </w:rPr>
        <w:t>布设、</w:t>
      </w:r>
      <w:r>
        <w:rPr>
          <w:rFonts w:hint="eastAsia" w:ascii="楷体" w:hAnsi="楷体" w:eastAsia="楷体" w:cs="楷体"/>
          <w:sz w:val="24"/>
          <w:szCs w:val="24"/>
          <w:highlight w:val="none"/>
        </w:rPr>
        <w:t xml:space="preserve"> </w:t>
      </w:r>
      <w:r>
        <w:rPr>
          <w:rFonts w:hint="eastAsia" w:ascii="楷体" w:hAnsi="楷体" w:eastAsia="楷体" w:cs="楷体"/>
          <w:spacing w:val="-3"/>
          <w:sz w:val="24"/>
          <w:szCs w:val="24"/>
          <w:highlight w:val="none"/>
        </w:rPr>
        <w:t>标识、</w:t>
      </w:r>
      <w:r>
        <w:rPr>
          <w:rFonts w:hint="eastAsia" w:ascii="楷体" w:hAnsi="楷体" w:eastAsia="楷体" w:cs="楷体"/>
          <w:spacing w:val="-51"/>
          <w:sz w:val="24"/>
          <w:szCs w:val="24"/>
          <w:highlight w:val="none"/>
        </w:rPr>
        <w:t xml:space="preserve"> </w:t>
      </w:r>
      <w:r>
        <w:rPr>
          <w:rFonts w:hint="eastAsia" w:ascii="楷体" w:hAnsi="楷体" w:eastAsia="楷体" w:cs="楷体"/>
          <w:spacing w:val="-3"/>
          <w:sz w:val="24"/>
          <w:szCs w:val="24"/>
          <w:highlight w:val="none"/>
        </w:rPr>
        <w:t>日常管理应符合甲方文物保护、美观形象等各项要求。</w:t>
      </w:r>
    </w:p>
    <w:p w14:paraId="42A251E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4、如果基准点和监测点遭受破坏，由乙方重新埋设，自行</w:t>
      </w:r>
      <w:r>
        <w:rPr>
          <w:rFonts w:hint="eastAsia" w:ascii="楷体" w:hAnsi="楷体" w:eastAsia="楷体" w:cs="楷体"/>
          <w:spacing w:val="-1"/>
          <w:sz w:val="24"/>
          <w:szCs w:val="24"/>
          <w:highlight w:val="none"/>
        </w:rPr>
        <w:t>承担由此引发的费用。</w:t>
      </w:r>
    </w:p>
    <w:p w14:paraId="769E4C9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5、乙方在获得监测数据后，应组织相关人员开展数据研判，并及时将监测阶段成</w:t>
      </w:r>
      <w:r>
        <w:rPr>
          <w:rFonts w:hint="eastAsia" w:ascii="楷体" w:hAnsi="楷体" w:eastAsia="楷体" w:cs="楷体"/>
          <w:spacing w:val="18"/>
          <w:sz w:val="24"/>
          <w:szCs w:val="24"/>
          <w:highlight w:val="none"/>
        </w:rPr>
        <w:t xml:space="preserve"> </w:t>
      </w:r>
      <w:r>
        <w:rPr>
          <w:rFonts w:hint="eastAsia" w:ascii="楷体" w:hAnsi="楷体" w:eastAsia="楷体" w:cs="楷体"/>
          <w:spacing w:val="-3"/>
          <w:sz w:val="24"/>
          <w:szCs w:val="24"/>
          <w:highlight w:val="none"/>
        </w:rPr>
        <w:t>果向甲方报送。</w:t>
      </w:r>
    </w:p>
    <w:p w14:paraId="15A9544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pacing w:val="-5"/>
          <w:sz w:val="24"/>
          <w:szCs w:val="24"/>
          <w:highlight w:val="none"/>
        </w:rPr>
      </w:pPr>
      <w:r>
        <w:rPr>
          <w:rFonts w:hint="eastAsia" w:ascii="楷体" w:hAnsi="楷体" w:eastAsia="楷体" w:cs="楷体"/>
          <w:spacing w:val="2"/>
          <w:sz w:val="24"/>
          <w:szCs w:val="24"/>
          <w:highlight w:val="none"/>
        </w:rPr>
        <w:t>6、严格按照监测内容、周期提交相应阶段成果</w:t>
      </w:r>
      <w:r>
        <w:rPr>
          <w:rFonts w:hint="eastAsia" w:ascii="楷体" w:hAnsi="楷体" w:eastAsia="楷体" w:cs="楷体"/>
          <w:spacing w:val="1"/>
          <w:sz w:val="24"/>
          <w:szCs w:val="24"/>
          <w:highlight w:val="none"/>
        </w:rPr>
        <w:t>，并对提交成果资料负各项法律责</w:t>
      </w:r>
      <w:r>
        <w:rPr>
          <w:rFonts w:hint="eastAsia" w:ascii="楷体" w:hAnsi="楷体" w:eastAsia="楷体" w:cs="楷体"/>
          <w:spacing w:val="-5"/>
          <w:sz w:val="24"/>
          <w:szCs w:val="24"/>
          <w:highlight w:val="none"/>
        </w:rPr>
        <w:t>任。</w:t>
      </w:r>
    </w:p>
    <w:p w14:paraId="388F31B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7、因乙方监测质量原因，造成监测数据及相关研判不能准确反映实际情况，造成</w:t>
      </w:r>
      <w:r>
        <w:rPr>
          <w:rFonts w:hint="eastAsia" w:ascii="楷体" w:hAnsi="楷体" w:eastAsia="楷体" w:cs="楷体"/>
          <w:spacing w:val="17"/>
          <w:sz w:val="24"/>
          <w:szCs w:val="24"/>
          <w:highlight w:val="none"/>
        </w:rPr>
        <w:t xml:space="preserve"> </w:t>
      </w:r>
      <w:r>
        <w:rPr>
          <w:rFonts w:hint="eastAsia" w:ascii="楷体" w:hAnsi="楷体" w:eastAsia="楷体" w:cs="楷体"/>
          <w:spacing w:val="-2"/>
          <w:sz w:val="24"/>
          <w:szCs w:val="24"/>
          <w:highlight w:val="none"/>
        </w:rPr>
        <w:t>甲方文物安全损失，乙方承担一切损失和法律责任。</w:t>
      </w:r>
    </w:p>
    <w:p w14:paraId="73238B6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8、合同履行过程中，乙方在监测过程中若发现异</w:t>
      </w:r>
      <w:r>
        <w:rPr>
          <w:rFonts w:hint="eastAsia" w:ascii="楷体" w:hAnsi="楷体" w:eastAsia="楷体" w:cs="楷体"/>
          <w:spacing w:val="1"/>
          <w:sz w:val="24"/>
          <w:szCs w:val="24"/>
          <w:highlight w:val="none"/>
        </w:rPr>
        <w:t>常变形情况，应在获得监测数据</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第一时间口头向甲方预警，并于</w:t>
      </w:r>
      <w:r>
        <w:rPr>
          <w:rFonts w:hint="eastAsia" w:ascii="楷体" w:hAnsi="楷体" w:eastAsia="楷体" w:cs="楷体"/>
          <w:spacing w:val="-48"/>
          <w:sz w:val="24"/>
          <w:szCs w:val="24"/>
          <w:highlight w:val="none"/>
        </w:rPr>
        <w:t xml:space="preserve"> </w:t>
      </w:r>
      <w:r>
        <w:rPr>
          <w:rFonts w:hint="eastAsia" w:ascii="楷体" w:hAnsi="楷体" w:eastAsia="楷体" w:cs="楷体"/>
          <w:spacing w:val="-2"/>
          <w:sz w:val="24"/>
          <w:szCs w:val="24"/>
          <w:highlight w:val="none"/>
        </w:rPr>
        <w:t>2</w:t>
      </w:r>
      <w:r>
        <w:rPr>
          <w:rFonts w:hint="eastAsia" w:ascii="楷体" w:hAnsi="楷体" w:eastAsia="楷体" w:cs="楷体"/>
          <w:spacing w:val="-44"/>
          <w:sz w:val="24"/>
          <w:szCs w:val="24"/>
          <w:highlight w:val="none"/>
        </w:rPr>
        <w:t xml:space="preserve"> </w:t>
      </w:r>
      <w:r>
        <w:rPr>
          <w:rFonts w:hint="eastAsia" w:ascii="楷体" w:hAnsi="楷体" w:eastAsia="楷体" w:cs="楷体"/>
          <w:spacing w:val="-2"/>
          <w:sz w:val="24"/>
          <w:szCs w:val="24"/>
          <w:highlight w:val="none"/>
        </w:rPr>
        <w:t>小时内书面向甲方预警</w:t>
      </w:r>
      <w:r>
        <w:rPr>
          <w:rFonts w:hint="eastAsia" w:ascii="楷体" w:hAnsi="楷体" w:eastAsia="楷体" w:cs="楷体"/>
          <w:spacing w:val="-3"/>
          <w:sz w:val="24"/>
          <w:szCs w:val="24"/>
          <w:highlight w:val="none"/>
        </w:rPr>
        <w:t>并附相应应对措施建议。由于</w:t>
      </w:r>
      <w:r>
        <w:rPr>
          <w:rFonts w:hint="eastAsia" w:ascii="楷体" w:hAnsi="楷体" w:eastAsia="楷体" w:cs="楷体"/>
          <w:sz w:val="24"/>
          <w:szCs w:val="24"/>
          <w:highlight w:val="none"/>
        </w:rPr>
        <w:t xml:space="preserve"> </w:t>
      </w:r>
      <w:r>
        <w:rPr>
          <w:rFonts w:hint="eastAsia" w:ascii="楷体" w:hAnsi="楷体" w:eastAsia="楷体" w:cs="楷体"/>
          <w:spacing w:val="-1"/>
          <w:sz w:val="24"/>
          <w:szCs w:val="24"/>
          <w:highlight w:val="none"/>
        </w:rPr>
        <w:t>乙方预警不及时造成的一切损失和法律责任，由乙方承担。</w:t>
      </w:r>
    </w:p>
    <w:p w14:paraId="5E9FD0C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9、合同履行过程中，乙方负责其工作人员人身、财产安全，乙方工作人员人身、</w:t>
      </w:r>
      <w:r>
        <w:rPr>
          <w:rFonts w:hint="eastAsia" w:ascii="楷体" w:hAnsi="楷体" w:eastAsia="楷体" w:cs="楷体"/>
          <w:spacing w:val="18"/>
          <w:sz w:val="24"/>
          <w:szCs w:val="24"/>
          <w:highlight w:val="none"/>
        </w:rPr>
        <w:t xml:space="preserve"> </w:t>
      </w:r>
      <w:r>
        <w:rPr>
          <w:rFonts w:hint="eastAsia" w:ascii="楷体" w:hAnsi="楷体" w:eastAsia="楷体" w:cs="楷体"/>
          <w:spacing w:val="-1"/>
          <w:sz w:val="24"/>
          <w:szCs w:val="24"/>
          <w:highlight w:val="none"/>
        </w:rPr>
        <w:t>财产损失及法律责任，由乙方承担全部责任，甲方不承担任何责任。</w:t>
      </w:r>
    </w:p>
    <w:p w14:paraId="1B27DD5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10、合同履行过程中，由于乙方原因导致第三方人身、财产等权益受损</w:t>
      </w:r>
      <w:r>
        <w:rPr>
          <w:rFonts w:hint="eastAsia" w:ascii="楷体" w:hAnsi="楷体" w:eastAsia="楷体" w:cs="楷体"/>
          <w:spacing w:val="-3"/>
          <w:sz w:val="24"/>
          <w:szCs w:val="24"/>
          <w:highlight w:val="none"/>
        </w:rPr>
        <w:t>失，乙方承</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担由此引发的一切纠纷、损失和法律责任。由此所造成的甲方陷入包括但不限于诉讼等</w:t>
      </w:r>
      <w:r>
        <w:rPr>
          <w:rFonts w:hint="eastAsia" w:ascii="楷体" w:hAnsi="楷体" w:eastAsia="楷体" w:cs="楷体"/>
          <w:spacing w:val="14"/>
          <w:sz w:val="24"/>
          <w:szCs w:val="24"/>
          <w:highlight w:val="none"/>
        </w:rPr>
        <w:t xml:space="preserve"> </w:t>
      </w:r>
      <w:r>
        <w:rPr>
          <w:rFonts w:hint="eastAsia" w:ascii="楷体" w:hAnsi="楷体" w:eastAsia="楷体" w:cs="楷体"/>
          <w:spacing w:val="-11"/>
          <w:sz w:val="24"/>
          <w:szCs w:val="24"/>
          <w:highlight w:val="none"/>
        </w:rPr>
        <w:t>纠纷时，乙方还应向甲方赔偿损失（包括但</w:t>
      </w:r>
      <w:r>
        <w:rPr>
          <w:rFonts w:hint="eastAsia" w:ascii="楷体" w:hAnsi="楷体" w:eastAsia="楷体" w:cs="楷体"/>
          <w:spacing w:val="-12"/>
          <w:sz w:val="24"/>
          <w:szCs w:val="24"/>
          <w:highlight w:val="none"/>
        </w:rPr>
        <w:t>不限于赔偿金、违约金、诉讼费、律师费等）。</w:t>
      </w:r>
    </w:p>
    <w:p w14:paraId="011AD4B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11、合同履行过程中，涉及西安</w:t>
      </w:r>
      <w:r>
        <w:rPr>
          <w:rFonts w:hint="eastAsia" w:ascii="楷体" w:hAnsi="楷体" w:eastAsia="楷体" w:cs="楷体"/>
          <w:spacing w:val="-2"/>
          <w:sz w:val="24"/>
          <w:szCs w:val="24"/>
          <w:highlight w:val="none"/>
          <w:lang w:eastAsia="zh-CN"/>
        </w:rPr>
        <w:t>大雁塔</w:t>
      </w:r>
      <w:r>
        <w:rPr>
          <w:rFonts w:hint="eastAsia" w:ascii="楷体" w:hAnsi="楷体" w:eastAsia="楷体" w:cs="楷体"/>
          <w:spacing w:val="-2"/>
          <w:sz w:val="24"/>
          <w:szCs w:val="24"/>
          <w:highlight w:val="none"/>
        </w:rPr>
        <w:t>文物本体的文物安全由乙方负责，</w:t>
      </w:r>
      <w:r>
        <w:rPr>
          <w:rFonts w:hint="eastAsia" w:ascii="楷体" w:hAnsi="楷体" w:eastAsia="楷体" w:cs="楷体"/>
          <w:spacing w:val="-3"/>
          <w:sz w:val="24"/>
          <w:szCs w:val="24"/>
          <w:highlight w:val="none"/>
        </w:rPr>
        <w:t>由于乙方原</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因造成</w:t>
      </w:r>
      <w:r>
        <w:rPr>
          <w:rFonts w:hint="eastAsia" w:ascii="楷体" w:hAnsi="楷体" w:eastAsia="楷体" w:cs="楷体"/>
          <w:spacing w:val="-2"/>
          <w:sz w:val="24"/>
          <w:szCs w:val="24"/>
          <w:highlight w:val="none"/>
          <w:lang w:eastAsia="zh-CN"/>
        </w:rPr>
        <w:t>大雁塔</w:t>
      </w:r>
      <w:r>
        <w:rPr>
          <w:rFonts w:hint="eastAsia" w:ascii="楷体" w:hAnsi="楷体" w:eastAsia="楷体" w:cs="楷体"/>
          <w:spacing w:val="-2"/>
          <w:sz w:val="24"/>
          <w:szCs w:val="24"/>
          <w:highlight w:val="none"/>
        </w:rPr>
        <w:t>本体的文物损坏，乙方承担全部责任，该责任包括但不限于赔偿损失，承担</w:t>
      </w:r>
      <w:r>
        <w:rPr>
          <w:rFonts w:hint="eastAsia" w:ascii="楷体" w:hAnsi="楷体" w:eastAsia="楷体" w:cs="楷体"/>
          <w:spacing w:val="11"/>
          <w:sz w:val="24"/>
          <w:szCs w:val="24"/>
          <w:highlight w:val="none"/>
        </w:rPr>
        <w:t xml:space="preserve"> </w:t>
      </w:r>
      <w:r>
        <w:rPr>
          <w:rFonts w:hint="eastAsia" w:ascii="楷体" w:hAnsi="楷体" w:eastAsia="楷体" w:cs="楷体"/>
          <w:spacing w:val="-3"/>
          <w:sz w:val="24"/>
          <w:szCs w:val="24"/>
          <w:highlight w:val="none"/>
        </w:rPr>
        <w:t>行政罚款等。</w:t>
      </w:r>
    </w:p>
    <w:p w14:paraId="637563F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52" w:name="_Toc32377"/>
      <w:r>
        <w:rPr>
          <w:rFonts w:hint="eastAsia" w:ascii="楷体" w:hAnsi="楷体" w:eastAsia="楷体" w:cs="楷体"/>
          <w:b/>
          <w:bCs/>
          <w:spacing w:val="-3"/>
          <w:sz w:val="24"/>
          <w:szCs w:val="24"/>
          <w:highlight w:val="none"/>
        </w:rPr>
        <w:t>第八条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保密条款</w:t>
      </w:r>
      <w:bookmarkEnd w:id="52"/>
    </w:p>
    <w:p w14:paraId="1170779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1、乙方承诺对甲方的业务秘密及在服务过程中获悉的一切数据、资料等负有保密</w:t>
      </w:r>
      <w:r>
        <w:rPr>
          <w:rFonts w:hint="eastAsia" w:ascii="楷体" w:hAnsi="楷体" w:eastAsia="楷体" w:cs="楷体"/>
          <w:spacing w:val="2"/>
          <w:sz w:val="24"/>
          <w:szCs w:val="24"/>
          <w:highlight w:val="none"/>
        </w:rPr>
        <w:t xml:space="preserve"> </w:t>
      </w:r>
      <w:r>
        <w:rPr>
          <w:rFonts w:hint="eastAsia" w:ascii="楷体" w:hAnsi="楷体" w:eastAsia="楷体" w:cs="楷体"/>
          <w:spacing w:val="-5"/>
          <w:sz w:val="24"/>
          <w:szCs w:val="24"/>
          <w:highlight w:val="none"/>
        </w:rPr>
        <w:t>义务。</w:t>
      </w:r>
    </w:p>
    <w:p w14:paraId="2F54665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2、乙方在甲方未公开披露的情况下，不得向第三方泄露甲方的业务秘密;不得许可</w:t>
      </w:r>
      <w:r>
        <w:rPr>
          <w:rFonts w:hint="eastAsia" w:ascii="楷体" w:hAnsi="楷体" w:eastAsia="楷体" w:cs="楷体"/>
          <w:spacing w:val="10"/>
          <w:sz w:val="24"/>
          <w:szCs w:val="24"/>
          <w:highlight w:val="none"/>
        </w:rPr>
        <w:t xml:space="preserve"> </w:t>
      </w:r>
      <w:r>
        <w:rPr>
          <w:rFonts w:hint="eastAsia" w:ascii="楷体" w:hAnsi="楷体" w:eastAsia="楷体" w:cs="楷体"/>
          <w:spacing w:val="2"/>
          <w:sz w:val="24"/>
          <w:szCs w:val="24"/>
          <w:highlight w:val="none"/>
        </w:rPr>
        <w:t>第三方使用甲方的业务秘密</w:t>
      </w:r>
      <w:r>
        <w:rPr>
          <w:rFonts w:hint="eastAsia" w:ascii="楷体" w:hAnsi="楷体" w:eastAsia="楷体" w:cs="楷体"/>
          <w:spacing w:val="-69"/>
          <w:sz w:val="24"/>
          <w:szCs w:val="24"/>
          <w:highlight w:val="none"/>
        </w:rPr>
        <w:t xml:space="preserve"> </w:t>
      </w:r>
      <w:r>
        <w:rPr>
          <w:rFonts w:hint="eastAsia" w:ascii="楷体" w:hAnsi="楷体" w:eastAsia="楷体" w:cs="楷体"/>
          <w:spacing w:val="2"/>
          <w:sz w:val="24"/>
          <w:szCs w:val="24"/>
          <w:highlight w:val="none"/>
        </w:rPr>
        <w:t>;不得以任何形式私自利用上述业务秘密</w:t>
      </w:r>
      <w:r>
        <w:rPr>
          <w:rFonts w:hint="eastAsia" w:ascii="楷体" w:hAnsi="楷体" w:eastAsia="楷体" w:cs="楷体"/>
          <w:spacing w:val="-65"/>
          <w:sz w:val="24"/>
          <w:szCs w:val="24"/>
          <w:highlight w:val="none"/>
        </w:rPr>
        <w:t xml:space="preserve"> </w:t>
      </w:r>
      <w:r>
        <w:rPr>
          <w:rFonts w:hint="eastAsia" w:ascii="楷体" w:hAnsi="楷体" w:eastAsia="楷体" w:cs="楷体"/>
          <w:spacing w:val="2"/>
          <w:sz w:val="24"/>
          <w:szCs w:val="24"/>
          <w:highlight w:val="none"/>
        </w:rPr>
        <w:t>;对于一项完</w:t>
      </w:r>
      <w:r>
        <w:rPr>
          <w:rFonts w:hint="eastAsia" w:ascii="楷体" w:hAnsi="楷体" w:eastAsia="楷体" w:cs="楷体"/>
          <w:spacing w:val="1"/>
          <w:sz w:val="24"/>
          <w:szCs w:val="24"/>
          <w:highlight w:val="none"/>
        </w:rPr>
        <w:t>整的</w:t>
      </w:r>
      <w:r>
        <w:rPr>
          <w:rFonts w:hint="eastAsia" w:ascii="楷体" w:hAnsi="楷体" w:eastAsia="楷体" w:cs="楷体"/>
          <w:sz w:val="24"/>
          <w:szCs w:val="24"/>
          <w:highlight w:val="none"/>
        </w:rPr>
        <w:t xml:space="preserve"> 业务秘密，如果甲方仅公开披露部分内容，对未披露的部分乙</w:t>
      </w:r>
      <w:r>
        <w:rPr>
          <w:rFonts w:hint="eastAsia" w:ascii="楷体" w:hAnsi="楷体" w:eastAsia="楷体" w:cs="楷体"/>
          <w:spacing w:val="-1"/>
          <w:sz w:val="24"/>
          <w:szCs w:val="24"/>
          <w:highlight w:val="none"/>
        </w:rPr>
        <w:t>方仍要承担保密义务。</w:t>
      </w:r>
    </w:p>
    <w:p w14:paraId="73EFFFD9">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3、保密期限：乙方承担保密义务的期限自甲、乙双方签订本合同时起至甲方向社</w:t>
      </w:r>
      <w:r>
        <w:rPr>
          <w:rFonts w:hint="eastAsia" w:ascii="楷体" w:hAnsi="楷体" w:eastAsia="楷体" w:cs="楷体"/>
          <w:spacing w:val="15"/>
          <w:sz w:val="24"/>
          <w:szCs w:val="24"/>
          <w:highlight w:val="none"/>
        </w:rPr>
        <w:t xml:space="preserve"> </w:t>
      </w:r>
      <w:r>
        <w:rPr>
          <w:rFonts w:hint="eastAsia" w:ascii="楷体" w:hAnsi="楷体" w:eastAsia="楷体" w:cs="楷体"/>
          <w:spacing w:val="-2"/>
          <w:sz w:val="24"/>
          <w:szCs w:val="24"/>
          <w:highlight w:val="none"/>
        </w:rPr>
        <w:t>会公众披露该信息时止，在此期间无论甲、乙双方合同关系是否存在，乙方都应无条件</w:t>
      </w:r>
      <w:r>
        <w:rPr>
          <w:rFonts w:hint="eastAsia" w:ascii="楷体" w:hAnsi="楷体" w:eastAsia="楷体" w:cs="楷体"/>
          <w:spacing w:val="16"/>
          <w:sz w:val="24"/>
          <w:szCs w:val="24"/>
          <w:highlight w:val="none"/>
        </w:rPr>
        <w:t xml:space="preserve"> </w:t>
      </w:r>
      <w:r>
        <w:rPr>
          <w:rFonts w:hint="eastAsia" w:ascii="楷体" w:hAnsi="楷体" w:eastAsia="楷体" w:cs="楷体"/>
          <w:spacing w:val="-1"/>
          <w:sz w:val="24"/>
          <w:szCs w:val="24"/>
          <w:highlight w:val="none"/>
        </w:rPr>
        <w:t>的保守甲方业务秘密。</w:t>
      </w:r>
    </w:p>
    <w:p w14:paraId="5D02019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8" w:firstLineChars="200"/>
        <w:jc w:val="left"/>
        <w:textAlignment w:val="baseline"/>
        <w:outlineLvl w:val="1"/>
        <w:rPr>
          <w:rFonts w:hint="eastAsia" w:ascii="楷体" w:hAnsi="楷体" w:eastAsia="楷体" w:cs="楷体"/>
          <w:sz w:val="24"/>
          <w:szCs w:val="24"/>
          <w:highlight w:val="none"/>
        </w:rPr>
      </w:pPr>
      <w:bookmarkStart w:id="53" w:name="_Toc9462"/>
      <w:r>
        <w:rPr>
          <w:rFonts w:hint="eastAsia" w:ascii="楷体" w:hAnsi="楷体" w:eastAsia="楷体" w:cs="楷体"/>
          <w:b/>
          <w:bCs/>
          <w:spacing w:val="-3"/>
          <w:sz w:val="24"/>
          <w:szCs w:val="24"/>
          <w:highlight w:val="none"/>
        </w:rPr>
        <w:t>第九条</w:t>
      </w:r>
      <w:r>
        <w:rPr>
          <w:rFonts w:hint="eastAsia" w:ascii="楷体" w:hAnsi="楷体" w:eastAsia="楷体" w:cs="楷体"/>
          <w:spacing w:val="-3"/>
          <w:sz w:val="24"/>
          <w:szCs w:val="24"/>
          <w:highlight w:val="none"/>
        </w:rPr>
        <w:t xml:space="preserve"> </w:t>
      </w:r>
      <w:r>
        <w:rPr>
          <w:rFonts w:hint="eastAsia" w:ascii="楷体" w:hAnsi="楷体" w:eastAsia="楷体" w:cs="楷体"/>
          <w:b/>
          <w:bCs/>
          <w:spacing w:val="-3"/>
          <w:sz w:val="24"/>
          <w:szCs w:val="24"/>
          <w:highlight w:val="none"/>
        </w:rPr>
        <w:t>违约责任与争议解决</w:t>
      </w:r>
      <w:bookmarkEnd w:id="53"/>
    </w:p>
    <w:p w14:paraId="2A8938A7">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6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4"/>
          <w:sz w:val="24"/>
          <w:szCs w:val="24"/>
          <w:highlight w:val="none"/>
        </w:rPr>
        <w:t>1、合同生效后，无正当理由，甲方擅自中途停止或解除合同，乙方未开始工作的，</w:t>
      </w:r>
      <w:r>
        <w:rPr>
          <w:rFonts w:hint="eastAsia" w:ascii="楷体" w:hAnsi="楷体" w:eastAsia="楷体" w:cs="楷体"/>
          <w:spacing w:val="12"/>
          <w:sz w:val="24"/>
          <w:szCs w:val="24"/>
          <w:highlight w:val="none"/>
        </w:rPr>
        <w:t xml:space="preserve"> </w:t>
      </w:r>
      <w:r>
        <w:rPr>
          <w:rFonts w:hint="eastAsia" w:ascii="楷体" w:hAnsi="楷体" w:eastAsia="楷体" w:cs="楷体"/>
          <w:spacing w:val="-2"/>
          <w:sz w:val="24"/>
          <w:szCs w:val="24"/>
          <w:highlight w:val="none"/>
        </w:rPr>
        <w:t>甲方不承担违约责任，乙方已开始工作的，双方按照实际工作量据实结算费用，除此之</w:t>
      </w:r>
      <w:r>
        <w:rPr>
          <w:rFonts w:hint="eastAsia" w:ascii="楷体" w:hAnsi="楷体" w:eastAsia="楷体" w:cs="楷体"/>
          <w:spacing w:val="14"/>
          <w:sz w:val="24"/>
          <w:szCs w:val="24"/>
          <w:highlight w:val="none"/>
        </w:rPr>
        <w:t xml:space="preserve"> </w:t>
      </w:r>
      <w:r>
        <w:rPr>
          <w:rFonts w:hint="eastAsia" w:ascii="楷体" w:hAnsi="楷体" w:eastAsia="楷体" w:cs="楷体"/>
          <w:spacing w:val="-2"/>
          <w:sz w:val="24"/>
          <w:szCs w:val="24"/>
          <w:highlight w:val="none"/>
        </w:rPr>
        <w:t>外甲方不承担其他违约或损坏赔偿责任：乙方无正当理由不履行合同，或擅自单方解除</w:t>
      </w:r>
      <w:r>
        <w:rPr>
          <w:rFonts w:hint="eastAsia" w:ascii="楷体" w:hAnsi="楷体" w:eastAsia="楷体" w:cs="楷体"/>
          <w:spacing w:val="14"/>
          <w:sz w:val="24"/>
          <w:szCs w:val="24"/>
          <w:highlight w:val="none"/>
        </w:rPr>
        <w:t xml:space="preserve"> </w:t>
      </w:r>
      <w:r>
        <w:rPr>
          <w:rFonts w:hint="eastAsia" w:ascii="楷体" w:hAnsi="楷体" w:eastAsia="楷体" w:cs="楷体"/>
          <w:spacing w:val="-1"/>
          <w:sz w:val="24"/>
          <w:szCs w:val="24"/>
          <w:highlight w:val="none"/>
        </w:rPr>
        <w:t>本合同，乙方向甲方支付违约金（总价款的</w:t>
      </w:r>
      <w:r>
        <w:rPr>
          <w:rFonts w:hint="eastAsia" w:ascii="楷体" w:hAnsi="楷体" w:eastAsia="楷体" w:cs="楷体"/>
          <w:spacing w:val="-47"/>
          <w:sz w:val="24"/>
          <w:szCs w:val="24"/>
          <w:highlight w:val="none"/>
        </w:rPr>
        <w:t xml:space="preserve"> </w:t>
      </w:r>
      <w:r>
        <w:rPr>
          <w:rFonts w:hint="eastAsia" w:ascii="楷体" w:hAnsi="楷体" w:eastAsia="楷体" w:cs="楷体"/>
          <w:spacing w:val="-1"/>
          <w:sz w:val="24"/>
          <w:szCs w:val="24"/>
          <w:highlight w:val="none"/>
        </w:rPr>
        <w:t>20%</w:t>
      </w:r>
      <w:r>
        <w:rPr>
          <w:rFonts w:hint="eastAsia" w:ascii="楷体" w:hAnsi="楷体" w:eastAsia="楷体" w:cs="楷体"/>
          <w:spacing w:val="7"/>
          <w:sz w:val="24"/>
          <w:szCs w:val="24"/>
          <w:highlight w:val="none"/>
        </w:rPr>
        <w:t>），</w:t>
      </w:r>
      <w:r>
        <w:rPr>
          <w:rFonts w:hint="eastAsia" w:ascii="楷体" w:hAnsi="楷体" w:eastAsia="楷体" w:cs="楷体"/>
          <w:spacing w:val="-1"/>
          <w:sz w:val="24"/>
          <w:szCs w:val="24"/>
          <w:highlight w:val="none"/>
        </w:rPr>
        <w:t>并退还已支</w:t>
      </w:r>
      <w:r>
        <w:rPr>
          <w:rFonts w:hint="eastAsia" w:ascii="楷体" w:hAnsi="楷体" w:eastAsia="楷体" w:cs="楷体"/>
          <w:spacing w:val="-2"/>
          <w:sz w:val="24"/>
          <w:szCs w:val="24"/>
          <w:highlight w:val="none"/>
        </w:rPr>
        <w:t>付的项目款。</w:t>
      </w:r>
    </w:p>
    <w:p w14:paraId="11B96CF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2、乙方违反本合同任一条款约定，甲方有权</w:t>
      </w:r>
      <w:r>
        <w:rPr>
          <w:rFonts w:hint="eastAsia" w:ascii="楷体" w:hAnsi="楷体" w:eastAsia="楷体" w:cs="楷体"/>
          <w:spacing w:val="1"/>
          <w:sz w:val="24"/>
          <w:szCs w:val="24"/>
          <w:highlight w:val="none"/>
        </w:rPr>
        <w:t>解除合同，不再支付任何费用，同时</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乙方承担合同暂定总价款</w:t>
      </w:r>
      <w:r>
        <w:rPr>
          <w:rFonts w:hint="eastAsia" w:ascii="楷体" w:hAnsi="楷体" w:eastAsia="楷体" w:cs="楷体"/>
          <w:spacing w:val="-45"/>
          <w:sz w:val="24"/>
          <w:szCs w:val="24"/>
          <w:highlight w:val="none"/>
        </w:rPr>
        <w:t xml:space="preserve"> </w:t>
      </w:r>
      <w:r>
        <w:rPr>
          <w:rFonts w:hint="eastAsia" w:ascii="楷体" w:hAnsi="楷体" w:eastAsia="楷体" w:cs="楷体"/>
          <w:spacing w:val="-2"/>
          <w:sz w:val="24"/>
          <w:szCs w:val="24"/>
          <w:highlight w:val="none"/>
        </w:rPr>
        <w:t>20%的合同解除违约金。</w:t>
      </w:r>
    </w:p>
    <w:p w14:paraId="5F67C7B8">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3、甲方超过合同规定的日期付款时，甲方应按延误天数和当期银行间同业拆借中</w:t>
      </w:r>
      <w:r>
        <w:rPr>
          <w:rFonts w:hint="eastAsia" w:ascii="楷体" w:hAnsi="楷体" w:eastAsia="楷体" w:cs="楷体"/>
          <w:spacing w:val="-1"/>
          <w:sz w:val="24"/>
          <w:szCs w:val="24"/>
          <w:highlight w:val="none"/>
        </w:rPr>
        <w:t>心贷款市场报价利率标准，向乙方支付违约金。</w:t>
      </w:r>
    </w:p>
    <w:p w14:paraId="72BF168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4、乙方逾期完成本合同各阶段约定工作，</w:t>
      </w:r>
      <w:r>
        <w:rPr>
          <w:rFonts w:hint="eastAsia" w:ascii="楷体" w:hAnsi="楷体" w:eastAsia="楷体" w:cs="楷体"/>
          <w:spacing w:val="-61"/>
          <w:sz w:val="24"/>
          <w:szCs w:val="24"/>
          <w:highlight w:val="none"/>
        </w:rPr>
        <w:t xml:space="preserve"> </w:t>
      </w:r>
      <w:r>
        <w:rPr>
          <w:rFonts w:hint="eastAsia" w:ascii="楷体" w:hAnsi="楷体" w:eastAsia="楷体" w:cs="楷体"/>
          <w:sz w:val="24"/>
          <w:szCs w:val="24"/>
          <w:highlight w:val="none"/>
        </w:rPr>
        <w:t>自逾期之日起，承担合同总价款千分之 一/日的逾期违约金，逾期达</w:t>
      </w:r>
      <w:r>
        <w:rPr>
          <w:rFonts w:hint="eastAsia" w:ascii="楷体" w:hAnsi="楷体" w:eastAsia="楷体" w:cs="楷体"/>
          <w:spacing w:val="-42"/>
          <w:sz w:val="24"/>
          <w:szCs w:val="24"/>
          <w:highlight w:val="none"/>
        </w:rPr>
        <w:t xml:space="preserve"> </w:t>
      </w:r>
      <w:r>
        <w:rPr>
          <w:rFonts w:hint="eastAsia" w:ascii="楷体" w:hAnsi="楷体" w:eastAsia="楷体" w:cs="楷体"/>
          <w:sz w:val="24"/>
          <w:szCs w:val="24"/>
          <w:highlight w:val="none"/>
        </w:rPr>
        <w:t>7 日，甲方有</w:t>
      </w:r>
      <w:r>
        <w:rPr>
          <w:rFonts w:hint="eastAsia" w:ascii="楷体" w:hAnsi="楷体" w:eastAsia="楷体" w:cs="楷体"/>
          <w:spacing w:val="-1"/>
          <w:sz w:val="24"/>
          <w:szCs w:val="24"/>
          <w:highlight w:val="none"/>
        </w:rPr>
        <w:t>权解除合同，不再支付任何费用，同时乙方</w:t>
      </w:r>
      <w:r>
        <w:rPr>
          <w:rFonts w:hint="eastAsia" w:ascii="楷体" w:hAnsi="楷体" w:eastAsia="楷体" w:cs="楷体"/>
          <w:sz w:val="24"/>
          <w:szCs w:val="24"/>
          <w:highlight w:val="none"/>
        </w:rPr>
        <w:t xml:space="preserve"> </w:t>
      </w:r>
      <w:r>
        <w:rPr>
          <w:rFonts w:hint="eastAsia" w:ascii="楷体" w:hAnsi="楷体" w:eastAsia="楷体" w:cs="楷体"/>
          <w:spacing w:val="-1"/>
          <w:sz w:val="24"/>
          <w:szCs w:val="24"/>
          <w:highlight w:val="none"/>
        </w:rPr>
        <w:t>承担合同暂定总价款</w:t>
      </w:r>
      <w:r>
        <w:rPr>
          <w:rFonts w:hint="eastAsia" w:ascii="楷体" w:hAnsi="楷体" w:eastAsia="楷体" w:cs="楷体"/>
          <w:spacing w:val="-48"/>
          <w:sz w:val="24"/>
          <w:szCs w:val="24"/>
          <w:highlight w:val="none"/>
        </w:rPr>
        <w:t xml:space="preserve"> </w:t>
      </w:r>
      <w:r>
        <w:rPr>
          <w:rFonts w:hint="eastAsia" w:ascii="楷体" w:hAnsi="楷体" w:eastAsia="楷体" w:cs="楷体"/>
          <w:spacing w:val="-1"/>
          <w:sz w:val="24"/>
          <w:szCs w:val="24"/>
          <w:highlight w:val="none"/>
        </w:rPr>
        <w:t>20%的合同解除违约</w:t>
      </w:r>
      <w:r>
        <w:rPr>
          <w:rFonts w:hint="eastAsia" w:ascii="楷体" w:hAnsi="楷体" w:eastAsia="楷体" w:cs="楷体"/>
          <w:spacing w:val="-2"/>
          <w:sz w:val="24"/>
          <w:szCs w:val="24"/>
          <w:highlight w:val="none"/>
        </w:rPr>
        <w:t>金。</w:t>
      </w:r>
    </w:p>
    <w:p w14:paraId="5B236A3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5、乙方不得将本项目转包或委托任何第三方实施，同时乙方承诺具备合法资质履</w:t>
      </w:r>
      <w:r>
        <w:rPr>
          <w:rFonts w:hint="eastAsia" w:ascii="楷体" w:hAnsi="楷体" w:eastAsia="楷体" w:cs="楷体"/>
          <w:spacing w:val="18"/>
          <w:sz w:val="24"/>
          <w:szCs w:val="24"/>
          <w:highlight w:val="none"/>
        </w:rPr>
        <w:t xml:space="preserve"> </w:t>
      </w:r>
      <w:r>
        <w:rPr>
          <w:rFonts w:hint="eastAsia" w:ascii="楷体" w:hAnsi="楷体" w:eastAsia="楷体" w:cs="楷体"/>
          <w:spacing w:val="-2"/>
          <w:sz w:val="24"/>
          <w:szCs w:val="24"/>
          <w:highlight w:val="none"/>
        </w:rPr>
        <w:t>行本合同，如违反前述任一约定，甲方有权解除合同，不再支付任何费用，同时乙方承</w:t>
      </w:r>
      <w:r>
        <w:rPr>
          <w:rFonts w:hint="eastAsia" w:ascii="楷体" w:hAnsi="楷体" w:eastAsia="楷体" w:cs="楷体"/>
          <w:spacing w:val="14"/>
          <w:sz w:val="24"/>
          <w:szCs w:val="24"/>
          <w:highlight w:val="none"/>
        </w:rPr>
        <w:t xml:space="preserve"> </w:t>
      </w:r>
      <w:r>
        <w:rPr>
          <w:rFonts w:hint="eastAsia" w:ascii="楷体" w:hAnsi="楷体" w:eastAsia="楷体" w:cs="楷体"/>
          <w:spacing w:val="-2"/>
          <w:sz w:val="24"/>
          <w:szCs w:val="24"/>
          <w:highlight w:val="none"/>
        </w:rPr>
        <w:t>担合同总价款</w:t>
      </w:r>
      <w:r>
        <w:rPr>
          <w:rFonts w:hint="eastAsia" w:ascii="楷体" w:hAnsi="楷体" w:eastAsia="楷体" w:cs="楷体"/>
          <w:spacing w:val="-36"/>
          <w:sz w:val="24"/>
          <w:szCs w:val="24"/>
          <w:highlight w:val="none"/>
        </w:rPr>
        <w:t xml:space="preserve"> </w:t>
      </w:r>
      <w:r>
        <w:rPr>
          <w:rFonts w:hint="eastAsia" w:ascii="楷体" w:hAnsi="楷体" w:eastAsia="楷体" w:cs="楷体"/>
          <w:spacing w:val="-2"/>
          <w:sz w:val="24"/>
          <w:szCs w:val="24"/>
          <w:highlight w:val="none"/>
        </w:rPr>
        <w:t>20%的合同解除违约金。</w:t>
      </w:r>
    </w:p>
    <w:p w14:paraId="5AA59661">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6、乙方的监测质量不合格的，应予以重新监测</w:t>
      </w:r>
      <w:r>
        <w:rPr>
          <w:rFonts w:hint="eastAsia" w:ascii="楷体" w:hAnsi="楷体" w:eastAsia="楷体" w:cs="楷体"/>
          <w:spacing w:val="1"/>
          <w:sz w:val="24"/>
          <w:szCs w:val="24"/>
          <w:highlight w:val="none"/>
        </w:rPr>
        <w:t>并承担费用，并在甲方要求的时间</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内完成，乙方逾期监测、拒不重新监测，或监测</w:t>
      </w:r>
      <w:r>
        <w:rPr>
          <w:rFonts w:hint="eastAsia" w:ascii="楷体" w:hAnsi="楷体" w:eastAsia="楷体" w:cs="楷体"/>
          <w:spacing w:val="-3"/>
          <w:sz w:val="24"/>
          <w:szCs w:val="24"/>
          <w:highlight w:val="none"/>
        </w:rPr>
        <w:t>后质量仍然不合格或累计发生</w:t>
      </w:r>
      <w:r>
        <w:rPr>
          <w:rFonts w:hint="eastAsia" w:ascii="楷体" w:hAnsi="楷体" w:eastAsia="楷体" w:cs="楷体"/>
          <w:spacing w:val="-48"/>
          <w:sz w:val="24"/>
          <w:szCs w:val="24"/>
          <w:highlight w:val="none"/>
        </w:rPr>
        <w:t xml:space="preserve"> </w:t>
      </w:r>
      <w:r>
        <w:rPr>
          <w:rFonts w:hint="eastAsia" w:ascii="楷体" w:hAnsi="楷体" w:eastAsia="楷体" w:cs="楷体"/>
          <w:spacing w:val="-3"/>
          <w:sz w:val="24"/>
          <w:szCs w:val="24"/>
          <w:highlight w:val="none"/>
        </w:rPr>
        <w:t>2</w:t>
      </w:r>
      <w:r>
        <w:rPr>
          <w:rFonts w:hint="eastAsia" w:ascii="楷体" w:hAnsi="楷体" w:eastAsia="楷体" w:cs="楷体"/>
          <w:spacing w:val="-44"/>
          <w:sz w:val="24"/>
          <w:szCs w:val="24"/>
          <w:highlight w:val="none"/>
        </w:rPr>
        <w:t xml:space="preserve"> </w:t>
      </w:r>
      <w:r>
        <w:rPr>
          <w:rFonts w:hint="eastAsia" w:ascii="楷体" w:hAnsi="楷体" w:eastAsia="楷体" w:cs="楷体"/>
          <w:spacing w:val="-3"/>
          <w:sz w:val="24"/>
          <w:szCs w:val="24"/>
          <w:highlight w:val="none"/>
        </w:rPr>
        <w:t>次监测</w:t>
      </w:r>
      <w:r>
        <w:rPr>
          <w:rFonts w:hint="eastAsia" w:ascii="楷体" w:hAnsi="楷体" w:eastAsia="楷体" w:cs="楷体"/>
          <w:sz w:val="24"/>
          <w:szCs w:val="24"/>
          <w:highlight w:val="none"/>
        </w:rPr>
        <w:t xml:space="preserve"> 不合格情形的，甲方有权解除合同，不再支付任何</w:t>
      </w:r>
      <w:r>
        <w:rPr>
          <w:rFonts w:hint="eastAsia" w:ascii="楷体" w:hAnsi="楷体" w:eastAsia="楷体" w:cs="楷体"/>
          <w:spacing w:val="-1"/>
          <w:sz w:val="24"/>
          <w:szCs w:val="24"/>
          <w:highlight w:val="none"/>
        </w:rPr>
        <w:t>费用，同时乙方承担合同总价款</w:t>
      </w:r>
      <w:r>
        <w:rPr>
          <w:rFonts w:hint="eastAsia" w:ascii="楷体" w:hAnsi="楷体" w:eastAsia="楷体" w:cs="楷体"/>
          <w:spacing w:val="-48"/>
          <w:sz w:val="24"/>
          <w:szCs w:val="24"/>
          <w:highlight w:val="none"/>
        </w:rPr>
        <w:t xml:space="preserve"> </w:t>
      </w:r>
      <w:r>
        <w:rPr>
          <w:rFonts w:hint="eastAsia" w:ascii="楷体" w:hAnsi="楷体" w:eastAsia="楷体" w:cs="楷体"/>
          <w:spacing w:val="-1"/>
          <w:sz w:val="24"/>
          <w:szCs w:val="24"/>
          <w:highlight w:val="none"/>
        </w:rPr>
        <w:t>20%</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的合同解除违约金。</w:t>
      </w:r>
    </w:p>
    <w:p w14:paraId="74AFEB60">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7、由于不可抗力，致使合同无法履行时，</w:t>
      </w:r>
      <w:r>
        <w:rPr>
          <w:rFonts w:hint="eastAsia" w:ascii="楷体" w:hAnsi="楷体" w:eastAsia="楷体" w:cs="楷体"/>
          <w:spacing w:val="-1"/>
          <w:sz w:val="24"/>
          <w:szCs w:val="24"/>
          <w:highlight w:val="none"/>
        </w:rPr>
        <w:t>双方应按有关法律规定及时协商处理。</w:t>
      </w:r>
    </w:p>
    <w:p w14:paraId="5D8F2D3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6" w:firstLineChars="200"/>
        <w:jc w:val="left"/>
        <w:textAlignment w:val="baseline"/>
        <w:outlineLvl w:val="1"/>
        <w:rPr>
          <w:rFonts w:hint="eastAsia" w:ascii="楷体" w:hAnsi="楷体" w:eastAsia="楷体" w:cs="楷体"/>
          <w:sz w:val="24"/>
          <w:szCs w:val="24"/>
          <w:highlight w:val="none"/>
        </w:rPr>
      </w:pPr>
      <w:bookmarkStart w:id="54" w:name="_Toc7455"/>
      <w:r>
        <w:rPr>
          <w:rFonts w:hint="eastAsia" w:ascii="楷体" w:hAnsi="楷体" w:eastAsia="楷体" w:cs="楷体"/>
          <w:b/>
          <w:bCs/>
          <w:spacing w:val="-6"/>
          <w:sz w:val="24"/>
          <w:szCs w:val="24"/>
          <w:highlight w:val="none"/>
        </w:rPr>
        <w:t>第十条</w:t>
      </w:r>
      <w:r>
        <w:rPr>
          <w:rFonts w:hint="eastAsia" w:ascii="楷体" w:hAnsi="楷体" w:eastAsia="楷体" w:cs="楷体"/>
          <w:spacing w:val="10"/>
          <w:sz w:val="24"/>
          <w:szCs w:val="24"/>
          <w:highlight w:val="none"/>
        </w:rPr>
        <w:t xml:space="preserve"> </w:t>
      </w:r>
      <w:r>
        <w:rPr>
          <w:rFonts w:hint="eastAsia" w:ascii="楷体" w:hAnsi="楷体" w:eastAsia="楷体" w:cs="楷体"/>
          <w:b/>
          <w:bCs/>
          <w:spacing w:val="-6"/>
          <w:sz w:val="24"/>
          <w:szCs w:val="24"/>
          <w:highlight w:val="none"/>
        </w:rPr>
        <w:t>其他</w:t>
      </w:r>
      <w:bookmarkEnd w:id="54"/>
    </w:p>
    <w:p w14:paraId="7A1F4A55">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1、本合同未尽事宜，双方友好协商解决，必要时可签订补充协议，补充协议与本</w:t>
      </w:r>
      <w:r>
        <w:rPr>
          <w:rFonts w:hint="eastAsia" w:ascii="楷体" w:hAnsi="楷体" w:eastAsia="楷体" w:cs="楷体"/>
          <w:spacing w:val="5"/>
          <w:sz w:val="24"/>
          <w:szCs w:val="24"/>
          <w:highlight w:val="none"/>
        </w:rPr>
        <w:t xml:space="preserve"> </w:t>
      </w:r>
      <w:r>
        <w:rPr>
          <w:rFonts w:hint="eastAsia" w:ascii="楷体" w:hAnsi="楷体" w:eastAsia="楷体" w:cs="楷体"/>
          <w:spacing w:val="-1"/>
          <w:sz w:val="24"/>
          <w:szCs w:val="24"/>
          <w:highlight w:val="none"/>
        </w:rPr>
        <w:t>合同具有同等法律效力。</w:t>
      </w:r>
    </w:p>
    <w:p w14:paraId="51A2F07A">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2、本合同履行过程中，如有争议，双方协商</w:t>
      </w:r>
      <w:r>
        <w:rPr>
          <w:rFonts w:hint="eastAsia" w:ascii="楷体" w:hAnsi="楷体" w:eastAsia="楷体" w:cs="楷体"/>
          <w:spacing w:val="1"/>
          <w:sz w:val="24"/>
          <w:szCs w:val="24"/>
          <w:highlight w:val="none"/>
        </w:rPr>
        <w:t>解决，协商不成，任何一方均有权将</w:t>
      </w:r>
      <w:r>
        <w:rPr>
          <w:rFonts w:hint="eastAsia" w:ascii="楷体" w:hAnsi="楷体" w:eastAsia="楷体" w:cs="楷体"/>
          <w:sz w:val="24"/>
          <w:szCs w:val="24"/>
          <w:highlight w:val="none"/>
        </w:rPr>
        <w:t xml:space="preserve"> </w:t>
      </w:r>
      <w:r>
        <w:rPr>
          <w:rFonts w:hint="eastAsia" w:ascii="楷体" w:hAnsi="楷体" w:eastAsia="楷体" w:cs="楷体"/>
          <w:spacing w:val="-1"/>
          <w:sz w:val="24"/>
          <w:szCs w:val="24"/>
          <w:highlight w:val="none"/>
        </w:rPr>
        <w:t>争议提交甲方所在地有管辖权的人民法院诉讼解决。</w:t>
      </w:r>
    </w:p>
    <w:p w14:paraId="1D9F97B6">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4"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3、本合同自双方签字盖章之日起生效，一式捌份，各执肆份，具有同等效力。全</w:t>
      </w:r>
      <w:r>
        <w:rPr>
          <w:rFonts w:hint="eastAsia" w:ascii="楷体" w:hAnsi="楷体" w:eastAsia="楷体" w:cs="楷体"/>
          <w:spacing w:val="18"/>
          <w:sz w:val="24"/>
          <w:szCs w:val="24"/>
          <w:highlight w:val="none"/>
        </w:rPr>
        <w:t xml:space="preserve"> </w:t>
      </w:r>
      <w:r>
        <w:rPr>
          <w:rFonts w:hint="eastAsia" w:ascii="楷体" w:hAnsi="楷体" w:eastAsia="楷体" w:cs="楷体"/>
          <w:spacing w:val="-1"/>
          <w:sz w:val="24"/>
          <w:szCs w:val="24"/>
          <w:highlight w:val="none"/>
        </w:rPr>
        <w:t>部成果交接完毕，费用结算完成后，本合同终止。</w:t>
      </w:r>
    </w:p>
    <w:p w14:paraId="21E4C34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4、本合同用语含义：观测次数——以各部位为单元，每个</w:t>
      </w:r>
      <w:r>
        <w:rPr>
          <w:rFonts w:hint="eastAsia" w:ascii="楷体" w:hAnsi="楷体" w:eastAsia="楷体" w:cs="楷体"/>
          <w:spacing w:val="-1"/>
          <w:sz w:val="24"/>
          <w:szCs w:val="24"/>
          <w:highlight w:val="none"/>
        </w:rPr>
        <w:t>单元观测一次计一次。</w:t>
      </w:r>
    </w:p>
    <w:p w14:paraId="69BE355F">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6"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1"/>
          <w:sz w:val="24"/>
          <w:szCs w:val="24"/>
          <w:highlight w:val="none"/>
        </w:rPr>
        <w:t>5、本合同附件与本合同具有同等法律效力。</w:t>
      </w:r>
    </w:p>
    <w:p w14:paraId="5B270D34">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bookmarkStart w:id="55" w:name="bookmark10"/>
      <w:bookmarkEnd w:id="55"/>
      <w:r>
        <w:rPr>
          <w:rFonts w:hint="eastAsia" w:ascii="楷体" w:hAnsi="楷体" w:eastAsia="楷体" w:cs="楷体"/>
          <w:sz w:val="24"/>
          <w:szCs w:val="24"/>
          <w:highlight w:val="none"/>
        </w:rPr>
        <w:t xml:space="preserve">委托方单位名称：                  </w:t>
      </w:r>
      <w:r>
        <w:rPr>
          <w:rFonts w:hint="eastAsia" w:ascii="楷体" w:hAnsi="楷体" w:eastAsia="楷体" w:cs="楷体"/>
          <w:spacing w:val="-1"/>
          <w:sz w:val="24"/>
          <w:szCs w:val="24"/>
          <w:highlight w:val="none"/>
        </w:rPr>
        <w:t xml:space="preserve">  承接方单位名称：</w:t>
      </w:r>
    </w:p>
    <w:p w14:paraId="488BDAC2">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8"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（盖章</w:t>
      </w:r>
      <w:r>
        <w:rPr>
          <w:rFonts w:hint="eastAsia" w:ascii="楷体" w:hAnsi="楷体" w:eastAsia="楷体" w:cs="楷体"/>
          <w:spacing w:val="-17"/>
          <w:sz w:val="24"/>
          <w:szCs w:val="24"/>
          <w:highlight w:val="none"/>
        </w:rPr>
        <w:t>）</w:t>
      </w:r>
      <w:r>
        <w:rPr>
          <w:rFonts w:hint="eastAsia" w:ascii="楷体" w:hAnsi="楷体" w:eastAsia="楷体" w:cs="楷体"/>
          <w:spacing w:val="4"/>
          <w:sz w:val="24"/>
          <w:szCs w:val="24"/>
          <w:highlight w:val="none"/>
        </w:rPr>
        <w:t xml:space="preserve">                          </w:t>
      </w:r>
      <w:r>
        <w:rPr>
          <w:rFonts w:hint="eastAsia" w:ascii="楷体" w:hAnsi="楷体" w:eastAsia="楷体" w:cs="楷体"/>
          <w:spacing w:val="-17"/>
          <w:sz w:val="24"/>
          <w:szCs w:val="24"/>
          <w:highlight w:val="none"/>
        </w:rPr>
        <w:t>（</w:t>
      </w:r>
      <w:r>
        <w:rPr>
          <w:rFonts w:hint="eastAsia" w:ascii="楷体" w:hAnsi="楷体" w:eastAsia="楷体" w:cs="楷体"/>
          <w:spacing w:val="2"/>
          <w:sz w:val="24"/>
          <w:szCs w:val="24"/>
          <w:highlight w:val="none"/>
        </w:rPr>
        <w:t>盖章）</w:t>
      </w:r>
    </w:p>
    <w:p w14:paraId="49BB2232">
      <w:pPr>
        <w:pStyle w:val="9"/>
        <w:keepNext w:val="0"/>
        <w:keepLines w:val="0"/>
        <w:pageBreakBefore w:val="0"/>
        <w:widowControl/>
        <w:kinsoku w:val="0"/>
        <w:wordWrap/>
        <w:overflowPunct/>
        <w:topLinePunct w:val="0"/>
        <w:autoSpaceDE w:val="0"/>
        <w:autoSpaceDN w:val="0"/>
        <w:bidi w:val="0"/>
        <w:adjustRightInd w:val="0"/>
        <w:snapToGrid w:val="0"/>
        <w:spacing w:after="0" w:afterLines="0" w:line="480" w:lineRule="auto"/>
        <w:ind w:left="0" w:right="0" w:firstLine="560" w:firstLineChars="200"/>
        <w:jc w:val="left"/>
        <w:textAlignment w:val="baseline"/>
        <w:rPr>
          <w:rFonts w:hint="eastAsia" w:ascii="楷体" w:hAnsi="楷体" w:eastAsia="楷体" w:cs="楷体"/>
          <w:highlight w:val="none"/>
        </w:rPr>
      </w:pPr>
    </w:p>
    <w:p w14:paraId="03C50575">
      <w:pPr>
        <w:pStyle w:val="9"/>
        <w:keepNext w:val="0"/>
        <w:keepLines w:val="0"/>
        <w:pageBreakBefore w:val="0"/>
        <w:widowControl/>
        <w:kinsoku w:val="0"/>
        <w:wordWrap/>
        <w:overflowPunct/>
        <w:topLinePunct w:val="0"/>
        <w:autoSpaceDE w:val="0"/>
        <w:autoSpaceDN w:val="0"/>
        <w:bidi w:val="0"/>
        <w:adjustRightInd w:val="0"/>
        <w:snapToGrid w:val="0"/>
        <w:spacing w:after="0" w:afterLines="0" w:line="480" w:lineRule="auto"/>
        <w:ind w:left="0" w:right="0" w:firstLine="560" w:firstLineChars="200"/>
        <w:jc w:val="left"/>
        <w:textAlignment w:val="baseline"/>
        <w:rPr>
          <w:rFonts w:hint="eastAsia" w:ascii="楷体" w:hAnsi="楷体" w:eastAsia="楷体" w:cs="楷体"/>
          <w:highlight w:val="none"/>
        </w:rPr>
      </w:pPr>
    </w:p>
    <w:p w14:paraId="0A2C9B43">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80" w:firstLineChars="200"/>
        <w:jc w:val="left"/>
        <w:textAlignment w:val="baseline"/>
        <w:rPr>
          <w:rFonts w:hint="eastAsia" w:ascii="楷体" w:hAnsi="楷体" w:eastAsia="楷体" w:cs="楷体"/>
          <w:sz w:val="24"/>
          <w:szCs w:val="24"/>
          <w:highlight w:val="none"/>
        </w:rPr>
      </w:pPr>
      <w:r>
        <w:rPr>
          <w:rFonts w:hint="eastAsia" w:ascii="楷体" w:hAnsi="楷体" w:eastAsia="楷体" w:cs="楷体"/>
          <w:sz w:val="24"/>
          <w:szCs w:val="24"/>
          <w:highlight w:val="none"/>
        </w:rPr>
        <w:t xml:space="preserve">法定人代表：                 </w:t>
      </w:r>
      <w:r>
        <w:rPr>
          <w:rFonts w:hint="eastAsia" w:ascii="楷体" w:hAnsi="楷体" w:eastAsia="楷体" w:cs="楷体"/>
          <w:spacing w:val="-1"/>
          <w:sz w:val="24"/>
          <w:szCs w:val="24"/>
          <w:highlight w:val="none"/>
        </w:rPr>
        <w:t xml:space="preserve">      法定人代表：</w:t>
      </w:r>
    </w:p>
    <w:p w14:paraId="18C9B1BE">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7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2"/>
          <w:sz w:val="24"/>
          <w:szCs w:val="24"/>
          <w:highlight w:val="none"/>
        </w:rPr>
        <w:t>委托代理人（签字</w:t>
      </w:r>
      <w:r>
        <w:rPr>
          <w:rFonts w:hint="eastAsia" w:ascii="楷体" w:hAnsi="楷体" w:eastAsia="楷体" w:cs="楷体"/>
          <w:spacing w:val="3"/>
          <w:sz w:val="24"/>
          <w:szCs w:val="24"/>
          <w:highlight w:val="none"/>
        </w:rPr>
        <w:t>）：</w:t>
      </w:r>
      <w:r>
        <w:rPr>
          <w:rFonts w:hint="eastAsia" w:ascii="楷体" w:hAnsi="楷体" w:eastAsia="楷体" w:cs="楷体"/>
          <w:sz w:val="24"/>
          <w:szCs w:val="24"/>
          <w:highlight w:val="none"/>
        </w:rPr>
        <w:t xml:space="preserve">                </w:t>
      </w:r>
      <w:r>
        <w:rPr>
          <w:rFonts w:hint="eastAsia" w:ascii="楷体" w:hAnsi="楷体" w:eastAsia="楷体" w:cs="楷体"/>
          <w:spacing w:val="-2"/>
          <w:sz w:val="24"/>
          <w:szCs w:val="24"/>
          <w:highlight w:val="none"/>
        </w:rPr>
        <w:t>委托代理人（签字</w:t>
      </w:r>
      <w:r>
        <w:rPr>
          <w:rFonts w:hint="eastAsia" w:ascii="楷体" w:hAnsi="楷体" w:eastAsia="楷体" w:cs="楷体"/>
          <w:spacing w:val="3"/>
          <w:sz w:val="24"/>
          <w:szCs w:val="24"/>
          <w:highlight w:val="none"/>
        </w:rPr>
        <w:t>）：</w:t>
      </w:r>
    </w:p>
    <w:p w14:paraId="5C5F63FD">
      <w:pPr>
        <w:pStyle w:val="9"/>
        <w:keepNext w:val="0"/>
        <w:keepLines w:val="0"/>
        <w:pageBreakBefore w:val="0"/>
        <w:widowControl/>
        <w:kinsoku w:val="0"/>
        <w:wordWrap/>
        <w:overflowPunct/>
        <w:topLinePunct w:val="0"/>
        <w:autoSpaceDE w:val="0"/>
        <w:autoSpaceDN w:val="0"/>
        <w:bidi w:val="0"/>
        <w:adjustRightInd w:val="0"/>
        <w:snapToGrid w:val="0"/>
        <w:spacing w:after="0" w:afterLines="0" w:line="480" w:lineRule="auto"/>
        <w:ind w:left="0" w:right="0" w:firstLine="560" w:firstLineChars="200"/>
        <w:jc w:val="left"/>
        <w:textAlignment w:val="baseline"/>
        <w:rPr>
          <w:rFonts w:hint="eastAsia" w:ascii="楷体" w:hAnsi="楷体" w:eastAsia="楷体" w:cs="楷体"/>
          <w:highlight w:val="none"/>
        </w:rPr>
      </w:pPr>
    </w:p>
    <w:p w14:paraId="09CA08CC">
      <w:pPr>
        <w:pStyle w:val="9"/>
        <w:keepNext w:val="0"/>
        <w:keepLines w:val="0"/>
        <w:pageBreakBefore w:val="0"/>
        <w:widowControl/>
        <w:kinsoku w:val="0"/>
        <w:wordWrap/>
        <w:overflowPunct/>
        <w:topLinePunct w:val="0"/>
        <w:autoSpaceDE w:val="0"/>
        <w:autoSpaceDN w:val="0"/>
        <w:bidi w:val="0"/>
        <w:adjustRightInd w:val="0"/>
        <w:snapToGrid w:val="0"/>
        <w:spacing w:after="0" w:afterLines="0" w:line="480" w:lineRule="auto"/>
        <w:ind w:left="0" w:right="0" w:firstLine="560" w:firstLineChars="200"/>
        <w:jc w:val="left"/>
        <w:textAlignment w:val="baseline"/>
        <w:rPr>
          <w:rFonts w:hint="eastAsia" w:ascii="楷体" w:hAnsi="楷体" w:eastAsia="楷体" w:cs="楷体"/>
          <w:highlight w:val="none"/>
        </w:rPr>
      </w:pPr>
    </w:p>
    <w:p w14:paraId="7ED38C9C">
      <w:pPr>
        <w:keepNext w:val="0"/>
        <w:keepLines w:val="0"/>
        <w:pageBreakBefore w:val="0"/>
        <w:widowControl/>
        <w:kinsoku w:val="0"/>
        <w:wordWrap/>
        <w:overflowPunct/>
        <w:topLinePunct w:val="0"/>
        <w:autoSpaceDE w:val="0"/>
        <w:autoSpaceDN w:val="0"/>
        <w:bidi w:val="0"/>
        <w:adjustRightInd w:val="0"/>
        <w:snapToGrid w:val="0"/>
        <w:spacing w:line="480" w:lineRule="auto"/>
        <w:ind w:left="0" w:right="0" w:firstLine="452" w:firstLineChars="200"/>
        <w:jc w:val="left"/>
        <w:textAlignment w:val="baseline"/>
        <w:rPr>
          <w:rFonts w:hint="eastAsia" w:ascii="楷体" w:hAnsi="楷体" w:eastAsia="楷体" w:cs="楷体"/>
          <w:sz w:val="24"/>
          <w:szCs w:val="24"/>
          <w:highlight w:val="none"/>
        </w:rPr>
      </w:pPr>
      <w:r>
        <w:rPr>
          <w:rFonts w:hint="eastAsia" w:ascii="楷体" w:hAnsi="楷体" w:eastAsia="楷体" w:cs="楷体"/>
          <w:spacing w:val="-7"/>
          <w:sz w:val="24"/>
          <w:szCs w:val="24"/>
          <w:highlight w:val="none"/>
        </w:rPr>
        <w:t xml:space="preserve">电话：                              </w:t>
      </w:r>
      <w:r>
        <w:rPr>
          <w:rFonts w:hint="eastAsia" w:ascii="楷体" w:hAnsi="楷体" w:eastAsia="楷体" w:cs="楷体"/>
          <w:spacing w:val="-8"/>
          <w:sz w:val="24"/>
          <w:szCs w:val="24"/>
          <w:highlight w:val="none"/>
        </w:rPr>
        <w:t xml:space="preserve">   电话：</w:t>
      </w:r>
    </w:p>
    <w:p w14:paraId="07EBA3ED">
      <w:pPr>
        <w:rPr>
          <w:rFonts w:ascii="宋体" w:hAnsi="宋体"/>
          <w:b/>
          <w:sz w:val="28"/>
          <w:szCs w:val="28"/>
          <w:highlight w:val="none"/>
        </w:rPr>
      </w:pPr>
      <w:r>
        <w:rPr>
          <w:rFonts w:hint="eastAsia" w:ascii="楷体" w:hAnsi="楷体" w:eastAsia="楷体" w:cs="楷体"/>
          <w:b/>
          <w:bCs/>
          <w:spacing w:val="0"/>
          <w:sz w:val="30"/>
          <w:szCs w:val="30"/>
          <w:highlight w:val="none"/>
        </w:rPr>
        <w:br w:type="page"/>
      </w:r>
    </w:p>
    <w:p w14:paraId="417907FD">
      <w:pPr>
        <w:numPr>
          <w:ilvl w:val="0"/>
          <w:numId w:val="1"/>
        </w:numPr>
        <w:spacing w:line="460" w:lineRule="exact"/>
        <w:jc w:val="center"/>
        <w:outlineLvl w:val="0"/>
        <w:rPr>
          <w:rFonts w:ascii="宋体" w:hAnsi="宋体"/>
          <w:b/>
          <w:bCs/>
          <w:szCs w:val="21"/>
          <w:highlight w:val="none"/>
          <w:lang w:val="zh-CN"/>
        </w:rPr>
      </w:pPr>
      <w:bookmarkStart w:id="56" w:name="_Toc133244854"/>
      <w:r>
        <w:rPr>
          <w:rFonts w:hint="eastAsia" w:ascii="宋体" w:hAnsi="宋体"/>
          <w:b/>
          <w:sz w:val="28"/>
          <w:szCs w:val="28"/>
          <w:highlight w:val="none"/>
        </w:rPr>
        <w:t>竞争性磋商响应文件格式</w:t>
      </w:r>
      <w:bookmarkEnd w:id="44"/>
      <w:bookmarkEnd w:id="56"/>
    </w:p>
    <w:p w14:paraId="53F10C53">
      <w:pPr>
        <w:tabs>
          <w:tab w:val="left" w:pos="1260"/>
        </w:tabs>
        <w:spacing w:line="460" w:lineRule="exact"/>
        <w:ind w:firstLine="7980" w:firstLineChars="3800"/>
        <w:jc w:val="left"/>
        <w:rPr>
          <w:rFonts w:ascii="宋体" w:hAnsi="宋体"/>
          <w:b/>
          <w:bCs/>
          <w:szCs w:val="21"/>
          <w:highlight w:val="none"/>
          <w:lang w:val="zh-CN"/>
        </w:rPr>
      </w:pPr>
      <w:r>
        <w:rPr>
          <w:rFonts w:hint="eastAsia" w:ascii="宋体" w:hAnsi="宋体"/>
          <w:b/>
          <w:bCs/>
          <w:szCs w:val="21"/>
          <w:highlight w:val="none"/>
          <w:lang w:val="zh-CN"/>
        </w:rPr>
        <w:t>正本/副本</w:t>
      </w:r>
    </w:p>
    <w:p w14:paraId="6B0CA274">
      <w:pPr>
        <w:spacing w:line="460" w:lineRule="exact"/>
        <w:jc w:val="left"/>
        <w:rPr>
          <w:rFonts w:ascii="宋体" w:hAnsi="宋体"/>
          <w:b/>
          <w:bCs/>
          <w:sz w:val="30"/>
          <w:szCs w:val="30"/>
          <w:highlight w:val="none"/>
          <w:lang w:val="zh-CN"/>
        </w:rPr>
      </w:pPr>
    </w:p>
    <w:p w14:paraId="50E9F969">
      <w:pPr>
        <w:spacing w:line="460" w:lineRule="exact"/>
        <w:jc w:val="left"/>
        <w:rPr>
          <w:rFonts w:ascii="宋体" w:hAnsi="宋体"/>
          <w:sz w:val="30"/>
          <w:szCs w:val="30"/>
          <w:highlight w:val="none"/>
        </w:rPr>
      </w:pPr>
      <w:r>
        <w:rPr>
          <w:rFonts w:hint="eastAsia" w:ascii="宋体" w:hAnsi="宋体"/>
          <w:b/>
          <w:bCs/>
          <w:sz w:val="30"/>
          <w:szCs w:val="30"/>
          <w:highlight w:val="none"/>
          <w:lang w:val="zh-CN"/>
        </w:rPr>
        <w:t>项目</w:t>
      </w:r>
      <w:r>
        <w:rPr>
          <w:rFonts w:ascii="宋体" w:hAnsi="宋体"/>
          <w:b/>
          <w:bCs/>
          <w:sz w:val="30"/>
          <w:szCs w:val="30"/>
          <w:highlight w:val="none"/>
          <w:lang w:val="zh-CN"/>
        </w:rPr>
        <w:t>编号：</w:t>
      </w:r>
      <w:r>
        <w:rPr>
          <w:rFonts w:hint="eastAsia" w:ascii="宋体" w:hAnsi="宋体"/>
          <w:b/>
          <w:bCs/>
          <w:sz w:val="30"/>
          <w:szCs w:val="30"/>
          <w:highlight w:val="none"/>
          <w:lang w:val="zh-CN"/>
        </w:rPr>
        <w:t>HJCS2501-048</w:t>
      </w:r>
      <w:r>
        <w:rPr>
          <w:rFonts w:hint="eastAsia" w:ascii="宋体" w:hAnsi="宋体"/>
          <w:b/>
          <w:bCs/>
          <w:sz w:val="30"/>
          <w:szCs w:val="30"/>
          <w:highlight w:val="none"/>
        </w:rPr>
        <w:t xml:space="preserve">   </w:t>
      </w:r>
    </w:p>
    <w:p w14:paraId="44EE093C">
      <w:pPr>
        <w:spacing w:line="460" w:lineRule="exact"/>
        <w:jc w:val="center"/>
        <w:rPr>
          <w:rFonts w:ascii="宋体" w:hAnsi="宋体"/>
          <w:b/>
          <w:szCs w:val="21"/>
          <w:highlight w:val="none"/>
        </w:rPr>
      </w:pPr>
    </w:p>
    <w:p w14:paraId="2AEB6BAE">
      <w:pPr>
        <w:spacing w:line="460" w:lineRule="exact"/>
        <w:jc w:val="center"/>
        <w:rPr>
          <w:rFonts w:ascii="宋体" w:hAnsi="宋体"/>
          <w:b/>
          <w:szCs w:val="21"/>
          <w:highlight w:val="none"/>
        </w:rPr>
      </w:pPr>
    </w:p>
    <w:p w14:paraId="0FF50545">
      <w:pPr>
        <w:spacing w:line="460" w:lineRule="exact"/>
        <w:jc w:val="center"/>
        <w:rPr>
          <w:rFonts w:ascii="宋体" w:hAnsi="宋体"/>
          <w:b/>
          <w:szCs w:val="21"/>
          <w:highlight w:val="none"/>
        </w:rPr>
      </w:pPr>
    </w:p>
    <w:p w14:paraId="485985B2">
      <w:pPr>
        <w:autoSpaceDE w:val="0"/>
        <w:autoSpaceDN w:val="0"/>
        <w:adjustRightInd w:val="0"/>
        <w:snapToGrid w:val="0"/>
        <w:spacing w:line="460" w:lineRule="exact"/>
        <w:jc w:val="center"/>
        <w:rPr>
          <w:rFonts w:hint="eastAsia" w:ascii="宋体" w:hAnsi="宋体" w:eastAsia="宋体"/>
          <w:b/>
          <w:sz w:val="44"/>
          <w:szCs w:val="44"/>
          <w:highlight w:val="none"/>
          <w:lang w:eastAsia="zh-CN"/>
        </w:rPr>
      </w:pPr>
      <w:r>
        <w:rPr>
          <w:rFonts w:hint="eastAsia" w:ascii="宋体" w:hAnsi="宋体"/>
          <w:b/>
          <w:sz w:val="44"/>
          <w:szCs w:val="44"/>
          <w:highlight w:val="none"/>
          <w:lang w:eastAsia="zh-CN"/>
        </w:rPr>
        <w:t>大雁塔不均匀沉降及变形监测项目</w:t>
      </w:r>
    </w:p>
    <w:p w14:paraId="62F81E56">
      <w:pPr>
        <w:tabs>
          <w:tab w:val="left" w:pos="5670"/>
        </w:tabs>
        <w:autoSpaceDE w:val="0"/>
        <w:autoSpaceDN w:val="0"/>
        <w:adjustRightInd w:val="0"/>
        <w:snapToGrid w:val="0"/>
        <w:spacing w:line="460" w:lineRule="exact"/>
        <w:jc w:val="center"/>
        <w:rPr>
          <w:rFonts w:ascii="宋体" w:hAnsi="宋体"/>
          <w:b/>
          <w:bCs/>
          <w:szCs w:val="21"/>
          <w:highlight w:val="none"/>
          <w:lang w:val="zh-CN"/>
        </w:rPr>
      </w:pPr>
    </w:p>
    <w:p w14:paraId="7218ABA0">
      <w:pPr>
        <w:tabs>
          <w:tab w:val="left" w:pos="5670"/>
        </w:tabs>
        <w:autoSpaceDE w:val="0"/>
        <w:autoSpaceDN w:val="0"/>
        <w:adjustRightInd w:val="0"/>
        <w:snapToGrid w:val="0"/>
        <w:spacing w:line="460" w:lineRule="exact"/>
        <w:jc w:val="center"/>
        <w:rPr>
          <w:rFonts w:ascii="宋体" w:hAnsi="宋体"/>
          <w:b/>
          <w:bCs/>
          <w:szCs w:val="21"/>
          <w:highlight w:val="none"/>
          <w:lang w:val="zh-CN"/>
        </w:rPr>
      </w:pPr>
    </w:p>
    <w:p w14:paraId="661A481D">
      <w:pPr>
        <w:jc w:val="center"/>
        <w:rPr>
          <w:rFonts w:ascii="宋体" w:hAnsi="宋体"/>
          <w:b/>
          <w:bCs/>
          <w:sz w:val="52"/>
          <w:szCs w:val="52"/>
          <w:highlight w:val="none"/>
        </w:rPr>
      </w:pPr>
      <w:bookmarkStart w:id="57" w:name="_Toc10067"/>
      <w:r>
        <w:rPr>
          <w:rFonts w:hint="eastAsia" w:ascii="宋体" w:hAnsi="宋体"/>
          <w:b/>
          <w:bCs/>
          <w:sz w:val="52"/>
          <w:szCs w:val="52"/>
          <w:highlight w:val="none"/>
          <w:lang w:val="zh-CN"/>
        </w:rPr>
        <w:t>竞争性磋商响应文件</w:t>
      </w:r>
      <w:bookmarkEnd w:id="57"/>
    </w:p>
    <w:p w14:paraId="46824716">
      <w:pPr>
        <w:spacing w:line="460" w:lineRule="exact"/>
        <w:jc w:val="center"/>
        <w:rPr>
          <w:rFonts w:ascii="宋体" w:hAnsi="宋体"/>
          <w:b/>
          <w:w w:val="130"/>
          <w:szCs w:val="21"/>
          <w:highlight w:val="none"/>
        </w:rPr>
      </w:pPr>
    </w:p>
    <w:p w14:paraId="447D1DC2">
      <w:pPr>
        <w:spacing w:line="460" w:lineRule="exact"/>
        <w:jc w:val="center"/>
        <w:rPr>
          <w:rFonts w:ascii="宋体" w:hAnsi="宋体"/>
          <w:b/>
          <w:szCs w:val="21"/>
          <w:highlight w:val="none"/>
        </w:rPr>
      </w:pPr>
    </w:p>
    <w:p w14:paraId="6A250E99">
      <w:pPr>
        <w:spacing w:line="460" w:lineRule="exact"/>
        <w:jc w:val="center"/>
        <w:rPr>
          <w:rFonts w:ascii="宋体" w:hAnsi="宋体"/>
          <w:szCs w:val="21"/>
          <w:highlight w:val="none"/>
        </w:rPr>
      </w:pPr>
    </w:p>
    <w:p w14:paraId="6E4AD999">
      <w:pPr>
        <w:spacing w:line="460" w:lineRule="exact"/>
        <w:rPr>
          <w:rFonts w:ascii="宋体" w:hAnsi="宋体"/>
          <w:szCs w:val="21"/>
          <w:highlight w:val="none"/>
        </w:rPr>
      </w:pPr>
    </w:p>
    <w:p w14:paraId="6FE3AF62">
      <w:pPr>
        <w:spacing w:line="460" w:lineRule="exact"/>
        <w:jc w:val="center"/>
        <w:rPr>
          <w:rFonts w:ascii="宋体" w:hAnsi="宋体"/>
          <w:b/>
          <w:szCs w:val="21"/>
          <w:highlight w:val="none"/>
        </w:rPr>
      </w:pPr>
    </w:p>
    <w:p w14:paraId="79F35DD7">
      <w:pPr>
        <w:spacing w:line="460" w:lineRule="exact"/>
        <w:jc w:val="center"/>
        <w:rPr>
          <w:rFonts w:ascii="宋体" w:hAnsi="宋体"/>
          <w:b/>
          <w:szCs w:val="21"/>
          <w:highlight w:val="none"/>
        </w:rPr>
      </w:pPr>
    </w:p>
    <w:p w14:paraId="1FA4096D">
      <w:pPr>
        <w:spacing w:line="460" w:lineRule="exact"/>
        <w:jc w:val="center"/>
        <w:rPr>
          <w:rFonts w:ascii="宋体" w:hAnsi="宋体"/>
          <w:b/>
          <w:szCs w:val="21"/>
          <w:highlight w:val="none"/>
        </w:rPr>
      </w:pPr>
    </w:p>
    <w:p w14:paraId="22C9F8BD">
      <w:pPr>
        <w:spacing w:line="460" w:lineRule="exact"/>
        <w:jc w:val="center"/>
        <w:rPr>
          <w:rFonts w:ascii="宋体" w:hAnsi="宋体"/>
          <w:b/>
          <w:szCs w:val="21"/>
          <w:highlight w:val="none"/>
        </w:rPr>
      </w:pPr>
    </w:p>
    <w:p w14:paraId="3F33103D">
      <w:pPr>
        <w:spacing w:line="460" w:lineRule="exact"/>
        <w:jc w:val="center"/>
        <w:rPr>
          <w:rFonts w:ascii="宋体" w:hAnsi="宋体"/>
          <w:b/>
          <w:szCs w:val="21"/>
          <w:highlight w:val="none"/>
        </w:rPr>
      </w:pPr>
    </w:p>
    <w:p w14:paraId="2C1F3B8D">
      <w:pPr>
        <w:ind w:left="1260" w:leftChars="600"/>
        <w:rPr>
          <w:rFonts w:ascii="宋体" w:hAnsi="宋体" w:cs="宋体"/>
          <w:sz w:val="24"/>
          <w:szCs w:val="24"/>
          <w:highlight w:val="none"/>
        </w:rPr>
      </w:pPr>
      <w:r>
        <w:rPr>
          <w:rFonts w:hint="eastAsia" w:ascii="宋体" w:hAnsi="宋体" w:cs="宋体"/>
          <w:sz w:val="24"/>
          <w:szCs w:val="24"/>
          <w:highlight w:val="none"/>
        </w:rPr>
        <w:t>供 应 商：</w:t>
      </w:r>
      <w:r>
        <w:rPr>
          <w:rFonts w:hint="eastAsia" w:ascii="宋体" w:hAnsi="宋体" w:cs="宋体"/>
          <w:sz w:val="24"/>
          <w:szCs w:val="24"/>
          <w:highlight w:val="none"/>
          <w:u w:val="single"/>
        </w:rPr>
        <w:t xml:space="preserve">                                           （盖章）</w:t>
      </w:r>
    </w:p>
    <w:p w14:paraId="3FC9BA7F">
      <w:pPr>
        <w:ind w:left="1260" w:leftChars="600"/>
        <w:rPr>
          <w:rFonts w:ascii="宋体" w:hAnsi="宋体" w:cs="宋体"/>
          <w:sz w:val="24"/>
          <w:szCs w:val="24"/>
          <w:highlight w:val="none"/>
        </w:rPr>
      </w:pPr>
    </w:p>
    <w:p w14:paraId="24246DAC">
      <w:pPr>
        <w:ind w:left="1260" w:leftChars="600"/>
        <w:rPr>
          <w:rFonts w:ascii="宋体" w:hAnsi="宋体" w:cs="宋体"/>
          <w:sz w:val="24"/>
          <w:szCs w:val="24"/>
          <w:highlight w:val="none"/>
        </w:rPr>
      </w:pPr>
      <w:r>
        <w:rPr>
          <w:rFonts w:hint="eastAsia" w:ascii="宋体" w:hAnsi="宋体" w:cs="宋体"/>
          <w:sz w:val="24"/>
          <w:szCs w:val="24"/>
          <w:highlight w:val="none"/>
        </w:rPr>
        <w:t>法定代表人（或其他组织负责人）或授权代表人：</w:t>
      </w:r>
      <w:r>
        <w:rPr>
          <w:rFonts w:hint="eastAsia" w:ascii="宋体" w:hAnsi="宋体" w:cs="宋体"/>
          <w:sz w:val="24"/>
          <w:szCs w:val="24"/>
          <w:highlight w:val="none"/>
          <w:u w:val="single"/>
        </w:rPr>
        <w:t xml:space="preserve">   （签字或盖章）</w:t>
      </w:r>
    </w:p>
    <w:p w14:paraId="7C85067F">
      <w:pPr>
        <w:ind w:left="1260" w:leftChars="600"/>
        <w:rPr>
          <w:rFonts w:ascii="宋体" w:hAnsi="宋体" w:cs="宋体"/>
          <w:sz w:val="24"/>
          <w:szCs w:val="24"/>
          <w:highlight w:val="none"/>
        </w:rPr>
      </w:pPr>
    </w:p>
    <w:p w14:paraId="2AD35838">
      <w:pPr>
        <w:autoSpaceDE w:val="0"/>
        <w:autoSpaceDN w:val="0"/>
        <w:adjustRightInd w:val="0"/>
        <w:snapToGrid w:val="0"/>
        <w:spacing w:line="360" w:lineRule="auto"/>
        <w:ind w:firstLine="1200" w:firstLineChars="500"/>
        <w:rPr>
          <w:rFonts w:ascii="宋体" w:hAnsi="宋体" w:cs="宋体"/>
          <w:b/>
          <w:bCs/>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C357539">
      <w:pPr>
        <w:spacing w:line="460" w:lineRule="exact"/>
        <w:jc w:val="center"/>
        <w:rPr>
          <w:rFonts w:ascii="宋体" w:hAnsi="宋体"/>
          <w:b/>
          <w:szCs w:val="21"/>
          <w:highlight w:val="none"/>
        </w:rPr>
      </w:pPr>
    </w:p>
    <w:p w14:paraId="16CAE7BE">
      <w:pPr>
        <w:spacing w:line="460" w:lineRule="exact"/>
        <w:rPr>
          <w:rFonts w:ascii="宋体" w:hAnsi="宋体"/>
          <w:b/>
          <w:szCs w:val="21"/>
          <w:highlight w:val="none"/>
        </w:rPr>
      </w:pPr>
    </w:p>
    <w:p w14:paraId="328A27E5">
      <w:pPr>
        <w:spacing w:line="460" w:lineRule="exact"/>
        <w:jc w:val="center"/>
        <w:rPr>
          <w:rFonts w:ascii="宋体" w:hAnsi="宋体"/>
          <w:b/>
          <w:szCs w:val="21"/>
          <w:highlight w:val="none"/>
        </w:rPr>
      </w:pPr>
    </w:p>
    <w:p w14:paraId="631055AF">
      <w:pPr>
        <w:spacing w:line="460" w:lineRule="exact"/>
        <w:jc w:val="center"/>
        <w:rPr>
          <w:rFonts w:ascii="宋体" w:hAnsi="宋体"/>
          <w:b/>
          <w:szCs w:val="21"/>
          <w:highlight w:val="none"/>
        </w:rPr>
      </w:pPr>
    </w:p>
    <w:p w14:paraId="35F7EA8E">
      <w:pPr>
        <w:spacing w:line="460" w:lineRule="exact"/>
        <w:jc w:val="center"/>
        <w:rPr>
          <w:rFonts w:ascii="宋体" w:hAnsi="宋体"/>
          <w:b/>
          <w:sz w:val="36"/>
          <w:szCs w:val="36"/>
          <w:highlight w:val="none"/>
        </w:rPr>
      </w:pPr>
      <w:r>
        <w:rPr>
          <w:rFonts w:hint="eastAsia" w:ascii="宋体" w:hAnsi="宋体"/>
          <w:b/>
          <w:sz w:val="36"/>
          <w:szCs w:val="36"/>
          <w:highlight w:val="none"/>
        </w:rPr>
        <w:t>目    录</w:t>
      </w:r>
    </w:p>
    <w:p w14:paraId="4922E293">
      <w:pPr>
        <w:spacing w:line="460" w:lineRule="exact"/>
        <w:jc w:val="center"/>
        <w:rPr>
          <w:rFonts w:ascii="宋体" w:hAnsi="宋体"/>
          <w:b/>
          <w:sz w:val="36"/>
          <w:szCs w:val="36"/>
          <w:highlight w:val="none"/>
        </w:rPr>
      </w:pPr>
    </w:p>
    <w:p w14:paraId="6D1676B7">
      <w:pPr>
        <w:spacing w:line="276" w:lineRule="auto"/>
        <w:outlineLvl w:val="0"/>
        <w:rPr>
          <w:rFonts w:ascii="宋体" w:hAnsi="宋体"/>
          <w:sz w:val="24"/>
          <w:szCs w:val="24"/>
          <w:highlight w:val="none"/>
        </w:rPr>
      </w:pPr>
      <w:r>
        <w:rPr>
          <w:rFonts w:hint="eastAsia" w:ascii="宋体" w:hAnsi="宋体"/>
          <w:szCs w:val="21"/>
          <w:highlight w:val="none"/>
        </w:rPr>
        <w:t xml:space="preserve">                        </w:t>
      </w:r>
      <w:bookmarkStart w:id="58" w:name="_Toc133244629"/>
      <w:bookmarkStart w:id="59" w:name="_Toc20025"/>
      <w:bookmarkStart w:id="60" w:name="_Toc133244855"/>
      <w:r>
        <w:rPr>
          <w:rFonts w:hint="eastAsia" w:ascii="宋体" w:hAnsi="宋体"/>
          <w:sz w:val="24"/>
          <w:szCs w:val="24"/>
          <w:highlight w:val="none"/>
        </w:rPr>
        <w:t>第一部分：磋商响应函</w:t>
      </w:r>
      <w:bookmarkEnd w:id="58"/>
      <w:bookmarkEnd w:id="59"/>
      <w:bookmarkEnd w:id="60"/>
    </w:p>
    <w:p w14:paraId="27DA9CE2">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61" w:name="_Toc133244856"/>
      <w:bookmarkStart w:id="62" w:name="_Toc9463"/>
      <w:bookmarkStart w:id="63" w:name="_Toc133244630"/>
      <w:r>
        <w:rPr>
          <w:rFonts w:hint="eastAsia" w:ascii="宋体" w:hAnsi="宋体"/>
          <w:sz w:val="24"/>
          <w:szCs w:val="24"/>
          <w:highlight w:val="none"/>
        </w:rPr>
        <w:t>第二部分：首次磋商报价表</w:t>
      </w:r>
      <w:bookmarkEnd w:id="61"/>
      <w:bookmarkEnd w:id="62"/>
      <w:bookmarkEnd w:id="63"/>
    </w:p>
    <w:p w14:paraId="20012D28">
      <w:pPr>
        <w:spacing w:line="276" w:lineRule="auto"/>
        <w:rPr>
          <w:rFonts w:ascii="宋体" w:hAnsi="宋体"/>
          <w:sz w:val="24"/>
          <w:szCs w:val="24"/>
          <w:highlight w:val="none"/>
        </w:rPr>
      </w:pPr>
      <w:r>
        <w:rPr>
          <w:rFonts w:hint="eastAsia" w:ascii="宋体" w:hAnsi="宋体"/>
          <w:sz w:val="24"/>
          <w:szCs w:val="24"/>
          <w:highlight w:val="none"/>
        </w:rPr>
        <w:t xml:space="preserve">                               最后磋商报价表</w:t>
      </w:r>
    </w:p>
    <w:p w14:paraId="04B6EB74">
      <w:pPr>
        <w:spacing w:line="276" w:lineRule="auto"/>
        <w:outlineLvl w:val="0"/>
        <w:rPr>
          <w:rFonts w:ascii="宋体" w:hAnsi="宋体"/>
          <w:sz w:val="24"/>
          <w:szCs w:val="24"/>
          <w:highlight w:val="none"/>
        </w:rPr>
      </w:pPr>
      <w:r>
        <w:rPr>
          <w:rFonts w:hint="eastAsia" w:ascii="宋体" w:hAnsi="宋体"/>
          <w:sz w:val="24"/>
          <w:szCs w:val="24"/>
          <w:highlight w:val="none"/>
        </w:rPr>
        <w:t xml:space="preserve">                     </w:t>
      </w:r>
      <w:bookmarkStart w:id="64" w:name="_Toc29664"/>
      <w:bookmarkStart w:id="65" w:name="_Toc133244631"/>
      <w:bookmarkStart w:id="66" w:name="_Toc133244857"/>
      <w:r>
        <w:rPr>
          <w:rFonts w:hint="eastAsia" w:ascii="宋体" w:hAnsi="宋体"/>
          <w:sz w:val="24"/>
          <w:szCs w:val="24"/>
          <w:highlight w:val="none"/>
        </w:rPr>
        <w:t xml:space="preserve">第三部分  </w:t>
      </w:r>
      <w:bookmarkEnd w:id="64"/>
      <w:r>
        <w:rPr>
          <w:rFonts w:hint="eastAsia" w:ascii="宋体" w:hAnsi="宋体"/>
          <w:sz w:val="24"/>
          <w:szCs w:val="24"/>
          <w:highlight w:val="none"/>
        </w:rPr>
        <w:t>方案说明</w:t>
      </w:r>
      <w:bookmarkEnd w:id="65"/>
      <w:bookmarkEnd w:id="66"/>
    </w:p>
    <w:p w14:paraId="13685088">
      <w:pPr>
        <w:spacing w:line="360" w:lineRule="auto"/>
        <w:ind w:firstLine="2520" w:firstLineChars="1050"/>
        <w:outlineLvl w:val="0"/>
        <w:rPr>
          <w:rFonts w:ascii="宋体" w:hAnsi="宋体"/>
          <w:sz w:val="24"/>
          <w:szCs w:val="24"/>
          <w:highlight w:val="none"/>
        </w:rPr>
      </w:pPr>
      <w:bookmarkStart w:id="67" w:name="_Toc133244859"/>
      <w:bookmarkStart w:id="68" w:name="_Toc133244633"/>
      <w:bookmarkStart w:id="69" w:name="_Toc28407"/>
      <w:r>
        <w:rPr>
          <w:rFonts w:hint="eastAsia" w:ascii="宋体" w:hAnsi="宋体"/>
          <w:sz w:val="24"/>
          <w:szCs w:val="24"/>
          <w:highlight w:val="none"/>
        </w:rPr>
        <w:t>第四部分：供应商承诺书</w:t>
      </w:r>
      <w:bookmarkEnd w:id="67"/>
      <w:bookmarkEnd w:id="68"/>
      <w:bookmarkEnd w:id="69"/>
    </w:p>
    <w:p w14:paraId="56BACAEF">
      <w:pPr>
        <w:spacing w:line="360" w:lineRule="auto"/>
        <w:ind w:firstLine="2520" w:firstLineChars="1050"/>
        <w:outlineLvl w:val="0"/>
        <w:rPr>
          <w:rFonts w:ascii="宋体" w:hAnsi="宋体"/>
          <w:sz w:val="24"/>
          <w:szCs w:val="24"/>
          <w:highlight w:val="none"/>
        </w:rPr>
      </w:pPr>
      <w:bookmarkStart w:id="70" w:name="_Toc133244634"/>
      <w:bookmarkStart w:id="71" w:name="_Toc133244860"/>
      <w:bookmarkStart w:id="72" w:name="_Toc32008"/>
      <w:r>
        <w:rPr>
          <w:rFonts w:hint="eastAsia" w:ascii="宋体" w:hAnsi="宋体"/>
          <w:sz w:val="24"/>
          <w:szCs w:val="24"/>
          <w:highlight w:val="none"/>
        </w:rPr>
        <w:t>第五部分：供应商资格证明文件</w:t>
      </w:r>
      <w:bookmarkEnd w:id="70"/>
      <w:bookmarkEnd w:id="71"/>
      <w:bookmarkEnd w:id="72"/>
    </w:p>
    <w:p w14:paraId="17919059">
      <w:pPr>
        <w:pStyle w:val="3"/>
        <w:jc w:val="center"/>
        <w:rPr>
          <w:rFonts w:ascii="宋体" w:hAnsi="宋体" w:eastAsia="宋体"/>
          <w:b/>
          <w:szCs w:val="28"/>
          <w:highlight w:val="none"/>
        </w:rPr>
      </w:pPr>
      <w:r>
        <w:rPr>
          <w:rFonts w:ascii="宋体" w:hAnsi="宋体"/>
          <w:b/>
          <w:szCs w:val="21"/>
          <w:highlight w:val="none"/>
        </w:rPr>
        <w:br w:type="page"/>
      </w:r>
      <w:bookmarkStart w:id="73" w:name="_Toc17160"/>
      <w:bookmarkStart w:id="74" w:name="_Hlk53242953"/>
      <w:r>
        <w:rPr>
          <w:rFonts w:hint="eastAsia" w:ascii="宋体" w:hAnsi="宋体" w:eastAsia="宋体"/>
          <w:b/>
          <w:szCs w:val="28"/>
          <w:highlight w:val="none"/>
        </w:rPr>
        <w:t>第一部分  磋商响应函</w:t>
      </w:r>
      <w:bookmarkEnd w:id="73"/>
    </w:p>
    <w:bookmarkEnd w:id="74"/>
    <w:p w14:paraId="31665BCF">
      <w:pPr>
        <w:spacing w:line="460" w:lineRule="exact"/>
        <w:ind w:firstLine="105" w:firstLineChars="50"/>
        <w:rPr>
          <w:rFonts w:ascii="宋体" w:hAnsi="宋体"/>
          <w:b/>
          <w:bCs/>
          <w:szCs w:val="21"/>
          <w:highlight w:val="none"/>
        </w:rPr>
      </w:pPr>
      <w:r>
        <w:rPr>
          <w:rFonts w:hint="eastAsia" w:ascii="宋体" w:hAnsi="宋体"/>
          <w:b/>
          <w:bCs/>
          <w:szCs w:val="21"/>
          <w:highlight w:val="none"/>
          <w:u w:val="single"/>
        </w:rPr>
        <w:t xml:space="preserve">                      </w:t>
      </w:r>
      <w:r>
        <w:rPr>
          <w:rFonts w:hint="eastAsia" w:ascii="宋体" w:hAnsi="宋体"/>
          <w:b/>
          <w:bCs/>
          <w:szCs w:val="21"/>
          <w:highlight w:val="none"/>
        </w:rPr>
        <w:t>（采购人）：</w:t>
      </w:r>
    </w:p>
    <w:p w14:paraId="286254ED">
      <w:pPr>
        <w:spacing w:line="460" w:lineRule="exact"/>
        <w:ind w:firstLine="630"/>
        <w:rPr>
          <w:rFonts w:ascii="宋体" w:hAnsi="宋体"/>
          <w:bCs/>
          <w:szCs w:val="21"/>
          <w:highlight w:val="none"/>
        </w:rPr>
      </w:pPr>
      <w:r>
        <w:rPr>
          <w:rFonts w:hint="eastAsia" w:ascii="宋体" w:hAnsi="宋体"/>
          <w:bCs/>
          <w:szCs w:val="21"/>
          <w:highlight w:val="none"/>
        </w:rPr>
        <w:t>我单位收到贵公司</w:t>
      </w:r>
      <w:r>
        <w:rPr>
          <w:rFonts w:hint="eastAsia" w:ascii="宋体" w:hAnsi="宋体"/>
          <w:bCs/>
          <w:szCs w:val="21"/>
          <w:highlight w:val="none"/>
          <w:u w:val="single"/>
        </w:rPr>
        <w:t xml:space="preserve">              </w:t>
      </w:r>
      <w:r>
        <w:rPr>
          <w:rFonts w:hint="eastAsia" w:ascii="宋体" w:hAnsi="宋体"/>
          <w:bCs/>
          <w:szCs w:val="21"/>
          <w:highlight w:val="none"/>
        </w:rPr>
        <w:t>（项目名称）竞争性磋商文件，经详细研究，我们决定参加本次磋商采购活动。为此，我方郑重声明以下诸点，并负法律责任。</w:t>
      </w:r>
    </w:p>
    <w:p w14:paraId="24D7ABB4">
      <w:pPr>
        <w:spacing w:line="460" w:lineRule="exact"/>
        <w:ind w:firstLine="630"/>
        <w:rPr>
          <w:rFonts w:ascii="宋体" w:hAnsi="宋体"/>
          <w:bCs/>
          <w:szCs w:val="21"/>
          <w:highlight w:val="none"/>
        </w:rPr>
      </w:pPr>
      <w:r>
        <w:rPr>
          <w:rFonts w:hint="eastAsia" w:ascii="宋体" w:hAnsi="宋体"/>
          <w:bCs/>
          <w:szCs w:val="21"/>
          <w:highlight w:val="none"/>
        </w:rPr>
        <w:t>1、愿意按照竞争性磋商文件中的一切要求，提供磋商要求的技术服务，完成合同的责任和义务。</w:t>
      </w:r>
    </w:p>
    <w:p w14:paraId="584A8F13">
      <w:pPr>
        <w:spacing w:line="460" w:lineRule="exact"/>
        <w:ind w:firstLine="630"/>
        <w:rPr>
          <w:rFonts w:ascii="宋体" w:hAnsi="宋体"/>
          <w:bCs/>
          <w:szCs w:val="21"/>
          <w:highlight w:val="none"/>
        </w:rPr>
      </w:pPr>
      <w:r>
        <w:rPr>
          <w:rFonts w:hint="eastAsia" w:ascii="宋体" w:hAnsi="宋体"/>
          <w:bCs/>
          <w:szCs w:val="21"/>
          <w:highlight w:val="none"/>
        </w:rPr>
        <w:t>2、按竞争性磋商文件的规定，我公司的报价详见磋商报价表，并对其后的磋商报价负法律责任。</w:t>
      </w:r>
    </w:p>
    <w:p w14:paraId="7450015F">
      <w:pPr>
        <w:spacing w:line="460" w:lineRule="exact"/>
        <w:ind w:firstLine="630"/>
        <w:rPr>
          <w:rFonts w:ascii="宋体" w:hAnsi="宋体"/>
          <w:bCs/>
          <w:szCs w:val="21"/>
          <w:highlight w:val="none"/>
        </w:rPr>
      </w:pPr>
      <w:r>
        <w:rPr>
          <w:rFonts w:hint="eastAsia" w:ascii="宋体" w:hAnsi="宋体"/>
          <w:bCs/>
          <w:szCs w:val="21"/>
          <w:highlight w:val="none"/>
        </w:rPr>
        <w:t>3、我方提交的磋商响应文件正本一份、副本二份。</w:t>
      </w:r>
    </w:p>
    <w:p w14:paraId="1E5AAB6D">
      <w:pPr>
        <w:spacing w:line="460" w:lineRule="exact"/>
        <w:ind w:firstLine="630"/>
        <w:rPr>
          <w:rFonts w:ascii="宋体" w:hAnsi="宋体"/>
          <w:bCs/>
          <w:szCs w:val="21"/>
          <w:highlight w:val="none"/>
        </w:rPr>
      </w:pPr>
      <w:r>
        <w:rPr>
          <w:rFonts w:hint="eastAsia" w:ascii="宋体" w:hAnsi="宋体"/>
          <w:bCs/>
          <w:szCs w:val="21"/>
          <w:highlight w:val="none"/>
        </w:rPr>
        <w:t>4、已详细阅读了竞争性磋商文件，完全理解并放弃提出含糊不清或易形成歧义的表述和资料。</w:t>
      </w:r>
    </w:p>
    <w:p w14:paraId="7E4FA398">
      <w:pPr>
        <w:spacing w:line="460" w:lineRule="exact"/>
        <w:ind w:firstLine="630"/>
        <w:rPr>
          <w:rFonts w:ascii="宋体" w:hAnsi="宋体"/>
          <w:bCs/>
          <w:szCs w:val="21"/>
          <w:highlight w:val="none"/>
        </w:rPr>
      </w:pPr>
      <w:r>
        <w:rPr>
          <w:rFonts w:hint="eastAsia" w:ascii="宋体" w:hAnsi="宋体"/>
          <w:bCs/>
          <w:szCs w:val="21"/>
          <w:highlight w:val="none"/>
        </w:rPr>
        <w:t>5、磋商后在规定的磋商有效期内撤回磋商，我们愿接受其相关的有关处罚决定。</w:t>
      </w:r>
    </w:p>
    <w:p w14:paraId="7E363CCA">
      <w:pPr>
        <w:spacing w:line="460" w:lineRule="exact"/>
        <w:ind w:firstLine="630"/>
        <w:rPr>
          <w:rFonts w:ascii="宋体" w:hAnsi="宋体"/>
          <w:bCs/>
          <w:szCs w:val="21"/>
          <w:highlight w:val="none"/>
        </w:rPr>
      </w:pPr>
      <w:r>
        <w:rPr>
          <w:rFonts w:hint="eastAsia" w:ascii="宋体" w:hAnsi="宋体"/>
          <w:bCs/>
          <w:szCs w:val="21"/>
          <w:highlight w:val="none"/>
        </w:rPr>
        <w:t>6、同意向贵方提供贵方可能要求的，与本磋商有关的任何证据或资料。</w:t>
      </w:r>
    </w:p>
    <w:p w14:paraId="0DD3588F">
      <w:pPr>
        <w:spacing w:line="460" w:lineRule="exact"/>
        <w:ind w:firstLine="630"/>
        <w:rPr>
          <w:rFonts w:ascii="宋体" w:hAnsi="宋体"/>
          <w:bCs/>
          <w:szCs w:val="21"/>
          <w:highlight w:val="none"/>
        </w:rPr>
      </w:pPr>
      <w:r>
        <w:rPr>
          <w:rFonts w:hint="eastAsia" w:ascii="宋体" w:hAnsi="宋体"/>
          <w:bCs/>
          <w:szCs w:val="21"/>
          <w:highlight w:val="none"/>
        </w:rPr>
        <w:t>7、我方的磋商响应文件在磋商后有效期为60个日历天，若我方成交，响应文件有效期延长至合同执行完毕。</w:t>
      </w:r>
    </w:p>
    <w:p w14:paraId="215A5DDE">
      <w:pPr>
        <w:spacing w:line="460" w:lineRule="exact"/>
        <w:ind w:firstLine="630"/>
        <w:rPr>
          <w:rFonts w:ascii="宋体" w:hAnsi="宋体"/>
          <w:bCs/>
          <w:szCs w:val="21"/>
          <w:highlight w:val="none"/>
        </w:rPr>
      </w:pPr>
      <w:r>
        <w:rPr>
          <w:rFonts w:hint="eastAsia" w:ascii="宋体" w:hAnsi="宋体"/>
          <w:bCs/>
          <w:szCs w:val="21"/>
          <w:highlight w:val="none"/>
        </w:rPr>
        <w:t>8、有关于本文件的函电，请按下列地址联系。</w:t>
      </w:r>
    </w:p>
    <w:p w14:paraId="0F04D768">
      <w:pPr>
        <w:spacing w:line="460" w:lineRule="exact"/>
        <w:ind w:firstLine="630"/>
        <w:rPr>
          <w:rFonts w:ascii="宋体" w:hAnsi="宋体"/>
          <w:bCs/>
          <w:szCs w:val="21"/>
          <w:highlight w:val="none"/>
        </w:rPr>
      </w:pPr>
      <w:r>
        <w:rPr>
          <w:rFonts w:hint="eastAsia" w:ascii="宋体" w:hAnsi="宋体"/>
          <w:bCs/>
          <w:szCs w:val="21"/>
          <w:highlight w:val="none"/>
        </w:rPr>
        <w:t>单位全称（印章）：</w:t>
      </w:r>
      <w:r>
        <w:rPr>
          <w:rFonts w:hint="eastAsia" w:ascii="宋体" w:hAnsi="宋体"/>
          <w:bCs/>
          <w:szCs w:val="21"/>
          <w:highlight w:val="none"/>
          <w:u w:val="single"/>
        </w:rPr>
        <w:t xml:space="preserve">                                   </w:t>
      </w:r>
    </w:p>
    <w:p w14:paraId="1C786DD2">
      <w:pPr>
        <w:spacing w:line="460" w:lineRule="exact"/>
        <w:ind w:firstLine="630"/>
        <w:rPr>
          <w:rFonts w:ascii="宋体" w:hAnsi="宋体"/>
          <w:bCs/>
          <w:szCs w:val="21"/>
          <w:highlight w:val="none"/>
          <w:u w:val="single"/>
        </w:rPr>
      </w:pPr>
      <w:r>
        <w:rPr>
          <w:rFonts w:hint="eastAsia" w:ascii="宋体" w:hAnsi="宋体"/>
          <w:bCs/>
          <w:szCs w:val="21"/>
          <w:highlight w:val="none"/>
        </w:rPr>
        <w:t>地    址：</w:t>
      </w:r>
      <w:r>
        <w:rPr>
          <w:rFonts w:hint="eastAsia" w:ascii="宋体" w:hAnsi="宋体"/>
          <w:bCs/>
          <w:szCs w:val="21"/>
          <w:highlight w:val="none"/>
          <w:u w:val="single"/>
        </w:rPr>
        <w:t xml:space="preserve">                                          </w:t>
      </w:r>
    </w:p>
    <w:p w14:paraId="0BE7F8C4">
      <w:pPr>
        <w:spacing w:line="460" w:lineRule="exact"/>
        <w:ind w:firstLine="630"/>
        <w:rPr>
          <w:rFonts w:ascii="宋体" w:hAnsi="宋体"/>
          <w:bCs/>
          <w:szCs w:val="21"/>
          <w:highlight w:val="none"/>
        </w:rPr>
      </w:pPr>
      <w:r>
        <w:rPr>
          <w:rFonts w:hint="eastAsia" w:ascii="宋体" w:hAnsi="宋体"/>
          <w:bCs/>
          <w:szCs w:val="21"/>
          <w:highlight w:val="none"/>
        </w:rPr>
        <w:t>开户银行：</w:t>
      </w:r>
      <w:r>
        <w:rPr>
          <w:rFonts w:hint="eastAsia" w:ascii="宋体" w:hAnsi="宋体"/>
          <w:bCs/>
          <w:szCs w:val="21"/>
          <w:highlight w:val="none"/>
          <w:u w:val="single"/>
        </w:rPr>
        <w:t xml:space="preserve">                                          </w:t>
      </w:r>
    </w:p>
    <w:p w14:paraId="6EF7C558">
      <w:pPr>
        <w:spacing w:line="460" w:lineRule="exact"/>
        <w:ind w:firstLine="630"/>
        <w:rPr>
          <w:rFonts w:ascii="宋体" w:hAnsi="宋体"/>
          <w:bCs/>
          <w:szCs w:val="21"/>
          <w:highlight w:val="none"/>
        </w:rPr>
      </w:pPr>
      <w:r>
        <w:rPr>
          <w:rFonts w:hint="eastAsia" w:ascii="宋体" w:hAnsi="宋体"/>
          <w:bCs/>
          <w:szCs w:val="21"/>
          <w:highlight w:val="none"/>
        </w:rPr>
        <w:t>帐    号：</w:t>
      </w:r>
      <w:r>
        <w:rPr>
          <w:rFonts w:hint="eastAsia" w:ascii="宋体" w:hAnsi="宋体"/>
          <w:bCs/>
          <w:szCs w:val="21"/>
          <w:highlight w:val="none"/>
          <w:u w:val="single"/>
        </w:rPr>
        <w:t xml:space="preserve">                                          </w:t>
      </w:r>
    </w:p>
    <w:p w14:paraId="63B05B34">
      <w:pPr>
        <w:spacing w:line="460" w:lineRule="exact"/>
        <w:ind w:firstLine="630"/>
        <w:rPr>
          <w:rFonts w:ascii="宋体" w:hAnsi="宋体"/>
          <w:bCs/>
          <w:szCs w:val="21"/>
          <w:highlight w:val="none"/>
        </w:rPr>
      </w:pPr>
      <w:r>
        <w:rPr>
          <w:rFonts w:hint="eastAsia" w:ascii="宋体" w:hAnsi="宋体"/>
          <w:bCs/>
          <w:szCs w:val="21"/>
          <w:highlight w:val="none"/>
        </w:rPr>
        <w:t>电    话：</w:t>
      </w:r>
      <w:r>
        <w:rPr>
          <w:rFonts w:hint="eastAsia" w:ascii="宋体" w:hAnsi="宋体"/>
          <w:bCs/>
          <w:szCs w:val="21"/>
          <w:highlight w:val="none"/>
          <w:u w:val="single"/>
        </w:rPr>
        <w:t xml:space="preserve">                                          </w:t>
      </w:r>
    </w:p>
    <w:p w14:paraId="535A5AED">
      <w:pPr>
        <w:spacing w:line="460" w:lineRule="exact"/>
        <w:ind w:firstLine="630"/>
        <w:rPr>
          <w:rFonts w:ascii="宋体" w:hAnsi="宋体"/>
          <w:bCs/>
          <w:szCs w:val="21"/>
          <w:highlight w:val="none"/>
        </w:rPr>
      </w:pPr>
      <w:r>
        <w:rPr>
          <w:rFonts w:hint="eastAsia" w:ascii="宋体" w:hAnsi="宋体"/>
          <w:bCs/>
          <w:szCs w:val="21"/>
          <w:highlight w:val="none"/>
        </w:rPr>
        <w:t>传    真：</w:t>
      </w:r>
      <w:r>
        <w:rPr>
          <w:rFonts w:hint="eastAsia" w:ascii="宋体" w:hAnsi="宋体"/>
          <w:bCs/>
          <w:szCs w:val="21"/>
          <w:highlight w:val="none"/>
          <w:u w:val="single"/>
        </w:rPr>
        <w:t xml:space="preserve">                                          </w:t>
      </w:r>
    </w:p>
    <w:p w14:paraId="07E1C9C7">
      <w:pPr>
        <w:spacing w:line="460" w:lineRule="exact"/>
        <w:ind w:firstLine="630"/>
        <w:rPr>
          <w:rFonts w:ascii="宋体" w:hAnsi="宋体"/>
          <w:bCs/>
          <w:szCs w:val="21"/>
          <w:highlight w:val="none"/>
        </w:rPr>
      </w:pPr>
      <w:r>
        <w:rPr>
          <w:rFonts w:hint="eastAsia" w:ascii="宋体" w:hAnsi="宋体"/>
          <w:bCs/>
          <w:szCs w:val="21"/>
          <w:highlight w:val="none"/>
        </w:rPr>
        <w:t>邮    编：</w:t>
      </w:r>
      <w:r>
        <w:rPr>
          <w:rFonts w:hint="eastAsia" w:ascii="宋体" w:hAnsi="宋体"/>
          <w:bCs/>
          <w:szCs w:val="21"/>
          <w:highlight w:val="none"/>
          <w:u w:val="single"/>
        </w:rPr>
        <w:t xml:space="preserve">                                          </w:t>
      </w:r>
    </w:p>
    <w:p w14:paraId="06008AAD">
      <w:pPr>
        <w:spacing w:line="460" w:lineRule="exact"/>
        <w:ind w:firstLine="630"/>
        <w:rPr>
          <w:rFonts w:ascii="宋体" w:hAnsi="宋体"/>
          <w:bCs/>
          <w:szCs w:val="21"/>
          <w:highlight w:val="none"/>
        </w:rPr>
      </w:pPr>
      <w:r>
        <w:rPr>
          <w:rFonts w:hint="eastAsia" w:ascii="宋体" w:hAnsi="宋体"/>
          <w:bCs/>
          <w:szCs w:val="21"/>
          <w:highlight w:val="none"/>
        </w:rPr>
        <w:t>法定代表人（或其他组织负责人）或授权代表：</w:t>
      </w:r>
      <w:r>
        <w:rPr>
          <w:rFonts w:hint="eastAsia" w:ascii="宋体" w:hAnsi="宋体"/>
          <w:bCs/>
          <w:szCs w:val="21"/>
          <w:highlight w:val="none"/>
          <w:u w:val="single"/>
        </w:rPr>
        <w:t xml:space="preserve">          （签字或盖章）</w:t>
      </w:r>
    </w:p>
    <w:p w14:paraId="7B3C2091">
      <w:pPr>
        <w:spacing w:line="460" w:lineRule="exact"/>
        <w:ind w:firstLine="630"/>
        <w:rPr>
          <w:rFonts w:ascii="宋体" w:hAnsi="宋体"/>
          <w:bCs/>
          <w:szCs w:val="21"/>
          <w:highlight w:val="none"/>
        </w:rPr>
      </w:pPr>
      <w:r>
        <w:rPr>
          <w:rFonts w:hint="eastAsia" w:ascii="宋体" w:hAnsi="宋体"/>
          <w:bCs/>
          <w:szCs w:val="21"/>
          <w:highlight w:val="none"/>
        </w:rPr>
        <w:t xml:space="preserve">                         </w:t>
      </w:r>
    </w:p>
    <w:p w14:paraId="19393FAA">
      <w:pPr>
        <w:spacing w:line="460" w:lineRule="exact"/>
        <w:ind w:firstLine="630"/>
        <w:jc w:val="righ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6079FCDB">
      <w:pPr>
        <w:spacing w:line="460" w:lineRule="exact"/>
        <w:jc w:val="center"/>
        <w:rPr>
          <w:rFonts w:ascii="宋体" w:hAnsi="宋体"/>
          <w:b/>
          <w:szCs w:val="21"/>
          <w:highlight w:val="none"/>
        </w:rPr>
      </w:pPr>
      <w:r>
        <w:rPr>
          <w:rFonts w:ascii="宋体" w:hAnsi="宋体"/>
          <w:b/>
          <w:szCs w:val="21"/>
          <w:highlight w:val="none"/>
        </w:rPr>
        <w:br w:type="page"/>
      </w:r>
    </w:p>
    <w:p w14:paraId="5734C105">
      <w:pPr>
        <w:pStyle w:val="3"/>
        <w:jc w:val="center"/>
        <w:rPr>
          <w:rFonts w:ascii="宋体" w:hAnsi="宋体" w:eastAsia="宋体"/>
          <w:b/>
          <w:szCs w:val="28"/>
          <w:highlight w:val="none"/>
        </w:rPr>
      </w:pPr>
      <w:bookmarkStart w:id="75" w:name="_Toc10018"/>
      <w:bookmarkStart w:id="76" w:name="_Hlk53242959"/>
      <w:r>
        <w:rPr>
          <w:rFonts w:hint="eastAsia" w:ascii="宋体" w:hAnsi="宋体" w:eastAsia="宋体"/>
          <w:b/>
          <w:szCs w:val="28"/>
          <w:highlight w:val="none"/>
        </w:rPr>
        <w:t>第二部分  首次磋商报价表</w:t>
      </w:r>
      <w:bookmarkEnd w:id="75"/>
    </w:p>
    <w:bookmarkEnd w:id="76"/>
    <w:p w14:paraId="5A95F0B4">
      <w:pPr>
        <w:spacing w:line="460" w:lineRule="exact"/>
        <w:jc w:val="center"/>
        <w:rPr>
          <w:rFonts w:ascii="宋体" w:hAnsi="宋体"/>
          <w:szCs w:val="21"/>
          <w:highlight w:val="none"/>
        </w:rPr>
      </w:pPr>
      <w:r>
        <w:rPr>
          <w:rFonts w:hint="eastAsia" w:ascii="宋体" w:hAnsi="宋体"/>
          <w:szCs w:val="21"/>
          <w:highlight w:val="none"/>
        </w:rPr>
        <w:t xml:space="preserve">                                                      </w:t>
      </w:r>
    </w:p>
    <w:p w14:paraId="34E1D3F0">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19"/>
        <w:tblW w:w="0" w:type="auto"/>
        <w:jc w:val="center"/>
        <w:tblLayout w:type="fixed"/>
        <w:tblCellMar>
          <w:top w:w="0" w:type="dxa"/>
          <w:left w:w="108" w:type="dxa"/>
          <w:bottom w:w="0" w:type="dxa"/>
          <w:right w:w="108" w:type="dxa"/>
        </w:tblCellMar>
      </w:tblPr>
      <w:tblGrid>
        <w:gridCol w:w="2544"/>
        <w:gridCol w:w="3251"/>
        <w:gridCol w:w="2975"/>
      </w:tblGrid>
      <w:tr w14:paraId="1E0EDF8A">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14:paraId="79F634BA">
            <w:pPr>
              <w:autoSpaceDE w:val="0"/>
              <w:autoSpaceDN w:val="0"/>
              <w:adjustRightInd w:val="0"/>
              <w:snapToGrid w:val="0"/>
              <w:spacing w:line="360" w:lineRule="auto"/>
              <w:ind w:firstLine="945" w:firstLineChars="450"/>
              <w:rPr>
                <w:rFonts w:ascii="宋体" w:hAnsi="宋体"/>
                <w:szCs w:val="21"/>
                <w:highlight w:val="none"/>
                <w:lang w:val="zh-CN"/>
              </w:rPr>
            </w:pPr>
          </w:p>
          <w:p w14:paraId="4CB65635">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14:paraId="3037F8ED">
            <w:pPr>
              <w:autoSpaceDE w:val="0"/>
              <w:autoSpaceDN w:val="0"/>
              <w:adjustRightInd w:val="0"/>
              <w:snapToGrid w:val="0"/>
              <w:spacing w:line="360" w:lineRule="auto"/>
              <w:ind w:left="-1" w:hanging="419"/>
              <w:rPr>
                <w:rFonts w:ascii="宋体" w:hAnsi="宋体"/>
                <w:szCs w:val="21"/>
                <w:highlight w:val="none"/>
              </w:rPr>
            </w:pPr>
          </w:p>
          <w:p w14:paraId="13B58F1D">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3251" w:type="dxa"/>
            <w:tcBorders>
              <w:top w:val="single" w:color="auto" w:sz="6" w:space="0"/>
              <w:left w:val="single" w:color="auto" w:sz="6" w:space="0"/>
              <w:bottom w:val="single" w:color="auto" w:sz="6" w:space="0"/>
              <w:right w:val="single" w:color="auto" w:sz="4" w:space="0"/>
            </w:tcBorders>
            <w:vAlign w:val="center"/>
          </w:tcPr>
          <w:p w14:paraId="06001B84">
            <w:pPr>
              <w:autoSpaceDE w:val="0"/>
              <w:autoSpaceDN w:val="0"/>
              <w:adjustRightInd w:val="0"/>
              <w:snapToGrid w:val="0"/>
              <w:spacing w:line="360" w:lineRule="auto"/>
              <w:jc w:val="center"/>
              <w:rPr>
                <w:rFonts w:ascii="宋体" w:hAnsi="宋体"/>
                <w:szCs w:val="21"/>
                <w:highlight w:val="none"/>
              </w:rPr>
            </w:pPr>
            <w:r>
              <w:rPr>
                <w:rFonts w:hint="eastAsia" w:ascii="宋体" w:hAnsi="宋体" w:cs="宋体"/>
                <w:szCs w:val="21"/>
                <w:highlight w:val="none"/>
              </w:rPr>
              <w:t>总报价</w:t>
            </w:r>
          </w:p>
        </w:tc>
        <w:tc>
          <w:tcPr>
            <w:tcW w:w="2975" w:type="dxa"/>
            <w:tcBorders>
              <w:top w:val="single" w:color="auto" w:sz="6" w:space="0"/>
              <w:left w:val="single" w:color="auto" w:sz="4" w:space="0"/>
              <w:bottom w:val="single" w:color="auto" w:sz="6" w:space="0"/>
              <w:right w:val="single" w:color="auto" w:sz="6" w:space="0"/>
            </w:tcBorders>
            <w:vAlign w:val="center"/>
          </w:tcPr>
          <w:p w14:paraId="08306FB2">
            <w:pPr>
              <w:autoSpaceDE w:val="0"/>
              <w:autoSpaceDN w:val="0"/>
              <w:adjustRightInd w:val="0"/>
              <w:snapToGrid w:val="0"/>
              <w:spacing w:line="360" w:lineRule="auto"/>
              <w:jc w:val="center"/>
              <w:rPr>
                <w:rFonts w:hint="eastAsia" w:ascii="宋体" w:hAnsi="宋体" w:eastAsia="宋体"/>
                <w:szCs w:val="21"/>
                <w:highlight w:val="none"/>
                <w:lang w:eastAsia="zh-CN"/>
              </w:rPr>
            </w:pPr>
            <w:r>
              <w:rPr>
                <w:rFonts w:hint="eastAsia" w:ascii="宋体" w:hAnsi="宋体"/>
                <w:szCs w:val="21"/>
                <w:highlight w:val="none"/>
                <w:lang w:val="en-US" w:eastAsia="zh-CN"/>
              </w:rPr>
              <w:t>服务期</w:t>
            </w:r>
          </w:p>
        </w:tc>
      </w:tr>
      <w:tr w14:paraId="7718F5A1">
        <w:tblPrEx>
          <w:tblCellMar>
            <w:top w:w="0" w:type="dxa"/>
            <w:left w:w="108" w:type="dxa"/>
            <w:bottom w:w="0" w:type="dxa"/>
            <w:right w:w="108" w:type="dxa"/>
          </w:tblCellMar>
        </w:tblPrEx>
        <w:trPr>
          <w:trHeight w:val="247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254C5DB3">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大雁塔不均匀沉降及变形监测项目</w:t>
            </w:r>
          </w:p>
        </w:tc>
        <w:tc>
          <w:tcPr>
            <w:tcW w:w="3251" w:type="dxa"/>
            <w:tcBorders>
              <w:top w:val="single" w:color="auto" w:sz="6" w:space="0"/>
              <w:left w:val="single" w:color="auto" w:sz="6" w:space="0"/>
              <w:bottom w:val="single" w:color="auto" w:sz="6" w:space="0"/>
              <w:right w:val="single" w:color="auto" w:sz="4" w:space="0"/>
            </w:tcBorders>
            <w:vAlign w:val="center"/>
          </w:tcPr>
          <w:p w14:paraId="332626CC">
            <w:pPr>
              <w:autoSpaceDE w:val="0"/>
              <w:autoSpaceDN w:val="0"/>
              <w:adjustRightInd w:val="0"/>
              <w:snapToGrid w:val="0"/>
              <w:spacing w:line="360" w:lineRule="auto"/>
              <w:rPr>
                <w:rFonts w:ascii="宋体" w:hAnsi="宋体"/>
                <w:sz w:val="18"/>
                <w:szCs w:val="18"/>
                <w:highlight w:val="none"/>
              </w:rPr>
            </w:pPr>
            <w:r>
              <w:rPr>
                <w:rFonts w:hint="eastAsia" w:ascii="宋体" w:hAnsi="宋体"/>
                <w:sz w:val="18"/>
                <w:szCs w:val="18"/>
                <w:highlight w:val="none"/>
              </w:rPr>
              <w:t xml:space="preserve">人民币大写：                 </w:t>
            </w:r>
          </w:p>
          <w:p w14:paraId="6DBEED82">
            <w:pPr>
              <w:autoSpaceDE w:val="0"/>
              <w:autoSpaceDN w:val="0"/>
              <w:adjustRightInd w:val="0"/>
              <w:snapToGrid w:val="0"/>
              <w:spacing w:line="360" w:lineRule="auto"/>
              <w:rPr>
                <w:rFonts w:ascii="宋体" w:hAnsi="宋体"/>
                <w:szCs w:val="21"/>
                <w:highlight w:val="none"/>
              </w:rPr>
            </w:pPr>
            <w:r>
              <w:rPr>
                <w:rFonts w:hint="eastAsia" w:ascii="宋体" w:hAnsi="宋体"/>
                <w:sz w:val="18"/>
                <w:szCs w:val="18"/>
                <w:highlight w:val="none"/>
              </w:rPr>
              <w:t>￥：      元</w:t>
            </w:r>
          </w:p>
        </w:tc>
        <w:tc>
          <w:tcPr>
            <w:tcW w:w="2975" w:type="dxa"/>
            <w:tcBorders>
              <w:top w:val="single" w:color="auto" w:sz="6" w:space="0"/>
              <w:left w:val="single" w:color="auto" w:sz="4" w:space="0"/>
              <w:bottom w:val="single" w:color="auto" w:sz="6" w:space="0"/>
              <w:right w:val="single" w:color="auto" w:sz="6" w:space="0"/>
            </w:tcBorders>
            <w:vAlign w:val="center"/>
          </w:tcPr>
          <w:p w14:paraId="719D2B1A">
            <w:pPr>
              <w:adjustRightInd w:val="0"/>
              <w:snapToGrid w:val="0"/>
              <w:spacing w:line="360" w:lineRule="auto"/>
              <w:jc w:val="center"/>
              <w:rPr>
                <w:rFonts w:ascii="宋体" w:hAnsi="宋体"/>
                <w:szCs w:val="21"/>
                <w:highlight w:val="none"/>
              </w:rPr>
            </w:pPr>
          </w:p>
        </w:tc>
      </w:tr>
      <w:tr w14:paraId="7312A758">
        <w:tblPrEx>
          <w:tblCellMar>
            <w:top w:w="0" w:type="dxa"/>
            <w:left w:w="108" w:type="dxa"/>
            <w:bottom w:w="0" w:type="dxa"/>
            <w:right w:w="108" w:type="dxa"/>
          </w:tblCellMar>
        </w:tblPrEx>
        <w:trPr>
          <w:trHeight w:val="1310"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036AC5EA">
            <w:pPr>
              <w:autoSpaceDE w:val="0"/>
              <w:autoSpaceDN w:val="0"/>
              <w:adjustRightInd w:val="0"/>
              <w:snapToGrid w:val="0"/>
              <w:spacing w:line="360" w:lineRule="auto"/>
              <w:rPr>
                <w:rFonts w:ascii="宋体" w:hAnsi="宋体"/>
                <w:szCs w:val="21"/>
                <w:highlight w:val="none"/>
              </w:rPr>
            </w:pPr>
            <w:r>
              <w:rPr>
                <w:rFonts w:hint="eastAsia" w:ascii="宋体" w:hAnsi="宋体"/>
                <w:b/>
                <w:bCs/>
                <w:szCs w:val="21"/>
                <w:highlight w:val="none"/>
                <w:lang w:val="zh-CN"/>
              </w:rPr>
              <w:t>备注：表内报价内容以元为单位，</w:t>
            </w:r>
            <w:r>
              <w:rPr>
                <w:rFonts w:hint="eastAsia" w:ascii="宋体" w:hAnsi="宋体"/>
                <w:b/>
                <w:bCs/>
                <w:szCs w:val="21"/>
                <w:highlight w:val="none"/>
              </w:rPr>
              <w:t>建议</w:t>
            </w:r>
            <w:r>
              <w:rPr>
                <w:rFonts w:hint="eastAsia" w:ascii="宋体" w:hAnsi="宋体"/>
                <w:b/>
                <w:bCs/>
                <w:szCs w:val="21"/>
                <w:highlight w:val="none"/>
                <w:lang w:val="zh-CN"/>
              </w:rPr>
              <w:t>精确到小数点后两位。</w:t>
            </w:r>
          </w:p>
        </w:tc>
      </w:tr>
    </w:tbl>
    <w:p w14:paraId="5F981031">
      <w:pPr>
        <w:spacing w:line="460" w:lineRule="exact"/>
        <w:jc w:val="center"/>
        <w:rPr>
          <w:rFonts w:ascii="宋体" w:hAnsi="宋体"/>
          <w:szCs w:val="21"/>
          <w:highlight w:val="none"/>
        </w:rPr>
      </w:pPr>
    </w:p>
    <w:p w14:paraId="775AA03E">
      <w:pPr>
        <w:spacing w:line="460" w:lineRule="exact"/>
        <w:jc w:val="center"/>
        <w:rPr>
          <w:rFonts w:ascii="宋体" w:hAnsi="宋体"/>
          <w:szCs w:val="21"/>
          <w:highlight w:val="none"/>
        </w:rPr>
      </w:pPr>
      <w:r>
        <w:rPr>
          <w:rFonts w:hint="eastAsia" w:ascii="宋体" w:hAnsi="宋体"/>
          <w:szCs w:val="21"/>
          <w:highlight w:val="none"/>
        </w:rPr>
        <w:t xml:space="preserve">                                                              </w:t>
      </w:r>
    </w:p>
    <w:p w14:paraId="179CEB2D">
      <w:pPr>
        <w:spacing w:line="460" w:lineRule="exact"/>
        <w:rPr>
          <w:rFonts w:ascii="宋体" w:hAnsi="宋体"/>
          <w:b/>
          <w:szCs w:val="21"/>
          <w:highlight w:val="none"/>
        </w:rPr>
      </w:pPr>
    </w:p>
    <w:p w14:paraId="4ACAE04D">
      <w:pPr>
        <w:spacing w:line="460" w:lineRule="exact"/>
        <w:rPr>
          <w:rFonts w:ascii="宋体" w:hAnsi="宋体"/>
          <w:b/>
          <w:szCs w:val="21"/>
          <w:highlight w:val="none"/>
        </w:rPr>
      </w:pPr>
      <w:r>
        <w:rPr>
          <w:rFonts w:hint="eastAsia" w:ascii="宋体" w:hAnsi="宋体"/>
          <w:b/>
          <w:szCs w:val="21"/>
          <w:highlight w:val="none"/>
        </w:rPr>
        <w:t xml:space="preserve">供应商：（公章）                </w:t>
      </w:r>
    </w:p>
    <w:p w14:paraId="4BBA73AC">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601B4BA0">
      <w:pPr>
        <w:spacing w:line="460" w:lineRule="exact"/>
        <w:ind w:firstLine="4620" w:firstLineChars="2200"/>
        <w:rPr>
          <w:rFonts w:ascii="宋体" w:hAnsi="宋体"/>
          <w:b/>
          <w:szCs w:val="21"/>
          <w:highlight w:val="none"/>
        </w:rPr>
      </w:pPr>
    </w:p>
    <w:p w14:paraId="4BD8B380">
      <w:pPr>
        <w:autoSpaceDE w:val="0"/>
        <w:autoSpaceDN w:val="0"/>
        <w:adjustRightInd w:val="0"/>
        <w:snapToGrid w:val="0"/>
        <w:spacing w:line="360" w:lineRule="auto"/>
        <w:ind w:firstLine="210" w:firstLineChars="100"/>
        <w:rPr>
          <w:rFonts w:ascii="宋体" w:hAnsi="宋体"/>
          <w:szCs w:val="21"/>
          <w:highlight w:val="none"/>
        </w:rPr>
      </w:pPr>
    </w:p>
    <w:p w14:paraId="492AD5BD">
      <w:pPr>
        <w:autoSpaceDE w:val="0"/>
        <w:autoSpaceDN w:val="0"/>
        <w:adjustRightInd w:val="0"/>
        <w:snapToGrid w:val="0"/>
        <w:spacing w:line="360" w:lineRule="auto"/>
        <w:ind w:firstLine="210" w:firstLineChars="100"/>
        <w:rPr>
          <w:rFonts w:ascii="宋体" w:hAnsi="宋体"/>
          <w:szCs w:val="21"/>
          <w:highlight w:val="none"/>
        </w:rPr>
      </w:pPr>
    </w:p>
    <w:p w14:paraId="2468C8AC">
      <w:pPr>
        <w:autoSpaceDE w:val="0"/>
        <w:autoSpaceDN w:val="0"/>
        <w:adjustRightInd w:val="0"/>
        <w:snapToGrid w:val="0"/>
        <w:spacing w:line="360" w:lineRule="auto"/>
        <w:ind w:firstLine="1260" w:firstLineChars="6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0315377">
      <w:pPr>
        <w:pStyle w:val="7"/>
        <w:rPr>
          <w:highlight w:val="none"/>
        </w:rPr>
        <w:sectPr>
          <w:headerReference r:id="rId5" w:type="default"/>
          <w:pgSz w:w="11906" w:h="16838"/>
          <w:pgMar w:top="1281" w:right="1418" w:bottom="1247" w:left="1418" w:header="851" w:footer="907" w:gutter="0"/>
          <w:pgBorders>
            <w:bottom w:val="single" w:color="auto" w:sz="4" w:space="1"/>
          </w:pgBorders>
          <w:cols w:space="720" w:num="1"/>
          <w:docGrid w:type="linesAndChars" w:linePitch="487" w:charSpace="0"/>
        </w:sectPr>
      </w:pPr>
    </w:p>
    <w:p w14:paraId="26348B2D">
      <w:pPr>
        <w:pStyle w:val="3"/>
        <w:jc w:val="center"/>
        <w:rPr>
          <w:rFonts w:ascii="宋体" w:hAnsi="宋体" w:eastAsia="宋体"/>
          <w:b/>
          <w:szCs w:val="28"/>
          <w:highlight w:val="none"/>
        </w:rPr>
      </w:pPr>
      <w:r>
        <w:rPr>
          <w:rFonts w:hint="eastAsia" w:ascii="宋体" w:hAnsi="宋体" w:eastAsia="宋体"/>
          <w:b/>
          <w:szCs w:val="28"/>
          <w:highlight w:val="none"/>
        </w:rPr>
        <w:t>分项报价表</w:t>
      </w:r>
    </w:p>
    <w:p w14:paraId="789AAD12">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项目名称：                                          </w:t>
      </w:r>
    </w:p>
    <w:p w14:paraId="545AF71F">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项目编号：                                        单位：元</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500"/>
        <w:gridCol w:w="1542"/>
        <w:gridCol w:w="1540"/>
        <w:gridCol w:w="1542"/>
      </w:tblGrid>
      <w:tr w14:paraId="025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3" w:type="dxa"/>
            <w:vAlign w:val="center"/>
          </w:tcPr>
          <w:p w14:paraId="79EBDE9C">
            <w:pPr>
              <w:spacing w:line="36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3500" w:type="dxa"/>
            <w:vAlign w:val="center"/>
          </w:tcPr>
          <w:p w14:paraId="25E00B98">
            <w:pPr>
              <w:spacing w:line="360" w:lineRule="auto"/>
              <w:jc w:val="center"/>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服务内容</w:t>
            </w:r>
          </w:p>
        </w:tc>
        <w:tc>
          <w:tcPr>
            <w:tcW w:w="1542" w:type="dxa"/>
            <w:vAlign w:val="center"/>
          </w:tcPr>
          <w:p w14:paraId="54B66B61">
            <w:pPr>
              <w:spacing w:line="36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单价</w:t>
            </w:r>
          </w:p>
        </w:tc>
        <w:tc>
          <w:tcPr>
            <w:tcW w:w="1540" w:type="dxa"/>
            <w:vAlign w:val="center"/>
          </w:tcPr>
          <w:p w14:paraId="7FB99FD5">
            <w:pPr>
              <w:spacing w:line="36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总价</w:t>
            </w:r>
          </w:p>
        </w:tc>
        <w:tc>
          <w:tcPr>
            <w:tcW w:w="1542" w:type="dxa"/>
            <w:vAlign w:val="center"/>
          </w:tcPr>
          <w:p w14:paraId="4A1730D7">
            <w:pPr>
              <w:spacing w:line="360" w:lineRule="auto"/>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备注</w:t>
            </w:r>
          </w:p>
        </w:tc>
      </w:tr>
      <w:tr w14:paraId="36B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3" w:type="dxa"/>
          </w:tcPr>
          <w:p w14:paraId="0EC2CE48">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3500" w:type="dxa"/>
            <w:vAlign w:val="center"/>
          </w:tcPr>
          <w:p w14:paraId="3FB9F0EB">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2" w:type="dxa"/>
          </w:tcPr>
          <w:p w14:paraId="53273737">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0" w:type="dxa"/>
          </w:tcPr>
          <w:p w14:paraId="7092DCD3">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2" w:type="dxa"/>
          </w:tcPr>
          <w:p w14:paraId="63A4DE59">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r>
      <w:tr w14:paraId="1B43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3" w:type="dxa"/>
          </w:tcPr>
          <w:p w14:paraId="6C102F67">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3500" w:type="dxa"/>
            <w:vAlign w:val="center"/>
          </w:tcPr>
          <w:p w14:paraId="037C2112">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其他费用</w:t>
            </w:r>
          </w:p>
        </w:tc>
        <w:tc>
          <w:tcPr>
            <w:tcW w:w="1542" w:type="dxa"/>
          </w:tcPr>
          <w:p w14:paraId="236E467E">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0" w:type="dxa"/>
          </w:tcPr>
          <w:p w14:paraId="347D11FB">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2" w:type="dxa"/>
          </w:tcPr>
          <w:p w14:paraId="4F0873E3">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r>
      <w:tr w14:paraId="4F9F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3" w:type="dxa"/>
          </w:tcPr>
          <w:p w14:paraId="5F5EB38B">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3500" w:type="dxa"/>
          </w:tcPr>
          <w:p w14:paraId="48CEAE89">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w:t>
            </w:r>
          </w:p>
        </w:tc>
        <w:tc>
          <w:tcPr>
            <w:tcW w:w="1542" w:type="dxa"/>
          </w:tcPr>
          <w:p w14:paraId="43D47CA5">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0" w:type="dxa"/>
          </w:tcPr>
          <w:p w14:paraId="3A1AF6A6">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c>
          <w:tcPr>
            <w:tcW w:w="1542" w:type="dxa"/>
          </w:tcPr>
          <w:p w14:paraId="3987E572">
            <w:pPr>
              <w:spacing w:line="360" w:lineRule="auto"/>
              <w:rPr>
                <w:rFonts w:hint="eastAsia" w:ascii="楷体" w:hAnsi="楷体" w:eastAsia="楷体" w:cs="楷体"/>
                <w:color w:val="000000" w:themeColor="text1"/>
                <w:sz w:val="24"/>
                <w:szCs w:val="24"/>
                <w:highlight w:val="none"/>
                <w14:textFill>
                  <w14:solidFill>
                    <w14:schemeClr w14:val="tx1"/>
                  </w14:solidFill>
                </w14:textFill>
              </w:rPr>
            </w:pPr>
          </w:p>
        </w:tc>
      </w:tr>
      <w:tr w14:paraId="0FC4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3" w:type="dxa"/>
          </w:tcPr>
          <w:p w14:paraId="5302AD52">
            <w:pPr>
              <w:spacing w:line="36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合计</w:t>
            </w:r>
          </w:p>
        </w:tc>
        <w:tc>
          <w:tcPr>
            <w:tcW w:w="3500" w:type="dxa"/>
          </w:tcPr>
          <w:p w14:paraId="613C2B9A">
            <w:pPr>
              <w:spacing w:line="36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大写：</w:t>
            </w:r>
          </w:p>
        </w:tc>
        <w:tc>
          <w:tcPr>
            <w:tcW w:w="1542" w:type="dxa"/>
          </w:tcPr>
          <w:p w14:paraId="1F598459">
            <w:pPr>
              <w:spacing w:line="36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合计</w:t>
            </w:r>
          </w:p>
        </w:tc>
        <w:tc>
          <w:tcPr>
            <w:tcW w:w="3082" w:type="dxa"/>
            <w:gridSpan w:val="2"/>
          </w:tcPr>
          <w:p w14:paraId="584C2A0A">
            <w:pPr>
              <w:spacing w:line="360" w:lineRule="auto"/>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小写：</w:t>
            </w:r>
          </w:p>
        </w:tc>
      </w:tr>
      <w:tr w14:paraId="11E8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57" w:type="dxa"/>
            <w:gridSpan w:val="5"/>
          </w:tcPr>
          <w:p w14:paraId="2C0563FD">
            <w:pPr>
              <w:spacing w:line="360" w:lineRule="auto"/>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本表格式内容可根据</w:t>
            </w:r>
            <w:r>
              <w:rPr>
                <w:rFonts w:hint="eastAsia" w:ascii="楷体" w:hAnsi="楷体" w:eastAsia="楷体" w:cs="楷体"/>
                <w:color w:val="000000" w:themeColor="text1"/>
                <w:sz w:val="24"/>
                <w:szCs w:val="24"/>
                <w:highlight w:val="none"/>
                <w:lang w:eastAsia="zh-CN"/>
                <w14:textFill>
                  <w14:solidFill>
                    <w14:schemeClr w14:val="tx1"/>
                  </w14:solidFill>
                </w14:textFill>
              </w:rPr>
              <w:t>投标人</w:t>
            </w:r>
            <w:r>
              <w:rPr>
                <w:rFonts w:hint="eastAsia" w:ascii="楷体" w:hAnsi="楷体" w:eastAsia="楷体" w:cs="楷体"/>
                <w:color w:val="000000" w:themeColor="text1"/>
                <w:sz w:val="24"/>
                <w:szCs w:val="24"/>
                <w:highlight w:val="none"/>
                <w14:textFill>
                  <w14:solidFill>
                    <w14:schemeClr w14:val="tx1"/>
                  </w14:solidFill>
                </w14:textFill>
              </w:rPr>
              <w:t>自身情况适当增加，但不可删减。</w:t>
            </w:r>
          </w:p>
        </w:tc>
      </w:tr>
    </w:tbl>
    <w:p w14:paraId="0ACD4BBC">
      <w:pPr>
        <w:spacing w:line="360" w:lineRule="auto"/>
        <w:rPr>
          <w:rFonts w:hint="eastAsia" w:ascii="楷体" w:hAnsi="楷体" w:eastAsia="楷体" w:cs="楷体"/>
          <w:b/>
          <w:bCs/>
          <w:sz w:val="24"/>
          <w:szCs w:val="24"/>
          <w:highlight w:val="none"/>
        </w:rPr>
      </w:pPr>
      <w:r>
        <w:rPr>
          <w:rFonts w:hint="eastAsia" w:ascii="楷体" w:hAnsi="楷体" w:eastAsia="楷体" w:cs="楷体"/>
          <w:sz w:val="24"/>
          <w:szCs w:val="24"/>
          <w:highlight w:val="none"/>
          <w:u w:val="single"/>
        </w:rPr>
        <w:t xml:space="preserve"> </w:t>
      </w:r>
    </w:p>
    <w:p w14:paraId="21C2139D">
      <w:pPr>
        <w:spacing w:line="360" w:lineRule="auto"/>
        <w:rPr>
          <w:rFonts w:hint="eastAsia" w:ascii="楷体" w:hAnsi="楷体" w:eastAsia="楷体" w:cs="楷体"/>
          <w:position w:val="4"/>
          <w:sz w:val="24"/>
          <w:szCs w:val="24"/>
          <w:highlight w:val="none"/>
        </w:rPr>
      </w:pPr>
      <w:r>
        <w:rPr>
          <w:rFonts w:hint="eastAsia" w:ascii="楷体" w:hAnsi="楷体" w:eastAsia="楷体" w:cs="楷体"/>
          <w:position w:val="4"/>
          <w:sz w:val="24"/>
          <w:szCs w:val="24"/>
          <w:highlight w:val="none"/>
        </w:rPr>
        <w:t>注：1、</w:t>
      </w:r>
      <w:r>
        <w:rPr>
          <w:rFonts w:hint="eastAsia" w:ascii="楷体" w:hAnsi="楷体" w:eastAsia="楷体" w:cs="楷体"/>
          <w:position w:val="4"/>
          <w:sz w:val="24"/>
          <w:szCs w:val="24"/>
          <w:highlight w:val="none"/>
          <w:lang w:eastAsia="zh-CN"/>
        </w:rPr>
        <w:t>投标人</w:t>
      </w:r>
      <w:r>
        <w:rPr>
          <w:rFonts w:hint="eastAsia" w:ascii="楷体" w:hAnsi="楷体" w:eastAsia="楷体" w:cs="楷体"/>
          <w:position w:val="4"/>
          <w:sz w:val="24"/>
          <w:szCs w:val="24"/>
          <w:highlight w:val="none"/>
        </w:rPr>
        <w:t>须按照此表格式对招标分项内容分别进行报价，</w:t>
      </w:r>
      <w:r>
        <w:rPr>
          <w:rFonts w:hint="eastAsia" w:ascii="楷体" w:hAnsi="楷体" w:eastAsia="楷体" w:cs="楷体"/>
          <w:position w:val="4"/>
          <w:sz w:val="24"/>
          <w:szCs w:val="24"/>
          <w:highlight w:val="none"/>
          <w:lang w:eastAsia="zh-CN"/>
        </w:rPr>
        <w:t>投标人</w:t>
      </w:r>
      <w:r>
        <w:rPr>
          <w:rFonts w:hint="eastAsia" w:ascii="楷体" w:hAnsi="楷体" w:eastAsia="楷体" w:cs="楷体"/>
          <w:position w:val="4"/>
          <w:sz w:val="24"/>
          <w:szCs w:val="24"/>
          <w:highlight w:val="none"/>
        </w:rPr>
        <w:t>根据采购要求自行填加。</w:t>
      </w:r>
    </w:p>
    <w:p w14:paraId="564946BA">
      <w:pPr>
        <w:spacing w:line="360" w:lineRule="auto"/>
        <w:rPr>
          <w:rFonts w:hint="eastAsia" w:ascii="楷体" w:hAnsi="楷体" w:eastAsia="楷体" w:cs="楷体"/>
          <w:position w:val="4"/>
          <w:sz w:val="24"/>
          <w:szCs w:val="24"/>
          <w:highlight w:val="none"/>
        </w:rPr>
      </w:pPr>
      <w:r>
        <w:rPr>
          <w:rFonts w:hint="eastAsia" w:ascii="楷体" w:hAnsi="楷体" w:eastAsia="楷体" w:cs="楷体"/>
          <w:position w:val="4"/>
          <w:sz w:val="24"/>
          <w:szCs w:val="24"/>
          <w:highlight w:val="none"/>
        </w:rPr>
        <w:t xml:space="preserve">    2、“分项报价表”各分项报价合计应当与“竞争性磋商报价一览表”报价相等，报价精确到小数点后两位。</w:t>
      </w:r>
    </w:p>
    <w:p w14:paraId="7E616378">
      <w:pPr>
        <w:spacing w:line="360" w:lineRule="auto"/>
        <w:rPr>
          <w:rFonts w:hint="eastAsia" w:ascii="楷体" w:hAnsi="楷体" w:eastAsia="楷体" w:cs="楷体"/>
          <w:position w:val="4"/>
          <w:sz w:val="24"/>
          <w:szCs w:val="24"/>
          <w:highlight w:val="none"/>
        </w:rPr>
      </w:pPr>
      <w:r>
        <w:rPr>
          <w:rFonts w:hint="eastAsia" w:ascii="楷体" w:hAnsi="楷体" w:eastAsia="楷体" w:cs="楷体"/>
          <w:position w:val="4"/>
          <w:sz w:val="24"/>
          <w:szCs w:val="24"/>
          <w:highlight w:val="none"/>
        </w:rPr>
        <w:t xml:space="preserve">    3、如果不提供详细分项报价将视为没有实质性响应竞争性磋商文件。</w:t>
      </w:r>
    </w:p>
    <w:p w14:paraId="710978F9">
      <w:pPr>
        <w:spacing w:line="360" w:lineRule="auto"/>
        <w:rPr>
          <w:rFonts w:hint="eastAsia" w:ascii="楷体" w:hAnsi="楷体" w:eastAsia="楷体" w:cs="楷体"/>
          <w:position w:val="4"/>
          <w:sz w:val="24"/>
          <w:szCs w:val="24"/>
          <w:highlight w:val="none"/>
        </w:rPr>
      </w:pPr>
      <w:r>
        <w:rPr>
          <w:rFonts w:hint="eastAsia" w:ascii="楷体" w:hAnsi="楷体" w:eastAsia="楷体" w:cs="楷体"/>
          <w:position w:val="4"/>
          <w:sz w:val="24"/>
          <w:szCs w:val="24"/>
          <w:highlight w:val="none"/>
        </w:rPr>
        <w:t xml:space="preserve">    4、如果按单价计算的结果与总价不一致时，以单价为准修正总价。</w:t>
      </w:r>
    </w:p>
    <w:p w14:paraId="47333051">
      <w:pPr>
        <w:pStyle w:val="47"/>
        <w:spacing w:line="360" w:lineRule="auto"/>
        <w:jc w:val="left"/>
        <w:rPr>
          <w:rFonts w:hint="eastAsia" w:ascii="楷体" w:hAnsi="楷体" w:eastAsia="楷体" w:cs="楷体"/>
          <w:b w:val="0"/>
          <w:sz w:val="24"/>
          <w:szCs w:val="24"/>
          <w:highlight w:val="none"/>
        </w:rPr>
      </w:pPr>
      <w:r>
        <w:rPr>
          <w:rFonts w:hint="eastAsia" w:ascii="楷体" w:hAnsi="楷体" w:eastAsia="楷体" w:cs="楷体"/>
          <w:b w:val="0"/>
          <w:sz w:val="24"/>
          <w:szCs w:val="24"/>
          <w:highlight w:val="none"/>
        </w:rPr>
        <w:t xml:space="preserve">                                    </w:t>
      </w:r>
      <w:r>
        <w:rPr>
          <w:rFonts w:hint="eastAsia" w:ascii="楷体" w:hAnsi="楷体" w:eastAsia="楷体" w:cs="楷体"/>
          <w:b w:val="0"/>
          <w:sz w:val="24"/>
          <w:szCs w:val="24"/>
          <w:highlight w:val="none"/>
          <w:lang w:eastAsia="zh-CN"/>
        </w:rPr>
        <w:t>投标人</w:t>
      </w:r>
      <w:r>
        <w:rPr>
          <w:rFonts w:hint="eastAsia" w:ascii="楷体" w:hAnsi="楷体" w:eastAsia="楷体" w:cs="楷体"/>
          <w:b w:val="0"/>
          <w:sz w:val="24"/>
          <w:szCs w:val="24"/>
          <w:highlight w:val="none"/>
        </w:rPr>
        <w:t>：</w:t>
      </w:r>
      <w:r>
        <w:rPr>
          <w:rFonts w:hint="eastAsia" w:ascii="楷体" w:hAnsi="楷体" w:eastAsia="楷体" w:cs="楷体"/>
          <w:b w:val="0"/>
          <w:sz w:val="24"/>
          <w:szCs w:val="24"/>
          <w:highlight w:val="none"/>
          <w:u w:val="single"/>
        </w:rPr>
        <w:t xml:space="preserve">               （单位全称、盖章）   </w:t>
      </w:r>
    </w:p>
    <w:p w14:paraId="5C446695">
      <w:pPr>
        <w:pStyle w:val="47"/>
        <w:spacing w:line="360" w:lineRule="auto"/>
        <w:jc w:val="left"/>
        <w:rPr>
          <w:rFonts w:hint="eastAsia" w:ascii="楷体" w:hAnsi="楷体" w:eastAsia="楷体" w:cs="楷体"/>
          <w:b w:val="0"/>
          <w:sz w:val="24"/>
          <w:szCs w:val="24"/>
          <w:highlight w:val="none"/>
        </w:rPr>
      </w:pPr>
      <w:r>
        <w:rPr>
          <w:rFonts w:hint="eastAsia" w:ascii="楷体" w:hAnsi="楷体" w:eastAsia="楷体" w:cs="楷体"/>
          <w:b w:val="0"/>
          <w:sz w:val="24"/>
          <w:szCs w:val="24"/>
          <w:highlight w:val="none"/>
        </w:rPr>
        <w:t xml:space="preserve">                                    法定代表人或授权代表：</w:t>
      </w:r>
      <w:r>
        <w:rPr>
          <w:rFonts w:hint="eastAsia" w:ascii="楷体" w:hAnsi="楷体" w:eastAsia="楷体" w:cs="楷体"/>
          <w:b w:val="0"/>
          <w:sz w:val="24"/>
          <w:szCs w:val="24"/>
          <w:highlight w:val="none"/>
          <w:u w:val="single"/>
        </w:rPr>
        <w:t xml:space="preserve">     （盖章/签字）    </w:t>
      </w:r>
    </w:p>
    <w:p w14:paraId="77AF4A36">
      <w:pPr>
        <w:spacing w:line="360" w:lineRule="auto"/>
        <w:jc w:val="left"/>
        <w:rPr>
          <w:rFonts w:hint="eastAsia" w:ascii="楷体" w:hAnsi="楷体" w:eastAsia="楷体" w:cs="楷体"/>
          <w:b/>
          <w:bCs/>
          <w:sz w:val="24"/>
          <w:szCs w:val="24"/>
          <w:highlight w:val="none"/>
        </w:rPr>
      </w:pPr>
      <w:r>
        <w:rPr>
          <w:rFonts w:hint="eastAsia" w:ascii="楷体" w:hAnsi="楷体" w:eastAsia="楷体" w:cs="楷体"/>
          <w:sz w:val="24"/>
          <w:szCs w:val="24"/>
          <w:highlight w:val="none"/>
        </w:rPr>
        <w:t xml:space="preserve">                                    磋商日期：</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年</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月</w:t>
      </w:r>
      <w:r>
        <w:rPr>
          <w:rFonts w:hint="eastAsia" w:ascii="楷体" w:hAnsi="楷体" w:eastAsia="楷体" w:cs="楷体"/>
          <w:sz w:val="24"/>
          <w:szCs w:val="24"/>
          <w:highlight w:val="none"/>
          <w:u w:val="single"/>
        </w:rPr>
        <w:t xml:space="preserve">    </w:t>
      </w:r>
      <w:r>
        <w:rPr>
          <w:rFonts w:hint="eastAsia" w:ascii="楷体" w:hAnsi="楷体" w:eastAsia="楷体" w:cs="楷体"/>
          <w:sz w:val="24"/>
          <w:szCs w:val="24"/>
          <w:highlight w:val="none"/>
        </w:rPr>
        <w:t>日</w:t>
      </w:r>
    </w:p>
    <w:p w14:paraId="07929ABF">
      <w:pPr>
        <w:pStyle w:val="7"/>
        <w:ind w:left="0" w:leftChars="0" w:firstLine="0" w:firstLineChars="0"/>
        <w:rPr>
          <w:highlight w:val="none"/>
        </w:rPr>
        <w:sectPr>
          <w:pgSz w:w="11906" w:h="16838"/>
          <w:pgMar w:top="1281" w:right="1418" w:bottom="1247" w:left="1418" w:header="851" w:footer="992" w:gutter="0"/>
          <w:pgBorders>
            <w:bottom w:val="single" w:color="auto" w:sz="4" w:space="1"/>
          </w:pgBorders>
          <w:cols w:space="720" w:num="1"/>
          <w:titlePg/>
          <w:docGrid w:type="linesAndChars" w:linePitch="487" w:charSpace="0"/>
        </w:sectPr>
      </w:pPr>
    </w:p>
    <w:p w14:paraId="51DD7119">
      <w:pPr>
        <w:autoSpaceDE w:val="0"/>
        <w:autoSpaceDN w:val="0"/>
        <w:adjustRightInd w:val="0"/>
        <w:snapToGrid w:val="0"/>
        <w:spacing w:line="360" w:lineRule="auto"/>
        <w:jc w:val="center"/>
        <w:rPr>
          <w:rFonts w:ascii="宋体" w:hAnsi="宋体"/>
          <w:b/>
          <w:bCs/>
          <w:sz w:val="28"/>
          <w:szCs w:val="28"/>
          <w:highlight w:val="none"/>
        </w:rPr>
      </w:pPr>
      <w:r>
        <w:rPr>
          <w:rFonts w:hint="eastAsia" w:ascii="宋体" w:hAnsi="宋体"/>
          <w:b/>
          <w:bCs/>
          <w:sz w:val="28"/>
          <w:szCs w:val="28"/>
          <w:highlight w:val="none"/>
        </w:rPr>
        <w:t>最后磋商报价表</w:t>
      </w:r>
    </w:p>
    <w:p w14:paraId="16AF9423">
      <w:pPr>
        <w:autoSpaceDE w:val="0"/>
        <w:autoSpaceDN w:val="0"/>
        <w:adjustRightInd w:val="0"/>
        <w:snapToGrid w:val="0"/>
        <w:spacing w:line="360" w:lineRule="auto"/>
        <w:jc w:val="right"/>
        <w:rPr>
          <w:rFonts w:ascii="宋体" w:hAnsi="宋体"/>
          <w:b/>
          <w:sz w:val="28"/>
          <w:szCs w:val="28"/>
          <w:highlight w:val="none"/>
        </w:rPr>
      </w:pPr>
      <w:r>
        <w:rPr>
          <w:rFonts w:hint="eastAsia" w:ascii="宋体" w:hAnsi="宋体"/>
          <w:b/>
          <w:sz w:val="28"/>
          <w:szCs w:val="28"/>
          <w:highlight w:val="none"/>
          <w:lang w:val="zh-CN"/>
        </w:rPr>
        <w:t>单位</w:t>
      </w:r>
      <w:r>
        <w:rPr>
          <w:rFonts w:hint="eastAsia" w:ascii="宋体" w:hAnsi="宋体"/>
          <w:b/>
          <w:sz w:val="28"/>
          <w:szCs w:val="28"/>
          <w:highlight w:val="none"/>
        </w:rPr>
        <w:t xml:space="preserve"> </w:t>
      </w:r>
      <w:r>
        <w:rPr>
          <w:rFonts w:hint="eastAsia" w:ascii="宋体" w:hAnsi="宋体"/>
          <w:b/>
          <w:sz w:val="28"/>
          <w:szCs w:val="28"/>
          <w:highlight w:val="none"/>
          <w:lang w:val="zh-CN"/>
        </w:rPr>
        <w:t>：元</w:t>
      </w:r>
      <w:r>
        <w:rPr>
          <w:rFonts w:hint="eastAsia" w:ascii="宋体" w:hAnsi="宋体"/>
          <w:b/>
          <w:sz w:val="28"/>
          <w:szCs w:val="28"/>
          <w:highlight w:val="none"/>
        </w:rPr>
        <w:t xml:space="preserve"> </w:t>
      </w:r>
    </w:p>
    <w:tbl>
      <w:tblPr>
        <w:tblStyle w:val="19"/>
        <w:tblW w:w="0" w:type="auto"/>
        <w:jc w:val="center"/>
        <w:tblLayout w:type="fixed"/>
        <w:tblCellMar>
          <w:top w:w="0" w:type="dxa"/>
          <w:left w:w="108" w:type="dxa"/>
          <w:bottom w:w="0" w:type="dxa"/>
          <w:right w:w="108" w:type="dxa"/>
        </w:tblCellMar>
      </w:tblPr>
      <w:tblGrid>
        <w:gridCol w:w="2544"/>
        <w:gridCol w:w="2835"/>
        <w:gridCol w:w="3391"/>
      </w:tblGrid>
      <w:tr w14:paraId="49D0BF57">
        <w:tblPrEx>
          <w:tblCellMar>
            <w:top w:w="0" w:type="dxa"/>
            <w:left w:w="108" w:type="dxa"/>
            <w:bottom w:w="0" w:type="dxa"/>
            <w:right w:w="108" w:type="dxa"/>
          </w:tblCellMar>
        </w:tblPrEx>
        <w:trPr>
          <w:trHeight w:val="1397" w:hRule="atLeast"/>
          <w:jc w:val="center"/>
        </w:trPr>
        <w:tc>
          <w:tcPr>
            <w:tcW w:w="2544" w:type="dxa"/>
            <w:tcBorders>
              <w:top w:val="single" w:color="auto" w:sz="6" w:space="0"/>
              <w:left w:val="single" w:color="auto" w:sz="6" w:space="0"/>
              <w:bottom w:val="single" w:color="auto" w:sz="6" w:space="0"/>
              <w:right w:val="single" w:color="auto" w:sz="6" w:space="0"/>
              <w:tl2br w:val="single" w:color="auto" w:sz="4" w:space="0"/>
            </w:tcBorders>
          </w:tcPr>
          <w:p w14:paraId="050492AB">
            <w:pPr>
              <w:autoSpaceDE w:val="0"/>
              <w:autoSpaceDN w:val="0"/>
              <w:adjustRightInd w:val="0"/>
              <w:snapToGrid w:val="0"/>
              <w:spacing w:line="360" w:lineRule="auto"/>
              <w:ind w:firstLine="945" w:firstLineChars="450"/>
              <w:rPr>
                <w:rFonts w:ascii="宋体" w:hAnsi="宋体"/>
                <w:szCs w:val="21"/>
                <w:highlight w:val="none"/>
                <w:lang w:val="zh-CN"/>
              </w:rPr>
            </w:pPr>
          </w:p>
          <w:p w14:paraId="431192C7">
            <w:pPr>
              <w:autoSpaceDE w:val="0"/>
              <w:autoSpaceDN w:val="0"/>
              <w:adjustRightInd w:val="0"/>
              <w:snapToGrid w:val="0"/>
              <w:spacing w:line="360" w:lineRule="auto"/>
              <w:ind w:firstLine="945" w:firstLineChars="450"/>
              <w:rPr>
                <w:rFonts w:ascii="宋体" w:hAnsi="宋体"/>
                <w:szCs w:val="21"/>
                <w:highlight w:val="none"/>
              </w:rPr>
            </w:pPr>
            <w:r>
              <w:rPr>
                <w:rFonts w:hint="eastAsia" w:ascii="宋体" w:hAnsi="宋体"/>
                <w:szCs w:val="21"/>
                <w:highlight w:val="none"/>
                <w:lang w:val="zh-CN"/>
              </w:rPr>
              <w:t>报价内容</w:t>
            </w:r>
          </w:p>
          <w:p w14:paraId="2DC3D9C7">
            <w:pPr>
              <w:autoSpaceDE w:val="0"/>
              <w:autoSpaceDN w:val="0"/>
              <w:adjustRightInd w:val="0"/>
              <w:snapToGrid w:val="0"/>
              <w:spacing w:line="360" w:lineRule="auto"/>
              <w:ind w:left="-1" w:hanging="419"/>
              <w:rPr>
                <w:rFonts w:ascii="宋体" w:hAnsi="宋体"/>
                <w:szCs w:val="21"/>
                <w:highlight w:val="none"/>
              </w:rPr>
            </w:pPr>
          </w:p>
          <w:p w14:paraId="60B940B3">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lang w:val="zh-CN"/>
              </w:rPr>
              <w:t>服务内容</w:t>
            </w:r>
          </w:p>
        </w:tc>
        <w:tc>
          <w:tcPr>
            <w:tcW w:w="2835" w:type="dxa"/>
            <w:tcBorders>
              <w:top w:val="single" w:color="auto" w:sz="6" w:space="0"/>
              <w:left w:val="single" w:color="auto" w:sz="6" w:space="0"/>
              <w:bottom w:val="single" w:color="auto" w:sz="6" w:space="0"/>
              <w:right w:val="single" w:color="auto" w:sz="4" w:space="0"/>
            </w:tcBorders>
            <w:vAlign w:val="center"/>
          </w:tcPr>
          <w:p w14:paraId="7839D988">
            <w:pPr>
              <w:autoSpaceDE w:val="0"/>
              <w:autoSpaceDN w:val="0"/>
              <w:adjustRightInd w:val="0"/>
              <w:snapToGrid w:val="0"/>
              <w:spacing w:line="360" w:lineRule="auto"/>
              <w:jc w:val="center"/>
              <w:rPr>
                <w:rFonts w:ascii="宋体" w:hAnsi="宋体"/>
                <w:szCs w:val="21"/>
                <w:highlight w:val="none"/>
              </w:rPr>
            </w:pPr>
            <w:r>
              <w:rPr>
                <w:rFonts w:hint="eastAsia" w:ascii="宋体" w:hAnsi="宋体" w:cs="宋体"/>
                <w:szCs w:val="21"/>
                <w:highlight w:val="none"/>
              </w:rPr>
              <w:t>总报价</w:t>
            </w:r>
          </w:p>
        </w:tc>
        <w:tc>
          <w:tcPr>
            <w:tcW w:w="3391" w:type="dxa"/>
            <w:tcBorders>
              <w:top w:val="single" w:color="auto" w:sz="6" w:space="0"/>
              <w:left w:val="single" w:color="auto" w:sz="4" w:space="0"/>
              <w:bottom w:val="single" w:color="auto" w:sz="6" w:space="0"/>
              <w:right w:val="single" w:color="auto" w:sz="6" w:space="0"/>
            </w:tcBorders>
            <w:vAlign w:val="center"/>
          </w:tcPr>
          <w:p w14:paraId="7774FFC0">
            <w:pPr>
              <w:autoSpaceDE w:val="0"/>
              <w:autoSpaceDN w:val="0"/>
              <w:adjustRightInd w:val="0"/>
              <w:snapToGrid w:val="0"/>
              <w:spacing w:line="360" w:lineRule="auto"/>
              <w:jc w:val="center"/>
              <w:rPr>
                <w:rFonts w:ascii="宋体" w:hAnsi="宋体"/>
                <w:szCs w:val="21"/>
                <w:highlight w:val="none"/>
              </w:rPr>
            </w:pPr>
            <w:r>
              <w:rPr>
                <w:rFonts w:hint="eastAsia" w:ascii="宋体" w:hAnsi="宋体"/>
                <w:szCs w:val="21"/>
                <w:highlight w:val="none"/>
                <w:lang w:val="en-US" w:eastAsia="zh-CN"/>
              </w:rPr>
              <w:t>服务</w:t>
            </w:r>
            <w:r>
              <w:rPr>
                <w:rFonts w:hint="eastAsia" w:ascii="宋体" w:hAnsi="宋体"/>
                <w:szCs w:val="21"/>
                <w:highlight w:val="none"/>
              </w:rPr>
              <w:t>期</w:t>
            </w:r>
          </w:p>
        </w:tc>
      </w:tr>
      <w:tr w14:paraId="74A79F25">
        <w:tblPrEx>
          <w:tblCellMar>
            <w:top w:w="0" w:type="dxa"/>
            <w:left w:w="108" w:type="dxa"/>
            <w:bottom w:w="0" w:type="dxa"/>
            <w:right w:w="108" w:type="dxa"/>
          </w:tblCellMar>
        </w:tblPrEx>
        <w:trPr>
          <w:trHeight w:val="2757" w:hRule="atLeast"/>
          <w:jc w:val="center"/>
        </w:trPr>
        <w:tc>
          <w:tcPr>
            <w:tcW w:w="2544" w:type="dxa"/>
            <w:tcBorders>
              <w:top w:val="single" w:color="auto" w:sz="6" w:space="0"/>
              <w:left w:val="single" w:color="auto" w:sz="6" w:space="0"/>
              <w:bottom w:val="single" w:color="auto" w:sz="6" w:space="0"/>
              <w:right w:val="single" w:color="auto" w:sz="6" w:space="0"/>
            </w:tcBorders>
            <w:vAlign w:val="center"/>
          </w:tcPr>
          <w:p w14:paraId="0CD13D1B">
            <w:pPr>
              <w:autoSpaceDE w:val="0"/>
              <w:autoSpaceDN w:val="0"/>
              <w:adjustRightInd w:val="0"/>
              <w:snapToGrid w:val="0"/>
              <w:spacing w:line="360" w:lineRule="auto"/>
              <w:jc w:val="center"/>
              <w:rPr>
                <w:rFonts w:ascii="宋体" w:hAnsi="宋体"/>
                <w:szCs w:val="21"/>
                <w:highlight w:val="none"/>
                <w:lang w:val="zh-CN"/>
              </w:rPr>
            </w:pPr>
            <w:r>
              <w:rPr>
                <w:rFonts w:hint="eastAsia" w:ascii="宋体" w:hAnsi="宋体"/>
                <w:szCs w:val="21"/>
                <w:highlight w:val="none"/>
                <w:lang w:val="zh-CN"/>
              </w:rPr>
              <w:t>大雁塔不均匀沉降及变形监测项目</w:t>
            </w:r>
          </w:p>
        </w:tc>
        <w:tc>
          <w:tcPr>
            <w:tcW w:w="2835" w:type="dxa"/>
            <w:tcBorders>
              <w:top w:val="single" w:color="auto" w:sz="6" w:space="0"/>
              <w:left w:val="single" w:color="auto" w:sz="6" w:space="0"/>
              <w:bottom w:val="single" w:color="auto" w:sz="6" w:space="0"/>
              <w:right w:val="single" w:color="auto" w:sz="4" w:space="0"/>
            </w:tcBorders>
            <w:vAlign w:val="center"/>
          </w:tcPr>
          <w:p w14:paraId="3C9A93EE">
            <w:pPr>
              <w:autoSpaceDE w:val="0"/>
              <w:autoSpaceDN w:val="0"/>
              <w:adjustRightInd w:val="0"/>
              <w:snapToGrid w:val="0"/>
              <w:spacing w:line="360" w:lineRule="auto"/>
              <w:rPr>
                <w:rFonts w:ascii="宋体" w:hAnsi="宋体"/>
                <w:sz w:val="18"/>
                <w:szCs w:val="18"/>
                <w:highlight w:val="none"/>
              </w:rPr>
            </w:pPr>
            <w:r>
              <w:rPr>
                <w:rFonts w:hint="eastAsia" w:ascii="宋体" w:hAnsi="宋体"/>
                <w:sz w:val="18"/>
                <w:szCs w:val="18"/>
                <w:highlight w:val="none"/>
              </w:rPr>
              <w:t xml:space="preserve">人民币大写：                 </w:t>
            </w:r>
          </w:p>
          <w:p w14:paraId="76C21B46">
            <w:pPr>
              <w:autoSpaceDE w:val="0"/>
              <w:autoSpaceDN w:val="0"/>
              <w:adjustRightInd w:val="0"/>
              <w:snapToGrid w:val="0"/>
              <w:spacing w:line="360" w:lineRule="auto"/>
              <w:rPr>
                <w:rFonts w:ascii="宋体" w:hAnsi="宋体"/>
                <w:szCs w:val="21"/>
                <w:highlight w:val="none"/>
              </w:rPr>
            </w:pPr>
            <w:r>
              <w:rPr>
                <w:rFonts w:hint="eastAsia" w:ascii="宋体" w:hAnsi="宋体"/>
                <w:sz w:val="18"/>
                <w:szCs w:val="18"/>
                <w:highlight w:val="none"/>
              </w:rPr>
              <w:t>￥：      元</w:t>
            </w:r>
          </w:p>
        </w:tc>
        <w:tc>
          <w:tcPr>
            <w:tcW w:w="3391" w:type="dxa"/>
            <w:tcBorders>
              <w:top w:val="single" w:color="auto" w:sz="6" w:space="0"/>
              <w:left w:val="single" w:color="auto" w:sz="4" w:space="0"/>
              <w:bottom w:val="single" w:color="auto" w:sz="6" w:space="0"/>
              <w:right w:val="single" w:color="auto" w:sz="6" w:space="0"/>
            </w:tcBorders>
            <w:vAlign w:val="center"/>
          </w:tcPr>
          <w:p w14:paraId="650A506A">
            <w:pPr>
              <w:adjustRightInd w:val="0"/>
              <w:snapToGrid w:val="0"/>
              <w:spacing w:line="360" w:lineRule="auto"/>
              <w:jc w:val="center"/>
              <w:rPr>
                <w:rFonts w:ascii="宋体" w:hAnsi="宋体"/>
                <w:szCs w:val="21"/>
                <w:highlight w:val="none"/>
              </w:rPr>
            </w:pPr>
          </w:p>
        </w:tc>
      </w:tr>
      <w:tr w14:paraId="5B74206C">
        <w:tblPrEx>
          <w:tblCellMar>
            <w:top w:w="0" w:type="dxa"/>
            <w:left w:w="108" w:type="dxa"/>
            <w:bottom w:w="0" w:type="dxa"/>
            <w:right w:w="108" w:type="dxa"/>
          </w:tblCellMar>
        </w:tblPrEx>
        <w:trPr>
          <w:trHeight w:val="1082" w:hRule="atLeast"/>
          <w:jc w:val="center"/>
        </w:trPr>
        <w:tc>
          <w:tcPr>
            <w:tcW w:w="8770" w:type="dxa"/>
            <w:gridSpan w:val="3"/>
            <w:tcBorders>
              <w:top w:val="single" w:color="auto" w:sz="6" w:space="0"/>
              <w:left w:val="single" w:color="auto" w:sz="6" w:space="0"/>
              <w:bottom w:val="single" w:color="auto" w:sz="6" w:space="0"/>
              <w:right w:val="single" w:color="auto" w:sz="6" w:space="0"/>
            </w:tcBorders>
            <w:vAlign w:val="center"/>
          </w:tcPr>
          <w:p w14:paraId="14430481">
            <w:pPr>
              <w:autoSpaceDE w:val="0"/>
              <w:autoSpaceDN w:val="0"/>
              <w:adjustRightInd w:val="0"/>
              <w:snapToGrid w:val="0"/>
              <w:spacing w:line="360" w:lineRule="auto"/>
              <w:rPr>
                <w:rFonts w:ascii="宋体" w:hAnsi="宋体"/>
                <w:b/>
                <w:bCs/>
                <w:szCs w:val="21"/>
                <w:highlight w:val="none"/>
                <w:lang w:val="zh-CN"/>
              </w:rPr>
            </w:pPr>
            <w:r>
              <w:rPr>
                <w:rFonts w:hint="eastAsia" w:ascii="宋体" w:hAnsi="宋体"/>
                <w:b/>
                <w:bCs/>
                <w:szCs w:val="21"/>
                <w:highlight w:val="none"/>
                <w:lang w:val="zh-CN"/>
              </w:rPr>
              <w:t>备注：表内报价内容以元为单位，</w:t>
            </w:r>
            <w:r>
              <w:rPr>
                <w:rFonts w:hint="eastAsia" w:ascii="宋体" w:hAnsi="宋体"/>
                <w:b/>
                <w:bCs/>
                <w:szCs w:val="21"/>
                <w:highlight w:val="none"/>
              </w:rPr>
              <w:t>建议</w:t>
            </w:r>
            <w:r>
              <w:rPr>
                <w:rFonts w:hint="eastAsia" w:ascii="宋体" w:hAnsi="宋体"/>
                <w:b/>
                <w:bCs/>
                <w:szCs w:val="21"/>
                <w:highlight w:val="none"/>
                <w:lang w:val="zh-CN"/>
              </w:rPr>
              <w:t>精确到小数点后两位。</w:t>
            </w:r>
          </w:p>
          <w:p w14:paraId="7B368029">
            <w:pPr>
              <w:autoSpaceDE w:val="0"/>
              <w:autoSpaceDN w:val="0"/>
              <w:adjustRightInd w:val="0"/>
              <w:snapToGrid w:val="0"/>
              <w:spacing w:line="360" w:lineRule="auto"/>
              <w:rPr>
                <w:rFonts w:ascii="宋体" w:hAnsi="宋体"/>
                <w:szCs w:val="21"/>
                <w:highlight w:val="none"/>
              </w:rPr>
            </w:pPr>
            <w:r>
              <w:rPr>
                <w:rFonts w:hint="eastAsia" w:ascii="宋体" w:hAnsi="宋体"/>
                <w:b/>
                <w:bCs/>
                <w:szCs w:val="21"/>
                <w:highlight w:val="none"/>
              </w:rPr>
              <w:t>请供应商提前单另自备表格并加盖公章，最终报价环节现场提交。</w:t>
            </w:r>
          </w:p>
        </w:tc>
      </w:tr>
    </w:tbl>
    <w:p w14:paraId="09361531">
      <w:pPr>
        <w:autoSpaceDE w:val="0"/>
        <w:autoSpaceDN w:val="0"/>
        <w:adjustRightInd w:val="0"/>
        <w:snapToGrid w:val="0"/>
        <w:spacing w:line="360" w:lineRule="auto"/>
        <w:jc w:val="center"/>
        <w:rPr>
          <w:rFonts w:ascii="宋体" w:hAnsi="宋体"/>
          <w:b/>
          <w:bCs/>
          <w:sz w:val="28"/>
          <w:szCs w:val="28"/>
          <w:highlight w:val="none"/>
        </w:rPr>
      </w:pPr>
    </w:p>
    <w:p w14:paraId="7D84E717">
      <w:pPr>
        <w:autoSpaceDE w:val="0"/>
        <w:autoSpaceDN w:val="0"/>
        <w:adjustRightInd w:val="0"/>
        <w:snapToGrid w:val="0"/>
        <w:spacing w:line="360" w:lineRule="auto"/>
        <w:jc w:val="right"/>
        <w:rPr>
          <w:rFonts w:ascii="仿宋_GB2312" w:hAnsi="仿宋" w:eastAsia="仿宋_GB2312"/>
          <w:b/>
          <w:bCs/>
          <w:sz w:val="28"/>
          <w:szCs w:val="28"/>
          <w:highlight w:val="none"/>
        </w:rPr>
      </w:pPr>
      <w:r>
        <w:rPr>
          <w:rFonts w:hint="eastAsia" w:ascii="仿宋_GB2312" w:hAnsi="仿宋" w:eastAsia="仿宋_GB2312"/>
          <w:b/>
          <w:bCs/>
          <w:sz w:val="28"/>
          <w:szCs w:val="28"/>
          <w:highlight w:val="none"/>
        </w:rPr>
        <w:t xml:space="preserve"> </w:t>
      </w:r>
    </w:p>
    <w:p w14:paraId="00C58B4F">
      <w:pPr>
        <w:autoSpaceDE w:val="0"/>
        <w:autoSpaceDN w:val="0"/>
        <w:adjustRightInd w:val="0"/>
        <w:snapToGrid w:val="0"/>
        <w:spacing w:line="360" w:lineRule="auto"/>
        <w:rPr>
          <w:rFonts w:ascii="仿宋_GB2312" w:hAnsi="仿宋" w:eastAsia="仿宋_GB2312"/>
          <w:szCs w:val="21"/>
          <w:highlight w:val="none"/>
        </w:rPr>
      </w:pPr>
      <w:r>
        <w:rPr>
          <w:rFonts w:hint="eastAsia" w:ascii="仿宋_GB2312" w:hAnsi="仿宋" w:eastAsia="仿宋_GB2312"/>
          <w:b/>
          <w:bCs/>
          <w:szCs w:val="21"/>
          <w:highlight w:val="none"/>
        </w:rPr>
        <w:t xml:space="preserve">                                                                                   </w:t>
      </w:r>
    </w:p>
    <w:p w14:paraId="541713AA">
      <w:pPr>
        <w:spacing w:line="460" w:lineRule="exact"/>
        <w:rPr>
          <w:rFonts w:ascii="宋体" w:hAnsi="宋体"/>
          <w:b/>
          <w:szCs w:val="21"/>
          <w:highlight w:val="none"/>
        </w:rPr>
      </w:pPr>
      <w:r>
        <w:rPr>
          <w:rFonts w:hint="eastAsia" w:ascii="宋体" w:hAnsi="宋体"/>
          <w:b/>
          <w:szCs w:val="21"/>
          <w:highlight w:val="none"/>
        </w:rPr>
        <w:t xml:space="preserve">供应商：（公章）                </w:t>
      </w:r>
    </w:p>
    <w:p w14:paraId="21647F5A">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44C4122D">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14:paraId="715CF136">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 xml:space="preserve"> </w:t>
      </w:r>
    </w:p>
    <w:p w14:paraId="3991D48B">
      <w:pPr>
        <w:autoSpaceDE w:val="0"/>
        <w:autoSpaceDN w:val="0"/>
        <w:adjustRightInd w:val="0"/>
        <w:snapToGrid w:val="0"/>
        <w:spacing w:line="360" w:lineRule="auto"/>
        <w:ind w:firstLine="210" w:firstLineChars="100"/>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 xml:space="preserve">年 </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95A23FD">
      <w:pPr>
        <w:rPr>
          <w:rFonts w:ascii="宋体" w:hAnsi="宋体"/>
          <w:b/>
          <w:szCs w:val="28"/>
          <w:highlight w:val="none"/>
        </w:rPr>
      </w:pPr>
      <w:r>
        <w:rPr>
          <w:rFonts w:hint="eastAsia" w:ascii="宋体" w:hAnsi="宋体"/>
          <w:b/>
          <w:szCs w:val="28"/>
          <w:highlight w:val="none"/>
        </w:rPr>
        <w:br w:type="page"/>
      </w:r>
    </w:p>
    <w:p w14:paraId="4505945C">
      <w:pPr>
        <w:pStyle w:val="18"/>
        <w:spacing w:line="240" w:lineRule="auto"/>
        <w:ind w:firstLine="0"/>
        <w:jc w:val="center"/>
        <w:rPr>
          <w:rFonts w:ascii="宋体" w:hAnsi="宋体"/>
          <w:b/>
          <w:sz w:val="28"/>
          <w:szCs w:val="28"/>
          <w:highlight w:val="none"/>
        </w:rPr>
      </w:pPr>
      <w:bookmarkStart w:id="77" w:name="_Toc1140"/>
      <w:r>
        <w:rPr>
          <w:rFonts w:hint="eastAsia" w:ascii="宋体" w:hAnsi="宋体" w:eastAsia="宋体"/>
          <w:b/>
          <w:sz w:val="28"/>
          <w:szCs w:val="28"/>
          <w:highlight w:val="none"/>
        </w:rPr>
        <w:t xml:space="preserve"> </w:t>
      </w:r>
      <w:bookmarkEnd w:id="77"/>
      <w:r>
        <w:rPr>
          <w:rFonts w:hint="eastAsia" w:ascii="宋体" w:hAnsi="宋体" w:eastAsia="宋体"/>
          <w:b/>
          <w:sz w:val="28"/>
          <w:szCs w:val="28"/>
          <w:highlight w:val="none"/>
        </w:rPr>
        <w:t>第三</w:t>
      </w:r>
      <w:r>
        <w:rPr>
          <w:rFonts w:hint="eastAsia" w:ascii="宋体" w:hAnsi="宋体" w:eastAsia="宋体"/>
          <w:b/>
          <w:bCs/>
          <w:sz w:val="28"/>
          <w:szCs w:val="28"/>
          <w:highlight w:val="none"/>
        </w:rPr>
        <w:t xml:space="preserve">部分  </w:t>
      </w:r>
      <w:r>
        <w:rPr>
          <w:rFonts w:hint="eastAsia" w:ascii="宋体" w:hAnsi="宋体" w:eastAsia="宋体"/>
          <w:b/>
          <w:bCs/>
          <w:sz w:val="28"/>
          <w:szCs w:val="28"/>
          <w:highlight w:val="none"/>
          <w:lang w:val="zh-CN"/>
        </w:rPr>
        <w:t>方案说明</w:t>
      </w:r>
    </w:p>
    <w:p w14:paraId="6B148112">
      <w:pPr>
        <w:pStyle w:val="38"/>
        <w:jc w:val="center"/>
        <w:rPr>
          <w:b/>
          <w:bCs w:val="0"/>
          <w:highlight w:val="none"/>
        </w:rPr>
      </w:pPr>
      <w:bookmarkStart w:id="78" w:name="_Toc17066"/>
      <w:r>
        <w:rPr>
          <w:rFonts w:hint="eastAsia"/>
          <w:b/>
          <w:bCs w:val="0"/>
          <w:highlight w:val="none"/>
        </w:rPr>
        <w:t>根据磋商文件《第二章 竞争性磋商采购须知》中评审方法自行编制</w:t>
      </w:r>
      <w:bookmarkEnd w:id="78"/>
    </w:p>
    <w:p w14:paraId="5DD964BA">
      <w:pPr>
        <w:rPr>
          <w:highlight w:val="none"/>
        </w:rPr>
      </w:pPr>
      <w:r>
        <w:rPr>
          <w:highlight w:val="none"/>
        </w:rPr>
        <w:br w:type="page"/>
      </w:r>
    </w:p>
    <w:p w14:paraId="64655D59">
      <w:pPr>
        <w:adjustRightInd w:val="0"/>
        <w:snapToGrid w:val="0"/>
        <w:spacing w:line="360" w:lineRule="auto"/>
        <w:ind w:firstLine="883"/>
        <w:jc w:val="center"/>
        <w:rPr>
          <w:rFonts w:ascii="宋体" w:hAnsi="宋体" w:cs="宋体"/>
          <w:b/>
          <w:bCs/>
          <w:sz w:val="28"/>
          <w:szCs w:val="28"/>
          <w:highlight w:val="none"/>
        </w:rPr>
      </w:pPr>
      <w:r>
        <w:rPr>
          <w:rFonts w:hint="eastAsia" w:ascii="宋体" w:hAnsi="宋体" w:cs="宋体"/>
          <w:b/>
          <w:bCs/>
          <w:sz w:val="28"/>
          <w:szCs w:val="28"/>
          <w:highlight w:val="none"/>
        </w:rPr>
        <w:t>技术偏差表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37"/>
        <w:gridCol w:w="1216"/>
        <w:gridCol w:w="1688"/>
        <w:gridCol w:w="1819"/>
        <w:gridCol w:w="1538"/>
      </w:tblGrid>
      <w:tr w14:paraId="245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00064799">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1237" w:type="dxa"/>
            <w:vAlign w:val="center"/>
          </w:tcPr>
          <w:p w14:paraId="6E59D407">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货物</w:t>
            </w:r>
          </w:p>
          <w:p w14:paraId="08FE7995">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名称</w:t>
            </w:r>
          </w:p>
        </w:tc>
        <w:tc>
          <w:tcPr>
            <w:tcW w:w="1216" w:type="dxa"/>
            <w:vAlign w:val="center"/>
          </w:tcPr>
          <w:p w14:paraId="125B6BF6">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数量</w:t>
            </w:r>
          </w:p>
        </w:tc>
        <w:tc>
          <w:tcPr>
            <w:tcW w:w="1688" w:type="dxa"/>
            <w:vAlign w:val="center"/>
          </w:tcPr>
          <w:p w14:paraId="11D1AE2A">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采购文件</w:t>
            </w:r>
          </w:p>
          <w:p w14:paraId="6E450AD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要求数据</w:t>
            </w:r>
          </w:p>
        </w:tc>
        <w:tc>
          <w:tcPr>
            <w:tcW w:w="1819" w:type="dxa"/>
            <w:vAlign w:val="center"/>
          </w:tcPr>
          <w:p w14:paraId="64B2FB5E">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实际响应数据</w:t>
            </w:r>
          </w:p>
        </w:tc>
        <w:tc>
          <w:tcPr>
            <w:tcW w:w="1538" w:type="dxa"/>
            <w:vAlign w:val="center"/>
          </w:tcPr>
          <w:p w14:paraId="2D15BF7F">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响应</w:t>
            </w:r>
          </w:p>
          <w:p w14:paraId="4B4870B5">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说明</w:t>
            </w:r>
          </w:p>
        </w:tc>
      </w:tr>
      <w:tr w14:paraId="723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1ED812C">
            <w:pPr>
              <w:adjustRightInd w:val="0"/>
              <w:snapToGrid w:val="0"/>
              <w:spacing w:line="360" w:lineRule="auto"/>
              <w:jc w:val="center"/>
              <w:rPr>
                <w:rFonts w:ascii="宋体" w:hAnsi="宋体" w:cs="宋体"/>
                <w:szCs w:val="21"/>
                <w:highlight w:val="none"/>
              </w:rPr>
            </w:pPr>
          </w:p>
        </w:tc>
        <w:tc>
          <w:tcPr>
            <w:tcW w:w="1237" w:type="dxa"/>
            <w:vAlign w:val="center"/>
          </w:tcPr>
          <w:p w14:paraId="6A9D2605">
            <w:pPr>
              <w:adjustRightInd w:val="0"/>
              <w:snapToGrid w:val="0"/>
              <w:spacing w:line="360" w:lineRule="auto"/>
              <w:jc w:val="center"/>
              <w:rPr>
                <w:rFonts w:ascii="宋体" w:hAnsi="宋体" w:cs="宋体"/>
                <w:szCs w:val="21"/>
                <w:highlight w:val="none"/>
              </w:rPr>
            </w:pPr>
          </w:p>
        </w:tc>
        <w:tc>
          <w:tcPr>
            <w:tcW w:w="1216" w:type="dxa"/>
            <w:vAlign w:val="center"/>
          </w:tcPr>
          <w:p w14:paraId="15F3AA25">
            <w:pPr>
              <w:adjustRightInd w:val="0"/>
              <w:snapToGrid w:val="0"/>
              <w:spacing w:line="360" w:lineRule="auto"/>
              <w:jc w:val="center"/>
              <w:rPr>
                <w:rFonts w:ascii="宋体" w:hAnsi="宋体" w:cs="宋体"/>
                <w:szCs w:val="21"/>
                <w:highlight w:val="none"/>
              </w:rPr>
            </w:pPr>
          </w:p>
        </w:tc>
        <w:tc>
          <w:tcPr>
            <w:tcW w:w="1688" w:type="dxa"/>
            <w:vAlign w:val="center"/>
          </w:tcPr>
          <w:p w14:paraId="6FECFB32">
            <w:pPr>
              <w:adjustRightInd w:val="0"/>
              <w:snapToGrid w:val="0"/>
              <w:spacing w:line="360" w:lineRule="auto"/>
              <w:jc w:val="center"/>
              <w:rPr>
                <w:rFonts w:ascii="宋体" w:hAnsi="宋体" w:cs="宋体"/>
                <w:szCs w:val="21"/>
                <w:highlight w:val="none"/>
              </w:rPr>
            </w:pPr>
          </w:p>
        </w:tc>
        <w:tc>
          <w:tcPr>
            <w:tcW w:w="1819" w:type="dxa"/>
            <w:vAlign w:val="center"/>
          </w:tcPr>
          <w:p w14:paraId="44875593">
            <w:pPr>
              <w:adjustRightInd w:val="0"/>
              <w:snapToGrid w:val="0"/>
              <w:spacing w:line="360" w:lineRule="auto"/>
              <w:jc w:val="center"/>
              <w:rPr>
                <w:rFonts w:ascii="宋体" w:hAnsi="宋体" w:cs="宋体"/>
                <w:szCs w:val="21"/>
                <w:highlight w:val="none"/>
              </w:rPr>
            </w:pPr>
          </w:p>
        </w:tc>
        <w:tc>
          <w:tcPr>
            <w:tcW w:w="1538" w:type="dxa"/>
            <w:vAlign w:val="center"/>
          </w:tcPr>
          <w:p w14:paraId="525DAEE8">
            <w:pPr>
              <w:adjustRightInd w:val="0"/>
              <w:snapToGrid w:val="0"/>
              <w:spacing w:line="360" w:lineRule="auto"/>
              <w:jc w:val="center"/>
              <w:rPr>
                <w:rFonts w:ascii="宋体" w:hAnsi="宋体" w:cs="宋体"/>
                <w:szCs w:val="21"/>
                <w:highlight w:val="none"/>
              </w:rPr>
            </w:pPr>
          </w:p>
        </w:tc>
      </w:tr>
      <w:tr w14:paraId="3135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14F7D5C4">
            <w:pPr>
              <w:adjustRightInd w:val="0"/>
              <w:snapToGrid w:val="0"/>
              <w:spacing w:line="360" w:lineRule="auto"/>
              <w:jc w:val="center"/>
              <w:rPr>
                <w:rFonts w:ascii="宋体" w:hAnsi="宋体" w:cs="宋体"/>
                <w:szCs w:val="21"/>
                <w:highlight w:val="none"/>
              </w:rPr>
            </w:pPr>
          </w:p>
        </w:tc>
        <w:tc>
          <w:tcPr>
            <w:tcW w:w="1237" w:type="dxa"/>
            <w:vAlign w:val="center"/>
          </w:tcPr>
          <w:p w14:paraId="25C49ED9">
            <w:pPr>
              <w:adjustRightInd w:val="0"/>
              <w:snapToGrid w:val="0"/>
              <w:spacing w:line="360" w:lineRule="auto"/>
              <w:jc w:val="center"/>
              <w:rPr>
                <w:rFonts w:ascii="宋体" w:hAnsi="宋体" w:cs="宋体"/>
                <w:szCs w:val="21"/>
                <w:highlight w:val="none"/>
              </w:rPr>
            </w:pPr>
          </w:p>
        </w:tc>
        <w:tc>
          <w:tcPr>
            <w:tcW w:w="1216" w:type="dxa"/>
            <w:vAlign w:val="center"/>
          </w:tcPr>
          <w:p w14:paraId="58ACFA86">
            <w:pPr>
              <w:adjustRightInd w:val="0"/>
              <w:snapToGrid w:val="0"/>
              <w:spacing w:line="360" w:lineRule="auto"/>
              <w:jc w:val="center"/>
              <w:rPr>
                <w:rFonts w:ascii="宋体" w:hAnsi="宋体" w:cs="宋体"/>
                <w:szCs w:val="21"/>
                <w:highlight w:val="none"/>
              </w:rPr>
            </w:pPr>
          </w:p>
        </w:tc>
        <w:tc>
          <w:tcPr>
            <w:tcW w:w="1688" w:type="dxa"/>
            <w:vAlign w:val="center"/>
          </w:tcPr>
          <w:p w14:paraId="24FA3A2F">
            <w:pPr>
              <w:adjustRightInd w:val="0"/>
              <w:snapToGrid w:val="0"/>
              <w:spacing w:line="360" w:lineRule="auto"/>
              <w:jc w:val="center"/>
              <w:rPr>
                <w:rFonts w:ascii="宋体" w:hAnsi="宋体" w:cs="宋体"/>
                <w:szCs w:val="21"/>
                <w:highlight w:val="none"/>
              </w:rPr>
            </w:pPr>
          </w:p>
        </w:tc>
        <w:tc>
          <w:tcPr>
            <w:tcW w:w="1819" w:type="dxa"/>
            <w:vAlign w:val="center"/>
          </w:tcPr>
          <w:p w14:paraId="6BAFC564">
            <w:pPr>
              <w:adjustRightInd w:val="0"/>
              <w:snapToGrid w:val="0"/>
              <w:spacing w:line="360" w:lineRule="auto"/>
              <w:jc w:val="center"/>
              <w:rPr>
                <w:rFonts w:ascii="宋体" w:hAnsi="宋体" w:cs="宋体"/>
                <w:szCs w:val="21"/>
                <w:highlight w:val="none"/>
              </w:rPr>
            </w:pPr>
          </w:p>
        </w:tc>
        <w:tc>
          <w:tcPr>
            <w:tcW w:w="1538" w:type="dxa"/>
            <w:vAlign w:val="center"/>
          </w:tcPr>
          <w:p w14:paraId="6E04C17B">
            <w:pPr>
              <w:adjustRightInd w:val="0"/>
              <w:snapToGrid w:val="0"/>
              <w:spacing w:line="360" w:lineRule="auto"/>
              <w:jc w:val="center"/>
              <w:rPr>
                <w:rFonts w:ascii="宋体" w:hAnsi="宋体" w:cs="宋体"/>
                <w:szCs w:val="21"/>
                <w:highlight w:val="none"/>
              </w:rPr>
            </w:pPr>
          </w:p>
        </w:tc>
      </w:tr>
      <w:tr w14:paraId="34F9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34A9638F">
            <w:pPr>
              <w:adjustRightInd w:val="0"/>
              <w:snapToGrid w:val="0"/>
              <w:spacing w:line="360" w:lineRule="auto"/>
              <w:jc w:val="center"/>
              <w:rPr>
                <w:rFonts w:ascii="宋体" w:hAnsi="宋体" w:cs="宋体"/>
                <w:szCs w:val="21"/>
                <w:highlight w:val="none"/>
              </w:rPr>
            </w:pPr>
          </w:p>
        </w:tc>
        <w:tc>
          <w:tcPr>
            <w:tcW w:w="1237" w:type="dxa"/>
            <w:vAlign w:val="center"/>
          </w:tcPr>
          <w:p w14:paraId="66C2FD1F">
            <w:pPr>
              <w:adjustRightInd w:val="0"/>
              <w:snapToGrid w:val="0"/>
              <w:spacing w:line="360" w:lineRule="auto"/>
              <w:jc w:val="center"/>
              <w:rPr>
                <w:rFonts w:ascii="宋体" w:hAnsi="宋体" w:cs="宋体"/>
                <w:szCs w:val="21"/>
                <w:highlight w:val="none"/>
              </w:rPr>
            </w:pPr>
          </w:p>
        </w:tc>
        <w:tc>
          <w:tcPr>
            <w:tcW w:w="1216" w:type="dxa"/>
            <w:vAlign w:val="center"/>
          </w:tcPr>
          <w:p w14:paraId="2EB37E91">
            <w:pPr>
              <w:adjustRightInd w:val="0"/>
              <w:snapToGrid w:val="0"/>
              <w:spacing w:line="360" w:lineRule="auto"/>
              <w:jc w:val="center"/>
              <w:rPr>
                <w:rFonts w:ascii="宋体" w:hAnsi="宋体" w:cs="宋体"/>
                <w:szCs w:val="21"/>
                <w:highlight w:val="none"/>
              </w:rPr>
            </w:pPr>
          </w:p>
        </w:tc>
        <w:tc>
          <w:tcPr>
            <w:tcW w:w="1688" w:type="dxa"/>
            <w:vAlign w:val="center"/>
          </w:tcPr>
          <w:p w14:paraId="1F661B96">
            <w:pPr>
              <w:adjustRightInd w:val="0"/>
              <w:snapToGrid w:val="0"/>
              <w:spacing w:line="360" w:lineRule="auto"/>
              <w:jc w:val="center"/>
              <w:rPr>
                <w:rFonts w:ascii="宋体" w:hAnsi="宋体" w:cs="宋体"/>
                <w:szCs w:val="21"/>
                <w:highlight w:val="none"/>
              </w:rPr>
            </w:pPr>
          </w:p>
        </w:tc>
        <w:tc>
          <w:tcPr>
            <w:tcW w:w="1819" w:type="dxa"/>
            <w:vAlign w:val="center"/>
          </w:tcPr>
          <w:p w14:paraId="4C347AD7">
            <w:pPr>
              <w:adjustRightInd w:val="0"/>
              <w:snapToGrid w:val="0"/>
              <w:spacing w:line="360" w:lineRule="auto"/>
              <w:jc w:val="center"/>
              <w:rPr>
                <w:rFonts w:ascii="宋体" w:hAnsi="宋体" w:cs="宋体"/>
                <w:szCs w:val="21"/>
                <w:highlight w:val="none"/>
              </w:rPr>
            </w:pPr>
          </w:p>
        </w:tc>
        <w:tc>
          <w:tcPr>
            <w:tcW w:w="1538" w:type="dxa"/>
            <w:vAlign w:val="center"/>
          </w:tcPr>
          <w:p w14:paraId="1B44F2EF">
            <w:pPr>
              <w:adjustRightInd w:val="0"/>
              <w:snapToGrid w:val="0"/>
              <w:spacing w:line="360" w:lineRule="auto"/>
              <w:jc w:val="center"/>
              <w:rPr>
                <w:rFonts w:ascii="宋体" w:hAnsi="宋体" w:cs="宋体"/>
                <w:szCs w:val="21"/>
                <w:highlight w:val="none"/>
              </w:rPr>
            </w:pPr>
          </w:p>
        </w:tc>
      </w:tr>
      <w:tr w14:paraId="1A06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0934696">
            <w:pPr>
              <w:adjustRightInd w:val="0"/>
              <w:snapToGrid w:val="0"/>
              <w:spacing w:line="360" w:lineRule="auto"/>
              <w:jc w:val="center"/>
              <w:rPr>
                <w:rFonts w:ascii="宋体" w:hAnsi="宋体" w:cs="宋体"/>
                <w:szCs w:val="21"/>
                <w:highlight w:val="none"/>
              </w:rPr>
            </w:pPr>
          </w:p>
        </w:tc>
        <w:tc>
          <w:tcPr>
            <w:tcW w:w="1237" w:type="dxa"/>
            <w:vAlign w:val="center"/>
          </w:tcPr>
          <w:p w14:paraId="26219C96">
            <w:pPr>
              <w:adjustRightInd w:val="0"/>
              <w:snapToGrid w:val="0"/>
              <w:spacing w:line="360" w:lineRule="auto"/>
              <w:jc w:val="center"/>
              <w:rPr>
                <w:rFonts w:ascii="宋体" w:hAnsi="宋体" w:cs="宋体"/>
                <w:szCs w:val="21"/>
                <w:highlight w:val="none"/>
              </w:rPr>
            </w:pPr>
          </w:p>
        </w:tc>
        <w:tc>
          <w:tcPr>
            <w:tcW w:w="1216" w:type="dxa"/>
            <w:vAlign w:val="center"/>
          </w:tcPr>
          <w:p w14:paraId="48DF4434">
            <w:pPr>
              <w:adjustRightInd w:val="0"/>
              <w:snapToGrid w:val="0"/>
              <w:spacing w:line="360" w:lineRule="auto"/>
              <w:jc w:val="center"/>
              <w:rPr>
                <w:rFonts w:ascii="宋体" w:hAnsi="宋体" w:cs="宋体"/>
                <w:szCs w:val="21"/>
                <w:highlight w:val="none"/>
              </w:rPr>
            </w:pPr>
          </w:p>
        </w:tc>
        <w:tc>
          <w:tcPr>
            <w:tcW w:w="1688" w:type="dxa"/>
            <w:vAlign w:val="center"/>
          </w:tcPr>
          <w:p w14:paraId="13198166">
            <w:pPr>
              <w:adjustRightInd w:val="0"/>
              <w:snapToGrid w:val="0"/>
              <w:spacing w:line="360" w:lineRule="auto"/>
              <w:jc w:val="center"/>
              <w:rPr>
                <w:rFonts w:ascii="宋体" w:hAnsi="宋体" w:cs="宋体"/>
                <w:szCs w:val="21"/>
                <w:highlight w:val="none"/>
              </w:rPr>
            </w:pPr>
          </w:p>
        </w:tc>
        <w:tc>
          <w:tcPr>
            <w:tcW w:w="1819" w:type="dxa"/>
            <w:vAlign w:val="center"/>
          </w:tcPr>
          <w:p w14:paraId="2D90D619">
            <w:pPr>
              <w:adjustRightInd w:val="0"/>
              <w:snapToGrid w:val="0"/>
              <w:spacing w:line="360" w:lineRule="auto"/>
              <w:jc w:val="center"/>
              <w:rPr>
                <w:rFonts w:ascii="宋体" w:hAnsi="宋体" w:cs="宋体"/>
                <w:szCs w:val="21"/>
                <w:highlight w:val="none"/>
              </w:rPr>
            </w:pPr>
          </w:p>
        </w:tc>
        <w:tc>
          <w:tcPr>
            <w:tcW w:w="1538" w:type="dxa"/>
            <w:vAlign w:val="center"/>
          </w:tcPr>
          <w:p w14:paraId="108A7EEF">
            <w:pPr>
              <w:adjustRightInd w:val="0"/>
              <w:snapToGrid w:val="0"/>
              <w:spacing w:line="360" w:lineRule="auto"/>
              <w:jc w:val="center"/>
              <w:rPr>
                <w:rFonts w:ascii="宋体" w:hAnsi="宋体" w:cs="宋体"/>
                <w:szCs w:val="21"/>
                <w:highlight w:val="none"/>
              </w:rPr>
            </w:pPr>
          </w:p>
        </w:tc>
      </w:tr>
      <w:tr w14:paraId="1644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28E76A5">
            <w:pPr>
              <w:adjustRightInd w:val="0"/>
              <w:snapToGrid w:val="0"/>
              <w:spacing w:line="360" w:lineRule="auto"/>
              <w:jc w:val="center"/>
              <w:rPr>
                <w:rFonts w:ascii="宋体" w:hAnsi="宋体" w:cs="宋体"/>
                <w:szCs w:val="21"/>
                <w:highlight w:val="none"/>
              </w:rPr>
            </w:pPr>
          </w:p>
        </w:tc>
        <w:tc>
          <w:tcPr>
            <w:tcW w:w="1237" w:type="dxa"/>
            <w:vAlign w:val="center"/>
          </w:tcPr>
          <w:p w14:paraId="3A46AB1D">
            <w:pPr>
              <w:adjustRightInd w:val="0"/>
              <w:snapToGrid w:val="0"/>
              <w:spacing w:line="360" w:lineRule="auto"/>
              <w:jc w:val="center"/>
              <w:rPr>
                <w:rFonts w:ascii="宋体" w:hAnsi="宋体" w:cs="宋体"/>
                <w:szCs w:val="21"/>
                <w:highlight w:val="none"/>
              </w:rPr>
            </w:pPr>
          </w:p>
        </w:tc>
        <w:tc>
          <w:tcPr>
            <w:tcW w:w="1216" w:type="dxa"/>
            <w:vAlign w:val="center"/>
          </w:tcPr>
          <w:p w14:paraId="4E5FEC10">
            <w:pPr>
              <w:adjustRightInd w:val="0"/>
              <w:snapToGrid w:val="0"/>
              <w:spacing w:line="360" w:lineRule="auto"/>
              <w:jc w:val="center"/>
              <w:rPr>
                <w:rFonts w:ascii="宋体" w:hAnsi="宋体" w:cs="宋体"/>
                <w:szCs w:val="21"/>
                <w:highlight w:val="none"/>
              </w:rPr>
            </w:pPr>
          </w:p>
        </w:tc>
        <w:tc>
          <w:tcPr>
            <w:tcW w:w="1688" w:type="dxa"/>
            <w:vAlign w:val="center"/>
          </w:tcPr>
          <w:p w14:paraId="7AE73539">
            <w:pPr>
              <w:adjustRightInd w:val="0"/>
              <w:snapToGrid w:val="0"/>
              <w:spacing w:line="360" w:lineRule="auto"/>
              <w:jc w:val="center"/>
              <w:rPr>
                <w:rFonts w:ascii="宋体" w:hAnsi="宋体" w:cs="宋体"/>
                <w:szCs w:val="21"/>
                <w:highlight w:val="none"/>
              </w:rPr>
            </w:pPr>
          </w:p>
        </w:tc>
        <w:tc>
          <w:tcPr>
            <w:tcW w:w="1819" w:type="dxa"/>
            <w:vAlign w:val="center"/>
          </w:tcPr>
          <w:p w14:paraId="42B79EE6">
            <w:pPr>
              <w:adjustRightInd w:val="0"/>
              <w:snapToGrid w:val="0"/>
              <w:spacing w:line="360" w:lineRule="auto"/>
              <w:jc w:val="center"/>
              <w:rPr>
                <w:rFonts w:ascii="宋体" w:hAnsi="宋体" w:cs="宋体"/>
                <w:szCs w:val="21"/>
                <w:highlight w:val="none"/>
              </w:rPr>
            </w:pPr>
          </w:p>
        </w:tc>
        <w:tc>
          <w:tcPr>
            <w:tcW w:w="1538" w:type="dxa"/>
            <w:vAlign w:val="center"/>
          </w:tcPr>
          <w:p w14:paraId="5A68BADB">
            <w:pPr>
              <w:adjustRightInd w:val="0"/>
              <w:snapToGrid w:val="0"/>
              <w:spacing w:line="360" w:lineRule="auto"/>
              <w:jc w:val="center"/>
              <w:rPr>
                <w:rFonts w:ascii="宋体" w:hAnsi="宋体" w:cs="宋体"/>
                <w:szCs w:val="21"/>
                <w:highlight w:val="none"/>
              </w:rPr>
            </w:pPr>
          </w:p>
        </w:tc>
      </w:tr>
      <w:tr w14:paraId="7A26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6D649C80">
            <w:pPr>
              <w:adjustRightInd w:val="0"/>
              <w:snapToGrid w:val="0"/>
              <w:spacing w:line="360" w:lineRule="auto"/>
              <w:jc w:val="center"/>
              <w:rPr>
                <w:rFonts w:ascii="宋体" w:hAnsi="宋体" w:cs="宋体"/>
                <w:szCs w:val="21"/>
                <w:highlight w:val="none"/>
              </w:rPr>
            </w:pPr>
          </w:p>
        </w:tc>
        <w:tc>
          <w:tcPr>
            <w:tcW w:w="1237" w:type="dxa"/>
            <w:vAlign w:val="center"/>
          </w:tcPr>
          <w:p w14:paraId="79CB4AB9">
            <w:pPr>
              <w:adjustRightInd w:val="0"/>
              <w:snapToGrid w:val="0"/>
              <w:spacing w:line="360" w:lineRule="auto"/>
              <w:jc w:val="center"/>
              <w:rPr>
                <w:rFonts w:ascii="宋体" w:hAnsi="宋体" w:cs="宋体"/>
                <w:szCs w:val="21"/>
                <w:highlight w:val="none"/>
              </w:rPr>
            </w:pPr>
          </w:p>
        </w:tc>
        <w:tc>
          <w:tcPr>
            <w:tcW w:w="1216" w:type="dxa"/>
            <w:vAlign w:val="center"/>
          </w:tcPr>
          <w:p w14:paraId="5F8F8BEE">
            <w:pPr>
              <w:adjustRightInd w:val="0"/>
              <w:snapToGrid w:val="0"/>
              <w:spacing w:line="360" w:lineRule="auto"/>
              <w:jc w:val="center"/>
              <w:rPr>
                <w:rFonts w:ascii="宋体" w:hAnsi="宋体" w:cs="宋体"/>
                <w:szCs w:val="21"/>
                <w:highlight w:val="none"/>
              </w:rPr>
            </w:pPr>
          </w:p>
        </w:tc>
        <w:tc>
          <w:tcPr>
            <w:tcW w:w="1688" w:type="dxa"/>
            <w:vAlign w:val="center"/>
          </w:tcPr>
          <w:p w14:paraId="13C76FEB">
            <w:pPr>
              <w:adjustRightInd w:val="0"/>
              <w:snapToGrid w:val="0"/>
              <w:spacing w:line="360" w:lineRule="auto"/>
              <w:jc w:val="center"/>
              <w:rPr>
                <w:rFonts w:ascii="宋体" w:hAnsi="宋体" w:cs="宋体"/>
                <w:szCs w:val="21"/>
                <w:highlight w:val="none"/>
              </w:rPr>
            </w:pPr>
          </w:p>
        </w:tc>
        <w:tc>
          <w:tcPr>
            <w:tcW w:w="1819" w:type="dxa"/>
            <w:vAlign w:val="center"/>
          </w:tcPr>
          <w:p w14:paraId="6591F395">
            <w:pPr>
              <w:adjustRightInd w:val="0"/>
              <w:snapToGrid w:val="0"/>
              <w:spacing w:line="360" w:lineRule="auto"/>
              <w:jc w:val="center"/>
              <w:rPr>
                <w:rFonts w:ascii="宋体" w:hAnsi="宋体" w:cs="宋体"/>
                <w:szCs w:val="21"/>
                <w:highlight w:val="none"/>
              </w:rPr>
            </w:pPr>
          </w:p>
        </w:tc>
        <w:tc>
          <w:tcPr>
            <w:tcW w:w="1538" w:type="dxa"/>
            <w:vAlign w:val="center"/>
          </w:tcPr>
          <w:p w14:paraId="790B0FB1">
            <w:pPr>
              <w:adjustRightInd w:val="0"/>
              <w:snapToGrid w:val="0"/>
              <w:spacing w:line="360" w:lineRule="auto"/>
              <w:jc w:val="center"/>
              <w:rPr>
                <w:rFonts w:ascii="宋体" w:hAnsi="宋体" w:cs="宋体"/>
                <w:szCs w:val="21"/>
                <w:highlight w:val="none"/>
              </w:rPr>
            </w:pPr>
          </w:p>
        </w:tc>
      </w:tr>
      <w:tr w14:paraId="3B51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AABED12">
            <w:pPr>
              <w:adjustRightInd w:val="0"/>
              <w:snapToGrid w:val="0"/>
              <w:spacing w:line="360" w:lineRule="auto"/>
              <w:jc w:val="center"/>
              <w:rPr>
                <w:rFonts w:ascii="宋体" w:hAnsi="宋体" w:cs="宋体"/>
                <w:szCs w:val="21"/>
                <w:highlight w:val="none"/>
              </w:rPr>
            </w:pPr>
          </w:p>
        </w:tc>
        <w:tc>
          <w:tcPr>
            <w:tcW w:w="1237" w:type="dxa"/>
            <w:vAlign w:val="center"/>
          </w:tcPr>
          <w:p w14:paraId="2FAE46FF">
            <w:pPr>
              <w:adjustRightInd w:val="0"/>
              <w:snapToGrid w:val="0"/>
              <w:spacing w:line="360" w:lineRule="auto"/>
              <w:jc w:val="center"/>
              <w:rPr>
                <w:rFonts w:ascii="宋体" w:hAnsi="宋体" w:cs="宋体"/>
                <w:szCs w:val="21"/>
                <w:highlight w:val="none"/>
              </w:rPr>
            </w:pPr>
          </w:p>
        </w:tc>
        <w:tc>
          <w:tcPr>
            <w:tcW w:w="1216" w:type="dxa"/>
            <w:vAlign w:val="center"/>
          </w:tcPr>
          <w:p w14:paraId="3072F26C">
            <w:pPr>
              <w:adjustRightInd w:val="0"/>
              <w:snapToGrid w:val="0"/>
              <w:spacing w:line="360" w:lineRule="auto"/>
              <w:jc w:val="center"/>
              <w:rPr>
                <w:rFonts w:ascii="宋体" w:hAnsi="宋体" w:cs="宋体"/>
                <w:szCs w:val="21"/>
                <w:highlight w:val="none"/>
              </w:rPr>
            </w:pPr>
          </w:p>
        </w:tc>
        <w:tc>
          <w:tcPr>
            <w:tcW w:w="1688" w:type="dxa"/>
            <w:vAlign w:val="center"/>
          </w:tcPr>
          <w:p w14:paraId="2D9F4715">
            <w:pPr>
              <w:adjustRightInd w:val="0"/>
              <w:snapToGrid w:val="0"/>
              <w:spacing w:line="360" w:lineRule="auto"/>
              <w:jc w:val="center"/>
              <w:rPr>
                <w:rFonts w:ascii="宋体" w:hAnsi="宋体" w:cs="宋体"/>
                <w:szCs w:val="21"/>
                <w:highlight w:val="none"/>
              </w:rPr>
            </w:pPr>
          </w:p>
        </w:tc>
        <w:tc>
          <w:tcPr>
            <w:tcW w:w="1819" w:type="dxa"/>
            <w:vAlign w:val="center"/>
          </w:tcPr>
          <w:p w14:paraId="08D7FD64">
            <w:pPr>
              <w:adjustRightInd w:val="0"/>
              <w:snapToGrid w:val="0"/>
              <w:spacing w:line="360" w:lineRule="auto"/>
              <w:jc w:val="center"/>
              <w:rPr>
                <w:rFonts w:ascii="宋体" w:hAnsi="宋体" w:cs="宋体"/>
                <w:szCs w:val="21"/>
                <w:highlight w:val="none"/>
              </w:rPr>
            </w:pPr>
          </w:p>
        </w:tc>
        <w:tc>
          <w:tcPr>
            <w:tcW w:w="1538" w:type="dxa"/>
            <w:vAlign w:val="center"/>
          </w:tcPr>
          <w:p w14:paraId="65460017">
            <w:pPr>
              <w:adjustRightInd w:val="0"/>
              <w:snapToGrid w:val="0"/>
              <w:spacing w:line="360" w:lineRule="auto"/>
              <w:jc w:val="center"/>
              <w:rPr>
                <w:rFonts w:ascii="宋体" w:hAnsi="宋体" w:cs="宋体"/>
                <w:szCs w:val="21"/>
                <w:highlight w:val="none"/>
              </w:rPr>
            </w:pPr>
          </w:p>
        </w:tc>
      </w:tr>
      <w:tr w14:paraId="1B36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7E863D2">
            <w:pPr>
              <w:adjustRightInd w:val="0"/>
              <w:snapToGrid w:val="0"/>
              <w:spacing w:line="360" w:lineRule="auto"/>
              <w:jc w:val="center"/>
              <w:rPr>
                <w:rFonts w:ascii="宋体" w:hAnsi="宋体" w:cs="宋体"/>
                <w:szCs w:val="21"/>
                <w:highlight w:val="none"/>
              </w:rPr>
            </w:pPr>
          </w:p>
        </w:tc>
        <w:tc>
          <w:tcPr>
            <w:tcW w:w="1237" w:type="dxa"/>
            <w:vAlign w:val="center"/>
          </w:tcPr>
          <w:p w14:paraId="6D8B322B">
            <w:pPr>
              <w:adjustRightInd w:val="0"/>
              <w:snapToGrid w:val="0"/>
              <w:spacing w:line="360" w:lineRule="auto"/>
              <w:jc w:val="center"/>
              <w:rPr>
                <w:rFonts w:ascii="宋体" w:hAnsi="宋体" w:cs="宋体"/>
                <w:szCs w:val="21"/>
                <w:highlight w:val="none"/>
              </w:rPr>
            </w:pPr>
          </w:p>
        </w:tc>
        <w:tc>
          <w:tcPr>
            <w:tcW w:w="1216" w:type="dxa"/>
            <w:vAlign w:val="center"/>
          </w:tcPr>
          <w:p w14:paraId="67559787">
            <w:pPr>
              <w:adjustRightInd w:val="0"/>
              <w:snapToGrid w:val="0"/>
              <w:spacing w:line="360" w:lineRule="auto"/>
              <w:jc w:val="center"/>
              <w:rPr>
                <w:rFonts w:ascii="宋体" w:hAnsi="宋体" w:cs="宋体"/>
                <w:szCs w:val="21"/>
                <w:highlight w:val="none"/>
              </w:rPr>
            </w:pPr>
          </w:p>
        </w:tc>
        <w:tc>
          <w:tcPr>
            <w:tcW w:w="1688" w:type="dxa"/>
            <w:vAlign w:val="center"/>
          </w:tcPr>
          <w:p w14:paraId="3CE9E613">
            <w:pPr>
              <w:adjustRightInd w:val="0"/>
              <w:snapToGrid w:val="0"/>
              <w:spacing w:line="360" w:lineRule="auto"/>
              <w:jc w:val="center"/>
              <w:rPr>
                <w:rFonts w:ascii="宋体" w:hAnsi="宋体" w:cs="宋体"/>
                <w:szCs w:val="21"/>
                <w:highlight w:val="none"/>
              </w:rPr>
            </w:pPr>
          </w:p>
        </w:tc>
        <w:tc>
          <w:tcPr>
            <w:tcW w:w="1819" w:type="dxa"/>
            <w:vAlign w:val="center"/>
          </w:tcPr>
          <w:p w14:paraId="1E233AF6">
            <w:pPr>
              <w:adjustRightInd w:val="0"/>
              <w:snapToGrid w:val="0"/>
              <w:spacing w:line="360" w:lineRule="auto"/>
              <w:jc w:val="center"/>
              <w:rPr>
                <w:rFonts w:ascii="宋体" w:hAnsi="宋体" w:cs="宋体"/>
                <w:szCs w:val="21"/>
                <w:highlight w:val="none"/>
              </w:rPr>
            </w:pPr>
          </w:p>
        </w:tc>
        <w:tc>
          <w:tcPr>
            <w:tcW w:w="1538" w:type="dxa"/>
            <w:vAlign w:val="center"/>
          </w:tcPr>
          <w:p w14:paraId="119CD8F1">
            <w:pPr>
              <w:adjustRightInd w:val="0"/>
              <w:snapToGrid w:val="0"/>
              <w:spacing w:line="360" w:lineRule="auto"/>
              <w:jc w:val="center"/>
              <w:rPr>
                <w:rFonts w:ascii="宋体" w:hAnsi="宋体" w:cs="宋体"/>
                <w:szCs w:val="21"/>
                <w:highlight w:val="none"/>
              </w:rPr>
            </w:pPr>
          </w:p>
        </w:tc>
      </w:tr>
      <w:tr w14:paraId="5336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03E37BEB">
            <w:pPr>
              <w:adjustRightInd w:val="0"/>
              <w:snapToGrid w:val="0"/>
              <w:spacing w:line="360" w:lineRule="auto"/>
              <w:jc w:val="center"/>
              <w:rPr>
                <w:rFonts w:ascii="宋体" w:hAnsi="宋体" w:cs="宋体"/>
                <w:szCs w:val="21"/>
                <w:highlight w:val="none"/>
              </w:rPr>
            </w:pPr>
          </w:p>
        </w:tc>
        <w:tc>
          <w:tcPr>
            <w:tcW w:w="1237" w:type="dxa"/>
            <w:vAlign w:val="center"/>
          </w:tcPr>
          <w:p w14:paraId="32E6DF7F">
            <w:pPr>
              <w:adjustRightInd w:val="0"/>
              <w:snapToGrid w:val="0"/>
              <w:spacing w:line="360" w:lineRule="auto"/>
              <w:jc w:val="center"/>
              <w:rPr>
                <w:rFonts w:ascii="宋体" w:hAnsi="宋体" w:cs="宋体"/>
                <w:szCs w:val="21"/>
                <w:highlight w:val="none"/>
              </w:rPr>
            </w:pPr>
          </w:p>
        </w:tc>
        <w:tc>
          <w:tcPr>
            <w:tcW w:w="1216" w:type="dxa"/>
            <w:vAlign w:val="center"/>
          </w:tcPr>
          <w:p w14:paraId="7AD0D885">
            <w:pPr>
              <w:adjustRightInd w:val="0"/>
              <w:snapToGrid w:val="0"/>
              <w:spacing w:line="360" w:lineRule="auto"/>
              <w:jc w:val="center"/>
              <w:rPr>
                <w:rFonts w:ascii="宋体" w:hAnsi="宋体" w:cs="宋体"/>
                <w:szCs w:val="21"/>
                <w:highlight w:val="none"/>
              </w:rPr>
            </w:pPr>
          </w:p>
        </w:tc>
        <w:tc>
          <w:tcPr>
            <w:tcW w:w="1688" w:type="dxa"/>
            <w:vAlign w:val="center"/>
          </w:tcPr>
          <w:p w14:paraId="4A5B162B">
            <w:pPr>
              <w:adjustRightInd w:val="0"/>
              <w:snapToGrid w:val="0"/>
              <w:spacing w:line="360" w:lineRule="auto"/>
              <w:jc w:val="center"/>
              <w:rPr>
                <w:rFonts w:ascii="宋体" w:hAnsi="宋体" w:cs="宋体"/>
                <w:szCs w:val="21"/>
                <w:highlight w:val="none"/>
              </w:rPr>
            </w:pPr>
          </w:p>
        </w:tc>
        <w:tc>
          <w:tcPr>
            <w:tcW w:w="1819" w:type="dxa"/>
            <w:vAlign w:val="center"/>
          </w:tcPr>
          <w:p w14:paraId="68908074">
            <w:pPr>
              <w:adjustRightInd w:val="0"/>
              <w:snapToGrid w:val="0"/>
              <w:spacing w:line="360" w:lineRule="auto"/>
              <w:jc w:val="center"/>
              <w:rPr>
                <w:rFonts w:ascii="宋体" w:hAnsi="宋体" w:cs="宋体"/>
                <w:szCs w:val="21"/>
                <w:highlight w:val="none"/>
              </w:rPr>
            </w:pPr>
          </w:p>
        </w:tc>
        <w:tc>
          <w:tcPr>
            <w:tcW w:w="1538" w:type="dxa"/>
            <w:vAlign w:val="center"/>
          </w:tcPr>
          <w:p w14:paraId="645D1EA4">
            <w:pPr>
              <w:adjustRightInd w:val="0"/>
              <w:snapToGrid w:val="0"/>
              <w:spacing w:line="360" w:lineRule="auto"/>
              <w:jc w:val="center"/>
              <w:rPr>
                <w:rFonts w:ascii="宋体" w:hAnsi="宋体" w:cs="宋体"/>
                <w:szCs w:val="21"/>
                <w:highlight w:val="none"/>
              </w:rPr>
            </w:pPr>
          </w:p>
        </w:tc>
      </w:tr>
      <w:tr w14:paraId="0415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B79A3D6">
            <w:pPr>
              <w:adjustRightInd w:val="0"/>
              <w:snapToGrid w:val="0"/>
              <w:spacing w:line="360" w:lineRule="auto"/>
              <w:jc w:val="center"/>
              <w:rPr>
                <w:rFonts w:ascii="宋体" w:hAnsi="宋体" w:cs="宋体"/>
                <w:szCs w:val="21"/>
                <w:highlight w:val="none"/>
              </w:rPr>
            </w:pPr>
          </w:p>
        </w:tc>
        <w:tc>
          <w:tcPr>
            <w:tcW w:w="1237" w:type="dxa"/>
            <w:vAlign w:val="center"/>
          </w:tcPr>
          <w:p w14:paraId="6E43261B">
            <w:pPr>
              <w:adjustRightInd w:val="0"/>
              <w:snapToGrid w:val="0"/>
              <w:spacing w:line="360" w:lineRule="auto"/>
              <w:jc w:val="center"/>
              <w:rPr>
                <w:rFonts w:ascii="宋体" w:hAnsi="宋体" w:cs="宋体"/>
                <w:szCs w:val="21"/>
                <w:highlight w:val="none"/>
              </w:rPr>
            </w:pPr>
          </w:p>
        </w:tc>
        <w:tc>
          <w:tcPr>
            <w:tcW w:w="1216" w:type="dxa"/>
            <w:vAlign w:val="center"/>
          </w:tcPr>
          <w:p w14:paraId="72B338D7">
            <w:pPr>
              <w:adjustRightInd w:val="0"/>
              <w:snapToGrid w:val="0"/>
              <w:spacing w:line="360" w:lineRule="auto"/>
              <w:jc w:val="center"/>
              <w:rPr>
                <w:rFonts w:ascii="宋体" w:hAnsi="宋体" w:cs="宋体"/>
                <w:szCs w:val="21"/>
                <w:highlight w:val="none"/>
              </w:rPr>
            </w:pPr>
          </w:p>
        </w:tc>
        <w:tc>
          <w:tcPr>
            <w:tcW w:w="1688" w:type="dxa"/>
            <w:vAlign w:val="center"/>
          </w:tcPr>
          <w:p w14:paraId="65B87403">
            <w:pPr>
              <w:adjustRightInd w:val="0"/>
              <w:snapToGrid w:val="0"/>
              <w:spacing w:line="360" w:lineRule="auto"/>
              <w:jc w:val="center"/>
              <w:rPr>
                <w:rFonts w:ascii="宋体" w:hAnsi="宋体" w:cs="宋体"/>
                <w:szCs w:val="21"/>
                <w:highlight w:val="none"/>
              </w:rPr>
            </w:pPr>
          </w:p>
        </w:tc>
        <w:tc>
          <w:tcPr>
            <w:tcW w:w="1819" w:type="dxa"/>
            <w:vAlign w:val="center"/>
          </w:tcPr>
          <w:p w14:paraId="4F3A23AA">
            <w:pPr>
              <w:adjustRightInd w:val="0"/>
              <w:snapToGrid w:val="0"/>
              <w:spacing w:line="360" w:lineRule="auto"/>
              <w:jc w:val="center"/>
              <w:rPr>
                <w:rFonts w:ascii="宋体" w:hAnsi="宋体" w:cs="宋体"/>
                <w:szCs w:val="21"/>
                <w:highlight w:val="none"/>
              </w:rPr>
            </w:pPr>
          </w:p>
        </w:tc>
        <w:tc>
          <w:tcPr>
            <w:tcW w:w="1538" w:type="dxa"/>
            <w:vAlign w:val="center"/>
          </w:tcPr>
          <w:p w14:paraId="3F7C6602">
            <w:pPr>
              <w:adjustRightInd w:val="0"/>
              <w:snapToGrid w:val="0"/>
              <w:spacing w:line="360" w:lineRule="auto"/>
              <w:jc w:val="center"/>
              <w:rPr>
                <w:rFonts w:ascii="宋体" w:hAnsi="宋体" w:cs="宋体"/>
                <w:szCs w:val="21"/>
                <w:highlight w:val="none"/>
              </w:rPr>
            </w:pPr>
          </w:p>
        </w:tc>
      </w:tr>
      <w:tr w14:paraId="19F9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5095D46B">
            <w:pPr>
              <w:adjustRightInd w:val="0"/>
              <w:snapToGrid w:val="0"/>
              <w:spacing w:line="360" w:lineRule="auto"/>
              <w:jc w:val="center"/>
              <w:rPr>
                <w:rFonts w:ascii="宋体" w:hAnsi="宋体" w:cs="宋体"/>
                <w:szCs w:val="21"/>
                <w:highlight w:val="none"/>
              </w:rPr>
            </w:pPr>
          </w:p>
        </w:tc>
        <w:tc>
          <w:tcPr>
            <w:tcW w:w="1237" w:type="dxa"/>
            <w:vAlign w:val="center"/>
          </w:tcPr>
          <w:p w14:paraId="2090096C">
            <w:pPr>
              <w:adjustRightInd w:val="0"/>
              <w:snapToGrid w:val="0"/>
              <w:spacing w:line="360" w:lineRule="auto"/>
              <w:jc w:val="center"/>
              <w:rPr>
                <w:rFonts w:ascii="宋体" w:hAnsi="宋体" w:cs="宋体"/>
                <w:szCs w:val="21"/>
                <w:highlight w:val="none"/>
              </w:rPr>
            </w:pPr>
          </w:p>
        </w:tc>
        <w:tc>
          <w:tcPr>
            <w:tcW w:w="1216" w:type="dxa"/>
            <w:vAlign w:val="center"/>
          </w:tcPr>
          <w:p w14:paraId="6B986638">
            <w:pPr>
              <w:adjustRightInd w:val="0"/>
              <w:snapToGrid w:val="0"/>
              <w:spacing w:line="360" w:lineRule="auto"/>
              <w:jc w:val="center"/>
              <w:rPr>
                <w:rFonts w:ascii="宋体" w:hAnsi="宋体" w:cs="宋体"/>
                <w:szCs w:val="21"/>
                <w:highlight w:val="none"/>
              </w:rPr>
            </w:pPr>
          </w:p>
        </w:tc>
        <w:tc>
          <w:tcPr>
            <w:tcW w:w="1688" w:type="dxa"/>
            <w:vAlign w:val="center"/>
          </w:tcPr>
          <w:p w14:paraId="4135A360">
            <w:pPr>
              <w:adjustRightInd w:val="0"/>
              <w:snapToGrid w:val="0"/>
              <w:spacing w:line="360" w:lineRule="auto"/>
              <w:jc w:val="center"/>
              <w:rPr>
                <w:rFonts w:ascii="宋体" w:hAnsi="宋体" w:cs="宋体"/>
                <w:szCs w:val="21"/>
                <w:highlight w:val="none"/>
              </w:rPr>
            </w:pPr>
          </w:p>
        </w:tc>
        <w:tc>
          <w:tcPr>
            <w:tcW w:w="1819" w:type="dxa"/>
            <w:vAlign w:val="center"/>
          </w:tcPr>
          <w:p w14:paraId="36D4F13F">
            <w:pPr>
              <w:adjustRightInd w:val="0"/>
              <w:snapToGrid w:val="0"/>
              <w:spacing w:line="360" w:lineRule="auto"/>
              <w:jc w:val="center"/>
              <w:rPr>
                <w:rFonts w:ascii="宋体" w:hAnsi="宋体" w:cs="宋体"/>
                <w:szCs w:val="21"/>
                <w:highlight w:val="none"/>
              </w:rPr>
            </w:pPr>
          </w:p>
        </w:tc>
        <w:tc>
          <w:tcPr>
            <w:tcW w:w="1538" w:type="dxa"/>
            <w:vAlign w:val="center"/>
          </w:tcPr>
          <w:p w14:paraId="73B44ECB">
            <w:pPr>
              <w:adjustRightInd w:val="0"/>
              <w:snapToGrid w:val="0"/>
              <w:spacing w:line="360" w:lineRule="auto"/>
              <w:jc w:val="center"/>
              <w:rPr>
                <w:rFonts w:ascii="宋体" w:hAnsi="宋体" w:cs="宋体"/>
                <w:szCs w:val="21"/>
                <w:highlight w:val="none"/>
              </w:rPr>
            </w:pPr>
          </w:p>
        </w:tc>
      </w:tr>
      <w:tr w14:paraId="3448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4610DFB4">
            <w:pPr>
              <w:adjustRightInd w:val="0"/>
              <w:snapToGrid w:val="0"/>
              <w:spacing w:line="360" w:lineRule="auto"/>
              <w:jc w:val="center"/>
              <w:rPr>
                <w:rFonts w:ascii="宋体" w:hAnsi="宋体" w:cs="宋体"/>
                <w:szCs w:val="21"/>
                <w:highlight w:val="none"/>
              </w:rPr>
            </w:pPr>
          </w:p>
        </w:tc>
        <w:tc>
          <w:tcPr>
            <w:tcW w:w="1237" w:type="dxa"/>
            <w:vAlign w:val="center"/>
          </w:tcPr>
          <w:p w14:paraId="0C3EDFEF">
            <w:pPr>
              <w:adjustRightInd w:val="0"/>
              <w:snapToGrid w:val="0"/>
              <w:spacing w:line="360" w:lineRule="auto"/>
              <w:jc w:val="center"/>
              <w:rPr>
                <w:rFonts w:ascii="宋体" w:hAnsi="宋体" w:cs="宋体"/>
                <w:szCs w:val="21"/>
                <w:highlight w:val="none"/>
              </w:rPr>
            </w:pPr>
          </w:p>
        </w:tc>
        <w:tc>
          <w:tcPr>
            <w:tcW w:w="1216" w:type="dxa"/>
            <w:vAlign w:val="center"/>
          </w:tcPr>
          <w:p w14:paraId="59077405">
            <w:pPr>
              <w:adjustRightInd w:val="0"/>
              <w:snapToGrid w:val="0"/>
              <w:spacing w:line="360" w:lineRule="auto"/>
              <w:jc w:val="center"/>
              <w:rPr>
                <w:rFonts w:ascii="宋体" w:hAnsi="宋体" w:cs="宋体"/>
                <w:szCs w:val="21"/>
                <w:highlight w:val="none"/>
              </w:rPr>
            </w:pPr>
          </w:p>
        </w:tc>
        <w:tc>
          <w:tcPr>
            <w:tcW w:w="1688" w:type="dxa"/>
            <w:vAlign w:val="center"/>
          </w:tcPr>
          <w:p w14:paraId="3A154DBE">
            <w:pPr>
              <w:adjustRightInd w:val="0"/>
              <w:snapToGrid w:val="0"/>
              <w:spacing w:line="360" w:lineRule="auto"/>
              <w:jc w:val="center"/>
              <w:rPr>
                <w:rFonts w:ascii="宋体" w:hAnsi="宋体" w:cs="宋体"/>
                <w:szCs w:val="21"/>
                <w:highlight w:val="none"/>
              </w:rPr>
            </w:pPr>
          </w:p>
        </w:tc>
        <w:tc>
          <w:tcPr>
            <w:tcW w:w="1819" w:type="dxa"/>
            <w:vAlign w:val="center"/>
          </w:tcPr>
          <w:p w14:paraId="04E43FC6">
            <w:pPr>
              <w:adjustRightInd w:val="0"/>
              <w:snapToGrid w:val="0"/>
              <w:spacing w:line="360" w:lineRule="auto"/>
              <w:jc w:val="center"/>
              <w:rPr>
                <w:rFonts w:ascii="宋体" w:hAnsi="宋体" w:cs="宋体"/>
                <w:szCs w:val="21"/>
                <w:highlight w:val="none"/>
              </w:rPr>
            </w:pPr>
          </w:p>
        </w:tc>
        <w:tc>
          <w:tcPr>
            <w:tcW w:w="1538" w:type="dxa"/>
            <w:vAlign w:val="center"/>
          </w:tcPr>
          <w:p w14:paraId="3A503153">
            <w:pPr>
              <w:adjustRightInd w:val="0"/>
              <w:snapToGrid w:val="0"/>
              <w:spacing w:line="360" w:lineRule="auto"/>
              <w:jc w:val="center"/>
              <w:rPr>
                <w:rFonts w:ascii="宋体" w:hAnsi="宋体" w:cs="宋体"/>
                <w:szCs w:val="21"/>
                <w:highlight w:val="none"/>
              </w:rPr>
            </w:pPr>
          </w:p>
        </w:tc>
      </w:tr>
      <w:tr w14:paraId="5EB5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2026E626">
            <w:pPr>
              <w:adjustRightInd w:val="0"/>
              <w:snapToGrid w:val="0"/>
              <w:spacing w:line="360" w:lineRule="auto"/>
              <w:jc w:val="center"/>
              <w:rPr>
                <w:rFonts w:ascii="宋体" w:hAnsi="宋体" w:cs="宋体"/>
                <w:szCs w:val="21"/>
                <w:highlight w:val="none"/>
              </w:rPr>
            </w:pPr>
          </w:p>
        </w:tc>
        <w:tc>
          <w:tcPr>
            <w:tcW w:w="1237" w:type="dxa"/>
            <w:vAlign w:val="center"/>
          </w:tcPr>
          <w:p w14:paraId="4B2FAD4E">
            <w:pPr>
              <w:adjustRightInd w:val="0"/>
              <w:snapToGrid w:val="0"/>
              <w:spacing w:line="360" w:lineRule="auto"/>
              <w:jc w:val="center"/>
              <w:rPr>
                <w:rFonts w:ascii="宋体" w:hAnsi="宋体" w:cs="宋体"/>
                <w:szCs w:val="21"/>
                <w:highlight w:val="none"/>
              </w:rPr>
            </w:pPr>
          </w:p>
        </w:tc>
        <w:tc>
          <w:tcPr>
            <w:tcW w:w="1216" w:type="dxa"/>
            <w:vAlign w:val="center"/>
          </w:tcPr>
          <w:p w14:paraId="0A3DAA82">
            <w:pPr>
              <w:adjustRightInd w:val="0"/>
              <w:snapToGrid w:val="0"/>
              <w:spacing w:line="360" w:lineRule="auto"/>
              <w:jc w:val="center"/>
              <w:rPr>
                <w:rFonts w:ascii="宋体" w:hAnsi="宋体" w:cs="宋体"/>
                <w:szCs w:val="21"/>
                <w:highlight w:val="none"/>
              </w:rPr>
            </w:pPr>
          </w:p>
        </w:tc>
        <w:tc>
          <w:tcPr>
            <w:tcW w:w="1688" w:type="dxa"/>
            <w:vAlign w:val="center"/>
          </w:tcPr>
          <w:p w14:paraId="58CDA8C9">
            <w:pPr>
              <w:adjustRightInd w:val="0"/>
              <w:snapToGrid w:val="0"/>
              <w:spacing w:line="360" w:lineRule="auto"/>
              <w:jc w:val="center"/>
              <w:rPr>
                <w:rFonts w:ascii="宋体" w:hAnsi="宋体" w:cs="宋体"/>
                <w:szCs w:val="21"/>
                <w:highlight w:val="none"/>
              </w:rPr>
            </w:pPr>
          </w:p>
        </w:tc>
        <w:tc>
          <w:tcPr>
            <w:tcW w:w="1819" w:type="dxa"/>
            <w:vAlign w:val="center"/>
          </w:tcPr>
          <w:p w14:paraId="1CD113A2">
            <w:pPr>
              <w:adjustRightInd w:val="0"/>
              <w:snapToGrid w:val="0"/>
              <w:spacing w:line="360" w:lineRule="auto"/>
              <w:jc w:val="center"/>
              <w:rPr>
                <w:rFonts w:ascii="宋体" w:hAnsi="宋体" w:cs="宋体"/>
                <w:szCs w:val="21"/>
                <w:highlight w:val="none"/>
              </w:rPr>
            </w:pPr>
          </w:p>
        </w:tc>
        <w:tc>
          <w:tcPr>
            <w:tcW w:w="1538" w:type="dxa"/>
            <w:vAlign w:val="center"/>
          </w:tcPr>
          <w:p w14:paraId="71C12187">
            <w:pPr>
              <w:adjustRightInd w:val="0"/>
              <w:snapToGrid w:val="0"/>
              <w:spacing w:line="360" w:lineRule="auto"/>
              <w:jc w:val="center"/>
              <w:rPr>
                <w:rFonts w:ascii="宋体" w:hAnsi="宋体" w:cs="宋体"/>
                <w:szCs w:val="21"/>
                <w:highlight w:val="none"/>
              </w:rPr>
            </w:pPr>
          </w:p>
        </w:tc>
      </w:tr>
      <w:tr w14:paraId="5F4C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F99A5DB">
            <w:pPr>
              <w:adjustRightInd w:val="0"/>
              <w:snapToGrid w:val="0"/>
              <w:spacing w:line="360" w:lineRule="auto"/>
              <w:jc w:val="center"/>
              <w:rPr>
                <w:rFonts w:ascii="宋体" w:hAnsi="宋体" w:cs="宋体"/>
                <w:szCs w:val="21"/>
                <w:highlight w:val="none"/>
              </w:rPr>
            </w:pPr>
          </w:p>
        </w:tc>
        <w:tc>
          <w:tcPr>
            <w:tcW w:w="1237" w:type="dxa"/>
            <w:vAlign w:val="center"/>
          </w:tcPr>
          <w:p w14:paraId="43917D18">
            <w:pPr>
              <w:adjustRightInd w:val="0"/>
              <w:snapToGrid w:val="0"/>
              <w:spacing w:line="360" w:lineRule="auto"/>
              <w:jc w:val="center"/>
              <w:rPr>
                <w:rFonts w:ascii="宋体" w:hAnsi="宋体" w:cs="宋体"/>
                <w:szCs w:val="21"/>
                <w:highlight w:val="none"/>
              </w:rPr>
            </w:pPr>
          </w:p>
        </w:tc>
        <w:tc>
          <w:tcPr>
            <w:tcW w:w="1216" w:type="dxa"/>
            <w:vAlign w:val="center"/>
          </w:tcPr>
          <w:p w14:paraId="57DE90D6">
            <w:pPr>
              <w:adjustRightInd w:val="0"/>
              <w:snapToGrid w:val="0"/>
              <w:spacing w:line="360" w:lineRule="auto"/>
              <w:jc w:val="center"/>
              <w:rPr>
                <w:rFonts w:ascii="宋体" w:hAnsi="宋体" w:cs="宋体"/>
                <w:szCs w:val="21"/>
                <w:highlight w:val="none"/>
              </w:rPr>
            </w:pPr>
          </w:p>
        </w:tc>
        <w:tc>
          <w:tcPr>
            <w:tcW w:w="1688" w:type="dxa"/>
            <w:vAlign w:val="center"/>
          </w:tcPr>
          <w:p w14:paraId="631F08D8">
            <w:pPr>
              <w:adjustRightInd w:val="0"/>
              <w:snapToGrid w:val="0"/>
              <w:spacing w:line="360" w:lineRule="auto"/>
              <w:jc w:val="center"/>
              <w:rPr>
                <w:rFonts w:ascii="宋体" w:hAnsi="宋体" w:cs="宋体"/>
                <w:szCs w:val="21"/>
                <w:highlight w:val="none"/>
              </w:rPr>
            </w:pPr>
          </w:p>
        </w:tc>
        <w:tc>
          <w:tcPr>
            <w:tcW w:w="1819" w:type="dxa"/>
            <w:vAlign w:val="center"/>
          </w:tcPr>
          <w:p w14:paraId="419C4E11">
            <w:pPr>
              <w:adjustRightInd w:val="0"/>
              <w:snapToGrid w:val="0"/>
              <w:spacing w:line="360" w:lineRule="auto"/>
              <w:jc w:val="center"/>
              <w:rPr>
                <w:rFonts w:ascii="宋体" w:hAnsi="宋体" w:cs="宋体"/>
                <w:szCs w:val="21"/>
                <w:highlight w:val="none"/>
              </w:rPr>
            </w:pPr>
          </w:p>
        </w:tc>
        <w:tc>
          <w:tcPr>
            <w:tcW w:w="1538" w:type="dxa"/>
            <w:vAlign w:val="center"/>
          </w:tcPr>
          <w:p w14:paraId="714144B6">
            <w:pPr>
              <w:adjustRightInd w:val="0"/>
              <w:snapToGrid w:val="0"/>
              <w:spacing w:line="360" w:lineRule="auto"/>
              <w:jc w:val="center"/>
              <w:rPr>
                <w:rFonts w:ascii="宋体" w:hAnsi="宋体" w:cs="宋体"/>
                <w:szCs w:val="21"/>
                <w:highlight w:val="none"/>
              </w:rPr>
            </w:pPr>
          </w:p>
        </w:tc>
      </w:tr>
    </w:tbl>
    <w:p w14:paraId="32EA984F">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注：1.本表只填写采购文件中与响应文件有偏离（包括正偏离和负偏离）的内容，必须一一对应填写，若无偏离可附此空表加盖单位公章。</w:t>
      </w:r>
    </w:p>
    <w:p w14:paraId="5759D376">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2.供应商必须据实填写，不得虚假响应，否则将取消其磋商或成交资格，并按有关规定进处罚。</w:t>
      </w:r>
    </w:p>
    <w:p w14:paraId="0BB69E5C">
      <w:pPr>
        <w:adjustRightInd w:val="0"/>
        <w:snapToGrid w:val="0"/>
        <w:spacing w:line="360" w:lineRule="auto"/>
        <w:ind w:firstLine="420" w:firstLineChars="200"/>
        <w:rPr>
          <w:rFonts w:ascii="宋体" w:hAnsi="宋体" w:cs="宋体"/>
          <w:b/>
          <w:szCs w:val="21"/>
          <w:highlight w:val="none"/>
        </w:rPr>
      </w:pPr>
      <w:r>
        <w:rPr>
          <w:rFonts w:hint="eastAsia" w:ascii="宋体" w:hAnsi="宋体" w:cs="宋体"/>
          <w:b/>
          <w:szCs w:val="21"/>
          <w:highlight w:val="none"/>
        </w:rPr>
        <w:t>3.技术参数正偏离须在偏差表中注明正偏离的理由和佐证材料的页码。</w:t>
      </w:r>
    </w:p>
    <w:p w14:paraId="1F54E7BF">
      <w:pPr>
        <w:pStyle w:val="11"/>
        <w:tabs>
          <w:tab w:val="left" w:pos="5370"/>
        </w:tabs>
        <w:spacing w:line="360" w:lineRule="auto"/>
        <w:ind w:left="539" w:leftChars="257" w:firstLine="482"/>
        <w:rPr>
          <w:rFonts w:hAnsi="宋体"/>
          <w:sz w:val="24"/>
          <w:highlight w:val="none"/>
        </w:rPr>
      </w:pPr>
    </w:p>
    <w:p w14:paraId="1B217490">
      <w:pPr>
        <w:spacing w:line="500" w:lineRule="exact"/>
        <w:ind w:firstLine="422"/>
        <w:rPr>
          <w:rFonts w:ascii="宋体" w:hAnsi="宋体" w:cs="宋体"/>
          <w:b/>
          <w:bCs/>
          <w:szCs w:val="21"/>
          <w:highlight w:val="none"/>
        </w:rPr>
      </w:pPr>
      <w:r>
        <w:rPr>
          <w:rFonts w:hint="eastAsia" w:ascii="宋体" w:hAnsi="宋体" w:cs="宋体"/>
          <w:b/>
          <w:bCs/>
          <w:szCs w:val="21"/>
          <w:highlight w:val="none"/>
        </w:rPr>
        <w:t>供应商                             法定代表人或授权代表：</w:t>
      </w:r>
    </w:p>
    <w:p w14:paraId="2F4139E7">
      <w:pPr>
        <w:autoSpaceDE w:val="0"/>
        <w:autoSpaceDN w:val="0"/>
        <w:adjustRightInd w:val="0"/>
        <w:snapToGrid w:val="0"/>
        <w:spacing w:line="500" w:lineRule="exact"/>
        <w:ind w:firstLine="945" w:firstLineChars="450"/>
        <w:rPr>
          <w:rFonts w:ascii="宋体" w:hAnsi="宋体" w:cs="宋体"/>
          <w:b/>
          <w:bCs/>
          <w:szCs w:val="21"/>
          <w:highlight w:val="none"/>
        </w:rPr>
      </w:pPr>
    </w:p>
    <w:p w14:paraId="54498D1E">
      <w:pPr>
        <w:autoSpaceDE w:val="0"/>
        <w:autoSpaceDN w:val="0"/>
        <w:adjustRightInd w:val="0"/>
        <w:snapToGrid w:val="0"/>
        <w:spacing w:line="500" w:lineRule="exact"/>
        <w:ind w:firstLine="422"/>
        <w:rPr>
          <w:rFonts w:ascii="宋体" w:hAnsi="宋体" w:cs="宋体"/>
          <w:b/>
          <w:bCs/>
          <w:szCs w:val="21"/>
          <w:highlight w:val="none"/>
        </w:rPr>
      </w:pPr>
      <w:r>
        <w:rPr>
          <w:rFonts w:hint="eastAsia" w:ascii="宋体" w:hAnsi="宋体" w:cs="宋体"/>
          <w:b/>
          <w:bCs/>
          <w:szCs w:val="21"/>
          <w:highlight w:val="none"/>
        </w:rPr>
        <w:t>（公章）：                           （签字或盖章）：</w:t>
      </w:r>
    </w:p>
    <w:p w14:paraId="536C09E4">
      <w:pPr>
        <w:rPr>
          <w:highlight w:val="none"/>
        </w:rPr>
      </w:pPr>
      <w:r>
        <w:rPr>
          <w:rFonts w:hint="eastAsia" w:ascii="宋体" w:hAnsi="宋体" w:cs="宋体"/>
          <w:b/>
          <w:bCs/>
          <w:szCs w:val="21"/>
          <w:highlight w:val="none"/>
        </w:rPr>
        <w:t xml:space="preserve">                                             </w:t>
      </w:r>
      <w:r>
        <w:rPr>
          <w:rFonts w:hint="eastAsia" w:ascii="宋体" w:hAnsi="宋体" w:cs="宋体"/>
          <w:b/>
          <w:bCs/>
          <w:szCs w:val="21"/>
          <w:highlight w:val="none"/>
          <w:u w:val="single"/>
        </w:rPr>
        <w:t xml:space="preserve">      </w:t>
      </w:r>
      <w:r>
        <w:rPr>
          <w:rFonts w:hint="eastAsia" w:ascii="宋体" w:hAnsi="宋体" w:cs="宋体"/>
          <w:b/>
          <w:bCs/>
          <w:szCs w:val="21"/>
          <w:highlight w:val="none"/>
        </w:rPr>
        <w:t xml:space="preserve">年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rPr>
        <w:t>日</w:t>
      </w:r>
    </w:p>
    <w:p w14:paraId="00B31883">
      <w:pPr>
        <w:rPr>
          <w:highlight w:val="none"/>
        </w:rPr>
      </w:pPr>
    </w:p>
    <w:p w14:paraId="326E15E8">
      <w:pPr>
        <w:autoSpaceDE w:val="0"/>
        <w:autoSpaceDN w:val="0"/>
        <w:adjustRightInd w:val="0"/>
        <w:snapToGrid w:val="0"/>
        <w:spacing w:line="360" w:lineRule="auto"/>
        <w:ind w:left="973" w:leftChars="405" w:hanging="123" w:hangingChars="59"/>
        <w:jc w:val="left"/>
        <w:rPr>
          <w:highlight w:val="none"/>
        </w:rPr>
      </w:pPr>
      <w:r>
        <w:rPr>
          <w:highlight w:val="none"/>
        </w:rPr>
        <w:br w:type="page"/>
      </w:r>
      <w:bookmarkStart w:id="79" w:name="_Toc9042"/>
      <w:bookmarkStart w:id="80" w:name="_Hlk53242974"/>
      <w:r>
        <w:rPr>
          <w:highlight w:val="none"/>
        </w:rPr>
        <w:t xml:space="preserve"> </w:t>
      </w:r>
    </w:p>
    <w:p w14:paraId="28320ED8">
      <w:pPr>
        <w:pStyle w:val="18"/>
        <w:spacing w:line="240" w:lineRule="auto"/>
        <w:ind w:firstLine="0"/>
        <w:jc w:val="center"/>
        <w:rPr>
          <w:rFonts w:ascii="宋体" w:hAnsi="宋体" w:eastAsia="宋体"/>
          <w:b/>
          <w:sz w:val="28"/>
          <w:szCs w:val="28"/>
          <w:highlight w:val="none"/>
        </w:rPr>
      </w:pPr>
      <w:r>
        <w:rPr>
          <w:rFonts w:hint="eastAsia" w:ascii="宋体" w:hAnsi="宋体" w:eastAsia="宋体"/>
          <w:b/>
          <w:sz w:val="28"/>
          <w:szCs w:val="28"/>
          <w:highlight w:val="none"/>
        </w:rPr>
        <w:t>第四部分  供应商承诺书</w:t>
      </w:r>
      <w:bookmarkEnd w:id="79"/>
    </w:p>
    <w:bookmarkEnd w:id="80"/>
    <w:p w14:paraId="25FA52CC">
      <w:pPr>
        <w:autoSpaceDE w:val="0"/>
        <w:autoSpaceDN w:val="0"/>
        <w:adjustRightInd w:val="0"/>
        <w:spacing w:line="360" w:lineRule="auto"/>
        <w:rPr>
          <w:rFonts w:ascii="宋体" w:hAnsi="宋体"/>
          <w:b/>
          <w:bCs/>
          <w:szCs w:val="21"/>
          <w:highlight w:val="none"/>
        </w:rPr>
      </w:pPr>
      <w:r>
        <w:rPr>
          <w:rFonts w:hint="eastAsia" w:ascii="宋体" w:hAnsi="宋体"/>
          <w:szCs w:val="21"/>
          <w:highlight w:val="none"/>
          <w:u w:val="single"/>
        </w:rPr>
        <w:t xml:space="preserve">（采购人）  </w:t>
      </w:r>
      <w:r>
        <w:rPr>
          <w:rFonts w:hint="eastAsia" w:ascii="宋体" w:hAnsi="宋体"/>
          <w:szCs w:val="21"/>
          <w:highlight w:val="none"/>
        </w:rPr>
        <w:t>：</w:t>
      </w:r>
    </w:p>
    <w:p w14:paraId="20A9309F">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做为参加贵单位组织的</w:t>
      </w:r>
      <w:r>
        <w:rPr>
          <w:rFonts w:hint="eastAsia" w:ascii="宋体" w:hAnsi="宋体"/>
          <w:szCs w:val="21"/>
          <w:highlight w:val="none"/>
          <w:u w:val="single"/>
          <w:lang w:eastAsia="zh-CN"/>
        </w:rPr>
        <w:t>大雁塔不均匀沉降及变形监测项目</w:t>
      </w:r>
      <w:r>
        <w:rPr>
          <w:rFonts w:hint="eastAsia"/>
          <w:iCs/>
          <w:spacing w:val="-8"/>
          <w:kern w:val="0"/>
          <w:szCs w:val="18"/>
          <w:highlight w:val="none"/>
        </w:rPr>
        <w:t xml:space="preserve"> </w:t>
      </w:r>
      <w:r>
        <w:rPr>
          <w:rFonts w:hint="eastAsia" w:ascii="宋体" w:hAnsi="宋体"/>
          <w:szCs w:val="21"/>
          <w:highlight w:val="none"/>
        </w:rPr>
        <w:t>的供应商，本公司郑重承诺：</w:t>
      </w:r>
    </w:p>
    <w:p w14:paraId="6623D9CE">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1、在参加本项目磋商之前不存在被依法禁止经营行为、财产被接管或冻结的情况，如有隐瞒实情，愿承担一切责任及后果。</w:t>
      </w:r>
    </w:p>
    <w:p w14:paraId="1D0CC553">
      <w:pPr>
        <w:autoSpaceDE w:val="0"/>
        <w:autoSpaceDN w:val="0"/>
        <w:adjustRightInd w:val="0"/>
        <w:spacing w:line="360" w:lineRule="auto"/>
        <w:ind w:firstLine="420" w:firstLineChars="200"/>
        <w:rPr>
          <w:rFonts w:ascii="宋体" w:hAnsi="宋体"/>
          <w:szCs w:val="21"/>
          <w:highlight w:val="none"/>
        </w:rPr>
      </w:pPr>
      <w:r>
        <w:rPr>
          <w:rFonts w:hint="eastAsia" w:ascii="宋体" w:hAnsi="宋体"/>
          <w:bCs/>
          <w:szCs w:val="21"/>
          <w:highlight w:val="none"/>
        </w:rPr>
        <w:t>2、</w:t>
      </w:r>
      <w:r>
        <w:rPr>
          <w:rFonts w:hint="eastAsia" w:ascii="宋体" w:hAnsi="宋体"/>
          <w:szCs w:val="21"/>
          <w:highlight w:val="none"/>
        </w:rPr>
        <w:t>近三年受到有关行政主管部门的行政处理、不良行为记录为</w:t>
      </w:r>
      <w:r>
        <w:rPr>
          <w:rFonts w:hint="eastAsia" w:ascii="宋体" w:hAnsi="宋体"/>
          <w:szCs w:val="21"/>
          <w:highlight w:val="none"/>
          <w:u w:val="single"/>
        </w:rPr>
        <w:t xml:space="preserve">      </w:t>
      </w:r>
      <w:r>
        <w:rPr>
          <w:rFonts w:hint="eastAsia" w:ascii="宋体" w:hAnsi="宋体"/>
          <w:szCs w:val="21"/>
          <w:highlight w:val="none"/>
        </w:rPr>
        <w:t>次（没有填零），如有隐瞒实情，愿承担一切责任及后果。</w:t>
      </w:r>
    </w:p>
    <w:p w14:paraId="08C27A21">
      <w:pPr>
        <w:autoSpaceDE w:val="0"/>
        <w:autoSpaceDN w:val="0"/>
        <w:adjustRightInd w:val="0"/>
        <w:spacing w:line="360" w:lineRule="auto"/>
        <w:ind w:firstLine="420" w:firstLineChars="200"/>
        <w:rPr>
          <w:rFonts w:ascii="宋体" w:hAnsi="宋体"/>
          <w:b/>
          <w:bCs/>
          <w:szCs w:val="21"/>
          <w:highlight w:val="none"/>
        </w:rPr>
      </w:pPr>
      <w:r>
        <w:rPr>
          <w:rFonts w:hint="eastAsia" w:ascii="宋体" w:hAnsi="宋体"/>
          <w:szCs w:val="21"/>
          <w:highlight w:val="none"/>
        </w:rPr>
        <w:t>3、参加本次磋商提交的所有资质证明文件及业绩证明文件是真实的、有效的，如有隐瞒实情，愿承担一切责任及后果。</w:t>
      </w:r>
    </w:p>
    <w:p w14:paraId="3DDD9600">
      <w:pPr>
        <w:autoSpaceDE w:val="0"/>
        <w:autoSpaceDN w:val="0"/>
        <w:adjustRightInd w:val="0"/>
        <w:spacing w:line="360" w:lineRule="auto"/>
        <w:jc w:val="center"/>
        <w:rPr>
          <w:rFonts w:ascii="宋体" w:hAnsi="宋体"/>
          <w:b/>
          <w:bCs/>
          <w:szCs w:val="21"/>
          <w:highlight w:val="none"/>
        </w:rPr>
      </w:pPr>
      <w:r>
        <w:rPr>
          <w:rFonts w:hint="eastAsia" w:ascii="宋体" w:hAnsi="宋体"/>
          <w:b/>
          <w:bCs/>
          <w:szCs w:val="21"/>
          <w:highlight w:val="none"/>
        </w:rPr>
        <w:t xml:space="preserve"> </w:t>
      </w:r>
    </w:p>
    <w:p w14:paraId="3891B2D9">
      <w:pPr>
        <w:spacing w:line="460" w:lineRule="exact"/>
        <w:rPr>
          <w:rFonts w:ascii="宋体" w:hAnsi="宋体"/>
          <w:b/>
          <w:szCs w:val="21"/>
          <w:highlight w:val="none"/>
        </w:rPr>
      </w:pPr>
      <w:r>
        <w:rPr>
          <w:rFonts w:hint="eastAsia" w:ascii="宋体" w:hAnsi="宋体"/>
          <w:b/>
          <w:szCs w:val="21"/>
          <w:highlight w:val="none"/>
        </w:rPr>
        <w:t xml:space="preserve">供应商：（公章）                </w:t>
      </w:r>
    </w:p>
    <w:p w14:paraId="591F73DA">
      <w:pPr>
        <w:spacing w:line="460" w:lineRule="exact"/>
        <w:rPr>
          <w:rFonts w:ascii="宋体" w:hAnsi="宋体"/>
          <w:b/>
          <w:szCs w:val="21"/>
          <w:highlight w:val="none"/>
        </w:rPr>
      </w:pPr>
      <w:r>
        <w:rPr>
          <w:rFonts w:hint="eastAsia" w:ascii="宋体" w:hAnsi="宋体"/>
          <w:b/>
          <w:szCs w:val="21"/>
          <w:highlight w:val="none"/>
        </w:rPr>
        <w:t>法定代表人（或其他组织负责人）或授权代表（签字或盖章）：</w:t>
      </w:r>
    </w:p>
    <w:p w14:paraId="23966ABE">
      <w:pPr>
        <w:autoSpaceDE w:val="0"/>
        <w:autoSpaceDN w:val="0"/>
        <w:adjustRightInd w:val="0"/>
        <w:snapToGrid w:val="0"/>
        <w:spacing w:line="360" w:lineRule="auto"/>
        <w:jc w:val="center"/>
        <w:rPr>
          <w:rFonts w:ascii="宋体" w:hAnsi="宋体"/>
          <w:b/>
          <w:bCs/>
          <w:szCs w:val="28"/>
          <w:highlight w:val="none"/>
        </w:rPr>
      </w:pPr>
      <w:r>
        <w:rPr>
          <w:rFonts w:ascii="宋体" w:hAnsi="宋体"/>
          <w:b/>
          <w:szCs w:val="21"/>
          <w:highlight w:val="none"/>
        </w:rPr>
        <w:br w:type="page"/>
      </w:r>
    </w:p>
    <w:p w14:paraId="757BFD1F">
      <w:pPr>
        <w:pStyle w:val="3"/>
        <w:jc w:val="center"/>
        <w:rPr>
          <w:rFonts w:ascii="宋体" w:hAnsi="宋体" w:eastAsia="宋体"/>
          <w:b/>
          <w:bCs/>
          <w:szCs w:val="28"/>
          <w:highlight w:val="none"/>
        </w:rPr>
      </w:pPr>
      <w:bookmarkStart w:id="81" w:name="_Toc29129"/>
      <w:r>
        <w:rPr>
          <w:rFonts w:hint="eastAsia" w:ascii="宋体" w:hAnsi="宋体" w:eastAsia="宋体"/>
          <w:b/>
          <w:bCs/>
          <w:szCs w:val="28"/>
          <w:highlight w:val="none"/>
        </w:rPr>
        <w:t>第五部分  供应商资格证明文件</w:t>
      </w:r>
      <w:bookmarkEnd w:id="81"/>
    </w:p>
    <w:p w14:paraId="212A0486">
      <w:pPr>
        <w:spacing w:line="460" w:lineRule="exact"/>
        <w:ind w:firstLine="420" w:firstLineChars="200"/>
        <w:rPr>
          <w:rFonts w:ascii="宋体" w:hAnsi="宋体"/>
          <w:szCs w:val="21"/>
          <w:highlight w:val="none"/>
        </w:rPr>
      </w:pPr>
      <w:r>
        <w:rPr>
          <w:rFonts w:hint="eastAsia" w:ascii="宋体" w:hAnsi="宋体"/>
          <w:szCs w:val="21"/>
          <w:highlight w:val="none"/>
        </w:rPr>
        <w:t>符合《中华人民共和国政府采购法》第二十二条的规定：</w:t>
      </w:r>
    </w:p>
    <w:p w14:paraId="06D72F6E">
      <w:pPr>
        <w:spacing w:line="460" w:lineRule="exact"/>
        <w:ind w:firstLine="420" w:firstLineChars="200"/>
        <w:rPr>
          <w:rFonts w:ascii="宋体" w:hAnsi="宋体"/>
          <w:szCs w:val="21"/>
          <w:highlight w:val="none"/>
        </w:rPr>
      </w:pPr>
      <w:r>
        <w:rPr>
          <w:rFonts w:hint="eastAsia" w:ascii="宋体" w:hAnsi="宋体"/>
          <w:szCs w:val="21"/>
          <w:highlight w:val="none"/>
        </w:rPr>
        <w:t>1、供应商合法注册的法人或其他组织的营业执照等证明文件，非法人单位参照执行；</w:t>
      </w:r>
    </w:p>
    <w:p w14:paraId="2A053686">
      <w:pPr>
        <w:spacing w:line="460" w:lineRule="exact"/>
        <w:ind w:firstLine="420" w:firstLineChars="200"/>
        <w:rPr>
          <w:rFonts w:ascii="宋体" w:hAnsi="宋体"/>
          <w:bCs/>
          <w:szCs w:val="21"/>
          <w:highlight w:val="none"/>
        </w:rPr>
      </w:pPr>
      <w:r>
        <w:rPr>
          <w:rFonts w:hint="eastAsia" w:ascii="宋体" w:hAnsi="宋体"/>
          <w:szCs w:val="21"/>
          <w:highlight w:val="none"/>
        </w:rPr>
        <w:t>2、具有良好的商业信誉和健全的财务会计制度：202</w:t>
      </w:r>
      <w:r>
        <w:rPr>
          <w:rFonts w:hint="eastAsia" w:ascii="宋体" w:hAnsi="宋体"/>
          <w:szCs w:val="21"/>
          <w:highlight w:val="none"/>
          <w:lang w:val="en-US" w:eastAsia="zh-CN"/>
        </w:rPr>
        <w:t>3</w:t>
      </w:r>
      <w:r>
        <w:rPr>
          <w:rFonts w:hint="eastAsia" w:ascii="宋体" w:hAnsi="宋体"/>
          <w:szCs w:val="21"/>
          <w:highlight w:val="none"/>
        </w:rPr>
        <w:t>或202</w:t>
      </w:r>
      <w:r>
        <w:rPr>
          <w:rFonts w:hint="eastAsia" w:ascii="宋体" w:hAnsi="宋体"/>
          <w:szCs w:val="21"/>
          <w:highlight w:val="none"/>
          <w:lang w:val="en-US" w:eastAsia="zh-CN"/>
        </w:rPr>
        <w:t>4</w:t>
      </w:r>
      <w:r>
        <w:rPr>
          <w:rFonts w:hint="eastAsia" w:ascii="宋体" w:hAnsi="宋体"/>
          <w:szCs w:val="21"/>
          <w:highlight w:val="none"/>
        </w:rPr>
        <w:t>年度经审计的财务报告或其基本开户银行出具的资信证明或财政部门认可的政府采购专业担保机构出具的投标担保函（以上三种形式的资料提供任何一种即可）；</w:t>
      </w:r>
    </w:p>
    <w:p w14:paraId="42E9A7A8">
      <w:pPr>
        <w:spacing w:line="460" w:lineRule="exact"/>
        <w:ind w:firstLine="420" w:firstLineChars="200"/>
        <w:rPr>
          <w:rFonts w:ascii="宋体" w:hAnsi="宋体"/>
          <w:szCs w:val="21"/>
          <w:highlight w:val="none"/>
        </w:rPr>
      </w:pPr>
      <w:r>
        <w:rPr>
          <w:rFonts w:hint="eastAsia" w:ascii="宋体" w:hAnsi="宋体"/>
          <w:szCs w:val="21"/>
          <w:highlight w:val="none"/>
        </w:rPr>
        <w:t>3、提供具有履行本合同所必需的设备和专业技术能力的承诺书（格式自拟）加盖公章；</w:t>
      </w:r>
    </w:p>
    <w:p w14:paraId="61BBDA9E">
      <w:pPr>
        <w:spacing w:line="460" w:lineRule="exact"/>
        <w:ind w:firstLine="420" w:firstLineChars="200"/>
        <w:rPr>
          <w:rFonts w:ascii="宋体" w:hAnsi="宋体"/>
          <w:szCs w:val="21"/>
          <w:highlight w:val="none"/>
        </w:rPr>
      </w:pPr>
      <w:r>
        <w:rPr>
          <w:rFonts w:hint="eastAsia" w:ascii="宋体" w:hAnsi="宋体"/>
          <w:szCs w:val="21"/>
          <w:highlight w:val="none"/>
        </w:rPr>
        <w:t>4、有依法缴纳税收和社会保障资金的良好记录：提供递交磋商响应文件截止时间前六个月任意一月的社保及缴纳税收的证明，依法免税或依法不需要缴纳社会保障资金的应提供相关证明材料；</w:t>
      </w:r>
    </w:p>
    <w:p w14:paraId="2D123988">
      <w:pPr>
        <w:spacing w:line="460" w:lineRule="exact"/>
        <w:ind w:firstLine="420" w:firstLineChars="200"/>
        <w:rPr>
          <w:rFonts w:ascii="宋体" w:hAnsi="宋体"/>
          <w:szCs w:val="21"/>
          <w:highlight w:val="none"/>
        </w:rPr>
      </w:pPr>
      <w:r>
        <w:rPr>
          <w:rFonts w:hint="eastAsia" w:ascii="宋体" w:hAnsi="宋体"/>
          <w:szCs w:val="21"/>
          <w:highlight w:val="none"/>
        </w:rPr>
        <w:t>5、参加政府采购活动近三年内，在经营活动中没有重大违法记录（格式自拟）的书面声明；</w:t>
      </w:r>
    </w:p>
    <w:p w14:paraId="102C6694">
      <w:pPr>
        <w:spacing w:line="460" w:lineRule="exact"/>
        <w:ind w:firstLine="420" w:firstLineChars="200"/>
        <w:rPr>
          <w:rFonts w:ascii="宋体" w:hAnsi="宋体"/>
          <w:bCs/>
          <w:szCs w:val="21"/>
          <w:highlight w:val="none"/>
        </w:rPr>
      </w:pPr>
      <w:r>
        <w:rPr>
          <w:rFonts w:hint="eastAsia" w:ascii="宋体" w:hAnsi="宋体"/>
          <w:bCs/>
          <w:szCs w:val="21"/>
          <w:highlight w:val="none"/>
        </w:rPr>
        <w:t>6、未被“</w:t>
      </w:r>
      <w:r>
        <w:rPr>
          <w:rFonts w:hint="eastAsia" w:ascii="宋体" w:hAnsi="宋体" w:cs="宋体"/>
          <w:szCs w:val="21"/>
          <w:highlight w:val="none"/>
        </w:rPr>
        <w:t>中国执行信息公开网</w:t>
      </w:r>
      <w:r>
        <w:rPr>
          <w:rFonts w:hint="eastAsia" w:ascii="宋体" w:hAnsi="宋体"/>
          <w:bCs/>
          <w:szCs w:val="21"/>
          <w:highlight w:val="none"/>
        </w:rPr>
        <w:t>”</w:t>
      </w:r>
      <w:r>
        <w:rPr>
          <w:rFonts w:hint="eastAsia" w:ascii="宋体" w:hAnsi="宋体" w:cs="宋体"/>
          <w:szCs w:val="21"/>
          <w:highlight w:val="none"/>
        </w:rPr>
        <w:t>（http://zxgk.court.gov.cn/shixin/）</w:t>
      </w:r>
      <w:r>
        <w:rPr>
          <w:rFonts w:hint="eastAsia" w:ascii="宋体" w:hAnsi="宋体"/>
          <w:bCs/>
          <w:szCs w:val="21"/>
          <w:highlight w:val="none"/>
        </w:rPr>
        <w:t>列入失信被执行人、未被“信用中国”网站（www.creditchina.gov.cn）列入重大税收违法失信主体及未被“中国政府采购网”（http://www.ccgp.gov.cn/）列入政府采购严重失信行为记录名单；（此项以递交磋商响应文件递交截止时间后查询结果为准）</w:t>
      </w:r>
    </w:p>
    <w:p w14:paraId="3B0E8B06">
      <w:pPr>
        <w:spacing w:line="46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7、法定代表人（或单位负责人）直接参加磋商，须出具法定代表人（或单位负责人）身份证，非法定代表人（或单位负责人）参加磋商，须出具法定代表人（或单位负责人）授权书及被授权人身份证。</w:t>
      </w:r>
    </w:p>
    <w:p w14:paraId="152D2644">
      <w:pPr>
        <w:spacing w:line="460" w:lineRule="exact"/>
        <w:ind w:firstLine="420" w:firstLineChars="200"/>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9、投标人应具备行政主管部门核发的工程测绘甲级资质或工程测量专业甲级测绘资质；</w:t>
      </w:r>
    </w:p>
    <w:p w14:paraId="03D52EE7">
      <w:pPr>
        <w:spacing w:line="460" w:lineRule="exact"/>
        <w:ind w:firstLine="420" w:firstLineChars="200"/>
        <w:rPr>
          <w:rFonts w:hint="eastAsia" w:ascii="宋体" w:hAnsi="宋体" w:eastAsia="宋体"/>
          <w:b/>
          <w:bCs/>
          <w:szCs w:val="21"/>
          <w:highlight w:val="none"/>
          <w:lang w:eastAsia="zh-CN"/>
        </w:rPr>
      </w:pPr>
      <w:r>
        <w:rPr>
          <w:rFonts w:hint="eastAsia" w:ascii="宋体" w:hAnsi="宋体" w:eastAsia="宋体"/>
          <w:szCs w:val="21"/>
          <w:highlight w:val="none"/>
          <w:lang w:val="en-US" w:eastAsia="zh-CN"/>
        </w:rPr>
        <w:t>10、</w:t>
      </w:r>
      <w:r>
        <w:rPr>
          <w:rFonts w:hint="eastAsia" w:ascii="宋体" w:hAnsi="宋体"/>
          <w:szCs w:val="21"/>
          <w:highlight w:val="none"/>
          <w:lang w:val="en-US" w:eastAsia="zh-CN"/>
        </w:rPr>
        <w:t>项目负责人需具备注册测绘师资格或相关行业中级职称</w:t>
      </w:r>
      <w:r>
        <w:rPr>
          <w:rFonts w:hint="eastAsia" w:ascii="宋体" w:hAnsi="宋体" w:eastAsia="宋体"/>
          <w:szCs w:val="21"/>
          <w:highlight w:val="none"/>
          <w:lang w:val="en-US" w:eastAsia="zh-CN"/>
        </w:rPr>
        <w:t>。</w:t>
      </w:r>
    </w:p>
    <w:p w14:paraId="1679AD63">
      <w:pPr>
        <w:spacing w:line="460" w:lineRule="exact"/>
        <w:ind w:firstLine="478" w:firstLineChars="228"/>
        <w:rPr>
          <w:rFonts w:ascii="宋体" w:hAnsi="宋体"/>
          <w:b/>
          <w:bCs/>
          <w:szCs w:val="21"/>
          <w:highlight w:val="none"/>
        </w:rPr>
      </w:pPr>
      <w:r>
        <w:rPr>
          <w:rFonts w:hint="eastAsia" w:ascii="宋体" w:hAnsi="宋体"/>
          <w:b/>
          <w:bCs/>
          <w:szCs w:val="21"/>
          <w:highlight w:val="none"/>
        </w:rPr>
        <w:t>注：以上资料须加盖供应商公章，在评审过程中由采购人或采购代理机构进行评审，无效或缺项将被视为无效文件。</w:t>
      </w:r>
    </w:p>
    <w:p w14:paraId="1AEB77C9">
      <w:pPr>
        <w:pStyle w:val="3"/>
        <w:jc w:val="left"/>
        <w:rPr>
          <w:rFonts w:ascii="宋体" w:hAnsi="宋体" w:eastAsia="宋体"/>
          <w:b/>
          <w:sz w:val="21"/>
          <w:szCs w:val="21"/>
          <w:highlight w:val="none"/>
        </w:rPr>
      </w:pPr>
      <w:r>
        <w:rPr>
          <w:rFonts w:ascii="宋体" w:hAnsi="宋体"/>
          <w:b/>
          <w:szCs w:val="21"/>
          <w:highlight w:val="none"/>
        </w:rPr>
        <w:br w:type="page"/>
      </w:r>
      <w:r>
        <w:rPr>
          <w:rFonts w:hint="eastAsia" w:ascii="宋体" w:hAnsi="宋体" w:eastAsia="宋体"/>
          <w:b/>
          <w:sz w:val="21"/>
          <w:szCs w:val="21"/>
          <w:highlight w:val="none"/>
        </w:rPr>
        <w:t xml:space="preserve">附件一 </w:t>
      </w:r>
      <w:r>
        <w:rPr>
          <w:rFonts w:ascii="宋体" w:hAnsi="宋体" w:eastAsia="宋体"/>
          <w:b/>
          <w:sz w:val="21"/>
          <w:szCs w:val="21"/>
          <w:highlight w:val="none"/>
        </w:rPr>
        <w:t xml:space="preserve"> </w:t>
      </w:r>
      <w:r>
        <w:rPr>
          <w:rFonts w:hint="eastAsia" w:ascii="宋体" w:hAnsi="宋体" w:eastAsia="宋体"/>
          <w:b/>
          <w:sz w:val="21"/>
          <w:szCs w:val="21"/>
          <w:highlight w:val="none"/>
        </w:rPr>
        <w:t>法定代表人（或其他组织负责人）身份证明格式</w:t>
      </w:r>
    </w:p>
    <w:p w14:paraId="76343AB5">
      <w:pPr>
        <w:spacing w:line="460" w:lineRule="exact"/>
        <w:jc w:val="center"/>
        <w:rPr>
          <w:rFonts w:ascii="宋体" w:hAnsi="宋体"/>
          <w:b/>
          <w:szCs w:val="21"/>
          <w:highlight w:val="none"/>
        </w:rPr>
      </w:pPr>
      <w:r>
        <w:rPr>
          <w:rFonts w:hint="eastAsia" w:ascii="宋体" w:hAnsi="宋体"/>
          <w:b/>
          <w:szCs w:val="21"/>
          <w:highlight w:val="none"/>
        </w:rPr>
        <w:t>法定代表人（或其他组织负责人）身份证明</w:t>
      </w:r>
    </w:p>
    <w:p w14:paraId="34045D56">
      <w:pPr>
        <w:spacing w:line="460" w:lineRule="exact"/>
        <w:jc w:val="center"/>
        <w:rPr>
          <w:rFonts w:ascii="宋体" w:hAnsi="宋体"/>
          <w:szCs w:val="21"/>
          <w:highlight w:val="none"/>
        </w:rPr>
      </w:pPr>
    </w:p>
    <w:p w14:paraId="7D59FCD3">
      <w:pPr>
        <w:spacing w:line="460" w:lineRule="exact"/>
        <w:rPr>
          <w:rFonts w:ascii="宋体" w:hAnsi="宋体"/>
          <w:szCs w:val="21"/>
          <w:highlight w:val="none"/>
        </w:rPr>
      </w:pPr>
    </w:p>
    <w:p w14:paraId="54C9269B">
      <w:pPr>
        <w:topLinePunct/>
        <w:spacing w:line="460" w:lineRule="exact"/>
        <w:rPr>
          <w:rFonts w:ascii="宋体" w:hAnsi="宋体"/>
          <w:bCs/>
          <w:szCs w:val="21"/>
          <w:highlight w:val="none"/>
          <w:u w:val="single"/>
        </w:rPr>
      </w:pPr>
      <w:r>
        <w:rPr>
          <w:rFonts w:hint="eastAsia" w:ascii="宋体" w:hAnsi="宋体"/>
          <w:bCs/>
          <w:szCs w:val="21"/>
          <w:highlight w:val="none"/>
        </w:rPr>
        <w:t>供应商名称：</w:t>
      </w:r>
      <w:r>
        <w:rPr>
          <w:rFonts w:hint="eastAsia" w:ascii="宋体" w:hAnsi="宋体"/>
          <w:bCs/>
          <w:szCs w:val="21"/>
          <w:highlight w:val="none"/>
          <w:u w:val="single"/>
        </w:rPr>
        <w:t xml:space="preserve">                         </w:t>
      </w:r>
    </w:p>
    <w:p w14:paraId="4786EDED">
      <w:pPr>
        <w:topLinePunct/>
        <w:spacing w:line="460" w:lineRule="exact"/>
        <w:rPr>
          <w:rFonts w:ascii="宋体" w:hAnsi="宋体"/>
          <w:bCs/>
          <w:szCs w:val="21"/>
          <w:highlight w:val="none"/>
        </w:rPr>
      </w:pPr>
      <w:r>
        <w:rPr>
          <w:rFonts w:hint="eastAsia" w:ascii="宋体" w:hAnsi="宋体"/>
          <w:bCs/>
          <w:szCs w:val="21"/>
          <w:highlight w:val="none"/>
        </w:rPr>
        <w:t>单位性质：</w:t>
      </w:r>
      <w:r>
        <w:rPr>
          <w:rFonts w:hint="eastAsia" w:ascii="宋体" w:hAnsi="宋体"/>
          <w:bCs/>
          <w:szCs w:val="21"/>
          <w:highlight w:val="none"/>
          <w:u w:val="single"/>
        </w:rPr>
        <w:t xml:space="preserve">                           </w:t>
      </w:r>
    </w:p>
    <w:p w14:paraId="7867B4C7">
      <w:pPr>
        <w:topLinePunct/>
        <w:spacing w:line="460" w:lineRule="exact"/>
        <w:rPr>
          <w:rFonts w:ascii="宋体" w:hAnsi="宋体"/>
          <w:bCs/>
          <w:szCs w:val="21"/>
          <w:highlight w:val="none"/>
        </w:rPr>
      </w:pPr>
      <w:r>
        <w:rPr>
          <w:rFonts w:hint="eastAsia" w:ascii="宋体" w:hAnsi="宋体"/>
          <w:bCs/>
          <w:szCs w:val="21"/>
          <w:highlight w:val="none"/>
        </w:rPr>
        <w:t>成立时间：</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3B5BCEBD">
      <w:pPr>
        <w:topLinePunct/>
        <w:spacing w:line="460" w:lineRule="exact"/>
        <w:rPr>
          <w:rFonts w:ascii="宋体" w:hAnsi="宋体"/>
          <w:bCs/>
          <w:szCs w:val="21"/>
          <w:highlight w:val="none"/>
        </w:rPr>
      </w:pPr>
      <w:r>
        <w:rPr>
          <w:rFonts w:hint="eastAsia" w:ascii="宋体" w:hAnsi="宋体"/>
          <w:bCs/>
          <w:szCs w:val="21"/>
          <w:highlight w:val="none"/>
        </w:rPr>
        <w:t>经营期限：</w:t>
      </w:r>
      <w:r>
        <w:rPr>
          <w:rFonts w:hint="eastAsia" w:ascii="宋体" w:hAnsi="宋体"/>
          <w:bCs/>
          <w:szCs w:val="21"/>
          <w:highlight w:val="none"/>
          <w:u w:val="single"/>
        </w:rPr>
        <w:t xml:space="preserve">            </w:t>
      </w:r>
    </w:p>
    <w:p w14:paraId="5EB48FE0">
      <w:pPr>
        <w:topLinePunct/>
        <w:spacing w:line="460" w:lineRule="exact"/>
        <w:rPr>
          <w:rFonts w:ascii="宋体" w:hAnsi="宋体"/>
          <w:bCs/>
          <w:szCs w:val="21"/>
          <w:highlight w:val="none"/>
          <w:u w:val="single"/>
        </w:rPr>
      </w:pPr>
      <w:r>
        <w:rPr>
          <w:rFonts w:hint="eastAsia" w:ascii="宋体" w:hAnsi="宋体"/>
          <w:bCs/>
          <w:szCs w:val="21"/>
          <w:highlight w:val="none"/>
        </w:rPr>
        <w:t>姓名：</w:t>
      </w:r>
      <w:r>
        <w:rPr>
          <w:rFonts w:hint="eastAsia" w:ascii="宋体" w:hAnsi="宋体"/>
          <w:bCs/>
          <w:szCs w:val="21"/>
          <w:highlight w:val="none"/>
          <w:u w:val="single"/>
        </w:rPr>
        <w:t xml:space="preserve">         </w:t>
      </w:r>
      <w:r>
        <w:rPr>
          <w:rFonts w:hint="eastAsia" w:ascii="宋体" w:hAnsi="宋体"/>
          <w:bCs/>
          <w:szCs w:val="21"/>
          <w:highlight w:val="none"/>
        </w:rPr>
        <w:t>性别：</w:t>
      </w:r>
      <w:r>
        <w:rPr>
          <w:rFonts w:hint="eastAsia" w:ascii="宋体" w:hAnsi="宋体"/>
          <w:bCs/>
          <w:szCs w:val="21"/>
          <w:highlight w:val="none"/>
          <w:u w:val="single"/>
        </w:rPr>
        <w:t xml:space="preserve">          </w:t>
      </w:r>
      <w:r>
        <w:rPr>
          <w:rFonts w:hint="eastAsia" w:ascii="宋体" w:hAnsi="宋体"/>
          <w:bCs/>
          <w:szCs w:val="21"/>
          <w:highlight w:val="none"/>
        </w:rPr>
        <w:t>年龄：</w:t>
      </w:r>
      <w:r>
        <w:rPr>
          <w:rFonts w:hint="eastAsia" w:ascii="宋体" w:hAnsi="宋体"/>
          <w:bCs/>
          <w:szCs w:val="21"/>
          <w:highlight w:val="none"/>
          <w:u w:val="single"/>
        </w:rPr>
        <w:t xml:space="preserve">         </w:t>
      </w:r>
      <w:r>
        <w:rPr>
          <w:rFonts w:hint="eastAsia" w:ascii="宋体" w:hAnsi="宋体"/>
          <w:bCs/>
          <w:szCs w:val="21"/>
          <w:highlight w:val="none"/>
        </w:rPr>
        <w:t>职务：</w:t>
      </w:r>
      <w:r>
        <w:rPr>
          <w:rFonts w:hint="eastAsia" w:ascii="宋体" w:hAnsi="宋体"/>
          <w:bCs/>
          <w:szCs w:val="21"/>
          <w:highlight w:val="none"/>
          <w:u w:val="single"/>
        </w:rPr>
        <w:t xml:space="preserve">         </w:t>
      </w:r>
    </w:p>
    <w:p w14:paraId="4153FCF4">
      <w:pPr>
        <w:topLinePunct/>
        <w:spacing w:line="460" w:lineRule="exact"/>
        <w:rPr>
          <w:rFonts w:ascii="宋体" w:hAnsi="宋体"/>
          <w:bCs/>
          <w:szCs w:val="21"/>
          <w:highlight w:val="none"/>
        </w:rPr>
      </w:pPr>
      <w:r>
        <w:rPr>
          <w:rFonts w:hint="eastAsia" w:ascii="宋体" w:hAnsi="宋体"/>
          <w:bCs/>
          <w:szCs w:val="21"/>
          <w:highlight w:val="none"/>
        </w:rPr>
        <w:t>系</w:t>
      </w:r>
      <w:r>
        <w:rPr>
          <w:rFonts w:hint="eastAsia" w:ascii="宋体" w:hAnsi="宋体"/>
          <w:bCs/>
          <w:szCs w:val="21"/>
          <w:highlight w:val="none"/>
          <w:u w:val="single"/>
        </w:rPr>
        <w:t xml:space="preserve">                   </w:t>
      </w:r>
      <w:r>
        <w:rPr>
          <w:rFonts w:hint="eastAsia" w:ascii="宋体" w:hAnsi="宋体"/>
          <w:bCs/>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bCs/>
          <w:szCs w:val="21"/>
          <w:highlight w:val="none"/>
        </w:rPr>
        <w:t>。</w:t>
      </w:r>
    </w:p>
    <w:p w14:paraId="24C4A0AD">
      <w:pPr>
        <w:topLinePunct/>
        <w:spacing w:line="460" w:lineRule="exact"/>
        <w:ind w:firstLine="420" w:firstLineChars="200"/>
        <w:rPr>
          <w:rFonts w:ascii="宋体" w:hAnsi="宋体"/>
          <w:bCs/>
          <w:szCs w:val="21"/>
          <w:highlight w:val="none"/>
        </w:rPr>
      </w:pPr>
      <w:r>
        <w:rPr>
          <w:rFonts w:hint="eastAsia" w:ascii="宋体" w:hAnsi="宋体"/>
          <w:bCs/>
          <w:szCs w:val="21"/>
          <w:highlight w:val="none"/>
        </w:rPr>
        <w:t>特此证明。</w:t>
      </w:r>
    </w:p>
    <w:p w14:paraId="5894E64E">
      <w:pPr>
        <w:topLinePunct/>
        <w:spacing w:line="460" w:lineRule="exact"/>
        <w:rPr>
          <w:rFonts w:ascii="宋体" w:hAnsi="宋体"/>
          <w:bCs/>
          <w:szCs w:val="21"/>
          <w:highlight w:val="none"/>
        </w:rPr>
      </w:pPr>
    </w:p>
    <w:p w14:paraId="3A003C64">
      <w:pPr>
        <w:topLinePunct/>
        <w:spacing w:line="460" w:lineRule="exact"/>
        <w:rPr>
          <w:rFonts w:ascii="宋体" w:hAnsi="宋体"/>
          <w:bCs/>
          <w:szCs w:val="21"/>
          <w:highlight w:val="none"/>
        </w:rPr>
      </w:pPr>
    </w:p>
    <w:p w14:paraId="1E522966">
      <w:pPr>
        <w:topLinePunct/>
        <w:spacing w:line="460" w:lineRule="exact"/>
        <w:rPr>
          <w:rFonts w:ascii="宋体" w:hAnsi="宋体"/>
          <w:bCs/>
          <w:szCs w:val="21"/>
          <w:highlight w:val="none"/>
        </w:rPr>
      </w:pPr>
      <w:r>
        <w:rPr>
          <w:rFonts w:hint="eastAsia" w:ascii="宋体" w:hAnsi="宋体"/>
          <w:bCs/>
          <w:szCs w:val="21"/>
          <w:highlight w:val="none"/>
        </w:rPr>
        <w:t xml:space="preserve">                             供应商：</w:t>
      </w:r>
      <w:r>
        <w:rPr>
          <w:rFonts w:hint="eastAsia" w:ascii="宋体" w:hAnsi="宋体"/>
          <w:bCs/>
          <w:szCs w:val="21"/>
          <w:highlight w:val="none"/>
          <w:u w:val="single"/>
        </w:rPr>
        <w:t xml:space="preserve">           </w:t>
      </w:r>
      <w:r>
        <w:rPr>
          <w:rFonts w:hint="eastAsia" w:ascii="宋体" w:hAnsi="宋体"/>
          <w:bCs/>
          <w:szCs w:val="21"/>
          <w:highlight w:val="none"/>
        </w:rPr>
        <w:t>（盖单位章）</w:t>
      </w:r>
    </w:p>
    <w:p w14:paraId="56EC88A3">
      <w:pPr>
        <w:topLinePunct/>
        <w:spacing w:line="460" w:lineRule="exact"/>
        <w:rPr>
          <w:rFonts w:ascii="宋体" w:hAnsi="宋体"/>
          <w:bCs/>
          <w:szCs w:val="21"/>
          <w:highlight w:val="none"/>
        </w:rPr>
      </w:pPr>
      <w:r>
        <w:rPr>
          <w:rFonts w:hint="eastAsia" w:ascii="宋体" w:hAnsi="宋体"/>
          <w:bCs/>
          <w:szCs w:val="21"/>
          <w:highlight w:val="none"/>
        </w:rPr>
        <w:t xml:space="preserve">                             </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w:t>
      </w:r>
    </w:p>
    <w:p w14:paraId="2DFF166D">
      <w:pPr>
        <w:spacing w:line="460" w:lineRule="exact"/>
        <w:rPr>
          <w:rFonts w:ascii="宋体" w:hAnsi="宋体"/>
          <w:szCs w:val="21"/>
          <w:highlight w:val="none"/>
        </w:rPr>
      </w:pPr>
    </w:p>
    <w:p w14:paraId="37BFB282">
      <w:pPr>
        <w:pStyle w:val="3"/>
        <w:jc w:val="left"/>
        <w:rPr>
          <w:rFonts w:ascii="宋体" w:hAnsi="宋体" w:eastAsia="宋体"/>
          <w:b/>
          <w:sz w:val="21"/>
          <w:szCs w:val="21"/>
          <w:highlight w:val="none"/>
        </w:rPr>
      </w:pPr>
      <w:r>
        <w:rPr>
          <w:rFonts w:hint="eastAsia" w:ascii="宋体" w:hAnsi="宋体"/>
          <w:b/>
          <w:szCs w:val="21"/>
          <w:highlight w:val="none"/>
        </w:rPr>
        <w:br w:type="page"/>
      </w:r>
      <w:r>
        <w:rPr>
          <w:rFonts w:hint="eastAsia" w:ascii="宋体" w:hAnsi="宋体" w:eastAsia="宋体"/>
          <w:b/>
          <w:sz w:val="21"/>
          <w:szCs w:val="21"/>
          <w:highlight w:val="none"/>
        </w:rPr>
        <w:t xml:space="preserve">附件二 </w:t>
      </w:r>
      <w:r>
        <w:rPr>
          <w:rFonts w:ascii="宋体" w:hAnsi="宋体" w:eastAsia="宋体"/>
          <w:b/>
          <w:sz w:val="21"/>
          <w:szCs w:val="21"/>
          <w:highlight w:val="none"/>
        </w:rPr>
        <w:t xml:space="preserve"> </w:t>
      </w:r>
      <w:r>
        <w:rPr>
          <w:rFonts w:hint="eastAsia" w:ascii="宋体" w:hAnsi="宋体" w:eastAsia="宋体"/>
          <w:b/>
          <w:sz w:val="21"/>
          <w:szCs w:val="21"/>
          <w:highlight w:val="none"/>
        </w:rPr>
        <w:t>授权委托书格式</w:t>
      </w:r>
    </w:p>
    <w:p w14:paraId="2017FE45">
      <w:pPr>
        <w:spacing w:line="460" w:lineRule="exact"/>
        <w:jc w:val="center"/>
        <w:rPr>
          <w:rFonts w:ascii="宋体" w:hAnsi="宋体"/>
          <w:b/>
          <w:szCs w:val="21"/>
          <w:highlight w:val="none"/>
        </w:rPr>
      </w:pPr>
      <w:r>
        <w:rPr>
          <w:rFonts w:hint="eastAsia" w:ascii="宋体" w:hAnsi="宋体"/>
          <w:b/>
          <w:szCs w:val="21"/>
          <w:highlight w:val="none"/>
        </w:rPr>
        <w:t>授权委托书</w:t>
      </w:r>
    </w:p>
    <w:p w14:paraId="3CF9F09B">
      <w:pPr>
        <w:spacing w:line="460" w:lineRule="exact"/>
        <w:rPr>
          <w:rFonts w:ascii="宋体" w:hAnsi="宋体"/>
          <w:b/>
          <w:szCs w:val="21"/>
          <w:highlight w:val="none"/>
        </w:rPr>
      </w:pPr>
    </w:p>
    <w:p w14:paraId="131ECBF4">
      <w:pPr>
        <w:topLinePunct/>
        <w:spacing w:line="460" w:lineRule="exact"/>
        <w:ind w:firstLine="420" w:firstLineChars="200"/>
        <w:rPr>
          <w:rFonts w:ascii="宋体" w:hAnsi="宋体"/>
          <w:szCs w:val="21"/>
          <w:highlight w:val="none"/>
        </w:rPr>
      </w:pPr>
    </w:p>
    <w:p w14:paraId="15E3C996">
      <w:pPr>
        <w:topLinePunct/>
        <w:spacing w:line="460" w:lineRule="exact"/>
        <w:ind w:firstLine="420" w:firstLineChars="200"/>
        <w:rPr>
          <w:rFonts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w:t>
      </w:r>
      <w:r>
        <w:rPr>
          <w:rFonts w:hint="eastAsia" w:ascii="宋体" w:hAnsi="宋体" w:cs="宋体"/>
          <w:kern w:val="0"/>
          <w:szCs w:val="21"/>
          <w:highlight w:val="none"/>
        </w:rPr>
        <w:t>（或其他组织负责人）</w:t>
      </w:r>
      <w:r>
        <w:rPr>
          <w:rFonts w:hint="eastAsia" w:ascii="宋体" w:hAnsi="宋体"/>
          <w:szCs w:val="21"/>
          <w:highlight w:val="none"/>
        </w:rPr>
        <w:t>，现委托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（姓名）为我方代理人。代理人根据授权，以我方名义签署、澄清、递交、撤回、修改</w:t>
      </w:r>
      <w:r>
        <w:rPr>
          <w:rFonts w:hint="eastAsia" w:ascii="宋体" w:hAnsi="宋体"/>
          <w:szCs w:val="21"/>
          <w:highlight w:val="none"/>
          <w:u w:val="single"/>
        </w:rPr>
        <w:t xml:space="preserve">          </w:t>
      </w:r>
      <w:r>
        <w:rPr>
          <w:rFonts w:hint="eastAsia" w:ascii="宋体" w:hAnsi="宋体"/>
          <w:szCs w:val="21"/>
          <w:highlight w:val="none"/>
        </w:rPr>
        <w:t>（项目名称）磋商响应文件，其法律后果由我方承担。</w:t>
      </w:r>
    </w:p>
    <w:p w14:paraId="75DFA0B0">
      <w:pPr>
        <w:topLinePunct/>
        <w:spacing w:line="460" w:lineRule="exact"/>
        <w:rPr>
          <w:rFonts w:ascii="宋体" w:hAnsi="宋体"/>
          <w:szCs w:val="21"/>
          <w:highlight w:val="none"/>
          <w:u w:val="single"/>
        </w:rPr>
      </w:pPr>
      <w:r>
        <w:rPr>
          <w:rFonts w:hint="eastAsia" w:ascii="宋体" w:hAnsi="宋体"/>
          <w:szCs w:val="21"/>
          <w:highlight w:val="none"/>
        </w:rPr>
        <w:t xml:space="preserve">    委托期限：自签字或盖章之日起至提交磋商响应文件之日后60天内有效。</w:t>
      </w:r>
    </w:p>
    <w:p w14:paraId="10C31154">
      <w:pPr>
        <w:topLinePunct/>
        <w:spacing w:line="460" w:lineRule="exact"/>
        <w:ind w:firstLine="420" w:firstLineChars="200"/>
        <w:rPr>
          <w:rFonts w:ascii="宋体" w:hAnsi="宋体"/>
          <w:szCs w:val="21"/>
          <w:highlight w:val="none"/>
        </w:rPr>
      </w:pPr>
      <w:r>
        <w:rPr>
          <w:rFonts w:hint="eastAsia" w:ascii="宋体" w:hAnsi="宋体"/>
          <w:szCs w:val="21"/>
          <w:highlight w:val="none"/>
        </w:rPr>
        <w:t>代理人无转委托权。</w:t>
      </w:r>
    </w:p>
    <w:p w14:paraId="170CAF66">
      <w:pPr>
        <w:topLinePunct/>
        <w:spacing w:line="460" w:lineRule="exact"/>
        <w:ind w:firstLine="420" w:firstLineChars="200"/>
        <w:rPr>
          <w:rFonts w:ascii="宋体" w:hAnsi="宋体"/>
          <w:szCs w:val="21"/>
          <w:highlight w:val="none"/>
        </w:rPr>
      </w:pPr>
      <w:r>
        <w:rPr>
          <w:rFonts w:hint="eastAsia" w:ascii="宋体" w:hAnsi="宋体"/>
          <w:szCs w:val="21"/>
          <w:highlight w:val="none"/>
        </w:rPr>
        <w:t>附：法人代表人</w:t>
      </w:r>
      <w:r>
        <w:rPr>
          <w:rFonts w:hint="eastAsia" w:ascii="宋体" w:hAnsi="宋体" w:cs="宋体"/>
          <w:kern w:val="0"/>
          <w:szCs w:val="21"/>
          <w:highlight w:val="none"/>
        </w:rPr>
        <w:t>（或其他组织负责人）</w:t>
      </w:r>
      <w:r>
        <w:rPr>
          <w:rFonts w:hint="eastAsia" w:ascii="宋体" w:hAnsi="宋体"/>
          <w:szCs w:val="21"/>
          <w:highlight w:val="none"/>
        </w:rPr>
        <w:t>身份证复印件及被授权人身份证复印件</w:t>
      </w:r>
    </w:p>
    <w:p w14:paraId="720510B9">
      <w:pPr>
        <w:topLinePunct/>
        <w:spacing w:line="460" w:lineRule="exact"/>
        <w:ind w:firstLine="610"/>
        <w:rPr>
          <w:rFonts w:ascii="宋体" w:hAnsi="宋体"/>
          <w:szCs w:val="21"/>
          <w:highlight w:val="none"/>
        </w:rPr>
      </w:pPr>
      <w:r>
        <w:rPr>
          <w:rFonts w:hint="eastAsia" w:ascii="宋体" w:hAnsi="宋体"/>
          <w:szCs w:val="21"/>
          <w:highlight w:val="none"/>
        </w:rPr>
        <w:t xml:space="preserve">  </w:t>
      </w:r>
    </w:p>
    <w:p w14:paraId="14D0FE93">
      <w:pPr>
        <w:topLinePunct/>
        <w:spacing w:line="460" w:lineRule="exact"/>
        <w:ind w:firstLine="2310" w:firstLineChars="1100"/>
        <w:rPr>
          <w:rFonts w:ascii="宋体" w:hAnsi="宋体"/>
          <w:szCs w:val="21"/>
          <w:highlight w:val="none"/>
        </w:rPr>
      </w:pPr>
    </w:p>
    <w:p w14:paraId="7C425565">
      <w:pPr>
        <w:topLinePunct/>
        <w:spacing w:line="460" w:lineRule="exact"/>
        <w:ind w:firstLine="2100" w:firstLineChars="1000"/>
        <w:rPr>
          <w:rFonts w:ascii="宋体" w:hAnsi="宋体"/>
          <w:szCs w:val="21"/>
          <w:highlight w:val="none"/>
        </w:rPr>
      </w:pPr>
      <w:r>
        <w:rPr>
          <w:rFonts w:hint="eastAsia" w:ascii="宋体" w:hAnsi="宋体"/>
          <w:szCs w:val="21"/>
          <w:highlight w:val="none"/>
        </w:rPr>
        <w:t>供  应  商：</w:t>
      </w:r>
      <w:r>
        <w:rPr>
          <w:rFonts w:hint="eastAsia" w:ascii="宋体" w:hAnsi="宋体"/>
          <w:szCs w:val="21"/>
          <w:highlight w:val="none"/>
          <w:u w:val="single"/>
        </w:rPr>
        <w:t xml:space="preserve">                                   </w:t>
      </w:r>
      <w:r>
        <w:rPr>
          <w:rFonts w:hint="eastAsia" w:ascii="宋体" w:hAnsi="宋体"/>
          <w:szCs w:val="21"/>
          <w:highlight w:val="none"/>
        </w:rPr>
        <w:t>（盖单位章）</w:t>
      </w:r>
    </w:p>
    <w:p w14:paraId="1562974E">
      <w:pPr>
        <w:topLinePunct/>
        <w:spacing w:line="460" w:lineRule="exact"/>
        <w:ind w:firstLine="2879" w:firstLineChars="1371"/>
        <w:rPr>
          <w:rFonts w:ascii="宋体" w:hAnsi="宋体"/>
          <w:szCs w:val="21"/>
          <w:highlight w:val="none"/>
        </w:rPr>
      </w:pPr>
    </w:p>
    <w:p w14:paraId="5543089D">
      <w:pPr>
        <w:topLinePunct/>
        <w:spacing w:line="460" w:lineRule="exact"/>
        <w:ind w:firstLine="2100" w:firstLineChars="1000"/>
        <w:rPr>
          <w:rFonts w:ascii="宋体" w:hAnsi="宋体"/>
          <w:szCs w:val="21"/>
          <w:highlight w:val="none"/>
        </w:rPr>
      </w:pPr>
      <w:r>
        <w:rPr>
          <w:rFonts w:hint="eastAsia" w:ascii="宋体" w:hAnsi="宋体"/>
          <w:szCs w:val="21"/>
          <w:highlight w:val="none"/>
        </w:rPr>
        <w:t>法定代表人</w:t>
      </w:r>
      <w:r>
        <w:rPr>
          <w:rFonts w:hint="eastAsia" w:ascii="宋体" w:hAnsi="宋体" w:cs="宋体"/>
          <w:kern w:val="0"/>
          <w:szCs w:val="21"/>
          <w:highlight w:val="none"/>
        </w:rPr>
        <w:t>（或其他组织负责人）</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（签字或盖章）</w:t>
      </w:r>
    </w:p>
    <w:p w14:paraId="113C0759">
      <w:pPr>
        <w:topLinePunct/>
        <w:spacing w:line="460" w:lineRule="exact"/>
        <w:ind w:firstLine="2879" w:firstLineChars="1371"/>
        <w:rPr>
          <w:rFonts w:ascii="宋体" w:hAnsi="宋体"/>
          <w:szCs w:val="21"/>
          <w:highlight w:val="none"/>
        </w:rPr>
      </w:pPr>
    </w:p>
    <w:p w14:paraId="28A45966">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0F07E6CA">
      <w:pPr>
        <w:topLinePunct/>
        <w:spacing w:line="460" w:lineRule="exact"/>
        <w:ind w:firstLine="2879" w:firstLineChars="1371"/>
        <w:rPr>
          <w:rFonts w:ascii="宋体" w:hAnsi="宋体"/>
          <w:szCs w:val="21"/>
          <w:highlight w:val="none"/>
        </w:rPr>
      </w:pPr>
    </w:p>
    <w:p w14:paraId="31886FBA">
      <w:pPr>
        <w:topLinePunct/>
        <w:spacing w:line="460" w:lineRule="exact"/>
        <w:ind w:firstLine="2100" w:firstLineChars="1000"/>
        <w:rPr>
          <w:rFonts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（签字或盖章）</w:t>
      </w:r>
    </w:p>
    <w:p w14:paraId="77CCB858">
      <w:pPr>
        <w:topLinePunct/>
        <w:spacing w:line="460" w:lineRule="exact"/>
        <w:ind w:left="2699" w:firstLine="2879" w:firstLineChars="1371"/>
        <w:rPr>
          <w:rFonts w:ascii="宋体" w:hAnsi="宋体"/>
          <w:szCs w:val="21"/>
          <w:highlight w:val="none"/>
        </w:rPr>
      </w:pPr>
      <w:r>
        <w:rPr>
          <w:rFonts w:hint="eastAsia" w:ascii="宋体" w:hAnsi="宋体"/>
          <w:szCs w:val="21"/>
          <w:highlight w:val="none"/>
        </w:rPr>
        <w:t xml:space="preserve">    </w:t>
      </w:r>
    </w:p>
    <w:p w14:paraId="3F09C4C4">
      <w:pPr>
        <w:topLinePunct/>
        <w:spacing w:line="460" w:lineRule="exact"/>
        <w:ind w:firstLine="2100" w:firstLineChars="1000"/>
        <w:rPr>
          <w:rFonts w:ascii="宋体" w:hAnsi="宋体"/>
          <w:szCs w:val="21"/>
          <w:highlight w:val="none"/>
          <w:u w:val="single"/>
        </w:rPr>
      </w:pPr>
      <w:r>
        <w:rPr>
          <w:rFonts w:hint="eastAsia" w:ascii="宋体" w:hAnsi="宋体"/>
          <w:szCs w:val="21"/>
          <w:highlight w:val="none"/>
        </w:rPr>
        <w:t>身份证号码：</w:t>
      </w:r>
      <w:r>
        <w:rPr>
          <w:rFonts w:hint="eastAsia" w:ascii="宋体" w:hAnsi="宋体"/>
          <w:szCs w:val="21"/>
          <w:highlight w:val="none"/>
          <w:u w:val="single"/>
        </w:rPr>
        <w:t xml:space="preserve">                                    </w:t>
      </w:r>
    </w:p>
    <w:p w14:paraId="3281F4B4">
      <w:pPr>
        <w:topLinePunct/>
        <w:spacing w:line="460" w:lineRule="exact"/>
        <w:ind w:firstLine="2879" w:firstLineChars="1371"/>
        <w:rPr>
          <w:rFonts w:ascii="宋体" w:hAnsi="宋体"/>
          <w:szCs w:val="21"/>
          <w:highlight w:val="none"/>
        </w:rPr>
      </w:pPr>
    </w:p>
    <w:p w14:paraId="5F8917FE">
      <w:pPr>
        <w:topLinePunct/>
        <w:spacing w:line="460" w:lineRule="exact"/>
        <w:ind w:left="417" w:leftChars="199" w:firstLine="2940" w:firstLineChars="14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684227DA">
      <w:pPr>
        <w:spacing w:line="460" w:lineRule="exact"/>
        <w:rPr>
          <w:rFonts w:ascii="宋体" w:hAnsi="宋体"/>
          <w:b/>
          <w:szCs w:val="21"/>
          <w:highlight w:val="none"/>
        </w:rPr>
      </w:pPr>
    </w:p>
    <w:p w14:paraId="07DC9B2D">
      <w:pPr>
        <w:spacing w:line="460" w:lineRule="exact"/>
        <w:ind w:firstLine="420" w:firstLineChars="200"/>
        <w:rPr>
          <w:rFonts w:ascii="宋体" w:hAnsi="宋体" w:cs="宋体"/>
          <w:kern w:val="0"/>
          <w:szCs w:val="21"/>
          <w:highlight w:val="none"/>
        </w:rPr>
      </w:pPr>
    </w:p>
    <w:p w14:paraId="12DECA72">
      <w:pPr>
        <w:spacing w:line="460" w:lineRule="exact"/>
        <w:rPr>
          <w:rFonts w:ascii="宋体" w:hAnsi="宋体" w:cs="宋体"/>
          <w:szCs w:val="21"/>
          <w:highlight w:val="none"/>
        </w:rPr>
      </w:pPr>
    </w:p>
    <w:p w14:paraId="05306DD1">
      <w:pPr>
        <w:pStyle w:val="3"/>
        <w:jc w:val="left"/>
        <w:rPr>
          <w:rFonts w:ascii="宋体" w:hAnsi="宋体" w:eastAsia="宋体"/>
          <w:b/>
          <w:sz w:val="21"/>
          <w:szCs w:val="21"/>
          <w:highlight w:val="none"/>
        </w:rPr>
      </w:pPr>
      <w:r>
        <w:rPr>
          <w:rFonts w:ascii="宋体" w:hAnsi="宋体" w:cs="宋体"/>
          <w:szCs w:val="21"/>
          <w:highlight w:val="none"/>
        </w:rPr>
        <w:br w:type="page"/>
      </w:r>
      <w:r>
        <w:rPr>
          <w:rFonts w:hint="eastAsia" w:ascii="宋体" w:hAnsi="宋体" w:eastAsia="宋体"/>
          <w:b/>
          <w:sz w:val="21"/>
          <w:szCs w:val="21"/>
          <w:highlight w:val="none"/>
        </w:rPr>
        <w:t xml:space="preserve">附件三 </w:t>
      </w:r>
      <w:r>
        <w:rPr>
          <w:rFonts w:ascii="宋体" w:hAnsi="宋体" w:eastAsia="宋体"/>
          <w:b/>
          <w:sz w:val="21"/>
          <w:szCs w:val="21"/>
          <w:highlight w:val="none"/>
        </w:rPr>
        <w:t xml:space="preserve"> </w:t>
      </w:r>
      <w:r>
        <w:rPr>
          <w:rFonts w:hint="eastAsia" w:ascii="宋体" w:hAnsi="宋体" w:eastAsia="宋体"/>
          <w:b/>
          <w:sz w:val="21"/>
          <w:szCs w:val="21"/>
          <w:highlight w:val="none"/>
        </w:rPr>
        <w:t>承诺函</w:t>
      </w:r>
    </w:p>
    <w:p w14:paraId="6575B8C7">
      <w:pPr>
        <w:spacing w:line="276" w:lineRule="auto"/>
        <w:jc w:val="center"/>
        <w:rPr>
          <w:b/>
          <w:sz w:val="32"/>
          <w:szCs w:val="32"/>
          <w:highlight w:val="none"/>
        </w:rPr>
      </w:pPr>
      <w:r>
        <w:rPr>
          <w:b/>
          <w:sz w:val="32"/>
          <w:szCs w:val="32"/>
          <w:highlight w:val="none"/>
        </w:rPr>
        <w:t>承诺函</w:t>
      </w:r>
    </w:p>
    <w:p w14:paraId="1075A701">
      <w:pPr>
        <w:adjustRightInd w:val="0"/>
        <w:snapToGrid w:val="0"/>
        <w:spacing w:line="360" w:lineRule="auto"/>
        <w:rPr>
          <w:rFonts w:hint="eastAsia" w:eastAsia="宋体"/>
          <w:szCs w:val="21"/>
          <w:highlight w:val="none"/>
          <w:lang w:eastAsia="zh-CN"/>
        </w:rPr>
      </w:pPr>
      <w:r>
        <w:rPr>
          <w:szCs w:val="21"/>
          <w:highlight w:val="none"/>
        </w:rPr>
        <w:t>致：</w:t>
      </w:r>
      <w:r>
        <w:rPr>
          <w:rFonts w:hint="eastAsia"/>
          <w:szCs w:val="21"/>
          <w:highlight w:val="none"/>
          <w:lang w:eastAsia="zh-CN"/>
        </w:rPr>
        <w:t>西安市大雁塔保管所</w:t>
      </w:r>
    </w:p>
    <w:p w14:paraId="5ECA27BC">
      <w:pPr>
        <w:adjustRightInd w:val="0"/>
        <w:snapToGrid w:val="0"/>
        <w:spacing w:line="360" w:lineRule="auto"/>
        <w:ind w:firstLine="420" w:firstLineChars="200"/>
        <w:rPr>
          <w:szCs w:val="21"/>
          <w:highlight w:val="none"/>
        </w:rPr>
      </w:pPr>
      <w:r>
        <w:rPr>
          <w:szCs w:val="21"/>
          <w:highlight w:val="none"/>
        </w:rPr>
        <w:t>1、我公司承诺，我公司不存在下列任何情形：</w:t>
      </w:r>
    </w:p>
    <w:p w14:paraId="32D349F8">
      <w:pPr>
        <w:adjustRightInd w:val="0"/>
        <w:snapToGrid w:val="0"/>
        <w:spacing w:line="360" w:lineRule="auto"/>
        <w:ind w:firstLine="420" w:firstLineChars="200"/>
        <w:rPr>
          <w:szCs w:val="21"/>
          <w:highlight w:val="none"/>
        </w:rPr>
      </w:pPr>
      <w:r>
        <w:rPr>
          <w:szCs w:val="21"/>
          <w:highlight w:val="none"/>
        </w:rPr>
        <w:t>（1）为</w:t>
      </w:r>
      <w:r>
        <w:rPr>
          <w:rFonts w:hint="eastAsia"/>
          <w:szCs w:val="21"/>
          <w:highlight w:val="none"/>
        </w:rPr>
        <w:t>采购人</w:t>
      </w:r>
      <w:r>
        <w:rPr>
          <w:szCs w:val="21"/>
          <w:highlight w:val="none"/>
        </w:rPr>
        <w:t>不具有独立法人资格的附属机构（单位）；</w:t>
      </w:r>
    </w:p>
    <w:p w14:paraId="10B54376">
      <w:pPr>
        <w:adjustRightInd w:val="0"/>
        <w:snapToGrid w:val="0"/>
        <w:spacing w:line="360" w:lineRule="auto"/>
        <w:ind w:firstLine="420" w:firstLineChars="200"/>
        <w:rPr>
          <w:szCs w:val="21"/>
          <w:highlight w:val="none"/>
        </w:rPr>
      </w:pPr>
      <w:r>
        <w:rPr>
          <w:szCs w:val="21"/>
          <w:highlight w:val="none"/>
        </w:rPr>
        <w:t>（2）与</w:t>
      </w:r>
      <w:r>
        <w:rPr>
          <w:rFonts w:hint="eastAsia"/>
          <w:szCs w:val="21"/>
          <w:highlight w:val="none"/>
        </w:rPr>
        <w:t>采购人</w:t>
      </w:r>
      <w:r>
        <w:rPr>
          <w:szCs w:val="21"/>
          <w:highlight w:val="none"/>
        </w:rPr>
        <w:t>存在利害关系且可能影响</w:t>
      </w:r>
      <w:r>
        <w:rPr>
          <w:rFonts w:hint="eastAsia"/>
          <w:szCs w:val="21"/>
          <w:highlight w:val="none"/>
        </w:rPr>
        <w:t>采购</w:t>
      </w:r>
      <w:r>
        <w:rPr>
          <w:szCs w:val="21"/>
          <w:highlight w:val="none"/>
        </w:rPr>
        <w:t>公正性；</w:t>
      </w:r>
    </w:p>
    <w:p w14:paraId="3989898A">
      <w:pPr>
        <w:adjustRightInd w:val="0"/>
        <w:snapToGrid w:val="0"/>
        <w:spacing w:line="360" w:lineRule="auto"/>
        <w:ind w:firstLine="420" w:firstLineChars="200"/>
        <w:rPr>
          <w:szCs w:val="21"/>
          <w:highlight w:val="none"/>
        </w:rPr>
      </w:pPr>
      <w:r>
        <w:rPr>
          <w:szCs w:val="21"/>
          <w:highlight w:val="none"/>
        </w:rPr>
        <w:t>（3）与本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为同一个单位负责人；</w:t>
      </w:r>
    </w:p>
    <w:p w14:paraId="59F88D1F">
      <w:pPr>
        <w:adjustRightInd w:val="0"/>
        <w:snapToGrid w:val="0"/>
        <w:spacing w:line="360" w:lineRule="auto"/>
        <w:ind w:firstLine="420" w:firstLineChars="200"/>
        <w:rPr>
          <w:szCs w:val="21"/>
          <w:highlight w:val="none"/>
        </w:rPr>
      </w:pPr>
      <w:r>
        <w:rPr>
          <w:szCs w:val="21"/>
          <w:highlight w:val="none"/>
        </w:rPr>
        <w:t>（4）与本</w:t>
      </w:r>
      <w:r>
        <w:rPr>
          <w:rFonts w:hint="eastAsia"/>
          <w:szCs w:val="21"/>
          <w:highlight w:val="none"/>
        </w:rPr>
        <w:t>采购</w:t>
      </w:r>
      <w:r>
        <w:rPr>
          <w:szCs w:val="21"/>
          <w:highlight w:val="none"/>
        </w:rPr>
        <w:t>项目的其他</w:t>
      </w:r>
      <w:r>
        <w:rPr>
          <w:rFonts w:hint="eastAsia"/>
          <w:szCs w:val="21"/>
          <w:highlight w:val="none"/>
        </w:rPr>
        <w:t>供应商</w:t>
      </w:r>
      <w:r>
        <w:rPr>
          <w:szCs w:val="21"/>
          <w:highlight w:val="none"/>
        </w:rPr>
        <w:t>存在控股、管理关系；</w:t>
      </w:r>
    </w:p>
    <w:p w14:paraId="2794AE03">
      <w:pPr>
        <w:adjustRightInd w:val="0"/>
        <w:snapToGrid w:val="0"/>
        <w:spacing w:line="360" w:lineRule="auto"/>
        <w:ind w:firstLine="420" w:firstLineChars="200"/>
        <w:rPr>
          <w:szCs w:val="21"/>
          <w:highlight w:val="none"/>
        </w:rPr>
      </w:pPr>
      <w:r>
        <w:rPr>
          <w:szCs w:val="21"/>
          <w:highlight w:val="none"/>
        </w:rPr>
        <w:t>（5）为本</w:t>
      </w:r>
      <w:r>
        <w:rPr>
          <w:rFonts w:hint="eastAsia"/>
          <w:szCs w:val="21"/>
          <w:highlight w:val="none"/>
        </w:rPr>
        <w:t>采购</w:t>
      </w:r>
      <w:r>
        <w:rPr>
          <w:szCs w:val="21"/>
          <w:highlight w:val="none"/>
        </w:rPr>
        <w:t>项目的代建人；</w:t>
      </w:r>
    </w:p>
    <w:p w14:paraId="4B89B505">
      <w:pPr>
        <w:adjustRightInd w:val="0"/>
        <w:snapToGrid w:val="0"/>
        <w:spacing w:line="360" w:lineRule="auto"/>
        <w:ind w:firstLine="420" w:firstLineChars="200"/>
        <w:rPr>
          <w:szCs w:val="21"/>
          <w:highlight w:val="none"/>
        </w:rPr>
      </w:pPr>
      <w:r>
        <w:rPr>
          <w:szCs w:val="21"/>
          <w:highlight w:val="none"/>
        </w:rPr>
        <w:t>（6）为本</w:t>
      </w:r>
      <w:r>
        <w:rPr>
          <w:rFonts w:hint="eastAsia"/>
          <w:szCs w:val="21"/>
          <w:highlight w:val="none"/>
        </w:rPr>
        <w:t>采购</w:t>
      </w:r>
      <w:r>
        <w:rPr>
          <w:szCs w:val="21"/>
          <w:highlight w:val="none"/>
        </w:rPr>
        <w:t>项目的代理机构；</w:t>
      </w:r>
    </w:p>
    <w:p w14:paraId="27BE5784">
      <w:pPr>
        <w:adjustRightInd w:val="0"/>
        <w:snapToGrid w:val="0"/>
        <w:spacing w:line="360" w:lineRule="auto"/>
        <w:ind w:firstLine="420" w:firstLineChars="200"/>
        <w:rPr>
          <w:szCs w:val="21"/>
          <w:highlight w:val="none"/>
        </w:rPr>
      </w:pPr>
      <w:r>
        <w:rPr>
          <w:szCs w:val="21"/>
          <w:highlight w:val="none"/>
        </w:rPr>
        <w:t>（7）与本</w:t>
      </w:r>
      <w:r>
        <w:rPr>
          <w:rFonts w:hint="eastAsia"/>
          <w:szCs w:val="21"/>
          <w:highlight w:val="none"/>
        </w:rPr>
        <w:t>采购</w:t>
      </w:r>
      <w:r>
        <w:rPr>
          <w:szCs w:val="21"/>
          <w:highlight w:val="none"/>
        </w:rPr>
        <w:t>项目的代建人或代理机构同为一个法定代表人；</w:t>
      </w:r>
    </w:p>
    <w:p w14:paraId="13572F3B">
      <w:pPr>
        <w:adjustRightInd w:val="0"/>
        <w:snapToGrid w:val="0"/>
        <w:spacing w:line="360" w:lineRule="auto"/>
        <w:ind w:firstLine="420" w:firstLineChars="200"/>
        <w:rPr>
          <w:szCs w:val="21"/>
          <w:highlight w:val="none"/>
        </w:rPr>
      </w:pPr>
      <w:r>
        <w:rPr>
          <w:szCs w:val="21"/>
          <w:highlight w:val="none"/>
        </w:rPr>
        <w:t>（8）与本</w:t>
      </w:r>
      <w:r>
        <w:rPr>
          <w:rFonts w:hint="eastAsia"/>
          <w:szCs w:val="21"/>
          <w:highlight w:val="none"/>
        </w:rPr>
        <w:t>采购</w:t>
      </w:r>
      <w:r>
        <w:rPr>
          <w:szCs w:val="21"/>
          <w:highlight w:val="none"/>
        </w:rPr>
        <w:t>项目的代建人或代理机构存在控股或参股关系；</w:t>
      </w:r>
    </w:p>
    <w:p w14:paraId="541920B5">
      <w:pPr>
        <w:adjustRightInd w:val="0"/>
        <w:snapToGrid w:val="0"/>
        <w:spacing w:line="360" w:lineRule="auto"/>
        <w:ind w:firstLine="420" w:firstLineChars="200"/>
        <w:rPr>
          <w:szCs w:val="21"/>
          <w:highlight w:val="none"/>
        </w:rPr>
      </w:pPr>
      <w:r>
        <w:rPr>
          <w:szCs w:val="21"/>
          <w:highlight w:val="none"/>
        </w:rPr>
        <w:t>（9）被依法暂停或者取消投标资格；</w:t>
      </w:r>
    </w:p>
    <w:p w14:paraId="53CE6AED">
      <w:pPr>
        <w:adjustRightInd w:val="0"/>
        <w:snapToGrid w:val="0"/>
        <w:spacing w:line="360" w:lineRule="auto"/>
        <w:ind w:firstLine="420" w:firstLineChars="200"/>
        <w:rPr>
          <w:szCs w:val="21"/>
          <w:highlight w:val="none"/>
        </w:rPr>
      </w:pPr>
      <w:r>
        <w:rPr>
          <w:szCs w:val="21"/>
          <w:highlight w:val="none"/>
        </w:rPr>
        <w:t>（10）被责令停产停业、暂扣或者吊销许可证、暂扣或者吊销执照；</w:t>
      </w:r>
    </w:p>
    <w:p w14:paraId="392F38BB">
      <w:pPr>
        <w:adjustRightInd w:val="0"/>
        <w:snapToGrid w:val="0"/>
        <w:spacing w:line="360" w:lineRule="auto"/>
        <w:ind w:firstLine="420" w:firstLineChars="200"/>
        <w:rPr>
          <w:szCs w:val="21"/>
          <w:highlight w:val="none"/>
        </w:rPr>
      </w:pPr>
      <w:r>
        <w:rPr>
          <w:szCs w:val="21"/>
          <w:highlight w:val="none"/>
        </w:rPr>
        <w:t>（11）进入清算程序，或被宣告破产，或其他丧失履约能力的情形；</w:t>
      </w:r>
    </w:p>
    <w:p w14:paraId="6B679175">
      <w:pPr>
        <w:adjustRightInd w:val="0"/>
        <w:snapToGrid w:val="0"/>
        <w:spacing w:line="360" w:lineRule="auto"/>
        <w:ind w:firstLine="420" w:firstLineChars="200"/>
        <w:rPr>
          <w:szCs w:val="21"/>
          <w:highlight w:val="none"/>
        </w:rPr>
      </w:pPr>
      <w:r>
        <w:rPr>
          <w:szCs w:val="21"/>
          <w:highlight w:val="none"/>
        </w:rPr>
        <w:t>（12）在最近三年内发生重大设计质量问题（以相关行业主管部门的行政处罚决定或司法机关出具的有关法律文书为准）；</w:t>
      </w:r>
    </w:p>
    <w:p w14:paraId="7BC03867">
      <w:pPr>
        <w:adjustRightInd w:val="0"/>
        <w:snapToGrid w:val="0"/>
        <w:spacing w:line="360" w:lineRule="auto"/>
        <w:ind w:firstLine="420" w:firstLineChars="200"/>
        <w:rPr>
          <w:szCs w:val="21"/>
          <w:highlight w:val="none"/>
        </w:rPr>
      </w:pPr>
      <w:r>
        <w:rPr>
          <w:szCs w:val="21"/>
          <w:highlight w:val="none"/>
        </w:rPr>
        <w:t>（13）被工商行政管理机关在全国企业信用信息公示系统中列入严重违法失信企业名单；</w:t>
      </w:r>
    </w:p>
    <w:p w14:paraId="62CD234A">
      <w:pPr>
        <w:adjustRightInd w:val="0"/>
        <w:snapToGrid w:val="0"/>
        <w:spacing w:line="360" w:lineRule="auto"/>
        <w:ind w:firstLine="420" w:firstLineChars="200"/>
        <w:rPr>
          <w:szCs w:val="21"/>
          <w:highlight w:val="none"/>
        </w:rPr>
      </w:pPr>
      <w:r>
        <w:rPr>
          <w:szCs w:val="21"/>
          <w:highlight w:val="none"/>
        </w:rPr>
        <w:t>（14）被最高人民法院在</w:t>
      </w:r>
      <w:r>
        <w:rPr>
          <w:rFonts w:hint="eastAsia"/>
          <w:szCs w:val="21"/>
          <w:highlight w:val="none"/>
        </w:rPr>
        <w:t>“</w:t>
      </w:r>
      <w:r>
        <w:rPr>
          <w:rFonts w:hint="eastAsia" w:ascii="宋体" w:hAnsi="宋体" w:cs="宋体"/>
          <w:szCs w:val="21"/>
          <w:highlight w:val="none"/>
        </w:rPr>
        <w:t>中国执行信息公开网</w:t>
      </w:r>
      <w:r>
        <w:rPr>
          <w:rFonts w:hint="eastAsia"/>
          <w:szCs w:val="21"/>
          <w:highlight w:val="none"/>
        </w:rPr>
        <w:t>”</w:t>
      </w:r>
      <w:r>
        <w:rPr>
          <w:rFonts w:hint="eastAsia" w:ascii="宋体" w:hAnsi="宋体" w:cs="宋体"/>
          <w:szCs w:val="21"/>
          <w:highlight w:val="none"/>
        </w:rPr>
        <w:t>（http://zxgk.court.gov.cn/shixin/）</w:t>
      </w:r>
      <w:r>
        <w:rPr>
          <w:szCs w:val="21"/>
          <w:highlight w:val="none"/>
        </w:rPr>
        <w:t>或各级信用信息共享平台中列入失信被执行人名单；</w:t>
      </w:r>
    </w:p>
    <w:p w14:paraId="29C69609">
      <w:pPr>
        <w:adjustRightInd w:val="0"/>
        <w:snapToGrid w:val="0"/>
        <w:spacing w:line="360" w:lineRule="auto"/>
        <w:ind w:firstLine="420" w:firstLineChars="200"/>
        <w:rPr>
          <w:szCs w:val="21"/>
          <w:highlight w:val="none"/>
        </w:rPr>
      </w:pPr>
      <w:r>
        <w:rPr>
          <w:szCs w:val="21"/>
          <w:highlight w:val="none"/>
        </w:rPr>
        <w:t>（15）在近三年内供应商或其法定代表人、拟委任的项目负责人有行贿犯罪行为的；</w:t>
      </w:r>
    </w:p>
    <w:p w14:paraId="10DA31BB">
      <w:pPr>
        <w:adjustRightInd w:val="0"/>
        <w:snapToGrid w:val="0"/>
        <w:spacing w:line="360" w:lineRule="auto"/>
        <w:ind w:firstLine="420" w:firstLineChars="200"/>
        <w:rPr>
          <w:szCs w:val="21"/>
          <w:highlight w:val="none"/>
        </w:rPr>
      </w:pPr>
      <w:r>
        <w:rPr>
          <w:szCs w:val="21"/>
          <w:highlight w:val="none"/>
        </w:rPr>
        <w:t>（16）法律法规或供应商须知前附表规定的其他情形。</w:t>
      </w:r>
    </w:p>
    <w:p w14:paraId="6362235A">
      <w:pPr>
        <w:adjustRightInd w:val="0"/>
        <w:snapToGrid w:val="0"/>
        <w:spacing w:line="360" w:lineRule="auto"/>
        <w:ind w:firstLine="525" w:firstLineChars="250"/>
        <w:rPr>
          <w:szCs w:val="21"/>
          <w:highlight w:val="none"/>
        </w:rPr>
      </w:pPr>
      <w:r>
        <w:rPr>
          <w:szCs w:val="21"/>
          <w:highlight w:val="none"/>
        </w:rPr>
        <w:t>否则，引起的任何后果由我公司承担。</w:t>
      </w:r>
    </w:p>
    <w:p w14:paraId="436A0731">
      <w:pPr>
        <w:rPr>
          <w:highlight w:val="none"/>
        </w:rPr>
      </w:pPr>
    </w:p>
    <w:p w14:paraId="3B0E3051">
      <w:pPr>
        <w:pStyle w:val="9"/>
        <w:rPr>
          <w:highlight w:val="none"/>
        </w:rPr>
      </w:pPr>
    </w:p>
    <w:p w14:paraId="7AFCE6A4">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04D9E7D1">
      <w:pPr>
        <w:adjustRightInd w:val="0"/>
        <w:snapToGrid w:val="0"/>
        <w:spacing w:line="360" w:lineRule="auto"/>
        <w:ind w:firstLine="3360" w:firstLineChars="1600"/>
        <w:rPr>
          <w:rFonts w:ascii="宋体" w:hAnsi="宋体" w:cs="宋体"/>
          <w:color w:val="000000"/>
          <w:kern w:val="0"/>
          <w:szCs w:val="21"/>
          <w:highlight w:val="none"/>
        </w:rPr>
      </w:pPr>
    </w:p>
    <w:p w14:paraId="48C4D199">
      <w:pPr>
        <w:adjustRightInd w:val="0"/>
        <w:snapToGrid w:val="0"/>
        <w:spacing w:line="360" w:lineRule="auto"/>
        <w:ind w:firstLine="3360" w:firstLineChars="1600"/>
        <w:rPr>
          <w:sz w:val="24"/>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39ED826C">
      <w:pPr>
        <w:pStyle w:val="45"/>
        <w:rPr>
          <w:sz w:val="24"/>
          <w:highlight w:val="none"/>
        </w:rPr>
      </w:pPr>
    </w:p>
    <w:p w14:paraId="119FEC1B">
      <w:pPr>
        <w:rPr>
          <w:sz w:val="24"/>
          <w:highlight w:val="none"/>
        </w:rPr>
      </w:pPr>
      <w:r>
        <w:rPr>
          <w:sz w:val="24"/>
          <w:highlight w:val="none"/>
        </w:rPr>
        <w:br w:type="page"/>
      </w:r>
    </w:p>
    <w:p w14:paraId="4407917C">
      <w:pPr>
        <w:pStyle w:val="3"/>
        <w:jc w:val="left"/>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lang w:val="en-US" w:eastAsia="zh-CN"/>
        </w:rPr>
        <w:t xml:space="preserve">附件四  </w:t>
      </w:r>
      <w:r>
        <w:rPr>
          <w:rFonts w:hint="eastAsia" w:ascii="宋体" w:hAnsi="宋体" w:eastAsia="宋体" w:cs="Times New Roman"/>
          <w:b/>
          <w:sz w:val="21"/>
          <w:szCs w:val="21"/>
          <w:highlight w:val="none"/>
        </w:rPr>
        <w:t>声明函</w:t>
      </w:r>
    </w:p>
    <w:p w14:paraId="18D18063">
      <w:pPr>
        <w:spacing w:line="460" w:lineRule="exact"/>
        <w:jc w:val="center"/>
        <w:rPr>
          <w:rFonts w:ascii="宋体" w:hAnsi="宋体" w:cs="仿宋"/>
          <w:b/>
          <w:sz w:val="28"/>
          <w:szCs w:val="28"/>
          <w:highlight w:val="none"/>
        </w:rPr>
      </w:pPr>
      <w:r>
        <w:rPr>
          <w:rFonts w:hint="eastAsia" w:ascii="宋体" w:hAnsi="宋体" w:cs="仿宋"/>
          <w:b/>
          <w:sz w:val="28"/>
          <w:szCs w:val="28"/>
          <w:highlight w:val="none"/>
        </w:rPr>
        <w:t>声明函</w:t>
      </w:r>
    </w:p>
    <w:p w14:paraId="1BD773A5">
      <w:pPr>
        <w:jc w:val="center"/>
        <w:rPr>
          <w:rFonts w:ascii="宋体" w:hAnsi="宋体" w:cs="仿宋"/>
          <w:sz w:val="28"/>
          <w:szCs w:val="28"/>
          <w:highlight w:val="none"/>
        </w:rPr>
      </w:pPr>
    </w:p>
    <w:p w14:paraId="1D938FC8">
      <w:pPr>
        <w:tabs>
          <w:tab w:val="left" w:pos="5580"/>
        </w:tabs>
        <w:spacing w:before="120" w:line="360" w:lineRule="auto"/>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 xml:space="preserve">  （采购代理机构）  </w:t>
      </w:r>
    </w:p>
    <w:p w14:paraId="0C4AD4E9">
      <w:pPr>
        <w:tabs>
          <w:tab w:val="left" w:pos="5580"/>
        </w:tabs>
        <w:spacing w:before="120" w:line="360" w:lineRule="auto"/>
        <w:ind w:firstLine="420" w:firstLineChars="200"/>
        <w:rPr>
          <w:rFonts w:ascii="宋体" w:hAnsi="宋体" w:cs="仿宋"/>
          <w:szCs w:val="21"/>
          <w:highlight w:val="none"/>
        </w:rPr>
      </w:pPr>
    </w:p>
    <w:p w14:paraId="4EAD3289">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我公司郑重承诺在参加本项目政府采购活动前三年内，在经营活动中无重大违法记录。公司未受到行政处罚或责令停业、吊销许可证（或执照）；未处于财产被接管、冻结、破产状况。</w:t>
      </w:r>
    </w:p>
    <w:p w14:paraId="32853F1B">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我公司承诺具备履行合同所必需的设备和专业技术能力。</w:t>
      </w:r>
    </w:p>
    <w:p w14:paraId="3079C483">
      <w:pPr>
        <w:tabs>
          <w:tab w:val="left" w:pos="5580"/>
        </w:tabs>
        <w:spacing w:before="120" w:line="360" w:lineRule="auto"/>
        <w:ind w:firstLine="420" w:firstLineChars="200"/>
        <w:rPr>
          <w:rFonts w:ascii="宋体" w:hAnsi="宋体" w:cs="仿宋"/>
          <w:szCs w:val="21"/>
          <w:highlight w:val="none"/>
        </w:rPr>
      </w:pPr>
      <w:r>
        <w:rPr>
          <w:rFonts w:hint="eastAsia" w:ascii="宋体" w:hAnsi="宋体" w:cs="仿宋"/>
          <w:szCs w:val="21"/>
          <w:highlight w:val="none"/>
        </w:rPr>
        <w:t>特此声明。</w:t>
      </w:r>
    </w:p>
    <w:p w14:paraId="49185C17">
      <w:pPr>
        <w:tabs>
          <w:tab w:val="left" w:pos="5580"/>
        </w:tabs>
        <w:spacing w:before="120" w:line="360" w:lineRule="auto"/>
        <w:ind w:firstLine="420" w:firstLineChars="200"/>
        <w:rPr>
          <w:rFonts w:ascii="宋体" w:hAnsi="宋体" w:cs="仿宋"/>
          <w:szCs w:val="21"/>
          <w:highlight w:val="none"/>
        </w:rPr>
      </w:pPr>
    </w:p>
    <w:p w14:paraId="731348EA">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1726650C">
      <w:pPr>
        <w:adjustRightInd w:val="0"/>
        <w:snapToGrid w:val="0"/>
        <w:spacing w:line="360" w:lineRule="auto"/>
        <w:ind w:firstLine="3360" w:firstLineChars="1600"/>
        <w:rPr>
          <w:rFonts w:ascii="宋体" w:hAnsi="宋体" w:cs="宋体"/>
          <w:color w:val="000000"/>
          <w:kern w:val="0"/>
          <w:szCs w:val="21"/>
          <w:highlight w:val="none"/>
        </w:rPr>
      </w:pPr>
    </w:p>
    <w:p w14:paraId="0FBBDBB3">
      <w:pPr>
        <w:spacing w:before="120" w:after="120" w:line="360" w:lineRule="auto"/>
        <w:ind w:firstLine="3360" w:firstLineChars="1600"/>
        <w:rPr>
          <w:rFonts w:ascii="宋体" w:hAnsi="宋体" w:cs="仿宋"/>
          <w:szCs w:val="21"/>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5EAE9005">
      <w:pPr>
        <w:rPr>
          <w:rFonts w:ascii="宋体" w:hAnsi="宋体" w:cs="仿宋"/>
          <w:spacing w:val="-2"/>
          <w:sz w:val="28"/>
          <w:szCs w:val="28"/>
          <w:highlight w:val="none"/>
          <w14:textOutline w14:w="5105" w14:cap="sq" w14:cmpd="sng" w14:algn="ctr">
            <w14:solidFill>
              <w14:srgbClr w14:val="000000"/>
            </w14:solidFill>
            <w14:prstDash w14:val="solid"/>
            <w14:bevel/>
          </w14:textOutline>
        </w:rPr>
      </w:pPr>
      <w:r>
        <w:rPr>
          <w:rFonts w:hint="eastAsia" w:ascii="宋体" w:hAnsi="宋体" w:cs="仿宋"/>
          <w:spacing w:val="-2"/>
          <w:sz w:val="28"/>
          <w:szCs w:val="28"/>
          <w:highlight w:val="none"/>
          <w14:textOutline w14:w="5105" w14:cap="sq" w14:cmpd="sng" w14:algn="ctr">
            <w14:solidFill>
              <w14:srgbClr w14:val="000000"/>
            </w14:solidFill>
            <w14:prstDash w14:val="solid"/>
            <w14:bevel/>
          </w14:textOutline>
        </w:rPr>
        <w:br w:type="page"/>
      </w:r>
    </w:p>
    <w:p w14:paraId="79ADFFEE">
      <w:pPr>
        <w:ind w:firstLine="643"/>
        <w:jc w:val="left"/>
        <w:rPr>
          <w:rFonts w:ascii="宋体" w:hAnsi="宋体" w:cs="仿宋"/>
          <w:b/>
          <w:szCs w:val="21"/>
          <w:highlight w:val="none"/>
        </w:rPr>
      </w:pPr>
      <w:r>
        <w:rPr>
          <w:rFonts w:hint="eastAsia" w:ascii="宋体" w:hAnsi="宋体" w:cs="仿宋"/>
          <w:b/>
          <w:szCs w:val="21"/>
          <w:highlight w:val="none"/>
        </w:rPr>
        <w:t>附件五</w:t>
      </w:r>
    </w:p>
    <w:p w14:paraId="60D3A767">
      <w:pPr>
        <w:ind w:firstLine="643"/>
        <w:jc w:val="center"/>
        <w:rPr>
          <w:rFonts w:ascii="宋体" w:hAnsi="宋体" w:cs="仿宋"/>
          <w:b/>
          <w:szCs w:val="21"/>
          <w:highlight w:val="none"/>
        </w:rPr>
      </w:pPr>
      <w:r>
        <w:rPr>
          <w:rFonts w:hint="eastAsia" w:ascii="宋体" w:hAnsi="宋体" w:cs="仿宋"/>
          <w:b/>
          <w:szCs w:val="21"/>
          <w:highlight w:val="none"/>
        </w:rPr>
        <w:t>非联合体投标声明</w:t>
      </w:r>
    </w:p>
    <w:p w14:paraId="198D7C59">
      <w:pPr>
        <w:ind w:firstLine="480"/>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（采购代理机构）</w:t>
      </w:r>
    </w:p>
    <w:p w14:paraId="7A1B2D27">
      <w:pPr>
        <w:ind w:firstLine="480"/>
        <w:rPr>
          <w:rFonts w:ascii="宋体" w:hAnsi="宋体" w:cs="仿宋"/>
          <w:szCs w:val="21"/>
          <w:highlight w:val="none"/>
        </w:rPr>
      </w:pPr>
      <w:r>
        <w:rPr>
          <w:rFonts w:hint="eastAsia" w:ascii="宋体" w:hAnsi="宋体" w:cs="仿宋"/>
          <w:szCs w:val="21"/>
          <w:highlight w:val="none"/>
        </w:rPr>
        <w:t>我公司收到贵单位</w:t>
      </w:r>
      <w:r>
        <w:rPr>
          <w:rFonts w:hint="eastAsia" w:ascii="宋体" w:hAnsi="宋体" w:cs="仿宋"/>
          <w:szCs w:val="21"/>
          <w:highlight w:val="none"/>
          <w:u w:val="single"/>
        </w:rPr>
        <w:t xml:space="preserve">             </w:t>
      </w:r>
      <w:r>
        <w:rPr>
          <w:rFonts w:hint="eastAsia" w:ascii="宋体" w:hAnsi="宋体" w:cs="仿宋"/>
          <w:szCs w:val="21"/>
          <w:highlight w:val="none"/>
        </w:rPr>
        <w:t>项目竞争性磋商文件，经详细研究，我们决定参加该项目的采购活动。为此，我方郑重声明以下内容，并负法律责任。</w:t>
      </w:r>
    </w:p>
    <w:p w14:paraId="714ED710">
      <w:pPr>
        <w:ind w:firstLine="480"/>
        <w:rPr>
          <w:rFonts w:ascii="宋体" w:hAnsi="宋体" w:cs="仿宋"/>
          <w:szCs w:val="21"/>
          <w:highlight w:val="none"/>
        </w:rPr>
      </w:pPr>
      <w:bookmarkStart w:id="82" w:name="_Hlk148184234"/>
      <w:r>
        <w:rPr>
          <w:rFonts w:hint="eastAsia" w:ascii="宋体" w:hAnsi="宋体" w:cs="仿宋"/>
          <w:szCs w:val="21"/>
          <w:highlight w:val="none"/>
        </w:rPr>
        <w:t>1.本项目我公司以自己的名义参加投标，不存在联合体投标的情况。</w:t>
      </w:r>
    </w:p>
    <w:bookmarkEnd w:id="82"/>
    <w:p w14:paraId="19098D1F">
      <w:pPr>
        <w:ind w:firstLine="480"/>
        <w:rPr>
          <w:rFonts w:ascii="宋体" w:hAnsi="宋体" w:cs="仿宋"/>
          <w:szCs w:val="21"/>
          <w:highlight w:val="none"/>
        </w:rPr>
      </w:pPr>
      <w:r>
        <w:rPr>
          <w:rFonts w:hint="eastAsia" w:ascii="宋体" w:hAnsi="宋体" w:cs="仿宋"/>
          <w:szCs w:val="21"/>
          <w:highlight w:val="none"/>
        </w:rPr>
        <w:t>2.我公司愿按《中华人民共和国民法典》履行自己的全部责任。</w:t>
      </w:r>
    </w:p>
    <w:p w14:paraId="300B7DC7">
      <w:pPr>
        <w:ind w:firstLine="480"/>
        <w:rPr>
          <w:rFonts w:ascii="宋体" w:hAnsi="宋体" w:cs="仿宋"/>
          <w:szCs w:val="21"/>
          <w:highlight w:val="none"/>
        </w:rPr>
      </w:pPr>
      <w:r>
        <w:rPr>
          <w:rFonts w:hint="eastAsia" w:ascii="宋体" w:hAnsi="宋体" w:cs="仿宋"/>
          <w:szCs w:val="21"/>
          <w:highlight w:val="none"/>
        </w:rPr>
        <w:t>特此声明。</w:t>
      </w:r>
    </w:p>
    <w:p w14:paraId="766B8E85">
      <w:pPr>
        <w:ind w:firstLine="480"/>
        <w:rPr>
          <w:szCs w:val="21"/>
          <w:highlight w:val="none"/>
        </w:rPr>
      </w:pPr>
    </w:p>
    <w:p w14:paraId="105C6DAE">
      <w:pPr>
        <w:widowControl/>
        <w:snapToGrid w:val="0"/>
        <w:spacing w:before="100" w:beforeAutospacing="1" w:after="100" w:afterAutospacing="1" w:line="500" w:lineRule="exact"/>
        <w:ind w:firstLine="2940" w:firstLineChars="14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29AFAD4F">
      <w:pPr>
        <w:adjustRightInd w:val="0"/>
        <w:snapToGrid w:val="0"/>
        <w:spacing w:line="360" w:lineRule="auto"/>
        <w:ind w:firstLine="3360" w:firstLineChars="1600"/>
        <w:rPr>
          <w:rFonts w:ascii="宋体" w:hAnsi="宋体" w:cs="宋体"/>
          <w:color w:val="000000"/>
          <w:kern w:val="0"/>
          <w:szCs w:val="21"/>
          <w:highlight w:val="none"/>
        </w:rPr>
      </w:pPr>
    </w:p>
    <w:p w14:paraId="5110417F">
      <w:pPr>
        <w:spacing w:before="120" w:after="120" w:line="360" w:lineRule="auto"/>
        <w:ind w:firstLine="3360" w:firstLineChars="1600"/>
        <w:rPr>
          <w:rFonts w:ascii="宋体" w:hAnsi="宋体" w:cs="仿宋"/>
          <w:szCs w:val="21"/>
          <w:highlight w:val="non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7BC9E744">
      <w:pPr>
        <w:widowControl/>
        <w:jc w:val="left"/>
        <w:rPr>
          <w:rFonts w:ascii="宋体" w:hAnsi="宋体" w:cs="仿宋"/>
          <w:szCs w:val="21"/>
          <w:highlight w:val="none"/>
        </w:rPr>
      </w:pPr>
    </w:p>
    <w:p w14:paraId="66D006C0">
      <w:pPr>
        <w:widowControl/>
        <w:jc w:val="left"/>
        <w:rPr>
          <w:rFonts w:ascii="宋体" w:hAnsi="宋体" w:cs="仿宋"/>
          <w:b/>
          <w:bCs/>
          <w:color w:val="000000"/>
          <w:szCs w:val="21"/>
          <w:highlight w:val="none"/>
        </w:rPr>
      </w:pPr>
      <w:r>
        <w:rPr>
          <w:rFonts w:ascii="宋体" w:hAnsi="宋体" w:cs="仿宋"/>
          <w:b/>
          <w:bCs/>
          <w:color w:val="000000"/>
          <w:szCs w:val="21"/>
          <w:highlight w:val="none"/>
        </w:rPr>
        <w:br w:type="page"/>
      </w:r>
    </w:p>
    <w:p w14:paraId="3BE70798">
      <w:pPr>
        <w:ind w:firstLine="643"/>
        <w:jc w:val="left"/>
        <w:rPr>
          <w:rFonts w:ascii="宋体" w:hAnsi="宋体" w:cs="仿宋"/>
          <w:b/>
          <w:szCs w:val="21"/>
          <w:highlight w:val="none"/>
        </w:rPr>
      </w:pPr>
      <w:r>
        <w:rPr>
          <w:rFonts w:hint="eastAsia" w:ascii="宋体" w:hAnsi="宋体" w:cs="仿宋"/>
          <w:b/>
          <w:szCs w:val="21"/>
          <w:highlight w:val="none"/>
        </w:rPr>
        <w:t>附件六</w:t>
      </w:r>
    </w:p>
    <w:p w14:paraId="3F7E5E63">
      <w:pPr>
        <w:ind w:firstLine="643"/>
        <w:jc w:val="center"/>
        <w:rPr>
          <w:rFonts w:ascii="宋体" w:hAnsi="宋体" w:cs="仿宋"/>
          <w:b/>
          <w:szCs w:val="21"/>
          <w:highlight w:val="none"/>
        </w:rPr>
      </w:pPr>
      <w:r>
        <w:rPr>
          <w:rFonts w:hint="eastAsia" w:ascii="宋体" w:hAnsi="宋体" w:cs="仿宋"/>
          <w:b/>
          <w:szCs w:val="21"/>
          <w:highlight w:val="none"/>
        </w:rPr>
        <w:t>非进口产品承诺</w:t>
      </w:r>
    </w:p>
    <w:p w14:paraId="2FD5AC60">
      <w:pPr>
        <w:ind w:firstLine="480"/>
        <w:rPr>
          <w:rFonts w:ascii="宋体" w:hAnsi="宋体" w:cs="仿宋"/>
          <w:szCs w:val="21"/>
          <w:highlight w:val="none"/>
        </w:rPr>
      </w:pPr>
      <w:r>
        <w:rPr>
          <w:rFonts w:hint="eastAsia" w:ascii="宋体" w:hAnsi="宋体" w:cs="仿宋"/>
          <w:szCs w:val="21"/>
          <w:highlight w:val="none"/>
        </w:rPr>
        <w:t>致：</w:t>
      </w:r>
      <w:r>
        <w:rPr>
          <w:rFonts w:hint="eastAsia" w:ascii="宋体" w:hAnsi="宋体" w:cs="仿宋"/>
          <w:szCs w:val="21"/>
          <w:highlight w:val="none"/>
          <w:u w:val="single"/>
        </w:rPr>
        <w:t>（采购代理机构）</w:t>
      </w:r>
    </w:p>
    <w:p w14:paraId="0C4CCED7">
      <w:pPr>
        <w:ind w:firstLine="480"/>
        <w:rPr>
          <w:rFonts w:ascii="宋体" w:hAnsi="宋体" w:cs="仿宋"/>
          <w:szCs w:val="21"/>
          <w:highlight w:val="none"/>
        </w:rPr>
      </w:pPr>
      <w:r>
        <w:rPr>
          <w:rFonts w:hint="eastAsia" w:ascii="宋体" w:hAnsi="宋体" w:cs="仿宋"/>
          <w:szCs w:val="21"/>
          <w:highlight w:val="none"/>
        </w:rPr>
        <w:t>我公司收到贵单位</w:t>
      </w:r>
      <w:r>
        <w:rPr>
          <w:rFonts w:hint="eastAsia" w:ascii="宋体" w:hAnsi="宋体" w:cs="仿宋"/>
          <w:szCs w:val="21"/>
          <w:highlight w:val="none"/>
          <w:u w:val="single"/>
        </w:rPr>
        <w:t xml:space="preserve">             </w:t>
      </w:r>
      <w:r>
        <w:rPr>
          <w:rFonts w:hint="eastAsia" w:ascii="宋体" w:hAnsi="宋体" w:cs="仿宋"/>
          <w:szCs w:val="21"/>
          <w:highlight w:val="none"/>
        </w:rPr>
        <w:t>项目竞争性磋商文件，经详细研究，我们决定参加该项目的采购活动。为此，我方郑重声明以下内容，并负法律责任。</w:t>
      </w:r>
    </w:p>
    <w:p w14:paraId="71F35450">
      <w:pPr>
        <w:ind w:firstLine="480"/>
        <w:rPr>
          <w:rFonts w:ascii="宋体" w:hAnsi="宋体" w:cs="仿宋"/>
          <w:szCs w:val="21"/>
          <w:highlight w:val="none"/>
        </w:rPr>
      </w:pPr>
      <w:r>
        <w:rPr>
          <w:rFonts w:hint="eastAsia" w:ascii="宋体" w:hAnsi="宋体" w:cs="仿宋"/>
          <w:szCs w:val="21"/>
          <w:highlight w:val="none"/>
        </w:rPr>
        <w:t>1.本项目我公司所投产品为非进口产品。</w:t>
      </w:r>
    </w:p>
    <w:p w14:paraId="28081312">
      <w:pPr>
        <w:ind w:firstLine="480"/>
        <w:rPr>
          <w:rFonts w:ascii="宋体" w:hAnsi="宋体" w:cs="仿宋"/>
          <w:szCs w:val="21"/>
          <w:highlight w:val="none"/>
        </w:rPr>
      </w:pPr>
      <w:r>
        <w:rPr>
          <w:rFonts w:hint="eastAsia" w:ascii="宋体" w:hAnsi="宋体" w:cs="仿宋"/>
          <w:szCs w:val="21"/>
          <w:highlight w:val="none"/>
        </w:rPr>
        <w:t>2.</w:t>
      </w:r>
      <w:r>
        <w:rPr>
          <w:rFonts w:hint="eastAsia"/>
          <w:szCs w:val="21"/>
          <w:highlight w:val="none"/>
        </w:rPr>
        <w:t xml:space="preserve"> </w:t>
      </w:r>
      <w:r>
        <w:rPr>
          <w:rFonts w:hint="eastAsia" w:ascii="宋体" w:hAnsi="宋体" w:cs="仿宋"/>
          <w:szCs w:val="21"/>
          <w:highlight w:val="none"/>
        </w:rPr>
        <w:t>我司对以上信息的真实性、准确性及合法性承担全部法律责任。</w:t>
      </w:r>
    </w:p>
    <w:p w14:paraId="08E47B57">
      <w:pPr>
        <w:ind w:firstLine="480"/>
        <w:rPr>
          <w:rFonts w:ascii="宋体" w:hAnsi="宋体" w:cs="仿宋"/>
          <w:szCs w:val="21"/>
          <w:highlight w:val="none"/>
        </w:rPr>
      </w:pPr>
    </w:p>
    <w:p w14:paraId="083BE27D">
      <w:pPr>
        <w:ind w:firstLine="480"/>
        <w:rPr>
          <w:rFonts w:ascii="宋体" w:hAnsi="宋体" w:cs="仿宋"/>
          <w:szCs w:val="21"/>
          <w:highlight w:val="none"/>
        </w:rPr>
      </w:pPr>
      <w:r>
        <w:rPr>
          <w:rFonts w:hint="eastAsia" w:ascii="宋体" w:hAnsi="宋体" w:cs="仿宋"/>
          <w:szCs w:val="21"/>
          <w:highlight w:val="none"/>
        </w:rPr>
        <w:t>特此承诺</w:t>
      </w:r>
    </w:p>
    <w:p w14:paraId="37E34B0F">
      <w:pPr>
        <w:ind w:firstLine="480"/>
        <w:rPr>
          <w:szCs w:val="21"/>
          <w:highlight w:val="none"/>
        </w:rPr>
      </w:pPr>
    </w:p>
    <w:p w14:paraId="2CE91901">
      <w:pPr>
        <w:widowControl/>
        <w:snapToGrid w:val="0"/>
        <w:spacing w:before="100" w:beforeAutospacing="1" w:after="100" w:afterAutospacing="1" w:line="500" w:lineRule="exact"/>
        <w:ind w:firstLine="3570" w:firstLineChars="1700"/>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06224C92">
      <w:pPr>
        <w:adjustRightInd w:val="0"/>
        <w:snapToGrid w:val="0"/>
        <w:spacing w:line="360" w:lineRule="auto"/>
        <w:ind w:firstLine="3360" w:firstLineChars="1600"/>
        <w:rPr>
          <w:rFonts w:ascii="宋体" w:hAnsi="宋体" w:cs="宋体"/>
          <w:color w:val="000000"/>
          <w:kern w:val="0"/>
          <w:szCs w:val="21"/>
          <w:highlight w:val="none"/>
        </w:rPr>
      </w:pPr>
    </w:p>
    <w:p w14:paraId="07CAA777">
      <w:pPr>
        <w:autoSpaceDE w:val="0"/>
        <w:autoSpaceDN w:val="0"/>
        <w:adjustRightInd w:val="0"/>
        <w:spacing w:line="360" w:lineRule="auto"/>
        <w:jc w:val="center"/>
        <w:rPr>
          <w:rFonts w:ascii="宋体" w:hAnsi="宋体" w:cs="宋体"/>
          <w:color w:val="000000"/>
          <w:kern w:val="0"/>
          <w:szCs w:val="21"/>
          <w:highlight w:val="none"/>
          <w:u w:val="single"/>
        </w:rPr>
      </w:pPr>
      <w:r>
        <w:rPr>
          <w:rFonts w:ascii="宋体" w:hAnsi="宋体" w:cs="宋体"/>
          <w:color w:val="000000"/>
          <w:kern w:val="0"/>
          <w:szCs w:val="21"/>
          <w:highlight w:val="none"/>
        </w:rPr>
        <w:t>日</w:t>
      </w:r>
      <w:r>
        <w:rPr>
          <w:rFonts w:hint="eastAsia" w:ascii="宋体" w:hAnsi="宋体" w:cs="宋体"/>
          <w:color w:val="000000"/>
          <w:kern w:val="0"/>
          <w:szCs w:val="21"/>
          <w:highlight w:val="none"/>
        </w:rPr>
        <w:t xml:space="preserve">  </w:t>
      </w:r>
      <w:r>
        <w:rPr>
          <w:rFonts w:ascii="宋体" w:hAnsi="宋体" w:cs="宋体"/>
          <w:color w:val="000000"/>
          <w:kern w:val="0"/>
          <w:szCs w:val="21"/>
          <w:highlight w:val="none"/>
        </w:rPr>
        <w:t>期：</w:t>
      </w:r>
      <w:r>
        <w:rPr>
          <w:rFonts w:hint="eastAsia" w:ascii="宋体" w:hAnsi="宋体" w:cs="宋体"/>
          <w:color w:val="000000"/>
          <w:kern w:val="0"/>
          <w:szCs w:val="21"/>
          <w:highlight w:val="none"/>
          <w:u w:val="single"/>
        </w:rPr>
        <w:t xml:space="preserve">             </w:t>
      </w:r>
    </w:p>
    <w:p w14:paraId="2E1AB2B9">
      <w:pPr>
        <w:autoSpaceDE w:val="0"/>
        <w:autoSpaceDN w:val="0"/>
        <w:adjustRightInd w:val="0"/>
        <w:spacing w:line="360" w:lineRule="auto"/>
        <w:jc w:val="center"/>
        <w:rPr>
          <w:rFonts w:ascii="宋体" w:hAnsi="宋体"/>
          <w:b/>
          <w:color w:val="000000"/>
          <w:kern w:val="0"/>
          <w:szCs w:val="21"/>
          <w:highlight w:val="none"/>
        </w:rPr>
      </w:pPr>
      <w:r>
        <w:rPr>
          <w:szCs w:val="21"/>
          <w:highlight w:val="none"/>
        </w:rPr>
        <w:br w:type="page"/>
      </w:r>
    </w:p>
    <w:p w14:paraId="02B68B79">
      <w:pPr>
        <w:spacing w:before="116" w:line="185" w:lineRule="auto"/>
        <w:ind w:firstLine="1686"/>
        <w:rPr>
          <w:rFonts w:ascii="宋体" w:hAnsi="宋体" w:cs="宋体"/>
          <w:szCs w:val="21"/>
          <w:highlight w:val="none"/>
        </w:rPr>
      </w:pPr>
      <w:r>
        <w:rPr>
          <w:rFonts w:hint="eastAsia" w:ascii="宋体" w:hAnsi="宋体" w:cs="宋体"/>
          <w:b/>
          <w:bCs/>
          <w:color w:val="000000"/>
          <w:sz w:val="44"/>
          <w:szCs w:val="44"/>
          <w:highlight w:val="none"/>
          <w:lang w:val="zh-CN"/>
        </w:rPr>
        <w:t>中小企业声明函（</w:t>
      </w:r>
      <w:r>
        <w:rPr>
          <w:rFonts w:hint="eastAsia" w:ascii="宋体" w:hAnsi="宋体" w:cs="宋体"/>
          <w:b/>
          <w:bCs/>
          <w:color w:val="000000"/>
          <w:sz w:val="44"/>
          <w:szCs w:val="44"/>
          <w:highlight w:val="none"/>
        </w:rPr>
        <w:t>货物</w:t>
      </w:r>
      <w:r>
        <w:rPr>
          <w:rFonts w:hint="eastAsia" w:ascii="宋体" w:hAnsi="宋体" w:cs="宋体"/>
          <w:b/>
          <w:bCs/>
          <w:color w:val="000000"/>
          <w:sz w:val="44"/>
          <w:szCs w:val="44"/>
          <w:highlight w:val="none"/>
          <w:lang w:val="zh-CN"/>
        </w:rPr>
        <w:t>）</w:t>
      </w:r>
    </w:p>
    <w:p w14:paraId="44355C57">
      <w:pPr>
        <w:spacing w:before="104" w:line="298" w:lineRule="auto"/>
        <w:ind w:left="34" w:right="230" w:firstLine="642"/>
        <w:rPr>
          <w:rFonts w:ascii="宋体" w:hAnsi="宋体" w:cs="宋体"/>
          <w:szCs w:val="21"/>
          <w:highlight w:val="none"/>
        </w:rPr>
      </w:pPr>
      <w:r>
        <w:rPr>
          <w:rFonts w:hint="eastAsia" w:ascii="宋体" w:hAnsi="宋体" w:cs="宋体"/>
          <w:spacing w:val="-8"/>
          <w:szCs w:val="21"/>
          <w:highlight w:val="none"/>
        </w:rPr>
        <w:t>本公司（联合体）郑重声明，根据《政府采购促进中小企业发展管理办法</w:t>
      </w:r>
      <w:r>
        <w:rPr>
          <w:rFonts w:hint="eastAsia" w:ascii="宋体" w:hAnsi="宋体" w:cs="宋体"/>
          <w:spacing w:val="-31"/>
          <w:szCs w:val="21"/>
          <w:highlight w:val="none"/>
        </w:rPr>
        <w:t>》（</w:t>
      </w:r>
      <w:r>
        <w:rPr>
          <w:rFonts w:hint="eastAsia" w:ascii="宋体" w:hAnsi="宋体" w:cs="宋体"/>
          <w:spacing w:val="-8"/>
          <w:szCs w:val="21"/>
          <w:highlight w:val="none"/>
        </w:rPr>
        <w:t>财库﹝2020﹞46号）的规定，本公司</w:t>
      </w:r>
      <w:r>
        <w:rPr>
          <w:rFonts w:hint="eastAsia" w:ascii="宋体" w:hAnsi="宋体" w:cs="宋体"/>
          <w:spacing w:val="-22"/>
          <w:szCs w:val="21"/>
          <w:highlight w:val="none"/>
        </w:rPr>
        <w:t>（联合体）参加</w:t>
      </w:r>
      <w:r>
        <w:rPr>
          <w:rFonts w:hint="eastAsia" w:ascii="宋体" w:hAnsi="宋体" w:cs="宋体"/>
          <w:spacing w:val="-22"/>
          <w:szCs w:val="21"/>
          <w:highlight w:val="none"/>
          <w:u w:val="single"/>
        </w:rPr>
        <w:t>（单位名称）</w:t>
      </w:r>
      <w:r>
        <w:rPr>
          <w:rFonts w:hint="eastAsia" w:ascii="宋体" w:hAnsi="宋体" w:cs="宋体"/>
          <w:spacing w:val="-34"/>
          <w:szCs w:val="21"/>
          <w:highlight w:val="none"/>
          <w:u w:val="single"/>
        </w:rPr>
        <w:t xml:space="preserve"> </w:t>
      </w:r>
      <w:r>
        <w:rPr>
          <w:rFonts w:hint="eastAsia" w:ascii="宋体" w:hAnsi="宋体" w:cs="宋体"/>
          <w:spacing w:val="-22"/>
          <w:szCs w:val="21"/>
          <w:highlight w:val="none"/>
        </w:rPr>
        <w:t>的</w:t>
      </w:r>
      <w:r>
        <w:rPr>
          <w:rFonts w:hint="eastAsia" w:ascii="宋体" w:hAnsi="宋体" w:cs="宋体"/>
          <w:spacing w:val="-22"/>
          <w:szCs w:val="21"/>
          <w:highlight w:val="none"/>
          <w:u w:val="single"/>
        </w:rPr>
        <w:t>（</w:t>
      </w:r>
      <w:r>
        <w:rPr>
          <w:rFonts w:hint="eastAsia" w:ascii="宋体" w:hAnsi="宋体" w:cs="宋体"/>
          <w:spacing w:val="-8"/>
          <w:szCs w:val="21"/>
          <w:highlight w:val="none"/>
          <w:u w:val="single"/>
        </w:rPr>
        <w:t>项目名称</w:t>
      </w:r>
      <w:r>
        <w:rPr>
          <w:rFonts w:hint="eastAsia" w:ascii="宋体" w:hAnsi="宋体" w:cs="宋体"/>
          <w:spacing w:val="-22"/>
          <w:szCs w:val="21"/>
          <w:highlight w:val="none"/>
          <w:u w:val="single"/>
        </w:rPr>
        <w:t>）</w:t>
      </w:r>
      <w:r>
        <w:rPr>
          <w:rFonts w:hint="eastAsia" w:ascii="宋体" w:hAnsi="宋体" w:cs="宋体"/>
          <w:spacing w:val="-48"/>
          <w:szCs w:val="21"/>
          <w:highlight w:val="none"/>
          <w:u w:val="single"/>
        </w:rPr>
        <w:t xml:space="preserve"> </w:t>
      </w:r>
      <w:r>
        <w:rPr>
          <w:rFonts w:hint="eastAsia" w:ascii="宋体" w:hAnsi="宋体" w:cs="宋体"/>
          <w:spacing w:val="-8"/>
          <w:szCs w:val="21"/>
          <w:highlight w:val="none"/>
        </w:rPr>
        <w:t>采购活动，提供的货物全部由符合政策要求</w:t>
      </w:r>
      <w:r>
        <w:rPr>
          <w:rFonts w:hint="eastAsia" w:ascii="宋体" w:hAnsi="宋体" w:cs="宋体"/>
          <w:spacing w:val="11"/>
          <w:szCs w:val="21"/>
          <w:highlight w:val="none"/>
        </w:rPr>
        <w:t>的中小企业制造。相关企业</w:t>
      </w:r>
      <w:r>
        <w:rPr>
          <w:rFonts w:hint="eastAsia" w:ascii="宋体" w:hAnsi="宋体" w:cs="宋体"/>
          <w:spacing w:val="-2"/>
          <w:szCs w:val="21"/>
          <w:highlight w:val="none"/>
        </w:rPr>
        <w:t>（含联合体中的中小企业、签订分包意向协议的中小企业）</w:t>
      </w:r>
      <w:r>
        <w:rPr>
          <w:rFonts w:hint="eastAsia" w:ascii="宋体" w:hAnsi="宋体" w:cs="宋体"/>
          <w:spacing w:val="-3"/>
          <w:szCs w:val="21"/>
          <w:highlight w:val="none"/>
        </w:rPr>
        <w:t>的具体情况如下：</w:t>
      </w:r>
    </w:p>
    <w:p w14:paraId="12D69428">
      <w:pPr>
        <w:spacing w:before="1" w:line="201" w:lineRule="auto"/>
        <w:ind w:firstLine="689"/>
        <w:rPr>
          <w:rFonts w:ascii="宋体" w:hAnsi="宋体" w:cs="宋体"/>
          <w:szCs w:val="21"/>
          <w:highlight w:val="none"/>
        </w:rPr>
      </w:pPr>
      <w:r>
        <w:rPr>
          <w:rFonts w:hint="eastAsia" w:ascii="宋体" w:hAnsi="宋体" w:cs="宋体"/>
          <w:spacing w:val="-7"/>
          <w:szCs w:val="21"/>
          <w:highlight w:val="none"/>
        </w:rPr>
        <w:t>1.</w:t>
      </w:r>
      <w:r>
        <w:rPr>
          <w:rFonts w:hint="eastAsia" w:ascii="宋体" w:hAnsi="宋体" w:cs="宋体"/>
          <w:spacing w:val="-7"/>
          <w:szCs w:val="21"/>
          <w:highlight w:val="none"/>
          <w:u w:val="single"/>
        </w:rPr>
        <w:t>（标的名称</w:t>
      </w:r>
      <w:r>
        <w:rPr>
          <w:rFonts w:hint="eastAsia" w:ascii="宋体" w:hAnsi="宋体" w:cs="宋体"/>
          <w:spacing w:val="-107"/>
          <w:szCs w:val="21"/>
          <w:highlight w:val="none"/>
          <w:u w:val="single"/>
        </w:rPr>
        <w:t>）</w:t>
      </w:r>
      <w:r>
        <w:rPr>
          <w:rFonts w:hint="eastAsia" w:ascii="宋体" w:hAnsi="宋体" w:cs="宋体"/>
          <w:spacing w:val="46"/>
          <w:szCs w:val="21"/>
          <w:highlight w:val="none"/>
          <w:u w:val="single"/>
        </w:rPr>
        <w:t xml:space="preserve"> </w:t>
      </w:r>
      <w:r>
        <w:rPr>
          <w:rFonts w:hint="eastAsia" w:ascii="宋体" w:hAnsi="宋体" w:cs="宋体"/>
          <w:spacing w:val="-107"/>
          <w:szCs w:val="21"/>
          <w:highlight w:val="none"/>
        </w:rPr>
        <w:t>，</w:t>
      </w:r>
      <w:r>
        <w:rPr>
          <w:rFonts w:hint="eastAsia" w:ascii="宋体" w:hAnsi="宋体" w:cs="宋体"/>
          <w:spacing w:val="-7"/>
          <w:szCs w:val="21"/>
          <w:highlight w:val="none"/>
        </w:rPr>
        <w:t>属于</w:t>
      </w:r>
      <w:r>
        <w:rPr>
          <w:rFonts w:hint="eastAsia" w:ascii="宋体" w:hAnsi="宋体" w:cs="宋体"/>
          <w:spacing w:val="-7"/>
          <w:szCs w:val="21"/>
          <w:highlight w:val="none"/>
          <w:u w:val="single"/>
        </w:rPr>
        <w:t>（采购文件中明确的所属行业</w:t>
      </w:r>
      <w:r>
        <w:rPr>
          <w:rFonts w:hint="eastAsia" w:ascii="宋体" w:hAnsi="宋体" w:cs="宋体"/>
          <w:spacing w:val="-7"/>
          <w:szCs w:val="21"/>
          <w:highlight w:val="none"/>
        </w:rPr>
        <w:t>）</w:t>
      </w:r>
      <w:r>
        <w:rPr>
          <w:rFonts w:hint="eastAsia" w:ascii="宋体" w:hAnsi="宋体" w:cs="宋体"/>
          <w:spacing w:val="2"/>
          <w:szCs w:val="21"/>
          <w:highlight w:val="none"/>
          <w:u w:val="single"/>
        </w:rPr>
        <w:t>行业</w:t>
      </w:r>
      <w:r>
        <w:rPr>
          <w:rFonts w:hint="eastAsia" w:ascii="宋体" w:hAnsi="宋体" w:cs="宋体"/>
          <w:spacing w:val="2"/>
          <w:szCs w:val="21"/>
          <w:highlight w:val="none"/>
        </w:rPr>
        <w:t>；制造商为</w:t>
      </w:r>
      <w:r>
        <w:rPr>
          <w:rFonts w:hint="eastAsia" w:ascii="宋体" w:hAnsi="宋体" w:cs="宋体"/>
          <w:spacing w:val="2"/>
          <w:szCs w:val="21"/>
          <w:highlight w:val="none"/>
          <w:u w:val="single"/>
        </w:rPr>
        <w:t>（企</w:t>
      </w:r>
      <w:r>
        <w:rPr>
          <w:rFonts w:hint="eastAsia" w:ascii="宋体" w:hAnsi="宋体" w:cs="宋体"/>
          <w:spacing w:val="-8"/>
          <w:szCs w:val="21"/>
          <w:highlight w:val="none"/>
          <w:u w:val="single"/>
        </w:rPr>
        <w:t>业名称）</w:t>
      </w:r>
      <w:r>
        <w:rPr>
          <w:rFonts w:hint="eastAsia" w:ascii="宋体" w:hAnsi="宋体" w:cs="宋体"/>
          <w:spacing w:val="-8"/>
          <w:szCs w:val="21"/>
          <w:highlight w:val="none"/>
        </w:rPr>
        <w:t>，从业人</w:t>
      </w:r>
      <w:r>
        <w:rPr>
          <w:rFonts w:hint="eastAsia" w:ascii="宋体" w:hAnsi="宋体" w:cs="宋体"/>
          <w:spacing w:val="2"/>
          <w:szCs w:val="21"/>
          <w:highlight w:val="none"/>
        </w:rPr>
        <w:t>员</w:t>
      </w:r>
      <w:r>
        <w:rPr>
          <w:rFonts w:hint="eastAsia" w:ascii="宋体" w:hAnsi="宋体" w:cs="宋体"/>
          <w:spacing w:val="10"/>
          <w:szCs w:val="21"/>
          <w:highlight w:val="none"/>
          <w:u w:val="single"/>
        </w:rPr>
        <w:t xml:space="preserve">  </w:t>
      </w:r>
      <w:r>
        <w:rPr>
          <w:rFonts w:hint="eastAsia" w:ascii="宋体" w:hAnsi="宋体" w:cs="宋体"/>
          <w:spacing w:val="2"/>
          <w:szCs w:val="21"/>
          <w:highlight w:val="none"/>
        </w:rPr>
        <w:t>人，营业收</w:t>
      </w:r>
      <w:r>
        <w:rPr>
          <w:rFonts w:hint="eastAsia" w:ascii="宋体" w:hAnsi="宋体" w:cs="宋体"/>
          <w:spacing w:val="-7"/>
          <w:position w:val="3"/>
          <w:szCs w:val="21"/>
          <w:highlight w:val="none"/>
        </w:rPr>
        <w:t>入为</w:t>
      </w:r>
      <w:r>
        <w:rPr>
          <w:rFonts w:hint="eastAsia" w:ascii="宋体" w:hAnsi="宋体" w:cs="宋体"/>
          <w:spacing w:val="8"/>
          <w:position w:val="3"/>
          <w:szCs w:val="21"/>
          <w:highlight w:val="none"/>
          <w:u w:val="single"/>
        </w:rPr>
        <w:t xml:space="preserve">    </w:t>
      </w:r>
      <w:r>
        <w:rPr>
          <w:rFonts w:hint="eastAsia" w:ascii="宋体" w:hAnsi="宋体" w:cs="宋体"/>
          <w:spacing w:val="-7"/>
          <w:position w:val="3"/>
          <w:szCs w:val="21"/>
          <w:highlight w:val="none"/>
        </w:rPr>
        <w:t>万元，资产总额为</w:t>
      </w:r>
      <w:r>
        <w:rPr>
          <w:rFonts w:hint="eastAsia" w:ascii="宋体" w:hAnsi="宋体" w:cs="宋体"/>
          <w:spacing w:val="7"/>
          <w:position w:val="3"/>
          <w:szCs w:val="21"/>
          <w:highlight w:val="none"/>
          <w:u w:val="single"/>
        </w:rPr>
        <w:t xml:space="preserve">    </w:t>
      </w:r>
      <w:r>
        <w:rPr>
          <w:rFonts w:hint="eastAsia" w:ascii="宋体" w:hAnsi="宋体" w:cs="宋体"/>
          <w:spacing w:val="-7"/>
          <w:position w:val="3"/>
          <w:szCs w:val="21"/>
          <w:highlight w:val="none"/>
        </w:rPr>
        <w:t>万元，属于</w:t>
      </w:r>
      <w:r>
        <w:rPr>
          <w:rFonts w:hint="eastAsia" w:ascii="宋体" w:hAnsi="宋体" w:cs="宋体"/>
          <w:spacing w:val="-12"/>
          <w:szCs w:val="21"/>
          <w:highlight w:val="none"/>
          <w:u w:val="single"/>
        </w:rPr>
        <w:t>（</w:t>
      </w:r>
      <w:r>
        <w:rPr>
          <w:rFonts w:hint="eastAsia" w:ascii="宋体" w:hAnsi="宋体" w:cs="宋体"/>
          <w:spacing w:val="-8"/>
          <w:szCs w:val="21"/>
          <w:highlight w:val="none"/>
          <w:u w:val="single"/>
        </w:rPr>
        <w:t>中型企业、小型企业、微型企业）；</w:t>
      </w:r>
    </w:p>
    <w:p w14:paraId="48A66F2A">
      <w:pPr>
        <w:spacing w:before="191" w:line="291" w:lineRule="auto"/>
        <w:ind w:left="19" w:firstLine="650"/>
        <w:rPr>
          <w:rFonts w:ascii="宋体" w:hAnsi="宋体" w:cs="宋体"/>
          <w:spacing w:val="-8"/>
          <w:szCs w:val="21"/>
          <w:highlight w:val="none"/>
        </w:rPr>
      </w:pPr>
      <w:r>
        <w:rPr>
          <w:rFonts w:hint="eastAsia" w:ascii="宋体" w:hAnsi="宋体" w:cs="宋体"/>
          <w:spacing w:val="-7"/>
          <w:szCs w:val="21"/>
          <w:highlight w:val="none"/>
        </w:rPr>
        <w:t>2.</w:t>
      </w:r>
      <w:r>
        <w:rPr>
          <w:rFonts w:hint="eastAsia" w:ascii="宋体" w:hAnsi="宋体" w:cs="宋体"/>
          <w:spacing w:val="-7"/>
          <w:szCs w:val="21"/>
          <w:highlight w:val="none"/>
          <w:u w:val="single"/>
        </w:rPr>
        <w:t>（标的名称</w:t>
      </w:r>
      <w:r>
        <w:rPr>
          <w:rFonts w:hint="eastAsia" w:ascii="宋体" w:hAnsi="宋体" w:cs="宋体"/>
          <w:spacing w:val="-97"/>
          <w:szCs w:val="21"/>
          <w:highlight w:val="none"/>
          <w:u w:val="single"/>
        </w:rPr>
        <w:t>）</w:t>
      </w:r>
      <w:r>
        <w:rPr>
          <w:rFonts w:hint="eastAsia" w:ascii="宋体" w:hAnsi="宋体" w:cs="宋体"/>
          <w:spacing w:val="46"/>
          <w:szCs w:val="21"/>
          <w:highlight w:val="none"/>
          <w:u w:val="single"/>
        </w:rPr>
        <w:t xml:space="preserve"> </w:t>
      </w:r>
      <w:r>
        <w:rPr>
          <w:rFonts w:hint="eastAsia" w:ascii="宋体" w:hAnsi="宋体" w:cs="宋体"/>
          <w:spacing w:val="-97"/>
          <w:szCs w:val="21"/>
          <w:highlight w:val="none"/>
        </w:rPr>
        <w:t>，</w:t>
      </w:r>
      <w:r>
        <w:rPr>
          <w:rFonts w:hint="eastAsia" w:ascii="宋体" w:hAnsi="宋体" w:cs="宋体"/>
          <w:spacing w:val="-7"/>
          <w:szCs w:val="21"/>
          <w:highlight w:val="none"/>
        </w:rPr>
        <w:t>属于</w:t>
      </w:r>
      <w:r>
        <w:rPr>
          <w:rFonts w:hint="eastAsia" w:ascii="宋体" w:hAnsi="宋体" w:cs="宋体"/>
          <w:spacing w:val="-7"/>
          <w:szCs w:val="21"/>
          <w:highlight w:val="none"/>
          <w:u w:val="single"/>
        </w:rPr>
        <w:t>（采购文件中明确的所属行业</w:t>
      </w:r>
      <w:r>
        <w:rPr>
          <w:rFonts w:hint="eastAsia" w:ascii="宋体" w:hAnsi="宋体" w:cs="宋体"/>
          <w:spacing w:val="-7"/>
          <w:szCs w:val="21"/>
          <w:highlight w:val="none"/>
        </w:rPr>
        <w:t>）</w:t>
      </w:r>
      <w:r>
        <w:rPr>
          <w:rFonts w:hint="eastAsia" w:ascii="宋体" w:hAnsi="宋体" w:cs="宋体"/>
          <w:spacing w:val="2"/>
          <w:szCs w:val="21"/>
          <w:highlight w:val="none"/>
          <w:u w:val="single"/>
        </w:rPr>
        <w:t>行业</w:t>
      </w:r>
      <w:r>
        <w:rPr>
          <w:rFonts w:hint="eastAsia" w:ascii="宋体" w:hAnsi="宋体" w:cs="宋体"/>
          <w:spacing w:val="2"/>
          <w:szCs w:val="21"/>
          <w:highlight w:val="none"/>
        </w:rPr>
        <w:t>；制造商为</w:t>
      </w:r>
      <w:r>
        <w:rPr>
          <w:rFonts w:hint="eastAsia" w:ascii="宋体" w:hAnsi="宋体" w:cs="宋体"/>
          <w:spacing w:val="2"/>
          <w:szCs w:val="21"/>
          <w:highlight w:val="none"/>
          <w:u w:val="single"/>
        </w:rPr>
        <w:t>（企</w:t>
      </w:r>
      <w:r>
        <w:rPr>
          <w:rFonts w:hint="eastAsia" w:ascii="宋体" w:hAnsi="宋体" w:cs="宋体"/>
          <w:spacing w:val="-8"/>
          <w:szCs w:val="21"/>
          <w:highlight w:val="none"/>
          <w:u w:val="single"/>
        </w:rPr>
        <w:t>业名称），</w:t>
      </w:r>
      <w:r>
        <w:rPr>
          <w:rFonts w:hint="eastAsia" w:ascii="宋体" w:hAnsi="宋体" w:cs="宋体"/>
          <w:spacing w:val="2"/>
          <w:szCs w:val="21"/>
          <w:highlight w:val="none"/>
        </w:rPr>
        <w:t>从业人员</w:t>
      </w:r>
      <w:r>
        <w:rPr>
          <w:rFonts w:hint="eastAsia" w:ascii="宋体" w:hAnsi="宋体" w:cs="宋体"/>
          <w:spacing w:val="13"/>
          <w:szCs w:val="21"/>
          <w:highlight w:val="none"/>
          <w:u w:val="single"/>
        </w:rPr>
        <w:t xml:space="preserve">    </w:t>
      </w:r>
      <w:r>
        <w:rPr>
          <w:rFonts w:hint="eastAsia" w:ascii="宋体" w:hAnsi="宋体" w:cs="宋体"/>
          <w:spacing w:val="2"/>
          <w:szCs w:val="21"/>
          <w:highlight w:val="none"/>
        </w:rPr>
        <w:t>人，营业收入</w:t>
      </w:r>
      <w:r>
        <w:rPr>
          <w:rFonts w:hint="eastAsia" w:ascii="宋体" w:hAnsi="宋体" w:cs="宋体"/>
          <w:spacing w:val="-12"/>
          <w:szCs w:val="21"/>
          <w:highlight w:val="none"/>
        </w:rPr>
        <w:t>为</w:t>
      </w:r>
      <w:r>
        <w:rPr>
          <w:rFonts w:hint="eastAsia" w:ascii="宋体" w:hAnsi="宋体" w:cs="宋体"/>
          <w:spacing w:val="7"/>
          <w:szCs w:val="21"/>
          <w:highlight w:val="none"/>
          <w:u w:val="single"/>
        </w:rPr>
        <w:t xml:space="preserve">    </w:t>
      </w:r>
      <w:r>
        <w:rPr>
          <w:rFonts w:hint="eastAsia" w:ascii="宋体" w:hAnsi="宋体" w:cs="宋体"/>
          <w:spacing w:val="-12"/>
          <w:szCs w:val="21"/>
          <w:highlight w:val="none"/>
        </w:rPr>
        <w:t>万元，资产总额为</w:t>
      </w:r>
      <w:r>
        <w:rPr>
          <w:rFonts w:hint="eastAsia" w:ascii="宋体" w:hAnsi="宋体" w:cs="宋体"/>
          <w:spacing w:val="6"/>
          <w:szCs w:val="21"/>
          <w:highlight w:val="none"/>
          <w:u w:val="single"/>
        </w:rPr>
        <w:t xml:space="preserve">    </w:t>
      </w:r>
      <w:r>
        <w:rPr>
          <w:rFonts w:hint="eastAsia" w:ascii="宋体" w:hAnsi="宋体" w:cs="宋体"/>
          <w:spacing w:val="-12"/>
          <w:szCs w:val="21"/>
          <w:highlight w:val="none"/>
        </w:rPr>
        <w:t>万元，属于</w:t>
      </w:r>
      <w:r>
        <w:rPr>
          <w:rFonts w:hint="eastAsia" w:ascii="宋体" w:hAnsi="宋体" w:cs="宋体"/>
          <w:spacing w:val="-12"/>
          <w:szCs w:val="21"/>
          <w:highlight w:val="none"/>
          <w:u w:val="single"/>
        </w:rPr>
        <w:t>（</w:t>
      </w:r>
      <w:r>
        <w:rPr>
          <w:rFonts w:hint="eastAsia" w:ascii="宋体" w:hAnsi="宋体" w:cs="宋体"/>
          <w:spacing w:val="-8"/>
          <w:szCs w:val="21"/>
          <w:highlight w:val="none"/>
          <w:u w:val="single"/>
        </w:rPr>
        <w:t>中型企业、小型企业、微型企业）</w:t>
      </w:r>
      <w:r>
        <w:rPr>
          <w:rFonts w:hint="eastAsia" w:ascii="宋体" w:hAnsi="宋体" w:cs="宋体"/>
          <w:spacing w:val="-8"/>
          <w:szCs w:val="21"/>
          <w:highlight w:val="none"/>
        </w:rPr>
        <w:t>；</w:t>
      </w:r>
    </w:p>
    <w:p w14:paraId="0750CFF2">
      <w:pPr>
        <w:spacing w:before="132" w:line="227" w:lineRule="exact"/>
        <w:ind w:firstLine="688"/>
        <w:rPr>
          <w:rFonts w:ascii="宋体" w:hAnsi="宋体" w:cs="宋体"/>
          <w:szCs w:val="21"/>
          <w:highlight w:val="none"/>
        </w:rPr>
      </w:pPr>
      <w:r>
        <w:rPr>
          <w:rFonts w:hint="eastAsia" w:ascii="宋体" w:hAnsi="宋体" w:cs="宋体"/>
          <w:spacing w:val="-18"/>
          <w:szCs w:val="21"/>
          <w:highlight w:val="none"/>
        </w:rPr>
        <w:t>……</w:t>
      </w:r>
    </w:p>
    <w:p w14:paraId="1BE24ED3">
      <w:pPr>
        <w:spacing w:before="161" w:line="300" w:lineRule="auto"/>
        <w:ind w:left="35" w:right="233" w:firstLine="678"/>
        <w:rPr>
          <w:rFonts w:ascii="宋体" w:hAnsi="宋体" w:cs="宋体"/>
          <w:szCs w:val="21"/>
          <w:highlight w:val="none"/>
        </w:rPr>
      </w:pPr>
      <w:r>
        <w:rPr>
          <w:rFonts w:hint="eastAsia" w:ascii="宋体" w:hAnsi="宋体" w:cs="宋体"/>
          <w:spacing w:val="-4"/>
          <w:szCs w:val="21"/>
          <w:highlight w:val="none"/>
        </w:rPr>
        <w:t>以上企业，不属于大企业的分支机构，不存在控股股东</w:t>
      </w:r>
      <w:r>
        <w:rPr>
          <w:rFonts w:hint="eastAsia" w:ascii="宋体" w:hAnsi="宋体" w:cs="宋体"/>
          <w:spacing w:val="-2"/>
          <w:szCs w:val="21"/>
          <w:highlight w:val="none"/>
        </w:rPr>
        <w:t>为大企业的情形，也不存在与大企业的负责人为同一人的情</w:t>
      </w:r>
      <w:r>
        <w:rPr>
          <w:rFonts w:hint="eastAsia" w:ascii="宋体" w:hAnsi="宋体" w:cs="宋体"/>
          <w:spacing w:val="-11"/>
          <w:szCs w:val="21"/>
          <w:highlight w:val="none"/>
        </w:rPr>
        <w:t>形。</w:t>
      </w:r>
    </w:p>
    <w:p w14:paraId="1E5D6241">
      <w:pPr>
        <w:spacing w:before="2" w:line="299" w:lineRule="auto"/>
        <w:ind w:left="45" w:right="235" w:firstLine="636"/>
        <w:rPr>
          <w:rFonts w:ascii="宋体" w:hAnsi="宋体" w:cs="宋体"/>
          <w:szCs w:val="21"/>
          <w:highlight w:val="none"/>
        </w:rPr>
      </w:pPr>
      <w:r>
        <w:rPr>
          <w:rFonts w:hint="eastAsia" w:ascii="宋体" w:hAnsi="宋体" w:cs="宋体"/>
          <w:spacing w:val="-2"/>
          <w:szCs w:val="21"/>
          <w:highlight w:val="none"/>
        </w:rPr>
        <w:t>本企业对上述声明内容的真实性负责。如有虚假，将依</w:t>
      </w:r>
      <w:r>
        <w:rPr>
          <w:rFonts w:hint="eastAsia" w:ascii="宋体" w:hAnsi="宋体" w:cs="宋体"/>
          <w:spacing w:val="-5"/>
          <w:szCs w:val="21"/>
          <w:highlight w:val="none"/>
        </w:rPr>
        <w:t>法承担相应责任。</w:t>
      </w:r>
    </w:p>
    <w:p w14:paraId="24E90779">
      <w:pPr>
        <w:spacing w:before="34" w:line="188" w:lineRule="auto"/>
        <w:ind w:firstLine="3876"/>
        <w:rPr>
          <w:rFonts w:ascii="宋体" w:hAnsi="宋体" w:cs="宋体"/>
          <w:spacing w:val="-4"/>
          <w:szCs w:val="21"/>
          <w:highlight w:val="none"/>
        </w:rPr>
      </w:pPr>
    </w:p>
    <w:p w14:paraId="65C9A5A9">
      <w:pPr>
        <w:autoSpaceDE w:val="0"/>
        <w:autoSpaceDN w:val="0"/>
        <w:adjustRightInd w:val="0"/>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企业名称（盖章）：</w:t>
      </w:r>
    </w:p>
    <w:p w14:paraId="41800D09">
      <w:pPr>
        <w:autoSpaceDE w:val="0"/>
        <w:autoSpaceDN w:val="0"/>
        <w:adjustRightInd w:val="0"/>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日 期：</w:t>
      </w:r>
    </w:p>
    <w:p w14:paraId="59CED322">
      <w:pPr>
        <w:pStyle w:val="11"/>
        <w:spacing w:line="360" w:lineRule="auto"/>
        <w:rPr>
          <w:rFonts w:hAnsi="宋体" w:cs="宋体"/>
          <w:b/>
          <w:color w:val="000000"/>
          <w:kern w:val="0"/>
          <w:szCs w:val="21"/>
          <w:highlight w:val="none"/>
        </w:rPr>
      </w:pPr>
    </w:p>
    <w:p w14:paraId="5C35DCA4">
      <w:pPr>
        <w:pStyle w:val="11"/>
        <w:spacing w:line="360" w:lineRule="auto"/>
        <w:rPr>
          <w:rFonts w:hAnsi="宋体"/>
          <w:b/>
          <w:color w:val="000000"/>
          <w:kern w:val="0"/>
          <w:szCs w:val="21"/>
          <w:highlight w:val="none"/>
        </w:rPr>
      </w:pPr>
    </w:p>
    <w:p w14:paraId="4D8AB83D">
      <w:pPr>
        <w:autoSpaceDE w:val="0"/>
        <w:autoSpaceDN w:val="0"/>
        <w:adjustRightInd w:val="0"/>
        <w:spacing w:line="360" w:lineRule="auto"/>
        <w:jc w:val="center"/>
        <w:outlineLvl w:val="0"/>
        <w:rPr>
          <w:rFonts w:ascii="宋体" w:hAnsi="宋体"/>
          <w:b/>
          <w:bCs/>
          <w:color w:val="000000"/>
          <w:sz w:val="44"/>
          <w:szCs w:val="44"/>
          <w:highlight w:val="none"/>
          <w:lang w:val="zh-CN"/>
        </w:rPr>
      </w:pPr>
      <w:r>
        <w:rPr>
          <w:rFonts w:ascii="宋体" w:hAnsi="宋体"/>
          <w:b/>
          <w:sz w:val="28"/>
          <w:szCs w:val="28"/>
          <w:highlight w:val="none"/>
        </w:rPr>
        <w:br w:type="page"/>
      </w:r>
      <w:bookmarkStart w:id="83" w:name="_Toc133244861"/>
      <w:bookmarkStart w:id="84" w:name="_Toc20660417"/>
      <w:bookmarkStart w:id="85" w:name="_Toc11823"/>
      <w:bookmarkStart w:id="86" w:name="_Toc133244635"/>
      <w:bookmarkStart w:id="87" w:name="_Toc532473512"/>
      <w:r>
        <w:rPr>
          <w:rFonts w:hint="eastAsia" w:ascii="宋体" w:hAnsi="宋体"/>
          <w:b/>
          <w:bCs/>
          <w:color w:val="000000"/>
          <w:sz w:val="44"/>
          <w:szCs w:val="44"/>
          <w:highlight w:val="none"/>
          <w:lang w:val="zh-CN"/>
        </w:rPr>
        <w:t>供应商监狱企业</w:t>
      </w:r>
      <w:r>
        <w:rPr>
          <w:rFonts w:ascii="宋体" w:hAnsi="宋体"/>
          <w:b/>
          <w:bCs/>
          <w:color w:val="000000"/>
          <w:sz w:val="44"/>
          <w:szCs w:val="44"/>
          <w:highlight w:val="none"/>
          <w:lang w:val="zh-CN"/>
        </w:rPr>
        <w:t>声明函</w:t>
      </w:r>
      <w:bookmarkEnd w:id="83"/>
      <w:bookmarkEnd w:id="84"/>
      <w:bookmarkEnd w:id="85"/>
      <w:bookmarkEnd w:id="86"/>
    </w:p>
    <w:bookmarkEnd w:id="87"/>
    <w:p w14:paraId="7C9129DA">
      <w:pPr>
        <w:ind w:left="1078" w:leftChars="257" w:hanging="539"/>
        <w:jc w:val="center"/>
        <w:rPr>
          <w:rFonts w:ascii="宋体" w:hAnsi="宋体"/>
          <w:b/>
          <w:color w:val="000000"/>
          <w:kern w:val="0"/>
          <w:sz w:val="24"/>
          <w:highlight w:val="none"/>
        </w:rPr>
      </w:pPr>
    </w:p>
    <w:p w14:paraId="77117D6D">
      <w:pPr>
        <w:widowControl/>
        <w:snapToGrid w:val="0"/>
        <w:spacing w:before="100" w:beforeAutospacing="1" w:after="100" w:afterAutospacing="1" w:line="360" w:lineRule="auto"/>
        <w:ind w:firstLine="420" w:firstLineChars="200"/>
        <w:jc w:val="left"/>
        <w:rPr>
          <w:rFonts w:ascii="宋体" w:hAnsi="宋体" w:cs="宋体"/>
          <w:color w:val="000000"/>
          <w:kern w:val="0"/>
          <w:szCs w:val="21"/>
          <w:highlight w:val="none"/>
        </w:rPr>
      </w:pPr>
      <w:r>
        <w:rPr>
          <w:rFonts w:ascii="宋体" w:hAnsi="宋体" w:cs="宋体"/>
          <w:color w:val="000000"/>
          <w:kern w:val="0"/>
          <w:szCs w:val="21"/>
          <w:highlight w:val="none"/>
        </w:rPr>
        <w:t>本</w:t>
      </w:r>
      <w:r>
        <w:rPr>
          <w:rFonts w:hint="eastAsia" w:ascii="宋体" w:hAnsi="宋体" w:cs="宋体"/>
          <w:color w:val="000000"/>
          <w:kern w:val="0"/>
          <w:szCs w:val="21"/>
          <w:highlight w:val="none"/>
        </w:rPr>
        <w:t>单位</w:t>
      </w:r>
      <w:r>
        <w:rPr>
          <w:rFonts w:ascii="宋体" w:hAnsi="宋体" w:cs="宋体"/>
          <w:color w:val="000000"/>
          <w:kern w:val="0"/>
          <w:szCs w:val="21"/>
          <w:highlight w:val="none"/>
        </w:rPr>
        <w:t>郑重声明下</w:t>
      </w:r>
      <w:r>
        <w:rPr>
          <w:rFonts w:hint="eastAsia" w:ascii="宋体" w:hAnsi="宋体" w:cs="宋体"/>
          <w:color w:val="000000"/>
          <w:kern w:val="0"/>
          <w:szCs w:val="21"/>
          <w:highlight w:val="none"/>
        </w:rPr>
        <w:t>列事项（按照</w:t>
      </w:r>
      <w:r>
        <w:rPr>
          <w:rFonts w:ascii="宋体" w:hAnsi="宋体" w:cs="宋体"/>
          <w:color w:val="000000"/>
          <w:kern w:val="0"/>
          <w:szCs w:val="21"/>
          <w:highlight w:val="none"/>
        </w:rPr>
        <w:t>实际情况勾选或</w:t>
      </w:r>
      <w:r>
        <w:rPr>
          <w:rFonts w:hint="eastAsia" w:ascii="宋体" w:hAnsi="宋体" w:cs="宋体"/>
          <w:color w:val="000000"/>
          <w:kern w:val="0"/>
          <w:szCs w:val="21"/>
          <w:highlight w:val="none"/>
        </w:rPr>
        <w:t>填空）：</w:t>
      </w:r>
    </w:p>
    <w:p w14:paraId="6A58B813">
      <w:pPr>
        <w:widowControl/>
        <w:snapToGrid w:val="0"/>
        <w:spacing w:before="100" w:beforeAutospacing="1" w:after="100" w:afterAutospacing="1" w:line="500" w:lineRule="exact"/>
        <w:ind w:firstLine="420" w:firstLineChars="200"/>
        <w:jc w:val="left"/>
        <w:rPr>
          <w:rFonts w:ascii="宋体" w:hAnsi="宋体" w:cs="宋体"/>
          <w:color w:val="000000"/>
          <w:kern w:val="0"/>
          <w:szCs w:val="21"/>
          <w:highlight w:val="none"/>
        </w:rPr>
      </w:pPr>
      <w:r>
        <w:rPr>
          <w:rFonts w:ascii="宋体" w:hAnsi="宋体" w:cs="宋体"/>
          <w:color w:val="000000"/>
          <w:kern w:val="0"/>
          <w:szCs w:val="21"/>
          <w:highlight w:val="none"/>
        </w:rPr>
        <w:t>本</w:t>
      </w:r>
      <w:r>
        <w:rPr>
          <w:rFonts w:hint="eastAsia" w:ascii="宋体" w:hAnsi="宋体" w:cs="宋体"/>
          <w:color w:val="000000"/>
          <w:kern w:val="0"/>
          <w:szCs w:val="21"/>
          <w:highlight w:val="none"/>
        </w:rPr>
        <w:t>单位为直接供应商</w:t>
      </w:r>
      <w:r>
        <w:rPr>
          <w:rFonts w:ascii="宋体" w:hAnsi="宋体" w:cs="宋体"/>
          <w:color w:val="000000"/>
          <w:kern w:val="0"/>
          <w:szCs w:val="21"/>
          <w:highlight w:val="none"/>
        </w:rPr>
        <w:t>提供本</w:t>
      </w:r>
      <w:r>
        <w:rPr>
          <w:rFonts w:hint="eastAsia" w:ascii="宋体" w:hAnsi="宋体" w:cs="宋体"/>
          <w:color w:val="000000"/>
          <w:kern w:val="0"/>
          <w:szCs w:val="21"/>
          <w:highlight w:val="none"/>
        </w:rPr>
        <w:t>单位提供的服务。</w:t>
      </w:r>
    </w:p>
    <w:p w14:paraId="02D985FE">
      <w:pPr>
        <w:widowControl/>
        <w:snapToGrid w:val="0"/>
        <w:spacing w:before="100" w:beforeAutospacing="1" w:after="100" w:afterAutospacing="1" w:line="500" w:lineRule="exact"/>
        <w:ind w:firstLine="315" w:firstLineChars="150"/>
        <w:jc w:val="left"/>
        <w:rPr>
          <w:rFonts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本</w:t>
      </w:r>
      <w:r>
        <w:rPr>
          <w:rFonts w:hint="eastAsia" w:ascii="宋体" w:hAnsi="宋体" w:cs="宋体"/>
          <w:color w:val="000000"/>
          <w:kern w:val="0"/>
          <w:szCs w:val="21"/>
          <w:highlight w:val="none"/>
        </w:rPr>
        <w:t>企业（单位）</w:t>
      </w:r>
      <w:r>
        <w:rPr>
          <w:rFonts w:hint="eastAsia" w:ascii="宋体" w:hAnsi="宋体" w:cs="宋体"/>
          <w:color w:val="000000"/>
          <w:kern w:val="0"/>
          <w:szCs w:val="21"/>
          <w:highlight w:val="none"/>
          <w:u w:val="single"/>
        </w:rPr>
        <w:t xml:space="preserve">        </w:t>
      </w:r>
      <w:r>
        <w:rPr>
          <w:rFonts w:ascii="宋体" w:hAnsi="宋体" w:cs="宋体"/>
          <w:color w:val="000000"/>
          <w:kern w:val="0"/>
          <w:szCs w:val="21"/>
          <w:highlight w:val="none"/>
        </w:rPr>
        <w:t>（请填写：</w:t>
      </w:r>
      <w:r>
        <w:rPr>
          <w:rFonts w:hint="eastAsia" w:ascii="宋体" w:hAnsi="宋体" w:cs="宋体"/>
          <w:color w:val="000000"/>
          <w:kern w:val="0"/>
          <w:szCs w:val="21"/>
          <w:highlight w:val="none"/>
        </w:rPr>
        <w:t>是、不是</w:t>
      </w:r>
      <w:r>
        <w:rPr>
          <w:rFonts w:ascii="宋体" w:hAnsi="宋体" w:cs="宋体"/>
          <w:color w:val="000000"/>
          <w:kern w:val="0"/>
          <w:szCs w:val="21"/>
          <w:highlight w:val="none"/>
        </w:rPr>
        <w:t>）监狱企业。</w:t>
      </w:r>
      <w:r>
        <w:rPr>
          <w:rFonts w:hint="eastAsia" w:ascii="宋体" w:hAnsi="宋体" w:cs="宋体"/>
          <w:color w:val="000000"/>
          <w:kern w:val="0"/>
          <w:szCs w:val="21"/>
          <w:highlight w:val="none"/>
        </w:rPr>
        <w:t>如果是，后附省级以上监狱管理局、戒毒管理局（含新疆生产建设兵团）出具的属于监狱企业的证明文件。</w:t>
      </w:r>
    </w:p>
    <w:p w14:paraId="2016346E">
      <w:pPr>
        <w:widowControl/>
        <w:snapToGrid w:val="0"/>
        <w:spacing w:before="100" w:beforeAutospacing="1" w:after="100" w:afterAutospacing="1" w:line="500" w:lineRule="exact"/>
        <w:ind w:firstLine="420"/>
        <w:jc w:val="left"/>
        <w:rPr>
          <w:rFonts w:ascii="宋体" w:hAnsi="宋体" w:cs="宋体"/>
          <w:color w:val="000000"/>
          <w:kern w:val="0"/>
          <w:szCs w:val="21"/>
          <w:highlight w:val="none"/>
        </w:rPr>
      </w:pPr>
      <w:r>
        <w:rPr>
          <w:rFonts w:hint="eastAsia" w:ascii="宋体" w:hAnsi="宋体" w:cs="宋体"/>
          <w:color w:val="000000"/>
          <w:kern w:val="0"/>
          <w:szCs w:val="21"/>
          <w:highlight w:val="none"/>
        </w:rPr>
        <w:t>（</w:t>
      </w:r>
      <w:r>
        <w:rPr>
          <w:rFonts w:ascii="宋体" w:hAnsi="宋体" w:cs="宋体"/>
          <w:color w:val="000000"/>
          <w:kern w:val="0"/>
          <w:szCs w:val="21"/>
          <w:highlight w:val="none"/>
        </w:rPr>
        <w:t>2</w:t>
      </w:r>
      <w:r>
        <w:rPr>
          <w:rFonts w:hint="eastAsia" w:ascii="宋体" w:hAnsi="宋体" w:cs="宋体"/>
          <w:color w:val="000000"/>
          <w:kern w:val="0"/>
          <w:szCs w:val="21"/>
          <w:highlight w:val="none"/>
        </w:rPr>
        <w:t>）</w:t>
      </w:r>
      <w:r>
        <w:rPr>
          <w:rFonts w:ascii="宋体" w:hAnsi="宋体" w:cs="宋体"/>
          <w:color w:val="000000"/>
          <w:kern w:val="0"/>
          <w:szCs w:val="21"/>
          <w:highlight w:val="none"/>
        </w:rPr>
        <w:t>本</w:t>
      </w:r>
      <w:r>
        <w:rPr>
          <w:rFonts w:hint="eastAsia" w:ascii="宋体" w:hAnsi="宋体" w:cs="宋体"/>
          <w:color w:val="000000"/>
          <w:kern w:val="0"/>
          <w:szCs w:val="21"/>
          <w:highlight w:val="none"/>
        </w:rPr>
        <w:t>企业（单位）</w:t>
      </w:r>
      <w:r>
        <w:rPr>
          <w:rFonts w:hint="eastAsia" w:ascii="宋体" w:hAnsi="宋体" w:cs="宋体"/>
          <w:color w:val="000000"/>
          <w:kern w:val="0"/>
          <w:szCs w:val="21"/>
          <w:highlight w:val="none"/>
          <w:u w:val="single"/>
        </w:rPr>
        <w:t xml:space="preserve">        </w:t>
      </w:r>
      <w:r>
        <w:rPr>
          <w:rFonts w:ascii="宋体" w:hAnsi="宋体" w:cs="宋体"/>
          <w:color w:val="000000"/>
          <w:kern w:val="0"/>
          <w:szCs w:val="21"/>
          <w:highlight w:val="none"/>
        </w:rPr>
        <w:t>（请填写：</w:t>
      </w:r>
      <w:r>
        <w:rPr>
          <w:rFonts w:hint="eastAsia" w:ascii="宋体" w:hAnsi="宋体" w:cs="宋体"/>
          <w:color w:val="000000"/>
          <w:kern w:val="0"/>
          <w:szCs w:val="21"/>
          <w:highlight w:val="none"/>
        </w:rPr>
        <w:t>是、不是</w:t>
      </w:r>
      <w:r>
        <w:rPr>
          <w:rFonts w:ascii="宋体" w:hAnsi="宋体" w:cs="宋体"/>
          <w:color w:val="000000"/>
          <w:kern w:val="0"/>
          <w:szCs w:val="21"/>
          <w:highlight w:val="none"/>
        </w:rPr>
        <w:t>）</w:t>
      </w:r>
      <w:r>
        <w:rPr>
          <w:rFonts w:hint="eastAsia" w:ascii="宋体" w:hAnsi="宋体" w:cs="宋体"/>
          <w:color w:val="000000"/>
          <w:kern w:val="0"/>
          <w:szCs w:val="21"/>
          <w:highlight w:val="none"/>
        </w:rPr>
        <w:t>为联合体一方，</w:t>
      </w:r>
      <w:r>
        <w:rPr>
          <w:rFonts w:ascii="宋体" w:hAnsi="宋体" w:cs="宋体"/>
          <w:color w:val="000000"/>
          <w:kern w:val="0"/>
          <w:szCs w:val="21"/>
          <w:highlight w:val="none"/>
        </w:rPr>
        <w:t>提供本企业</w:t>
      </w:r>
      <w:r>
        <w:rPr>
          <w:rFonts w:hint="eastAsia" w:ascii="宋体" w:hAnsi="宋体" w:cs="宋体"/>
          <w:color w:val="000000"/>
          <w:kern w:val="0"/>
          <w:szCs w:val="21"/>
          <w:highlight w:val="none"/>
        </w:rPr>
        <w:t>（单位）提供服务</w:t>
      </w:r>
      <w:r>
        <w:rPr>
          <w:rFonts w:ascii="宋体" w:hAnsi="宋体" w:cs="宋体"/>
          <w:color w:val="000000"/>
          <w:kern w:val="0"/>
          <w:szCs w:val="21"/>
          <w:highlight w:val="none"/>
        </w:rPr>
        <w:t>，由本企业</w:t>
      </w:r>
      <w:r>
        <w:rPr>
          <w:rFonts w:hint="eastAsia" w:ascii="宋体" w:hAnsi="宋体" w:cs="宋体"/>
          <w:color w:val="000000"/>
          <w:kern w:val="0"/>
          <w:szCs w:val="21"/>
          <w:highlight w:val="none"/>
        </w:rPr>
        <w:t>（单位）</w:t>
      </w:r>
      <w:r>
        <w:rPr>
          <w:rFonts w:ascii="宋体" w:hAnsi="宋体" w:cs="宋体"/>
          <w:color w:val="000000"/>
          <w:kern w:val="0"/>
          <w:szCs w:val="21"/>
          <w:highlight w:val="none"/>
        </w:rPr>
        <w:t>承担</w:t>
      </w:r>
      <w:r>
        <w:rPr>
          <w:rFonts w:hint="eastAsia" w:ascii="宋体" w:hAnsi="宋体" w:cs="宋体"/>
          <w:color w:val="000000"/>
          <w:kern w:val="0"/>
          <w:szCs w:val="21"/>
          <w:highlight w:val="none"/>
        </w:rPr>
        <w:t>项目</w:t>
      </w:r>
      <w:r>
        <w:rPr>
          <w:rFonts w:ascii="宋体" w:hAnsi="宋体" w:cs="宋体"/>
          <w:color w:val="000000"/>
          <w:kern w:val="0"/>
          <w:szCs w:val="21"/>
          <w:highlight w:val="none"/>
        </w:rPr>
        <w:t>、提供服务</w:t>
      </w:r>
      <w:r>
        <w:rPr>
          <w:rFonts w:hint="eastAsia" w:ascii="宋体" w:hAnsi="宋体" w:cs="宋体"/>
          <w:color w:val="000000"/>
          <w:kern w:val="0"/>
          <w:szCs w:val="21"/>
          <w:highlight w:val="none"/>
        </w:rPr>
        <w:t>。本企业</w:t>
      </w:r>
      <w:r>
        <w:rPr>
          <w:rFonts w:ascii="宋体" w:hAnsi="宋体" w:cs="宋体"/>
          <w:color w:val="000000"/>
          <w:kern w:val="0"/>
          <w:szCs w:val="21"/>
          <w:highlight w:val="none"/>
        </w:rPr>
        <w:t>（</w:t>
      </w:r>
      <w:r>
        <w:rPr>
          <w:rFonts w:hint="eastAsia" w:ascii="宋体" w:hAnsi="宋体" w:cs="宋体"/>
          <w:color w:val="000000"/>
          <w:kern w:val="0"/>
          <w:szCs w:val="21"/>
          <w:highlight w:val="none"/>
        </w:rPr>
        <w:t>单位</w:t>
      </w:r>
      <w:r>
        <w:rPr>
          <w:rFonts w:ascii="宋体" w:hAnsi="宋体" w:cs="宋体"/>
          <w:color w:val="000000"/>
          <w:kern w:val="0"/>
          <w:szCs w:val="21"/>
          <w:highlight w:val="none"/>
        </w:rPr>
        <w:t>）</w:t>
      </w:r>
      <w:r>
        <w:rPr>
          <w:rFonts w:hint="eastAsia" w:ascii="宋体" w:hAnsi="宋体" w:cs="宋体"/>
          <w:color w:val="000000"/>
          <w:kern w:val="0"/>
          <w:szCs w:val="21"/>
          <w:highlight w:val="none"/>
        </w:rPr>
        <w:t>提供</w:t>
      </w:r>
      <w:r>
        <w:rPr>
          <w:rFonts w:ascii="宋体" w:hAnsi="宋体" w:cs="宋体"/>
          <w:color w:val="000000"/>
          <w:kern w:val="0"/>
          <w:szCs w:val="21"/>
          <w:highlight w:val="none"/>
        </w:rPr>
        <w:t>协议合同金额占到</w:t>
      </w:r>
      <w:r>
        <w:rPr>
          <w:rFonts w:hint="eastAsia" w:ascii="宋体" w:hAnsi="宋体" w:cs="宋体"/>
          <w:color w:val="000000"/>
          <w:kern w:val="0"/>
          <w:szCs w:val="21"/>
          <w:highlight w:val="none"/>
        </w:rPr>
        <w:t>共同磋商</w:t>
      </w:r>
      <w:r>
        <w:rPr>
          <w:rFonts w:ascii="宋体" w:hAnsi="宋体" w:cs="宋体"/>
          <w:color w:val="000000"/>
          <w:kern w:val="0"/>
          <w:szCs w:val="21"/>
          <w:highlight w:val="none"/>
        </w:rPr>
        <w:t>协议合同总金额</w:t>
      </w:r>
      <w:r>
        <w:rPr>
          <w:rFonts w:hint="eastAsia" w:ascii="宋体" w:hAnsi="宋体" w:cs="宋体"/>
          <w:color w:val="000000"/>
          <w:kern w:val="0"/>
          <w:szCs w:val="21"/>
          <w:highlight w:val="none"/>
        </w:rPr>
        <w:t>的比例为</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w:t>
      </w:r>
    </w:p>
    <w:p w14:paraId="01283F9A">
      <w:pPr>
        <w:widowControl/>
        <w:snapToGrid w:val="0"/>
        <w:spacing w:before="100" w:beforeAutospacing="1" w:after="100" w:afterAutospacing="1" w:line="500" w:lineRule="exact"/>
        <w:jc w:val="left"/>
        <w:rPr>
          <w:rFonts w:ascii="宋体" w:hAnsi="宋体" w:cs="宋体"/>
          <w:color w:val="000000"/>
          <w:kern w:val="0"/>
          <w:szCs w:val="21"/>
          <w:highlight w:val="none"/>
        </w:rPr>
      </w:pPr>
      <w:r>
        <w:rPr>
          <w:rFonts w:ascii="宋体" w:hAnsi="宋体" w:cs="宋体"/>
          <w:color w:val="000000"/>
          <w:kern w:val="0"/>
          <w:szCs w:val="21"/>
          <w:highlight w:val="none"/>
        </w:rPr>
        <w:t>　　本</w:t>
      </w:r>
      <w:r>
        <w:rPr>
          <w:rFonts w:hint="eastAsia" w:ascii="宋体" w:hAnsi="宋体" w:cs="宋体"/>
          <w:color w:val="000000"/>
          <w:kern w:val="0"/>
          <w:szCs w:val="21"/>
          <w:highlight w:val="none"/>
        </w:rPr>
        <w:t>企业</w:t>
      </w:r>
      <w:r>
        <w:rPr>
          <w:rFonts w:ascii="宋体" w:hAnsi="宋体" w:cs="宋体"/>
          <w:color w:val="000000"/>
          <w:kern w:val="0"/>
          <w:szCs w:val="21"/>
          <w:highlight w:val="none"/>
        </w:rPr>
        <w:t>（</w:t>
      </w:r>
      <w:r>
        <w:rPr>
          <w:rFonts w:hint="eastAsia" w:ascii="宋体" w:hAnsi="宋体" w:cs="宋体"/>
          <w:color w:val="000000"/>
          <w:kern w:val="0"/>
          <w:szCs w:val="21"/>
          <w:highlight w:val="none"/>
        </w:rPr>
        <w:t>单位</w:t>
      </w:r>
      <w:r>
        <w:rPr>
          <w:rFonts w:ascii="宋体" w:hAnsi="宋体" w:cs="宋体"/>
          <w:color w:val="000000"/>
          <w:kern w:val="0"/>
          <w:szCs w:val="21"/>
          <w:highlight w:val="none"/>
        </w:rPr>
        <w:t>）对上述声明的真实性负责。如有虚假，将依法承担相应责任。</w:t>
      </w:r>
    </w:p>
    <w:p w14:paraId="53079516">
      <w:pPr>
        <w:widowControl/>
        <w:snapToGrid w:val="0"/>
        <w:spacing w:before="100" w:beforeAutospacing="1" w:after="100" w:afterAutospacing="1" w:line="500" w:lineRule="exact"/>
        <w:jc w:val="left"/>
        <w:rPr>
          <w:rFonts w:ascii="宋体" w:hAnsi="宋体"/>
          <w:b/>
          <w:color w:val="000000"/>
          <w:kern w:val="0"/>
          <w:szCs w:val="21"/>
          <w:highlight w:val="none"/>
        </w:rPr>
      </w:pPr>
      <w:r>
        <w:rPr>
          <w:rFonts w:ascii="宋体" w:hAnsi="宋体" w:cs="宋体"/>
          <w:color w:val="000000"/>
          <w:kern w:val="0"/>
          <w:szCs w:val="21"/>
          <w:highlight w:val="none"/>
        </w:rPr>
        <w:t>　　</w:t>
      </w:r>
      <w:r>
        <w:rPr>
          <w:rFonts w:ascii="宋体" w:hAnsi="宋体"/>
          <w:b/>
          <w:color w:val="000000"/>
          <w:kern w:val="0"/>
          <w:szCs w:val="21"/>
          <w:highlight w:val="none"/>
        </w:rPr>
        <w:t>　</w:t>
      </w:r>
    </w:p>
    <w:p w14:paraId="7E250EE2">
      <w:pPr>
        <w:snapToGrid w:val="0"/>
        <w:spacing w:line="500" w:lineRule="exact"/>
        <w:rPr>
          <w:rFonts w:ascii="宋体" w:hAnsi="宋体"/>
          <w:b/>
          <w:color w:val="000000"/>
          <w:szCs w:val="21"/>
          <w:highlight w:val="none"/>
        </w:rPr>
      </w:pPr>
    </w:p>
    <w:p w14:paraId="70D154A7">
      <w:pPr>
        <w:widowControl/>
        <w:snapToGrid w:val="0"/>
        <w:spacing w:before="100" w:beforeAutospacing="1" w:after="100" w:afterAutospacing="1" w:line="500" w:lineRule="exact"/>
        <w:ind w:firstLine="5527" w:firstLineChars="2632"/>
        <w:jc w:val="left"/>
        <w:rPr>
          <w:rFonts w:ascii="宋体" w:hAnsi="宋体" w:cs="宋体"/>
          <w:color w:val="000000"/>
          <w:kern w:val="0"/>
          <w:szCs w:val="21"/>
          <w:highlight w:val="none"/>
        </w:rPr>
      </w:pPr>
      <w:r>
        <w:rPr>
          <w:rFonts w:hint="eastAsia" w:ascii="宋体" w:hAnsi="宋体" w:cs="宋体"/>
          <w:color w:val="000000"/>
          <w:kern w:val="0"/>
          <w:szCs w:val="21"/>
          <w:highlight w:val="none"/>
        </w:rPr>
        <w:t>供应商</w:t>
      </w:r>
      <w:r>
        <w:rPr>
          <w:rFonts w:ascii="宋体" w:hAnsi="宋体" w:cs="宋体"/>
          <w:color w:val="000000"/>
          <w:kern w:val="0"/>
          <w:szCs w:val="21"/>
          <w:highlight w:val="none"/>
        </w:rPr>
        <w:t>（盖章）：</w:t>
      </w:r>
      <w:r>
        <w:rPr>
          <w:rFonts w:ascii="宋体" w:hAnsi="宋体" w:cs="宋体"/>
          <w:color w:val="000000"/>
          <w:kern w:val="0"/>
          <w:szCs w:val="21"/>
          <w:highlight w:val="none"/>
          <w:u w:val="single"/>
        </w:rPr>
        <w:t xml:space="preserve">             </w:t>
      </w:r>
    </w:p>
    <w:p w14:paraId="2904177A">
      <w:pPr>
        <w:widowControl/>
        <w:snapToGrid w:val="0"/>
        <w:spacing w:before="100" w:beforeAutospacing="1" w:after="100" w:afterAutospacing="1" w:line="500" w:lineRule="exact"/>
        <w:ind w:firstLine="5527" w:firstLineChars="2632"/>
        <w:jc w:val="left"/>
        <w:rPr>
          <w:rFonts w:ascii="宋体" w:hAnsi="宋体" w:cs="宋体"/>
          <w:color w:val="000000"/>
          <w:kern w:val="0"/>
          <w:szCs w:val="21"/>
          <w:highlight w:val="none"/>
          <w:u w:val="single"/>
        </w:rPr>
      </w:pPr>
      <w:r>
        <w:rPr>
          <w:rFonts w:ascii="宋体" w:hAnsi="宋体" w:cs="宋体"/>
          <w:color w:val="000000"/>
          <w:kern w:val="0"/>
          <w:szCs w:val="21"/>
          <w:highlight w:val="none"/>
        </w:rPr>
        <w:t>日　期：</w:t>
      </w:r>
      <w:r>
        <w:rPr>
          <w:rFonts w:hint="eastAsia" w:ascii="宋体" w:hAnsi="宋体" w:cs="宋体"/>
          <w:color w:val="000000"/>
          <w:kern w:val="0"/>
          <w:szCs w:val="21"/>
          <w:highlight w:val="none"/>
          <w:u w:val="single"/>
        </w:rPr>
        <w:t xml:space="preserve">             </w:t>
      </w:r>
    </w:p>
    <w:p w14:paraId="169BA94E">
      <w:pPr>
        <w:pStyle w:val="11"/>
        <w:spacing w:line="360" w:lineRule="auto"/>
        <w:rPr>
          <w:rFonts w:hAnsi="宋体"/>
          <w:color w:val="000000"/>
          <w:sz w:val="24"/>
          <w:highlight w:val="none"/>
        </w:rPr>
      </w:pPr>
    </w:p>
    <w:p w14:paraId="5E3C7C75">
      <w:pPr>
        <w:pStyle w:val="11"/>
        <w:spacing w:line="360" w:lineRule="auto"/>
        <w:rPr>
          <w:rFonts w:hAnsi="宋体"/>
          <w:b/>
          <w:color w:val="000000"/>
          <w:kern w:val="0"/>
          <w:sz w:val="28"/>
          <w:szCs w:val="28"/>
          <w:highlight w:val="none"/>
        </w:rPr>
      </w:pPr>
      <w:r>
        <w:rPr>
          <w:rFonts w:hint="eastAsia" w:hAnsi="宋体"/>
          <w:color w:val="000000"/>
          <w:sz w:val="24"/>
          <w:highlight w:val="none"/>
        </w:rPr>
        <w:t>注：符合《关于政府采购支持监狱企业发展有关问题的通知》价格扣减条件的供应商须提交。</w:t>
      </w:r>
    </w:p>
    <w:p w14:paraId="7C89FBD0">
      <w:pPr>
        <w:pStyle w:val="3"/>
        <w:spacing w:line="360" w:lineRule="auto"/>
        <w:jc w:val="center"/>
        <w:rPr>
          <w:rFonts w:ascii="宋体" w:hAnsi="宋体" w:eastAsia="宋体"/>
          <w:color w:val="000000"/>
          <w:sz w:val="24"/>
          <w:highlight w:val="none"/>
        </w:rPr>
      </w:pPr>
      <w:r>
        <w:rPr>
          <w:rFonts w:ascii="宋体" w:hAnsi="宋体" w:eastAsia="宋体"/>
          <w:sz w:val="24"/>
          <w:highlight w:val="none"/>
        </w:rPr>
        <w:br w:type="page"/>
      </w:r>
      <w:bookmarkStart w:id="88" w:name="_Toc67154854"/>
      <w:bookmarkStart w:id="89" w:name="_Toc20660418"/>
      <w:bookmarkStart w:id="90" w:name="_Toc45563171"/>
      <w:bookmarkStart w:id="91" w:name="_Toc45536551"/>
      <w:bookmarkStart w:id="92" w:name="_Toc45562331"/>
      <w:bookmarkStart w:id="93" w:name="_Toc45555178"/>
      <w:bookmarkStart w:id="94" w:name="_Toc45536515"/>
      <w:r>
        <w:rPr>
          <w:rFonts w:hint="eastAsia" w:ascii="宋体" w:hAnsi="宋体" w:eastAsia="宋体"/>
          <w:b/>
          <w:bCs/>
          <w:color w:val="000000"/>
          <w:sz w:val="44"/>
          <w:szCs w:val="44"/>
          <w:highlight w:val="none"/>
          <w:lang w:val="zh-CN"/>
        </w:rPr>
        <w:t>残疾人福利性单位声明函</w:t>
      </w:r>
      <w:bookmarkEnd w:id="88"/>
      <w:bookmarkEnd w:id="89"/>
      <w:bookmarkEnd w:id="90"/>
      <w:bookmarkEnd w:id="91"/>
      <w:bookmarkEnd w:id="92"/>
      <w:bookmarkEnd w:id="93"/>
      <w:bookmarkEnd w:id="94"/>
    </w:p>
    <w:p w14:paraId="1580EB65">
      <w:pPr>
        <w:spacing w:line="360" w:lineRule="auto"/>
        <w:ind w:left="1079" w:leftChars="257" w:hanging="540"/>
        <w:jc w:val="center"/>
        <w:rPr>
          <w:rFonts w:ascii="宋体" w:hAnsi="宋体"/>
          <w:color w:val="000000"/>
          <w:kern w:val="0"/>
          <w:sz w:val="24"/>
          <w:highlight w:val="none"/>
        </w:rPr>
      </w:pPr>
    </w:p>
    <w:p w14:paraId="514C0928">
      <w:pPr>
        <w:spacing w:line="360" w:lineRule="auto"/>
        <w:ind w:firstLine="567"/>
        <w:rPr>
          <w:rFonts w:ascii="宋体" w:hAnsi="宋体"/>
          <w:color w:val="000000"/>
          <w:kern w:val="0"/>
          <w:szCs w:val="21"/>
          <w:highlight w:val="none"/>
        </w:rPr>
      </w:pPr>
      <w:r>
        <w:rPr>
          <w:rFonts w:hint="eastAsia" w:ascii="宋体" w:hAnsi="宋体"/>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中国残疾人联合会关于促进残疾人就业政府采购政策的通知》（财库〔2017〕141号）的规定，本单位为符合条件的残疾人福利性单位，且本单位参加______单位的______项目采购活动提供本单位的技术服务</w:t>
      </w:r>
      <w:r>
        <w:rPr>
          <w:rFonts w:hint="eastAsia" w:ascii="宋体" w:hAnsi="宋体" w:cs="宋体"/>
          <w:color w:val="000000"/>
          <w:kern w:val="0"/>
          <w:szCs w:val="21"/>
          <w:highlight w:val="none"/>
        </w:rPr>
        <w:t>（由本单位承担工程/提供服务）</w:t>
      </w:r>
      <w:r>
        <w:rPr>
          <w:rFonts w:hint="eastAsia" w:ascii="宋体" w:hAnsi="宋体"/>
          <w:color w:val="000000"/>
          <w:kern w:val="0"/>
          <w:szCs w:val="21"/>
          <w:highlight w:val="none"/>
        </w:rPr>
        <w:t>，或者提供其他残疾人福利性单位的技术服务（不包括使用非残疾人福利性单位提供的服务）。</w:t>
      </w:r>
    </w:p>
    <w:p w14:paraId="6E22CDC7">
      <w:pPr>
        <w:spacing w:line="360" w:lineRule="auto"/>
        <w:ind w:left="1079" w:leftChars="257" w:hanging="540"/>
        <w:rPr>
          <w:rFonts w:ascii="宋体" w:hAnsi="宋体"/>
          <w:color w:val="000000"/>
          <w:kern w:val="0"/>
          <w:szCs w:val="21"/>
          <w:highlight w:val="none"/>
        </w:rPr>
      </w:pPr>
      <w:r>
        <w:rPr>
          <w:rFonts w:hint="eastAsia" w:ascii="宋体" w:hAnsi="宋体"/>
          <w:color w:val="000000"/>
          <w:kern w:val="0"/>
          <w:szCs w:val="21"/>
          <w:highlight w:val="none"/>
        </w:rPr>
        <w:t>本单位对上述声明的真实性负责。如有虚假，将依法承担相应责任。</w:t>
      </w:r>
    </w:p>
    <w:p w14:paraId="60C5F660">
      <w:pPr>
        <w:spacing w:line="360" w:lineRule="auto"/>
        <w:ind w:left="1079" w:leftChars="257" w:hanging="540"/>
        <w:jc w:val="center"/>
        <w:rPr>
          <w:rFonts w:ascii="宋体" w:hAnsi="宋体"/>
          <w:color w:val="000000"/>
          <w:kern w:val="0"/>
          <w:szCs w:val="21"/>
          <w:highlight w:val="none"/>
        </w:rPr>
      </w:pPr>
    </w:p>
    <w:p w14:paraId="7937EDE2">
      <w:pPr>
        <w:spacing w:line="360" w:lineRule="auto"/>
        <w:ind w:left="1079" w:leftChars="257" w:hanging="540"/>
        <w:jc w:val="center"/>
        <w:rPr>
          <w:rFonts w:ascii="宋体" w:hAnsi="宋体"/>
          <w:color w:val="000000"/>
          <w:kern w:val="0"/>
          <w:szCs w:val="21"/>
          <w:highlight w:val="none"/>
        </w:rPr>
      </w:pPr>
    </w:p>
    <w:p w14:paraId="193DB6BA">
      <w:pPr>
        <w:spacing w:line="360" w:lineRule="auto"/>
        <w:ind w:left="1079" w:leftChars="257" w:hanging="540"/>
        <w:jc w:val="center"/>
        <w:outlineLvl w:val="0"/>
        <w:rPr>
          <w:rFonts w:ascii="宋体" w:hAnsi="宋体"/>
          <w:color w:val="000000"/>
          <w:kern w:val="0"/>
          <w:szCs w:val="21"/>
          <w:highlight w:val="none"/>
          <w:u w:val="single"/>
        </w:rPr>
      </w:pPr>
      <w:r>
        <w:rPr>
          <w:rFonts w:hint="eastAsia" w:ascii="宋体" w:hAnsi="宋体"/>
          <w:color w:val="000000"/>
          <w:kern w:val="0"/>
          <w:szCs w:val="21"/>
          <w:highlight w:val="none"/>
        </w:rPr>
        <w:t xml:space="preserve"> </w:t>
      </w:r>
      <w:bookmarkStart w:id="95" w:name="_Toc3282"/>
      <w:bookmarkStart w:id="96" w:name="_Toc133244636"/>
      <w:bookmarkStart w:id="97" w:name="_Toc133244862"/>
      <w:r>
        <w:rPr>
          <w:rFonts w:hint="eastAsia" w:ascii="宋体" w:hAnsi="宋体"/>
          <w:color w:val="000000"/>
          <w:kern w:val="0"/>
          <w:szCs w:val="21"/>
          <w:highlight w:val="none"/>
        </w:rPr>
        <w:t>残疾人</w:t>
      </w:r>
      <w:r>
        <w:rPr>
          <w:rFonts w:ascii="宋体" w:hAnsi="宋体"/>
          <w:color w:val="000000"/>
          <w:kern w:val="0"/>
          <w:szCs w:val="21"/>
          <w:highlight w:val="none"/>
        </w:rPr>
        <w:t>福利性单位</w:t>
      </w:r>
      <w:r>
        <w:rPr>
          <w:rFonts w:hint="eastAsia" w:ascii="宋体" w:hAnsi="宋体"/>
          <w:color w:val="000000"/>
          <w:kern w:val="0"/>
          <w:szCs w:val="21"/>
          <w:highlight w:val="none"/>
        </w:rPr>
        <w:t>（盖章）：</w:t>
      </w:r>
      <w:bookmarkEnd w:id="95"/>
      <w:bookmarkEnd w:id="96"/>
      <w:bookmarkEnd w:id="97"/>
      <w:r>
        <w:rPr>
          <w:rFonts w:hint="eastAsia" w:ascii="宋体" w:hAnsi="宋体"/>
          <w:color w:val="000000"/>
          <w:kern w:val="0"/>
          <w:szCs w:val="21"/>
          <w:highlight w:val="none"/>
          <w:u w:val="single"/>
        </w:rPr>
        <w:t xml:space="preserve"> </w:t>
      </w:r>
      <w:r>
        <w:rPr>
          <w:rFonts w:ascii="宋体" w:hAnsi="宋体"/>
          <w:color w:val="000000"/>
          <w:kern w:val="0"/>
          <w:szCs w:val="21"/>
          <w:highlight w:val="none"/>
          <w:u w:val="single"/>
        </w:rPr>
        <w:t xml:space="preserve">                 </w:t>
      </w:r>
    </w:p>
    <w:p w14:paraId="0332A9F7">
      <w:pPr>
        <w:spacing w:line="360" w:lineRule="auto"/>
        <w:ind w:left="1079" w:leftChars="257" w:hanging="540"/>
        <w:jc w:val="center"/>
        <w:rPr>
          <w:rFonts w:ascii="宋体" w:hAnsi="宋体"/>
          <w:color w:val="000000"/>
          <w:kern w:val="0"/>
          <w:szCs w:val="21"/>
          <w:highlight w:val="none"/>
        </w:rPr>
      </w:pPr>
      <w:r>
        <w:rPr>
          <w:rFonts w:hint="eastAsia" w:ascii="宋体" w:hAnsi="宋体"/>
          <w:color w:val="000000"/>
          <w:kern w:val="0"/>
          <w:szCs w:val="21"/>
          <w:highlight w:val="none"/>
        </w:rPr>
        <w:t xml:space="preserve">       </w:t>
      </w:r>
      <w:r>
        <w:rPr>
          <w:rFonts w:ascii="宋体" w:hAnsi="宋体"/>
          <w:color w:val="000000"/>
          <w:kern w:val="0"/>
          <w:szCs w:val="21"/>
          <w:highlight w:val="none"/>
        </w:rPr>
        <w:t xml:space="preserve">  </w:t>
      </w:r>
    </w:p>
    <w:p w14:paraId="16B989E0">
      <w:pPr>
        <w:spacing w:line="360" w:lineRule="auto"/>
        <w:ind w:left="644" w:leftChars="307" w:firstLine="2835" w:firstLineChars="1350"/>
        <w:rPr>
          <w:rFonts w:ascii="宋体" w:hAnsi="宋体"/>
          <w:color w:val="000000"/>
          <w:kern w:val="0"/>
          <w:szCs w:val="21"/>
          <w:highlight w:val="none"/>
          <w:u w:val="single"/>
        </w:rPr>
      </w:pPr>
      <w:r>
        <w:rPr>
          <w:rFonts w:hint="eastAsia" w:ascii="宋体" w:hAnsi="宋体"/>
          <w:color w:val="000000"/>
          <w:kern w:val="0"/>
          <w:szCs w:val="21"/>
          <w:highlight w:val="none"/>
        </w:rPr>
        <w:t>日  期：</w:t>
      </w:r>
      <w:r>
        <w:rPr>
          <w:rFonts w:ascii="宋体" w:hAnsi="宋体"/>
          <w:color w:val="000000"/>
          <w:kern w:val="0"/>
          <w:szCs w:val="21"/>
          <w:highlight w:val="none"/>
          <w:u w:val="single"/>
        </w:rPr>
        <w:t xml:space="preserve">                             </w:t>
      </w:r>
    </w:p>
    <w:p w14:paraId="65777F8B">
      <w:pPr>
        <w:spacing w:line="360" w:lineRule="auto"/>
        <w:ind w:left="644" w:leftChars="307" w:firstLine="2310" w:firstLineChars="1100"/>
        <w:rPr>
          <w:rFonts w:ascii="宋体" w:hAnsi="宋体"/>
          <w:color w:val="000000"/>
          <w:kern w:val="0"/>
          <w:szCs w:val="21"/>
          <w:highlight w:val="none"/>
          <w:u w:val="single"/>
        </w:rPr>
      </w:pPr>
    </w:p>
    <w:p w14:paraId="537C2531">
      <w:pPr>
        <w:pStyle w:val="11"/>
        <w:spacing w:line="360" w:lineRule="auto"/>
        <w:rPr>
          <w:rFonts w:hAnsi="宋体"/>
          <w:b/>
          <w:color w:val="000000"/>
          <w:kern w:val="0"/>
          <w:szCs w:val="21"/>
          <w:highlight w:val="none"/>
        </w:rPr>
      </w:pPr>
      <w:r>
        <w:rPr>
          <w:rFonts w:hint="eastAsia" w:hAnsi="宋体"/>
          <w:color w:val="000000"/>
          <w:szCs w:val="21"/>
          <w:highlight w:val="none"/>
        </w:rPr>
        <w:t>注：符合《三部门联合发布关于促进残疾人就业政府采购政策的通知》价格扣减条件的供应商须提交。</w:t>
      </w:r>
    </w:p>
    <w:p w14:paraId="6E4C39EF">
      <w:pPr>
        <w:pStyle w:val="15"/>
        <w:tabs>
          <w:tab w:val="left" w:pos="1890"/>
        </w:tabs>
        <w:snapToGrid w:val="0"/>
        <w:spacing w:line="312" w:lineRule="auto"/>
        <w:jc w:val="both"/>
        <w:rPr>
          <w:b/>
          <w:bCs/>
          <w:highlight w:val="none"/>
        </w:rPr>
      </w:pPr>
      <w:r>
        <w:rPr>
          <w:b/>
          <w:bCs/>
          <w:highlight w:val="none"/>
        </w:rPr>
        <w:tab/>
      </w:r>
    </w:p>
    <w:p w14:paraId="0DF0EA7B">
      <w:pPr>
        <w:adjustRightInd w:val="0"/>
        <w:snapToGrid w:val="0"/>
        <w:spacing w:line="360" w:lineRule="auto"/>
        <w:ind w:firstLine="3840" w:firstLineChars="1600"/>
        <w:rPr>
          <w:sz w:val="24"/>
          <w:highlight w:val="none"/>
        </w:rPr>
      </w:pPr>
    </w:p>
    <w:p w14:paraId="7BC7752C">
      <w:pPr>
        <w:rPr>
          <w:highlight w:val="none"/>
        </w:rPr>
      </w:pPr>
    </w:p>
    <w:p w14:paraId="1175F383">
      <w:pPr>
        <w:rPr>
          <w:highlight w:val="none"/>
        </w:rPr>
      </w:pPr>
    </w:p>
    <w:sectPr>
      <w:footerReference r:id="rId6" w:type="first"/>
      <w:pgSz w:w="11906" w:h="16838"/>
      <w:pgMar w:top="1281" w:right="1418" w:bottom="1247" w:left="1418" w:header="851" w:footer="992" w:gutter="0"/>
      <w:pgBorders>
        <w:bottom w:val="single" w:color="auto" w:sz="4" w:space="1"/>
      </w:pgBorders>
      <w:cols w:space="720" w:num="1"/>
      <w:titlePg/>
      <w:docGrid w:type="linesAndChars" w:linePitch="4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8DE7A8E-A6DC-4271-AA19-C2CFBC81AB1F}"/>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2" w:fontKey="{AD8DDC84-9799-4E50-B482-FBFD15D6722A}"/>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3" w:fontKey="{B5D3AB75-B060-4E95-BEBB-6643330BD904}"/>
  </w:font>
  <w:font w:name="Microsoft YaHei UI">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embedRegular r:id="rId4" w:fontKey="{B2A4A02D-6213-495F-9B05-A4473515A785}"/>
  </w:font>
  <w:font w:name="仿宋_GB2312">
    <w:panose1 w:val="02010609030101010101"/>
    <w:charset w:val="86"/>
    <w:family w:val="modern"/>
    <w:pitch w:val="default"/>
    <w:sig w:usb0="00000001" w:usb1="080E0000" w:usb2="00000000" w:usb3="00000000" w:csb0="00040000" w:csb1="00000000"/>
    <w:embedRegular r:id="rId5" w:fontKey="{37302951-124C-4985-BC9D-6CFF7B0921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2CF7">
    <w:pPr>
      <w:pStyle w:val="12"/>
    </w:pPr>
    <w:sdt>
      <w:sdtPr>
        <w:id w:val="-2123295241"/>
      </w:sdtPr>
      <w:sdtContent>
        <w:r>
          <w:rPr>
            <w:rFonts w:hint="eastAsia"/>
          </w:rPr>
          <w:t xml:space="preserve">陕西海佳项目管理有限公司 </w:t>
        </w:r>
        <w:r>
          <w:t xml:space="preserve">                          </w:t>
        </w:r>
        <w:r>
          <w:fldChar w:fldCharType="begin"/>
        </w:r>
        <w:r>
          <w:instrText xml:space="preserve">PAGE   \* MERGEFORMAT</w:instrText>
        </w:r>
        <w:r>
          <w:fldChar w:fldCharType="separate"/>
        </w:r>
        <w:r>
          <w:rPr>
            <w:lang w:val="zh-CN"/>
          </w:rPr>
          <w:t>15</w:t>
        </w:r>
        <w: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CBC2">
    <w:pPr>
      <w:tabs>
        <w:tab w:val="left" w:pos="3611"/>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0E45D">
    <w:pPr>
      <w:pStyle w:val="12"/>
    </w:pPr>
    <w:r>
      <w:rPr>
        <w:rFonts w:hint="eastAsia"/>
      </w:rPr>
      <w:t xml:space="preserve">陕西海佳项目管理有限公司 </w:t>
    </w:r>
    <w:r>
      <w:t xml:space="preserve">                         </w:t>
    </w:r>
    <w:sdt>
      <w:sdtPr>
        <w:id w:val="-1218967259"/>
      </w:sdtPr>
      <w:sdtContent>
        <w:r>
          <w:fldChar w:fldCharType="begin"/>
        </w:r>
        <w:r>
          <w:instrText xml:space="preserve">PAGE   \* MERGEFORMAT</w:instrText>
        </w:r>
        <w:r>
          <w:fldChar w:fldCharType="separate"/>
        </w:r>
        <w:r>
          <w:rPr>
            <w:lang w:val="zh-CN"/>
          </w:rPr>
          <w:t>28</w:t>
        </w:r>
        <w: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738DB">
    <w:pPr>
      <w:pStyle w:val="13"/>
    </w:pPr>
    <w:r>
      <w:rPr>
        <w:rFonts w:hint="eastAsia" w:ascii="宋体" w:hAnsi="宋体" w:cs="宋体"/>
        <w:kern w:val="0"/>
        <w:szCs w:val="21"/>
        <w:lang w:eastAsia="zh-CN"/>
      </w:rPr>
      <w:t>大雁塔不均匀沉降及变形监测项目</w:t>
    </w:r>
    <w:r>
      <w:rPr>
        <w:rFonts w:ascii="宋体" w:hAnsi="宋体" w:cs="宋体"/>
        <w:kern w:val="0"/>
        <w:szCs w:val="21"/>
      </w:rPr>
      <w:t xml:space="preserve">                                             </w:t>
    </w:r>
    <w:r>
      <w:rPr>
        <w:rFonts w:hint="eastAsia" w:ascii="宋体" w:hAnsi="宋体" w:cs="宋体"/>
        <w:kern w:val="0"/>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586A"/>
    <w:multiLevelType w:val="multilevel"/>
    <w:tmpl w:val="3441586A"/>
    <w:lvl w:ilvl="0" w:tentative="0">
      <w:start w:val="1"/>
      <w:numFmt w:val="japaneseCounting"/>
      <w:lvlText w:val="第%1章"/>
      <w:lvlJc w:val="left"/>
      <w:pPr>
        <w:ind w:left="990" w:hanging="99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4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wNGQ0ZjQ0ODZmMTAzOTIxNTI0M2Y0ZGFhM2U2MGMifQ=="/>
  </w:docVars>
  <w:rsids>
    <w:rsidRoot w:val="00704DB9"/>
    <w:rsid w:val="00015ABD"/>
    <w:rsid w:val="000569DB"/>
    <w:rsid w:val="000572B9"/>
    <w:rsid w:val="00060E96"/>
    <w:rsid w:val="00062100"/>
    <w:rsid w:val="00082307"/>
    <w:rsid w:val="000C157B"/>
    <w:rsid w:val="000C2019"/>
    <w:rsid w:val="000D558E"/>
    <w:rsid w:val="000E644C"/>
    <w:rsid w:val="000F33F5"/>
    <w:rsid w:val="00134ABC"/>
    <w:rsid w:val="00170BC0"/>
    <w:rsid w:val="00181750"/>
    <w:rsid w:val="00181F28"/>
    <w:rsid w:val="001B5A96"/>
    <w:rsid w:val="001D456F"/>
    <w:rsid w:val="001E2CEA"/>
    <w:rsid w:val="001F4493"/>
    <w:rsid w:val="00225973"/>
    <w:rsid w:val="002278BE"/>
    <w:rsid w:val="00233AC2"/>
    <w:rsid w:val="00250D35"/>
    <w:rsid w:val="00251A2B"/>
    <w:rsid w:val="002536C2"/>
    <w:rsid w:val="00257F3F"/>
    <w:rsid w:val="002607C6"/>
    <w:rsid w:val="00270B9C"/>
    <w:rsid w:val="002D47D3"/>
    <w:rsid w:val="0030500D"/>
    <w:rsid w:val="00306B9E"/>
    <w:rsid w:val="00342B0D"/>
    <w:rsid w:val="00345634"/>
    <w:rsid w:val="00361F3C"/>
    <w:rsid w:val="00363A35"/>
    <w:rsid w:val="003A1AD6"/>
    <w:rsid w:val="003A65C0"/>
    <w:rsid w:val="003B069C"/>
    <w:rsid w:val="003C2A81"/>
    <w:rsid w:val="003E2BDC"/>
    <w:rsid w:val="003F0931"/>
    <w:rsid w:val="00462011"/>
    <w:rsid w:val="0048044C"/>
    <w:rsid w:val="004A473D"/>
    <w:rsid w:val="004C0EAE"/>
    <w:rsid w:val="004C698F"/>
    <w:rsid w:val="004E2FCF"/>
    <w:rsid w:val="004E71B5"/>
    <w:rsid w:val="004F3659"/>
    <w:rsid w:val="00534D58"/>
    <w:rsid w:val="00553ED7"/>
    <w:rsid w:val="00554FDA"/>
    <w:rsid w:val="005A61B7"/>
    <w:rsid w:val="005C308B"/>
    <w:rsid w:val="006138D9"/>
    <w:rsid w:val="00617EC3"/>
    <w:rsid w:val="00643FDB"/>
    <w:rsid w:val="00656237"/>
    <w:rsid w:val="0068460C"/>
    <w:rsid w:val="00704DB9"/>
    <w:rsid w:val="0072116E"/>
    <w:rsid w:val="00732EBD"/>
    <w:rsid w:val="00737B59"/>
    <w:rsid w:val="00744894"/>
    <w:rsid w:val="007957A9"/>
    <w:rsid w:val="007A55CF"/>
    <w:rsid w:val="007B6EE9"/>
    <w:rsid w:val="007F0E1C"/>
    <w:rsid w:val="007F475F"/>
    <w:rsid w:val="00822DA3"/>
    <w:rsid w:val="008507FF"/>
    <w:rsid w:val="00860102"/>
    <w:rsid w:val="00871AF6"/>
    <w:rsid w:val="00910168"/>
    <w:rsid w:val="00910521"/>
    <w:rsid w:val="00917746"/>
    <w:rsid w:val="0093634B"/>
    <w:rsid w:val="00960D0A"/>
    <w:rsid w:val="00990EE9"/>
    <w:rsid w:val="009A6EBD"/>
    <w:rsid w:val="009C540E"/>
    <w:rsid w:val="00A25A12"/>
    <w:rsid w:val="00A30819"/>
    <w:rsid w:val="00A511E3"/>
    <w:rsid w:val="00A5418C"/>
    <w:rsid w:val="00A67D8B"/>
    <w:rsid w:val="00A7341D"/>
    <w:rsid w:val="00A73D44"/>
    <w:rsid w:val="00A77556"/>
    <w:rsid w:val="00A818F8"/>
    <w:rsid w:val="00AC1CAD"/>
    <w:rsid w:val="00AC2146"/>
    <w:rsid w:val="00AF1D34"/>
    <w:rsid w:val="00B17A97"/>
    <w:rsid w:val="00B53B87"/>
    <w:rsid w:val="00B71CE8"/>
    <w:rsid w:val="00B82712"/>
    <w:rsid w:val="00BA2C0D"/>
    <w:rsid w:val="00BB2F46"/>
    <w:rsid w:val="00BE3A72"/>
    <w:rsid w:val="00C76AE1"/>
    <w:rsid w:val="00C86ABF"/>
    <w:rsid w:val="00C91066"/>
    <w:rsid w:val="00C93C03"/>
    <w:rsid w:val="00CC3463"/>
    <w:rsid w:val="00CE47F9"/>
    <w:rsid w:val="00D22B32"/>
    <w:rsid w:val="00D642FE"/>
    <w:rsid w:val="00D855FA"/>
    <w:rsid w:val="00DD115C"/>
    <w:rsid w:val="00DD7230"/>
    <w:rsid w:val="00E74C42"/>
    <w:rsid w:val="00EA0EA5"/>
    <w:rsid w:val="00EB49FE"/>
    <w:rsid w:val="00F0339A"/>
    <w:rsid w:val="00F07940"/>
    <w:rsid w:val="00F161F4"/>
    <w:rsid w:val="00F612C4"/>
    <w:rsid w:val="00F677D6"/>
    <w:rsid w:val="00FC12D5"/>
    <w:rsid w:val="00FC568B"/>
    <w:rsid w:val="011B42AD"/>
    <w:rsid w:val="0226733C"/>
    <w:rsid w:val="038516DE"/>
    <w:rsid w:val="03B877B2"/>
    <w:rsid w:val="04DF454C"/>
    <w:rsid w:val="06D36E11"/>
    <w:rsid w:val="06ED1F98"/>
    <w:rsid w:val="06F31C05"/>
    <w:rsid w:val="07612864"/>
    <w:rsid w:val="0790272F"/>
    <w:rsid w:val="08FB3B01"/>
    <w:rsid w:val="094D1E71"/>
    <w:rsid w:val="0A0A1357"/>
    <w:rsid w:val="0B06410B"/>
    <w:rsid w:val="0BBB5A3D"/>
    <w:rsid w:val="0C4B5BD3"/>
    <w:rsid w:val="0CDC7F29"/>
    <w:rsid w:val="0CE72530"/>
    <w:rsid w:val="0F4D1C08"/>
    <w:rsid w:val="0FB2429E"/>
    <w:rsid w:val="0FCF39EE"/>
    <w:rsid w:val="10D6429E"/>
    <w:rsid w:val="12094C6B"/>
    <w:rsid w:val="124B733B"/>
    <w:rsid w:val="12865382"/>
    <w:rsid w:val="12890323"/>
    <w:rsid w:val="136B5625"/>
    <w:rsid w:val="14316A45"/>
    <w:rsid w:val="1441066C"/>
    <w:rsid w:val="153516E1"/>
    <w:rsid w:val="16647203"/>
    <w:rsid w:val="16D5004E"/>
    <w:rsid w:val="180F4560"/>
    <w:rsid w:val="186F7725"/>
    <w:rsid w:val="19EF6635"/>
    <w:rsid w:val="1A380C99"/>
    <w:rsid w:val="1B757145"/>
    <w:rsid w:val="1BDA76D7"/>
    <w:rsid w:val="1C6903AA"/>
    <w:rsid w:val="1C8633EE"/>
    <w:rsid w:val="1CCB76E2"/>
    <w:rsid w:val="1DB96312"/>
    <w:rsid w:val="1F4B16F9"/>
    <w:rsid w:val="1FF561F6"/>
    <w:rsid w:val="206A5C96"/>
    <w:rsid w:val="210E6B47"/>
    <w:rsid w:val="219278D8"/>
    <w:rsid w:val="22275685"/>
    <w:rsid w:val="22A56017"/>
    <w:rsid w:val="23F21382"/>
    <w:rsid w:val="24623F7D"/>
    <w:rsid w:val="24947FA5"/>
    <w:rsid w:val="25E755DA"/>
    <w:rsid w:val="26201EFE"/>
    <w:rsid w:val="26C84FCE"/>
    <w:rsid w:val="27032152"/>
    <w:rsid w:val="276B567C"/>
    <w:rsid w:val="28253B1F"/>
    <w:rsid w:val="2837437F"/>
    <w:rsid w:val="28BB2C24"/>
    <w:rsid w:val="298D5BD5"/>
    <w:rsid w:val="29C97072"/>
    <w:rsid w:val="2A21382C"/>
    <w:rsid w:val="2C3562B0"/>
    <w:rsid w:val="2DF8044C"/>
    <w:rsid w:val="2E321F6E"/>
    <w:rsid w:val="2FD91AA3"/>
    <w:rsid w:val="300C557A"/>
    <w:rsid w:val="31A20008"/>
    <w:rsid w:val="320C5188"/>
    <w:rsid w:val="337008C0"/>
    <w:rsid w:val="33E82ECD"/>
    <w:rsid w:val="340453B6"/>
    <w:rsid w:val="34F07218"/>
    <w:rsid w:val="36077122"/>
    <w:rsid w:val="3682517F"/>
    <w:rsid w:val="37AB45BE"/>
    <w:rsid w:val="37E45160"/>
    <w:rsid w:val="388B3E9B"/>
    <w:rsid w:val="38CC58A6"/>
    <w:rsid w:val="39C85F85"/>
    <w:rsid w:val="3A2133B1"/>
    <w:rsid w:val="3C3268DF"/>
    <w:rsid w:val="3CDA5B6F"/>
    <w:rsid w:val="3CFF4AAB"/>
    <w:rsid w:val="3D583F14"/>
    <w:rsid w:val="3D9D3CB5"/>
    <w:rsid w:val="3FB534C8"/>
    <w:rsid w:val="403326AF"/>
    <w:rsid w:val="40C747A1"/>
    <w:rsid w:val="43185044"/>
    <w:rsid w:val="4391302C"/>
    <w:rsid w:val="43F603F2"/>
    <w:rsid w:val="455843B7"/>
    <w:rsid w:val="4589512F"/>
    <w:rsid w:val="45A83CDC"/>
    <w:rsid w:val="45C01F2A"/>
    <w:rsid w:val="45D011C4"/>
    <w:rsid w:val="46670B8F"/>
    <w:rsid w:val="467A2F40"/>
    <w:rsid w:val="469B264A"/>
    <w:rsid w:val="47C45D36"/>
    <w:rsid w:val="498C716B"/>
    <w:rsid w:val="49986A7B"/>
    <w:rsid w:val="4BBC7A26"/>
    <w:rsid w:val="4BBF7202"/>
    <w:rsid w:val="4C230C4B"/>
    <w:rsid w:val="4C724BD7"/>
    <w:rsid w:val="4CC50B32"/>
    <w:rsid w:val="4CCB25A3"/>
    <w:rsid w:val="4D9A158D"/>
    <w:rsid w:val="4DAB24E9"/>
    <w:rsid w:val="4DCE5962"/>
    <w:rsid w:val="4E9F2127"/>
    <w:rsid w:val="4F794705"/>
    <w:rsid w:val="4FCF1BD2"/>
    <w:rsid w:val="50CA561F"/>
    <w:rsid w:val="50FF612F"/>
    <w:rsid w:val="5147125F"/>
    <w:rsid w:val="53E75832"/>
    <w:rsid w:val="545F16DC"/>
    <w:rsid w:val="55C73364"/>
    <w:rsid w:val="56364422"/>
    <w:rsid w:val="56660156"/>
    <w:rsid w:val="58D00E40"/>
    <w:rsid w:val="58E4647C"/>
    <w:rsid w:val="596B6770"/>
    <w:rsid w:val="59FB5035"/>
    <w:rsid w:val="5A9C3580"/>
    <w:rsid w:val="5ACC1184"/>
    <w:rsid w:val="5CF74620"/>
    <w:rsid w:val="5D496E45"/>
    <w:rsid w:val="5D5D155E"/>
    <w:rsid w:val="5D81519D"/>
    <w:rsid w:val="5E5722AD"/>
    <w:rsid w:val="5E9F0132"/>
    <w:rsid w:val="5F4C789C"/>
    <w:rsid w:val="60414512"/>
    <w:rsid w:val="606C2CE1"/>
    <w:rsid w:val="608F094A"/>
    <w:rsid w:val="613524DA"/>
    <w:rsid w:val="619176B7"/>
    <w:rsid w:val="62D47DF2"/>
    <w:rsid w:val="63135D0B"/>
    <w:rsid w:val="63C0577B"/>
    <w:rsid w:val="63D117EA"/>
    <w:rsid w:val="641D5963"/>
    <w:rsid w:val="659C4AA6"/>
    <w:rsid w:val="66535A72"/>
    <w:rsid w:val="666B5E4F"/>
    <w:rsid w:val="666B61A1"/>
    <w:rsid w:val="66B41360"/>
    <w:rsid w:val="66CC5995"/>
    <w:rsid w:val="67250DA8"/>
    <w:rsid w:val="6832605C"/>
    <w:rsid w:val="69C34CE3"/>
    <w:rsid w:val="6A365EC1"/>
    <w:rsid w:val="6B571BFD"/>
    <w:rsid w:val="6BDE023A"/>
    <w:rsid w:val="6D667B40"/>
    <w:rsid w:val="6E2E4D67"/>
    <w:rsid w:val="6F8D0789"/>
    <w:rsid w:val="70050016"/>
    <w:rsid w:val="70B256C9"/>
    <w:rsid w:val="71426A9D"/>
    <w:rsid w:val="71E37652"/>
    <w:rsid w:val="7274724F"/>
    <w:rsid w:val="748208D4"/>
    <w:rsid w:val="748F5B6C"/>
    <w:rsid w:val="74D555A3"/>
    <w:rsid w:val="750F480A"/>
    <w:rsid w:val="754C0753"/>
    <w:rsid w:val="75632C75"/>
    <w:rsid w:val="76006659"/>
    <w:rsid w:val="76357A7F"/>
    <w:rsid w:val="76601350"/>
    <w:rsid w:val="767103C8"/>
    <w:rsid w:val="771D1071"/>
    <w:rsid w:val="775837F2"/>
    <w:rsid w:val="790B2AB0"/>
    <w:rsid w:val="7918506D"/>
    <w:rsid w:val="799E4977"/>
    <w:rsid w:val="79B86DD2"/>
    <w:rsid w:val="79E13370"/>
    <w:rsid w:val="79FD1387"/>
    <w:rsid w:val="7A06272B"/>
    <w:rsid w:val="7A4B10B9"/>
    <w:rsid w:val="7C120053"/>
    <w:rsid w:val="7CDC7093"/>
    <w:rsid w:val="7CF80231"/>
    <w:rsid w:val="7D750299"/>
    <w:rsid w:val="7DE06F08"/>
    <w:rsid w:val="7E2929E7"/>
    <w:rsid w:val="7E4E1E86"/>
    <w:rsid w:val="7F2D4191"/>
    <w:rsid w:val="7FC76E61"/>
    <w:rsid w:val="7FD8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spacing w:line="720" w:lineRule="exact"/>
      <w:outlineLvl w:val="1"/>
    </w:pPr>
    <w:rPr>
      <w:rFonts w:ascii="黑体" w:hAnsi="Copperplate Gothic Bold" w:eastAsia="楷体_GB2312"/>
      <w:sz w:val="28"/>
    </w:rPr>
  </w:style>
  <w:style w:type="paragraph" w:styleId="4">
    <w:name w:val="heading 3"/>
    <w:basedOn w:val="1"/>
    <w:next w:val="1"/>
    <w:qFormat/>
    <w:uiPriority w:val="0"/>
    <w:pPr>
      <w:keepNext/>
      <w:spacing w:line="320" w:lineRule="exact"/>
      <w:outlineLvl w:val="2"/>
    </w:pPr>
    <w:rPr>
      <w:rFonts w:ascii="楷体_GB2312" w:eastAsia="楷体_GB2312"/>
      <w:sz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060"/>
      </w:tabs>
      <w:spacing w:line="600" w:lineRule="auto"/>
    </w:pPr>
  </w:style>
  <w:style w:type="paragraph" w:styleId="7">
    <w:name w:val="Normal Indent"/>
    <w:basedOn w:val="1"/>
    <w:next w:val="1"/>
    <w:qFormat/>
    <w:uiPriority w:val="0"/>
    <w:pPr>
      <w:ind w:firstLine="420"/>
    </w:pPr>
  </w:style>
  <w:style w:type="paragraph" w:styleId="8">
    <w:name w:val="annotation text"/>
    <w:basedOn w:val="1"/>
    <w:link w:val="32"/>
    <w:qFormat/>
    <w:uiPriority w:val="0"/>
    <w:pPr>
      <w:jc w:val="left"/>
    </w:pPr>
  </w:style>
  <w:style w:type="paragraph" w:styleId="9">
    <w:name w:val="Body Text"/>
    <w:basedOn w:val="1"/>
    <w:qFormat/>
    <w:uiPriority w:val="0"/>
    <w:pPr>
      <w:jc w:val="left"/>
    </w:pPr>
    <w:rPr>
      <w:rFonts w:ascii="Copperplate Gothic Bold" w:hAnsi="Copperplate Gothic Bold"/>
      <w:sz w:val="28"/>
    </w:rPr>
  </w:style>
  <w:style w:type="paragraph" w:styleId="10">
    <w:name w:val="Body Text Indent"/>
    <w:basedOn w:val="1"/>
    <w:qFormat/>
    <w:uiPriority w:val="0"/>
    <w:pPr>
      <w:spacing w:line="640" w:lineRule="exact"/>
      <w:ind w:firstLine="585"/>
    </w:pPr>
    <w:rPr>
      <w:rFonts w:ascii="楷体_GB2312" w:eastAsia="楷体_GB2312"/>
      <w:sz w:val="32"/>
    </w:rPr>
  </w:style>
  <w:style w:type="paragraph" w:styleId="11">
    <w:name w:val="Plain Text"/>
    <w:basedOn w:val="1"/>
    <w:qFormat/>
    <w:uiPriority w:val="0"/>
    <w:rPr>
      <w:rFonts w:ascii="宋体" w:hAnsi="Courier New"/>
    </w:rPr>
  </w:style>
  <w:style w:type="paragraph" w:styleId="12">
    <w:name w:val="footer"/>
    <w:basedOn w:val="1"/>
    <w:link w:val="42"/>
    <w:qFormat/>
    <w:uiPriority w:val="99"/>
    <w:pPr>
      <w:tabs>
        <w:tab w:val="center" w:pos="4153"/>
        <w:tab w:val="right" w:pos="8306"/>
      </w:tabs>
      <w:snapToGrid w:val="0"/>
      <w:jc w:val="left"/>
    </w:pPr>
    <w:rPr>
      <w:sz w:val="18"/>
    </w:rPr>
  </w:style>
  <w:style w:type="paragraph" w:styleId="13">
    <w:name w:val="header"/>
    <w:basedOn w:val="1"/>
    <w:link w:val="43"/>
    <w:qFormat/>
    <w:uiPriority w:val="99"/>
    <w:pPr>
      <w:pBdr>
        <w:bottom w:val="single" w:color="auto" w:sz="6" w:space="1"/>
      </w:pBdr>
      <w:tabs>
        <w:tab w:val="center" w:pos="4153"/>
        <w:tab w:val="right" w:pos="8306"/>
      </w:tabs>
      <w:snapToGrid w:val="0"/>
      <w:jc w:val="center"/>
    </w:pPr>
    <w:rPr>
      <w:sz w:val="18"/>
    </w:rPr>
  </w:style>
  <w:style w:type="paragraph" w:styleId="14">
    <w:name w:val="HTML Preformatted"/>
    <w:basedOn w:val="1"/>
    <w:qFormat/>
    <w:uiPriority w:val="0"/>
    <w:pPr>
      <w:jc w:val="left"/>
    </w:pPr>
    <w:rPr>
      <w:rFonts w:ascii="Arial" w:hAnsi="Arial" w:cs="Arial"/>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等线 Light" w:hAnsi="等线 Light"/>
      <w:b/>
      <w:bCs/>
      <w:sz w:val="32"/>
      <w:szCs w:val="32"/>
    </w:rPr>
  </w:style>
  <w:style w:type="paragraph" w:styleId="17">
    <w:name w:val="annotation subject"/>
    <w:basedOn w:val="8"/>
    <w:next w:val="8"/>
    <w:link w:val="33"/>
    <w:qFormat/>
    <w:uiPriority w:val="0"/>
    <w:rPr>
      <w:b/>
      <w:bCs/>
    </w:rPr>
  </w:style>
  <w:style w:type="paragraph" w:styleId="18">
    <w:name w:val="Body Text First Indent 2"/>
    <w:basedOn w:val="10"/>
    <w:qFormat/>
    <w:uiPriority w:val="0"/>
    <w:pPr>
      <w:ind w:firstLine="420"/>
    </w:pPr>
  </w:style>
  <w:style w:type="table" w:styleId="20">
    <w:name w:val="Table Grid"/>
    <w:basedOn w:val="19"/>
    <w:qFormat/>
    <w:uiPriority w:val="0"/>
    <w:pPr>
      <w:widowControl w:val="0"/>
      <w:jc w:val="both"/>
    </w:pPr>
    <w:rPr>
      <w:rFonts w:ascii="Calibri Light" w:hAnsi="Calibri Light" w:eastAsia="华文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none"/>
    </w:rPr>
  </w:style>
  <w:style w:type="character" w:styleId="25">
    <w:name w:val="annotation reference"/>
    <w:basedOn w:val="21"/>
    <w:semiHidden/>
    <w:qFormat/>
    <w:uiPriority w:val="0"/>
    <w:rPr>
      <w:sz w:val="21"/>
    </w:rPr>
  </w:style>
  <w:style w:type="paragraph" w:customStyle="1" w:styleId="26">
    <w:name w:val="列出段落1"/>
    <w:basedOn w:val="1"/>
    <w:qFormat/>
    <w:uiPriority w:val="34"/>
    <w:pPr>
      <w:ind w:firstLine="420" w:firstLineChars="200"/>
    </w:pPr>
    <w:rPr>
      <w:szCs w:val="22"/>
    </w:rPr>
  </w:style>
  <w:style w:type="paragraph" w:customStyle="1" w:styleId="27">
    <w:name w:val="（符号）普通正文"/>
    <w:basedOn w:val="1"/>
    <w:qFormat/>
    <w:uiPriority w:val="0"/>
    <w:pPr>
      <w:spacing w:line="460" w:lineRule="exact"/>
      <w:ind w:firstLine="480" w:firstLineChars="200"/>
    </w:pPr>
    <w:rPr>
      <w:rFonts w:ascii="宋体" w:hAnsi="宋体" w:cs="宋体"/>
      <w:sz w:val="24"/>
    </w:rPr>
  </w:style>
  <w:style w:type="paragraph" w:customStyle="1" w:styleId="28">
    <w:name w:val="tit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List Paragraph1"/>
    <w:basedOn w:val="1"/>
    <w:qFormat/>
    <w:uiPriority w:val="0"/>
    <w:pPr>
      <w:ind w:firstLine="420" w:firstLineChars="200"/>
    </w:pPr>
    <w:rPr>
      <w:szCs w:val="22"/>
    </w:rPr>
  </w:style>
  <w:style w:type="paragraph" w:customStyle="1" w:styleId="30">
    <w:name w:val="样式2"/>
    <w:basedOn w:val="12"/>
    <w:qFormat/>
    <w:uiPriority w:val="0"/>
    <w:pPr>
      <w:pBdr>
        <w:top w:val="single" w:color="auto" w:sz="4" w:space="1"/>
      </w:pBdr>
    </w:pPr>
    <w:rPr>
      <w:szCs w:val="18"/>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批注文字 Char"/>
    <w:basedOn w:val="21"/>
    <w:link w:val="8"/>
    <w:qFormat/>
    <w:uiPriority w:val="0"/>
    <w:rPr>
      <w:rFonts w:ascii="Calibri" w:hAnsi="Calibri" w:eastAsia="宋体" w:cs="Times New Roman"/>
      <w:kern w:val="2"/>
      <w:sz w:val="21"/>
    </w:rPr>
  </w:style>
  <w:style w:type="character" w:customStyle="1" w:styleId="33">
    <w:name w:val="批注主题 Char"/>
    <w:basedOn w:val="32"/>
    <w:link w:val="17"/>
    <w:qFormat/>
    <w:uiPriority w:val="0"/>
    <w:rPr>
      <w:rFonts w:ascii="Calibri" w:hAnsi="Calibri" w:eastAsia="宋体" w:cs="Times New Roman"/>
      <w:b/>
      <w:bCs/>
      <w:kern w:val="2"/>
      <w:sz w:val="21"/>
    </w:rPr>
  </w:style>
  <w:style w:type="paragraph" w:customStyle="1" w:styleId="34">
    <w:name w:val="Table Paragraph"/>
    <w:basedOn w:val="1"/>
    <w:qFormat/>
    <w:uiPriority w:val="1"/>
    <w:rPr>
      <w:rFonts w:ascii="仿宋" w:hAnsi="仿宋" w:eastAsia="仿宋" w:cs="仿宋"/>
      <w:lang w:val="zh-CN" w:bidi="zh-CN"/>
    </w:rPr>
  </w:style>
  <w:style w:type="paragraph" w:customStyle="1" w:styleId="35">
    <w:name w:val="!表格正文"/>
    <w:basedOn w:val="1"/>
    <w:qFormat/>
    <w:uiPriority w:val="0"/>
    <w:pPr>
      <w:tabs>
        <w:tab w:val="left" w:pos="472"/>
      </w:tabs>
      <w:jc w:val="center"/>
    </w:pPr>
    <w:rPr>
      <w:rFonts w:ascii="Times New Roman" w:hAnsi="Times New Roman"/>
      <w:bCs/>
      <w:szCs w:val="21"/>
    </w:rPr>
  </w:style>
  <w:style w:type="paragraph" w:customStyle="1" w:styleId="3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37">
    <w:name w:val="z-正文"/>
    <w:basedOn w:val="1"/>
    <w:qFormat/>
    <w:uiPriority w:val="0"/>
    <w:pPr>
      <w:spacing w:line="360" w:lineRule="auto"/>
      <w:ind w:firstLine="200" w:firstLineChars="200"/>
    </w:pPr>
    <w:rPr>
      <w:rFonts w:ascii="Times New Roman" w:hAnsi="Times New Roman"/>
      <w:sz w:val="24"/>
      <w:lang w:val="zh-CN"/>
    </w:rPr>
  </w:style>
  <w:style w:type="paragraph" w:customStyle="1" w:styleId="38">
    <w:name w:val="*正文"/>
    <w:basedOn w:val="1"/>
    <w:qFormat/>
    <w:uiPriority w:val="0"/>
    <w:pPr>
      <w:ind w:firstLine="480"/>
    </w:pPr>
    <w:rPr>
      <w:rFonts w:ascii="Times New Roman" w:hAnsi="Times New Roman" w:cs="Arial"/>
      <w:bCs/>
      <w:kern w:val="0"/>
      <w:szCs w:val="30"/>
      <w:shd w:val="clear" w:color="auto" w:fill="FFFFFF"/>
      <w:lang w:val="zh-CN"/>
    </w:rPr>
  </w:style>
  <w:style w:type="character" w:customStyle="1" w:styleId="39">
    <w:name w:val="cf01"/>
    <w:basedOn w:val="21"/>
    <w:qFormat/>
    <w:uiPriority w:val="0"/>
    <w:rPr>
      <w:rFonts w:hint="eastAsia" w:ascii="Microsoft YaHei UI" w:hAnsi="Microsoft YaHei UI" w:eastAsia="Microsoft YaHei UI"/>
      <w:sz w:val="18"/>
      <w:szCs w:val="18"/>
    </w:rPr>
  </w:style>
  <w:style w:type="paragraph" w:styleId="40">
    <w:name w:val="List Paragraph"/>
    <w:basedOn w:val="1"/>
    <w:qFormat/>
    <w:uiPriority w:val="0"/>
    <w:pPr>
      <w:ind w:firstLine="420" w:firstLineChars="200"/>
    </w:p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页脚 Char"/>
    <w:basedOn w:val="21"/>
    <w:link w:val="12"/>
    <w:qFormat/>
    <w:uiPriority w:val="99"/>
    <w:rPr>
      <w:rFonts w:ascii="Calibri" w:hAnsi="Calibri"/>
      <w:kern w:val="2"/>
      <w:sz w:val="18"/>
    </w:rPr>
  </w:style>
  <w:style w:type="character" w:customStyle="1" w:styleId="43">
    <w:name w:val="页眉 Char"/>
    <w:basedOn w:val="21"/>
    <w:link w:val="13"/>
    <w:qFormat/>
    <w:uiPriority w:val="99"/>
    <w:rPr>
      <w:rFonts w:ascii="Calibri" w:hAnsi="Calibri"/>
      <w:kern w:val="2"/>
      <w:sz w:val="18"/>
    </w:rPr>
  </w:style>
  <w:style w:type="paragraph" w:customStyle="1" w:styleId="44">
    <w:name w:val="null3"/>
    <w:hidden/>
    <w:qFormat/>
    <w:uiPriority w:val="0"/>
    <w:rPr>
      <w:rFonts w:hint="eastAsia" w:asciiTheme="minorHAnsi" w:hAnsiTheme="minorHAnsi" w:eastAsiaTheme="minorEastAsia" w:cstheme="minorBidi"/>
      <w:lang w:val="en-US" w:eastAsia="zh-Hans" w:bidi="ar-SA"/>
    </w:rPr>
  </w:style>
  <w:style w:type="paragraph" w:customStyle="1" w:styleId="45">
    <w:name w:val="无间隔1"/>
    <w:qFormat/>
    <w:uiPriority w:val="0"/>
    <w:pPr>
      <w:widowControl w:val="0"/>
    </w:pPr>
    <w:rPr>
      <w:rFonts w:ascii="Calibri" w:hAnsi="Calibri" w:eastAsia="宋体" w:cs="Times New Roman"/>
      <w:kern w:val="2"/>
      <w:sz w:val="21"/>
      <w:szCs w:val="22"/>
      <w:lang w:val="en-US" w:eastAsia="zh-CN"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目录"/>
    <w:basedOn w:val="1"/>
    <w:qFormat/>
    <w:uiPriority w:val="0"/>
    <w:pPr>
      <w:widowControl/>
      <w:jc w:val="center"/>
    </w:pPr>
    <w:rPr>
      <w:rFonts w:ascii="Calibri"/>
      <w:b/>
      <w:sz w:val="3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1B2D-A03A-4755-A8CD-A3AE038B6457}">
  <ds:schemaRefs/>
</ds:datastoreItem>
</file>

<file path=docProps/app.xml><?xml version="1.0" encoding="utf-8"?>
<Properties xmlns="http://schemas.openxmlformats.org/officeDocument/2006/extended-properties" xmlns:vt="http://schemas.openxmlformats.org/officeDocument/2006/docPropsVTypes">
  <Template>Normal</Template>
  <Pages>42</Pages>
  <Words>69</Words>
  <Characters>80</Characters>
  <Lines>164</Lines>
  <Paragraphs>46</Paragraphs>
  <TotalTime>8</TotalTime>
  <ScaleCrop>false</ScaleCrop>
  <LinksUpToDate>false</LinksUpToDate>
  <CharactersWithSpaces>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2024-05-29T12:53:00Z</dcterms:created>
  <dc:creator>86136</dc:creator>
  <cp:lastModifiedBy>15249</cp:lastModifiedBy>
  <cp:lastPrinted>2025-05-19T02:26:35Z</cp:lastPrinted>
  <dcterms:modified xsi:type="dcterms:W3CDTF">2025-05-19T02:26:50Z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E53C644E519C490E804ECD0C717F7F4A_13</vt:lpwstr>
  </property>
  <property fmtid="{D5CDD505-2E9C-101B-9397-08002B2CF9AE}" pid="4" name="KSOTemplateDocerSaveRecord">
    <vt:lpwstr>eyJoZGlkIjoiODgzMGE5ZWNlZDFlNWYzNTNkNmE5ZjMxMmVkNTMyYTIifQ==</vt:lpwstr>
  </property>
</Properties>
</file>