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E42E1">
      <w:pPr>
        <w:widowControl/>
        <w:jc w:val="center"/>
        <w:outlineLvl w:val="0"/>
        <w:rPr>
          <w:rFonts w:hint="eastAsia" w:ascii="宋体" w:hAnsi="宋体" w:cs="宋体"/>
          <w:bCs/>
          <w:color w:val="auto"/>
          <w:sz w:val="28"/>
          <w:szCs w:val="28"/>
        </w:rPr>
      </w:pPr>
      <w:bookmarkStart w:id="0" w:name="_Toc10781_WPSOffice_Level1"/>
      <w:r>
        <w:rPr>
          <w:rFonts w:hint="eastAsia" w:ascii="宋体" w:hAnsi="宋体" w:cs="宋体"/>
          <w:b/>
          <w:color w:val="auto"/>
          <w:sz w:val="32"/>
          <w:szCs w:val="32"/>
          <w:lang w:bidi="ar"/>
        </w:rPr>
        <w:t>第四章 采购内容及技术要求</w:t>
      </w:r>
      <w:bookmarkEnd w:id="0"/>
    </w:p>
    <w:p w14:paraId="4F8E73C3">
      <w:pPr>
        <w:widowControl/>
        <w:spacing w:line="360" w:lineRule="auto"/>
        <w:ind w:firstLine="0" w:firstLineChars="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  <w:t>一、项目概况</w:t>
      </w:r>
    </w:p>
    <w:p w14:paraId="29F3E86A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西安国家民用航天产业基地公共停车场PPP项目根据项目实施方案，原计划新建3座停车场，新增停车位1685个、充电桩168个。项目实施过程中，部分建设内容需要调整，为妥善解决项目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续问题，提供本项目财务、法律、技术等方面PPP咨询服务，达到本项目按PPP模式运作的项目要求，使项目顺利实施。本次采购西安国家民用航天产业基地公共停车场PPP项目调整咨询服务。</w:t>
      </w:r>
    </w:p>
    <w:p w14:paraId="6B9D9E34">
      <w:pPr>
        <w:widowControl/>
        <w:spacing w:line="360" w:lineRule="auto"/>
        <w:ind w:firstLine="0" w:firstLineChars="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  <w:t>二、服务内容</w:t>
      </w:r>
    </w:p>
    <w:p w14:paraId="566CC28B">
      <w:pPr>
        <w:widowControl/>
        <w:spacing w:line="360" w:lineRule="auto"/>
        <w:ind w:firstLine="480" w:firstLineChars="20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负责对项目财务整体重新测算分析；项目可研报告调整的编制；PPP实施方案变更的编制；协助补充协议的签订；调查评估报告编制；建设期及运营期绩效考核细化服务方案。</w:t>
      </w:r>
    </w:p>
    <w:p w14:paraId="5A86871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zh-CN" w:eastAsia="zh-CN"/>
        </w:rPr>
        <w:t>技术要求</w:t>
      </w:r>
    </w:p>
    <w:p w14:paraId="3BEE4EBD">
      <w:pPr>
        <w:topLinePunct/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（一）对项目目前实施情况进行全面调研，收集项目相关文件资料，详细了解项目当前合作范围、运营边界、交易条件、回报机制、合同履约、工程建设、项目融资、政府支付及监管等情况；</w:t>
      </w:r>
    </w:p>
    <w:p w14:paraId="731DE886">
      <w:pPr>
        <w:topLinePunct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（二）结合最新政策文件要求对本项目实施变更调整的背景、变更范围与内容、变更事由与依据、基本原则等进行甄别分析；</w:t>
      </w:r>
    </w:p>
    <w:p w14:paraId="204013A4">
      <w:pPr>
        <w:topLinePunct/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（三）结合项目实际情况，对项目变更后的风险分配、回报机制、交易结构、绩效评价、政府支付及监管等问题进行分析研究，形成变更调整思路，确定项目变更及路径；</w:t>
      </w:r>
    </w:p>
    <w:p w14:paraId="292452A1">
      <w:pPr>
        <w:topLinePunct/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（四）结合项目实际情况，对本次变更运作过程中涉及的关键数据进行分析论证，重新构建财务测算模型对项目进行整体测算分析，保证采购形成的核心投资回报条件及收益水平一致性；</w:t>
      </w:r>
    </w:p>
    <w:p w14:paraId="27089DE5">
      <w:pPr>
        <w:topLinePunct/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（五）结合已确定的项目变更边界条件，完成PPP项目可研报告及实施方案调整的编制；完成建设期及运营期绩效考核细化服务方案的编制。</w:t>
      </w:r>
    </w:p>
    <w:p w14:paraId="7077C3F5">
      <w:pPr>
        <w:topLinePunct/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（六）就变更下的项目范围、权利义务、政府支出等协助政府方及法律单位拟定《PPP项目合同》补充协议，并协助补充协议的签订；</w:t>
      </w:r>
    </w:p>
    <w:p w14:paraId="4441F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t>（七）协助整理项目变更相关材料。</w:t>
      </w:r>
    </w:p>
    <w:p w14:paraId="2F08D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b/>
          <w:sz w:val="24"/>
          <w:szCs w:val="24"/>
        </w:rPr>
        <w:t>要求</w:t>
      </w:r>
    </w:p>
    <w:p w14:paraId="69B19A2B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（一）人力资源</w:t>
      </w:r>
    </w:p>
    <w:p w14:paraId="075E5D76"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咨询人员应由具备项目实施与管理专业能力的人员构成。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负责人1人、现场负责人1人、专家若干人、其他人员若干人。</w:t>
      </w:r>
    </w:p>
    <w:p w14:paraId="0B34CEFC"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（二）办公场所与设备</w:t>
      </w:r>
    </w:p>
    <w:p w14:paraId="040CC7BA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为供应商提供足够的办公场所和必要的办公设备。</w:t>
      </w:r>
    </w:p>
    <w:p w14:paraId="46C25D5A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（三）软件工具支持</w:t>
      </w:r>
    </w:p>
    <w:p w14:paraId="31EA17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为供应商提供必要的软件工具支持。</w:t>
      </w:r>
    </w:p>
    <w:p w14:paraId="6B412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、商务要求</w:t>
      </w:r>
    </w:p>
    <w:p w14:paraId="61B3C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（一）服务期限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自合同签订之日起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670352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（二）付款方式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"/>
        </w:rPr>
        <w:t>合同签订后，待乙方完成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项目财务整体重新测算分析、项目可研报告调整编制、PPP实施方案变更编制的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"/>
        </w:rPr>
        <w:t>相应咨询工作并提交咨询成果后，向甲方提出付款申请并提供发票，经甲方审核同意后，由甲方通过转账支付合同金额50%。待乙方完成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补充协议签订、调查评估报告编制、建设期及运营期绩效考核细化服务方案的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"/>
        </w:rPr>
        <w:t>相应咨询工作并提交咨询成果后，向甲方提出付款申请并提供发票，经甲方审核同意后，由甲方通过转账付清剩余合同金额50%。</w:t>
      </w:r>
    </w:p>
    <w:p w14:paraId="705654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七、其他</w:t>
      </w:r>
    </w:p>
    <w:p w14:paraId="3FD46B3F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（一）进度要求</w:t>
      </w:r>
    </w:p>
    <w:p w14:paraId="5D504887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1、自合同签订之日起30日完成外业调查工作。</w:t>
      </w:r>
    </w:p>
    <w:p w14:paraId="25A98B78">
      <w:pPr>
        <w:widowControl/>
        <w:spacing w:line="360" w:lineRule="auto"/>
        <w:ind w:firstLine="480" w:firstLineChars="20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eastAsia="宋体"/>
          <w:sz w:val="24"/>
          <w:szCs w:val="24"/>
          <w:lang w:eastAsia="zh-CN"/>
        </w:rPr>
        <w:t>2、自合同签订之日起90日完成内业整理、总结以及成果评审等工作。</w:t>
      </w:r>
    </w:p>
    <w:p w14:paraId="62B576CA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（二）成果交付要求</w:t>
      </w:r>
    </w:p>
    <w:p w14:paraId="466E2978">
      <w:pPr>
        <w:widowControl/>
        <w:spacing w:line="360" w:lineRule="auto"/>
        <w:ind w:firstLine="480" w:firstLineChars="20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eastAsia="宋体"/>
          <w:sz w:val="24"/>
          <w:szCs w:val="24"/>
          <w:lang w:eastAsia="zh-CN"/>
        </w:rPr>
        <w:t>项目咨询服务包含文档成果交付和过程服务支撑（包括协助汇报和协助评审等），根据项目需求提供咨询服务必备资料。咨询文档成果应当有理有据、信息真实、有效、准确，分析和论证严密，结论和建议具体明确且及时，具有较强的可操作性，符合法律、法规地方政府规章规定。</w:t>
      </w:r>
    </w:p>
    <w:p w14:paraId="74115075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（三）违约责任</w:t>
      </w:r>
    </w:p>
    <w:p w14:paraId="28A8AD00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1、按《中华人民共和国政府采购法》、《中华人民共和国民法典》中的相关条款执行。</w:t>
      </w:r>
    </w:p>
    <w:p w14:paraId="2200F465">
      <w:pPr>
        <w:widowControl/>
        <w:spacing w:line="360" w:lineRule="auto"/>
        <w:ind w:firstLine="480" w:firstLineChars="200"/>
        <w:rPr>
          <w:rFonts w:hint="eastAsia" w:ascii="宋体" w:hAnsi="宋体" w:cs="宋体"/>
          <w:b/>
          <w:bCs w:val="0"/>
          <w:color w:val="auto"/>
          <w:sz w:val="24"/>
          <w:szCs w:val="24"/>
          <w:lang w:val="zh-CN" w:eastAsia="zh-CN"/>
        </w:rPr>
      </w:pPr>
      <w:r>
        <w:rPr>
          <w:rFonts w:hint="eastAsia" w:eastAsia="宋体"/>
          <w:sz w:val="24"/>
          <w:szCs w:val="24"/>
          <w:lang w:eastAsia="zh-CN"/>
        </w:rPr>
        <w:t>2、未按合同或招标文件要求提供服务或服务不能满足采购方要求的，采购单位有权终止合同，可对投标人违约行为进行追究。</w:t>
      </w:r>
    </w:p>
    <w:p w14:paraId="44C1FE7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E0586"/>
    <w:multiLevelType w:val="singleLevel"/>
    <w:tmpl w:val="D24E058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5646"/>
    <w:rsid w:val="162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4" w:firstLineChars="200"/>
      <w:jc w:val="left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ee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2025-05-23T04:48:00Z</dcterms:created>
  <dc:creator>think</dc:creator>
  <cp:lastModifiedBy>think</cp:lastModifiedBy>
  <dcterms:modified xsi:type="dcterms:W3CDTF">2025-05-23T04:49:08Z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D84A601EA98C48DD9C49547EF4C5A188_11</vt:lpwstr>
  </property>
  <property fmtid="{D5CDD505-2E9C-101B-9397-08002B2CF9AE}" pid="4" name="KSOTemplateDocerSaveRecord">
    <vt:lpwstr>eyJoZGlkIjoiNDliZmRiOTdhNmEyNzA5NGMzMTE4ZWMzNTliNzczNDciLCJ1c2VySWQiOiI1Mjc3NDk4MzMifQ==</vt:lpwstr>
  </property>
</Properties>
</file>