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3A52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本次野猪种群调控共分为五个狩猎区：第一狩猎区分别是禅家岩镇、毛坝河镇和巴山镇三个镇辖区，狩猎数量为100头野猪；第二狩猎区分别是胡家坝镇、铁锁关镇和二郎坝镇三个镇辖区，狩猎数量为100头野猪；第三狩猎区分别是汉源街道办、高寨子街道办和舒家坝镇三个镇辖区，狩猎数量100头野猪；第四狩猎区分别是大安镇、代家坝镇、巨亭镇、阳平关镇和太阳岭镇五个镇辖区，狩猎数量130头野猪；第五狩猎区分别是燕子砭镇、安乐河镇、广坪镇和青木川镇四个镇辖区，狩猎数量100头野猪；</w:t>
      </w:r>
    </w:p>
    <w:p w14:paraId="60FD85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249EA"/>
    <w:rsid w:val="196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249</Characters>
  <Lines>0</Lines>
  <Paragraphs>0</Paragraphs>
  <TotalTime>0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2025-05-26T02:11:00Z</dcterms:created>
  <dc:creator>Administrator</dc:creator>
  <cp:lastModifiedBy>Rex</cp:lastModifiedBy>
  <dcterms:modified xsi:type="dcterms:W3CDTF">2025-05-26T03:07:57Z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eyJoZGlkIjoiOTMyNWQ0NjM2OTU3ZWU4MzRhZDg0YzY0YmNmYzY5MDkiLCJ1c2VySWQiOiIyMTE5MDU5NzIifQ==</vt:lpwstr>
  </property>
  <property fmtid="{D5CDD505-2E9C-101B-9397-08002B2CF9AE}" pid="4" name="ICV">
    <vt:lpwstr>F9A2583518F14F899C7F3D82D767B42D_12</vt:lpwstr>
  </property>
</Properties>
</file>