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为提升城市管理水平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提高便民服务能力，计划租赁狮子山社区富嘉花园一楼房屋（面积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929.81平方米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）作为便民市场，从而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解决狮子山新城无菜市场，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菜农无处摆卖、居民买菜难的问题。消除</w:t>
      </w:r>
      <w:r>
        <w:rPr>
          <w:rFonts w:hint="eastAsia" w:ascii="仿宋_GB2312" w:eastAsia="仿宋_GB2312"/>
          <w:sz w:val="32"/>
          <w:szCs w:val="32"/>
          <w:lang w:eastAsia="zh-CN"/>
        </w:rPr>
        <w:t>马路市场带来的安全隐患，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进一步改善居民居住环境，提高群众对居住环境的满意度。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F5806"/>
    <w:rsid w:val="069F58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2022-05-12T01:57:00Z</dcterms:created>
  <dc:creator>Administrator</dc:creator>
  <cp:lastModifiedBy>Administrator</cp:lastModifiedBy>
  <dcterms:modified xsi:type="dcterms:W3CDTF">2022-05-12T02:08:23Z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