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5C854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采购需求</w:t>
      </w:r>
    </w:p>
    <w:p w14:paraId="323C4B62">
      <w:pPr>
        <w:ind w:firstLine="420" w:firstLineChars="20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2025年度1-5号学生公寓、研究生公寓毕业生宿舍粉刷项目，包括对项目范围内毕业生宿舍及公共区域粉刷、加装电源插座、线路敷设、门油漆、清洗等。 </w:t>
      </w:r>
    </w:p>
    <w:p w14:paraId="70C4591F">
      <w:pPr>
        <w:ind w:firstLine="42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</w:rPr>
        <w:t>采购包1：1、3号毕业生公寓及公共区域粉刷、线路敷设、插座安装、门油漆及清洗；采购包预算金额（元）: 438,404.00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 w14:paraId="1B4D3128">
      <w:pPr>
        <w:ind w:firstLine="42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ascii="仿宋_GB2312" w:hAnsi="仿宋_GB2312" w:eastAsia="仿宋_GB2312" w:cs="仿宋_GB2312"/>
        </w:rPr>
        <w:t>采购包2：2、4、5、6号毕业生公寓及公共区域粉刷、线路敷设、插座安装、门油漆及清洗；采购包预算金额（元）: 431,219.55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bookmarkStart w:id="0" w:name="_GoBack"/>
      <w:bookmarkEnd w:id="0"/>
    </w:p>
    <w:p w14:paraId="15D91D54">
      <w:pPr>
        <w:ind w:firstLine="420" w:firstLineChars="200"/>
      </w:pPr>
      <w:r>
        <w:rPr>
          <w:rFonts w:ascii="仿宋_GB2312" w:hAnsi="仿宋_GB2312" w:eastAsia="仿宋_GB2312" w:cs="仿宋_GB2312"/>
        </w:rPr>
        <w:t>本项目采取兼投不兼中原则，供应商可以参加其中一个包或多个包的磋商，但只能成为其中一个包的第一成交候选人，剩余包中，只参与评审但不作为成交候选人推荐，评审顺序按照采购包1、采购包2顺序评审。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2025-05-26T10:18:45Z</dcterms:created>
  <dc:creator>1</dc:creator>
  <cp:lastModifiedBy> </cp:lastModifiedBy>
  <dcterms:modified xsi:type="dcterms:W3CDTF">2025-05-26T10:20:19Z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eyJoZGlkIjoiY2Y4M2VhM2YyNmRkMzRiNTA1Zjk0N2Y5MGZjZjgzOGUiLCJ1c2VySWQiOiI2MTYxMzk1OTMifQ==</vt:lpwstr>
  </property>
  <property fmtid="{D5CDD505-2E9C-101B-9397-08002B2CF9AE}" pid="4" name="ICV">
    <vt:lpwstr>7E4C92B88E5145F481B280187A86350E_12</vt:lpwstr>
  </property>
</Properties>
</file>