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00E1">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lang w:eastAsia="zh-CN"/>
        </w:rPr>
        <w:t>YC254400</w:t>
      </w:r>
      <w:r>
        <w:rPr>
          <w:rFonts w:hint="eastAsia" w:ascii="宋体" w:hAnsi="宋体" w:eastAsia="宋体" w:cs="宋体"/>
          <w:b/>
          <w:color w:val="auto"/>
          <w:sz w:val="28"/>
          <w:highlight w:val="none"/>
          <w:lang w:val="en-US" w:eastAsia="zh-CN"/>
        </w:rPr>
        <w:t>13</w:t>
      </w:r>
      <w:r>
        <w:rPr>
          <w:rFonts w:hint="eastAsia" w:ascii="宋体" w:hAnsi="宋体" w:eastAsia="宋体" w:cs="宋体"/>
          <w:b/>
          <w:color w:val="auto"/>
          <w:sz w:val="28"/>
          <w:highlight w:val="none"/>
          <w:lang w:eastAsia="zh-CN"/>
        </w:rPr>
        <w:t>（CGR）</w:t>
      </w:r>
    </w:p>
    <w:p w14:paraId="7423716B">
      <w:pPr>
        <w:rPr>
          <w:rFonts w:hint="eastAsia" w:ascii="宋体" w:hAnsi="宋体" w:eastAsia="宋体" w:cs="宋体"/>
          <w:color w:val="auto"/>
          <w:highlight w:val="none"/>
        </w:rPr>
      </w:pPr>
    </w:p>
    <w:p w14:paraId="3C58233C">
      <w:pPr>
        <w:jc w:val="both"/>
        <w:rPr>
          <w:rFonts w:hint="eastAsia" w:ascii="宋体" w:hAnsi="宋体" w:eastAsia="宋体" w:cs="宋体"/>
          <w:b/>
          <w:color w:val="auto"/>
          <w:sz w:val="40"/>
          <w:szCs w:val="21"/>
          <w:highlight w:val="none"/>
          <w:u w:val="single"/>
          <w:lang w:eastAsia="zh-CN"/>
        </w:rPr>
      </w:pPr>
    </w:p>
    <w:p w14:paraId="1753C897">
      <w:pPr>
        <w:jc w:val="center"/>
        <w:rPr>
          <w:rFonts w:hint="eastAsia" w:ascii="宋体" w:hAnsi="宋体" w:eastAsia="宋体" w:cs="宋体"/>
          <w:b/>
          <w:color w:val="auto"/>
          <w:sz w:val="36"/>
          <w:szCs w:val="20"/>
          <w:highlight w:val="none"/>
          <w:u w:val="single"/>
          <w:lang w:eastAsia="zh-CN"/>
        </w:rPr>
      </w:pPr>
      <w:r>
        <w:rPr>
          <w:rFonts w:hint="eastAsia" w:ascii="宋体" w:hAnsi="宋体" w:eastAsia="宋体" w:cs="宋体"/>
          <w:b/>
          <w:color w:val="auto"/>
          <w:sz w:val="36"/>
          <w:szCs w:val="20"/>
          <w:highlight w:val="none"/>
          <w:u w:val="single"/>
          <w:lang w:eastAsia="zh-CN"/>
        </w:rPr>
        <w:t>石泉县中坝河流域（中坝村大桥至后柳集镇中坝大桥段）环境生态治理及水毁修复项目（一期）环境影响评价服务项目</w:t>
      </w:r>
    </w:p>
    <w:p w14:paraId="70CC750C">
      <w:pPr>
        <w:pStyle w:val="2"/>
        <w:rPr>
          <w:rFonts w:hint="eastAsia"/>
          <w:color w:val="auto"/>
          <w:highlight w:val="none"/>
        </w:rPr>
      </w:pPr>
    </w:p>
    <w:p w14:paraId="02B2A163">
      <w:pPr>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竞争性磋商文件</w:t>
      </w:r>
    </w:p>
    <w:p w14:paraId="07AD561D">
      <w:pPr>
        <w:jc w:val="center"/>
        <w:rPr>
          <w:rFonts w:hint="eastAsia" w:ascii="宋体" w:hAnsi="宋体" w:eastAsia="宋体" w:cs="宋体"/>
          <w:b/>
          <w:color w:val="auto"/>
          <w:sz w:val="52"/>
          <w:highlight w:val="none"/>
        </w:rPr>
      </w:pPr>
    </w:p>
    <w:p w14:paraId="3DD6AFB4">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drawing>
          <wp:inline distT="0" distB="0" distL="0" distR="0">
            <wp:extent cx="2200275" cy="2200275"/>
            <wp:effectExtent l="0" t="0" r="0" b="0"/>
            <wp:docPr id="57" name="图片 1" descr="LOGO+文字上下组合 蓝底白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LOGO+文字上下组合 蓝底白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14:paraId="2CEFFC86">
      <w:pPr>
        <w:pStyle w:val="2"/>
        <w:rPr>
          <w:rFonts w:hint="eastAsia" w:ascii="宋体" w:hAnsi="宋体" w:eastAsia="宋体" w:cs="宋体"/>
          <w:b/>
          <w:color w:val="auto"/>
          <w:sz w:val="30"/>
          <w:szCs w:val="30"/>
          <w:highlight w:val="none"/>
        </w:rPr>
      </w:pPr>
    </w:p>
    <w:p w14:paraId="1B98FB74">
      <w:pPr>
        <w:pStyle w:val="2"/>
        <w:rPr>
          <w:rFonts w:hint="eastAsia" w:ascii="宋体" w:hAnsi="宋体" w:eastAsia="宋体" w:cs="宋体"/>
          <w:b/>
          <w:color w:val="auto"/>
          <w:sz w:val="30"/>
          <w:szCs w:val="30"/>
          <w:highlight w:val="none"/>
        </w:rPr>
      </w:pPr>
    </w:p>
    <w:p w14:paraId="505DB369">
      <w:pPr>
        <w:pStyle w:val="2"/>
        <w:rPr>
          <w:rFonts w:hint="eastAsia" w:ascii="宋体" w:hAnsi="宋体" w:eastAsia="宋体" w:cs="宋体"/>
          <w:b/>
          <w:color w:val="auto"/>
          <w:sz w:val="30"/>
          <w:szCs w:val="30"/>
          <w:highlight w:val="none"/>
        </w:rPr>
      </w:pPr>
    </w:p>
    <w:p w14:paraId="4F780246">
      <w:pPr>
        <w:rPr>
          <w:rFonts w:hint="eastAsia" w:ascii="宋体" w:hAnsi="宋体" w:eastAsia="宋体" w:cs="宋体"/>
          <w:b/>
          <w:color w:val="auto"/>
          <w:sz w:val="44"/>
          <w:highlight w:val="none"/>
        </w:rPr>
      </w:pPr>
    </w:p>
    <w:p w14:paraId="38E8883A">
      <w:pPr>
        <w:pStyle w:val="11"/>
        <w:rPr>
          <w:rFonts w:hint="eastAsia" w:ascii="宋体" w:hAnsi="宋体" w:eastAsia="宋体" w:cs="宋体"/>
          <w:color w:val="auto"/>
          <w:highlight w:val="none"/>
        </w:rPr>
      </w:pPr>
    </w:p>
    <w:tbl>
      <w:tblPr>
        <w:tblStyle w:val="28"/>
        <w:tblW w:w="0" w:type="auto"/>
        <w:jc w:val="center"/>
        <w:tblLayout w:type="autofit"/>
        <w:tblCellMar>
          <w:top w:w="0" w:type="dxa"/>
          <w:left w:w="108" w:type="dxa"/>
          <w:bottom w:w="0" w:type="dxa"/>
          <w:right w:w="108" w:type="dxa"/>
        </w:tblCellMar>
      </w:tblPr>
      <w:tblGrid>
        <w:gridCol w:w="2562"/>
        <w:gridCol w:w="4556"/>
      </w:tblGrid>
      <w:tr w14:paraId="5DC9668D">
        <w:tblPrEx>
          <w:tblCellMar>
            <w:top w:w="0" w:type="dxa"/>
            <w:left w:w="108" w:type="dxa"/>
            <w:bottom w:w="0" w:type="dxa"/>
            <w:right w:w="108" w:type="dxa"/>
          </w:tblCellMar>
        </w:tblPrEx>
        <w:trPr>
          <w:trHeight w:val="812" w:hRule="atLeast"/>
          <w:jc w:val="center"/>
        </w:trPr>
        <w:tc>
          <w:tcPr>
            <w:tcW w:w="2562" w:type="dxa"/>
            <w:shd w:val="clear" w:color="auto" w:fill="auto"/>
            <w:vAlign w:val="center"/>
          </w:tcPr>
          <w:p w14:paraId="36A610D9">
            <w:pPr>
              <w:tabs>
                <w:tab w:val="left" w:pos="1560"/>
              </w:tabs>
              <w:jc w:val="distribute"/>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32"/>
                <w:szCs w:val="20"/>
                <w:highlight w:val="none"/>
              </w:rPr>
              <w:t>采购人：</w:t>
            </w:r>
          </w:p>
        </w:tc>
        <w:tc>
          <w:tcPr>
            <w:tcW w:w="4555" w:type="dxa"/>
            <w:shd w:val="clear" w:color="auto" w:fill="auto"/>
            <w:vAlign w:val="center"/>
          </w:tcPr>
          <w:p w14:paraId="21ACEB44">
            <w:pPr>
              <w:tabs>
                <w:tab w:val="left" w:pos="1560"/>
              </w:tabs>
              <w:rPr>
                <w:rFonts w:hint="eastAsia" w:ascii="宋体" w:hAnsi="宋体" w:eastAsia="宋体" w:cs="宋体"/>
                <w:b/>
                <w:color w:val="auto"/>
                <w:kern w:val="0"/>
                <w:sz w:val="32"/>
                <w:szCs w:val="20"/>
                <w:highlight w:val="none"/>
                <w:lang w:eastAsia="zh-CN"/>
              </w:rPr>
            </w:pPr>
            <w:r>
              <w:rPr>
                <w:rFonts w:hint="eastAsia" w:ascii="宋体" w:hAnsi="宋体" w:eastAsia="宋体" w:cs="宋体"/>
                <w:b/>
                <w:color w:val="auto"/>
                <w:kern w:val="0"/>
                <w:sz w:val="32"/>
                <w:szCs w:val="20"/>
                <w:highlight w:val="none"/>
                <w:lang w:val="en-US" w:eastAsia="zh-CN"/>
              </w:rPr>
              <w:t>安康市生态环境局石泉分局</w:t>
            </w:r>
          </w:p>
        </w:tc>
      </w:tr>
      <w:tr w14:paraId="6F264C7C">
        <w:tblPrEx>
          <w:tblCellMar>
            <w:top w:w="0" w:type="dxa"/>
            <w:left w:w="108" w:type="dxa"/>
            <w:bottom w:w="0" w:type="dxa"/>
            <w:right w:w="108" w:type="dxa"/>
          </w:tblCellMar>
        </w:tblPrEx>
        <w:trPr>
          <w:trHeight w:val="793" w:hRule="atLeast"/>
          <w:jc w:val="center"/>
        </w:trPr>
        <w:tc>
          <w:tcPr>
            <w:tcW w:w="2562" w:type="dxa"/>
            <w:shd w:val="clear" w:color="auto" w:fill="auto"/>
            <w:vAlign w:val="center"/>
          </w:tcPr>
          <w:p w14:paraId="579AC82B">
            <w:pPr>
              <w:tabs>
                <w:tab w:val="left" w:pos="1560"/>
              </w:tabs>
              <w:jc w:val="distribute"/>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32"/>
                <w:szCs w:val="20"/>
                <w:highlight w:val="none"/>
              </w:rPr>
              <w:t>采购代理机构：</w:t>
            </w:r>
          </w:p>
        </w:tc>
        <w:tc>
          <w:tcPr>
            <w:tcW w:w="4555" w:type="dxa"/>
            <w:shd w:val="clear" w:color="auto" w:fill="auto"/>
            <w:vAlign w:val="center"/>
          </w:tcPr>
          <w:p w14:paraId="613BFB55">
            <w:pPr>
              <w:tabs>
                <w:tab w:val="left" w:pos="1560"/>
              </w:tabs>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32"/>
                <w:szCs w:val="20"/>
                <w:highlight w:val="none"/>
              </w:rPr>
              <w:t>亿诚建设项目管理有限公司</w:t>
            </w:r>
          </w:p>
        </w:tc>
      </w:tr>
      <w:tr w14:paraId="4128C95F">
        <w:tblPrEx>
          <w:tblCellMar>
            <w:top w:w="0" w:type="dxa"/>
            <w:left w:w="108" w:type="dxa"/>
            <w:bottom w:w="0" w:type="dxa"/>
            <w:right w:w="108" w:type="dxa"/>
          </w:tblCellMar>
        </w:tblPrEx>
        <w:trPr>
          <w:trHeight w:val="812" w:hRule="atLeast"/>
          <w:jc w:val="center"/>
        </w:trPr>
        <w:tc>
          <w:tcPr>
            <w:tcW w:w="7118" w:type="dxa"/>
            <w:gridSpan w:val="2"/>
            <w:shd w:val="clear" w:color="auto" w:fill="auto"/>
          </w:tcPr>
          <w:p w14:paraId="18F3CC8B">
            <w:pPr>
              <w:tabs>
                <w:tab w:val="left" w:pos="1560"/>
              </w:tabs>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32"/>
                <w:szCs w:val="20"/>
                <w:highlight w:val="none"/>
              </w:rPr>
              <w:t>二〇二</w:t>
            </w:r>
            <w:r>
              <w:rPr>
                <w:rFonts w:hint="eastAsia" w:ascii="宋体" w:hAnsi="宋体" w:eastAsia="宋体" w:cs="宋体"/>
                <w:b/>
                <w:color w:val="auto"/>
                <w:kern w:val="0"/>
                <w:sz w:val="32"/>
                <w:szCs w:val="20"/>
                <w:highlight w:val="none"/>
                <w:lang w:eastAsia="zh-CN"/>
              </w:rPr>
              <w:t>五</w:t>
            </w:r>
            <w:r>
              <w:rPr>
                <w:rFonts w:hint="eastAsia" w:ascii="宋体" w:hAnsi="宋体" w:eastAsia="宋体" w:cs="宋体"/>
                <w:b/>
                <w:color w:val="auto"/>
                <w:kern w:val="0"/>
                <w:sz w:val="32"/>
                <w:szCs w:val="20"/>
                <w:highlight w:val="none"/>
              </w:rPr>
              <w:t>年</w:t>
            </w:r>
            <w:r>
              <w:rPr>
                <w:rFonts w:hint="eastAsia" w:ascii="宋体" w:hAnsi="宋体" w:eastAsia="宋体" w:cs="宋体"/>
                <w:b/>
                <w:color w:val="auto"/>
                <w:kern w:val="0"/>
                <w:sz w:val="32"/>
                <w:szCs w:val="20"/>
                <w:highlight w:val="none"/>
                <w:lang w:eastAsia="zh-CN"/>
              </w:rPr>
              <w:t>五</w:t>
            </w:r>
            <w:r>
              <w:rPr>
                <w:rFonts w:hint="eastAsia" w:ascii="宋体" w:hAnsi="宋体" w:eastAsia="宋体" w:cs="宋体"/>
                <w:b/>
                <w:color w:val="auto"/>
                <w:kern w:val="0"/>
                <w:sz w:val="32"/>
                <w:szCs w:val="20"/>
                <w:highlight w:val="none"/>
              </w:rPr>
              <w:t>月</w:t>
            </w:r>
          </w:p>
        </w:tc>
      </w:tr>
    </w:tbl>
    <w:p w14:paraId="2B778248">
      <w:pPr>
        <w:rPr>
          <w:rFonts w:hint="eastAsia" w:ascii="宋体" w:hAnsi="宋体" w:eastAsia="宋体" w:cs="宋体"/>
          <w:color w:val="auto"/>
          <w:highlight w:val="none"/>
        </w:rPr>
      </w:pPr>
    </w:p>
    <w:p w14:paraId="09AAEEB0">
      <w:pPr>
        <w:pStyle w:val="67"/>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lang w:val="zh-CN"/>
        </w:rPr>
        <w:t>目录</w:t>
      </w:r>
    </w:p>
    <w:p w14:paraId="73BB066A">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TOC \o "1-3" \h \z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"_Toc25087"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36"/>
          <w:highlight w:val="none"/>
        </w:rPr>
        <w:t>第一章 竞争性磋商公告</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PAGEREF _Toc25087 \h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36"/>
          <w:highlight w:val="none"/>
        </w:rPr>
        <w:t>3</w:t>
      </w:r>
      <w:r>
        <w:rPr>
          <w:rFonts w:hint="eastAsia" w:ascii="宋体" w:hAnsi="宋体" w:eastAsia="宋体" w:cs="宋体"/>
          <w:color w:val="auto"/>
          <w:sz w:val="32"/>
          <w:szCs w:val="36"/>
          <w:highlight w:val="none"/>
        </w:rPr>
        <w:fldChar w:fldCharType="end"/>
      </w:r>
      <w:r>
        <w:rPr>
          <w:rFonts w:hint="eastAsia" w:ascii="宋体" w:hAnsi="宋体" w:eastAsia="宋体" w:cs="宋体"/>
          <w:color w:val="auto"/>
          <w:sz w:val="32"/>
          <w:szCs w:val="36"/>
          <w:highlight w:val="none"/>
        </w:rPr>
        <w:fldChar w:fldCharType="end"/>
      </w:r>
    </w:p>
    <w:p w14:paraId="3B561A5B">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"_Toc3356"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72"/>
          <w:highlight w:val="none"/>
        </w:rPr>
        <w:t>第二章  供应商须知</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PAGEREF _Toc3356 \h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36"/>
          <w:highlight w:val="none"/>
        </w:rPr>
        <w:t>8</w:t>
      </w:r>
      <w:r>
        <w:rPr>
          <w:rFonts w:hint="eastAsia" w:ascii="宋体" w:hAnsi="宋体" w:eastAsia="宋体" w:cs="宋体"/>
          <w:color w:val="auto"/>
          <w:sz w:val="32"/>
          <w:szCs w:val="36"/>
          <w:highlight w:val="none"/>
        </w:rPr>
        <w:fldChar w:fldCharType="end"/>
      </w:r>
      <w:r>
        <w:rPr>
          <w:rFonts w:hint="eastAsia" w:ascii="宋体" w:hAnsi="宋体" w:eastAsia="宋体" w:cs="宋体"/>
          <w:color w:val="auto"/>
          <w:sz w:val="32"/>
          <w:szCs w:val="36"/>
          <w:highlight w:val="none"/>
        </w:rPr>
        <w:fldChar w:fldCharType="end"/>
      </w:r>
    </w:p>
    <w:p w14:paraId="5F84CC7C">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32"/>
          <w:szCs w:val="36"/>
          <w:highlight w:val="none"/>
        </w:rPr>
      </w:pP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HYPERLINK \l "_Toc14276"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36"/>
          <w:highlight w:val="none"/>
        </w:rPr>
        <w:t>第三章  磋商办法</w:t>
      </w:r>
      <w:r>
        <w:rPr>
          <w:rFonts w:hint="eastAsia" w:ascii="宋体" w:hAnsi="宋体" w:eastAsia="宋体" w:cs="宋体"/>
          <w:color w:val="auto"/>
          <w:sz w:val="32"/>
          <w:szCs w:val="36"/>
          <w:highlight w:val="none"/>
        </w:rPr>
        <w:tab/>
      </w:r>
      <w:r>
        <w:rPr>
          <w:rFonts w:hint="eastAsia" w:ascii="宋体" w:hAnsi="宋体" w:eastAsia="宋体" w:cs="宋体"/>
          <w:color w:val="auto"/>
          <w:sz w:val="32"/>
          <w:szCs w:val="36"/>
          <w:highlight w:val="none"/>
        </w:rPr>
        <w:fldChar w:fldCharType="begin"/>
      </w:r>
      <w:r>
        <w:rPr>
          <w:rFonts w:hint="eastAsia" w:ascii="宋体" w:hAnsi="宋体" w:eastAsia="宋体" w:cs="宋体"/>
          <w:color w:val="auto"/>
          <w:sz w:val="32"/>
          <w:szCs w:val="36"/>
          <w:highlight w:val="none"/>
        </w:rPr>
        <w:instrText xml:space="preserve"> PAGEREF _Toc14276 \h </w:instrText>
      </w:r>
      <w:r>
        <w:rPr>
          <w:rFonts w:hint="eastAsia" w:ascii="宋体" w:hAnsi="宋体" w:eastAsia="宋体" w:cs="宋体"/>
          <w:color w:val="auto"/>
          <w:sz w:val="32"/>
          <w:szCs w:val="36"/>
          <w:highlight w:val="none"/>
        </w:rPr>
        <w:fldChar w:fldCharType="separate"/>
      </w:r>
      <w:r>
        <w:rPr>
          <w:rFonts w:hint="eastAsia" w:ascii="宋体" w:hAnsi="宋体" w:eastAsia="宋体" w:cs="宋体"/>
          <w:color w:val="auto"/>
          <w:sz w:val="32"/>
          <w:szCs w:val="36"/>
          <w:highlight w:val="none"/>
        </w:rPr>
        <w:t>29</w:t>
      </w:r>
      <w:r>
        <w:rPr>
          <w:rFonts w:hint="eastAsia" w:ascii="宋体" w:hAnsi="宋体" w:eastAsia="宋体" w:cs="宋体"/>
          <w:color w:val="auto"/>
          <w:sz w:val="32"/>
          <w:szCs w:val="36"/>
          <w:highlight w:val="none"/>
        </w:rPr>
        <w:fldChar w:fldCharType="end"/>
      </w:r>
      <w:r>
        <w:rPr>
          <w:rFonts w:hint="eastAsia" w:ascii="宋体" w:hAnsi="宋体" w:eastAsia="宋体" w:cs="宋体"/>
          <w:color w:val="auto"/>
          <w:sz w:val="32"/>
          <w:szCs w:val="36"/>
          <w:highlight w:val="none"/>
        </w:rPr>
        <w:fldChar w:fldCharType="end"/>
      </w:r>
    </w:p>
    <w:p w14:paraId="693F4D69">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32"/>
          <w:szCs w:val="72"/>
          <w:highlight w:val="none"/>
          <w:lang w:val="en-US" w:eastAsia="zh-CN" w:bidi="ar-SA"/>
        </w:rPr>
      </w:pPr>
      <w:r>
        <w:rPr>
          <w:rFonts w:hint="eastAsia" w:ascii="宋体" w:hAnsi="宋体" w:eastAsia="宋体" w:cs="宋体"/>
          <w:color w:val="auto"/>
          <w:kern w:val="2"/>
          <w:sz w:val="32"/>
          <w:szCs w:val="72"/>
          <w:highlight w:val="none"/>
          <w:lang w:val="en-US" w:eastAsia="zh-CN" w:bidi="ar-SA"/>
        </w:rPr>
        <w:fldChar w:fldCharType="begin"/>
      </w:r>
      <w:r>
        <w:rPr>
          <w:rFonts w:hint="eastAsia" w:ascii="宋体" w:hAnsi="宋体" w:eastAsia="宋体" w:cs="宋体"/>
          <w:color w:val="auto"/>
          <w:kern w:val="2"/>
          <w:sz w:val="32"/>
          <w:szCs w:val="72"/>
          <w:highlight w:val="none"/>
          <w:lang w:val="en-US" w:eastAsia="zh-CN" w:bidi="ar-SA"/>
        </w:rPr>
        <w:instrText xml:space="preserve"> HYPERLINK \l "_Toc27587" </w:instrText>
      </w:r>
      <w:r>
        <w:rPr>
          <w:rFonts w:hint="eastAsia" w:ascii="宋体" w:hAnsi="宋体" w:eastAsia="宋体" w:cs="宋体"/>
          <w:color w:val="auto"/>
          <w:kern w:val="2"/>
          <w:sz w:val="32"/>
          <w:szCs w:val="72"/>
          <w:highlight w:val="none"/>
          <w:lang w:val="en-US" w:eastAsia="zh-CN" w:bidi="ar-SA"/>
        </w:rPr>
        <w:fldChar w:fldCharType="separate"/>
      </w:r>
      <w:r>
        <w:rPr>
          <w:rFonts w:hint="eastAsia" w:ascii="宋体" w:hAnsi="宋体" w:eastAsia="宋体" w:cs="宋体"/>
          <w:color w:val="auto"/>
          <w:kern w:val="2"/>
          <w:sz w:val="32"/>
          <w:szCs w:val="72"/>
          <w:highlight w:val="none"/>
          <w:lang w:val="en-US" w:eastAsia="zh-CN" w:bidi="ar-SA"/>
        </w:rPr>
        <w:t>第四章  磋商内容及采购要求</w:t>
      </w:r>
      <w:r>
        <w:rPr>
          <w:rFonts w:hint="eastAsia" w:ascii="宋体" w:hAnsi="宋体" w:eastAsia="宋体" w:cs="宋体"/>
          <w:color w:val="auto"/>
          <w:sz w:val="32"/>
          <w:szCs w:val="36"/>
          <w:highlight w:val="none"/>
        </w:rPr>
        <w:tab/>
      </w:r>
      <w:r>
        <w:rPr>
          <w:rFonts w:hint="eastAsia" w:ascii="宋体" w:hAnsi="宋体" w:eastAsia="宋体" w:cs="宋体"/>
          <w:color w:val="auto"/>
          <w:kern w:val="2"/>
          <w:sz w:val="32"/>
          <w:szCs w:val="72"/>
          <w:highlight w:val="none"/>
          <w:lang w:val="en-US" w:eastAsia="zh-CN" w:bidi="ar-SA"/>
        </w:rPr>
        <w:fldChar w:fldCharType="begin"/>
      </w:r>
      <w:r>
        <w:rPr>
          <w:rFonts w:hint="eastAsia" w:ascii="宋体" w:hAnsi="宋体" w:eastAsia="宋体" w:cs="宋体"/>
          <w:color w:val="auto"/>
          <w:kern w:val="2"/>
          <w:sz w:val="32"/>
          <w:szCs w:val="72"/>
          <w:highlight w:val="none"/>
          <w:lang w:val="en-US" w:eastAsia="zh-CN" w:bidi="ar-SA"/>
        </w:rPr>
        <w:instrText xml:space="preserve"> PAGEREF _Toc27587 \h </w:instrText>
      </w:r>
      <w:r>
        <w:rPr>
          <w:rFonts w:hint="eastAsia" w:ascii="宋体" w:hAnsi="宋体" w:eastAsia="宋体" w:cs="宋体"/>
          <w:color w:val="auto"/>
          <w:kern w:val="2"/>
          <w:sz w:val="32"/>
          <w:szCs w:val="72"/>
          <w:highlight w:val="none"/>
          <w:lang w:val="en-US" w:eastAsia="zh-CN" w:bidi="ar-SA"/>
        </w:rPr>
        <w:fldChar w:fldCharType="separate"/>
      </w:r>
      <w:r>
        <w:rPr>
          <w:rFonts w:hint="eastAsia" w:ascii="宋体" w:hAnsi="宋体" w:eastAsia="宋体" w:cs="宋体"/>
          <w:color w:val="auto"/>
          <w:kern w:val="2"/>
          <w:sz w:val="32"/>
          <w:szCs w:val="72"/>
          <w:highlight w:val="none"/>
          <w:lang w:val="en-US" w:eastAsia="zh-CN" w:bidi="ar-SA"/>
        </w:rPr>
        <w:t>41</w:t>
      </w:r>
      <w:r>
        <w:rPr>
          <w:rFonts w:hint="eastAsia" w:ascii="宋体" w:hAnsi="宋体" w:eastAsia="宋体" w:cs="宋体"/>
          <w:color w:val="auto"/>
          <w:kern w:val="2"/>
          <w:sz w:val="32"/>
          <w:szCs w:val="72"/>
          <w:highlight w:val="none"/>
          <w:lang w:val="en-US" w:eastAsia="zh-CN" w:bidi="ar-SA"/>
        </w:rPr>
        <w:fldChar w:fldCharType="end"/>
      </w:r>
      <w:r>
        <w:rPr>
          <w:rFonts w:hint="eastAsia" w:ascii="宋体" w:hAnsi="宋体" w:eastAsia="宋体" w:cs="宋体"/>
          <w:color w:val="auto"/>
          <w:kern w:val="2"/>
          <w:sz w:val="32"/>
          <w:szCs w:val="72"/>
          <w:highlight w:val="none"/>
          <w:lang w:val="en-US" w:eastAsia="zh-CN" w:bidi="ar-SA"/>
        </w:rPr>
        <w:fldChar w:fldCharType="end"/>
      </w:r>
    </w:p>
    <w:p w14:paraId="1CADFB16">
      <w:pPr>
        <w:pStyle w:val="20"/>
        <w:keepNext w:val="0"/>
        <w:keepLines w:val="0"/>
        <w:pageBreakBefore w:val="0"/>
        <w:widowControl w:val="0"/>
        <w:tabs>
          <w:tab w:val="right" w:leader="dot" w:pos="830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kern w:val="2"/>
          <w:sz w:val="32"/>
          <w:szCs w:val="72"/>
          <w:highlight w:val="none"/>
          <w:lang w:val="en-US" w:eastAsia="zh-CN" w:bidi="ar-SA"/>
        </w:rPr>
      </w:pPr>
      <w:r>
        <w:rPr>
          <w:rFonts w:hint="eastAsia" w:ascii="宋体" w:hAnsi="宋体" w:eastAsia="宋体" w:cs="宋体"/>
          <w:color w:val="auto"/>
          <w:kern w:val="2"/>
          <w:sz w:val="32"/>
          <w:szCs w:val="72"/>
          <w:highlight w:val="none"/>
          <w:lang w:val="en-US" w:eastAsia="zh-CN" w:bidi="ar-SA"/>
        </w:rPr>
        <w:fldChar w:fldCharType="begin"/>
      </w:r>
      <w:r>
        <w:rPr>
          <w:rFonts w:hint="eastAsia" w:ascii="宋体" w:hAnsi="宋体" w:eastAsia="宋体" w:cs="宋体"/>
          <w:color w:val="auto"/>
          <w:kern w:val="2"/>
          <w:sz w:val="32"/>
          <w:szCs w:val="72"/>
          <w:highlight w:val="none"/>
          <w:lang w:val="en-US" w:eastAsia="zh-CN" w:bidi="ar-SA"/>
        </w:rPr>
        <w:instrText xml:space="preserve"> HYPERLINK \l "_Toc18321" </w:instrText>
      </w:r>
      <w:r>
        <w:rPr>
          <w:rFonts w:hint="eastAsia" w:ascii="宋体" w:hAnsi="宋体" w:eastAsia="宋体" w:cs="宋体"/>
          <w:color w:val="auto"/>
          <w:kern w:val="2"/>
          <w:sz w:val="32"/>
          <w:szCs w:val="72"/>
          <w:highlight w:val="none"/>
          <w:lang w:val="en-US" w:eastAsia="zh-CN" w:bidi="ar-SA"/>
        </w:rPr>
        <w:fldChar w:fldCharType="separate"/>
      </w:r>
      <w:r>
        <w:rPr>
          <w:rFonts w:hint="eastAsia" w:ascii="宋体" w:hAnsi="宋体" w:eastAsia="宋体" w:cs="宋体"/>
          <w:color w:val="auto"/>
          <w:kern w:val="2"/>
          <w:sz w:val="32"/>
          <w:szCs w:val="72"/>
          <w:highlight w:val="none"/>
          <w:lang w:val="en-US" w:eastAsia="zh-CN" w:bidi="ar-SA"/>
        </w:rPr>
        <w:t>第五章  合同草案条款</w:t>
      </w:r>
      <w:r>
        <w:rPr>
          <w:rFonts w:hint="eastAsia" w:ascii="宋体" w:hAnsi="宋体" w:eastAsia="宋体" w:cs="宋体"/>
          <w:color w:val="auto"/>
          <w:sz w:val="32"/>
          <w:szCs w:val="36"/>
          <w:highlight w:val="none"/>
        </w:rPr>
        <w:tab/>
      </w:r>
      <w:r>
        <w:rPr>
          <w:rFonts w:hint="eastAsia" w:ascii="宋体" w:hAnsi="宋体" w:eastAsia="宋体" w:cs="宋体"/>
          <w:color w:val="auto"/>
          <w:kern w:val="2"/>
          <w:sz w:val="32"/>
          <w:szCs w:val="72"/>
          <w:highlight w:val="none"/>
          <w:lang w:val="en-US" w:eastAsia="zh-CN" w:bidi="ar-SA"/>
        </w:rPr>
        <w:fldChar w:fldCharType="begin"/>
      </w:r>
      <w:r>
        <w:rPr>
          <w:rFonts w:hint="eastAsia" w:ascii="宋体" w:hAnsi="宋体" w:eastAsia="宋体" w:cs="宋体"/>
          <w:color w:val="auto"/>
          <w:kern w:val="2"/>
          <w:sz w:val="32"/>
          <w:szCs w:val="72"/>
          <w:highlight w:val="none"/>
          <w:lang w:val="en-US" w:eastAsia="zh-CN" w:bidi="ar-SA"/>
        </w:rPr>
        <w:instrText xml:space="preserve"> PAGEREF _Toc18321 \h </w:instrText>
      </w:r>
      <w:r>
        <w:rPr>
          <w:rFonts w:hint="eastAsia" w:ascii="宋体" w:hAnsi="宋体" w:eastAsia="宋体" w:cs="宋体"/>
          <w:color w:val="auto"/>
          <w:kern w:val="2"/>
          <w:sz w:val="32"/>
          <w:szCs w:val="72"/>
          <w:highlight w:val="none"/>
          <w:lang w:val="en-US" w:eastAsia="zh-CN" w:bidi="ar-SA"/>
        </w:rPr>
        <w:fldChar w:fldCharType="separate"/>
      </w:r>
      <w:r>
        <w:rPr>
          <w:rFonts w:hint="eastAsia" w:ascii="宋体" w:hAnsi="宋体" w:eastAsia="宋体" w:cs="宋体"/>
          <w:color w:val="auto"/>
          <w:kern w:val="2"/>
          <w:sz w:val="32"/>
          <w:szCs w:val="72"/>
          <w:highlight w:val="none"/>
          <w:lang w:val="en-US" w:eastAsia="zh-CN" w:bidi="ar-SA"/>
        </w:rPr>
        <w:t>42</w:t>
      </w:r>
      <w:r>
        <w:rPr>
          <w:rFonts w:hint="eastAsia" w:ascii="宋体" w:hAnsi="宋体" w:eastAsia="宋体" w:cs="宋体"/>
          <w:color w:val="auto"/>
          <w:kern w:val="2"/>
          <w:sz w:val="32"/>
          <w:szCs w:val="72"/>
          <w:highlight w:val="none"/>
          <w:lang w:val="en-US" w:eastAsia="zh-CN" w:bidi="ar-SA"/>
        </w:rPr>
        <w:fldChar w:fldCharType="end"/>
      </w:r>
      <w:r>
        <w:rPr>
          <w:rFonts w:hint="eastAsia" w:ascii="宋体" w:hAnsi="宋体" w:eastAsia="宋体" w:cs="宋体"/>
          <w:color w:val="auto"/>
          <w:kern w:val="2"/>
          <w:sz w:val="32"/>
          <w:szCs w:val="72"/>
          <w:highlight w:val="none"/>
          <w:lang w:val="en-US" w:eastAsia="zh-CN" w:bidi="ar-SA"/>
        </w:rPr>
        <w:fldChar w:fldCharType="end"/>
      </w:r>
    </w:p>
    <w:p w14:paraId="158F345D">
      <w:pPr>
        <w:pStyle w:val="21"/>
        <w:keepNext w:val="0"/>
        <w:keepLines w:val="0"/>
        <w:pageBreakBefore w:val="0"/>
        <w:widowControl w:val="0"/>
        <w:tabs>
          <w:tab w:val="right" w:leader="dot" w:pos="8306"/>
        </w:tabs>
        <w:kinsoku/>
        <w:wordWrap/>
        <w:overflowPunct/>
        <w:topLinePunct w:val="0"/>
        <w:autoSpaceDE/>
        <w:autoSpaceDN/>
        <w:bidi w:val="0"/>
        <w:adjustRightInd/>
        <w:snapToGrid/>
        <w:spacing w:line="600" w:lineRule="auto"/>
        <w:ind w:left="0" w:leftChars="0"/>
        <w:textAlignment w:val="auto"/>
        <w:rPr>
          <w:rFonts w:hint="eastAsia" w:ascii="宋体" w:hAnsi="宋体" w:eastAsia="宋体" w:cs="宋体"/>
          <w:color w:val="auto"/>
          <w:kern w:val="2"/>
          <w:sz w:val="28"/>
          <w:szCs w:val="56"/>
          <w:highlight w:val="none"/>
          <w:lang w:val="en-US" w:eastAsia="zh-CN" w:bidi="ar-SA"/>
        </w:rPr>
      </w:pPr>
      <w:r>
        <w:rPr>
          <w:rFonts w:hint="eastAsia" w:ascii="宋体" w:hAnsi="宋体" w:eastAsia="宋体" w:cs="宋体"/>
          <w:color w:val="auto"/>
          <w:kern w:val="2"/>
          <w:sz w:val="32"/>
          <w:szCs w:val="72"/>
          <w:highlight w:val="none"/>
          <w:lang w:val="en-US" w:eastAsia="zh-CN" w:bidi="ar-SA"/>
        </w:rPr>
        <w:t>第六章  磋商响应文件构成及基本格式</w:t>
      </w:r>
      <w:r>
        <w:rPr>
          <w:rFonts w:hint="eastAsia" w:ascii="宋体" w:hAnsi="宋体" w:eastAsia="宋体" w:cs="宋体"/>
          <w:color w:val="auto"/>
          <w:sz w:val="32"/>
          <w:szCs w:val="36"/>
          <w:highlight w:val="none"/>
        </w:rPr>
        <w:tab/>
      </w:r>
      <w:r>
        <w:rPr>
          <w:rFonts w:hint="eastAsia" w:ascii="宋体" w:hAnsi="宋体" w:eastAsia="宋体" w:cs="宋体"/>
          <w:color w:val="auto"/>
          <w:kern w:val="2"/>
          <w:sz w:val="32"/>
          <w:szCs w:val="72"/>
          <w:highlight w:val="none"/>
          <w:lang w:val="en-US" w:eastAsia="zh-CN" w:bidi="ar-SA"/>
        </w:rPr>
        <w:t>47</w:t>
      </w: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highlight w:val="none"/>
        </w:rPr>
      </w:pPr>
      <w:r>
        <w:rPr>
          <w:rFonts w:hint="eastAsia" w:ascii="宋体" w:hAnsi="宋体" w:eastAsia="宋体" w:cs="宋体"/>
          <w:bCs/>
          <w:color w:val="auto"/>
          <w:sz w:val="28"/>
          <w:szCs w:val="36"/>
          <w:highlight w:val="none"/>
          <w:lang w:val="zh-CN"/>
        </w:rPr>
        <w:fldChar w:fldCharType="end"/>
      </w:r>
    </w:p>
    <w:p w14:paraId="48DB4A81">
      <w:pPr>
        <w:rPr>
          <w:rFonts w:hint="eastAsia" w:ascii="宋体" w:hAnsi="宋体" w:eastAsia="宋体" w:cs="宋体"/>
          <w:color w:val="auto"/>
          <w:highlight w:val="none"/>
        </w:rPr>
      </w:pPr>
    </w:p>
    <w:p w14:paraId="7F132C1E">
      <w:pPr>
        <w:widowControl/>
        <w:jc w:val="left"/>
        <w:rPr>
          <w:rFonts w:hint="eastAsia" w:ascii="宋体" w:hAnsi="宋体" w:eastAsia="宋体" w:cs="宋体"/>
          <w:b/>
          <w:color w:val="auto"/>
          <w:sz w:val="10"/>
          <w:highlight w:val="none"/>
        </w:rPr>
      </w:pPr>
      <w:r>
        <w:rPr>
          <w:rFonts w:hint="eastAsia" w:ascii="宋体" w:hAnsi="宋体" w:eastAsia="宋体" w:cs="宋体"/>
          <w:b/>
          <w:color w:val="auto"/>
          <w:sz w:val="10"/>
          <w:highlight w:val="none"/>
        </w:rPr>
        <w:br w:type="page"/>
      </w:r>
    </w:p>
    <w:p w14:paraId="32FCC8F5">
      <w:pPr>
        <w:tabs>
          <w:tab w:val="left" w:pos="1560"/>
        </w:tabs>
        <w:jc w:val="center"/>
        <w:rPr>
          <w:rFonts w:hint="eastAsia" w:ascii="宋体" w:hAnsi="宋体" w:eastAsia="宋体" w:cs="宋体"/>
          <w:b/>
          <w:color w:val="auto"/>
          <w:sz w:val="10"/>
          <w:highlight w:val="none"/>
        </w:rPr>
        <w:sectPr>
          <w:headerReference r:id="rId3" w:type="even"/>
          <w:pgSz w:w="11906" w:h="16838"/>
          <w:pgMar w:top="1440" w:right="1800" w:bottom="1440" w:left="1800" w:header="851" w:footer="992" w:gutter="0"/>
          <w:cols w:space="425" w:num="1"/>
          <w:docGrid w:type="lines" w:linePitch="312" w:charSpace="0"/>
        </w:sectPr>
      </w:pPr>
    </w:p>
    <w:p w14:paraId="42EA7118">
      <w:pPr>
        <w:pStyle w:val="36"/>
        <w:spacing w:before="240" w:after="240"/>
        <w:outlineLvl w:val="0"/>
        <w:rPr>
          <w:rFonts w:hint="eastAsia" w:ascii="宋体" w:hAnsi="宋体" w:eastAsia="宋体" w:cs="宋体"/>
          <w:color w:val="auto"/>
          <w:sz w:val="40"/>
          <w:szCs w:val="28"/>
          <w:highlight w:val="none"/>
        </w:rPr>
      </w:pPr>
      <w:bookmarkStart w:id="0" w:name="_Toc25087"/>
      <w:r>
        <w:rPr>
          <w:rFonts w:hint="eastAsia" w:ascii="宋体" w:hAnsi="宋体" w:eastAsia="宋体" w:cs="宋体"/>
          <w:color w:val="auto"/>
          <w:sz w:val="40"/>
          <w:szCs w:val="28"/>
          <w:highlight w:val="none"/>
        </w:rPr>
        <w:t>第一章 竞争性磋商公告</w:t>
      </w:r>
      <w:bookmarkEnd w:id="0"/>
    </w:p>
    <w:p w14:paraId="1D6623C9">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0F4469F8">
      <w:pPr>
        <w:pStyle w:val="39"/>
        <w:ind w:firstLine="480"/>
        <w:rPr>
          <w:rFonts w:hint="eastAsia" w:ascii="宋体" w:hAnsi="宋体" w:cs="宋体"/>
          <w:color w:val="auto"/>
          <w:highlight w:val="none"/>
          <w:lang w:eastAsia="zh-CN"/>
        </w:rPr>
      </w:pPr>
      <w:r>
        <w:rPr>
          <w:rFonts w:hint="eastAsia" w:ascii="宋体" w:hAnsi="宋体" w:cs="宋体"/>
          <w:color w:val="auto"/>
          <w:highlight w:val="none"/>
          <w:lang w:eastAsia="zh-CN"/>
        </w:rPr>
        <w:t>石泉县中坝河流域（中坝村大桥至后柳集镇中坝大桥段）环境生态治理及水毁修复项目（一期）环境影响评价服务项目的潜在供应商应在石泉县育才路4段金江花园后门获取采购文件，并于</w:t>
      </w:r>
      <w:r>
        <w:rPr>
          <w:rFonts w:hint="eastAsia" w:ascii="宋体" w:hAnsi="宋体" w:cs="宋体"/>
          <w:color w:val="auto"/>
          <w:highlight w:val="none"/>
          <w:lang w:eastAsia="zh-CN"/>
        </w:rPr>
        <w:t>2</w:t>
      </w:r>
      <w:r>
        <w:rPr>
          <w:rFonts w:hint="eastAsia" w:ascii="宋体" w:hAnsi="宋体" w:cs="宋体"/>
          <w:color w:val="auto"/>
          <w:highlight w:val="none"/>
          <w:lang w:val="en-US" w:eastAsia="zh-CN"/>
        </w:rPr>
        <w:t>025年05月30日10点00分</w:t>
      </w:r>
      <w:r>
        <w:rPr>
          <w:rFonts w:hint="eastAsia" w:ascii="宋体" w:hAnsi="宋体" w:cs="宋体"/>
          <w:color w:val="auto"/>
          <w:highlight w:val="none"/>
          <w:lang w:eastAsia="zh-CN"/>
        </w:rPr>
        <w:t>（北京时间）前提交响应文件。</w:t>
      </w:r>
    </w:p>
    <w:p w14:paraId="2BE81249">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14:paraId="63225DEE">
      <w:pPr>
        <w:pStyle w:val="39"/>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YC254400</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（CGR）</w:t>
      </w:r>
    </w:p>
    <w:p w14:paraId="3319ACC4">
      <w:pPr>
        <w:pStyle w:val="39"/>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石泉县中坝河流域（中坝村大桥至后柳集镇中坝大桥段）环境生态治理及水毁修复项目（一期）环境影响评价服务项目</w:t>
      </w:r>
    </w:p>
    <w:p w14:paraId="63CD7D9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采购方式：竞争性磋商</w:t>
      </w:r>
    </w:p>
    <w:p w14:paraId="3914677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cs="宋体"/>
          <w:color w:val="auto"/>
          <w:highlight w:val="none"/>
          <w:lang w:val="en-US" w:eastAsia="zh-CN"/>
        </w:rPr>
        <w:t>180,000.00</w:t>
      </w:r>
      <w:r>
        <w:rPr>
          <w:rFonts w:hint="eastAsia" w:ascii="宋体" w:hAnsi="宋体" w:eastAsia="宋体" w:cs="宋体"/>
          <w:color w:val="auto"/>
          <w:highlight w:val="none"/>
        </w:rPr>
        <w:t>元</w:t>
      </w:r>
    </w:p>
    <w:p w14:paraId="46A5FB3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石泉县中坝河流域（中坝村大桥至后柳集镇中坝大桥段）环境生态治理及水毁修复项目（一期）环境影响评价服务项目</w:t>
      </w:r>
      <w:r>
        <w:rPr>
          <w:rFonts w:hint="eastAsia" w:ascii="宋体" w:hAnsi="宋体" w:eastAsia="宋体" w:cs="宋体"/>
          <w:color w:val="auto"/>
          <w:highlight w:val="none"/>
        </w:rPr>
        <w:t>):</w:t>
      </w:r>
    </w:p>
    <w:p w14:paraId="1C8B06A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cs="宋体"/>
          <w:color w:val="auto"/>
          <w:highlight w:val="none"/>
          <w:lang w:val="en-US" w:eastAsia="zh-CN"/>
        </w:rPr>
        <w:t>180</w:t>
      </w:r>
      <w:r>
        <w:rPr>
          <w:rFonts w:hint="eastAsia" w:ascii="宋体" w:hAnsi="宋体" w:cs="宋体"/>
          <w:color w:val="auto"/>
          <w:highlight w:val="none"/>
          <w:lang w:eastAsia="zh-CN"/>
        </w:rPr>
        <w:t>,000.00</w:t>
      </w:r>
      <w:r>
        <w:rPr>
          <w:rFonts w:hint="eastAsia" w:ascii="宋体" w:hAnsi="宋体" w:eastAsia="宋体" w:cs="宋体"/>
          <w:color w:val="auto"/>
          <w:highlight w:val="none"/>
        </w:rPr>
        <w:t>元</w:t>
      </w:r>
    </w:p>
    <w:p w14:paraId="20ABBFD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合同包最高限价：</w:t>
      </w:r>
      <w:r>
        <w:rPr>
          <w:rFonts w:hint="eastAsia" w:ascii="宋体" w:hAnsi="宋体" w:cs="宋体"/>
          <w:color w:val="auto"/>
          <w:highlight w:val="none"/>
          <w:lang w:val="en-US" w:eastAsia="zh-CN"/>
        </w:rPr>
        <w:t>180</w:t>
      </w:r>
      <w:r>
        <w:rPr>
          <w:rFonts w:hint="eastAsia" w:ascii="宋体" w:hAnsi="宋体" w:cs="宋体"/>
          <w:color w:val="auto"/>
          <w:highlight w:val="none"/>
          <w:lang w:eastAsia="zh-CN"/>
        </w:rPr>
        <w:t>,000.00</w:t>
      </w:r>
      <w:r>
        <w:rPr>
          <w:rFonts w:hint="eastAsia" w:ascii="宋体" w:hAnsi="宋体" w:eastAsia="宋体" w:cs="宋体"/>
          <w:color w:val="auto"/>
          <w:highlight w:val="none"/>
        </w:rPr>
        <w:t>元</w:t>
      </w:r>
    </w:p>
    <w:tbl>
      <w:tblPr>
        <w:tblStyle w:val="28"/>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391"/>
        <w:gridCol w:w="1721"/>
        <w:gridCol w:w="1380"/>
        <w:gridCol w:w="1602"/>
        <w:gridCol w:w="1646"/>
        <w:gridCol w:w="1610"/>
      </w:tblGrid>
      <w:tr w14:paraId="2DA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07" w:type="dxa"/>
            <w:vAlign w:val="center"/>
          </w:tcPr>
          <w:p w14:paraId="256053A8">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品目号</w:t>
            </w:r>
          </w:p>
        </w:tc>
        <w:tc>
          <w:tcPr>
            <w:tcW w:w="1391" w:type="dxa"/>
            <w:vAlign w:val="center"/>
          </w:tcPr>
          <w:p w14:paraId="76493FA1">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品目名称</w:t>
            </w:r>
          </w:p>
        </w:tc>
        <w:tc>
          <w:tcPr>
            <w:tcW w:w="1721" w:type="dxa"/>
            <w:vAlign w:val="center"/>
          </w:tcPr>
          <w:p w14:paraId="4F43D164">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p>
        </w:tc>
        <w:tc>
          <w:tcPr>
            <w:tcW w:w="1380" w:type="dxa"/>
            <w:vAlign w:val="center"/>
          </w:tcPr>
          <w:p w14:paraId="09BE3D39">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数量（单位）</w:t>
            </w:r>
          </w:p>
        </w:tc>
        <w:tc>
          <w:tcPr>
            <w:tcW w:w="1602" w:type="dxa"/>
            <w:vAlign w:val="center"/>
          </w:tcPr>
          <w:p w14:paraId="4512D220">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技术规格、参数及要求</w:t>
            </w:r>
          </w:p>
        </w:tc>
        <w:tc>
          <w:tcPr>
            <w:tcW w:w="1646" w:type="dxa"/>
            <w:vAlign w:val="center"/>
          </w:tcPr>
          <w:p w14:paraId="518B78BB">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品目预算(元)</w:t>
            </w:r>
          </w:p>
        </w:tc>
        <w:tc>
          <w:tcPr>
            <w:tcW w:w="1610" w:type="dxa"/>
            <w:vAlign w:val="center"/>
          </w:tcPr>
          <w:p w14:paraId="0A845BB5">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最高限价(元)</w:t>
            </w:r>
          </w:p>
        </w:tc>
      </w:tr>
      <w:tr w14:paraId="7C52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07" w:type="dxa"/>
            <w:vAlign w:val="center"/>
          </w:tcPr>
          <w:p w14:paraId="6368D087">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391" w:type="dxa"/>
            <w:vAlign w:val="center"/>
          </w:tcPr>
          <w:p w14:paraId="3750F1EF">
            <w:pPr>
              <w:keepNext w:val="0"/>
              <w:keepLines w:val="0"/>
              <w:widowControl/>
              <w:suppressLineNumbers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2"/>
                <w:sz w:val="24"/>
                <w:szCs w:val="22"/>
                <w:highlight w:val="none"/>
                <w:lang w:val="en-US" w:eastAsia="zh-CN" w:bidi="ar-SA"/>
              </w:rPr>
              <w:t xml:space="preserve">生态资源调查与监测服务 </w:t>
            </w:r>
          </w:p>
        </w:tc>
        <w:tc>
          <w:tcPr>
            <w:tcW w:w="1721" w:type="dxa"/>
            <w:vAlign w:val="center"/>
          </w:tcPr>
          <w:p w14:paraId="22FB26D8">
            <w:pPr>
              <w:keepNext w:val="0"/>
              <w:keepLines w:val="0"/>
              <w:widowControl/>
              <w:suppressLineNumbers w:val="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bidi="ar"/>
              </w:rPr>
              <w:t>石泉县中坝河流域（中坝村大桥至后柳集镇中坝大桥段）环境生态治理及水毁修复项目（一期）环境影响评价服务项目</w:t>
            </w:r>
          </w:p>
        </w:tc>
        <w:tc>
          <w:tcPr>
            <w:tcW w:w="1380" w:type="dxa"/>
            <w:vAlign w:val="center"/>
          </w:tcPr>
          <w:p w14:paraId="45B7317B">
            <w:pPr>
              <w:spacing w:line="4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w:t>
            </w:r>
          </w:p>
        </w:tc>
        <w:tc>
          <w:tcPr>
            <w:tcW w:w="1602" w:type="dxa"/>
            <w:vAlign w:val="center"/>
          </w:tcPr>
          <w:p w14:paraId="268C0C56">
            <w:pPr>
              <w:spacing w:line="420" w:lineRule="exact"/>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详见采购文件</w:t>
            </w:r>
          </w:p>
        </w:tc>
        <w:tc>
          <w:tcPr>
            <w:tcW w:w="1646" w:type="dxa"/>
            <w:vAlign w:val="center"/>
          </w:tcPr>
          <w:p w14:paraId="11A7DFA2">
            <w:pPr>
              <w:keepNext w:val="0"/>
              <w:keepLines w:val="0"/>
              <w:widowControl/>
              <w:suppressLineNumbers w:val="0"/>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180000.00元</w:t>
            </w:r>
          </w:p>
        </w:tc>
        <w:tc>
          <w:tcPr>
            <w:tcW w:w="1610" w:type="dxa"/>
            <w:vAlign w:val="center"/>
          </w:tcPr>
          <w:p w14:paraId="63C5166A">
            <w:pPr>
              <w:keepNext w:val="0"/>
              <w:keepLines w:val="0"/>
              <w:widowControl/>
              <w:suppressLineNumbers w:val="0"/>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180000.00元</w:t>
            </w:r>
          </w:p>
        </w:tc>
      </w:tr>
    </w:tbl>
    <w:p w14:paraId="0ACAC52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本合同包☑不接受联合体磋商。</w:t>
      </w:r>
    </w:p>
    <w:p w14:paraId="33C89CC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highlight w:val="none"/>
          <w:lang w:val="en-US" w:eastAsia="zh-CN"/>
        </w:rPr>
        <w:t>自合同签订之日起</w:t>
      </w:r>
      <w:r>
        <w:rPr>
          <w:rFonts w:hint="eastAsia" w:ascii="宋体" w:hAnsi="宋体" w:cs="宋体"/>
          <w:color w:val="auto"/>
          <w:highlight w:val="none"/>
          <w:lang w:val="en-US" w:eastAsia="zh-CN"/>
        </w:rPr>
        <w:t>60</w:t>
      </w:r>
      <w:r>
        <w:rPr>
          <w:rFonts w:hint="eastAsia" w:ascii="宋体" w:hAnsi="宋体" w:eastAsia="宋体" w:cs="宋体"/>
          <w:color w:val="auto"/>
          <w:highlight w:val="none"/>
          <w:lang w:val="en-US" w:eastAsia="zh-CN"/>
        </w:rPr>
        <w:t>日历天。</w:t>
      </w:r>
    </w:p>
    <w:p w14:paraId="37323710">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二、申请人资格要求</w:t>
      </w:r>
    </w:p>
    <w:p w14:paraId="5F01318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26448419">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2.落实政府采购政策需满足的资格要求：合同包1(</w:t>
      </w:r>
      <w:r>
        <w:rPr>
          <w:rFonts w:hint="eastAsia" w:ascii="宋体" w:hAnsi="宋体" w:cs="宋体"/>
          <w:color w:val="auto"/>
          <w:highlight w:val="none"/>
          <w:lang w:eastAsia="zh-CN"/>
        </w:rPr>
        <w:t>石泉县中坝河流域（中坝村大桥至后柳集镇中坝大桥段）环境生态治理及水毁修复项目（一期）环境影响评价服务项目</w:t>
      </w:r>
      <w:r>
        <w:rPr>
          <w:rFonts w:hint="eastAsia" w:ascii="宋体" w:hAnsi="宋体" w:eastAsia="宋体" w:cs="宋体"/>
          <w:color w:val="auto"/>
          <w:highlight w:val="none"/>
        </w:rPr>
        <w:t>)落实政府采购政策需满足的资格要求如下:</w:t>
      </w:r>
    </w:p>
    <w:p w14:paraId="38E02B7A">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本项目为专门面向中小企业项目，供应商应为中型企业、小型企业、微型企业、监狱企业、残疾人福利性单位。供应商为中小企业的，提供《中小企业声明函》， 且中、小、微企业的划分标准所属行业为其他未列明行业</w:t>
      </w:r>
      <w:r>
        <w:rPr>
          <w:rFonts w:hint="eastAsia" w:ascii="宋体" w:hAnsi="宋体" w:eastAsia="宋体" w:cs="宋体"/>
          <w:color w:val="auto"/>
          <w:highlight w:val="none"/>
          <w:lang w:val="en-US" w:eastAsia="zh-CN"/>
        </w:rPr>
        <w:t>；供应商为监狱企业的，应提供监狱企业的证明文件；供应商为残疾人福利性单位的，应提供《残疾人福利性单位声明函》(监狱企业或残疾人福利性单位视同小型、微型企业)。</w:t>
      </w:r>
    </w:p>
    <w:p w14:paraId="6CB6874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（1）《国务院办公厅关于建立政府强制采购节能产品制度的通知》（国办发〔2007〕51号）；</w:t>
      </w:r>
    </w:p>
    <w:p w14:paraId="36F493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（2）《财政部司法部关于政府采购支持监狱企业发展有关问题的通知》（财库〔2014〕68号）；</w:t>
      </w:r>
    </w:p>
    <w:p w14:paraId="17ADF9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（3）《财政部、民政部、中国残疾人联合会关于促进残疾人就业政府采购政策的通知》（财库〔2017〕141号）；</w:t>
      </w:r>
    </w:p>
    <w:p w14:paraId="6DA8A7B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（4）《财政部发展改革委生态环境部市场监管总局关于调整优化节能产品、环境标志产品政府采购执行机制的通知》（财库〔2019〕9号）；</w:t>
      </w:r>
    </w:p>
    <w:p w14:paraId="4A964E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（5）《关于运用政府采购政策支持乡村产业振兴的通知》（财库〔2021〕19号）；</w:t>
      </w:r>
    </w:p>
    <w:p w14:paraId="1262DEB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（6）《政府采购促进中小企业发展管理办法》（财库〔2020〕46号）；</w:t>
      </w:r>
    </w:p>
    <w:p w14:paraId="084272B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（7）《陕西省财政厅关于印发&lt;陕西省中小企业政府采购信用融资办法&gt;的通知》（陕财办采〔2018〕23 号；</w:t>
      </w:r>
    </w:p>
    <w:p w14:paraId="5FC4CD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（8）陕西省财政厅《关于加快推进我省中小企业政府采购信用融资工作的通知》（陕财办采〔2020〕15号）；</w:t>
      </w:r>
    </w:p>
    <w:p w14:paraId="39EA59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（9）陕西省财政厅《关于进一步加强政府绿色采购有关问题的通知》（陕财办采〔2021〕29号）；</w:t>
      </w:r>
    </w:p>
    <w:p w14:paraId="65E58F71">
      <w:pPr>
        <w:pStyle w:val="2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highlight w:val="none"/>
        </w:rPr>
        <w:t>（10）《陕西省财政厅关于落实政府采购支持中小企业政策有关事项的通知》陕财办采函〔2022〕10号；</w:t>
      </w:r>
    </w:p>
    <w:p w14:paraId="1E43C3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（11）《关于进一步加大政府采购支持中小企业力度的通知》（财库〔2022〕19号；</w:t>
      </w:r>
    </w:p>
    <w:p w14:paraId="0BF2575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（12）《关于扩大政府采购支持绿色建材促进建筑品质提升政策实施范围的通知》财库〔2022〕35号；</w:t>
      </w:r>
    </w:p>
    <w:p w14:paraId="3FF8E509">
      <w:pPr>
        <w:pStyle w:val="2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highlight w:val="none"/>
        </w:rPr>
        <w:t>（13）《陕西省财政厅关于进一步落实政府采购支持中小企业相关政策的通知》陕财办采〔2023〕3号；</w:t>
      </w:r>
    </w:p>
    <w:p w14:paraId="1669FBF8">
      <w:pPr>
        <w:pStyle w:val="2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highlight w:val="none"/>
        </w:rPr>
        <w:t>（14）</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kern w:val="2"/>
          <w:highlight w:val="none"/>
        </w:rPr>
        <w:t>《陕西省财政厅关于进一步优化政府采购营商环境有关事项的通知》陕财办采〔2023〕4号；</w:t>
      </w:r>
    </w:p>
    <w:p w14:paraId="2182ECEF">
      <w:pPr>
        <w:pStyle w:val="24"/>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highlight w:val="none"/>
        </w:rPr>
        <w:t>（15）其他需要落实的政府采购政策。</w:t>
      </w:r>
    </w:p>
    <w:p w14:paraId="06959D1C">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7C56D1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石泉县中坝河流域（中坝村大桥至后柳集镇中坝大桥段）环境生态治理及水毁修复项目（一期）环境影响评价服务项目</w:t>
      </w:r>
      <w:r>
        <w:rPr>
          <w:rFonts w:hint="eastAsia" w:ascii="宋体" w:hAnsi="宋体" w:eastAsia="宋体" w:cs="宋体"/>
          <w:color w:val="auto"/>
          <w:sz w:val="24"/>
          <w:szCs w:val="24"/>
          <w:highlight w:val="none"/>
        </w:rPr>
        <w:t>)</w:t>
      </w:r>
    </w:p>
    <w:p w14:paraId="6FE6172A">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（1）提供有效合格的统一社会信用代码的营业执照，其他组织经营的须提供合法凭证，自然人的提供身份证明文件；</w:t>
      </w:r>
    </w:p>
    <w:p w14:paraId="52FBA79A">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44FFD9DE">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（3）拟投入的项目负责人须具有国家相关部门颁发的环境影响评价工程师职业资格证书；</w:t>
      </w:r>
    </w:p>
    <w:p w14:paraId="21B41916">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464166D4">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527D85A5">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2C9F219F">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1331E730">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（8）具有履行合同所必需的设备和专业技术能力的书面声明</w:t>
      </w:r>
    </w:p>
    <w:p w14:paraId="23EF84DF">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（9）供应商应提供中小企业声明函或残疾人福利性单位声明函或监狱企业证明文件；</w:t>
      </w:r>
    </w:p>
    <w:p w14:paraId="2D4D9659">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（10）本项目不接受联合体投标。</w:t>
      </w:r>
    </w:p>
    <w:p w14:paraId="571AE469">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三、获取采购文件</w:t>
      </w:r>
    </w:p>
    <w:p w14:paraId="3C0037A4">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日至2025年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26</w:t>
      </w:r>
      <w:r>
        <w:rPr>
          <w:rFonts w:hint="eastAsia" w:ascii="宋体" w:hAnsi="宋体" w:eastAsia="宋体" w:cs="宋体"/>
          <w:color w:val="auto"/>
          <w:highlight w:val="none"/>
          <w:lang w:val="en-US" w:eastAsia="zh-CN"/>
        </w:rPr>
        <w:t>日</w:t>
      </w:r>
      <w:r>
        <w:rPr>
          <w:rFonts w:hint="eastAsia" w:ascii="宋体" w:hAnsi="宋体" w:eastAsia="宋体" w:cs="宋体"/>
          <w:color w:val="auto"/>
          <w:highlight w:val="none"/>
        </w:rPr>
        <w:t>，每天上午09:00:00至12:00:00，下午14:</w:t>
      </w:r>
      <w:r>
        <w:rPr>
          <w:rFonts w:hint="eastAsia" w:ascii="宋体" w:hAnsi="宋体" w:cs="宋体"/>
          <w:color w:val="auto"/>
          <w:highlight w:val="none"/>
          <w:lang w:val="en-US" w:eastAsia="zh-CN"/>
        </w:rPr>
        <w:t>0</w:t>
      </w:r>
      <w:r>
        <w:rPr>
          <w:rFonts w:hint="eastAsia" w:ascii="宋体" w:hAnsi="宋体" w:eastAsia="宋体" w:cs="宋体"/>
          <w:color w:val="auto"/>
          <w:highlight w:val="none"/>
        </w:rPr>
        <w:t>0:00至17:30:00（北京时间,国家法定节假日除外</w:t>
      </w:r>
      <w:r>
        <w:rPr>
          <w:rFonts w:hint="eastAsia" w:ascii="宋体" w:hAnsi="宋体" w:eastAsia="宋体" w:cs="宋体"/>
          <w:color w:val="auto"/>
          <w:highlight w:val="none"/>
        </w:rPr>
        <w:t>）</w:t>
      </w:r>
    </w:p>
    <w:p w14:paraId="5D951566">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地点：石泉县育才路4段金江花园后门亿诚石泉分公司招标部</w:t>
      </w:r>
    </w:p>
    <w:p w14:paraId="4D0E64E6">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方式：现场获取</w:t>
      </w:r>
    </w:p>
    <w:p w14:paraId="06B9F4FC">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四、响应文件提交</w:t>
      </w:r>
    </w:p>
    <w:p w14:paraId="7E6C8F7A">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时00分00秒</w:t>
      </w:r>
      <w:r>
        <w:rPr>
          <w:rFonts w:hint="eastAsia" w:ascii="宋体" w:hAnsi="宋体" w:eastAsia="宋体" w:cs="宋体"/>
          <w:color w:val="auto"/>
          <w:highlight w:val="none"/>
        </w:rPr>
        <w:t>（北京时间）</w:t>
      </w:r>
    </w:p>
    <w:p w14:paraId="5E56E978">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地点：亿诚建设项目管理有限公司石泉分公司会议室</w:t>
      </w:r>
    </w:p>
    <w:p w14:paraId="71EEB12B">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五、开启</w:t>
      </w:r>
    </w:p>
    <w:p w14:paraId="2636D13D">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时00分00秒（</w:t>
      </w:r>
      <w:r>
        <w:rPr>
          <w:rFonts w:hint="eastAsia" w:ascii="宋体" w:hAnsi="宋体" w:eastAsia="宋体" w:cs="宋体"/>
          <w:color w:val="auto"/>
          <w:highlight w:val="none"/>
        </w:rPr>
        <w:t>北京时间）</w:t>
      </w:r>
    </w:p>
    <w:p w14:paraId="60DA92E9">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地点：亿诚建设项目管理有限公司石泉分公司会议室</w:t>
      </w:r>
    </w:p>
    <w:p w14:paraId="2D8D0356">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六、公告期限</w:t>
      </w:r>
    </w:p>
    <w:p w14:paraId="67865250">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cs="宋体"/>
          <w:color w:val="auto"/>
          <w:highlight w:val="none"/>
          <w:lang w:val="en-US" w:eastAsia="zh-CN"/>
        </w:rPr>
        <w:t>5</w:t>
      </w:r>
      <w:r>
        <w:rPr>
          <w:rFonts w:hint="eastAsia" w:ascii="宋体" w:hAnsi="宋体" w:eastAsia="宋体" w:cs="宋体"/>
          <w:color w:val="auto"/>
          <w:highlight w:val="none"/>
        </w:rPr>
        <w:t>个工作日。</w:t>
      </w:r>
    </w:p>
    <w:p w14:paraId="7AC8DC34">
      <w:pPr>
        <w:pStyle w:val="37"/>
        <w:keepNext w:val="0"/>
        <w:keepLines w:val="0"/>
        <w:pageBreakBefore w:val="0"/>
        <w:widowControl w:val="0"/>
        <w:numPr>
          <w:ilvl w:val="0"/>
          <w:numId w:val="1"/>
        </w:numPr>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其他补充事宜</w:t>
      </w:r>
    </w:p>
    <w:p w14:paraId="57ACF04F">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0371C83">
      <w:pPr>
        <w:pStyle w:val="37"/>
        <w:keepNext w:val="0"/>
        <w:keepLines w:val="0"/>
        <w:pageBreakBefore w:val="0"/>
        <w:widowControl w:val="0"/>
        <w:kinsoku/>
        <w:wordWrap/>
        <w:overflowPunct/>
        <w:topLinePunct w:val="0"/>
        <w:autoSpaceDE/>
        <w:autoSpaceDN/>
        <w:bidi w:val="0"/>
        <w:adjustRightInd/>
        <w:snapToGrid/>
        <w:spacing w:before="120" w:after="12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八、对本次采购提出询问，请按以下方式联系。</w:t>
      </w:r>
    </w:p>
    <w:p w14:paraId="1A68675E">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1.釆购人信息</w:t>
      </w:r>
    </w:p>
    <w:p w14:paraId="2704A565">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cs="宋体"/>
          <w:color w:val="auto"/>
          <w:highlight w:val="none"/>
          <w:lang w:eastAsia="zh-CN"/>
        </w:rPr>
        <w:t xml:space="preserve"> 安康市生态环境局石泉分局</w:t>
      </w:r>
    </w:p>
    <w:p w14:paraId="2F7CEC21">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石泉县</w:t>
      </w:r>
      <w:r>
        <w:rPr>
          <w:rFonts w:hint="eastAsia" w:ascii="宋体" w:hAnsi="宋体" w:cs="宋体"/>
          <w:color w:val="auto"/>
          <w:highlight w:val="none"/>
          <w:lang w:eastAsia="zh-CN"/>
        </w:rPr>
        <w:t>政务中心</w:t>
      </w:r>
      <w:r>
        <w:rPr>
          <w:rFonts w:hint="eastAsia" w:ascii="宋体" w:hAnsi="宋体" w:cs="宋体"/>
          <w:color w:val="auto"/>
          <w:highlight w:val="none"/>
          <w:lang w:val="en-US" w:eastAsia="zh-CN"/>
        </w:rPr>
        <w:t>12F</w:t>
      </w:r>
    </w:p>
    <w:p w14:paraId="716828D8">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联系人：石泉县环境保护局经办 </w:t>
      </w:r>
    </w:p>
    <w:p w14:paraId="06039CAF">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联系方式：18291519990</w:t>
      </w:r>
    </w:p>
    <w:p w14:paraId="6B734B3C">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2.釆购代理机构信息</w:t>
      </w:r>
    </w:p>
    <w:p w14:paraId="474D9F8F">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名称：亿诚建设项目管理有限公司</w:t>
      </w:r>
    </w:p>
    <w:p w14:paraId="56AB8469">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地址：西安市高新区丈八五路高科尚都one尚城A座10F</w:t>
      </w:r>
    </w:p>
    <w:p w14:paraId="19B535D9">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cs="宋体"/>
          <w:color w:val="auto"/>
          <w:highlight w:val="none"/>
          <w:lang w:val="en-US" w:eastAsia="zh-CN"/>
        </w:rPr>
        <w:t>17391332881</w:t>
      </w:r>
    </w:p>
    <w:p w14:paraId="053CCEA3">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7B1DF32A">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肖航</w:t>
      </w:r>
    </w:p>
    <w:p w14:paraId="33654DB6">
      <w:pPr>
        <w:pStyle w:val="39"/>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cs="宋体"/>
          <w:color w:val="auto"/>
          <w:highlight w:val="none"/>
          <w:lang w:val="en-US" w:eastAsia="zh-CN"/>
        </w:rPr>
        <w:t>17391332881</w:t>
      </w:r>
    </w:p>
    <w:p w14:paraId="3A775BBF">
      <w:pPr>
        <w:keepNext w:val="0"/>
        <w:keepLines w:val="0"/>
        <w:pageBreakBefore w:val="0"/>
        <w:widowControl w:val="0"/>
        <w:kinsoku/>
        <w:wordWrap/>
        <w:overflowPunct/>
        <w:topLinePunct w:val="0"/>
        <w:autoSpaceDE/>
        <w:autoSpaceDN/>
        <w:bidi w:val="0"/>
        <w:adjustRightInd/>
        <w:snapToGrid/>
        <w:spacing w:before="201" w:line="520" w:lineRule="exact"/>
        <w:ind w:right="1048"/>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亿诚建设项目管理有限公司</w:t>
      </w:r>
    </w:p>
    <w:p w14:paraId="3ECB2B47">
      <w:pPr>
        <w:keepNext w:val="0"/>
        <w:keepLines w:val="0"/>
        <w:pageBreakBefore w:val="0"/>
        <w:widowControl w:val="0"/>
        <w:kinsoku/>
        <w:wordWrap/>
        <w:overflowPunct/>
        <w:topLinePunct w:val="0"/>
        <w:autoSpaceDE/>
        <w:autoSpaceDN/>
        <w:bidi w:val="0"/>
        <w:adjustRightInd/>
        <w:snapToGrid/>
        <w:spacing w:before="201" w:line="520" w:lineRule="exact"/>
        <w:ind w:right="1048"/>
        <w:jc w:val="center"/>
        <w:textAlignment w:val="auto"/>
        <w:outlineLvl w:val="1"/>
        <w:rPr>
          <w:rFonts w:hint="eastAsia" w:ascii="宋体" w:hAnsi="宋体" w:eastAsia="宋体" w:cs="宋体"/>
          <w:color w:val="auto"/>
          <w:kern w:val="2"/>
          <w:sz w:val="24"/>
          <w:szCs w:val="22"/>
          <w:highlight w:val="none"/>
          <w:lang w:val="en-US" w:eastAsia="zh-CN" w:bidi="ar-SA"/>
        </w:rPr>
      </w:pPr>
      <w:bookmarkStart w:id="1" w:name="_Toc23388"/>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2"/>
          <w:sz w:val="24"/>
          <w:szCs w:val="22"/>
          <w:highlight w:val="none"/>
          <w:lang w:val="en-US" w:eastAsia="zh-CN" w:bidi="ar-SA"/>
        </w:rPr>
        <w:t xml:space="preserve">      2025年05月20日</w:t>
      </w:r>
      <w:bookmarkEnd w:id="1"/>
    </w:p>
    <w:p w14:paraId="74278A57">
      <w:pPr>
        <w:widowControl/>
        <w:jc w:val="left"/>
        <w:rPr>
          <w:rFonts w:hint="eastAsia" w:ascii="宋体" w:hAnsi="宋体" w:eastAsia="宋体" w:cs="宋体"/>
          <w:color w:val="auto"/>
          <w:kern w:val="2"/>
          <w:sz w:val="24"/>
          <w:szCs w:val="22"/>
          <w:highlight w:val="none"/>
          <w:lang w:val="en-US" w:eastAsia="zh-CN" w:bidi="ar-SA"/>
        </w:rPr>
      </w:pPr>
    </w:p>
    <w:p w14:paraId="317475C8">
      <w:pPr>
        <w:pStyle w:val="9"/>
        <w:ind w:firstLine="480"/>
        <w:rPr>
          <w:rFonts w:hint="eastAsia" w:ascii="宋体" w:hAnsi="宋体" w:eastAsia="宋体" w:cs="宋体"/>
          <w:color w:val="auto"/>
          <w:highlight w:val="none"/>
        </w:rPr>
      </w:pPr>
    </w:p>
    <w:p w14:paraId="55968DA2">
      <w:pPr>
        <w:pStyle w:val="10"/>
        <w:rPr>
          <w:rFonts w:hint="eastAsia" w:ascii="宋体" w:hAnsi="宋体" w:eastAsia="宋体" w:cs="宋体"/>
          <w:color w:val="auto"/>
          <w:highlight w:val="none"/>
        </w:rPr>
      </w:pPr>
    </w:p>
    <w:p w14:paraId="4D02AED8">
      <w:pPr>
        <w:rPr>
          <w:rFonts w:hint="eastAsia" w:ascii="宋体" w:hAnsi="宋体" w:eastAsia="宋体" w:cs="宋体"/>
          <w:color w:val="auto"/>
          <w:highlight w:val="none"/>
        </w:rPr>
      </w:pPr>
    </w:p>
    <w:p w14:paraId="26B2A223">
      <w:pPr>
        <w:pStyle w:val="2"/>
        <w:rPr>
          <w:rFonts w:hint="eastAsia" w:ascii="宋体" w:hAnsi="宋体" w:eastAsia="宋体" w:cs="宋体"/>
          <w:color w:val="auto"/>
          <w:highlight w:val="none"/>
        </w:rPr>
      </w:pPr>
    </w:p>
    <w:p w14:paraId="4E810B8B">
      <w:pPr>
        <w:pStyle w:val="2"/>
        <w:rPr>
          <w:rFonts w:hint="eastAsia" w:ascii="宋体" w:hAnsi="宋体" w:eastAsia="宋体" w:cs="宋体"/>
          <w:color w:val="auto"/>
          <w:highlight w:val="none"/>
        </w:rPr>
      </w:pPr>
    </w:p>
    <w:p w14:paraId="43A5B2A3">
      <w:pPr>
        <w:pStyle w:val="2"/>
        <w:rPr>
          <w:rFonts w:hint="eastAsia" w:ascii="宋体" w:hAnsi="宋体" w:eastAsia="宋体" w:cs="宋体"/>
          <w:color w:val="auto"/>
          <w:highlight w:val="none"/>
        </w:rPr>
      </w:pPr>
    </w:p>
    <w:p w14:paraId="0F502609">
      <w:pPr>
        <w:pStyle w:val="2"/>
        <w:rPr>
          <w:rFonts w:hint="eastAsia" w:ascii="宋体" w:hAnsi="宋体" w:eastAsia="宋体" w:cs="宋体"/>
          <w:color w:val="auto"/>
          <w:highlight w:val="none"/>
        </w:rPr>
      </w:pPr>
    </w:p>
    <w:p w14:paraId="187BE1B3">
      <w:pPr>
        <w:pStyle w:val="2"/>
        <w:rPr>
          <w:rFonts w:hint="eastAsia" w:ascii="宋体" w:hAnsi="宋体" w:eastAsia="宋体" w:cs="宋体"/>
          <w:color w:val="auto"/>
          <w:highlight w:val="none"/>
        </w:rPr>
      </w:pPr>
    </w:p>
    <w:p w14:paraId="691B5AF9">
      <w:pPr>
        <w:pStyle w:val="2"/>
        <w:rPr>
          <w:rFonts w:hint="eastAsia" w:ascii="宋体" w:hAnsi="宋体" w:eastAsia="宋体" w:cs="宋体"/>
          <w:color w:val="auto"/>
          <w:highlight w:val="none"/>
        </w:rPr>
      </w:pPr>
    </w:p>
    <w:p w14:paraId="2361C273">
      <w:pPr>
        <w:pStyle w:val="2"/>
        <w:rPr>
          <w:rFonts w:hint="eastAsia" w:ascii="宋体" w:hAnsi="宋体" w:eastAsia="宋体" w:cs="宋体"/>
          <w:color w:val="auto"/>
          <w:highlight w:val="none"/>
        </w:rPr>
      </w:pPr>
    </w:p>
    <w:p w14:paraId="5FEAF29E">
      <w:pPr>
        <w:pStyle w:val="2"/>
        <w:rPr>
          <w:rFonts w:hint="eastAsia" w:ascii="宋体" w:hAnsi="宋体" w:eastAsia="宋体" w:cs="宋体"/>
          <w:color w:val="auto"/>
          <w:highlight w:val="none"/>
        </w:rPr>
      </w:pPr>
    </w:p>
    <w:p w14:paraId="05A07A70">
      <w:pPr>
        <w:pStyle w:val="2"/>
        <w:rPr>
          <w:rFonts w:hint="eastAsia" w:ascii="宋体" w:hAnsi="宋体" w:eastAsia="宋体" w:cs="宋体"/>
          <w:color w:val="auto"/>
          <w:highlight w:val="none"/>
        </w:rPr>
      </w:pPr>
    </w:p>
    <w:p w14:paraId="1E521525">
      <w:pPr>
        <w:pStyle w:val="2"/>
        <w:rPr>
          <w:rFonts w:hint="eastAsia" w:ascii="宋体" w:hAnsi="宋体" w:eastAsia="宋体" w:cs="宋体"/>
          <w:color w:val="auto"/>
          <w:highlight w:val="none"/>
        </w:rPr>
      </w:pPr>
    </w:p>
    <w:p w14:paraId="7E01ED2D">
      <w:pPr>
        <w:pStyle w:val="2"/>
        <w:rPr>
          <w:rFonts w:hint="eastAsia" w:ascii="宋体" w:hAnsi="宋体" w:eastAsia="宋体" w:cs="宋体"/>
          <w:color w:val="auto"/>
          <w:highlight w:val="none"/>
        </w:rPr>
      </w:pPr>
    </w:p>
    <w:p w14:paraId="0E4D793C">
      <w:pPr>
        <w:pStyle w:val="2"/>
        <w:rPr>
          <w:rFonts w:hint="eastAsia" w:ascii="宋体" w:hAnsi="宋体" w:eastAsia="宋体" w:cs="宋体"/>
          <w:color w:val="auto"/>
          <w:highlight w:val="none"/>
        </w:rPr>
      </w:pPr>
    </w:p>
    <w:p w14:paraId="62E3CBAE">
      <w:pPr>
        <w:pStyle w:val="2"/>
        <w:rPr>
          <w:rFonts w:hint="eastAsia" w:ascii="宋体" w:hAnsi="宋体" w:eastAsia="宋体" w:cs="宋体"/>
          <w:color w:val="auto"/>
          <w:highlight w:val="none"/>
        </w:rPr>
      </w:pPr>
    </w:p>
    <w:p w14:paraId="4E1A0EEB">
      <w:pPr>
        <w:pStyle w:val="2"/>
        <w:rPr>
          <w:rFonts w:hint="eastAsia" w:ascii="宋体" w:hAnsi="宋体" w:eastAsia="宋体" w:cs="宋体"/>
          <w:color w:val="auto"/>
          <w:highlight w:val="none"/>
        </w:rPr>
      </w:pPr>
      <w:bookmarkStart w:id="41" w:name="_GoBack"/>
      <w:bookmarkEnd w:id="41"/>
    </w:p>
    <w:p w14:paraId="5F9CCBE3">
      <w:pPr>
        <w:pStyle w:val="2"/>
        <w:rPr>
          <w:rFonts w:hint="eastAsia" w:ascii="宋体" w:hAnsi="宋体" w:eastAsia="宋体" w:cs="宋体"/>
          <w:color w:val="auto"/>
          <w:highlight w:val="none"/>
        </w:rPr>
      </w:pPr>
    </w:p>
    <w:p w14:paraId="28BC0152">
      <w:pPr>
        <w:pStyle w:val="2"/>
        <w:rPr>
          <w:rFonts w:hint="eastAsia" w:ascii="宋体" w:hAnsi="宋体" w:eastAsia="宋体" w:cs="宋体"/>
          <w:color w:val="auto"/>
          <w:highlight w:val="none"/>
        </w:rPr>
      </w:pPr>
    </w:p>
    <w:p w14:paraId="7A268E18">
      <w:pPr>
        <w:pStyle w:val="2"/>
        <w:rPr>
          <w:rFonts w:hint="eastAsia" w:ascii="宋体" w:hAnsi="宋体" w:eastAsia="宋体" w:cs="宋体"/>
          <w:color w:val="auto"/>
          <w:highlight w:val="none"/>
        </w:rPr>
      </w:pPr>
    </w:p>
    <w:p w14:paraId="7EA1FEEF">
      <w:pPr>
        <w:pStyle w:val="2"/>
        <w:rPr>
          <w:rFonts w:hint="eastAsia" w:ascii="宋体" w:hAnsi="宋体" w:eastAsia="宋体" w:cs="宋体"/>
          <w:color w:val="auto"/>
          <w:highlight w:val="none"/>
        </w:rPr>
      </w:pPr>
    </w:p>
    <w:p w14:paraId="01529CE1">
      <w:pPr>
        <w:pStyle w:val="2"/>
        <w:rPr>
          <w:rFonts w:hint="eastAsia" w:ascii="宋体" w:hAnsi="宋体" w:eastAsia="宋体" w:cs="宋体"/>
          <w:color w:val="auto"/>
          <w:highlight w:val="none"/>
        </w:rPr>
      </w:pPr>
    </w:p>
    <w:p w14:paraId="1847B414">
      <w:pPr>
        <w:pStyle w:val="2"/>
        <w:rPr>
          <w:rFonts w:hint="eastAsia" w:ascii="宋体" w:hAnsi="宋体" w:eastAsia="宋体" w:cs="宋体"/>
          <w:color w:val="auto"/>
          <w:highlight w:val="none"/>
        </w:rPr>
      </w:pPr>
    </w:p>
    <w:p w14:paraId="51384F00">
      <w:pPr>
        <w:pStyle w:val="2"/>
        <w:rPr>
          <w:rFonts w:hint="eastAsia" w:ascii="宋体" w:hAnsi="宋体" w:eastAsia="宋体" w:cs="宋体"/>
          <w:color w:val="auto"/>
          <w:highlight w:val="none"/>
        </w:rPr>
      </w:pPr>
    </w:p>
    <w:p w14:paraId="5B586D61">
      <w:pPr>
        <w:pStyle w:val="2"/>
        <w:rPr>
          <w:rFonts w:hint="eastAsia" w:ascii="宋体" w:hAnsi="宋体" w:eastAsia="宋体" w:cs="宋体"/>
          <w:color w:val="auto"/>
          <w:highlight w:val="none"/>
        </w:rPr>
      </w:pPr>
    </w:p>
    <w:p w14:paraId="656CFC87">
      <w:pPr>
        <w:pStyle w:val="2"/>
        <w:rPr>
          <w:rFonts w:hint="eastAsia" w:ascii="宋体" w:hAnsi="宋体" w:eastAsia="宋体" w:cs="宋体"/>
          <w:color w:val="auto"/>
          <w:highlight w:val="none"/>
        </w:rPr>
      </w:pPr>
    </w:p>
    <w:p w14:paraId="5C238A5B">
      <w:pPr>
        <w:rPr>
          <w:rFonts w:hint="eastAsia" w:ascii="宋体" w:hAnsi="宋体" w:eastAsia="宋体" w:cs="宋体"/>
          <w:color w:val="auto"/>
          <w:highlight w:val="none"/>
        </w:rPr>
      </w:pPr>
    </w:p>
    <w:p w14:paraId="4EF16F18">
      <w:pPr>
        <w:pStyle w:val="2"/>
        <w:rPr>
          <w:rFonts w:hint="eastAsia" w:ascii="宋体" w:hAnsi="宋体" w:eastAsia="宋体" w:cs="宋体"/>
          <w:color w:val="auto"/>
          <w:highlight w:val="none"/>
        </w:rPr>
      </w:pPr>
    </w:p>
    <w:p w14:paraId="77782C87">
      <w:pPr>
        <w:pStyle w:val="2"/>
        <w:rPr>
          <w:rFonts w:hint="eastAsia" w:ascii="宋体" w:hAnsi="宋体" w:eastAsia="宋体" w:cs="宋体"/>
          <w:color w:val="auto"/>
          <w:highlight w:val="none"/>
        </w:rPr>
      </w:pPr>
    </w:p>
    <w:p w14:paraId="50BDF58E">
      <w:pPr>
        <w:pStyle w:val="27"/>
        <w:spacing w:line="500" w:lineRule="exact"/>
        <w:ind w:firstLine="0" w:firstLineChars="0"/>
        <w:jc w:val="center"/>
        <w:outlineLvl w:val="0"/>
        <w:rPr>
          <w:rFonts w:hint="eastAsia" w:ascii="宋体" w:hAnsi="宋体" w:eastAsia="宋体" w:cs="宋体"/>
          <w:b/>
          <w:color w:val="auto"/>
          <w:sz w:val="40"/>
          <w:szCs w:val="28"/>
          <w:highlight w:val="none"/>
        </w:rPr>
      </w:pPr>
      <w:bookmarkStart w:id="2" w:name="_Toc9017"/>
      <w:bookmarkStart w:id="3" w:name="_Toc3356"/>
      <w:r>
        <w:rPr>
          <w:rFonts w:hint="eastAsia" w:ascii="宋体" w:hAnsi="宋体" w:eastAsia="宋体" w:cs="宋体"/>
          <w:b/>
          <w:color w:val="auto"/>
          <w:sz w:val="40"/>
          <w:szCs w:val="28"/>
          <w:highlight w:val="none"/>
        </w:rPr>
        <w:t>第二章  供应商须知</w:t>
      </w:r>
      <w:bookmarkEnd w:id="2"/>
      <w:bookmarkEnd w:id="3"/>
    </w:p>
    <w:p w14:paraId="37C814B9">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供应商须知前附表</w:t>
      </w:r>
    </w:p>
    <w:tbl>
      <w:tblPr>
        <w:tblStyle w:val="28"/>
        <w:tblpPr w:leftFromText="180" w:rightFromText="180" w:vertAnchor="text" w:tblpXSpec="center" w:tblpY="1"/>
        <w:tblOverlap w:val="never"/>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096"/>
      </w:tblGrid>
      <w:tr w14:paraId="3A29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9DE17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25" w:type="dxa"/>
            <w:vAlign w:val="center"/>
          </w:tcPr>
          <w:p w14:paraId="1C7482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096" w:type="dxa"/>
            <w:vAlign w:val="center"/>
          </w:tcPr>
          <w:p w14:paraId="48362A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2EF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5C247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5" w:type="dxa"/>
            <w:vAlign w:val="center"/>
          </w:tcPr>
          <w:p w14:paraId="4E00DF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096" w:type="dxa"/>
            <w:vAlign w:val="center"/>
          </w:tcPr>
          <w:p w14:paraId="7B1B57F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名称： 安康市生态环境局石泉分局</w:t>
            </w:r>
          </w:p>
          <w:p w14:paraId="6BE4852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地址：陕西省安康市石泉县城关镇</w:t>
            </w:r>
          </w:p>
          <w:p w14:paraId="7A53829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联系人：石泉县环境保护局经办</w:t>
            </w:r>
          </w:p>
          <w:p w14:paraId="11BFF1AA">
            <w:pPr>
              <w:rPr>
                <w:rFonts w:hint="eastAsia" w:ascii="宋体" w:hAnsi="宋体" w:eastAsia="宋体" w:cs="宋体"/>
                <w:color w:val="auto"/>
                <w:sz w:val="24"/>
                <w:szCs w:val="24"/>
                <w:highlight w:val="none"/>
              </w:rPr>
            </w:pPr>
            <w:r>
              <w:rPr>
                <w:rFonts w:hint="eastAsia" w:ascii="宋体" w:hAnsi="宋体" w:eastAsia="宋体" w:cs="宋体"/>
                <w:color w:val="auto"/>
                <w:highlight w:val="none"/>
                <w:lang w:eastAsia="zh-CN"/>
              </w:rPr>
              <w:t>联系方式：18291519990</w:t>
            </w:r>
          </w:p>
        </w:tc>
      </w:tr>
      <w:tr w14:paraId="230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119B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5" w:type="dxa"/>
            <w:vAlign w:val="center"/>
          </w:tcPr>
          <w:p w14:paraId="690EAD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096" w:type="dxa"/>
            <w:vAlign w:val="center"/>
          </w:tcPr>
          <w:p w14:paraId="3E7E9AAC">
            <w:pPr>
              <w:rPr>
                <w:rFonts w:hint="eastAsia" w:ascii="宋体" w:hAnsi="宋体" w:eastAsia="宋体" w:cs="宋体"/>
                <w:color w:val="auto"/>
                <w:highlight w:val="none"/>
              </w:rPr>
            </w:pPr>
            <w:r>
              <w:rPr>
                <w:rFonts w:hint="eastAsia" w:ascii="宋体" w:hAnsi="宋体" w:eastAsia="宋体" w:cs="宋体"/>
                <w:color w:val="auto"/>
                <w:highlight w:val="none"/>
              </w:rPr>
              <w:t>名  称：亿诚建设项目管理有限公司</w:t>
            </w:r>
          </w:p>
          <w:p w14:paraId="7CEAE9F6">
            <w:pPr>
              <w:rPr>
                <w:rFonts w:hint="eastAsia" w:ascii="宋体" w:hAnsi="宋体" w:eastAsia="宋体" w:cs="宋体"/>
                <w:color w:val="auto"/>
                <w:highlight w:val="none"/>
              </w:rPr>
            </w:pPr>
            <w:r>
              <w:rPr>
                <w:rFonts w:hint="eastAsia" w:ascii="宋体" w:hAnsi="宋体" w:eastAsia="宋体" w:cs="宋体"/>
                <w:color w:val="auto"/>
                <w:highlight w:val="none"/>
              </w:rPr>
              <w:t>地  址：西安市高新区丈八五路高科尚都one尚城A座10F</w:t>
            </w:r>
          </w:p>
          <w:p w14:paraId="38E01F3B">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肖航</w:t>
            </w:r>
          </w:p>
          <w:p w14:paraId="2352D7A4">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  话：1</w:t>
            </w:r>
            <w:r>
              <w:rPr>
                <w:rFonts w:hint="eastAsia" w:ascii="宋体" w:hAnsi="宋体" w:eastAsia="宋体" w:cs="宋体"/>
                <w:color w:val="auto"/>
                <w:highlight w:val="none"/>
                <w:lang w:val="en-US" w:eastAsia="zh-CN"/>
              </w:rPr>
              <w:t>7391332881</w:t>
            </w:r>
          </w:p>
        </w:tc>
      </w:tr>
      <w:tr w14:paraId="49C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46E7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5" w:type="dxa"/>
            <w:vAlign w:val="center"/>
          </w:tcPr>
          <w:p w14:paraId="627C61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96" w:type="dxa"/>
            <w:vAlign w:val="center"/>
          </w:tcPr>
          <w:p w14:paraId="00194537">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石泉县中坝河流域（中坝村大桥至后柳集镇中坝大桥段）环境生态治理及水毁修复项目（一期）环境影响评价服务项目</w:t>
            </w:r>
          </w:p>
        </w:tc>
      </w:tr>
      <w:tr w14:paraId="2B3B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6" w:type="dxa"/>
            <w:vAlign w:val="center"/>
          </w:tcPr>
          <w:p w14:paraId="3734DD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5" w:type="dxa"/>
            <w:vAlign w:val="center"/>
          </w:tcPr>
          <w:p w14:paraId="78E3EB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096" w:type="dxa"/>
            <w:vAlign w:val="center"/>
          </w:tcPr>
          <w:p w14:paraId="46CCB7CD">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YC254400</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（CGR）</w:t>
            </w:r>
          </w:p>
        </w:tc>
      </w:tr>
      <w:tr w14:paraId="4FE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7624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5" w:type="dxa"/>
            <w:vAlign w:val="center"/>
          </w:tcPr>
          <w:p w14:paraId="17C402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096" w:type="dxa"/>
            <w:vAlign w:val="center"/>
          </w:tcPr>
          <w:p w14:paraId="05C049F0">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石泉县中坝河流域（中坝村大桥至后柳集镇中坝大桥段）环境生态治理及水毁修复项目（一期）环境影响评价服务项目</w:t>
            </w:r>
          </w:p>
        </w:tc>
      </w:tr>
      <w:tr w14:paraId="6D6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C8A17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25" w:type="dxa"/>
            <w:vAlign w:val="center"/>
          </w:tcPr>
          <w:p w14:paraId="54C8A1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是否预留份额</w:t>
            </w:r>
          </w:p>
          <w:p w14:paraId="390EC7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w:t>
            </w:r>
          </w:p>
        </w:tc>
        <w:tc>
          <w:tcPr>
            <w:tcW w:w="6096" w:type="dxa"/>
            <w:vAlign w:val="center"/>
          </w:tcPr>
          <w:p w14:paraId="4B49931B">
            <w:pP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是 </w:t>
            </w:r>
            <w:r>
              <w:rPr>
                <w:rFonts w:hint="eastAsia" w:ascii="宋体" w:hAnsi="宋体" w:eastAsia="宋体" w:cs="宋体"/>
                <w:color w:val="auto"/>
                <w:highlight w:val="none"/>
                <w:lang w:eastAsia="zh-CN"/>
              </w:rPr>
              <w:t xml:space="preserve"> □否</w:t>
            </w:r>
          </w:p>
        </w:tc>
      </w:tr>
      <w:tr w14:paraId="0EBF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86728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25" w:type="dxa"/>
            <w:vAlign w:val="center"/>
          </w:tcPr>
          <w:p w14:paraId="23871E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096" w:type="dxa"/>
            <w:vAlign w:val="center"/>
          </w:tcPr>
          <w:p w14:paraId="168F513E">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180000.00</w:t>
            </w:r>
            <w:r>
              <w:rPr>
                <w:rFonts w:hint="eastAsia" w:ascii="宋体" w:hAnsi="宋体" w:eastAsia="宋体" w:cs="宋体"/>
                <w:color w:val="auto"/>
                <w:highlight w:val="none"/>
              </w:rPr>
              <w:t>元</w:t>
            </w:r>
          </w:p>
        </w:tc>
      </w:tr>
      <w:tr w14:paraId="25AD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06" w:type="dxa"/>
            <w:vAlign w:val="center"/>
          </w:tcPr>
          <w:p w14:paraId="373060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25" w:type="dxa"/>
            <w:vAlign w:val="center"/>
          </w:tcPr>
          <w:p w14:paraId="1493BC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096" w:type="dxa"/>
            <w:vAlign w:val="center"/>
          </w:tcPr>
          <w:p w14:paraId="4309C1F3">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180000.00</w:t>
            </w:r>
            <w:r>
              <w:rPr>
                <w:rFonts w:hint="eastAsia" w:ascii="宋体" w:hAnsi="宋体" w:eastAsia="宋体" w:cs="宋体"/>
                <w:color w:val="auto"/>
                <w:highlight w:val="none"/>
              </w:rPr>
              <w:t>元</w:t>
            </w:r>
          </w:p>
          <w:p w14:paraId="396923A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投标人所报投标报价不得超过本项目最高限价，否则按无效文件处理。</w:t>
            </w:r>
          </w:p>
        </w:tc>
      </w:tr>
      <w:tr w14:paraId="041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283CF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25" w:type="dxa"/>
            <w:vAlign w:val="center"/>
          </w:tcPr>
          <w:p w14:paraId="218E1C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6096" w:type="dxa"/>
            <w:vAlign w:val="center"/>
          </w:tcPr>
          <w:p w14:paraId="441F3A98">
            <w:pP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6197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6" w:type="dxa"/>
            <w:vAlign w:val="center"/>
          </w:tcPr>
          <w:p w14:paraId="68E223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25" w:type="dxa"/>
            <w:vAlign w:val="center"/>
          </w:tcPr>
          <w:p w14:paraId="74738C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6096" w:type="dxa"/>
            <w:vAlign w:val="center"/>
          </w:tcPr>
          <w:p w14:paraId="39E5AE8C">
            <w:pP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6141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51AF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25" w:type="dxa"/>
            <w:vAlign w:val="center"/>
          </w:tcPr>
          <w:p w14:paraId="32F76D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096" w:type="dxa"/>
            <w:vAlign w:val="center"/>
          </w:tcPr>
          <w:p w14:paraId="60E01ED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本项目是否允许分包： </w:t>
            </w:r>
          </w:p>
          <w:p w14:paraId="385AFC6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不允许</w:t>
            </w:r>
          </w:p>
          <w:p w14:paraId="708B5230">
            <w:pPr>
              <w:rPr>
                <w:rFonts w:hint="eastAsia" w:ascii="宋体" w:hAnsi="宋体" w:eastAsia="宋体" w:cs="宋体"/>
                <w:color w:val="auto"/>
                <w:highlight w:val="none"/>
              </w:rPr>
            </w:pPr>
            <w:r>
              <w:rPr>
                <w:rFonts w:hint="eastAsia" w:ascii="宋体" w:hAnsi="宋体" w:eastAsia="宋体" w:cs="宋体"/>
                <w:color w:val="auto"/>
                <w:highlight w:val="none"/>
              </w:rPr>
              <w:t>☐ 允许，具体要求：_______。</w:t>
            </w:r>
          </w:p>
          <w:p w14:paraId="3CC0EBF6">
            <w:pPr>
              <w:rPr>
                <w:rFonts w:hint="eastAsia" w:ascii="宋体" w:hAnsi="宋体" w:eastAsia="宋体" w:cs="宋体"/>
                <w:color w:val="auto"/>
                <w:highlight w:val="none"/>
              </w:rPr>
            </w:pPr>
            <w:r>
              <w:rPr>
                <w:rFonts w:hint="eastAsia" w:ascii="宋体" w:hAnsi="宋体" w:eastAsia="宋体" w:cs="宋体"/>
                <w:color w:val="auto"/>
                <w:highlight w:val="none"/>
              </w:rPr>
              <w:t>（1）可以分包履行的具体内容：_______；</w:t>
            </w:r>
          </w:p>
          <w:p w14:paraId="1610FCA3">
            <w:pPr>
              <w:rPr>
                <w:rFonts w:hint="eastAsia" w:ascii="宋体" w:hAnsi="宋体" w:eastAsia="宋体" w:cs="宋体"/>
                <w:color w:val="auto"/>
                <w:highlight w:val="none"/>
              </w:rPr>
            </w:pPr>
            <w:r>
              <w:rPr>
                <w:rFonts w:hint="eastAsia" w:ascii="宋体" w:hAnsi="宋体" w:eastAsia="宋体" w:cs="宋体"/>
                <w:color w:val="auto"/>
                <w:highlight w:val="none"/>
              </w:rPr>
              <w:t>（2）允许分包的金额或者比例：_______；</w:t>
            </w:r>
          </w:p>
          <w:p w14:paraId="2E49750B">
            <w:pPr>
              <w:rPr>
                <w:rFonts w:hint="eastAsia" w:ascii="宋体" w:hAnsi="宋体" w:eastAsia="宋体" w:cs="宋体"/>
                <w:color w:val="auto"/>
                <w:highlight w:val="none"/>
              </w:rPr>
            </w:pPr>
            <w:r>
              <w:rPr>
                <w:rFonts w:hint="eastAsia" w:ascii="宋体" w:hAnsi="宋体" w:eastAsia="宋体" w:cs="宋体"/>
                <w:color w:val="auto"/>
                <w:highlight w:val="none"/>
              </w:rPr>
              <w:t>（3）其他要求：_______。</w:t>
            </w:r>
          </w:p>
        </w:tc>
      </w:tr>
      <w:tr w14:paraId="3102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627A19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25" w:type="dxa"/>
            <w:vAlign w:val="center"/>
          </w:tcPr>
          <w:p w14:paraId="4013FF5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p>
        </w:tc>
        <w:tc>
          <w:tcPr>
            <w:tcW w:w="6096" w:type="dxa"/>
            <w:vAlign w:val="center"/>
          </w:tcPr>
          <w:p w14:paraId="48C810AC">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合同签订之日</w:t>
            </w:r>
            <w:r>
              <w:rPr>
                <w:rFonts w:hint="eastAsia" w:ascii="宋体" w:hAnsi="宋体" w:eastAsia="宋体" w:cs="宋体"/>
                <w:color w:val="auto"/>
                <w:highlight w:val="none"/>
                <w:lang w:val="en-US" w:eastAsia="zh-CN"/>
              </w:rPr>
              <w:t>60日历天</w:t>
            </w:r>
          </w:p>
        </w:tc>
      </w:tr>
      <w:tr w14:paraId="74AD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92443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25" w:type="dxa"/>
            <w:vAlign w:val="center"/>
          </w:tcPr>
          <w:p w14:paraId="73193F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096" w:type="dxa"/>
            <w:vAlign w:val="center"/>
          </w:tcPr>
          <w:p w14:paraId="5F1B382F">
            <w:pPr>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7272136C">
            <w:pPr>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7F482149">
            <w:pPr>
              <w:rPr>
                <w:rFonts w:hint="eastAsia" w:ascii="宋体" w:hAnsi="宋体" w:eastAsia="宋体" w:cs="宋体"/>
                <w:color w:val="auto"/>
                <w:highlight w:val="none"/>
              </w:rPr>
            </w:pPr>
            <w:r>
              <w:rPr>
                <w:rFonts w:hint="eastAsia" w:ascii="宋体" w:hAnsi="宋体" w:eastAsia="宋体" w:cs="宋体"/>
                <w:color w:val="auto"/>
                <w:highlight w:val="none"/>
              </w:rPr>
              <w:t>☑本项目为专门面向中小企业项目</w:t>
            </w:r>
          </w:p>
          <w:p w14:paraId="49B40FD5">
            <w:pPr>
              <w:rPr>
                <w:rFonts w:hint="eastAsia" w:ascii="宋体" w:hAnsi="宋体" w:eastAsia="宋体" w:cs="宋体"/>
                <w:color w:val="auto"/>
                <w:highlight w:val="none"/>
              </w:rPr>
            </w:pPr>
            <w:r>
              <w:rPr>
                <w:rFonts w:hint="eastAsia" w:ascii="宋体" w:hAnsi="宋体" w:eastAsia="宋体" w:cs="宋体"/>
                <w:color w:val="auto"/>
                <w:highlight w:val="none"/>
              </w:rPr>
              <w:t>本项目的特定资格要求：</w:t>
            </w:r>
          </w:p>
          <w:p w14:paraId="6A8A40F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（1）提供有效合格的统一社会信用代码的营业执照，其他组织经营的须提供合法凭证，自然人的提供身份证明文件；</w:t>
            </w:r>
          </w:p>
          <w:p w14:paraId="28DE437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（2）法定代表人直接参加投标的，须出具法定代表人身份证；法定代表人授权代表参加投标的，须出具法定代表人授权委托书、法定代表人身份证复印件以及被授权代表身份证复印件；</w:t>
            </w:r>
          </w:p>
          <w:p w14:paraId="7197D75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（3）拟投入的项目负责人须具有国家相关部门颁发的环境影响评价工程师职业资格证书；</w:t>
            </w:r>
          </w:p>
          <w:p w14:paraId="099065A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0685629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253D7E3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（6）税收缴纳证明:自2025年1月1日以来已缴纳的至少一个月的纳税证明或完税证明，纳税证明或完税证明上应有代收机构或税务机关的公章或业务专用章。依法免税的供应商应提供相关文件证明；</w:t>
            </w:r>
          </w:p>
          <w:p w14:paraId="0500250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通过中国政府采购网（www.ccgp.gov.cn）和“信用中国”网站(www.creditchina.gov.cn)查询相关主体无失信记录（网站查询的截图，加盖企业公章）以及参加政府采购活动前3年内在经营活动中没有重大违法记录的书面声明；</w:t>
            </w:r>
          </w:p>
          <w:p w14:paraId="013BD24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（8）具有履行合同所必需的设备和专业技术能力的书面声明</w:t>
            </w:r>
          </w:p>
          <w:p w14:paraId="3516233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（9）供应商应提供中小企业声明函或残疾人福利性单位声明函或监狱企业证明文件；</w:t>
            </w:r>
          </w:p>
          <w:p w14:paraId="71BD73EA">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（10）本项目不接受联合体投标。</w:t>
            </w:r>
          </w:p>
        </w:tc>
      </w:tr>
      <w:tr w14:paraId="3FB4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011B1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25" w:type="dxa"/>
            <w:vAlign w:val="center"/>
          </w:tcPr>
          <w:p w14:paraId="21EFD7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096" w:type="dxa"/>
            <w:vAlign w:val="center"/>
          </w:tcPr>
          <w:p w14:paraId="2EC5304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综合评分法</w:t>
            </w:r>
          </w:p>
        </w:tc>
      </w:tr>
      <w:tr w14:paraId="19F2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FAB71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25" w:type="dxa"/>
            <w:vAlign w:val="center"/>
          </w:tcPr>
          <w:p w14:paraId="5F1A1E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096" w:type="dxa"/>
            <w:vAlign w:val="center"/>
          </w:tcPr>
          <w:p w14:paraId="50392C3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递交磋商响应文件截止之日起90日历天</w:t>
            </w:r>
          </w:p>
        </w:tc>
      </w:tr>
      <w:tr w14:paraId="7C57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FAF26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25" w:type="dxa"/>
            <w:vAlign w:val="center"/>
          </w:tcPr>
          <w:p w14:paraId="012688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磋商前答疑会</w:t>
            </w:r>
          </w:p>
        </w:tc>
        <w:tc>
          <w:tcPr>
            <w:tcW w:w="6096" w:type="dxa"/>
            <w:vAlign w:val="center"/>
          </w:tcPr>
          <w:p w14:paraId="6F742AA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不组织</w:t>
            </w:r>
          </w:p>
        </w:tc>
      </w:tr>
      <w:tr w14:paraId="630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F006A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25" w:type="dxa"/>
            <w:vAlign w:val="center"/>
          </w:tcPr>
          <w:p w14:paraId="48D449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供应商提出询问和质疑的时间</w:t>
            </w:r>
          </w:p>
        </w:tc>
        <w:tc>
          <w:tcPr>
            <w:tcW w:w="6096" w:type="dxa"/>
            <w:vAlign w:val="center"/>
          </w:tcPr>
          <w:p w14:paraId="7AA248C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85E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8A15B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25" w:type="dxa"/>
            <w:vAlign w:val="center"/>
          </w:tcPr>
          <w:p w14:paraId="66EC5F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是否允许备选磋商响应方案</w:t>
            </w:r>
          </w:p>
        </w:tc>
        <w:tc>
          <w:tcPr>
            <w:tcW w:w="6096" w:type="dxa"/>
            <w:vAlign w:val="center"/>
          </w:tcPr>
          <w:p w14:paraId="34158F3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  ☑否</w:t>
            </w:r>
          </w:p>
        </w:tc>
      </w:tr>
      <w:tr w14:paraId="3ADA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971FF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25" w:type="dxa"/>
            <w:vAlign w:val="center"/>
          </w:tcPr>
          <w:p w14:paraId="6A87CC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096" w:type="dxa"/>
            <w:vAlign w:val="center"/>
          </w:tcPr>
          <w:p w14:paraId="14816E1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14:paraId="07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4A53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25" w:type="dxa"/>
            <w:vAlign w:val="center"/>
          </w:tcPr>
          <w:p w14:paraId="00EBD1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096" w:type="dxa"/>
            <w:vAlign w:val="center"/>
          </w:tcPr>
          <w:p w14:paraId="40A18B96">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14:paraId="51C5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E954B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25" w:type="dxa"/>
            <w:vAlign w:val="center"/>
          </w:tcPr>
          <w:p w14:paraId="3500DF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6096" w:type="dxa"/>
            <w:vAlign w:val="center"/>
          </w:tcPr>
          <w:p w14:paraId="0DF5111F">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磋商响应文件中要求盖章签字的地方，均应按竞争性磋商文件要求签字、盖章。副本可以为正本的复印件，但签字、盖章页应为原件。</w:t>
            </w:r>
          </w:p>
        </w:tc>
      </w:tr>
      <w:tr w14:paraId="5BE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B718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25" w:type="dxa"/>
            <w:tcBorders>
              <w:top w:val="single" w:color="auto" w:sz="4" w:space="0"/>
              <w:left w:val="single" w:color="auto" w:sz="4" w:space="0"/>
              <w:bottom w:val="single" w:color="auto" w:sz="4" w:space="0"/>
              <w:right w:val="single" w:color="auto" w:sz="4" w:space="0"/>
            </w:tcBorders>
            <w:vAlign w:val="center"/>
          </w:tcPr>
          <w:p w14:paraId="304CB2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磋商响应文件份数</w:t>
            </w:r>
          </w:p>
        </w:tc>
        <w:tc>
          <w:tcPr>
            <w:tcW w:w="6096" w:type="dxa"/>
            <w:tcBorders>
              <w:top w:val="single" w:color="auto" w:sz="4" w:space="0"/>
              <w:left w:val="single" w:color="auto" w:sz="4" w:space="0"/>
              <w:bottom w:val="single" w:color="auto" w:sz="4" w:space="0"/>
              <w:right w:val="single" w:color="auto" w:sz="4" w:space="0"/>
            </w:tcBorders>
            <w:vAlign w:val="center"/>
          </w:tcPr>
          <w:p w14:paraId="27E6847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正本1份，副本1份，电子版（U盘）壹份</w:t>
            </w:r>
          </w:p>
        </w:tc>
      </w:tr>
      <w:tr w14:paraId="784E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CBB2D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225" w:type="dxa"/>
            <w:tcBorders>
              <w:top w:val="single" w:color="auto" w:sz="4" w:space="0"/>
              <w:left w:val="single" w:color="auto" w:sz="4" w:space="0"/>
              <w:bottom w:val="single" w:color="auto" w:sz="4" w:space="0"/>
              <w:right w:val="single" w:color="auto" w:sz="4" w:space="0"/>
            </w:tcBorders>
            <w:vAlign w:val="center"/>
          </w:tcPr>
          <w:p w14:paraId="18B6EF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电子版文件要求</w:t>
            </w:r>
          </w:p>
        </w:tc>
        <w:tc>
          <w:tcPr>
            <w:tcW w:w="6096" w:type="dxa"/>
            <w:tcBorders>
              <w:top w:val="single" w:color="auto" w:sz="4" w:space="0"/>
              <w:left w:val="single" w:color="auto" w:sz="4" w:space="0"/>
              <w:bottom w:val="single" w:color="auto" w:sz="4" w:space="0"/>
              <w:right w:val="single" w:color="auto" w:sz="4" w:space="0"/>
            </w:tcBorders>
            <w:vAlign w:val="center"/>
          </w:tcPr>
          <w:p w14:paraId="1B28B42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格式和载体要求：</w:t>
            </w:r>
          </w:p>
          <w:p w14:paraId="4DBDC00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1）电子版响应文件为word版本</w:t>
            </w:r>
          </w:p>
          <w:p w14:paraId="241A135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2）供应商须保证响应文件的纸质文件与电子文档保持一致；</w:t>
            </w:r>
          </w:p>
          <w:p w14:paraId="343F4BC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3）U盘表面标明项目名称、供应商名称等信息，便于与其他供应商U盘区分</w:t>
            </w:r>
          </w:p>
        </w:tc>
      </w:tr>
      <w:tr w14:paraId="0F0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11459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225" w:type="dxa"/>
            <w:tcBorders>
              <w:top w:val="single" w:color="auto" w:sz="4" w:space="0"/>
              <w:left w:val="single" w:color="auto" w:sz="4" w:space="0"/>
              <w:bottom w:val="single" w:color="auto" w:sz="4" w:space="0"/>
              <w:right w:val="single" w:color="auto" w:sz="4" w:space="0"/>
            </w:tcBorders>
            <w:vAlign w:val="center"/>
          </w:tcPr>
          <w:p w14:paraId="516FD1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装订、包装、密封及标记要求</w:t>
            </w:r>
          </w:p>
        </w:tc>
        <w:tc>
          <w:tcPr>
            <w:tcW w:w="6096" w:type="dxa"/>
            <w:tcBorders>
              <w:top w:val="single" w:color="auto" w:sz="4" w:space="0"/>
              <w:left w:val="single" w:color="auto" w:sz="4" w:space="0"/>
              <w:bottom w:val="single" w:color="auto" w:sz="4" w:space="0"/>
              <w:right w:val="single" w:color="auto" w:sz="4" w:space="0"/>
            </w:tcBorders>
            <w:vAlign w:val="center"/>
          </w:tcPr>
          <w:p w14:paraId="69AD741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1）文件正、副本应分别装订成册，装订应牢固、不易拆散和换页，不得采用活页装订。</w:t>
            </w:r>
          </w:p>
          <w:p w14:paraId="240C164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2）密封包装方式（共3包）：</w:t>
            </w:r>
          </w:p>
          <w:p w14:paraId="4BE96F0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①磋商响应文件正本一包密封。</w:t>
            </w:r>
          </w:p>
          <w:p w14:paraId="163E7EC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②磋商响应文件副本一包密封。</w:t>
            </w:r>
          </w:p>
          <w:p w14:paraId="1631263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③磋商响应文件电子版一包密封。</w:t>
            </w:r>
          </w:p>
          <w:p w14:paraId="1CCAD11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3）封套上应写明：</w:t>
            </w:r>
          </w:p>
          <w:p w14:paraId="6C2A604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                    正本/副本/电子版</w:t>
            </w:r>
          </w:p>
          <w:p w14:paraId="1A78586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                    第___标段</w:t>
            </w:r>
          </w:p>
          <w:p w14:paraId="4980D26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磋商响应文件</w:t>
            </w:r>
          </w:p>
          <w:p w14:paraId="79FF687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    年  月  日 时  分前不得开启</w:t>
            </w:r>
          </w:p>
          <w:p w14:paraId="50FF7CE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供应商名称：              （公章）</w:t>
            </w:r>
          </w:p>
          <w:p w14:paraId="6DCF591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法定代表人或授权代表：   （签字或盖章）</w:t>
            </w:r>
          </w:p>
        </w:tc>
      </w:tr>
      <w:tr w14:paraId="4087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55119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225" w:type="dxa"/>
            <w:tcBorders>
              <w:top w:val="single" w:color="auto" w:sz="4" w:space="0"/>
              <w:left w:val="single" w:color="auto" w:sz="4" w:space="0"/>
              <w:bottom w:val="single" w:color="auto" w:sz="4" w:space="0"/>
              <w:right w:val="single" w:color="auto" w:sz="4" w:space="0"/>
            </w:tcBorders>
            <w:vAlign w:val="center"/>
          </w:tcPr>
          <w:p w14:paraId="51EAC3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磋商响应文件递交截止时间和地点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162D0986">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磋商响应文件递交截止时间：</w:t>
            </w:r>
            <w:r>
              <w:rPr>
                <w:rFonts w:hint="eastAsia" w:ascii="宋体" w:hAnsi="宋体" w:eastAsia="宋体" w:cs="宋体"/>
                <w:color w:val="auto"/>
                <w:highlight w:val="none"/>
                <w:lang w:val="en-US" w:eastAsia="zh-CN"/>
              </w:rPr>
              <w:t>2025年5月30日10时00分00</w:t>
            </w:r>
            <w:r>
              <w:rPr>
                <w:rFonts w:hint="eastAsia" w:ascii="宋体" w:hAnsi="宋体" w:eastAsia="宋体" w:cs="宋体"/>
                <w:color w:val="auto"/>
                <w:highlight w:val="none"/>
                <w:lang w:val="en-US" w:eastAsia="zh-CN"/>
              </w:rPr>
              <w:t>秒（北京时间）</w:t>
            </w:r>
          </w:p>
          <w:p w14:paraId="74B5338C">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磋商响应文件递交地点：亿诚建设项目管理有限公司石泉分公司会议室</w:t>
            </w:r>
          </w:p>
          <w:p w14:paraId="4A48282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磋商响应文件接收人:亿诚建设项目管理有限公司石泉分公司</w:t>
            </w:r>
          </w:p>
        </w:tc>
      </w:tr>
      <w:tr w14:paraId="5ED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BF4E0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2225" w:type="dxa"/>
            <w:tcBorders>
              <w:top w:val="single" w:color="auto" w:sz="4" w:space="0"/>
              <w:left w:val="single" w:color="auto" w:sz="4" w:space="0"/>
              <w:bottom w:val="single" w:color="auto" w:sz="4" w:space="0"/>
              <w:right w:val="single" w:color="auto" w:sz="4" w:space="0"/>
            </w:tcBorders>
            <w:vAlign w:val="center"/>
          </w:tcPr>
          <w:p w14:paraId="425B2E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6096" w:type="dxa"/>
            <w:tcBorders>
              <w:top w:val="single" w:color="auto" w:sz="4" w:space="0"/>
              <w:left w:val="single" w:color="auto" w:sz="4" w:space="0"/>
              <w:bottom w:val="single" w:color="auto" w:sz="4" w:space="0"/>
              <w:right w:val="single" w:color="auto" w:sz="4" w:space="0"/>
            </w:tcBorders>
            <w:vAlign w:val="center"/>
          </w:tcPr>
          <w:p w14:paraId="489C736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时间：2025年</w:t>
            </w:r>
            <w:r>
              <w:rPr>
                <w:rFonts w:hint="eastAsia" w:ascii="宋体" w:hAnsi="宋体" w:eastAsia="宋体" w:cs="宋体"/>
                <w:color w:val="auto"/>
                <w:highlight w:val="none"/>
                <w:lang w:val="en-US" w:eastAsia="zh-CN"/>
              </w:rPr>
              <w:t>5月30日10时00分00秒</w:t>
            </w:r>
            <w:r>
              <w:rPr>
                <w:rFonts w:hint="eastAsia" w:ascii="宋体" w:hAnsi="宋体" w:eastAsia="宋体" w:cs="宋体"/>
                <w:color w:val="auto"/>
                <w:highlight w:val="none"/>
                <w:lang w:val="en-US" w:eastAsia="zh-CN"/>
              </w:rPr>
              <w:t>（北京时间）</w:t>
            </w:r>
          </w:p>
          <w:p w14:paraId="6B95456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地点：亿诚建设项目管理有限公司石泉分公司会议室</w:t>
            </w:r>
          </w:p>
        </w:tc>
      </w:tr>
      <w:tr w14:paraId="381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E453A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2225" w:type="dxa"/>
            <w:tcBorders>
              <w:top w:val="single" w:color="auto" w:sz="4" w:space="0"/>
              <w:left w:val="single" w:color="auto" w:sz="4" w:space="0"/>
              <w:bottom w:val="single" w:color="auto" w:sz="4" w:space="0"/>
              <w:right w:val="single" w:color="auto" w:sz="4" w:space="0"/>
            </w:tcBorders>
            <w:vAlign w:val="center"/>
          </w:tcPr>
          <w:p w14:paraId="72D42B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磋商报价次数、磋商程序和最终报价的产生原则</w:t>
            </w:r>
          </w:p>
        </w:tc>
        <w:tc>
          <w:tcPr>
            <w:tcW w:w="6096" w:type="dxa"/>
            <w:tcBorders>
              <w:top w:val="single" w:color="auto" w:sz="4" w:space="0"/>
              <w:left w:val="single" w:color="auto" w:sz="4" w:space="0"/>
              <w:bottom w:val="single" w:color="auto" w:sz="4" w:space="0"/>
              <w:right w:val="single" w:color="auto" w:sz="4" w:space="0"/>
            </w:tcBorders>
            <w:vAlign w:val="center"/>
          </w:tcPr>
          <w:p w14:paraId="374B18A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本次磋商采用二轮报价。如果在第二轮磋商后，出现了需要进一步优化服务内容等情况，磋商小组可以要求供应商进行第三轮报价。（评审报价以最终报价为准）</w:t>
            </w:r>
          </w:p>
          <w:p w14:paraId="7C62EB4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磋商程序为：响应文件密封情况查验、开启响应文件、供应商资格性审查、符合性审查、磋商过程、第二次报价及综合评审等阶段。</w:t>
            </w:r>
          </w:p>
          <w:p w14:paraId="23BCA1C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1.磋商小组对响应文件进行资格性审查；</w:t>
            </w:r>
          </w:p>
          <w:p w14:paraId="5EFD4F2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2.磋商小组对资格审查合格的响应文件进行符合性评审；</w:t>
            </w:r>
          </w:p>
          <w:p w14:paraId="18FE72A6">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3.磋商小组与每家供应商进行磋商并记录；</w:t>
            </w:r>
          </w:p>
          <w:p w14:paraId="202A1E8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4.供应商按照要求提交二次报价（由法定代表人或被授权人磋商现场填报）；</w:t>
            </w:r>
          </w:p>
          <w:p w14:paraId="5CD4F13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5.磋商小组评审、推荐成交候选人。</w:t>
            </w:r>
          </w:p>
        </w:tc>
      </w:tr>
      <w:tr w14:paraId="4ABE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FBF5B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04FE978">
            <w:pPr>
              <w:pStyle w:val="35"/>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lang w:val="zh-CN"/>
              </w:rPr>
              <w:t>磋商小组的组建</w:t>
            </w:r>
          </w:p>
        </w:tc>
        <w:tc>
          <w:tcPr>
            <w:tcW w:w="6096" w:type="dxa"/>
            <w:tcBorders>
              <w:top w:val="single" w:color="auto" w:sz="4" w:space="0"/>
              <w:left w:val="single" w:color="auto" w:sz="4" w:space="0"/>
              <w:bottom w:val="single" w:color="auto" w:sz="4" w:space="0"/>
              <w:right w:val="single" w:color="auto" w:sz="4" w:space="0"/>
            </w:tcBorders>
            <w:vAlign w:val="center"/>
          </w:tcPr>
          <w:p w14:paraId="29F75643">
            <w:pPr>
              <w:pStyle w:val="35"/>
              <w:spacing w:line="320" w:lineRule="exact"/>
              <w:ind w:left="525" w:leftChars="50" w:hanging="420" w:hangingChars="200"/>
              <w:rPr>
                <w:rFonts w:hint="eastAsia" w:ascii="宋体" w:hAnsi="宋体" w:eastAsia="宋体" w:cs="宋体"/>
                <w:color w:val="auto"/>
                <w:kern w:val="2"/>
                <w:sz w:val="21"/>
                <w:szCs w:val="22"/>
                <w:highlight w:val="none"/>
                <w:lang w:val="zh-CN" w:eastAsia="zh-CN" w:bidi="ar-SA"/>
              </w:rPr>
            </w:pPr>
            <w:r>
              <w:rPr>
                <w:rFonts w:hint="eastAsia" w:ascii="宋体" w:hAnsi="宋体" w:eastAsia="宋体" w:cs="宋体"/>
                <w:color w:val="auto"/>
                <w:kern w:val="2"/>
                <w:sz w:val="21"/>
                <w:szCs w:val="22"/>
                <w:highlight w:val="none"/>
                <w:lang w:val="zh-CN" w:eastAsia="zh-CN" w:bidi="ar-SA"/>
              </w:rPr>
              <w:t>磋商小组构成形式、人数，评审专家确定方式：</w:t>
            </w:r>
          </w:p>
          <w:p w14:paraId="7B0DEA5A">
            <w:pPr>
              <w:pStyle w:val="35"/>
              <w:spacing w:line="320" w:lineRule="exact"/>
              <w:ind w:left="525" w:leftChars="50" w:hanging="420" w:hangingChars="20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zh-CN" w:eastAsia="zh-CN" w:bidi="ar-SA"/>
              </w:rPr>
              <w:t>详见供应商须知第7.1.1条款</w:t>
            </w:r>
          </w:p>
        </w:tc>
      </w:tr>
      <w:tr w14:paraId="1E6E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2C77D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225" w:type="dxa"/>
            <w:tcBorders>
              <w:top w:val="single" w:color="auto" w:sz="4" w:space="0"/>
              <w:left w:val="single" w:color="auto" w:sz="4" w:space="0"/>
              <w:bottom w:val="single" w:color="auto" w:sz="4" w:space="0"/>
              <w:right w:val="single" w:color="auto" w:sz="4" w:space="0"/>
            </w:tcBorders>
            <w:vAlign w:val="center"/>
          </w:tcPr>
          <w:p w14:paraId="36B21B59">
            <w:pPr>
              <w:pStyle w:val="35"/>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lang w:val="zh-CN"/>
              </w:rPr>
              <w:t>磋商小组推荐成交候选人的家数</w:t>
            </w:r>
          </w:p>
        </w:tc>
        <w:tc>
          <w:tcPr>
            <w:tcW w:w="6096" w:type="dxa"/>
            <w:tcBorders>
              <w:top w:val="single" w:color="auto" w:sz="4" w:space="0"/>
              <w:left w:val="single" w:color="auto" w:sz="4" w:space="0"/>
              <w:bottom w:val="single" w:color="auto" w:sz="4" w:space="0"/>
              <w:right w:val="single" w:color="auto" w:sz="4" w:space="0"/>
            </w:tcBorders>
            <w:vAlign w:val="center"/>
          </w:tcPr>
          <w:p w14:paraId="73E3D186">
            <w:pPr>
              <w:pStyle w:val="35"/>
              <w:ind w:left="105" w:leftChars="5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zh-CN" w:eastAsia="zh-CN" w:bidi="ar-SA"/>
              </w:rPr>
              <w:t xml:space="preserve">3 </w:t>
            </w:r>
          </w:p>
        </w:tc>
      </w:tr>
      <w:tr w14:paraId="690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CE8EE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225" w:type="dxa"/>
            <w:tcBorders>
              <w:top w:val="single" w:color="auto" w:sz="4" w:space="0"/>
              <w:left w:val="single" w:color="auto" w:sz="4" w:space="0"/>
              <w:bottom w:val="single" w:color="auto" w:sz="4" w:space="0"/>
              <w:right w:val="single" w:color="auto" w:sz="4" w:space="0"/>
            </w:tcBorders>
            <w:vAlign w:val="center"/>
          </w:tcPr>
          <w:p w14:paraId="67A0BAAE">
            <w:pPr>
              <w:pStyle w:val="35"/>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lang w:val="zh-CN"/>
              </w:rPr>
              <w:t>是否授权磋商小组确定成交供应商</w:t>
            </w:r>
          </w:p>
        </w:tc>
        <w:tc>
          <w:tcPr>
            <w:tcW w:w="6096" w:type="dxa"/>
            <w:tcBorders>
              <w:top w:val="single" w:color="auto" w:sz="4" w:space="0"/>
              <w:left w:val="single" w:color="auto" w:sz="4" w:space="0"/>
              <w:bottom w:val="single" w:color="auto" w:sz="4" w:space="0"/>
              <w:right w:val="single" w:color="auto" w:sz="4" w:space="0"/>
            </w:tcBorders>
            <w:vAlign w:val="center"/>
          </w:tcPr>
          <w:p w14:paraId="29A15CA2">
            <w:pPr>
              <w:pStyle w:val="35"/>
              <w:tabs>
                <w:tab w:val="left" w:pos="561"/>
              </w:tabs>
              <w:ind w:left="105" w:leftChars="5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☐是  ☑否</w:t>
            </w:r>
          </w:p>
        </w:tc>
      </w:tr>
      <w:tr w14:paraId="5871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08BAD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225" w:type="dxa"/>
            <w:tcBorders>
              <w:top w:val="single" w:color="auto" w:sz="4" w:space="0"/>
              <w:left w:val="single" w:color="auto" w:sz="4" w:space="0"/>
              <w:bottom w:val="single" w:color="auto" w:sz="4" w:space="0"/>
              <w:right w:val="single" w:color="auto" w:sz="4" w:space="0"/>
            </w:tcBorders>
            <w:vAlign w:val="center"/>
          </w:tcPr>
          <w:p w14:paraId="12026572">
            <w:pPr>
              <w:pStyle w:val="35"/>
              <w:jc w:val="cente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lang w:val="zh-CN"/>
              </w:rPr>
              <w:t>发布成交公告的</w:t>
            </w:r>
          </w:p>
          <w:p w14:paraId="65F12B2F">
            <w:pPr>
              <w:pStyle w:val="35"/>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lang w:val="zh-CN"/>
              </w:rPr>
              <w:t>时间、媒介和期限</w:t>
            </w:r>
          </w:p>
        </w:tc>
        <w:tc>
          <w:tcPr>
            <w:tcW w:w="6096" w:type="dxa"/>
            <w:tcBorders>
              <w:top w:val="single" w:color="auto" w:sz="4" w:space="0"/>
              <w:left w:val="single" w:color="auto" w:sz="4" w:space="0"/>
              <w:bottom w:val="single" w:color="auto" w:sz="4" w:space="0"/>
              <w:right w:val="single" w:color="auto" w:sz="4" w:space="0"/>
            </w:tcBorders>
            <w:vAlign w:val="center"/>
          </w:tcPr>
          <w:p w14:paraId="03DF1DDD">
            <w:pPr>
              <w:pStyle w:val="35"/>
              <w:ind w:left="105" w:leftChars="50"/>
              <w:rPr>
                <w:rFonts w:hint="eastAsia" w:ascii="宋体" w:hAnsi="宋体" w:eastAsia="宋体" w:cs="宋体"/>
                <w:color w:val="auto"/>
                <w:kern w:val="2"/>
                <w:sz w:val="21"/>
                <w:szCs w:val="22"/>
                <w:highlight w:val="none"/>
                <w:lang w:val="zh-CN" w:eastAsia="zh-CN" w:bidi="ar-SA"/>
              </w:rPr>
            </w:pPr>
            <w:r>
              <w:rPr>
                <w:rFonts w:hint="eastAsia" w:ascii="宋体" w:hAnsi="宋体" w:eastAsia="宋体" w:cs="宋体"/>
                <w:color w:val="auto"/>
                <w:kern w:val="2"/>
                <w:sz w:val="21"/>
                <w:szCs w:val="22"/>
                <w:highlight w:val="none"/>
                <w:lang w:val="zh-CN" w:eastAsia="zh-CN" w:bidi="ar-SA"/>
              </w:rPr>
              <w:t>公告时间：在确定成交供应商之日起2个工作日内</w:t>
            </w:r>
          </w:p>
          <w:p w14:paraId="257832C1">
            <w:pPr>
              <w:pStyle w:val="35"/>
              <w:ind w:left="105" w:leftChars="50"/>
              <w:rPr>
                <w:rFonts w:hint="eastAsia" w:ascii="宋体" w:hAnsi="宋体" w:eastAsia="宋体" w:cs="宋体"/>
                <w:color w:val="auto"/>
                <w:kern w:val="2"/>
                <w:sz w:val="21"/>
                <w:szCs w:val="22"/>
                <w:highlight w:val="none"/>
                <w:lang w:val="zh-CN" w:eastAsia="zh-CN" w:bidi="ar-SA"/>
              </w:rPr>
            </w:pPr>
            <w:r>
              <w:rPr>
                <w:rFonts w:hint="eastAsia" w:ascii="宋体" w:hAnsi="宋体" w:eastAsia="宋体" w:cs="宋体"/>
                <w:color w:val="auto"/>
                <w:kern w:val="2"/>
                <w:sz w:val="21"/>
                <w:szCs w:val="22"/>
                <w:highlight w:val="none"/>
                <w:lang w:val="zh-CN" w:eastAsia="zh-CN" w:bidi="ar-SA"/>
              </w:rPr>
              <w:t>公告媒介：</w:t>
            </w:r>
            <w:r>
              <w:rPr>
                <w:rFonts w:hint="eastAsia" w:cs="宋体"/>
                <w:color w:val="auto"/>
                <w:kern w:val="2"/>
                <w:sz w:val="21"/>
                <w:szCs w:val="22"/>
                <w:highlight w:val="none"/>
                <w:lang w:val="zh-CN" w:eastAsia="zh-CN" w:bidi="ar-SA"/>
              </w:rPr>
              <w:t>陕西省政府采购网</w:t>
            </w:r>
          </w:p>
          <w:p w14:paraId="0C076B3F">
            <w:pPr>
              <w:pStyle w:val="35"/>
              <w:ind w:left="105" w:leftChars="5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zh-CN" w:eastAsia="zh-CN" w:bidi="ar-SA"/>
              </w:rPr>
              <w:t>公告期限：1个工作日</w:t>
            </w:r>
          </w:p>
        </w:tc>
      </w:tr>
      <w:tr w14:paraId="7D99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57570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225" w:type="dxa"/>
            <w:tcBorders>
              <w:top w:val="single" w:color="auto" w:sz="4" w:space="0"/>
              <w:left w:val="single" w:color="auto" w:sz="4" w:space="0"/>
              <w:bottom w:val="single" w:color="auto" w:sz="4" w:space="0"/>
              <w:right w:val="single" w:color="auto" w:sz="4" w:space="0"/>
            </w:tcBorders>
            <w:vAlign w:val="center"/>
          </w:tcPr>
          <w:p w14:paraId="114BEC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096" w:type="dxa"/>
            <w:tcBorders>
              <w:top w:val="single" w:color="auto" w:sz="4" w:space="0"/>
              <w:left w:val="single" w:color="auto" w:sz="4" w:space="0"/>
              <w:bottom w:val="single" w:color="auto" w:sz="4" w:space="0"/>
              <w:right w:val="single" w:color="auto" w:sz="4" w:space="0"/>
            </w:tcBorders>
            <w:vAlign w:val="center"/>
          </w:tcPr>
          <w:p w14:paraId="2A1EF56C">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1、收费标准：招标代理服务费依据国家计委颁发的《招标代理服务收费管理暂行办法》（计价格[2002]1980号）文件标准收取，由成交供应商在领取中标通知书之前，向采购代理机构一次支付全额招标代理服务费。</w:t>
            </w:r>
          </w:p>
          <w:p w14:paraId="688515B6">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2、汇款账号：</w:t>
            </w:r>
          </w:p>
          <w:p w14:paraId="7423CF11">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开 户 行：亿诚建设项目管理有限公司石泉分公司</w:t>
            </w:r>
          </w:p>
          <w:p w14:paraId="0FF49C08">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开 户 行：陕西省石泉农村商业银行股份有限公司营业部 帐    号：2707 0301 0120 1000 1066 85</w:t>
            </w:r>
          </w:p>
          <w:p w14:paraId="735FEDDA">
            <w:pPr>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联系方式：17391332881</w:t>
            </w:r>
          </w:p>
          <w:p w14:paraId="715BE6FE">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备注：供应商在汇款（招标代理服务费）时须注明项目编号+项目简称</w:t>
            </w:r>
          </w:p>
        </w:tc>
      </w:tr>
      <w:tr w14:paraId="5FC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AFB65A0">
            <w:pPr>
              <w:jc w:val="center"/>
              <w:rPr>
                <w:rFonts w:hint="eastAsia" w:ascii="宋体" w:hAnsi="宋体" w:eastAsia="宋体" w:cs="宋体"/>
                <w:color w:val="auto"/>
                <w:sz w:val="24"/>
                <w:szCs w:val="24"/>
                <w:highlight w:val="none"/>
              </w:rPr>
            </w:pPr>
            <w:bookmarkStart w:id="4" w:name="_Toc144"/>
            <w:bookmarkStart w:id="5" w:name="_Toc10488"/>
            <w:r>
              <w:rPr>
                <w:rFonts w:hint="eastAsia" w:ascii="宋体" w:hAnsi="宋体" w:eastAsia="宋体" w:cs="宋体"/>
                <w:color w:val="auto"/>
                <w:sz w:val="24"/>
                <w:szCs w:val="24"/>
                <w:highlight w:val="none"/>
              </w:rPr>
              <w:t>34</w:t>
            </w:r>
          </w:p>
        </w:tc>
        <w:tc>
          <w:tcPr>
            <w:tcW w:w="2225" w:type="dxa"/>
            <w:vAlign w:val="center"/>
          </w:tcPr>
          <w:p w14:paraId="212A0E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信用担保和信用融资</w:t>
            </w:r>
          </w:p>
        </w:tc>
        <w:tc>
          <w:tcPr>
            <w:tcW w:w="6096" w:type="dxa"/>
            <w:vAlign w:val="center"/>
          </w:tcPr>
          <w:p w14:paraId="765B422E">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bookmarkEnd w:id="4"/>
      <w:bookmarkEnd w:id="5"/>
    </w:tbl>
    <w:p w14:paraId="38F13F51">
      <w:pPr>
        <w:rPr>
          <w:rFonts w:hint="eastAsia" w:ascii="宋体" w:hAnsi="宋体" w:eastAsia="宋体" w:cs="宋体"/>
          <w:color w:val="auto"/>
          <w:highlight w:val="none"/>
        </w:rPr>
      </w:pPr>
    </w:p>
    <w:p w14:paraId="20ABE619">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045593">
      <w:pPr>
        <w:pStyle w:val="36"/>
        <w:spacing w:before="240" w:after="240"/>
        <w:jc w:val="center"/>
        <w:rPr>
          <w:rFonts w:hint="eastAsia" w:ascii="宋体" w:hAnsi="宋体" w:eastAsia="宋体" w:cs="宋体"/>
          <w:color w:val="auto"/>
          <w:sz w:val="40"/>
          <w:szCs w:val="28"/>
          <w:highlight w:val="none"/>
        </w:rPr>
      </w:pPr>
      <w:r>
        <w:rPr>
          <w:rFonts w:hint="eastAsia" w:ascii="宋体" w:hAnsi="宋体" w:eastAsia="宋体" w:cs="宋体"/>
          <w:color w:val="auto"/>
          <w:sz w:val="40"/>
          <w:szCs w:val="28"/>
          <w:highlight w:val="none"/>
        </w:rPr>
        <w:t>供应商须知</w:t>
      </w:r>
    </w:p>
    <w:p w14:paraId="762EF839">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一、总则</w:t>
      </w:r>
    </w:p>
    <w:p w14:paraId="11518E9C">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1.适用范围</w:t>
      </w:r>
    </w:p>
    <w:p w14:paraId="126BB41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1.1本磋商文件仅适用于本次竞争性磋商采购项目。</w:t>
      </w:r>
    </w:p>
    <w:p w14:paraId="041B51F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1.2、本磋商文件的最终解释权由</w:t>
      </w:r>
      <w:r>
        <w:rPr>
          <w:rFonts w:hint="eastAsia" w:ascii="宋体" w:hAnsi="宋体" w:cs="宋体"/>
          <w:color w:val="auto"/>
          <w:highlight w:val="none"/>
          <w:lang w:eastAsia="zh-CN"/>
        </w:rPr>
        <w:t xml:space="preserve"> 安康市生态环境局石泉分局</w:t>
      </w:r>
      <w:r>
        <w:rPr>
          <w:rFonts w:hint="eastAsia" w:ascii="宋体" w:hAnsi="宋体" w:eastAsia="宋体" w:cs="宋体"/>
          <w:color w:val="auto"/>
          <w:highlight w:val="none"/>
        </w:rPr>
        <w:t>和亿诚建设项目管理有限公司享有。对磋商文件中供应商参加本次政府采购活动应当具备的条件，磋商项目技术、服务、商务及其他要求，评审细则及标准由采购人名称负责解释。除上述磋商文件内容，其他内容由亿诚建设项目管理有限公司负责解释。</w:t>
      </w:r>
    </w:p>
    <w:p w14:paraId="4BB1C5F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2.有关定义</w:t>
      </w:r>
    </w:p>
    <w:p w14:paraId="3CBE18C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2.1采购人是指依法进行政府采购的各级国家机关、事业单位、团体组织。本次磋商的采购人是</w:t>
      </w:r>
      <w:r>
        <w:rPr>
          <w:rFonts w:hint="eastAsia" w:ascii="宋体" w:hAnsi="宋体" w:cs="宋体"/>
          <w:color w:val="auto"/>
          <w:highlight w:val="none"/>
          <w:lang w:eastAsia="zh-CN"/>
        </w:rPr>
        <w:t xml:space="preserve"> 安康市生态环境局石泉分局</w:t>
      </w:r>
      <w:r>
        <w:rPr>
          <w:rFonts w:hint="eastAsia" w:ascii="宋体" w:hAnsi="宋体" w:eastAsia="宋体" w:cs="宋体"/>
          <w:color w:val="auto"/>
          <w:highlight w:val="none"/>
        </w:rPr>
        <w:t>。</w:t>
      </w:r>
    </w:p>
    <w:p w14:paraId="7C0EB7F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2.2监督机构是指政府采购行政监督管理部门。本次采购的监督机构：石泉县政府采购管理股。</w:t>
      </w:r>
    </w:p>
    <w:p w14:paraId="3F5B197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2.3采购代理机构是指政府采购集中采购机构和从事政府采购代理业务的社会中介机构。本项目的代理机构是亿诚建设项目管理有限公司。</w:t>
      </w:r>
    </w:p>
    <w:p w14:paraId="512452C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2.4供应商是指在按照磋商公告规定获取磋商文件，拟参加响应和向采购人提供货物、工程或服务的法人、其他组织或自然人。</w:t>
      </w:r>
    </w:p>
    <w:p w14:paraId="23B94C0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2.5联合体是指两个以上的自然人、法人或者其他组织组成一个联合体，以一个供应商的身份共同参加政府采购。</w:t>
      </w:r>
    </w:p>
    <w:p w14:paraId="726028C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2.6 节能产品是指财政部、发展改革委、生态环境部等部门发布的《节能产品品目清单》中的产品。</w:t>
      </w:r>
    </w:p>
    <w:p w14:paraId="0A2066A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 环境标志产品是指财政部、发展改革委、生态环境部等部门发布的《环境标志产品品目清单》中的产品。</w:t>
      </w:r>
    </w:p>
    <w:p w14:paraId="4E53F8D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 进口产品是指通过中国海关报关验放进入中国境内且产自关境外的产品，详见《关于政府采购进口产品管理有关问题的通知》(财库[2007]119号)。</w:t>
      </w:r>
    </w:p>
    <w:p w14:paraId="7B4EA1A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20DEC29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971C7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2.11 残疾人福利性单位是指符合《财政部、民政部、中国残疾人联合会关于促进残疾人就业政府采购政策的通知》（财库〔2017〕141号）规定条件的单位。</w:t>
      </w:r>
    </w:p>
    <w:p w14:paraId="05583421">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二、磋商文件</w:t>
      </w:r>
    </w:p>
    <w:p w14:paraId="29F74564">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3.磋商文件的构成</w:t>
      </w:r>
    </w:p>
    <w:p w14:paraId="7689030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3.1磋商文件是本次采购活动的基本依据，也是供应商准备响应文件、参加采购活动的依据。磋商文件包括供应商资格条件、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p>
    <w:p w14:paraId="710532A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3.2本磋商文件包括以下内容：</w:t>
      </w:r>
    </w:p>
    <w:p w14:paraId="214CBBF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（1）竞争性磋商公告；</w:t>
      </w:r>
    </w:p>
    <w:p w14:paraId="5EBD36B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（2）供应商须知；</w:t>
      </w:r>
    </w:p>
    <w:p w14:paraId="3FF95A0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（3）资格审查；</w:t>
      </w:r>
    </w:p>
    <w:p w14:paraId="05A9AAF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（4）磋商办法；</w:t>
      </w:r>
    </w:p>
    <w:p w14:paraId="06D3BC2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（5）磋商内容及采购要求；</w:t>
      </w:r>
    </w:p>
    <w:p w14:paraId="6AE549C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（6）合同草案条款</w:t>
      </w:r>
    </w:p>
    <w:p w14:paraId="2A25717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（7）响应文件格式。</w:t>
      </w:r>
    </w:p>
    <w:p w14:paraId="2FCDA2B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3.2供应商应认真阅读和充分理解磋商文件中所有的事项、格式条款和规范要求。供应商应按照磋商文件要求交响应文件并保证所供的全部资料的真实性，并对磋商文件做出实质性响应，否则响应无效。</w:t>
      </w:r>
    </w:p>
    <w:p w14:paraId="38A548C2">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4.磋商文件的澄清和修改</w:t>
      </w:r>
    </w:p>
    <w:p w14:paraId="1ED9CD6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2808671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4.2 澄清或者修改的内容为磋商文件的组成部分，并对所有获取磋商文件的潜在供应商具有约束力。采购人或者代理机构将在石泉县人民政府网发布更正公告，供应商应及时关注本项目更正公告信息，按更正后公告要求进行响应。若供应商未按前述要求进行响应的，自行承担不利后果。</w:t>
      </w:r>
    </w:p>
    <w:p w14:paraId="5C70ADD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4.3 澄清或者修改的内容可能影响响应文件编制的，将在提交首次响应文件截止之日3 个工作日（5日）前，以书面形式通知所有获取磋商文件的供应商；不足上述时间的，将顺延提交响应文件截止时间。</w:t>
      </w:r>
    </w:p>
    <w:p w14:paraId="64381FB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4.4 当竞争性磋商文件的澄清、答复、修改或补充通知与磋商文件就同一内容表述不一致时，以最后发出的书面文件内容为准。</w:t>
      </w:r>
    </w:p>
    <w:p w14:paraId="2F2410B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4.5 上述书面通知，按照获取磋商文件的潜在供应商提供的联系方式发出，因提供的信息有误导致通知延迟或无法通知的，采购人或采购代理机构不承担责任。</w:t>
      </w:r>
    </w:p>
    <w:p w14:paraId="735440F6">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三、响应文件的编制</w:t>
      </w:r>
    </w:p>
    <w:p w14:paraId="2774EA00">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5.响应文件的语言</w:t>
      </w:r>
    </w:p>
    <w:p w14:paraId="26D6ECF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55F1671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5.2 翻译的中文资料与外文资料如果出现差异和矛盾时，以中文为准。涉嫌提供虚假材料的按照相关法律法规处理。</w:t>
      </w:r>
    </w:p>
    <w:p w14:paraId="1D07741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5.3 如因未翻译而造成对供应商的不利后果，由供应商承担。</w:t>
      </w:r>
    </w:p>
    <w:p w14:paraId="554DDD4D">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6.计量单位</w:t>
      </w:r>
    </w:p>
    <w:p w14:paraId="5E88D4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除磋商文件中另有规定外，本项目均采用国家法定的计量单位。</w:t>
      </w:r>
    </w:p>
    <w:p w14:paraId="1BBE4BAA">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7.响应货币</w:t>
      </w:r>
    </w:p>
    <w:p w14:paraId="7378BDD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本项目均以人民币报价。</w:t>
      </w:r>
    </w:p>
    <w:p w14:paraId="414D4AC5">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8.响应范围</w:t>
      </w:r>
    </w:p>
    <w:p w14:paraId="28C7DF2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8.1 本项目如划分采购包，供应商可以对本项目的其中一个采购包进行响应，也可同时对多个采购包进行响应。供应商应当对所参与采购包对应第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章《磋商内容及采购要求》所列的全部内容进行响应，不得将一个采购包中的内容拆分响应，否则其对该采购包的响应将被认定为无效响应。</w:t>
      </w:r>
    </w:p>
    <w:p w14:paraId="1FBF936B">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9.响应文件构成</w:t>
      </w:r>
    </w:p>
    <w:p w14:paraId="37410CB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9.1 供应商应当按照磋商文件的要求编制响应文件，并对其交的响应文件的真实性、合法性承担法律责任。响应文件的部分格式要求，见第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响应文件格式》。</w:t>
      </w:r>
    </w:p>
    <w:p w14:paraId="692B162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49A0AA0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9.3 第三章《资格审查》和第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章《磋商办法》中涉及的证明文件。</w:t>
      </w:r>
    </w:p>
    <w:p w14:paraId="018F94E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9.4 对照第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章《磋商内容及采购要求》，说明所提供货物和服务已对第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章《磋商内容及采购要求》做出了响应，或申明与第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章《磋商内容及采购要求》的偏差和例外。如第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章《磋商内容及采购要求》中要求提供证明文件的，供应商应当按具体要求提供证明文件。</w:t>
      </w:r>
    </w:p>
    <w:p w14:paraId="69FF624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9.5 供应商认为应附的其他材料。</w:t>
      </w:r>
    </w:p>
    <w:p w14:paraId="7D3B4756">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10.知识产权</w:t>
      </w:r>
    </w:p>
    <w:p w14:paraId="5BBA71F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10.1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57EC14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8BB26D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11.响应报价</w:t>
      </w:r>
    </w:p>
    <w:p w14:paraId="49EF3B2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11.1供应商的报价应包括为完成本项目所发生的一切费用和税费，采购人将不再支付报价以外的任何费用。供应商的报价应包括但不限于下列内容，供应商须知前附表中有特殊规定的，从其规定。</w:t>
      </w:r>
    </w:p>
    <w:p w14:paraId="0404B4D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720E9E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11.3 按照磋商文件要求完成本项目的全部相关费用。</w:t>
      </w:r>
    </w:p>
    <w:p w14:paraId="0E5DF4C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11.4 供应商不能供任何有选择性或可调整的最后报价（磋商文件另有规定的除外），否则其响应无效。</w:t>
      </w:r>
    </w:p>
    <w:p w14:paraId="309957A5">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12.磋商保证金</w:t>
      </w:r>
    </w:p>
    <w:p w14:paraId="23003285">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本项目无需缴纳磋商保证金。</w:t>
      </w:r>
    </w:p>
    <w:p w14:paraId="3366F783">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13.响应有效期</w:t>
      </w:r>
    </w:p>
    <w:p w14:paraId="199E788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4D3C1A4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4B06917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13.3 在磋商有效期内，供应商撤销响应文件的，应承担磋商文件和法律规定的责任。</w:t>
      </w:r>
    </w:p>
    <w:p w14:paraId="7258D88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13.4 成交供应商的磋商有效期自动延长至合同终止为止。</w:t>
      </w:r>
    </w:p>
    <w:p w14:paraId="6802E4F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14.响应文件的制作、签署、盖章</w:t>
      </w:r>
    </w:p>
    <w:p w14:paraId="01B2D3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14.1 响应文件应当按照第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121A164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14.2 响应文件应填写供应商的全称，并与供应商的证件、证书保持一致，按照本章第14.4条款规定签名盖章。</w:t>
      </w:r>
    </w:p>
    <w:p w14:paraId="4C0D587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4B745F5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其响应文件无效。</w:t>
      </w:r>
    </w:p>
    <w:p w14:paraId="29ED780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76407D2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05DC2E2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14.7 电子文件制作要求。电子文件与纸质正本响应文件的内容应保持一致。电子文件应采用优盘拷贝，优盘应具有项目名称和供应商名称标识。未按规定制作电子文件或开启现场优盘因自身原因导致无法读取的，其响应文件无效。</w:t>
      </w:r>
    </w:p>
    <w:p w14:paraId="33BD32F2">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四、响应文件的密封和提交</w:t>
      </w:r>
    </w:p>
    <w:p w14:paraId="2AF3496A">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15. 响应文件的密封和标记</w:t>
      </w:r>
    </w:p>
    <w:p w14:paraId="05DFE3E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15.1 供应商应将响应文件“正本”和“副本”及“电子版”分别密封在三个密封袋（箱）中，并在密封袋（箱）上标明“正本”和“副本”及“电子版”字样，封口处应加盖公章或授权代表签字。</w:t>
      </w:r>
    </w:p>
    <w:p w14:paraId="38AEC87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15.2 密封袋（箱）上标识的内容见供应商须知前附表。响应文件如果未按上述规定密封和标记，采购代理机构应当拒绝接收。</w:t>
      </w:r>
    </w:p>
    <w:p w14:paraId="7BFFDD2A">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16. 响应文件递交截止时间</w:t>
      </w:r>
    </w:p>
    <w:p w14:paraId="5E2C5BD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16.1 响应文件递交截止时间和地点见供应商须知前附表。</w:t>
      </w:r>
    </w:p>
    <w:p w14:paraId="1F4267D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16.2 供应商须由其合法的授权人在响应文件递交截止时间之前将响应文件在响应文件递交地点送达采购人并签字确认。供应商须承担因未送达并签字所造成的一切责任。</w:t>
      </w:r>
    </w:p>
    <w:p w14:paraId="2D69336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16.3 采购人可以按本须知第4条规定，通知修改磋商文件，适当延长响应文件递交截止时间。在此情况下，采购人和供应商受响应文件递交截止时间制约的所有权利和义务均应延长至新的截止期。</w:t>
      </w:r>
    </w:p>
    <w:p w14:paraId="3E95288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16.4采购代理机构收到响应文件后，应当如实记载响应文件的送达时间、份数、密封情况和提交人等信息。</w:t>
      </w:r>
    </w:p>
    <w:p w14:paraId="330A712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16.5 除供应商须知前附表另有规定外，供应商提交的响应文件不予退还。</w:t>
      </w:r>
    </w:p>
    <w:p w14:paraId="36F3681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16.6 本次磋商不接受邮寄的响应文件。</w:t>
      </w:r>
    </w:p>
    <w:p w14:paraId="2DD5C4BB">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17. 迟交的响应文件</w:t>
      </w:r>
    </w:p>
    <w:p w14:paraId="58BDDEA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17.1 采购人将拒绝接收第16条规定的响应文件递交截止时间后递交的任何响应文件。</w:t>
      </w:r>
    </w:p>
    <w:p w14:paraId="4D057B03">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18. 响应文件的修改和撤回</w:t>
      </w:r>
    </w:p>
    <w:p w14:paraId="52A4091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4868882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18.2 供应商对响应文件修改的书面材料或撤回的通知应按第14和15条规定进行编写、密封、标注和递送，并注明“修改响应文件”或“撤回响应文件”字样。</w:t>
      </w:r>
    </w:p>
    <w:p w14:paraId="7CE4A52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18.3 在响应文件递交截止时间之后，供应商不得对其响应文件做任何修改。</w:t>
      </w:r>
    </w:p>
    <w:p w14:paraId="5B93832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18.4 供应商不得在响应文件递交截止时间起至响应文件有效期期满前撤销其响应文件。</w:t>
      </w:r>
    </w:p>
    <w:p w14:paraId="1DDEF2BA">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五、评审与磋商</w:t>
      </w:r>
    </w:p>
    <w:p w14:paraId="174BEF2C">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19.磋商小组成立</w:t>
      </w:r>
    </w:p>
    <w:p w14:paraId="6F31A27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政府采购评审专家库内相关专业的专家名单中随机抽取。</w:t>
      </w:r>
    </w:p>
    <w:p w14:paraId="1F39B07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19.2磋商文件和供应商的响应文件是评审的依据。</w:t>
      </w:r>
    </w:p>
    <w:p w14:paraId="5269ABBF">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20.磋商小组职责</w:t>
      </w:r>
    </w:p>
    <w:p w14:paraId="3C649CB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20.1确认磋商文件；</w:t>
      </w:r>
    </w:p>
    <w:p w14:paraId="6DD55B3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20.2审查通过了资格审查的供应商响应文件并做出评价；</w:t>
      </w:r>
    </w:p>
    <w:p w14:paraId="0649756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20.3要求供应商解释或者澄清其响应文件；</w:t>
      </w:r>
    </w:p>
    <w:p w14:paraId="6B57FEE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20.4编写评审报告；</w:t>
      </w:r>
    </w:p>
    <w:p w14:paraId="7D22597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20.5告知采购人、采购代理机构在评审过程中发现的供应商的违法违规行为。</w:t>
      </w:r>
    </w:p>
    <w:p w14:paraId="30F551A3">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21.磋商小组义务</w:t>
      </w:r>
    </w:p>
    <w:p w14:paraId="0A83F74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21.1 遵纪客观、公正、审慎的原则；</w:t>
      </w:r>
    </w:p>
    <w:p w14:paraId="162637D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21.2 根据磋商文件的规定评审程序、评审方法和评审标准独立进行评审，对个人的评审意见承担法律责任；</w:t>
      </w:r>
    </w:p>
    <w:p w14:paraId="6121135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21.3 参与评审报告的起草；</w:t>
      </w:r>
    </w:p>
    <w:p w14:paraId="281AD93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21.4 配合采购人、采购代理机构答复供应商提出的质疑；</w:t>
      </w:r>
    </w:p>
    <w:p w14:paraId="1934B31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21.5 配合财政部门的投诉处理和监督检查工作。</w:t>
      </w:r>
    </w:p>
    <w:p w14:paraId="30849FF4">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22.磋商小组成员有下列情形之一的，应当回避：</w:t>
      </w:r>
    </w:p>
    <w:p w14:paraId="2C23991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22.1 参加采购活动前3年内与供应商存在劳动关系；</w:t>
      </w:r>
    </w:p>
    <w:p w14:paraId="3598327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22.2 参加采购活动前3年内担任供应商的董事、监事；</w:t>
      </w:r>
    </w:p>
    <w:p w14:paraId="4B199B5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22.3 参加采购活动前3年内是供应商的控股股东或者实际控制人；</w:t>
      </w:r>
    </w:p>
    <w:p w14:paraId="1CAD9F4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22.4 与供应商的法定代表人或者负责人有夫妻、直系血亲、三代以内旁系血亲或者近姻亲关系；</w:t>
      </w:r>
    </w:p>
    <w:p w14:paraId="673E77D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22.5 与供应商有其他可能影响政府采购活动公平、公正进行的关系。</w:t>
      </w:r>
    </w:p>
    <w:p w14:paraId="37FFE7C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23.磋商小组成员到位后，推荐一名评审专家担任磋商小组组长，并由磋商小组组长牵头组织本项目磋商工作。采购人代表，不得担任磋商小组组长。</w:t>
      </w:r>
    </w:p>
    <w:p w14:paraId="6DC829C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3B37219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25.磋商小组及其成员，在磋商中不得有下列行为：</w:t>
      </w:r>
    </w:p>
    <w:p w14:paraId="1B4A700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（1）确定参与磋商至磋商结束前私自接触供应商；</w:t>
      </w:r>
    </w:p>
    <w:p w14:paraId="6414DD5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（2）接受供应商提出的与响应文件不一致的澄清和说明；</w:t>
      </w:r>
    </w:p>
    <w:p w14:paraId="49BAF63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（3）征询采购人的倾向性意见；</w:t>
      </w:r>
    </w:p>
    <w:p w14:paraId="0554A4E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（4）对主观评审因素协商评分；</w:t>
      </w:r>
    </w:p>
    <w:p w14:paraId="6DBA856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（5）对客观评审因素评分不一致；</w:t>
      </w:r>
    </w:p>
    <w:p w14:paraId="632F5B4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（6）在磋商过程中擅离职守，影响磋商程序正常进行的；</w:t>
      </w:r>
    </w:p>
    <w:p w14:paraId="1A08EE2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（7）记录、复制或带走任何评审资料；</w:t>
      </w:r>
    </w:p>
    <w:p w14:paraId="29F2C0C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（8）其他不遵守评审纪律的行为。</w:t>
      </w:r>
    </w:p>
    <w:p w14:paraId="302FC44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磋商小组成员有前款第一至四项行为之一的，其评审意见无效，并不得获取评审劳务报酬。</w:t>
      </w:r>
    </w:p>
    <w:p w14:paraId="0EF6E7AE">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26.磋商原则</w:t>
      </w:r>
    </w:p>
    <w:p w14:paraId="6C3CC8A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26.1“客观、公正、审慎”为本次磋商的基本原则，磋商小组按照这一原则的要求，公正、平等地对待各供应商。同时，在磋商中恪守以下原则：</w:t>
      </w:r>
    </w:p>
    <w:p w14:paraId="4C543FF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（1）统一性原则：磋商小组将按照统一的磋商原则和方法，用统一标准进行评审。</w:t>
      </w:r>
    </w:p>
    <w:p w14:paraId="3298E29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14:paraId="3DCE139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（3）物有所值原则：通过首轮的磋商报价，激发供应商展开竞争，进一步优化方案，并使报价符合预期目标。</w:t>
      </w:r>
    </w:p>
    <w:p w14:paraId="50E37CB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（4）客观性原则：磋商小组将严格按照磋商文件要求，对供应商的响应文件进行认真评审；磋商小组对响应文件的评审仅依据响应文件本身，而不依据响应文件以外的任何因素。</w:t>
      </w:r>
    </w:p>
    <w:p w14:paraId="567A40A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（5）保密性原则：采购代理机构应当采取必要的措施，保证评审在严格保密情况下进行。</w:t>
      </w:r>
    </w:p>
    <w:p w14:paraId="7F9AA59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（6）综合性原则:磋商小组将综合分析、评审供应商的各项指标，而不以单项指标的优劣评定出成交供应商。</w:t>
      </w:r>
    </w:p>
    <w:p w14:paraId="72C464D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2EA2092E">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27.磋商程序</w:t>
      </w:r>
    </w:p>
    <w:p w14:paraId="6600205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27.1 磋商小组根据磋商文件第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章《磋商办法》规定的方法、评审因素、标准和程序，在与单一供应商进行反复磋商的基础上，对其响应文件进行评审。第三章《磋商办法》没有规定的方法、评审因素和标准，不作为评审依据。</w:t>
      </w:r>
    </w:p>
    <w:p w14:paraId="5CD8D96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27.2.在磋商文件规定的时间和地点，由采购代理机构组织磋商工作，供应商须委派代表参加，签名以证明其出席。</w:t>
      </w:r>
    </w:p>
    <w:p w14:paraId="23E5C5C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27.3各供应商或其推荐的代表与采购监督人共同检查响应文件的密封情况，经检查无误后，签字确认。</w:t>
      </w:r>
    </w:p>
    <w:p w14:paraId="22518F9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27.4采购代理机构工作人员按照顺序，将各供应商首次响应文件的份数等内容公布，无异议后，由供应商法定代表人（或授权代表人）和监督人签字确认。</w:t>
      </w:r>
    </w:p>
    <w:p w14:paraId="76643AE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27.5 磋商响应文件的资格性审查。依据《政府采购法》第二十三条和磋商文件的规定，采购人负责对响应文件中的资格证明文件、信用查询记录等进行审查，以确认供应商具备相应资格。资格性审查出现下列情况者（但不限于），按无效文件处理：</w:t>
      </w:r>
    </w:p>
    <w:p w14:paraId="6FB4452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（1）供应商不符合《中华人民共和国政府采购法》第二十二条的规定和特定资格条件要求的。</w:t>
      </w:r>
    </w:p>
    <w:p w14:paraId="6DC46AD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（2）供应商没有经过正常渠道领取磋商文件或供应商的名称与获取磋商文件单位的名称不符。</w:t>
      </w:r>
    </w:p>
    <w:p w14:paraId="2F4F68C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49F93F8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（4）信用查询中列入失信被执行人、重大税收违法失信主体、政府采购严重违法失信行为记录名单及其他不符合《中华人民共和国政府采购法》第二十二条规定条件的供应商。</w:t>
      </w:r>
    </w:p>
    <w:p w14:paraId="6052EC6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（5）采购人或采购代理机构通过“信用中国”网站(www.creditchina.gov.cn)、中国政府采购网(www.ccgp.gov.cn) 等查询相关主体信用记录，并将查询网页打印、存档备查。</w:t>
      </w:r>
    </w:p>
    <w:p w14:paraId="31545F0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14:paraId="27EB1A4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62C0A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1523834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（1）供应商未按磋商文件要求加盖单位公章。</w:t>
      </w:r>
    </w:p>
    <w:p w14:paraId="0152C9C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（2）磋商响应文件未按磋商文件要求进行法定代表人或其授权代表签字。</w:t>
      </w:r>
    </w:p>
    <w:p w14:paraId="65335A2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（3）无有效期或有效期达不到磋商文件的要求。</w:t>
      </w:r>
    </w:p>
    <w:p w14:paraId="6CF8848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（4）供应商首次磋商报价出现选择性报价。</w:t>
      </w:r>
    </w:p>
    <w:p w14:paraId="0D22582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（5）首次磋商报价超出采购预算。</w:t>
      </w:r>
    </w:p>
    <w:p w14:paraId="763F498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（6）磋商内容出现漏项或数量与要求不符，出现重大负偏差。</w:t>
      </w:r>
    </w:p>
    <w:p w14:paraId="6EB7AA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（7）响应报价与市场价偏离较大，低于成本，形成不正当竞争。</w:t>
      </w:r>
    </w:p>
    <w:p w14:paraId="61AC615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27.7 磋商</w:t>
      </w:r>
    </w:p>
    <w:p w14:paraId="5753341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27.7.1 磋商小组集中与各供应商分别进行磋商，并给所有参加磋商供应商平等的磋商机会。</w:t>
      </w:r>
    </w:p>
    <w:p w14:paraId="3056E48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27.7.2 磋商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0DF7D89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5A369C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27.7.4 如出现下述情形之一的，视为供应商主动退出磋商，其响应将被拒绝：</w:t>
      </w:r>
    </w:p>
    <w:p w14:paraId="188BA44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（1）供应商未按要求确认磋商小组确定的本项目最终技术需求的；</w:t>
      </w:r>
    </w:p>
    <w:p w14:paraId="637BE29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（2）最后报价未实质性响应磋商小组确定的本项目最终技术需求的，或附有采购人无法接受的条件的。</w:t>
      </w:r>
    </w:p>
    <w:p w14:paraId="1A5523D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27.8 最后报价</w:t>
      </w:r>
    </w:p>
    <w:p w14:paraId="36951E5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27.8.1 磋商结束后，磋商小组要求所有实质性响应的供应商在规定时间内提交最后报价，提交最后报价的供应商不少于3家。最后报价是供应商响应文件的有效组成部分。</w:t>
      </w:r>
    </w:p>
    <w:p w14:paraId="40E32EB2">
      <w:pPr>
        <w:pStyle w:val="37"/>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t>六、确定成交</w:t>
      </w:r>
    </w:p>
    <w:p w14:paraId="675EB31A">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28.确定成交供应商</w:t>
      </w:r>
    </w:p>
    <w:p w14:paraId="6805879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28.1磋商小组根据评审方法的规定对供应商进行评审排序，推荐成交候选人，形成评审报告。评审报告由磋商小组成员签字确认。</w:t>
      </w:r>
    </w:p>
    <w:p w14:paraId="0D53D4F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28.2采购代理机构在评审结束后2个工作日内将评审报告送采购人确认。</w:t>
      </w:r>
    </w:p>
    <w:p w14:paraId="4BBA4F9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28.3采购人应当在收到评审报告后5个工作日内，根据评审报告对评审过程及结果进行严格审核后确定成交供应商，同时，将确定成交供应商的结果复函至采购代理机构。</w:t>
      </w:r>
    </w:p>
    <w:p w14:paraId="3327267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采购人在收到评审报告5个工作日内未按评审报告推荐的成交候选人中顺序确定成交供应商，又不能说明合法理由的，视同按照评审报告推荐的顺序确定排名第一的成交候选人为成交供应商。</w:t>
      </w:r>
    </w:p>
    <w:p w14:paraId="5F2B097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28.4采购人也可以书面授权磋商小组直接确定成交供应商。</w:t>
      </w:r>
    </w:p>
    <w:p w14:paraId="6C8C27A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28.5采购代理机构应当在接到采购人“定标”复函之日起2个工作日内，根据采购人确定的成交供应商，在</w:t>
      </w:r>
      <w:r>
        <w:rPr>
          <w:rFonts w:hint="eastAsia" w:ascii="宋体" w:hAnsi="宋体" w:cs="宋体"/>
          <w:color w:val="auto"/>
          <w:highlight w:val="none"/>
          <w:lang w:eastAsia="zh-CN"/>
        </w:rPr>
        <w:t>陕西省政府采购</w:t>
      </w:r>
      <w:r>
        <w:rPr>
          <w:rFonts w:hint="eastAsia" w:ascii="宋体" w:hAnsi="宋体" w:eastAsia="宋体" w:cs="宋体"/>
          <w:color w:val="auto"/>
          <w:highlight w:val="none"/>
        </w:rPr>
        <w:t>网发布公告成交结果；在公告成交结果的同时，采购人或采购代理机构应当向成交供应商发出《成交通知书》。成交通知书是合同文件的组成部分。</w:t>
      </w:r>
    </w:p>
    <w:p w14:paraId="26C81E6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C0790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28.7成交通知书对采购人和成交供应商具有同等法律效力。成交通知书发出之后，采购人改变成交结果，或者成交供应商放弃成交，应当承担相应的法律责任。</w:t>
      </w:r>
    </w:p>
    <w:p w14:paraId="3503F4C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28.8成交供应商拒绝与采购人签订合同的，采购人可以按照评审报告推荐的成交候选人名单排序，确定下一候选人为成交供应商，也可以重新开展政府采购活动。</w:t>
      </w:r>
    </w:p>
    <w:p w14:paraId="11CCA194">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29.履约保证金</w:t>
      </w:r>
    </w:p>
    <w:p w14:paraId="34CA1A4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联合体中牵头人的名义提交。</w:t>
      </w:r>
    </w:p>
    <w:p w14:paraId="1A4EEF6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29.2磋商文件要求供应商提交履约保证金的，供应商可通过支票、本票、汇票、网上银行支付等非现金形式交纳，也可通过履约担保函形式提交，其中采用纸质保函的，应当提交保函原件。</w:t>
      </w:r>
    </w:p>
    <w:p w14:paraId="2DF2007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29.3采用履约保函形式时应注意以下事项：</w:t>
      </w:r>
    </w:p>
    <w:p w14:paraId="28430BF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（1）履约保函的受益人为采购人，供应商未能按合同规定履行其义务时，采购人有权从履约保证金中取得补偿。</w:t>
      </w:r>
    </w:p>
    <w:p w14:paraId="733F950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B1029E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（3）担保金额不少于磋商文件中规定的履约保证金交纳金额；</w:t>
      </w:r>
    </w:p>
    <w:p w14:paraId="137F0CA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（4）保函申请人须与供应商名称一致。若供应商为联合体形式，原则上可由联合体任意一方或多方作为保函申请人。</w:t>
      </w:r>
    </w:p>
    <w:p w14:paraId="0F3DDB4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29.4成交供应商不能按照本章第29.1项规定提交履约保证金或履约担保的，视为放弃成交资格，有磋商保证金的不予退还，给采购人造成损失的，成交供应商应当予以赔偿。</w:t>
      </w:r>
    </w:p>
    <w:p w14:paraId="3DCDDF7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29.5在采购项目验收合格后，中标供应商持政府采购项目验收单，到履约保证金原收取人处办理退还手续，5个工作日内无息退还（针对支票、本票、汇票、网上银行等支付形式）\当场返还（针对纸质保函）。</w:t>
      </w:r>
    </w:p>
    <w:p w14:paraId="4212A990">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30.签订合同</w:t>
      </w:r>
    </w:p>
    <w:p w14:paraId="39343AB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30.1采购人应当自《成交通知书》发出之日起25日内，按照磋商文件和成交供应商响应文件的规定，与成交供应商签订书面合同。成交供应商无正当理由拒签合同，或者在签订合同时向采购人提出附件条件，采购人有权取消其成交资格，有磋商保证金的不予退还，给采购人造成损失的，成交供应商应当予以赔偿。采购人可以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05A75A9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0BAD4C8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30.3 联合体成交的，联合体各方应当与采购人签订采购合同，就成交项目向采购人承担连带责任。</w:t>
      </w:r>
    </w:p>
    <w:p w14:paraId="256E5AF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30.4 供应商须知前附表规定允许大中企业向小微企业分包的，成交供应商应当与接受分包的小微企业签订分包合同。</w:t>
      </w:r>
    </w:p>
    <w:p w14:paraId="7BCF1B8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31.合同分包</w:t>
      </w:r>
    </w:p>
    <w:p w14:paraId="66DAE6B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1EC14B4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31.2分包履行合同的部分应当为采购项目的非主体、非关键性工作，不属于成交供应商的主要合同义务。</w:t>
      </w:r>
    </w:p>
    <w:p w14:paraId="31AA828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31.3采购合同实行分包履行的，成交供应商就采购项目和分包项目向采购人负责，分包供应商就分包项目承担责任。履行分包项目事项应当具备法定资质规定要求的，分包供应商应当具备相应资质。</w:t>
      </w:r>
    </w:p>
    <w:p w14:paraId="24735C9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6E43F4BC">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32.合同转包</w:t>
      </w:r>
    </w:p>
    <w:p w14:paraId="4AFC615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1E4A5A5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32.2成交供应商转包的，视同拒绝履行政府采购合同，将依法追究法律责任</w:t>
      </w:r>
    </w:p>
    <w:p w14:paraId="5E648D5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33.合同履行</w:t>
      </w:r>
    </w:p>
    <w:p w14:paraId="3EEB0CE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33.1 政府采购合同一经签订，双方应严格履行合同规定的义务。在合同履行过程中，如发生合同纠纷，合同双方应按照《中华人民共和国民法典》及合同条款的有关规定进行处理。</w:t>
      </w:r>
    </w:p>
    <w:p w14:paraId="58DBDD6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25935C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33.3 政府采购合同履行中，采购人需追加与合同标的相同的货物的，在不改变合同其他条款的前提下，可以与成交供应商签订补充合同，但所补充合同的采购金额不得超过原合同采购金额的百分之十。签订补充合同的应按规定备案。</w:t>
      </w:r>
    </w:p>
    <w:p w14:paraId="4CD0AAD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487B3C67">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34.其他情况</w:t>
      </w:r>
    </w:p>
    <w:p w14:paraId="14B8FB4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34.1磋商开始后，出现下列情形之一的，采购代理机构将终止竞争性磋商采购活动，发布项目终止公告并说明原因，重新开展采购活动：</w:t>
      </w:r>
    </w:p>
    <w:p w14:paraId="52B20AC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27BA221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42768DD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（3）在采购过程中符合要求的供应商不足3家的 ；</w:t>
      </w:r>
    </w:p>
    <w:p w14:paraId="6BD40BC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（4）报价未超过采购预算的供应商不足3家的；</w:t>
      </w:r>
    </w:p>
    <w:p w14:paraId="594565A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（5）法律规定其它情形除外。</w:t>
      </w:r>
    </w:p>
    <w:p w14:paraId="7C83BBA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34.2 提交最后报价的供应商为2家时，可以继续进行磋商的情形：</w:t>
      </w:r>
    </w:p>
    <w:p w14:paraId="7C1889B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（1）市场竞争不充分的科研项目，以及需要扶持的科技成果转化项目；</w:t>
      </w:r>
    </w:p>
    <w:p w14:paraId="7A43408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（2）根据《关于政府采购竞争性磋商采购方式管理暂行办法有关问题的补充通知》（财库〔2015〕124号）文件的相关规定，在采购过程中符合要求的供应商（社会资本）只有2家的。</w:t>
      </w:r>
    </w:p>
    <w:p w14:paraId="2C907F3D">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35.纪律要求</w:t>
      </w:r>
    </w:p>
    <w:p w14:paraId="35F4F3A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35.1磋商活动纪律要求</w:t>
      </w:r>
    </w:p>
    <w:p w14:paraId="1E10B3F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代理机构应保证磋商活动在严格保密的情况下进行，采购人、代理机构、供应商和磋商小组成员应当严格遵守政府采购法律法规规章制度和本项目竞争性磋商文件以及代理机构现场管理规定，接受采购人委派的监督人员的监督，任何单位和个人不得非法干预和影响磋商过程和结果。</w:t>
      </w:r>
    </w:p>
    <w:p w14:paraId="72E30D0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对各供应商的商业秘密，磋商小组成员应予以保密，不得泄露给其他供应商。</w:t>
      </w:r>
    </w:p>
    <w:p w14:paraId="1152557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35.2供应商不得具有的情形</w:t>
      </w:r>
    </w:p>
    <w:p w14:paraId="408A0E6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供应商参加响应不得有下列情形：</w:t>
      </w:r>
    </w:p>
    <w:p w14:paraId="78943ED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（1）有下列情形之一的，视为供应商串通响应：</w:t>
      </w:r>
    </w:p>
    <w:p w14:paraId="1240A9A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①　不同供应商的响应文件由同一单位或者个人编制；</w:t>
      </w:r>
    </w:p>
    <w:p w14:paraId="4E5AF65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②　不同供应商委托同一单位或者个人办理磋商事宜；</w:t>
      </w:r>
    </w:p>
    <w:p w14:paraId="18AFE60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③　不同供应商的响应文件载明的项目管理成员或者联系人员为同一人；</w:t>
      </w:r>
    </w:p>
    <w:p w14:paraId="6AD330E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④　不同供应商的响应文件异常一致或者响应报价呈规律性差异；</w:t>
      </w:r>
    </w:p>
    <w:p w14:paraId="620547F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⑤　不同供应商的响应文件相互混装。</w:t>
      </w:r>
    </w:p>
    <w:p w14:paraId="0697316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（2）提供虚假材料谋取成交；</w:t>
      </w:r>
    </w:p>
    <w:p w14:paraId="1EC35DC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（3）采取不正当手段诋毁、排挤其他供应商；</w:t>
      </w:r>
    </w:p>
    <w:p w14:paraId="3A7ED69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（4）与采购人或代理机构、其他供应商恶意串通；</w:t>
      </w:r>
    </w:p>
    <w:p w14:paraId="7737C50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（5）向采购人或代理机构、磋商小组成员行贿或者提供其他不正当利益；</w:t>
      </w:r>
    </w:p>
    <w:p w14:paraId="7253D7E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（6）在磋商过程中与采购人或代理机构进行协商磋商；</w:t>
      </w:r>
    </w:p>
    <w:p w14:paraId="4626373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（7）成交后无正当理由拒不与采购人签订政府采购合同；</w:t>
      </w:r>
    </w:p>
    <w:p w14:paraId="7706246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（8）未按照采购文件确定的事项签订政府采购合同；</w:t>
      </w:r>
    </w:p>
    <w:p w14:paraId="56F3F33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（9）将政府采购合同转包或者违规分包；</w:t>
      </w:r>
    </w:p>
    <w:p w14:paraId="381F0B7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（10）提供假冒伪劣产品；</w:t>
      </w:r>
    </w:p>
    <w:p w14:paraId="5ED3C4E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（11）擅自变更、中止或者终止政府采购合同；</w:t>
      </w:r>
    </w:p>
    <w:p w14:paraId="53BBC3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（12）拒绝有关部门的监督检查或者向监督检查部门提供虚假情况；</w:t>
      </w:r>
    </w:p>
    <w:p w14:paraId="279F391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（13）法律法规规定的其他禁止情形。</w:t>
      </w:r>
    </w:p>
    <w:p w14:paraId="7C9E142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供应商有上述情形的，按照规定追究法律责任，具有前述一至十三条情形之一的，其响应文件无效，或取消被确认为成交供应商的资格或认定成交无效。</w:t>
      </w:r>
    </w:p>
    <w:p w14:paraId="3C70E01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35.3采购人员及相关人员回避要求</w:t>
      </w:r>
    </w:p>
    <w:p w14:paraId="63D2F7D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政府采购活动中，采购人员及相关人员与供应商有下列利害关系之一的，应当回避：</w:t>
      </w:r>
    </w:p>
    <w:p w14:paraId="59148AC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（一）参加采购活动前3年内与供应商存在劳动关系；</w:t>
      </w:r>
    </w:p>
    <w:p w14:paraId="706DFDD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（二）参加采购活动前3年内担任供应商的董事、监事；</w:t>
      </w:r>
    </w:p>
    <w:p w14:paraId="3F4D42C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（三）参加采购活动前3年内是供应商的控股股东或者实际控制人；</w:t>
      </w:r>
    </w:p>
    <w:p w14:paraId="250BABD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（四）与供应商的法定代表人或者负责人有夫妻、直系血亲、三代以内旁系血亲或者近姻亲关系；</w:t>
      </w:r>
    </w:p>
    <w:p w14:paraId="551BBF7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（五）与供应商有其他可能影响政府采购活动公平、公正进行的关系。</w:t>
      </w:r>
    </w:p>
    <w:p w14:paraId="1701064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供应商认为采购人员及相关人员与其他供应商有利害关系的，可以向代理机构书面提出回避申请，并说明理由。代理机构将及时询问被申请回避人员，有利害关系的被申请回避人员应当回避。</w:t>
      </w:r>
    </w:p>
    <w:p w14:paraId="4C0BA36C">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36.质疑和投诉</w:t>
      </w:r>
    </w:p>
    <w:p w14:paraId="1D566E9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36.1供应商如果认为磋商文件(包括磋商内容及采购要求、供应商资格条件、商务条款等)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099AD05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36.2供应商提出质疑应当提交质疑函和必要的证明材料，并按财政部 《质疑函范本》 给定的格式进行填写，范本下载详见【财政部国库司( gks.mof.gov.cn)】 网站〖首页• 〉政府采购管理〗栏目中的《政府采购供应商质疑函范本》。</w:t>
      </w:r>
    </w:p>
    <w:p w14:paraId="357249E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《政府采购供应商质疑函范本》链接地址：</w:t>
      </w:r>
    </w:p>
    <w:p w14:paraId="410739F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http://gks.mof.gov.cn/zhengfucaigouguanli/201802/t20180201_2804589.html</w:t>
      </w:r>
    </w:p>
    <w:p w14:paraId="7C4A644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2E5DB84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36.4在法定质疑期内，针对同一采购程序环节的质疑应当一次性提出。采购代理机构或采购人将在收到书面质疑后7个工作日内做出答复，并以书面形式通知质疑人和其他有关供应商。</w:t>
      </w:r>
    </w:p>
    <w:p w14:paraId="6C594DC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36.5有下列情形之一的，属于无效质疑，采购代理机构和采购人不予受理：</w:t>
      </w:r>
    </w:p>
    <w:p w14:paraId="54C4BD6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 质疑人不是参与本次政府采购项目的供应商或潜在供应商；</w:t>
      </w:r>
    </w:p>
    <w:p w14:paraId="1287581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 质疑人与质疑事项不存在利害关系的；</w:t>
      </w:r>
    </w:p>
    <w:p w14:paraId="72F520B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 未在法定期限内提出质疑的；</w:t>
      </w:r>
    </w:p>
    <w:p w14:paraId="43F7169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 质疑未以书面形式提出，或质疑函主要内容构成不完整的，或缺乏必要的证明材料及证明材料不完整的；</w:t>
      </w:r>
    </w:p>
    <w:p w14:paraId="084E369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 质疑函没有合法有效的签字、盖章或授权的；</w:t>
      </w:r>
    </w:p>
    <w:p w14:paraId="08D4CEC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 以非法手段取得证据、材料的；</w:t>
      </w:r>
    </w:p>
    <w:p w14:paraId="7988AD2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 质疑答复后，同一质疑人就同一事项再次提出质疑的；</w:t>
      </w:r>
    </w:p>
    <w:p w14:paraId="253DA6F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 不符合法律、法规、规章和政府采购监管机构规定的其他条件的。</w:t>
      </w:r>
    </w:p>
    <w:p w14:paraId="79DA298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36.6质疑人对采购代理机构或采购人的答复不满意，以及采购代理机构或采购人未在规定时间内做出答复的，可以在答复期满后15个工作日内向政府采购监管机构提出投诉。</w:t>
      </w:r>
    </w:p>
    <w:p w14:paraId="2E398E7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36.7供应商投诉的事项不得超出已质疑事项的范围。</w:t>
      </w:r>
    </w:p>
    <w:p w14:paraId="4415ACA4">
      <w:pPr>
        <w:pStyle w:val="39"/>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36.8质疑函递交地址：亿诚建设项目管理有限公司石泉分公司（石泉县育才路4号金江花园后门） 联系人：</w:t>
      </w:r>
      <w:r>
        <w:rPr>
          <w:rFonts w:hint="eastAsia" w:ascii="宋体" w:hAnsi="宋体" w:cs="宋体"/>
          <w:color w:val="auto"/>
          <w:highlight w:val="none"/>
          <w:lang w:eastAsia="zh-CN"/>
        </w:rPr>
        <w:t>肖航</w:t>
      </w:r>
      <w:r>
        <w:rPr>
          <w:rFonts w:hint="eastAsia" w:ascii="宋体" w:hAnsi="宋体" w:eastAsia="宋体" w:cs="宋体"/>
          <w:color w:val="auto"/>
          <w:highlight w:val="none"/>
        </w:rPr>
        <w:t xml:space="preserve">       联系电话：1</w:t>
      </w:r>
      <w:r>
        <w:rPr>
          <w:rFonts w:hint="eastAsia" w:ascii="宋体" w:hAnsi="宋体" w:cs="宋体"/>
          <w:color w:val="auto"/>
          <w:highlight w:val="none"/>
          <w:lang w:val="en-US" w:eastAsia="zh-CN"/>
        </w:rPr>
        <w:t>7391332881</w:t>
      </w:r>
      <w:r>
        <w:rPr>
          <w:rFonts w:hint="eastAsia" w:ascii="宋体" w:hAnsi="宋体" w:eastAsia="宋体" w:cs="宋体"/>
          <w:color w:val="auto"/>
          <w:highlight w:val="none"/>
        </w:rPr>
        <w:t xml:space="preserve">      邮编：725200</w:t>
      </w:r>
      <w:r>
        <w:rPr>
          <w:rFonts w:hint="eastAsia" w:ascii="宋体" w:hAnsi="宋体" w:cs="宋体"/>
          <w:color w:val="auto"/>
          <w:highlight w:val="none"/>
          <w:lang w:val="en-US" w:eastAsia="zh-CN"/>
        </w:rPr>
        <w:t xml:space="preserve">  QQ邮箱：1823762566@qq.com</w:t>
      </w:r>
    </w:p>
    <w:p w14:paraId="4839345E">
      <w:pPr>
        <w:widowControl/>
        <w:jc w:val="left"/>
        <w:rPr>
          <w:rFonts w:hint="eastAsia" w:ascii="宋体" w:hAnsi="宋体" w:eastAsia="宋体" w:cs="宋体"/>
          <w:b/>
          <w:color w:val="auto"/>
          <w:sz w:val="32"/>
          <w:highlight w:val="none"/>
        </w:rPr>
      </w:pPr>
      <w:r>
        <w:rPr>
          <w:rFonts w:hint="eastAsia" w:ascii="宋体" w:hAnsi="宋体" w:eastAsia="宋体" w:cs="宋体"/>
          <w:color w:val="auto"/>
          <w:highlight w:val="none"/>
        </w:rPr>
        <w:br w:type="page"/>
      </w:r>
    </w:p>
    <w:p w14:paraId="1A750496">
      <w:pPr>
        <w:pStyle w:val="36"/>
        <w:spacing w:before="240" w:after="240"/>
        <w:outlineLvl w:val="0"/>
        <w:rPr>
          <w:rFonts w:hint="eastAsia" w:ascii="宋体" w:hAnsi="宋体" w:eastAsia="宋体" w:cs="宋体"/>
          <w:color w:val="auto"/>
          <w:sz w:val="40"/>
          <w:szCs w:val="28"/>
          <w:highlight w:val="none"/>
        </w:rPr>
      </w:pPr>
      <w:bookmarkStart w:id="6" w:name="_Toc14276"/>
      <w:r>
        <w:rPr>
          <w:rFonts w:hint="eastAsia" w:ascii="宋体" w:hAnsi="宋体" w:eastAsia="宋体" w:cs="宋体"/>
          <w:color w:val="auto"/>
          <w:sz w:val="40"/>
          <w:szCs w:val="28"/>
          <w:highlight w:val="none"/>
        </w:rPr>
        <w:t>第三章  磋商办法</w:t>
      </w:r>
      <w:bookmarkEnd w:id="6"/>
    </w:p>
    <w:p w14:paraId="18CBBB1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政府采购竞争性磋商采购方式管理暂行办法》（财政部财库[2014]214号）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777AA058">
      <w:pPr>
        <w:pStyle w:val="12"/>
        <w:autoSpaceDE w:val="0"/>
        <w:autoSpaceDN w:val="0"/>
        <w:adjustRightInd w:val="0"/>
        <w:snapToGrid w:val="0"/>
        <w:spacing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1、资格审查标准</w:t>
      </w:r>
    </w:p>
    <w:tbl>
      <w:tblPr>
        <w:tblStyle w:val="28"/>
        <w:tblW w:w="945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2450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08" w:type="dxa"/>
            <w:noWrap/>
          </w:tcPr>
          <w:p w14:paraId="6B4EAE33">
            <w:pPr>
              <w:pStyle w:val="70"/>
              <w:spacing w:before="111"/>
              <w:ind w:left="272" w:right="265"/>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974" w:type="dxa"/>
            <w:noWrap/>
          </w:tcPr>
          <w:p w14:paraId="1689F193">
            <w:pPr>
              <w:pStyle w:val="70"/>
              <w:spacing w:before="111"/>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审查因素</w:t>
            </w:r>
          </w:p>
        </w:tc>
        <w:tc>
          <w:tcPr>
            <w:tcW w:w="6477" w:type="dxa"/>
            <w:noWrap/>
          </w:tcPr>
          <w:p w14:paraId="7F4BED9C">
            <w:pPr>
              <w:pStyle w:val="70"/>
              <w:spacing w:before="111"/>
              <w:ind w:left="2798" w:right="2787"/>
              <w:jc w:val="center"/>
              <w:rPr>
                <w:rFonts w:hint="eastAsia" w:ascii="宋体" w:hAnsi="宋体" w:eastAsia="宋体" w:cs="宋体"/>
                <w:b/>
                <w:color w:val="auto"/>
                <w:highlight w:val="none"/>
              </w:rPr>
            </w:pPr>
            <w:r>
              <w:rPr>
                <w:rFonts w:hint="eastAsia" w:ascii="宋体" w:hAnsi="宋体" w:eastAsia="宋体" w:cs="宋体"/>
                <w:b/>
                <w:color w:val="auto"/>
                <w:highlight w:val="none"/>
              </w:rPr>
              <w:t>审查标准</w:t>
            </w:r>
          </w:p>
        </w:tc>
      </w:tr>
      <w:tr w14:paraId="577F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08" w:type="dxa"/>
            <w:noWrap/>
            <w:vAlign w:val="center"/>
          </w:tcPr>
          <w:p w14:paraId="6A680E27">
            <w:pPr>
              <w:pStyle w:val="70"/>
              <w:autoSpaceDE w:val="0"/>
              <w:autoSpaceDN w:val="0"/>
              <w:ind w:left="122" w:right="113"/>
              <w:jc w:val="center"/>
              <w:rPr>
                <w:rFonts w:hint="eastAsia" w:ascii="宋体" w:hAnsi="宋体" w:eastAsia="宋体" w:cs="宋体"/>
                <w:b/>
                <w:color w:val="auto"/>
                <w:highlight w:val="none"/>
              </w:rPr>
            </w:pPr>
          </w:p>
          <w:p w14:paraId="77DF56A8">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974" w:type="dxa"/>
            <w:noWrap/>
            <w:vAlign w:val="center"/>
          </w:tcPr>
          <w:p w14:paraId="55558953">
            <w:pPr>
              <w:pStyle w:val="70"/>
              <w:autoSpaceDE w:val="0"/>
              <w:autoSpaceDN w:val="0"/>
              <w:ind w:left="122" w:right="113"/>
              <w:jc w:val="center"/>
              <w:rPr>
                <w:rFonts w:hint="eastAsia" w:ascii="宋体" w:hAnsi="宋体" w:eastAsia="宋体" w:cs="宋体"/>
                <w:b/>
                <w:color w:val="auto"/>
                <w:highlight w:val="none"/>
              </w:rPr>
            </w:pPr>
          </w:p>
          <w:p w14:paraId="49B1506C">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营业执照</w:t>
            </w:r>
          </w:p>
        </w:tc>
        <w:tc>
          <w:tcPr>
            <w:tcW w:w="6477" w:type="dxa"/>
            <w:noWrap/>
            <w:vAlign w:val="center"/>
          </w:tcPr>
          <w:p w14:paraId="67867C95">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提供有效合格的统一社会信用代码的营业执照，其他组织经营的须提</w:t>
            </w:r>
          </w:p>
          <w:p w14:paraId="119B4D8D">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供合法凭证，自然人的提供身份证明文件；</w:t>
            </w:r>
          </w:p>
        </w:tc>
      </w:tr>
      <w:tr w14:paraId="06AF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030B15A2">
            <w:pPr>
              <w:pStyle w:val="70"/>
              <w:autoSpaceDE w:val="0"/>
              <w:autoSpaceDN w:val="0"/>
              <w:ind w:left="122" w:right="113"/>
              <w:jc w:val="center"/>
              <w:rPr>
                <w:rFonts w:hint="eastAsia" w:ascii="宋体" w:hAnsi="宋体" w:eastAsia="宋体" w:cs="宋体"/>
                <w:b/>
                <w:color w:val="auto"/>
                <w:highlight w:val="none"/>
              </w:rPr>
            </w:pPr>
          </w:p>
          <w:p w14:paraId="238125ED">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974" w:type="dxa"/>
            <w:noWrap/>
            <w:vAlign w:val="center"/>
          </w:tcPr>
          <w:p w14:paraId="221B5A98">
            <w:pPr>
              <w:pStyle w:val="70"/>
              <w:autoSpaceDE w:val="0"/>
              <w:autoSpaceDN w:val="0"/>
              <w:ind w:left="122" w:right="113"/>
              <w:jc w:val="center"/>
              <w:rPr>
                <w:rFonts w:hint="eastAsia" w:ascii="宋体" w:hAnsi="宋体" w:eastAsia="宋体" w:cs="宋体"/>
                <w:b/>
                <w:color w:val="auto"/>
                <w:highlight w:val="none"/>
              </w:rPr>
            </w:pPr>
          </w:p>
          <w:p w14:paraId="471C25C8">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法定代表人授权</w:t>
            </w:r>
          </w:p>
          <w:p w14:paraId="5495A5C2">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委托书</w:t>
            </w:r>
          </w:p>
        </w:tc>
        <w:tc>
          <w:tcPr>
            <w:tcW w:w="6477" w:type="dxa"/>
            <w:noWrap/>
            <w:vAlign w:val="center"/>
          </w:tcPr>
          <w:p w14:paraId="2DC39640">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法定代表人直接参加投标的，须出具法定代表人身份证；法定代表人授权代表参加投标的，须出具法定代表人授权委托书、法定代表人身</w:t>
            </w:r>
          </w:p>
          <w:p w14:paraId="1B87E58C">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份证复印件以及被授权代表身份证复印件；</w:t>
            </w:r>
          </w:p>
        </w:tc>
      </w:tr>
      <w:tr w14:paraId="6CAE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08" w:type="dxa"/>
            <w:noWrap/>
            <w:vAlign w:val="center"/>
          </w:tcPr>
          <w:p w14:paraId="74DDD517">
            <w:pPr>
              <w:pStyle w:val="70"/>
              <w:autoSpaceDE w:val="0"/>
              <w:autoSpaceDN w:val="0"/>
              <w:ind w:left="122" w:right="113"/>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w:t>
            </w:r>
          </w:p>
        </w:tc>
        <w:tc>
          <w:tcPr>
            <w:tcW w:w="1974" w:type="dxa"/>
            <w:noWrap/>
            <w:vAlign w:val="center"/>
          </w:tcPr>
          <w:p w14:paraId="0903091C">
            <w:pPr>
              <w:pStyle w:val="70"/>
              <w:autoSpaceDE w:val="0"/>
              <w:autoSpaceDN w:val="0"/>
              <w:ind w:left="122" w:right="113"/>
              <w:jc w:val="center"/>
              <w:rPr>
                <w:rFonts w:hint="eastAsia" w:ascii="宋体" w:hAnsi="宋体" w:eastAsia="宋体" w:cs="宋体"/>
                <w:b/>
                <w:color w:val="auto"/>
                <w:highlight w:val="none"/>
                <w:lang w:eastAsia="zh-CN"/>
              </w:rPr>
            </w:pPr>
            <w:r>
              <w:rPr>
                <w:rFonts w:hint="eastAsia" w:cs="宋体"/>
                <w:b/>
                <w:color w:val="auto"/>
                <w:highlight w:val="none"/>
                <w:lang w:eastAsia="zh-CN"/>
              </w:rPr>
              <w:t>项目负责人</w:t>
            </w:r>
            <w:r>
              <w:rPr>
                <w:rFonts w:hint="eastAsia" w:ascii="宋体" w:hAnsi="宋体" w:eastAsia="宋体" w:cs="宋体"/>
                <w:b/>
                <w:color w:val="auto"/>
                <w:highlight w:val="none"/>
                <w:lang w:eastAsia="zh-CN"/>
              </w:rPr>
              <w:t>资质证件</w:t>
            </w:r>
          </w:p>
        </w:tc>
        <w:tc>
          <w:tcPr>
            <w:tcW w:w="6477" w:type="dxa"/>
            <w:noWrap/>
            <w:vAlign w:val="center"/>
          </w:tcPr>
          <w:p w14:paraId="6DC1F9D1">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拟投入的项目负责人须具有国家相关部门颁发的环境影响评价工程师职业资格证书；</w:t>
            </w:r>
          </w:p>
        </w:tc>
      </w:tr>
      <w:tr w14:paraId="7AF8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08" w:type="dxa"/>
            <w:noWrap/>
            <w:vAlign w:val="center"/>
          </w:tcPr>
          <w:p w14:paraId="7F17FA71">
            <w:pPr>
              <w:pStyle w:val="70"/>
              <w:autoSpaceDE w:val="0"/>
              <w:autoSpaceDN w:val="0"/>
              <w:ind w:left="122" w:right="113"/>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4</w:t>
            </w:r>
          </w:p>
        </w:tc>
        <w:tc>
          <w:tcPr>
            <w:tcW w:w="1974" w:type="dxa"/>
            <w:noWrap/>
            <w:vAlign w:val="center"/>
          </w:tcPr>
          <w:p w14:paraId="475ECE7C">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财务状况</w:t>
            </w:r>
          </w:p>
        </w:tc>
        <w:tc>
          <w:tcPr>
            <w:tcW w:w="6477" w:type="dxa"/>
            <w:noWrap/>
            <w:vAlign w:val="center"/>
          </w:tcPr>
          <w:p w14:paraId="1856DB1B">
            <w:pPr>
              <w:pStyle w:val="70"/>
              <w:spacing w:line="374" w:lineRule="auto"/>
              <w:ind w:right="44"/>
              <w:jc w:val="left"/>
              <w:rPr>
                <w:rFonts w:hint="eastAsia" w:ascii="宋体" w:hAnsi="宋体" w:eastAsia="宋体" w:cs="宋体"/>
                <w:color w:val="auto"/>
                <w:spacing w:val="-13"/>
                <w:sz w:val="24"/>
                <w:szCs w:val="24"/>
                <w:highlight w:val="none"/>
                <w:lang w:val="en-US" w:eastAsia="zh-CN"/>
              </w:rPr>
            </w:pPr>
            <w:r>
              <w:rPr>
                <w:rFonts w:hint="eastAsia" w:ascii="宋体" w:hAnsi="宋体" w:eastAsia="宋体" w:cs="宋体"/>
                <w:color w:val="auto"/>
                <w:spacing w:val="-13"/>
                <w:sz w:val="24"/>
                <w:szCs w:val="24"/>
                <w:highlight w:val="none"/>
                <w:lang w:val="en-US" w:eastAsia="zh-CN"/>
              </w:rPr>
              <w:t xml:space="preserve">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tc>
      </w:tr>
      <w:tr w14:paraId="7DB7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08" w:type="dxa"/>
            <w:noWrap/>
            <w:vAlign w:val="center"/>
          </w:tcPr>
          <w:p w14:paraId="09BD491E">
            <w:pPr>
              <w:pStyle w:val="70"/>
              <w:autoSpaceDE w:val="0"/>
              <w:autoSpaceDN w:val="0"/>
              <w:ind w:left="122" w:right="113"/>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5</w:t>
            </w:r>
          </w:p>
        </w:tc>
        <w:tc>
          <w:tcPr>
            <w:tcW w:w="1974" w:type="dxa"/>
            <w:noWrap/>
            <w:vAlign w:val="center"/>
          </w:tcPr>
          <w:p w14:paraId="1DCE7921">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社保缴纳证明</w:t>
            </w:r>
          </w:p>
        </w:tc>
        <w:tc>
          <w:tcPr>
            <w:tcW w:w="6477" w:type="dxa"/>
            <w:noWrap/>
            <w:vAlign w:val="center"/>
          </w:tcPr>
          <w:p w14:paraId="681C192F">
            <w:pPr>
              <w:pStyle w:val="70"/>
              <w:spacing w:line="374" w:lineRule="auto"/>
              <w:ind w:right="44"/>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自202</w:t>
            </w:r>
            <w:r>
              <w:rPr>
                <w:rFonts w:hint="eastAsia"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rPr>
              <w:t>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5304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08" w:type="dxa"/>
            <w:noWrap/>
            <w:vAlign w:val="center"/>
          </w:tcPr>
          <w:p w14:paraId="13AC10AA">
            <w:pPr>
              <w:pStyle w:val="70"/>
              <w:autoSpaceDE w:val="0"/>
              <w:autoSpaceDN w:val="0"/>
              <w:ind w:left="122" w:right="113"/>
              <w:jc w:val="center"/>
              <w:rPr>
                <w:rFonts w:hint="eastAsia" w:ascii="宋体" w:hAnsi="宋体" w:eastAsia="宋体" w:cs="宋体"/>
                <w:b/>
                <w:color w:val="auto"/>
                <w:highlight w:val="none"/>
              </w:rPr>
            </w:pPr>
          </w:p>
          <w:p w14:paraId="6892C4B6">
            <w:pPr>
              <w:pStyle w:val="70"/>
              <w:autoSpaceDE w:val="0"/>
              <w:autoSpaceDN w:val="0"/>
              <w:ind w:left="122" w:right="113"/>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6</w:t>
            </w:r>
          </w:p>
        </w:tc>
        <w:tc>
          <w:tcPr>
            <w:tcW w:w="1974" w:type="dxa"/>
            <w:noWrap/>
            <w:vAlign w:val="center"/>
          </w:tcPr>
          <w:p w14:paraId="274B7267">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纳税证明</w:t>
            </w:r>
          </w:p>
        </w:tc>
        <w:tc>
          <w:tcPr>
            <w:tcW w:w="6477" w:type="dxa"/>
            <w:noWrap/>
            <w:vAlign w:val="center"/>
          </w:tcPr>
          <w:p w14:paraId="3CB86C26">
            <w:pPr>
              <w:pStyle w:val="70"/>
              <w:spacing w:line="374" w:lineRule="auto"/>
              <w:ind w:right="44"/>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自202</w:t>
            </w:r>
            <w:r>
              <w:rPr>
                <w:rFonts w:hint="eastAsia" w:cs="宋体"/>
                <w:color w:val="auto"/>
                <w:spacing w:val="-13"/>
                <w:sz w:val="24"/>
                <w:szCs w:val="24"/>
                <w:highlight w:val="none"/>
                <w:lang w:val="en-US" w:eastAsia="zh-CN"/>
              </w:rPr>
              <w:t>5</w:t>
            </w:r>
            <w:r>
              <w:rPr>
                <w:rFonts w:hint="eastAsia" w:ascii="宋体" w:hAnsi="宋体" w:eastAsia="宋体" w:cs="宋体"/>
                <w:color w:val="auto"/>
                <w:spacing w:val="-13"/>
                <w:sz w:val="24"/>
                <w:szCs w:val="24"/>
                <w:highlight w:val="none"/>
              </w:rPr>
              <w:t>年1月1日以来已缴纳的至少一个月的纳税证明或完税证明，纳税证明或完税证明上应有代收机构或税务机关的公章或业务专用章。依法免税的供应商应提供相关文件证明；</w:t>
            </w:r>
          </w:p>
        </w:tc>
      </w:tr>
      <w:tr w14:paraId="5616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08" w:type="dxa"/>
            <w:noWrap/>
            <w:vAlign w:val="center"/>
          </w:tcPr>
          <w:p w14:paraId="10637B1D">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7</w:t>
            </w:r>
          </w:p>
        </w:tc>
        <w:tc>
          <w:tcPr>
            <w:tcW w:w="1974" w:type="dxa"/>
            <w:noWrap/>
            <w:vAlign w:val="center"/>
          </w:tcPr>
          <w:p w14:paraId="0CD3D340">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信誉截图</w:t>
            </w:r>
          </w:p>
        </w:tc>
        <w:tc>
          <w:tcPr>
            <w:tcW w:w="6477" w:type="dxa"/>
            <w:noWrap/>
            <w:vAlign w:val="center"/>
          </w:tcPr>
          <w:p w14:paraId="4CBA782B">
            <w:pPr>
              <w:pStyle w:val="70"/>
              <w:spacing w:line="374" w:lineRule="auto"/>
              <w:ind w:right="44"/>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707D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08" w:type="dxa"/>
            <w:noWrap/>
            <w:vAlign w:val="center"/>
          </w:tcPr>
          <w:p w14:paraId="1220B1DB">
            <w:pPr>
              <w:pStyle w:val="70"/>
              <w:autoSpaceDE w:val="0"/>
              <w:autoSpaceDN w:val="0"/>
              <w:ind w:left="122" w:right="113"/>
              <w:jc w:val="center"/>
              <w:rPr>
                <w:rFonts w:hint="default" w:ascii="宋体" w:hAnsi="宋体" w:eastAsia="宋体" w:cs="宋体"/>
                <w:b/>
                <w:color w:val="auto"/>
                <w:highlight w:val="none"/>
                <w:lang w:val="en-US" w:eastAsia="zh-CN"/>
              </w:rPr>
            </w:pPr>
            <w:r>
              <w:rPr>
                <w:rFonts w:hint="eastAsia" w:cs="宋体"/>
                <w:b/>
                <w:color w:val="auto"/>
                <w:highlight w:val="none"/>
                <w:lang w:val="en-US" w:eastAsia="zh-CN"/>
              </w:rPr>
              <w:t>8</w:t>
            </w:r>
          </w:p>
        </w:tc>
        <w:tc>
          <w:tcPr>
            <w:tcW w:w="1974" w:type="dxa"/>
            <w:noWrap/>
            <w:vAlign w:val="center"/>
          </w:tcPr>
          <w:p w14:paraId="302F0C67">
            <w:pPr>
              <w:pStyle w:val="70"/>
              <w:autoSpaceDE w:val="0"/>
              <w:autoSpaceDN w:val="0"/>
              <w:ind w:left="122" w:right="113"/>
              <w:jc w:val="center"/>
              <w:rPr>
                <w:rFonts w:hint="eastAsia" w:ascii="宋体" w:hAnsi="宋体" w:eastAsia="宋体" w:cs="宋体"/>
                <w:b/>
                <w:color w:val="auto"/>
                <w:highlight w:val="none"/>
                <w:lang w:eastAsia="zh-CN"/>
              </w:rPr>
            </w:pPr>
            <w:r>
              <w:rPr>
                <w:rFonts w:hint="eastAsia" w:cs="宋体"/>
                <w:b/>
                <w:color w:val="auto"/>
                <w:highlight w:val="none"/>
                <w:lang w:eastAsia="zh-CN"/>
              </w:rPr>
              <w:t>书面声明</w:t>
            </w:r>
          </w:p>
        </w:tc>
        <w:tc>
          <w:tcPr>
            <w:tcW w:w="6477" w:type="dxa"/>
            <w:noWrap/>
            <w:vAlign w:val="center"/>
          </w:tcPr>
          <w:p w14:paraId="208693D3">
            <w:pPr>
              <w:pStyle w:val="70"/>
              <w:spacing w:line="374" w:lineRule="auto"/>
              <w:ind w:right="44"/>
              <w:jc w:val="left"/>
              <w:rPr>
                <w:rFonts w:hint="eastAsia" w:ascii="宋体" w:hAnsi="宋体" w:eastAsia="宋体" w:cs="宋体"/>
                <w:color w:val="auto"/>
                <w:spacing w:val="-13"/>
                <w:sz w:val="24"/>
                <w:szCs w:val="24"/>
                <w:highlight w:val="none"/>
                <w:lang w:eastAsia="zh-CN"/>
              </w:rPr>
            </w:pPr>
            <w:r>
              <w:rPr>
                <w:rFonts w:hint="eastAsia" w:ascii="宋体" w:hAnsi="宋体" w:eastAsia="宋体" w:cs="宋体"/>
                <w:color w:val="auto"/>
                <w:spacing w:val="-13"/>
                <w:sz w:val="24"/>
                <w:szCs w:val="24"/>
                <w:highlight w:val="none"/>
              </w:rPr>
              <w:t>具有履行合同所必需的设备和专业技术能力的书面声明</w:t>
            </w:r>
            <w:r>
              <w:rPr>
                <w:rFonts w:hint="eastAsia" w:cs="宋体"/>
                <w:color w:val="auto"/>
                <w:spacing w:val="-13"/>
                <w:sz w:val="24"/>
                <w:szCs w:val="24"/>
                <w:highlight w:val="none"/>
                <w:lang w:eastAsia="zh-CN"/>
              </w:rPr>
              <w:t>；</w:t>
            </w:r>
          </w:p>
        </w:tc>
      </w:tr>
      <w:tr w14:paraId="2E63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noWrap/>
            <w:vAlign w:val="center"/>
          </w:tcPr>
          <w:p w14:paraId="4B4A46D0">
            <w:pPr>
              <w:pStyle w:val="70"/>
              <w:autoSpaceDE w:val="0"/>
              <w:autoSpaceDN w:val="0"/>
              <w:ind w:left="122" w:right="113"/>
              <w:jc w:val="center"/>
              <w:rPr>
                <w:rFonts w:hint="eastAsia" w:ascii="宋体" w:hAnsi="宋体" w:eastAsia="宋体" w:cs="宋体"/>
                <w:b/>
                <w:color w:val="auto"/>
                <w:highlight w:val="none"/>
                <w:lang w:val="en-US" w:eastAsia="zh-CN"/>
              </w:rPr>
            </w:pPr>
            <w:r>
              <w:rPr>
                <w:rFonts w:hint="eastAsia" w:cs="宋体"/>
                <w:b/>
                <w:color w:val="auto"/>
                <w:highlight w:val="none"/>
                <w:lang w:val="en-US" w:eastAsia="zh-CN"/>
              </w:rPr>
              <w:t>9</w:t>
            </w:r>
          </w:p>
        </w:tc>
        <w:tc>
          <w:tcPr>
            <w:tcW w:w="1974" w:type="dxa"/>
            <w:noWrap/>
            <w:vAlign w:val="center"/>
          </w:tcPr>
          <w:p w14:paraId="19E3F3FF">
            <w:pPr>
              <w:pStyle w:val="70"/>
              <w:autoSpaceDE w:val="0"/>
              <w:autoSpaceDN w:val="0"/>
              <w:ind w:left="122" w:right="113"/>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中小企业声明函</w:t>
            </w:r>
          </w:p>
        </w:tc>
        <w:tc>
          <w:tcPr>
            <w:tcW w:w="6477" w:type="dxa"/>
            <w:noWrap/>
            <w:vAlign w:val="center"/>
          </w:tcPr>
          <w:p w14:paraId="4C072E38">
            <w:pPr>
              <w:pStyle w:val="70"/>
              <w:spacing w:line="374" w:lineRule="auto"/>
              <w:ind w:right="44"/>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rPr>
              <w:t>供应商应提供中小企业声明函或残疾人福利性单位声明函或监狱企业证明文件；</w:t>
            </w:r>
          </w:p>
        </w:tc>
      </w:tr>
      <w:tr w14:paraId="5C713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8" w:type="dxa"/>
            <w:noWrap/>
            <w:vAlign w:val="center"/>
          </w:tcPr>
          <w:p w14:paraId="3DB22910">
            <w:pPr>
              <w:pStyle w:val="70"/>
              <w:autoSpaceDE w:val="0"/>
              <w:autoSpaceDN w:val="0"/>
              <w:ind w:left="122" w:right="113"/>
              <w:jc w:val="center"/>
              <w:rPr>
                <w:rFonts w:hint="default" w:ascii="宋体" w:hAnsi="宋体" w:eastAsia="宋体" w:cs="宋体"/>
                <w:b/>
                <w:color w:val="auto"/>
                <w:highlight w:val="none"/>
                <w:lang w:val="en-US" w:eastAsia="zh-CN"/>
              </w:rPr>
            </w:pPr>
            <w:r>
              <w:rPr>
                <w:rFonts w:hint="eastAsia" w:cs="宋体"/>
                <w:b/>
                <w:color w:val="auto"/>
                <w:highlight w:val="none"/>
                <w:lang w:val="en-US" w:eastAsia="zh-CN"/>
              </w:rPr>
              <w:t>10</w:t>
            </w:r>
          </w:p>
        </w:tc>
        <w:tc>
          <w:tcPr>
            <w:tcW w:w="1974" w:type="dxa"/>
            <w:noWrap/>
            <w:vAlign w:val="center"/>
          </w:tcPr>
          <w:p w14:paraId="689BC224">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非联合体投标</w:t>
            </w:r>
          </w:p>
        </w:tc>
        <w:tc>
          <w:tcPr>
            <w:tcW w:w="6477" w:type="dxa"/>
            <w:noWrap/>
            <w:vAlign w:val="center"/>
          </w:tcPr>
          <w:p w14:paraId="2210E5DB">
            <w:pPr>
              <w:pStyle w:val="70"/>
              <w:spacing w:line="374" w:lineRule="auto"/>
              <w:ind w:right="44"/>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3"/>
                <w:sz w:val="24"/>
                <w:szCs w:val="24"/>
                <w:highlight w:val="none"/>
                <w:lang w:val="en-US" w:eastAsia="zh-CN"/>
              </w:rPr>
              <w:t>本项目不接受联合体投标。</w:t>
            </w:r>
          </w:p>
        </w:tc>
      </w:tr>
      <w:tr w14:paraId="7284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459" w:type="dxa"/>
            <w:gridSpan w:val="3"/>
            <w:noWrap/>
          </w:tcPr>
          <w:p w14:paraId="5170CD5A">
            <w:pPr>
              <w:pStyle w:val="70"/>
              <w:spacing w:before="138"/>
              <w:jc w:val="center"/>
              <w:rPr>
                <w:rFonts w:hint="eastAsia" w:ascii="宋体" w:hAnsi="宋体" w:eastAsia="宋体" w:cs="宋体"/>
                <w:b/>
                <w:color w:val="auto"/>
                <w:highlight w:val="none"/>
              </w:rPr>
            </w:pPr>
            <w:r>
              <w:rPr>
                <w:rFonts w:hint="eastAsia" w:ascii="宋体" w:hAnsi="宋体" w:eastAsia="宋体" w:cs="宋体"/>
                <w:b/>
                <w:color w:val="auto"/>
                <w:highlight w:val="none"/>
              </w:rPr>
              <w:t>资格审查由采购人代表进行审查。</w:t>
            </w:r>
          </w:p>
        </w:tc>
      </w:tr>
    </w:tbl>
    <w:p w14:paraId="326E6C22">
      <w:pPr>
        <w:pStyle w:val="7"/>
        <w:keepNext w:val="0"/>
        <w:keepLines w:val="0"/>
        <w:autoSpaceDE w:val="0"/>
        <w:autoSpaceDN w:val="0"/>
        <w:adjustRightInd w:val="0"/>
        <w:snapToGrid w:val="0"/>
        <w:spacing w:line="500" w:lineRule="exact"/>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2、符合性审查</w:t>
      </w:r>
    </w:p>
    <w:tbl>
      <w:tblPr>
        <w:tblStyle w:val="28"/>
        <w:tblpPr w:leftFromText="180" w:rightFromText="180" w:vertAnchor="text" w:horzAnchor="page" w:tblpX="1098"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7366"/>
        <w:gridCol w:w="1398"/>
      </w:tblGrid>
      <w:tr w14:paraId="068D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95" w:type="dxa"/>
            <w:noWrap/>
            <w:vAlign w:val="center"/>
          </w:tcPr>
          <w:p w14:paraId="096968B0">
            <w:pPr>
              <w:pStyle w:val="70"/>
              <w:ind w:right="16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366" w:type="dxa"/>
            <w:noWrap/>
            <w:vAlign w:val="center"/>
          </w:tcPr>
          <w:p w14:paraId="7D333C41">
            <w:pPr>
              <w:pStyle w:val="70"/>
              <w:tabs>
                <w:tab w:val="left" w:pos="4200"/>
              </w:tabs>
              <w:ind w:left="3225" w:right="2262" w:righ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审查</w:t>
            </w:r>
            <w:r>
              <w:rPr>
                <w:rFonts w:hint="eastAsia" w:ascii="宋体" w:hAnsi="宋体" w:eastAsia="宋体" w:cs="宋体"/>
                <w:b/>
                <w:color w:val="auto"/>
                <w:sz w:val="24"/>
                <w:szCs w:val="24"/>
                <w:highlight w:val="none"/>
                <w:lang w:eastAsia="zh-CN"/>
              </w:rPr>
              <w:t>因素</w:t>
            </w:r>
          </w:p>
        </w:tc>
        <w:tc>
          <w:tcPr>
            <w:tcW w:w="1398" w:type="dxa"/>
            <w:noWrap/>
            <w:vAlign w:val="center"/>
          </w:tcPr>
          <w:p w14:paraId="7FC966CF">
            <w:pPr>
              <w:pStyle w:val="70"/>
              <w:ind w:left="108" w:right="11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审核标准</w:t>
            </w:r>
          </w:p>
        </w:tc>
      </w:tr>
      <w:tr w14:paraId="3DAE6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5" w:type="dxa"/>
            <w:noWrap/>
            <w:vAlign w:val="center"/>
          </w:tcPr>
          <w:p w14:paraId="726B7DCB">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7366" w:type="dxa"/>
            <w:noWrap/>
            <w:vAlign w:val="center"/>
          </w:tcPr>
          <w:p w14:paraId="2DED5703">
            <w:pPr>
              <w:pStyle w:val="7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投标文件项目名称、项目编号与磋商文件一致；</w:t>
            </w:r>
          </w:p>
        </w:tc>
        <w:tc>
          <w:tcPr>
            <w:tcW w:w="1398" w:type="dxa"/>
            <w:noWrap/>
            <w:vAlign w:val="center"/>
          </w:tcPr>
          <w:p w14:paraId="504FA689">
            <w:pPr>
              <w:pStyle w:val="70"/>
              <w:ind w:left="108" w:right="10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w:t>
            </w:r>
          </w:p>
        </w:tc>
      </w:tr>
      <w:tr w14:paraId="4F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95" w:type="dxa"/>
            <w:noWrap/>
            <w:vAlign w:val="center"/>
          </w:tcPr>
          <w:p w14:paraId="05310A40">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7366" w:type="dxa"/>
            <w:noWrap/>
            <w:vAlign w:val="center"/>
          </w:tcPr>
          <w:p w14:paraId="6ADB4FAC">
            <w:pPr>
              <w:pStyle w:val="70"/>
              <w:spacing w:before="1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签署、盖章符合磋商文件要求，且无遗漏；</w:t>
            </w:r>
          </w:p>
        </w:tc>
        <w:tc>
          <w:tcPr>
            <w:tcW w:w="1398" w:type="dxa"/>
            <w:noWrap/>
            <w:vAlign w:val="center"/>
          </w:tcPr>
          <w:p w14:paraId="24671426">
            <w:pPr>
              <w:pStyle w:val="70"/>
              <w:spacing w:before="1"/>
              <w:ind w:left="108" w:right="10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w:t>
            </w:r>
          </w:p>
        </w:tc>
      </w:tr>
      <w:tr w14:paraId="1986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95" w:type="dxa"/>
            <w:noWrap/>
            <w:vAlign w:val="center"/>
          </w:tcPr>
          <w:p w14:paraId="0F28FE75">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7366" w:type="dxa"/>
            <w:noWrap/>
            <w:vAlign w:val="center"/>
          </w:tcPr>
          <w:p w14:paraId="5FFBD1B9">
            <w:pPr>
              <w:pStyle w:val="70"/>
              <w:ind w:left="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投标有效期为开标之日起九十（90）个日历日；</w:t>
            </w:r>
          </w:p>
        </w:tc>
        <w:tc>
          <w:tcPr>
            <w:tcW w:w="1398" w:type="dxa"/>
            <w:noWrap/>
            <w:vAlign w:val="center"/>
          </w:tcPr>
          <w:p w14:paraId="2BAE196B">
            <w:pPr>
              <w:pStyle w:val="70"/>
              <w:ind w:left="108" w:right="10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w:t>
            </w:r>
          </w:p>
        </w:tc>
      </w:tr>
      <w:tr w14:paraId="157C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95" w:type="dxa"/>
            <w:noWrap/>
            <w:vAlign w:val="center"/>
          </w:tcPr>
          <w:p w14:paraId="16BED801">
            <w:pPr>
              <w:pStyle w:val="70"/>
              <w:autoSpaceDE w:val="0"/>
              <w:autoSpaceDN w:val="0"/>
              <w:ind w:left="122" w:right="113"/>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7366" w:type="dxa"/>
            <w:noWrap/>
            <w:vAlign w:val="center"/>
          </w:tcPr>
          <w:p w14:paraId="33E6A269">
            <w:pPr>
              <w:pStyle w:val="70"/>
              <w:spacing w:line="374" w:lineRule="auto"/>
              <w:ind w:right="44"/>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13"/>
                <w:sz w:val="24"/>
                <w:szCs w:val="24"/>
                <w:highlight w:val="none"/>
              </w:rPr>
              <w:t>报价同时满足以下条款：</w:t>
            </w:r>
            <w:r>
              <w:rPr>
                <w:rFonts w:hint="eastAsia" w:ascii="宋体" w:hAnsi="宋体" w:eastAsia="宋体" w:cs="宋体"/>
                <w:color w:val="auto"/>
                <w:spacing w:val="-3"/>
                <w:sz w:val="24"/>
                <w:szCs w:val="24"/>
                <w:highlight w:val="none"/>
              </w:rPr>
              <w:t>（1）投标报价符合唯一性要求；（2）开标一览</w:t>
            </w:r>
          </w:p>
          <w:p w14:paraId="7AB88388">
            <w:pPr>
              <w:pStyle w:val="70"/>
              <w:spacing w:line="374" w:lineRule="auto"/>
              <w:ind w:right="44"/>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表填写符合要求；（3）报价货币符合磋商文件要求；（4）未超出磋商文件规定的最高限价；</w:t>
            </w:r>
          </w:p>
        </w:tc>
        <w:tc>
          <w:tcPr>
            <w:tcW w:w="1398" w:type="dxa"/>
            <w:noWrap/>
            <w:vAlign w:val="center"/>
          </w:tcPr>
          <w:p w14:paraId="467C0902">
            <w:pPr>
              <w:pStyle w:val="70"/>
              <w:jc w:val="center"/>
              <w:rPr>
                <w:rFonts w:hint="eastAsia" w:ascii="宋体" w:hAnsi="宋体" w:eastAsia="宋体" w:cs="宋体"/>
                <w:color w:val="auto"/>
                <w:sz w:val="21"/>
                <w:szCs w:val="24"/>
                <w:highlight w:val="none"/>
              </w:rPr>
            </w:pPr>
          </w:p>
          <w:p w14:paraId="7815C694">
            <w:pPr>
              <w:pStyle w:val="70"/>
              <w:spacing w:before="1"/>
              <w:ind w:left="108" w:right="100"/>
              <w:jc w:val="cente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是/否</w:t>
            </w:r>
          </w:p>
        </w:tc>
      </w:tr>
      <w:tr w14:paraId="514A4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59" w:type="dxa"/>
            <w:gridSpan w:val="3"/>
            <w:noWrap/>
          </w:tcPr>
          <w:p w14:paraId="0E10C81F">
            <w:pPr>
              <w:pStyle w:val="70"/>
              <w:spacing w:before="1"/>
              <w:ind w:right="1325"/>
              <w:rPr>
                <w:rFonts w:hint="eastAsia" w:ascii="宋体" w:hAnsi="宋体" w:eastAsia="宋体" w:cs="宋体"/>
                <w:b/>
                <w:color w:val="auto"/>
                <w:sz w:val="28"/>
                <w:szCs w:val="24"/>
                <w:highlight w:val="none"/>
              </w:rPr>
            </w:pPr>
            <w:r>
              <w:rPr>
                <w:rFonts w:hint="eastAsia" w:ascii="宋体" w:hAnsi="宋体" w:eastAsia="宋体" w:cs="宋体"/>
                <w:b/>
                <w:color w:val="auto"/>
                <w:sz w:val="24"/>
                <w:szCs w:val="22"/>
                <w:highlight w:val="none"/>
              </w:rPr>
              <w:t>符合性审查不合格的供应商不得进入下一评审环节。</w:t>
            </w:r>
          </w:p>
        </w:tc>
      </w:tr>
    </w:tbl>
    <w:p w14:paraId="7D292770">
      <w:pPr>
        <w:pStyle w:val="71"/>
        <w:tabs>
          <w:tab w:val="left" w:pos="1336"/>
        </w:tabs>
        <w:spacing w:before="175" w:line="396" w:lineRule="auto"/>
        <w:ind w:left="0" w:leftChars="0" w:right="-220" w:firstLine="488"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lang w:val="en-US" w:eastAsia="zh-CN"/>
        </w:rPr>
        <w:t>2</w:t>
      </w:r>
      <w:r>
        <w:rPr>
          <w:rFonts w:hint="eastAsia" w:ascii="宋体" w:hAnsi="宋体" w:eastAsia="宋体" w:cs="宋体"/>
          <w:color w:val="auto"/>
          <w:spacing w:val="2"/>
          <w:sz w:val="24"/>
          <w:highlight w:val="none"/>
          <w:lang w:val="en-US"/>
        </w:rPr>
        <w:t>.1</w:t>
      </w:r>
      <w:r>
        <w:rPr>
          <w:rFonts w:hint="eastAsia" w:ascii="宋体" w:hAnsi="宋体" w:eastAsia="宋体" w:cs="宋体"/>
          <w:color w:val="auto"/>
          <w:spacing w:val="2"/>
          <w:sz w:val="24"/>
          <w:highlight w:val="none"/>
          <w:lang w:val="en-US" w:eastAsia="zh-CN"/>
        </w:rPr>
        <w:t>.</w:t>
      </w:r>
      <w:r>
        <w:rPr>
          <w:rFonts w:hint="eastAsia" w:ascii="宋体" w:hAnsi="宋体" w:eastAsia="宋体" w:cs="宋体"/>
          <w:color w:val="auto"/>
          <w:spacing w:val="2"/>
          <w:sz w:val="24"/>
          <w:highlight w:val="none"/>
        </w:rPr>
        <w:t>经供应商及响应文件的资格性和符合性审查，出现下列情况者（但不限于），</w:t>
      </w:r>
      <w:r>
        <w:rPr>
          <w:rFonts w:hint="eastAsia" w:ascii="宋体" w:hAnsi="宋体" w:eastAsia="宋体" w:cs="宋体"/>
          <w:color w:val="auto"/>
          <w:spacing w:val="1"/>
          <w:sz w:val="24"/>
          <w:highlight w:val="none"/>
        </w:rPr>
        <w:t>按无效文件处理。</w:t>
      </w:r>
    </w:p>
    <w:p w14:paraId="1671672E">
      <w:pPr>
        <w:pStyle w:val="71"/>
        <w:numPr>
          <w:ilvl w:val="0"/>
          <w:numId w:val="2"/>
        </w:numPr>
        <w:tabs>
          <w:tab w:val="left" w:pos="1637"/>
        </w:tabs>
        <w:spacing w:before="5" w:line="396" w:lineRule="auto"/>
        <w:ind w:left="90" w:leftChars="43" w:firstLine="343" w:firstLineChars="143"/>
        <w:jc w:val="left"/>
        <w:rPr>
          <w:rFonts w:hint="eastAsia" w:ascii="宋体" w:hAnsi="宋体" w:eastAsia="宋体" w:cs="宋体"/>
          <w:color w:val="auto"/>
          <w:spacing w:val="-3"/>
          <w:sz w:val="24"/>
          <w:highlight w:val="none"/>
        </w:rPr>
      </w:pPr>
      <w:r>
        <w:rPr>
          <w:rFonts w:hint="eastAsia" w:ascii="宋体" w:hAnsi="宋体" w:eastAsia="宋体" w:cs="宋体"/>
          <w:color w:val="auto"/>
          <w:sz w:val="24"/>
          <w:highlight w:val="none"/>
        </w:rPr>
        <w:t>供应商没有经过正常渠道领取磋商文件或供应商的名称与登记领取磋商文件单</w:t>
      </w:r>
      <w:r>
        <w:rPr>
          <w:rFonts w:hint="eastAsia" w:ascii="宋体" w:hAnsi="宋体" w:eastAsia="宋体" w:cs="宋体"/>
          <w:color w:val="auto"/>
          <w:spacing w:val="-3"/>
          <w:sz w:val="24"/>
          <w:highlight w:val="none"/>
        </w:rPr>
        <w:t>位的名称不符。</w:t>
      </w:r>
    </w:p>
    <w:p w14:paraId="17F6DFC3">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供应商的招标报价超出采购预算的。</w:t>
      </w:r>
    </w:p>
    <w:p w14:paraId="2DE8DEEE">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招标响应文件中未提交法定代表人授权书（法定代表人直接参加招标未按要求</w:t>
      </w:r>
      <w:r>
        <w:rPr>
          <w:rFonts w:hint="eastAsia" w:ascii="宋体" w:hAnsi="宋体" w:eastAsia="宋体" w:cs="宋体"/>
          <w:color w:val="auto"/>
          <w:spacing w:val="-3"/>
          <w:sz w:val="24"/>
          <w:highlight w:val="none"/>
        </w:rPr>
        <w:t>提交其有效身份证</w:t>
      </w:r>
      <w:r>
        <w:rPr>
          <w:rFonts w:hint="eastAsia" w:ascii="宋体" w:hAnsi="宋体" w:eastAsia="宋体" w:cs="宋体"/>
          <w:color w:val="auto"/>
          <w:sz w:val="24"/>
          <w:highlight w:val="none"/>
        </w:rPr>
        <w:t>）或授权书的合法性或有效性不符合磋商文件规定。授权代表本单位证明的有效性或符合性不符合要求的。</w:t>
      </w:r>
    </w:p>
    <w:p w14:paraId="43D7E70F">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合格供应商要求证明文件的有效性或符合性不符合要求的。</w:t>
      </w:r>
    </w:p>
    <w:p w14:paraId="7152C7CB">
      <w:pPr>
        <w:pStyle w:val="71"/>
        <w:numPr>
          <w:ilvl w:val="0"/>
          <w:numId w:val="2"/>
        </w:numPr>
        <w:tabs>
          <w:tab w:val="left" w:pos="1637"/>
        </w:tabs>
        <w:spacing w:before="5" w:line="396" w:lineRule="auto"/>
        <w:ind w:left="92" w:leftChars="44"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响应文件没有盖单位公章，无有效期或有效期达不到磋商文件的要求。</w:t>
      </w:r>
    </w:p>
    <w:p w14:paraId="2199878F">
      <w:pPr>
        <w:pStyle w:val="71"/>
        <w:numPr>
          <w:ilvl w:val="0"/>
          <w:numId w:val="2"/>
        </w:numPr>
        <w:tabs>
          <w:tab w:val="left" w:pos="1637"/>
        </w:tabs>
        <w:spacing w:before="5" w:line="396" w:lineRule="auto"/>
        <w:ind w:left="92" w:leftChars="44" w:right="70" w:firstLine="342" w:firstLineChars="144"/>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响应文件对磋商文件要求</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rPr>
        <w:t>交货期、付款、验收、售后服务等项</w:t>
      </w:r>
      <w:r>
        <w:rPr>
          <w:rFonts w:hint="eastAsia" w:ascii="宋体" w:hAnsi="宋体" w:eastAsia="宋体" w:cs="宋体"/>
          <w:color w:val="auto"/>
          <w:spacing w:val="-12"/>
          <w:sz w:val="24"/>
          <w:highlight w:val="none"/>
        </w:rPr>
        <w:t>）</w:t>
      </w:r>
      <w:r>
        <w:rPr>
          <w:rFonts w:hint="eastAsia" w:ascii="宋体" w:hAnsi="宋体" w:eastAsia="宋体" w:cs="宋体"/>
          <w:color w:val="auto"/>
          <w:spacing w:val="-5"/>
          <w:sz w:val="24"/>
          <w:highlight w:val="none"/>
        </w:rPr>
        <w:t>不一致，或附加</w:t>
      </w:r>
      <w:r>
        <w:rPr>
          <w:rFonts w:hint="eastAsia" w:ascii="宋体" w:hAnsi="宋体" w:eastAsia="宋体" w:cs="宋体"/>
          <w:color w:val="auto"/>
          <w:sz w:val="24"/>
          <w:highlight w:val="none"/>
        </w:rPr>
        <w:t>了采购人难以接受的条件。</w:t>
      </w:r>
    </w:p>
    <w:p w14:paraId="4382BB7B">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招标内容出现漏项或数量与要求不符，出现重大负偏差。</w:t>
      </w:r>
    </w:p>
    <w:p w14:paraId="5552C98A">
      <w:pPr>
        <w:pStyle w:val="71"/>
        <w:numPr>
          <w:ilvl w:val="0"/>
          <w:numId w:val="2"/>
        </w:numPr>
        <w:tabs>
          <w:tab w:val="left" w:pos="1637"/>
        </w:tabs>
        <w:spacing w:before="5" w:line="396" w:lineRule="auto"/>
        <w:ind w:left="92" w:leftChars="44" w:right="70" w:firstLine="340" w:firstLineChars="1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响应文件中技术指标达不到采购要求，降低了产品档次或影响产品性能、功能。</w:t>
      </w:r>
    </w:p>
    <w:p w14:paraId="154C509D">
      <w:pPr>
        <w:pStyle w:val="71"/>
        <w:numPr>
          <w:ilvl w:val="0"/>
          <w:numId w:val="2"/>
        </w:numPr>
        <w:tabs>
          <w:tab w:val="left" w:pos="1637"/>
        </w:tabs>
        <w:spacing w:before="5" w:line="396" w:lineRule="auto"/>
        <w:ind w:left="92" w:leftChars="44" w:right="830" w:firstLine="340" w:firstLineChars="142"/>
        <w:jc w:val="left"/>
        <w:rPr>
          <w:rFonts w:hint="eastAsia" w:ascii="宋体" w:hAnsi="宋体" w:eastAsia="宋体" w:cs="宋体"/>
          <w:color w:val="auto"/>
          <w:highlight w:val="none"/>
        </w:rPr>
      </w:pPr>
      <w:r>
        <w:rPr>
          <w:rFonts w:hint="eastAsia" w:ascii="宋体" w:hAnsi="宋体" w:eastAsia="宋体" w:cs="宋体"/>
          <w:color w:val="auto"/>
          <w:sz w:val="24"/>
          <w:highlight w:val="none"/>
        </w:rPr>
        <w:t>响应报价与市场价偏离较大，低于成本，形成不正当竞争。</w:t>
      </w:r>
    </w:p>
    <w:p w14:paraId="5AFE9539">
      <w:pPr>
        <w:pStyle w:val="71"/>
        <w:tabs>
          <w:tab w:val="left" w:pos="1637"/>
        </w:tabs>
        <w:spacing w:before="5" w:line="396" w:lineRule="auto"/>
        <w:ind w:left="391" w:leftChars="186" w:right="830" w:firstLine="221" w:firstLineChars="100"/>
        <w:jc w:val="left"/>
        <w:rPr>
          <w:rFonts w:hint="eastAsia" w:ascii="宋体" w:hAnsi="宋体" w:eastAsia="宋体" w:cs="宋体"/>
          <w:b/>
          <w:bCs/>
          <w:color w:val="auto"/>
          <w:sz w:val="22"/>
          <w:szCs w:val="28"/>
          <w:highlight w:val="none"/>
          <w:lang w:val="en-US" w:bidi="ar-SA"/>
        </w:rPr>
      </w:pPr>
      <w:r>
        <w:rPr>
          <w:rFonts w:hint="eastAsia" w:ascii="宋体" w:hAnsi="宋体" w:eastAsia="宋体" w:cs="宋体"/>
          <w:b/>
          <w:bCs/>
          <w:color w:val="auto"/>
          <w:sz w:val="22"/>
          <w:szCs w:val="28"/>
          <w:highlight w:val="none"/>
          <w:lang w:val="en-US" w:bidi="ar-SA"/>
        </w:rPr>
        <w:t>3、评审原则及主要方法</w:t>
      </w:r>
    </w:p>
    <w:p w14:paraId="2E0EAF33">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lang w:val="en-US"/>
        </w:rPr>
        <w:t xml:space="preserve">3.1 </w:t>
      </w:r>
      <w:r>
        <w:rPr>
          <w:rFonts w:hint="eastAsia" w:ascii="宋体" w:hAnsi="宋体" w:eastAsia="宋体" w:cs="宋体"/>
          <w:color w:val="auto"/>
          <w:sz w:val="24"/>
          <w:highlight w:val="none"/>
        </w:rPr>
        <w:t>磋商小组将遵循公平、公正和择优的原则，对所有投标供应商的磋商响应文件评审， 都采用相同的程序和标准；</w:t>
      </w:r>
    </w:p>
    <w:p w14:paraId="2B5BADAD">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lang w:val="en-US"/>
        </w:rPr>
        <w:t>3.</w:t>
      </w:r>
      <w:r>
        <w:rPr>
          <w:rFonts w:hint="eastAsia" w:ascii="宋体" w:hAnsi="宋体" w:eastAsia="宋体" w:cs="宋体"/>
          <w:color w:val="auto"/>
          <w:spacing w:val="-6"/>
          <w:sz w:val="24"/>
          <w:highlight w:val="none"/>
          <w:lang w:val="en-US"/>
        </w:rPr>
        <w:t xml:space="preserve">2 </w:t>
      </w:r>
      <w:r>
        <w:rPr>
          <w:rFonts w:hint="eastAsia" w:ascii="宋体" w:hAnsi="宋体" w:eastAsia="宋体" w:cs="宋体"/>
          <w:color w:val="auto"/>
          <w:sz w:val="24"/>
          <w:highlight w:val="none"/>
        </w:rPr>
        <w:t>评审过程的保密：在磋商响应文件的评审、比较、成交候选人推荐以及授予合同的过程中，投标供应商向采购方和磋商小组施加影响的任何行为，都将会导致其报价被拒绝；</w:t>
      </w:r>
    </w:p>
    <w:p w14:paraId="2DDE64AB">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lang w:val="en-US"/>
        </w:rPr>
        <w:t>3.</w:t>
      </w:r>
      <w:r>
        <w:rPr>
          <w:rFonts w:hint="eastAsia" w:ascii="宋体" w:hAnsi="宋体" w:eastAsia="宋体" w:cs="宋体"/>
          <w:color w:val="auto"/>
          <w:sz w:val="24"/>
          <w:highlight w:val="none"/>
          <w:lang w:val="en-US"/>
        </w:rPr>
        <w:t xml:space="preserve">3 </w:t>
      </w:r>
      <w:r>
        <w:rPr>
          <w:rFonts w:hint="eastAsia" w:ascii="宋体" w:hAnsi="宋体" w:eastAsia="宋体" w:cs="宋体"/>
          <w:color w:val="auto"/>
          <w:sz w:val="24"/>
          <w:highlight w:val="none"/>
        </w:rPr>
        <w:t>评审原则和办法：</w:t>
      </w:r>
    </w:p>
    <w:p w14:paraId="37EBE346">
      <w:pPr>
        <w:pStyle w:val="71"/>
        <w:tabs>
          <w:tab w:val="left" w:pos="1320"/>
        </w:tabs>
        <w:autoSpaceDE w:val="0"/>
        <w:autoSpaceDN w:val="0"/>
        <w:adjustRightInd w:val="0"/>
        <w:snapToGrid w:val="0"/>
        <w:spacing w:line="500" w:lineRule="exact"/>
        <w:ind w:left="0" w:firstLine="416" w:firstLineChars="200"/>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lang w:val="en-US"/>
        </w:rPr>
        <w:t>3.</w:t>
      </w:r>
      <w:r>
        <w:rPr>
          <w:rFonts w:hint="eastAsia" w:ascii="宋体" w:hAnsi="宋体" w:eastAsia="宋体" w:cs="宋体"/>
          <w:color w:val="auto"/>
          <w:spacing w:val="-3"/>
          <w:sz w:val="24"/>
          <w:highlight w:val="none"/>
          <w:lang w:val="en-US"/>
        </w:rPr>
        <w:t xml:space="preserve">3.1 </w:t>
      </w:r>
      <w:r>
        <w:rPr>
          <w:rFonts w:hint="eastAsia" w:ascii="宋体" w:hAnsi="宋体" w:eastAsia="宋体" w:cs="宋体"/>
          <w:color w:val="auto"/>
          <w:sz w:val="24"/>
          <w:highlight w:val="none"/>
        </w:rPr>
        <w:t>综合评分法：是磋商响应文件满足磋商文件全部实质性要求，且按照评审因素的量化指标评审得分最高的投标供应商为成交候选人的评审方法。</w:t>
      </w:r>
    </w:p>
    <w:p w14:paraId="311661C3">
      <w:pPr>
        <w:pStyle w:val="71"/>
        <w:tabs>
          <w:tab w:val="left" w:pos="1320"/>
        </w:tabs>
        <w:autoSpaceDE w:val="0"/>
        <w:autoSpaceDN w:val="0"/>
        <w:adjustRightInd w:val="0"/>
        <w:snapToGrid w:val="0"/>
        <w:spacing w:line="500" w:lineRule="exact"/>
        <w:ind w:left="0" w:firstLine="233" w:firstLineChars="100"/>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具体评审因素和分值如下</w:t>
      </w:r>
    </w:p>
    <w:tbl>
      <w:tblPr>
        <w:tblStyle w:val="28"/>
        <w:tblW w:w="10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8490"/>
        <w:gridCol w:w="646"/>
      </w:tblGrid>
      <w:tr w14:paraId="096F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5F580E44">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795610A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8490" w:type="dxa"/>
            <w:tcBorders>
              <w:top w:val="single" w:color="auto" w:sz="4" w:space="0"/>
              <w:left w:val="single" w:color="auto" w:sz="4" w:space="0"/>
              <w:bottom w:val="single" w:color="auto" w:sz="4" w:space="0"/>
              <w:right w:val="single" w:color="auto" w:sz="4" w:space="0"/>
            </w:tcBorders>
            <w:vAlign w:val="center"/>
          </w:tcPr>
          <w:p w14:paraId="63A2107D">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c>
          <w:tcPr>
            <w:tcW w:w="646" w:type="dxa"/>
            <w:tcBorders>
              <w:top w:val="single" w:color="auto" w:sz="4" w:space="0"/>
              <w:left w:val="single" w:color="auto" w:sz="4" w:space="0"/>
              <w:bottom w:val="single" w:color="auto" w:sz="4" w:space="0"/>
              <w:right w:val="single" w:color="auto" w:sz="4" w:space="0"/>
            </w:tcBorders>
            <w:vAlign w:val="center"/>
          </w:tcPr>
          <w:p w14:paraId="1DB6A39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5CDC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6"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2EF4602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p w14:paraId="7A10B631">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c>
          <w:tcPr>
            <w:tcW w:w="8490" w:type="dxa"/>
            <w:tcBorders>
              <w:top w:val="single" w:color="auto" w:sz="4" w:space="0"/>
              <w:left w:val="single" w:color="auto" w:sz="4" w:space="0"/>
              <w:bottom w:val="single" w:color="auto" w:sz="4" w:space="0"/>
              <w:right w:val="single" w:color="auto" w:sz="4" w:space="0"/>
            </w:tcBorders>
            <w:vAlign w:val="center"/>
          </w:tcPr>
          <w:p w14:paraId="33DB191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lang w:val="en-US" w:eastAsia="zh-CN"/>
              </w:rPr>
              <w:t xml:space="preserve">1.经初审合格的磋商响应文件，其磋商报价为有效磋商报价。 </w:t>
            </w:r>
          </w:p>
          <w:p w14:paraId="4BB8515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lang w:val="en-US" w:eastAsia="zh-CN"/>
              </w:rPr>
              <w:t xml:space="preserve">2.满足磋商文件实质性要求且最终报价最低的供应商的价格为磋商基准价，其价格分为满分20 分。 </w:t>
            </w:r>
          </w:p>
          <w:p w14:paraId="3ECA1CC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lang w:val="en-US" w:eastAsia="zh-CN"/>
              </w:rPr>
              <w:t xml:space="preserve">3.磋商报价得分=（磋商基准价/最终磋商报价）×20 的公式计算得分。 </w:t>
            </w:r>
          </w:p>
          <w:p w14:paraId="6C17787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lang w:val="en-US" w:eastAsia="zh-CN"/>
              </w:rPr>
              <w:t xml:space="preserve">4. 磋商报价不完整的，不进入评标标准价的计算，本项得 0 分。 </w:t>
            </w:r>
          </w:p>
          <w:p w14:paraId="29EF80D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
                <w:color w:val="auto"/>
                <w:spacing w:val="-2"/>
                <w:sz w:val="24"/>
                <w:szCs w:val="24"/>
                <w:highlight w:val="none"/>
              </w:rPr>
            </w:pPr>
            <w:r>
              <w:rPr>
                <w:rFonts w:hint="eastAsia" w:ascii="宋体" w:hAnsi="宋体" w:eastAsia="宋体" w:cs="宋体"/>
                <w:bCs/>
                <w:color w:val="auto"/>
                <w:spacing w:val="-2"/>
                <w:sz w:val="24"/>
                <w:szCs w:val="24"/>
                <w:highlight w:val="none"/>
                <w:lang w:val="en-US" w:eastAsia="zh-CN"/>
              </w:rPr>
              <w:t>5.经磋商小组一致认定，供应商的磋商最终总报价低于公认市场成本，或超过采购预算,其响应将被拒绝。</w:t>
            </w:r>
          </w:p>
        </w:tc>
        <w:tc>
          <w:tcPr>
            <w:tcW w:w="646" w:type="dxa"/>
            <w:tcBorders>
              <w:top w:val="single" w:color="auto" w:sz="4" w:space="0"/>
              <w:left w:val="single" w:color="auto" w:sz="4" w:space="0"/>
              <w:bottom w:val="single" w:color="auto" w:sz="4" w:space="0"/>
              <w:right w:val="single" w:color="auto" w:sz="4" w:space="0"/>
            </w:tcBorders>
            <w:vAlign w:val="center"/>
          </w:tcPr>
          <w:p w14:paraId="031823EE">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1B61B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48916CE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商务响应（5）分</w:t>
            </w:r>
          </w:p>
        </w:tc>
        <w:tc>
          <w:tcPr>
            <w:tcW w:w="8490" w:type="dxa"/>
            <w:tcBorders>
              <w:top w:val="single" w:color="auto" w:sz="4" w:space="0"/>
              <w:left w:val="single" w:color="auto" w:sz="4" w:space="0"/>
              <w:bottom w:val="single" w:color="auto" w:sz="4" w:space="0"/>
              <w:right w:val="single" w:color="auto" w:sz="4" w:space="0"/>
            </w:tcBorders>
            <w:vAlign w:val="center"/>
          </w:tcPr>
          <w:p w14:paraId="1D5DC3F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rPr>
              <w:t>经过有效性和符合性审核合格的单位，对</w:t>
            </w:r>
            <w:r>
              <w:rPr>
                <w:rFonts w:hint="eastAsia" w:ascii="宋体" w:hAnsi="宋体" w:eastAsia="宋体" w:cs="宋体"/>
                <w:bCs/>
                <w:color w:val="auto"/>
                <w:spacing w:val="-2"/>
                <w:sz w:val="24"/>
                <w:szCs w:val="24"/>
                <w:highlight w:val="none"/>
                <w:lang w:eastAsia="zh-CN"/>
              </w:rPr>
              <w:t>全部商务条款</w:t>
            </w:r>
            <w:r>
              <w:rPr>
                <w:rFonts w:hint="eastAsia" w:ascii="宋体" w:hAnsi="宋体" w:eastAsia="宋体" w:cs="宋体"/>
                <w:bCs/>
                <w:color w:val="auto"/>
                <w:spacing w:val="-2"/>
                <w:sz w:val="24"/>
                <w:szCs w:val="24"/>
                <w:highlight w:val="none"/>
              </w:rPr>
              <w:t>付款、</w:t>
            </w:r>
            <w:r>
              <w:rPr>
                <w:rFonts w:hint="eastAsia" w:ascii="宋体" w:hAnsi="宋体" w:eastAsia="宋体" w:cs="宋体"/>
                <w:bCs/>
                <w:color w:val="auto"/>
                <w:spacing w:val="-2"/>
                <w:sz w:val="24"/>
                <w:szCs w:val="24"/>
                <w:highlight w:val="none"/>
                <w:lang w:eastAsia="zh-CN"/>
              </w:rPr>
              <w:t>服务期</w:t>
            </w:r>
            <w:r>
              <w:rPr>
                <w:rFonts w:hint="eastAsia" w:ascii="宋体" w:hAnsi="宋体" w:eastAsia="宋体" w:cs="宋体"/>
                <w:bCs/>
                <w:color w:val="auto"/>
                <w:spacing w:val="-2"/>
                <w:sz w:val="24"/>
                <w:szCs w:val="24"/>
                <w:highlight w:val="none"/>
              </w:rPr>
              <w:t>、验收等方面进行响应</w:t>
            </w:r>
            <w:r>
              <w:rPr>
                <w:rFonts w:hint="eastAsia" w:ascii="宋体" w:hAnsi="宋体" w:eastAsia="宋体" w:cs="宋体"/>
                <w:bCs/>
                <w:color w:val="auto"/>
                <w:spacing w:val="-2"/>
                <w:sz w:val="24"/>
                <w:szCs w:val="24"/>
                <w:highlight w:val="none"/>
                <w:lang w:eastAsia="zh-CN"/>
              </w:rPr>
              <w:t>。</w:t>
            </w:r>
          </w:p>
          <w:p w14:paraId="7476F20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eastAsia="zh-CN"/>
              </w:rPr>
            </w:pPr>
            <w:r>
              <w:rPr>
                <w:rFonts w:hint="eastAsia" w:ascii="宋体" w:hAnsi="宋体" w:eastAsia="宋体" w:cs="宋体"/>
                <w:bCs/>
                <w:color w:val="auto"/>
                <w:spacing w:val="-2"/>
                <w:sz w:val="24"/>
                <w:szCs w:val="24"/>
                <w:highlight w:val="none"/>
              </w:rPr>
              <w:t>完全响应且逐项详细说明</w:t>
            </w:r>
            <w:r>
              <w:rPr>
                <w:rFonts w:hint="eastAsia" w:ascii="宋体" w:hAnsi="宋体" w:eastAsia="宋体" w:cs="宋体"/>
                <w:bCs/>
                <w:color w:val="auto"/>
                <w:spacing w:val="-2"/>
                <w:sz w:val="24"/>
                <w:szCs w:val="24"/>
                <w:highlight w:val="none"/>
                <w:lang w:eastAsia="zh-CN"/>
              </w:rPr>
              <w:t>（</w:t>
            </w:r>
            <w:r>
              <w:rPr>
                <w:rFonts w:hint="eastAsia" w:ascii="宋体" w:hAnsi="宋体" w:eastAsia="宋体" w:cs="宋体"/>
                <w:bCs/>
                <w:color w:val="auto"/>
                <w:spacing w:val="-2"/>
                <w:sz w:val="24"/>
                <w:szCs w:val="24"/>
                <w:highlight w:val="none"/>
                <w:lang w:val="en-US" w:eastAsia="zh-CN"/>
              </w:rPr>
              <w:t>3-</w:t>
            </w:r>
            <w:r>
              <w:rPr>
                <w:rFonts w:hint="eastAsia" w:ascii="宋体" w:hAnsi="宋体" w:eastAsia="宋体" w:cs="宋体"/>
                <w:bCs/>
                <w:color w:val="auto"/>
                <w:spacing w:val="-2"/>
                <w:sz w:val="24"/>
                <w:szCs w:val="24"/>
                <w:highlight w:val="none"/>
              </w:rPr>
              <w:t>5分</w:t>
            </w:r>
            <w:r>
              <w:rPr>
                <w:rFonts w:hint="eastAsia" w:ascii="宋体" w:hAnsi="宋体" w:eastAsia="宋体" w:cs="宋体"/>
                <w:bCs/>
                <w:color w:val="auto"/>
                <w:spacing w:val="-2"/>
                <w:sz w:val="24"/>
                <w:szCs w:val="24"/>
                <w:highlight w:val="none"/>
                <w:lang w:eastAsia="zh-CN"/>
              </w:rPr>
              <w:t>）；</w:t>
            </w:r>
          </w:p>
          <w:p w14:paraId="4CFFA3B2">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rPr>
            </w:pPr>
            <w:r>
              <w:rPr>
                <w:rFonts w:hint="eastAsia" w:ascii="宋体" w:hAnsi="宋体" w:eastAsia="宋体" w:cs="宋体"/>
                <w:bCs/>
                <w:color w:val="auto"/>
                <w:spacing w:val="-2"/>
                <w:sz w:val="24"/>
                <w:szCs w:val="24"/>
                <w:highlight w:val="none"/>
                <w:lang w:eastAsia="zh-CN"/>
              </w:rPr>
              <w:t>有</w:t>
            </w:r>
            <w:r>
              <w:rPr>
                <w:rFonts w:hint="eastAsia" w:ascii="宋体" w:hAnsi="宋体" w:eastAsia="宋体" w:cs="宋体"/>
                <w:bCs/>
                <w:color w:val="auto"/>
                <w:spacing w:val="-2"/>
                <w:sz w:val="24"/>
                <w:szCs w:val="24"/>
                <w:highlight w:val="none"/>
              </w:rPr>
              <w:t>详细响应</w:t>
            </w:r>
            <w:r>
              <w:rPr>
                <w:rFonts w:hint="eastAsia" w:ascii="宋体" w:hAnsi="宋体" w:eastAsia="宋体" w:cs="宋体"/>
                <w:bCs/>
                <w:color w:val="auto"/>
                <w:spacing w:val="-2"/>
                <w:sz w:val="24"/>
                <w:szCs w:val="24"/>
                <w:highlight w:val="none"/>
                <w:lang w:eastAsia="zh-CN"/>
              </w:rPr>
              <w:t>但响应内容不够详尽、完善（</w:t>
            </w:r>
            <w:r>
              <w:rPr>
                <w:rFonts w:hint="eastAsia" w:ascii="宋体" w:hAnsi="宋体" w:eastAsia="宋体" w:cs="宋体"/>
                <w:bCs/>
                <w:color w:val="auto"/>
                <w:spacing w:val="-2"/>
                <w:sz w:val="24"/>
                <w:szCs w:val="24"/>
                <w:highlight w:val="none"/>
                <w:lang w:val="en-US" w:eastAsia="zh-CN"/>
              </w:rPr>
              <w:t>1-3分</w:t>
            </w:r>
            <w:r>
              <w:rPr>
                <w:rFonts w:hint="eastAsia" w:ascii="宋体" w:hAnsi="宋体" w:eastAsia="宋体" w:cs="宋体"/>
                <w:bCs/>
                <w:color w:val="auto"/>
                <w:spacing w:val="-2"/>
                <w:sz w:val="24"/>
                <w:szCs w:val="24"/>
                <w:highlight w:val="none"/>
                <w:lang w:eastAsia="zh-CN"/>
              </w:rPr>
              <w:t>）</w:t>
            </w:r>
            <w:r>
              <w:rPr>
                <w:rFonts w:hint="eastAsia" w:ascii="宋体" w:hAnsi="宋体" w:eastAsia="宋体" w:cs="宋体"/>
                <w:bCs/>
                <w:color w:val="auto"/>
                <w:spacing w:val="-2"/>
                <w:sz w:val="24"/>
                <w:szCs w:val="24"/>
                <w:highlight w:val="none"/>
                <w:lang w:val="en-US" w:eastAsia="zh-CN"/>
              </w:rPr>
              <w:t>；</w:t>
            </w:r>
          </w:p>
          <w:p w14:paraId="3337C6B5">
            <w:pPr>
              <w:keepNext w:val="0"/>
              <w:keepLines w:val="0"/>
              <w:pageBreakBefore w:val="0"/>
              <w:numPr>
                <w:ilvl w:val="0"/>
                <w:numId w:val="3"/>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rPr>
            </w:pPr>
            <w:r>
              <w:rPr>
                <w:rFonts w:hint="eastAsia" w:ascii="宋体" w:hAnsi="宋体" w:eastAsia="宋体" w:cs="宋体"/>
                <w:bCs/>
                <w:color w:val="auto"/>
                <w:spacing w:val="-2"/>
                <w:sz w:val="24"/>
                <w:szCs w:val="24"/>
                <w:highlight w:val="none"/>
                <w:lang w:val="en-US" w:eastAsia="zh-CN"/>
              </w:rPr>
              <w:t>响应一般，较差或者无响应（0-1分）。</w:t>
            </w:r>
          </w:p>
        </w:tc>
        <w:tc>
          <w:tcPr>
            <w:tcW w:w="646" w:type="dxa"/>
            <w:tcBorders>
              <w:top w:val="single" w:color="auto" w:sz="4" w:space="0"/>
              <w:left w:val="single" w:color="auto" w:sz="4" w:space="0"/>
              <w:bottom w:val="single" w:color="auto" w:sz="4" w:space="0"/>
              <w:right w:val="single" w:color="auto" w:sz="4" w:space="0"/>
            </w:tcBorders>
            <w:vAlign w:val="center"/>
          </w:tcPr>
          <w:p w14:paraId="2B58CB39">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p>
        </w:tc>
      </w:tr>
      <w:tr w14:paraId="1656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3" w:hRule="atLeast"/>
          <w:jc w:val="center"/>
        </w:trPr>
        <w:tc>
          <w:tcPr>
            <w:tcW w:w="1323" w:type="dxa"/>
            <w:vMerge w:val="restart"/>
            <w:tcBorders>
              <w:top w:val="single" w:color="auto" w:sz="4" w:space="0"/>
              <w:left w:val="single" w:color="auto" w:sz="4" w:space="0"/>
              <w:right w:val="single" w:color="auto" w:sz="4" w:space="0"/>
            </w:tcBorders>
            <w:vAlign w:val="center"/>
          </w:tcPr>
          <w:p w14:paraId="64712C0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highlight w:val="none"/>
              </w:rPr>
            </w:pPr>
          </w:p>
          <w:p w14:paraId="08548796">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highlight w:val="none"/>
              </w:rPr>
            </w:pPr>
          </w:p>
          <w:p w14:paraId="1E2B25EF">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highlight w:val="none"/>
              </w:rPr>
            </w:pPr>
          </w:p>
          <w:p w14:paraId="76B7DEFD">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highlight w:val="none"/>
              </w:rPr>
            </w:pPr>
          </w:p>
          <w:p w14:paraId="6D9F3073">
            <w:pPr>
              <w:pStyle w:val="23"/>
              <w:keepNext w:val="0"/>
              <w:keepLines w:val="0"/>
              <w:pageBreakBefore w:val="0"/>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sz w:val="24"/>
                <w:szCs w:val="24"/>
                <w:highlight w:val="none"/>
              </w:rPr>
            </w:pPr>
          </w:p>
          <w:p w14:paraId="6C13BEBC">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64F262A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6064C275">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171495A1">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783BE322">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725C5ED6">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32A2AE9F">
            <w:pPr>
              <w:pStyle w:val="23"/>
              <w:keepNext w:val="0"/>
              <w:keepLines w:val="0"/>
              <w:pageBreakBefore w:val="0"/>
              <w:wordWrap/>
              <w:overflowPunct/>
              <w:topLinePunct w:val="0"/>
              <w:autoSpaceDE/>
              <w:autoSpaceDN/>
              <w:bidi w:val="0"/>
              <w:adjustRightInd/>
              <w:spacing w:line="360" w:lineRule="auto"/>
              <w:ind w:left="2905" w:hanging="1205"/>
              <w:textAlignment w:val="auto"/>
              <w:rPr>
                <w:rFonts w:hint="eastAsia" w:ascii="宋体" w:hAnsi="宋体" w:eastAsia="宋体" w:cs="宋体"/>
                <w:b/>
                <w:bCs/>
                <w:color w:val="auto"/>
                <w:sz w:val="24"/>
                <w:szCs w:val="24"/>
                <w:highlight w:val="none"/>
              </w:rPr>
            </w:pPr>
          </w:p>
          <w:p w14:paraId="58A022D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服务方案</w:t>
            </w:r>
          </w:p>
          <w:p w14:paraId="0D56AA5C">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tc>
        <w:tc>
          <w:tcPr>
            <w:tcW w:w="8490" w:type="dxa"/>
            <w:tcBorders>
              <w:top w:val="single" w:color="auto" w:sz="4" w:space="0"/>
              <w:left w:val="single" w:color="auto" w:sz="4" w:space="0"/>
              <w:right w:val="single" w:color="auto" w:sz="4" w:space="0"/>
            </w:tcBorders>
          </w:tcPr>
          <w:p w14:paraId="6CA2893B">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1.技术方案。</w:t>
            </w:r>
          </w:p>
          <w:p w14:paraId="607C1456">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投标方案描述详细、可靠性等、思路清晰合理，有明确的工作程序，能完全响应磋商文件技术及服务要求，技术路线符合本项目实施要求；外业调查核实等工作流程、成果数据制作、数据处理及分析等工作流程和工作内容进行全面合理</w:t>
            </w:r>
          </w:p>
          <w:p w14:paraId="0040AA4D">
            <w:pPr>
              <w:keepNext w:val="0"/>
              <w:keepLines w:val="0"/>
              <w:pageBreakBefore w:val="0"/>
              <w:numPr>
                <w:ilvl w:val="0"/>
                <w:numId w:val="0"/>
              </w:numPr>
              <w:wordWrap/>
              <w:overflowPunct/>
              <w:topLinePunct w:val="0"/>
              <w:autoSpaceDE/>
              <w:autoSpaceDN/>
              <w:bidi w:val="0"/>
              <w:adjustRightInd/>
              <w:spacing w:line="360" w:lineRule="auto"/>
              <w:textAlignment w:val="auto"/>
              <w:rPr>
                <w:rFonts w:hint="default"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的技术设计。（7-10分）。</w:t>
            </w:r>
          </w:p>
          <w:p w14:paraId="772EDB1C">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方案内容完整条理清晰、合理，先进成熟且逐条详细说明；（4-7分）。</w:t>
            </w:r>
          </w:p>
          <w:p w14:paraId="2DC5AE16">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③方案内容不完整，条理差，但逐条说明</w:t>
            </w:r>
            <w:r>
              <w:rPr>
                <w:rFonts w:hint="eastAsia" w:ascii="宋体" w:hAnsi="宋体" w:eastAsia="宋体" w:cs="宋体"/>
                <w:bCs/>
                <w:color w:val="auto"/>
                <w:spacing w:val="-2"/>
                <w:sz w:val="24"/>
                <w:szCs w:val="24"/>
                <w:highlight w:val="none"/>
                <w:lang w:val="en-US" w:eastAsia="zh-CN"/>
              </w:rPr>
              <w:t>的（1-4分）</w:t>
            </w:r>
          </w:p>
        </w:tc>
        <w:tc>
          <w:tcPr>
            <w:tcW w:w="646" w:type="dxa"/>
            <w:tcBorders>
              <w:top w:val="single" w:color="auto" w:sz="4" w:space="0"/>
              <w:left w:val="single" w:color="auto" w:sz="4" w:space="0"/>
              <w:right w:val="single" w:color="auto" w:sz="4" w:space="0"/>
            </w:tcBorders>
            <w:vAlign w:val="center"/>
          </w:tcPr>
          <w:p w14:paraId="285BE0A5">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10</w:t>
            </w:r>
          </w:p>
        </w:tc>
      </w:tr>
      <w:tr w14:paraId="26967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3" w:type="dxa"/>
            <w:vMerge w:val="continue"/>
            <w:tcBorders>
              <w:left w:val="single" w:color="auto" w:sz="4" w:space="0"/>
              <w:right w:val="single" w:color="auto" w:sz="4" w:space="0"/>
            </w:tcBorders>
            <w:vAlign w:val="center"/>
          </w:tcPr>
          <w:p w14:paraId="7C7B08E0">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p w14:paraId="5CF7E0E6">
            <w:pPr>
              <w:pStyle w:val="2"/>
              <w:rPr>
                <w:rFonts w:hint="eastAsia" w:ascii="宋体" w:hAnsi="宋体" w:eastAsia="宋体" w:cs="宋体"/>
                <w:b/>
                <w:bCs/>
                <w:color w:val="auto"/>
                <w:sz w:val="24"/>
                <w:szCs w:val="24"/>
                <w:highlight w:val="none"/>
              </w:rPr>
            </w:pPr>
          </w:p>
          <w:p w14:paraId="4924E7B4">
            <w:pPr>
              <w:pStyle w:val="2"/>
              <w:rPr>
                <w:rFonts w:hint="eastAsia" w:ascii="宋体" w:hAnsi="宋体" w:eastAsia="宋体" w:cs="宋体"/>
                <w:b/>
                <w:bCs/>
                <w:color w:val="auto"/>
                <w:sz w:val="24"/>
                <w:szCs w:val="24"/>
                <w:highlight w:val="none"/>
              </w:rPr>
            </w:pPr>
          </w:p>
        </w:tc>
        <w:tc>
          <w:tcPr>
            <w:tcW w:w="8490" w:type="dxa"/>
            <w:tcBorders>
              <w:top w:val="single" w:color="auto" w:sz="4" w:space="0"/>
              <w:left w:val="single" w:color="auto" w:sz="4" w:space="0"/>
              <w:right w:val="single" w:color="auto" w:sz="4" w:space="0"/>
            </w:tcBorders>
          </w:tcPr>
          <w:p w14:paraId="6F50EC6E">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2.针对本项目提供切实可行的进度保证措施：</w:t>
            </w:r>
          </w:p>
          <w:p w14:paraId="58D5CFC3">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措施科学严谨、创新性强，结合数字化工具与动态管理，可高效保障项目进度，确保项目按时交付完全满足本项目实际需求（7-10分）；</w:t>
            </w:r>
          </w:p>
          <w:p w14:paraId="3639B5AD">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措施较为全面，具备可执行性，能应对常见风险，保障项目基本进度；对项目风险有一定预判，基本符合本项目需求（4-7分） ；</w:t>
            </w:r>
          </w:p>
          <w:p w14:paraId="5EAEAF53">
            <w:pPr>
              <w:keepNext w:val="0"/>
              <w:keepLines w:val="0"/>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w:t>
            </w:r>
            <w:r>
              <w:rPr>
                <w:rFonts w:hint="eastAsia" w:ascii="宋体" w:hAnsi="宋体" w:eastAsia="宋体" w:cs="宋体"/>
                <w:bCs/>
                <w:color w:val="auto"/>
                <w:spacing w:val="-2"/>
                <w:sz w:val="24"/>
                <w:szCs w:val="24"/>
                <w:highlight w:val="none"/>
                <w:lang w:val="en-US" w:eastAsia="zh-CN"/>
              </w:rPr>
              <w:t>仅满足进度保障的基本要求，措施较为笼统，缺乏细节与可操作性，未针对人员、设备、技术等关键要素提出有效保障；未识别项目风险或无任何风险应对措施（1-4 分）</w:t>
            </w:r>
          </w:p>
        </w:tc>
        <w:tc>
          <w:tcPr>
            <w:tcW w:w="646" w:type="dxa"/>
            <w:tcBorders>
              <w:top w:val="single" w:color="auto" w:sz="4" w:space="0"/>
              <w:left w:val="single" w:color="auto" w:sz="4" w:space="0"/>
              <w:right w:val="single" w:color="auto" w:sz="4" w:space="0"/>
            </w:tcBorders>
            <w:vAlign w:val="center"/>
          </w:tcPr>
          <w:p w14:paraId="03280F42">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10</w:t>
            </w:r>
          </w:p>
        </w:tc>
      </w:tr>
      <w:tr w14:paraId="0157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323" w:type="dxa"/>
            <w:vMerge w:val="continue"/>
            <w:tcBorders>
              <w:left w:val="single" w:color="auto" w:sz="4" w:space="0"/>
              <w:right w:val="single" w:color="auto" w:sz="4" w:space="0"/>
            </w:tcBorders>
            <w:vAlign w:val="center"/>
          </w:tcPr>
          <w:p w14:paraId="67E517C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8490" w:type="dxa"/>
            <w:tcBorders>
              <w:top w:val="single" w:color="auto" w:sz="4" w:space="0"/>
              <w:left w:val="single" w:color="auto" w:sz="4" w:space="0"/>
              <w:bottom w:val="single" w:color="auto" w:sz="4" w:space="0"/>
              <w:right w:val="single" w:color="auto" w:sz="4" w:space="0"/>
            </w:tcBorders>
            <w:vAlign w:val="center"/>
          </w:tcPr>
          <w:p w14:paraId="6561DD5C">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3.重点难点分析。</w:t>
            </w:r>
          </w:p>
          <w:p w14:paraId="03214447">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①深入剖析项目重点难点，结合行业前沿技术与实际案例，提出创新性、系统化解决方案。</w:t>
            </w:r>
            <w:r>
              <w:rPr>
                <w:rFonts w:hint="eastAsia" w:ascii="宋体" w:hAnsi="宋体" w:eastAsia="宋体" w:cs="宋体"/>
                <w:bCs/>
                <w:color w:val="auto"/>
                <w:spacing w:val="-2"/>
                <w:sz w:val="24"/>
                <w:szCs w:val="24"/>
                <w:highlight w:val="none"/>
                <w:lang w:val="en-US" w:eastAsia="zh-CN"/>
              </w:rPr>
              <w:t>（7-10分）</w:t>
            </w:r>
            <w:r>
              <w:rPr>
                <w:rFonts w:hint="default" w:ascii="宋体" w:hAnsi="宋体" w:eastAsia="宋体" w:cs="宋体"/>
                <w:bCs/>
                <w:color w:val="auto"/>
                <w:spacing w:val="-2"/>
                <w:sz w:val="24"/>
                <w:szCs w:val="24"/>
                <w:highlight w:val="none"/>
                <w:lang w:val="en-US" w:eastAsia="zh-CN"/>
              </w:rPr>
              <w:t>。</w:t>
            </w:r>
          </w:p>
          <w:p w14:paraId="4207198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能结合项目特点识别重点难点，分析较全面，解决方案具有一定可行性。（4-7分）。</w:t>
            </w:r>
          </w:p>
          <w:p w14:paraId="28523DB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③深入剖析项目重点难点，结合行业前沿技术与实际案例，提出创新性、系统化解决方案</w:t>
            </w:r>
            <w:r>
              <w:rPr>
                <w:rFonts w:hint="eastAsia" w:ascii="宋体" w:hAnsi="宋体" w:eastAsia="宋体" w:cs="宋体"/>
                <w:bCs/>
                <w:color w:val="auto"/>
                <w:spacing w:val="-2"/>
                <w:sz w:val="24"/>
                <w:szCs w:val="24"/>
                <w:highlight w:val="none"/>
                <w:lang w:val="en-US" w:eastAsia="zh-CN"/>
              </w:rPr>
              <w:t>（1-4分）</w:t>
            </w:r>
            <w:r>
              <w:rPr>
                <w:rFonts w:hint="default" w:ascii="宋体" w:hAnsi="宋体" w:eastAsia="宋体" w:cs="宋体"/>
                <w:bCs/>
                <w:color w:val="auto"/>
                <w:spacing w:val="-2"/>
                <w:sz w:val="24"/>
                <w:szCs w:val="24"/>
                <w:highlight w:val="none"/>
                <w:lang w:val="en-US" w:eastAsia="zh-CN"/>
              </w:rPr>
              <w:t>。</w:t>
            </w:r>
          </w:p>
        </w:tc>
        <w:tc>
          <w:tcPr>
            <w:tcW w:w="646" w:type="dxa"/>
            <w:tcBorders>
              <w:top w:val="single" w:color="auto" w:sz="4" w:space="0"/>
              <w:left w:val="single" w:color="auto" w:sz="4" w:space="0"/>
              <w:bottom w:val="single" w:color="auto" w:sz="4" w:space="0"/>
              <w:right w:val="single" w:color="auto" w:sz="4" w:space="0"/>
            </w:tcBorders>
            <w:vAlign w:val="center"/>
          </w:tcPr>
          <w:p w14:paraId="1AB5FCD9">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472E0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1323" w:type="dxa"/>
            <w:vMerge w:val="continue"/>
            <w:tcBorders>
              <w:left w:val="single" w:color="auto" w:sz="4" w:space="0"/>
              <w:right w:val="single" w:color="auto" w:sz="4" w:space="0"/>
            </w:tcBorders>
            <w:vAlign w:val="center"/>
          </w:tcPr>
          <w:p w14:paraId="02E05B7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8490" w:type="dxa"/>
            <w:tcBorders>
              <w:top w:val="single" w:color="auto" w:sz="4" w:space="0"/>
              <w:left w:val="single" w:color="auto" w:sz="4" w:space="0"/>
              <w:bottom w:val="single" w:color="auto" w:sz="4" w:space="0"/>
              <w:right w:val="single" w:color="auto" w:sz="4" w:space="0"/>
            </w:tcBorders>
            <w:vAlign w:val="center"/>
          </w:tcPr>
          <w:p w14:paraId="03898AA2">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4.质量控制与验收方案。</w:t>
            </w:r>
          </w:p>
          <w:p w14:paraId="1F617BF2">
            <w:pPr>
              <w:keepNext w:val="0"/>
              <w:keepLines w:val="0"/>
              <w:pageBreakBefore w:val="0"/>
              <w:numPr>
                <w:ilvl w:val="0"/>
                <w:numId w:val="0"/>
              </w:numPr>
              <w:wordWrap/>
              <w:overflowPunct/>
              <w:topLinePunct w:val="0"/>
              <w:autoSpaceDE/>
              <w:autoSpaceDN/>
              <w:bidi w:val="0"/>
              <w:adjustRightInd/>
              <w:spacing w:line="360" w:lineRule="auto"/>
              <w:ind w:leftChars="0"/>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仅具备质量控制的基本框架，措施笼统且缺乏实操性，难以有效保障环评成果质量。（5-7分）；</w:t>
            </w:r>
          </w:p>
          <w:p w14:paraId="3EB22D5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构建较完整的质量控制体系，措施具体且可执行，能应对常见质量风险点。（3-5分）；</w:t>
            </w:r>
          </w:p>
          <w:p w14:paraId="25A9AFE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w:t>
            </w:r>
            <w:r>
              <w:rPr>
                <w:rFonts w:hint="eastAsia" w:ascii="宋体" w:hAnsi="宋体" w:eastAsia="宋体" w:cs="宋体"/>
                <w:bCs/>
                <w:color w:val="auto"/>
                <w:spacing w:val="-2"/>
                <w:sz w:val="24"/>
                <w:szCs w:val="24"/>
                <w:highlight w:val="none"/>
                <w:lang w:val="en-US" w:eastAsia="zh-CN"/>
              </w:rPr>
              <w:t>仅具备质量控制的基本框架，措施笼统且缺乏实操性，难以有效保障环评成果质量。（1-3分）；</w:t>
            </w:r>
          </w:p>
        </w:tc>
        <w:tc>
          <w:tcPr>
            <w:tcW w:w="646" w:type="dxa"/>
            <w:tcBorders>
              <w:top w:val="single" w:color="auto" w:sz="4" w:space="0"/>
              <w:left w:val="single" w:color="auto" w:sz="4" w:space="0"/>
              <w:bottom w:val="single" w:color="auto" w:sz="4" w:space="0"/>
              <w:right w:val="single" w:color="auto" w:sz="4" w:space="0"/>
            </w:tcBorders>
            <w:vAlign w:val="center"/>
          </w:tcPr>
          <w:p w14:paraId="49255477">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14:paraId="2BD38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1323" w:type="dxa"/>
            <w:vMerge w:val="continue"/>
            <w:tcBorders>
              <w:left w:val="single" w:color="auto" w:sz="4" w:space="0"/>
              <w:bottom w:val="single" w:color="auto" w:sz="4" w:space="0"/>
              <w:right w:val="single" w:color="auto" w:sz="4" w:space="0"/>
            </w:tcBorders>
            <w:vAlign w:val="center"/>
          </w:tcPr>
          <w:p w14:paraId="46AE788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8490" w:type="dxa"/>
            <w:tcBorders>
              <w:top w:val="single" w:color="auto" w:sz="4" w:space="0"/>
              <w:left w:val="single" w:color="auto" w:sz="4" w:space="0"/>
              <w:bottom w:val="single" w:color="auto" w:sz="4" w:space="0"/>
              <w:right w:val="single" w:color="auto" w:sz="4" w:space="0"/>
            </w:tcBorders>
            <w:vAlign w:val="center"/>
          </w:tcPr>
          <w:p w14:paraId="7809BA73">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5.工作协调机制：</w:t>
            </w:r>
          </w:p>
          <w:p w14:paraId="3FF7190B">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创新构建智能化、动态化协调体系，实现全流程协同与风险预判，保障项目高效推进。（5-7分）；</w:t>
            </w:r>
          </w:p>
          <w:p w14:paraId="4440819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构建较完善的协调框架，明确各方权责与协作流程，可有效处理常规协调需求。（3-5分）；</w:t>
            </w:r>
          </w:p>
          <w:p w14:paraId="5D1B096A">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w:t>
            </w:r>
            <w:r>
              <w:rPr>
                <w:rFonts w:hint="eastAsia" w:ascii="宋体" w:hAnsi="宋体" w:eastAsia="宋体" w:cs="宋体"/>
                <w:bCs/>
                <w:color w:val="auto"/>
                <w:spacing w:val="-2"/>
                <w:sz w:val="24"/>
                <w:szCs w:val="24"/>
                <w:highlight w:val="none"/>
                <w:lang w:val="en-US" w:eastAsia="zh-CN"/>
              </w:rPr>
              <w:t>仅建立基础沟通渠道，协调机制简单粗放，缺乏系统性与灵活性，难以有效应对复杂问题。（1-3分）；</w:t>
            </w:r>
          </w:p>
        </w:tc>
        <w:tc>
          <w:tcPr>
            <w:tcW w:w="646" w:type="dxa"/>
            <w:tcBorders>
              <w:top w:val="single" w:color="auto" w:sz="4" w:space="0"/>
              <w:left w:val="single" w:color="auto" w:sz="4" w:space="0"/>
              <w:bottom w:val="single" w:color="auto" w:sz="4" w:space="0"/>
              <w:right w:val="single" w:color="auto" w:sz="4" w:space="0"/>
            </w:tcBorders>
            <w:vAlign w:val="center"/>
          </w:tcPr>
          <w:p w14:paraId="7FC141FD">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14:paraId="2B0F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1323" w:type="dxa"/>
            <w:vMerge w:val="continue"/>
            <w:tcBorders>
              <w:left w:val="single" w:color="auto" w:sz="4" w:space="0"/>
              <w:bottom w:val="single" w:color="auto" w:sz="4" w:space="0"/>
              <w:right w:val="single" w:color="auto" w:sz="4" w:space="0"/>
            </w:tcBorders>
            <w:vAlign w:val="center"/>
          </w:tcPr>
          <w:p w14:paraId="2029FD02">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p>
        </w:tc>
        <w:tc>
          <w:tcPr>
            <w:tcW w:w="8490" w:type="dxa"/>
            <w:tcBorders>
              <w:top w:val="single" w:color="auto" w:sz="4" w:space="0"/>
              <w:left w:val="single" w:color="auto" w:sz="4" w:space="0"/>
              <w:right w:val="single" w:color="auto" w:sz="4" w:space="0"/>
            </w:tcBorders>
            <w:vAlign w:val="center"/>
          </w:tcPr>
          <w:p w14:paraId="5FF8C48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6.需求分析。</w:t>
            </w:r>
          </w:p>
          <w:p w14:paraId="6B0828D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需求分析深入、全面且具前瞻性，结合行业趋势与项目特殊性，为环评工作提供精准指引。（4-6分）；</w:t>
            </w:r>
          </w:p>
          <w:p w14:paraId="3603881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能较全面识别项目需求，分析过程较规范，结论具有一定指导意义。（2-4分）；</w:t>
            </w:r>
          </w:p>
          <w:p w14:paraId="6C5B5ECB">
            <w:pPr>
              <w:keepNext w:val="0"/>
              <w:keepLines w:val="0"/>
              <w:pageBreakBefore w:val="0"/>
              <w:wordWrap/>
              <w:overflowPunct/>
              <w:topLinePunct w:val="0"/>
              <w:autoSpaceDE/>
              <w:autoSpaceDN/>
              <w:bidi w:val="0"/>
              <w:adjustRightInd/>
              <w:spacing w:line="360" w:lineRule="auto"/>
              <w:textAlignment w:val="auto"/>
              <w:rPr>
                <w:rFonts w:hint="default"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w:t>
            </w:r>
            <w:r>
              <w:rPr>
                <w:rFonts w:hint="eastAsia" w:ascii="宋体" w:hAnsi="宋体" w:eastAsia="宋体" w:cs="宋体"/>
                <w:bCs/>
                <w:color w:val="auto"/>
                <w:spacing w:val="-2"/>
                <w:sz w:val="24"/>
                <w:szCs w:val="24"/>
                <w:highlight w:val="none"/>
                <w:lang w:val="en-US" w:eastAsia="zh-CN"/>
              </w:rPr>
              <w:t>需求分析仅停留在表面，内容简略，缺乏系统性，难以精准对接项目实际需求。（ 1-2 分）。</w:t>
            </w:r>
          </w:p>
        </w:tc>
        <w:tc>
          <w:tcPr>
            <w:tcW w:w="646" w:type="dxa"/>
            <w:tcBorders>
              <w:top w:val="single" w:color="auto" w:sz="4" w:space="0"/>
              <w:left w:val="single" w:color="auto" w:sz="4" w:space="0"/>
              <w:right w:val="single" w:color="auto" w:sz="4" w:space="0"/>
            </w:tcBorders>
            <w:vAlign w:val="center"/>
          </w:tcPr>
          <w:p w14:paraId="4964CCEE">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77BCB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323" w:type="dxa"/>
            <w:vMerge w:val="restart"/>
            <w:tcBorders>
              <w:top w:val="single" w:color="auto" w:sz="4" w:space="0"/>
              <w:left w:val="single" w:color="auto" w:sz="4" w:space="0"/>
              <w:right w:val="single" w:color="auto" w:sz="4" w:space="0"/>
            </w:tcBorders>
            <w:vAlign w:val="center"/>
          </w:tcPr>
          <w:p w14:paraId="5D0A5160">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人员配备</w:t>
            </w:r>
          </w:p>
        </w:tc>
        <w:tc>
          <w:tcPr>
            <w:tcW w:w="8490" w:type="dxa"/>
            <w:tcBorders>
              <w:top w:val="single" w:color="auto" w:sz="4" w:space="0"/>
              <w:left w:val="single" w:color="auto" w:sz="4" w:space="0"/>
              <w:bottom w:val="single" w:color="auto" w:sz="4" w:space="0"/>
              <w:right w:val="single" w:color="auto" w:sz="4" w:space="0"/>
            </w:tcBorders>
            <w:vAlign w:val="center"/>
          </w:tcPr>
          <w:p w14:paraId="383F0E2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所获职称证书：项目主要负责人具备相关专业高级职称得 5 分；具备相关专业中级职称得 3 分；其他的不得分。（提供相关职称证书复印件并加盖公章）</w:t>
            </w:r>
          </w:p>
        </w:tc>
        <w:tc>
          <w:tcPr>
            <w:tcW w:w="646" w:type="dxa"/>
            <w:vMerge w:val="restart"/>
            <w:tcBorders>
              <w:top w:val="single" w:color="auto" w:sz="4" w:space="0"/>
              <w:left w:val="single" w:color="auto" w:sz="4" w:space="0"/>
              <w:right w:val="single" w:color="auto" w:sz="4" w:space="0"/>
            </w:tcBorders>
            <w:vAlign w:val="center"/>
          </w:tcPr>
          <w:p w14:paraId="647D834B">
            <w:pPr>
              <w:keepNext w:val="0"/>
              <w:keepLines w:val="0"/>
              <w:pageBreakBefore w:val="0"/>
              <w:kinsoku w:val="0"/>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r>
      <w:tr w14:paraId="052B2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323" w:type="dxa"/>
            <w:vMerge w:val="continue"/>
            <w:tcBorders>
              <w:left w:val="single" w:color="auto" w:sz="4" w:space="0"/>
              <w:bottom w:val="single" w:color="auto" w:sz="4" w:space="0"/>
              <w:right w:val="single" w:color="auto" w:sz="4" w:space="0"/>
            </w:tcBorders>
            <w:vAlign w:val="center"/>
          </w:tcPr>
          <w:p w14:paraId="5B34BB4E">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lang w:eastAsia="zh-CN"/>
              </w:rPr>
            </w:pPr>
          </w:p>
        </w:tc>
        <w:tc>
          <w:tcPr>
            <w:tcW w:w="8490" w:type="dxa"/>
            <w:tcBorders>
              <w:top w:val="single" w:color="auto" w:sz="4" w:space="0"/>
              <w:left w:val="single" w:color="auto" w:sz="4" w:space="0"/>
              <w:bottom w:val="single" w:color="auto" w:sz="4" w:space="0"/>
              <w:right w:val="single" w:color="auto" w:sz="4" w:space="0"/>
            </w:tcBorders>
            <w:vAlign w:val="center"/>
          </w:tcPr>
          <w:p w14:paraId="7B29E07A">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项目团队专业技术人员每提供一个相关专业中级及以上职称得2分，最高得4分。（提供相关职称证书复印件并加盖公章）</w:t>
            </w:r>
          </w:p>
        </w:tc>
        <w:tc>
          <w:tcPr>
            <w:tcW w:w="646" w:type="dxa"/>
            <w:vMerge w:val="continue"/>
            <w:tcBorders>
              <w:left w:val="single" w:color="auto" w:sz="4" w:space="0"/>
              <w:right w:val="single" w:color="auto" w:sz="4" w:space="0"/>
            </w:tcBorders>
            <w:vAlign w:val="center"/>
          </w:tcPr>
          <w:p w14:paraId="12679A0A">
            <w:pPr>
              <w:keepNext w:val="0"/>
              <w:keepLines w:val="0"/>
              <w:pageBreakBefore w:val="0"/>
              <w:kinsoku w:val="0"/>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val="en-US" w:eastAsia="zh-CN"/>
              </w:rPr>
            </w:pPr>
          </w:p>
        </w:tc>
      </w:tr>
      <w:tr w14:paraId="347D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68D3DA9F">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服务后期承诺</w:t>
            </w:r>
          </w:p>
          <w:p w14:paraId="729C2FE8">
            <w:pPr>
              <w:pStyle w:val="2"/>
              <w:rPr>
                <w:rFonts w:hint="default"/>
                <w:color w:val="auto"/>
                <w:highlight w:val="none"/>
                <w:lang w:val="en-US" w:eastAsia="zh-CN"/>
              </w:rPr>
            </w:pPr>
            <w:r>
              <w:rPr>
                <w:rFonts w:hint="eastAsia" w:ascii="宋体" w:hAnsi="宋体" w:eastAsia="宋体" w:cs="宋体"/>
                <w:b/>
                <w:bCs/>
                <w:color w:val="auto"/>
                <w:sz w:val="24"/>
                <w:szCs w:val="24"/>
                <w:highlight w:val="none"/>
                <w:lang w:val="en-US" w:eastAsia="zh-CN"/>
              </w:rPr>
              <w:t xml:space="preserve">      （10分）</w:t>
            </w:r>
          </w:p>
        </w:tc>
        <w:tc>
          <w:tcPr>
            <w:tcW w:w="8490" w:type="dxa"/>
            <w:tcBorders>
              <w:top w:val="single" w:color="auto" w:sz="4" w:space="0"/>
              <w:left w:val="single" w:color="auto" w:sz="4" w:space="0"/>
              <w:bottom w:val="single" w:color="auto" w:sz="4" w:space="0"/>
              <w:right w:val="single" w:color="auto" w:sz="4" w:space="0"/>
            </w:tcBorders>
          </w:tcPr>
          <w:p w14:paraId="483592AC">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售后服务与技术支持</w:t>
            </w:r>
          </w:p>
          <w:p w14:paraId="2FAC3A47">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①</w:t>
            </w:r>
            <w:r>
              <w:rPr>
                <w:rFonts w:hint="eastAsia" w:ascii="宋体" w:hAnsi="宋体" w:eastAsia="宋体" w:cs="宋体"/>
                <w:bCs/>
                <w:color w:val="auto"/>
                <w:spacing w:val="-2"/>
                <w:sz w:val="24"/>
                <w:szCs w:val="24"/>
                <w:highlight w:val="none"/>
                <w:lang w:val="en-US" w:eastAsia="zh-CN"/>
              </w:rPr>
              <w:t>提供全周期、定制化增值服务，结合数字化工具实现高效响应，建立长期技术合作关系。（7-10分）；</w:t>
            </w:r>
          </w:p>
          <w:p w14:paraId="3CF4B2B0">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②</w:t>
            </w:r>
            <w:r>
              <w:rPr>
                <w:rFonts w:hint="eastAsia" w:ascii="宋体" w:hAnsi="宋体" w:eastAsia="宋体" w:cs="宋体"/>
                <w:bCs/>
                <w:color w:val="auto"/>
                <w:spacing w:val="-2"/>
                <w:sz w:val="24"/>
                <w:szCs w:val="24"/>
                <w:highlight w:val="none"/>
                <w:lang w:val="en-US" w:eastAsia="zh-CN"/>
              </w:rPr>
              <w:t>建立标准化服务流程，响应及时，能主动解决常规技术问题，提供一定持续性支持。（4-7分）。</w:t>
            </w:r>
          </w:p>
          <w:p w14:paraId="213C260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default" w:ascii="宋体" w:hAnsi="宋体" w:eastAsia="宋体" w:cs="宋体"/>
                <w:bCs/>
                <w:color w:val="auto"/>
                <w:spacing w:val="-2"/>
                <w:sz w:val="24"/>
                <w:szCs w:val="24"/>
                <w:highlight w:val="none"/>
                <w:lang w:val="en-US" w:eastAsia="zh-CN"/>
              </w:rPr>
              <w:t>③</w:t>
            </w:r>
            <w:r>
              <w:rPr>
                <w:rFonts w:hint="eastAsia" w:ascii="宋体" w:hAnsi="宋体" w:eastAsia="宋体" w:cs="宋体"/>
                <w:bCs/>
                <w:color w:val="auto"/>
                <w:spacing w:val="-2"/>
                <w:sz w:val="24"/>
                <w:szCs w:val="24"/>
                <w:highlight w:val="none"/>
                <w:lang w:val="en-US" w:eastAsia="zh-CN"/>
              </w:rPr>
              <w:t>仅满足售后服务基本要求，响应被动，技术支持内容有限，缺乏持续性和增值服务。（1-4分）。</w:t>
            </w:r>
          </w:p>
        </w:tc>
        <w:tc>
          <w:tcPr>
            <w:tcW w:w="646" w:type="dxa"/>
            <w:tcBorders>
              <w:top w:val="single" w:color="auto" w:sz="4" w:space="0"/>
              <w:left w:val="single" w:color="auto" w:sz="4" w:space="0"/>
              <w:bottom w:val="single" w:color="auto" w:sz="4" w:space="0"/>
              <w:right w:val="single" w:color="auto" w:sz="4" w:space="0"/>
            </w:tcBorders>
            <w:vAlign w:val="center"/>
          </w:tcPr>
          <w:p w14:paraId="6FD1E96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5923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14:paraId="442370C2">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业绩（</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tc>
        <w:tc>
          <w:tcPr>
            <w:tcW w:w="8490" w:type="dxa"/>
            <w:tcBorders>
              <w:top w:val="single" w:color="auto" w:sz="4" w:space="0"/>
              <w:left w:val="single" w:color="auto" w:sz="4" w:space="0"/>
              <w:bottom w:val="single" w:color="auto" w:sz="4" w:space="0"/>
              <w:right w:val="single" w:color="auto" w:sz="4" w:space="0"/>
            </w:tcBorders>
          </w:tcPr>
          <w:p w14:paraId="217F065D">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⑧供应商须提供 2022年 1 月至今已完成类似项目业绩，每提供一项得 2 分，最高不超过6分。（以合同签订时间为准，提供合同或中标通知书复印件加盖供应商公章）。</w:t>
            </w:r>
          </w:p>
        </w:tc>
        <w:tc>
          <w:tcPr>
            <w:tcW w:w="646" w:type="dxa"/>
            <w:tcBorders>
              <w:top w:val="single" w:color="auto" w:sz="4" w:space="0"/>
              <w:left w:val="single" w:color="auto" w:sz="4" w:space="0"/>
              <w:bottom w:val="single" w:color="auto" w:sz="4" w:space="0"/>
              <w:right w:val="single" w:color="auto" w:sz="4" w:space="0"/>
            </w:tcBorders>
            <w:vAlign w:val="center"/>
          </w:tcPr>
          <w:p w14:paraId="6DDCACDD">
            <w:pPr>
              <w:keepNext w:val="0"/>
              <w:keepLines w:val="0"/>
              <w:pageBreakBefore w:val="0"/>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r w14:paraId="1B60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3" w:type="dxa"/>
            <w:tcBorders>
              <w:top w:val="single" w:color="auto" w:sz="4" w:space="0"/>
              <w:left w:val="single" w:color="auto" w:sz="4" w:space="0"/>
              <w:right w:val="single" w:color="auto" w:sz="4" w:space="0"/>
            </w:tcBorders>
            <w:vAlign w:val="center"/>
          </w:tcPr>
          <w:p w14:paraId="03E04343">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c>
          <w:tcPr>
            <w:tcW w:w="8490" w:type="dxa"/>
            <w:tcBorders>
              <w:top w:val="single" w:color="auto" w:sz="4" w:space="0"/>
              <w:left w:val="single" w:color="auto" w:sz="4" w:space="0"/>
              <w:bottom w:val="single" w:color="auto" w:sz="4" w:space="0"/>
              <w:right w:val="single" w:color="auto" w:sz="4" w:space="0"/>
            </w:tcBorders>
          </w:tcPr>
          <w:p w14:paraId="0AAFEE05">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1、</w:t>
            </w:r>
            <w:r>
              <w:rPr>
                <w:rFonts w:hint="eastAsia" w:ascii="宋体" w:hAnsi="宋体" w:eastAsia="宋体" w:cs="宋体"/>
                <w:bCs/>
                <w:color w:val="auto"/>
                <w:spacing w:val="-2"/>
                <w:sz w:val="24"/>
                <w:szCs w:val="24"/>
                <w:highlight w:val="none"/>
                <w:lang w:eastAsia="zh-CN"/>
              </w:rPr>
              <w:t>磋商小组</w:t>
            </w:r>
            <w:r>
              <w:rPr>
                <w:rFonts w:hint="eastAsia" w:ascii="宋体" w:hAnsi="宋体" w:eastAsia="宋体" w:cs="宋体"/>
                <w:bCs/>
                <w:color w:val="auto"/>
                <w:spacing w:val="-2"/>
                <w:sz w:val="24"/>
                <w:szCs w:val="24"/>
                <w:highlight w:val="none"/>
              </w:rPr>
              <w:t>各成员独立打分。</w:t>
            </w:r>
          </w:p>
          <w:p w14:paraId="2472EEA1">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2、评委打分超过得分界限或未按本表规定赋分时，该评委的打分作废，不计入汇总分。</w:t>
            </w:r>
          </w:p>
          <w:p w14:paraId="11BEB006">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3、若出现综合得分并列时，比较价格得分，此分项得分高者排序在前；若价格得分仍相同，比较技术得分，此分项得分高者排序在前；若技术得分仍相同，则由全体</w:t>
            </w:r>
            <w:r>
              <w:rPr>
                <w:rFonts w:hint="eastAsia" w:ascii="宋体" w:hAnsi="宋体" w:eastAsia="宋体" w:cs="宋体"/>
                <w:bCs/>
                <w:color w:val="auto"/>
                <w:spacing w:val="-2"/>
                <w:sz w:val="24"/>
                <w:szCs w:val="24"/>
                <w:highlight w:val="none"/>
                <w:lang w:eastAsia="zh-CN"/>
              </w:rPr>
              <w:t>磋商小组</w:t>
            </w:r>
            <w:r>
              <w:rPr>
                <w:rFonts w:hint="eastAsia" w:ascii="宋体" w:hAnsi="宋体" w:eastAsia="宋体" w:cs="宋体"/>
                <w:bCs/>
                <w:color w:val="auto"/>
                <w:spacing w:val="-2"/>
                <w:sz w:val="24"/>
                <w:szCs w:val="24"/>
                <w:highlight w:val="none"/>
              </w:rPr>
              <w:t>成员无记名投票，得票高者排序在前。</w:t>
            </w:r>
          </w:p>
          <w:p w14:paraId="1DD96DB8">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4、各种计算采用插入法，数字均保留</w:t>
            </w:r>
            <w:r>
              <w:rPr>
                <w:rFonts w:hint="eastAsia" w:ascii="宋体" w:hAnsi="宋体" w:eastAsia="宋体" w:cs="宋体"/>
                <w:bCs/>
                <w:color w:val="auto"/>
                <w:spacing w:val="-2"/>
                <w:sz w:val="24"/>
                <w:szCs w:val="24"/>
                <w:highlight w:val="none"/>
                <w:lang w:eastAsia="zh-CN"/>
              </w:rPr>
              <w:t>二</w:t>
            </w:r>
            <w:r>
              <w:rPr>
                <w:rFonts w:hint="eastAsia" w:ascii="宋体" w:hAnsi="宋体" w:eastAsia="宋体" w:cs="宋体"/>
                <w:bCs/>
                <w:color w:val="auto"/>
                <w:spacing w:val="-2"/>
                <w:sz w:val="24"/>
                <w:szCs w:val="24"/>
                <w:highlight w:val="none"/>
              </w:rPr>
              <w:t>位小数，第</w:t>
            </w:r>
            <w:r>
              <w:rPr>
                <w:rFonts w:hint="eastAsia" w:ascii="宋体" w:hAnsi="宋体" w:eastAsia="宋体" w:cs="宋体"/>
                <w:bCs/>
                <w:color w:val="auto"/>
                <w:spacing w:val="-2"/>
                <w:sz w:val="24"/>
                <w:szCs w:val="24"/>
                <w:highlight w:val="none"/>
                <w:lang w:eastAsia="zh-CN"/>
              </w:rPr>
              <w:t>三</w:t>
            </w:r>
            <w:r>
              <w:rPr>
                <w:rFonts w:hint="eastAsia" w:ascii="宋体" w:hAnsi="宋体" w:eastAsia="宋体" w:cs="宋体"/>
                <w:bCs/>
                <w:color w:val="auto"/>
                <w:spacing w:val="-2"/>
                <w:sz w:val="24"/>
                <w:szCs w:val="24"/>
                <w:highlight w:val="none"/>
              </w:rPr>
              <w:t>位“四舍五入”。</w:t>
            </w:r>
          </w:p>
          <w:p w14:paraId="7B27D38E">
            <w:pPr>
              <w:keepNext w:val="0"/>
              <w:keepLines w:val="0"/>
              <w:pageBreakBefore w:val="0"/>
              <w:wordWrap/>
              <w:overflowPunct/>
              <w:topLinePunct w:val="0"/>
              <w:autoSpaceDE/>
              <w:autoSpaceDN/>
              <w:bidi w:val="0"/>
              <w:adjustRightInd/>
              <w:spacing w:line="360" w:lineRule="auto"/>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5、评标过程中，若出现特殊情况时，由</w:t>
            </w:r>
            <w:r>
              <w:rPr>
                <w:rFonts w:hint="eastAsia" w:ascii="宋体" w:hAnsi="宋体" w:eastAsia="宋体" w:cs="宋体"/>
                <w:bCs/>
                <w:color w:val="auto"/>
                <w:spacing w:val="-2"/>
                <w:sz w:val="24"/>
                <w:szCs w:val="24"/>
                <w:highlight w:val="none"/>
                <w:lang w:eastAsia="zh-CN"/>
              </w:rPr>
              <w:t>磋商小组</w:t>
            </w:r>
            <w:r>
              <w:rPr>
                <w:rFonts w:hint="eastAsia" w:ascii="宋体" w:hAnsi="宋体" w:eastAsia="宋体" w:cs="宋体"/>
                <w:bCs/>
                <w:color w:val="auto"/>
                <w:spacing w:val="-2"/>
                <w:sz w:val="24"/>
                <w:szCs w:val="24"/>
                <w:highlight w:val="none"/>
              </w:rPr>
              <w:t>决定暂停评标，并提出具体处理意见。</w:t>
            </w:r>
          </w:p>
        </w:tc>
        <w:tc>
          <w:tcPr>
            <w:tcW w:w="646" w:type="dxa"/>
            <w:tcBorders>
              <w:top w:val="single" w:color="auto" w:sz="4" w:space="0"/>
              <w:left w:val="single" w:color="auto" w:sz="4" w:space="0"/>
              <w:bottom w:val="single" w:color="auto" w:sz="4" w:space="0"/>
              <w:right w:val="single" w:color="auto" w:sz="4" w:space="0"/>
            </w:tcBorders>
            <w:vAlign w:val="center"/>
          </w:tcPr>
          <w:p w14:paraId="5109542B">
            <w:pPr>
              <w:keepNext w:val="0"/>
              <w:keepLines w:val="0"/>
              <w:pageBreakBefore w:val="0"/>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bl>
    <w:p w14:paraId="7D79AFD8">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3.5响应文件的澄清</w:t>
      </w:r>
    </w:p>
    <w:p w14:paraId="5D7E68A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EAE400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3.5.2 依照《中华人民共和国民法典》中的过失责任原则，澄清、说明或更正前磋商小组将按最不利于参与本次磋商供应商的原则对响应文件做出评判。</w:t>
      </w:r>
    </w:p>
    <w:p w14:paraId="3BD30D8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E483A0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3.5.4供应商的书面澄清、说明或者更正属于响应文件的组成部分，其内容将作为评审的依据，也将作为合同履行的重要依据。</w:t>
      </w:r>
    </w:p>
    <w:p w14:paraId="1666845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3.5.5除采用竞争性磋商方式采购的政府购买服务项目、市场竞争不充分的科研项目以及需要扶持的科技成果转化项目外，通过符合性审查的供应商不足3 家的，不得进行后续磋商活动，应予以废标。</w:t>
      </w:r>
    </w:p>
    <w:p w14:paraId="4301B9C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3.5.6 未通过符合性审查的供应商，不参与磋商，由磋商小组告知该供应商。</w:t>
      </w:r>
    </w:p>
    <w:p w14:paraId="3CCF09B5">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3.6磋商</w:t>
      </w:r>
    </w:p>
    <w:p w14:paraId="7A01C17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2DB1875">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4EBB3FF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3.6.3供应商最终报价较首次报价降价的，成交后，签订合同时应按照成交价较首次报价的下浮比率修改分项报价表中的相应报价。</w:t>
      </w:r>
    </w:p>
    <w:p w14:paraId="676FC8B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3.6.4因供应商对磋商文件理解不透、误解、疏漏或对市场行情了解不清造成的后果和风险，均由供应商自己负责。</w:t>
      </w:r>
    </w:p>
    <w:p w14:paraId="04D6792B">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4、磋商文件的实质性变更</w:t>
      </w:r>
    </w:p>
    <w:p w14:paraId="469E6BD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4.1 在磋商过程中，磋商小组可以根据磋商文件和磋商情况实质性变动采购需求中的技术、服务要求以及合同草案条款，但不得变动磋商文件中的其他内容。实质性变动的内容，须经采购人代表确认。</w:t>
      </w:r>
    </w:p>
    <w:p w14:paraId="6000FC1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4.2对磋商文件作出的实质性变动是磋商文件的有效组成部分，磋商小组将通过书面形式通知所有参加磋商的供应商。</w:t>
      </w:r>
    </w:p>
    <w:p w14:paraId="0CACA64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4.3 供应商应当按照磋商文件的变动情况和磋商小组的要求，在磋商小组规定的时限内重新提交响应文件，由法定代表人或其授权代表签字或者加盖公章。</w:t>
      </w:r>
    </w:p>
    <w:p w14:paraId="01B2919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4.4 供应商未能在规定的时间内按照磋商小组的要求以书面形式提交实质性变更响应文件的，视作未实质性响应。</w:t>
      </w:r>
    </w:p>
    <w:p w14:paraId="41835A5D">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5、最后报价</w:t>
      </w:r>
    </w:p>
    <w:p w14:paraId="3496D56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5.1磋商文件能够详细列明采购标的的技术、服务要求的，磋商结束后，磋商小组应当要求所有实质性响应的供应商在规定时间内提交最后报价，提交最后报价的供应商不得少于 3 家。</w:t>
      </w:r>
    </w:p>
    <w:p w14:paraId="0B4AA03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79B1224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家。根据《财政部关于政府采购竞争性磋商采购方式管理暂行办法有关问题的补充通知》(财库〔2015〕124 号)，采购的政府购买服务项目 (含政府和社会资本合作项目)，在采购过程中符合要求的供应商(社会资本)只有2家的，竞争性磋商采购活动可以继续进行。</w:t>
      </w:r>
    </w:p>
    <w:p w14:paraId="7E95E95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5.4供应商要以书面形式提交最后报价。最后报价表应由其法定代表人或被授权代表签字或者加盖公章。最后报价将作为综合评分法中价格分的计算依据。</w:t>
      </w:r>
    </w:p>
    <w:p w14:paraId="4FF5D86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5.5 已提交响应文件的供应商，在提交最后报价之前，可以根据磋商情况书面申请退出磋商，书面申请应由其法定代表人或被授权代表签字或者加盖公章。</w:t>
      </w:r>
    </w:p>
    <w:p w14:paraId="3A9FEBE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5.6 磋商小组认为供应商的报价明显低于其他通过符合性和响应性审查供应商的报价，有可能影响工程、货物、服务质量或者不能诚信履约的，要求供应商在规定时间内通过书面形式提供说明 (必要时提交相关证明材料) ，供应商不能证明其报价合理性的，按无效响应对待。</w:t>
      </w:r>
    </w:p>
    <w:p w14:paraId="7163ABB1">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6、 关于政府采购政策</w:t>
      </w:r>
    </w:p>
    <w:p w14:paraId="039F606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6.1对中小企业、监狱企业、残疾人福利性单位的优惠政策</w:t>
      </w:r>
    </w:p>
    <w:p w14:paraId="7FB5BF80">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765380B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（2）根据财政部、司法部联合下发的《关于政府采购支持监狱企业发展有关问题的通知》（财库〔2014〕68号）的规定，监狱企业视同小型、微型企业。</w:t>
      </w:r>
    </w:p>
    <w:p w14:paraId="4AB0591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8CAAF8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2E21044D">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本项目为专门面向中小微企业采购的采购项目，因此，不再执行价格评审优惠扶持政策。</w:t>
      </w:r>
    </w:p>
    <w:p w14:paraId="265BC5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6.2节能、环保产品采购政策</w:t>
      </w:r>
    </w:p>
    <w:p w14:paraId="209E3B5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992688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09F9B4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7C4266A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5FB1F5A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43E7F8C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1.7.3陕西省中小企业政府采购信用融资办法</w:t>
      </w:r>
    </w:p>
    <w:p w14:paraId="409ADD8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(成交) 通知书或政府采购合同后，凭政府采购合同向银行提出融资申请。” (陕西省政府采购信用融资平台：http://ww w.ccgp-shaanxi.gov.cn/zcdservice/zcd/shanxi/ )</w:t>
      </w:r>
    </w:p>
    <w:p w14:paraId="385A658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6.3关于进口产品</w:t>
      </w:r>
    </w:p>
    <w:p w14:paraId="52129FF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7545BBA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1.7.5关于同一品牌产品的处理</w:t>
      </w:r>
    </w:p>
    <w:p w14:paraId="714AE5D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4800A23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5A4643E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（3）非单一产品采购项目，采购人将根据采购项目技术构成、产品价格比重等因素确定核心产品（可能不止一种），并在磋商文件中载明。多家供应商提供的核心产品品牌相同的，按前两款规定处理。</w:t>
      </w:r>
    </w:p>
    <w:p w14:paraId="53A63A7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6ACE9242">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7.复核与核对评审结果</w:t>
      </w:r>
    </w:p>
    <w:p w14:paraId="158F1562">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7.1 评分汇总结束后，磋商小组应当进行复核，特别要对拟推荐成交候选人的、最后报价最低的、响应文件被认定无效的进行重点复核。</w:t>
      </w:r>
    </w:p>
    <w:p w14:paraId="73F24BB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7.2 评审结果汇总完成后，评审报告签署前，采购代理机构应当核对评审结果，除下列情形外，任何人不得修改评审结果：</w:t>
      </w:r>
    </w:p>
    <w:p w14:paraId="031DA84A">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（1）资格性认定错误的；</w:t>
      </w:r>
    </w:p>
    <w:p w14:paraId="70F8C7A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（2）分值汇总计算错误的；</w:t>
      </w:r>
    </w:p>
    <w:p w14:paraId="0FFFAC2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（3）分项评分超出评分标准范围的；</w:t>
      </w:r>
    </w:p>
    <w:p w14:paraId="6808285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（4）磋商小组对客观评审因素评分不一致的；</w:t>
      </w:r>
    </w:p>
    <w:p w14:paraId="58162D7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（5）经磋商小组一致认定评分畸高、畸低的。</w:t>
      </w:r>
    </w:p>
    <w:p w14:paraId="60E3B95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1ECA6FB8">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7.3推荐成交候选供应商</w:t>
      </w:r>
    </w:p>
    <w:p w14:paraId="7ACB82B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当根据综合评分情况，按照评审得分由高到低顺序推荐3名以上成交候选供应商(有效供应商不足三家时以实际有效数量推荐)。评审得分相同的，按照最后报价由低到高的顺序推荐。评审得分且最后报价相同的，则依次比较后续项别，按照得分高者优先的顺序推荐。</w:t>
      </w:r>
    </w:p>
    <w:p w14:paraId="403F92A3">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8、编写评审报告</w:t>
      </w:r>
    </w:p>
    <w:p w14:paraId="747D7781">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0AFB8AD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8.2采购人书面授权磋商小组直接确定成交供应商的，磋商小组应在评审报告中明确成交供应商及成交金额。</w:t>
      </w:r>
    </w:p>
    <w:p w14:paraId="54BAC5C2">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9、评审现场人员的保密责任</w:t>
      </w:r>
    </w:p>
    <w:p w14:paraId="50DDA81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44FFB651">
      <w:pPr>
        <w:pStyle w:val="37"/>
        <w:spacing w:before="120" w:after="120"/>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10、成交</w:t>
      </w:r>
    </w:p>
    <w:p w14:paraId="20D2BDA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10.1采购代理机构在评审工作结束后2个工作日内，将评审报告送采购人确认。</w:t>
      </w:r>
    </w:p>
    <w:p w14:paraId="1D94E27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10.2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4A8AFFC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成交通知书领取地点：亿诚建设项目管理有限公司石泉分公司</w:t>
      </w:r>
    </w:p>
    <w:p w14:paraId="4230DC4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联系电话：15229053396</w:t>
      </w:r>
    </w:p>
    <w:p w14:paraId="536A8AB2">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11、 签订政府采购合同</w:t>
      </w:r>
    </w:p>
    <w:p w14:paraId="2BC84C4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11.1采购人与成交供应商应当自成交通知书发出之日起25日内，按照磋商文件确定的合同文本及成交供应商的响应情况签订政府采购合同。</w:t>
      </w:r>
    </w:p>
    <w:p w14:paraId="0B772377">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11.2采购人不得向成交供应商提出超出磋商文件以外的任何要求作为签订合同的条件，不得与成交供应商订立背离磋商文件确定的合同文本以及采购标的、采购金额、技术和服务要求等实质性内容的协议。</w:t>
      </w:r>
    </w:p>
    <w:p w14:paraId="2B4D2DEB">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11.3成交供应商拒绝与采购人签订合同的，采购人可以按照评审报告推荐的成交候选人名单排序，确定下一候选人为成交供应商，也可以重新开展政府采购活动。</w:t>
      </w:r>
    </w:p>
    <w:p w14:paraId="2E44D8A6">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11.4政府采购合同在执行过程中，确需修改、变更时，应当按照相应的审核批准程序办理。</w:t>
      </w:r>
    </w:p>
    <w:p w14:paraId="13BB4AD8">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11.5磋商文件、响应文件、澄清等为政府采购合同的组成部分，具有同等法律效力。</w:t>
      </w:r>
    </w:p>
    <w:p w14:paraId="41B9AD83">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11.6采购人按有关规定将政府采购合同报送监管机构备案。</w:t>
      </w:r>
    </w:p>
    <w:p w14:paraId="5FDB440A">
      <w:pPr>
        <w:pStyle w:val="39"/>
        <w:ind w:firstLine="482"/>
        <w:rPr>
          <w:rFonts w:hint="eastAsia" w:ascii="宋体" w:hAnsi="宋体" w:eastAsia="宋体" w:cs="宋体"/>
          <w:b/>
          <w:color w:val="auto"/>
          <w:highlight w:val="none"/>
        </w:rPr>
      </w:pPr>
      <w:r>
        <w:rPr>
          <w:rFonts w:hint="eastAsia" w:ascii="宋体" w:hAnsi="宋体" w:eastAsia="宋体" w:cs="宋体"/>
          <w:b/>
          <w:color w:val="auto"/>
          <w:highlight w:val="none"/>
        </w:rPr>
        <w:t>12、其他</w:t>
      </w:r>
    </w:p>
    <w:p w14:paraId="6F5B8EEF">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DC07C3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6901D15E">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3638F43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88FF244">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369C8AB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12.2磋商失败后，除采购任务取消外，将重新组织采购。</w:t>
      </w:r>
    </w:p>
    <w:p w14:paraId="2C4C219C">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58AD70D9">
      <w:pPr>
        <w:pStyle w:val="39"/>
        <w:ind w:firstLine="480"/>
        <w:rPr>
          <w:rFonts w:hint="eastAsia" w:ascii="宋体" w:hAnsi="宋体" w:eastAsia="宋体" w:cs="宋体"/>
          <w:color w:val="auto"/>
          <w:highlight w:val="none"/>
        </w:rPr>
      </w:pPr>
      <w:r>
        <w:rPr>
          <w:rFonts w:hint="eastAsia" w:ascii="宋体" w:hAnsi="宋体" w:eastAsia="宋体" w:cs="宋体"/>
          <w:color w:val="auto"/>
          <w:highlight w:val="none"/>
        </w:rPr>
        <w:t>12.4磋商文件未明确的其他事项，按《政府采购法》及其相关法律法规执行。</w:t>
      </w:r>
    </w:p>
    <w:p w14:paraId="26948231">
      <w:pPr>
        <w:pStyle w:val="4"/>
        <w:jc w:val="center"/>
        <w:rPr>
          <w:rFonts w:hint="eastAsia" w:ascii="宋体" w:hAnsi="宋体" w:eastAsia="宋体" w:cs="宋体"/>
          <w:color w:val="auto"/>
          <w:highlight w:val="none"/>
        </w:rPr>
      </w:pPr>
      <w:bookmarkStart w:id="7" w:name="_Toc27587"/>
    </w:p>
    <w:p w14:paraId="5280F50C">
      <w:pPr>
        <w:pStyle w:val="4"/>
        <w:jc w:val="center"/>
        <w:rPr>
          <w:rFonts w:hint="eastAsia" w:ascii="宋体" w:hAnsi="宋体" w:eastAsia="宋体" w:cs="宋体"/>
          <w:color w:val="auto"/>
          <w:highlight w:val="none"/>
        </w:rPr>
      </w:pPr>
    </w:p>
    <w:p w14:paraId="55F84141">
      <w:pPr>
        <w:pStyle w:val="4"/>
        <w:jc w:val="center"/>
        <w:rPr>
          <w:rFonts w:hint="eastAsia" w:ascii="宋体" w:hAnsi="宋体" w:eastAsia="宋体" w:cs="宋体"/>
          <w:color w:val="auto"/>
          <w:highlight w:val="none"/>
        </w:rPr>
      </w:pPr>
    </w:p>
    <w:p w14:paraId="4208CF75">
      <w:pPr>
        <w:pStyle w:val="4"/>
        <w:jc w:val="center"/>
        <w:rPr>
          <w:rFonts w:hint="eastAsia" w:ascii="宋体" w:hAnsi="宋体" w:eastAsia="宋体" w:cs="宋体"/>
          <w:color w:val="auto"/>
          <w:highlight w:val="none"/>
        </w:rPr>
      </w:pPr>
    </w:p>
    <w:p w14:paraId="7FE5C437">
      <w:pPr>
        <w:rPr>
          <w:rFonts w:hint="eastAsia" w:ascii="宋体" w:hAnsi="宋体" w:eastAsia="宋体" w:cs="宋体"/>
          <w:color w:val="auto"/>
          <w:highlight w:val="none"/>
        </w:rPr>
      </w:pPr>
    </w:p>
    <w:p w14:paraId="5A70E619">
      <w:pPr>
        <w:pStyle w:val="8"/>
        <w:rPr>
          <w:rFonts w:hint="eastAsia" w:ascii="宋体" w:hAnsi="宋体" w:eastAsia="宋体" w:cs="宋体"/>
          <w:color w:val="auto"/>
          <w:highlight w:val="none"/>
        </w:rPr>
      </w:pPr>
    </w:p>
    <w:p w14:paraId="2C12D112">
      <w:pPr>
        <w:rPr>
          <w:rFonts w:hint="eastAsia" w:ascii="宋体" w:hAnsi="宋体" w:eastAsia="宋体" w:cs="宋体"/>
          <w:color w:val="auto"/>
          <w:highlight w:val="none"/>
        </w:rPr>
      </w:pPr>
    </w:p>
    <w:p w14:paraId="0C26B093">
      <w:pPr>
        <w:rPr>
          <w:rFonts w:hint="eastAsia" w:ascii="宋体" w:hAnsi="宋体" w:eastAsia="宋体" w:cs="宋体"/>
          <w:color w:val="auto"/>
          <w:highlight w:val="none"/>
        </w:rPr>
      </w:pPr>
    </w:p>
    <w:p w14:paraId="00F8593A">
      <w:pPr>
        <w:rPr>
          <w:rFonts w:hint="eastAsia" w:ascii="宋体" w:hAnsi="宋体" w:eastAsia="宋体" w:cs="宋体"/>
          <w:color w:val="auto"/>
          <w:highlight w:val="none"/>
        </w:rPr>
      </w:pPr>
    </w:p>
    <w:p w14:paraId="6844843C">
      <w:pPr>
        <w:pStyle w:val="4"/>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40"/>
          <w:szCs w:val="40"/>
          <w:highlight w:val="none"/>
        </w:rPr>
        <w:t>第四章 磋商内容及采购要求</w:t>
      </w:r>
      <w:bookmarkEnd w:id="7"/>
    </w:p>
    <w:p w14:paraId="6E9EE113">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w:t>
      </w:r>
    </w:p>
    <w:p w14:paraId="20BD4DDB">
      <w:pPr>
        <w:pStyle w:val="27"/>
        <w:keepNext w:val="0"/>
        <w:keepLines w:val="0"/>
        <w:pageBreakBefore w:val="0"/>
        <w:numPr>
          <w:ilvl w:val="0"/>
          <w:numId w:val="0"/>
        </w:numPr>
        <w:kinsoku/>
        <w:wordWrap/>
        <w:overflowPunct/>
        <w:topLinePunct w:val="0"/>
        <w:bidi w:val="0"/>
        <w:adjustRightInd/>
        <w:snapToGrid/>
        <w:spacing w:line="520" w:lineRule="exact"/>
        <w:ind w:leftChars="233"/>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供应商需完成以下工作：</w:t>
      </w:r>
    </w:p>
    <w:p w14:paraId="5FD56926">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1、现场调查：主要是对周边敏感点和污染源进行现场调查和走访，进行资料收集。</w:t>
      </w:r>
    </w:p>
    <w:p w14:paraId="2D3105C1">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2、生态调查：主要是对中坝河流域开展一期陆生和水生生态调查。</w:t>
      </w:r>
    </w:p>
    <w:p w14:paraId="65931188">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3、监测：主要是对项目地开展地下水、土壤、噪声、地表水环境质量现状进行监测。</w:t>
      </w:r>
    </w:p>
    <w:p w14:paraId="03761613">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4、成果：最终提交纸质版《石泉县中坝河流域（中坝村大桥至后柳集镇中坝大桥段）环境生态治理及水毁修复项目（一期）报告书》六套。</w:t>
      </w:r>
    </w:p>
    <w:p w14:paraId="6A05096C">
      <w:pPr>
        <w:keepNext w:val="0"/>
        <w:keepLines w:val="0"/>
        <w:pageBreakBefore w:val="0"/>
        <w:kinsoku/>
        <w:wordWrap/>
        <w:overflowPunct/>
        <w:topLinePunct w:val="0"/>
        <w:bidi w:val="0"/>
        <w:adjustRightInd/>
        <w:snapToGrid/>
        <w:spacing w:line="520" w:lineRule="exact"/>
        <w:ind w:firstLine="482"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bidi="ar-SA"/>
        </w:rPr>
        <w:t>二、服务期：</w:t>
      </w:r>
      <w:r>
        <w:rPr>
          <w:rFonts w:hint="eastAsia" w:cs="宋体"/>
          <w:b/>
          <w:bCs/>
          <w:color w:val="auto"/>
          <w:kern w:val="2"/>
          <w:sz w:val="24"/>
          <w:szCs w:val="24"/>
          <w:highlight w:val="none"/>
          <w:u w:val="none"/>
          <w:lang w:val="en-US" w:eastAsia="zh-CN" w:bidi="ar-SA"/>
        </w:rPr>
        <w:t>60日历天</w:t>
      </w:r>
    </w:p>
    <w:p w14:paraId="376F7497">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三、质量保证</w:t>
      </w:r>
    </w:p>
    <w:p w14:paraId="2387C0FA">
      <w:pPr>
        <w:pStyle w:val="11"/>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本次项目成交单位需有专业团队，根据项目所需进行服务，所提交的成果应符合国家现行有关标准、规范的规定，并对所提交成果承担相应的法津责任。</w:t>
      </w:r>
    </w:p>
    <w:p w14:paraId="0F0F10AD">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四、技术支持</w:t>
      </w:r>
    </w:p>
    <w:p w14:paraId="1F13183D">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1.提供服务期内技术咨询服务。供应商怠于或无法提供服务支持的，采购人有权委托第三方处理，由此产生的费用和后果由供应商负责。项目实施过程中一旦出现重大问题，项目总协调人应能及时赶到现场。</w:t>
      </w:r>
    </w:p>
    <w:p w14:paraId="677EF16E">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2.供应商在项目实施过程中，质量保障人员、资源不足或者执行不力，给项目质量带来的风险超出采购人认定的允许范围时，采购人可终止本项目的合作并进行索赔。</w:t>
      </w:r>
    </w:p>
    <w:p w14:paraId="24C8EE43">
      <w:pPr>
        <w:pStyle w:val="11"/>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五、服务保证</w:t>
      </w:r>
    </w:p>
    <w:p w14:paraId="7E83610C">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供应商交付的成果及材料必须保证质量可靠，应全面满足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文件的要求，</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文件未明确要求的内容，供应商按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服务要求或以采购人的补充要求为准。所供服务应严格按照国家最新发布的规范标准执行，如发生问题由供应商承担全部责任。</w:t>
      </w:r>
    </w:p>
    <w:p w14:paraId="0C77D83D">
      <w:pPr>
        <w:pStyle w:val="2"/>
        <w:rPr>
          <w:rFonts w:hint="eastAsia"/>
          <w:color w:val="auto"/>
          <w:highlight w:val="none"/>
        </w:rPr>
      </w:pPr>
    </w:p>
    <w:p w14:paraId="5992CF70">
      <w:pPr>
        <w:rPr>
          <w:rFonts w:hint="eastAsia" w:ascii="宋体" w:hAnsi="宋体" w:eastAsia="宋体" w:cs="宋体"/>
          <w:b/>
          <w:bCs/>
          <w:color w:val="auto"/>
          <w:sz w:val="24"/>
          <w:szCs w:val="24"/>
          <w:highlight w:val="none"/>
          <w:lang w:val="en-US" w:eastAsia="zh-CN"/>
        </w:rPr>
      </w:pPr>
    </w:p>
    <w:p w14:paraId="108D1097">
      <w:pPr>
        <w:pStyle w:val="2"/>
        <w:rPr>
          <w:rFonts w:hint="eastAsia" w:ascii="宋体" w:hAnsi="宋体" w:eastAsia="宋体" w:cs="宋体"/>
          <w:b/>
          <w:bCs/>
          <w:color w:val="auto"/>
          <w:sz w:val="24"/>
          <w:szCs w:val="24"/>
          <w:highlight w:val="none"/>
          <w:lang w:val="en-US" w:eastAsia="zh-CN"/>
        </w:rPr>
      </w:pPr>
    </w:p>
    <w:p w14:paraId="64A25FD1">
      <w:pPr>
        <w:pStyle w:val="2"/>
        <w:rPr>
          <w:rFonts w:hint="eastAsia" w:ascii="宋体" w:hAnsi="宋体" w:eastAsia="宋体" w:cs="宋体"/>
          <w:b/>
          <w:bCs/>
          <w:color w:val="auto"/>
          <w:sz w:val="24"/>
          <w:szCs w:val="24"/>
          <w:highlight w:val="none"/>
          <w:lang w:val="en-US" w:eastAsia="zh-CN"/>
        </w:rPr>
      </w:pPr>
    </w:p>
    <w:p w14:paraId="425137DC">
      <w:pPr>
        <w:pStyle w:val="2"/>
        <w:rPr>
          <w:rFonts w:hint="eastAsia" w:ascii="宋体" w:hAnsi="宋体" w:eastAsia="宋体" w:cs="宋体"/>
          <w:b/>
          <w:bCs/>
          <w:color w:val="auto"/>
          <w:sz w:val="24"/>
          <w:szCs w:val="24"/>
          <w:highlight w:val="none"/>
          <w:lang w:val="en-US" w:eastAsia="zh-CN"/>
        </w:rPr>
      </w:pPr>
    </w:p>
    <w:p w14:paraId="2492FB55">
      <w:pPr>
        <w:pStyle w:val="36"/>
        <w:spacing w:before="240" w:after="240"/>
        <w:outlineLvl w:val="0"/>
        <w:rPr>
          <w:rFonts w:hint="eastAsia" w:ascii="宋体" w:hAnsi="宋体" w:eastAsia="宋体" w:cs="宋体"/>
          <w:color w:val="auto"/>
          <w:sz w:val="24"/>
          <w:szCs w:val="24"/>
          <w:highlight w:val="none"/>
        </w:rPr>
      </w:pPr>
      <w:bookmarkStart w:id="8" w:name="_Toc18321"/>
      <w:r>
        <w:rPr>
          <w:rFonts w:hint="eastAsia" w:ascii="宋体" w:hAnsi="宋体" w:eastAsia="宋体" w:cs="宋体"/>
          <w:color w:val="auto"/>
          <w:highlight w:val="none"/>
        </w:rPr>
        <w:t>第五章  合同草案条款</w:t>
      </w:r>
      <w:bookmarkEnd w:id="8"/>
    </w:p>
    <w:p w14:paraId="20B9A867">
      <w:pPr>
        <w:keepNext w:val="0"/>
        <w:keepLines w:val="0"/>
        <w:pageBreakBefore w:val="0"/>
        <w:widowControl w:val="0"/>
        <w:wordWrap/>
        <w:overflowPunct/>
        <w:topLinePunct w:val="0"/>
        <w:autoSpaceDE/>
        <w:autoSpaceDN/>
        <w:bidi w:val="0"/>
        <w:spacing w:before="156" w:beforeLines="50"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第一部分  协议</w:t>
      </w:r>
    </w:p>
    <w:p w14:paraId="3BD613E1">
      <w:pPr>
        <w:keepNext w:val="0"/>
        <w:keepLines w:val="0"/>
        <w:pageBreakBefore w:val="0"/>
        <w:widowControl w:val="0"/>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采购人（全称）：</w:t>
      </w:r>
      <w:r>
        <w:rPr>
          <w:rFonts w:hint="eastAsia" w:ascii="宋体" w:hAnsi="宋体" w:eastAsia="宋体" w:cs="宋体"/>
          <w:b/>
          <w:color w:val="auto"/>
          <w:sz w:val="24"/>
          <w:szCs w:val="24"/>
          <w:highlight w:val="none"/>
          <w:u w:val="single"/>
        </w:rPr>
        <w:t xml:space="preserve">  </w:t>
      </w:r>
      <w:r>
        <w:rPr>
          <w:rFonts w:hint="eastAsia" w:cs="宋体"/>
          <w:b/>
          <w:color w:val="auto"/>
          <w:sz w:val="24"/>
          <w:szCs w:val="24"/>
          <w:highlight w:val="none"/>
          <w:u w:val="single"/>
          <w:lang w:eastAsia="zh-CN"/>
        </w:rPr>
        <w:t xml:space="preserve"> 安康市生态环境局石泉分局</w:t>
      </w:r>
      <w:r>
        <w:rPr>
          <w:rFonts w:hint="eastAsia" w:ascii="宋体" w:hAnsi="宋体" w:eastAsia="宋体" w:cs="宋体"/>
          <w:b/>
          <w:color w:val="auto"/>
          <w:sz w:val="24"/>
          <w:szCs w:val="24"/>
          <w:highlight w:val="none"/>
          <w:u w:val="single"/>
        </w:rPr>
        <w:t xml:space="preserve">                     </w:t>
      </w:r>
    </w:p>
    <w:p w14:paraId="0AB643F4">
      <w:pPr>
        <w:keepNext w:val="0"/>
        <w:keepLines w:val="0"/>
        <w:pageBreakBefore w:val="0"/>
        <w:widowControl w:val="0"/>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供应商（全称）：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ADA6C5E">
      <w:pPr>
        <w:keepNext w:val="0"/>
        <w:keepLines w:val="0"/>
        <w:pageBreakBefore w:val="0"/>
        <w:widowControl w:val="0"/>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》及其他有关法律、法规，遵循平等、自愿、公平和诚信的原则，双方就下述项目范围与相关服务事项协商一致，订立本合同。</w:t>
      </w:r>
    </w:p>
    <w:p w14:paraId="2EF226E0">
      <w:pPr>
        <w:keepNext w:val="0"/>
        <w:keepLines w:val="0"/>
        <w:pageBreakBefore w:val="0"/>
        <w:widowControl w:val="0"/>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18D7AEF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石泉县中坝河流域（中坝村大桥至后柳集镇中坝大桥段）环境生态治理及水毁修复项目（一期）环境影响评价服务项目</w:t>
      </w:r>
    </w:p>
    <w:p w14:paraId="4210BE85">
      <w:pPr>
        <w:keepNext w:val="0"/>
        <w:keepLines w:val="0"/>
        <w:pageBreakBefore w:val="0"/>
        <w:widowControl w:val="0"/>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采购人指定地点</w:t>
      </w:r>
      <w:r>
        <w:rPr>
          <w:rFonts w:hint="eastAsia" w:ascii="宋体" w:hAnsi="宋体" w:eastAsia="宋体" w:cs="宋体"/>
          <w:color w:val="auto"/>
          <w:sz w:val="24"/>
          <w:szCs w:val="24"/>
          <w:highlight w:val="none"/>
          <w:u w:val="single"/>
        </w:rPr>
        <w:t xml:space="preserve"> </w:t>
      </w:r>
    </w:p>
    <w:p w14:paraId="5EFD4B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1E59A5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u w:val="single"/>
          <w:lang w:val="en-US" w:eastAsia="zh-CN" w:bidi="ar-SA"/>
        </w:rPr>
        <w:t>1、现场调查：主要是对周边敏感点和污染源进行现场调查和走访，进行资料收集。</w:t>
      </w:r>
    </w:p>
    <w:p w14:paraId="2AAC061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3.2、生态调查：主要是对中坝河流域开展一期陆生和水生生态调查。</w:t>
      </w:r>
    </w:p>
    <w:p w14:paraId="01A2C6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3.3、监测：主要是对项目地开展地下水、土壤、噪声、地表水环境质量现状进行监测。</w:t>
      </w:r>
    </w:p>
    <w:p w14:paraId="75F15C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3.4、成果：最终提交纸质版《石泉县中坝河流域（中坝村大桥至后柳集镇中坝大桥段）环境生态治理及水毁修复项目（一期）报告书》六套。</w:t>
      </w:r>
    </w:p>
    <w:p w14:paraId="38F1EB83">
      <w:pPr>
        <w:keepNext w:val="0"/>
        <w:keepLines w:val="0"/>
        <w:pageBreakBefore w:val="0"/>
        <w:widowControl w:val="0"/>
        <w:wordWrap/>
        <w:overflowPunct/>
        <w:topLinePunct w:val="0"/>
        <w:autoSpaceDE/>
        <w:autoSpaceDN/>
        <w:bidi w:val="0"/>
        <w:spacing w:line="5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二、组成本合同的文件</w:t>
      </w:r>
    </w:p>
    <w:p w14:paraId="64F8D409">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78991EB1">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成交通知书、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文件、补遗、澄清、</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补充文件（或委托书）；</w:t>
      </w:r>
    </w:p>
    <w:p w14:paraId="42C42194">
      <w:pPr>
        <w:keepNext w:val="0"/>
        <w:keepLines w:val="0"/>
        <w:pageBreakBefore w:val="0"/>
        <w:widowControl w:val="0"/>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3.相关服务建议书；</w:t>
      </w:r>
    </w:p>
    <w:p w14:paraId="455B99F7">
      <w:pPr>
        <w:keepNext w:val="0"/>
        <w:keepLines w:val="0"/>
        <w:pageBreakBefore w:val="0"/>
        <w:widowControl w:val="0"/>
        <w:wordWrap/>
        <w:overflowPunct/>
        <w:topLinePunct w:val="0"/>
        <w:autoSpaceDE/>
        <w:autoSpaceDN/>
        <w:bidi w:val="0"/>
        <w:adjustRightInd w:val="0"/>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附录，即：附表内相关服务的范围和内容；</w:t>
      </w:r>
    </w:p>
    <w:p w14:paraId="75618499">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138C967C">
      <w:pPr>
        <w:keepNext w:val="0"/>
        <w:keepLines w:val="0"/>
        <w:pageBreakBefore w:val="0"/>
        <w:widowControl w:val="0"/>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三、合同价款</w:t>
      </w:r>
    </w:p>
    <w:p w14:paraId="665038CE">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0E02B7A">
      <w:pPr>
        <w:keepNext w:val="0"/>
        <w:keepLines w:val="0"/>
        <w:pageBreakBefore w:val="0"/>
        <w:widowControl w:val="0"/>
        <w:wordWrap/>
        <w:overflowPunct/>
        <w:topLinePunct w:val="0"/>
        <w:autoSpaceDE/>
        <w:autoSpaceDN/>
        <w:bidi w:val="0"/>
        <w:adjustRightInd w:val="0"/>
        <w:snapToGrid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、付款方式：</w:t>
      </w:r>
    </w:p>
    <w:p w14:paraId="640A40EE">
      <w:pPr>
        <w:keepNext w:val="0"/>
        <w:keepLines w:val="0"/>
        <w:pageBreakBefore w:val="0"/>
        <w:widowControl w:val="0"/>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合同总价：人民币 [X] 元（大写：[X]），此价格为含税包干价，包含人工、设备、耗材、运输、培训、利润、税费等项目实施所需的一切费用。​</w:t>
      </w:r>
    </w:p>
    <w:p w14:paraId="116F3D8C">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支付方式：​</w:t>
      </w:r>
    </w:p>
    <w:p w14:paraId="7486C37C">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预付款：合同签订后，甲方向乙方支付合同总价的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2DDCA74A">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进度款：项目完成</w:t>
      </w:r>
      <w:r>
        <w:rPr>
          <w:rFonts w:hint="eastAsia" w:ascii="宋体" w:hAnsi="宋体" w:eastAsia="宋体" w:cs="宋体"/>
          <w:color w:val="auto"/>
          <w:sz w:val="24"/>
          <w:szCs w:val="24"/>
          <w:highlight w:val="none"/>
          <w:lang w:eastAsia="zh-CN"/>
        </w:rPr>
        <w:t>初稿</w:t>
      </w:r>
      <w:r>
        <w:rPr>
          <w:rFonts w:hint="eastAsia" w:ascii="宋体" w:hAnsi="宋体" w:eastAsia="宋体" w:cs="宋体"/>
          <w:color w:val="auto"/>
          <w:sz w:val="24"/>
          <w:szCs w:val="24"/>
          <w:highlight w:val="none"/>
        </w:rPr>
        <w:t>且经甲方确认后，支付至合同总价的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w:t>
      </w:r>
    </w:p>
    <w:p w14:paraId="7EE2E3BE">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尾款：剩余部分待通过专家技术审查后一次付清，支付剩余合同价款。</w:t>
      </w:r>
    </w:p>
    <w:p w14:paraId="0578803E">
      <w:pPr>
        <w:keepNext w:val="0"/>
        <w:keepLines w:val="0"/>
        <w:pageBreakBefore w:val="0"/>
        <w:widowControl w:val="0"/>
        <w:numPr>
          <w:ilvl w:val="0"/>
          <w:numId w:val="5"/>
        </w:numPr>
        <w:wordWrap/>
        <w:overflowPunct/>
        <w:topLinePunct w:val="0"/>
        <w:autoSpaceDE/>
        <w:autoSpaceDN/>
        <w:bidi w:val="0"/>
        <w:adjustRightInd w:val="0"/>
        <w:snapToGrid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验收与交付</w:t>
      </w:r>
      <w:r>
        <w:rPr>
          <w:rFonts w:hint="eastAsia" w:ascii="宋体" w:hAnsi="宋体" w:eastAsia="宋体" w:cs="宋体"/>
          <w:b/>
          <w:color w:val="auto"/>
          <w:sz w:val="24"/>
          <w:szCs w:val="24"/>
          <w:highlight w:val="none"/>
        </w:rPr>
        <w:t>：</w:t>
      </w:r>
    </w:p>
    <w:p w14:paraId="7BD0327C">
      <w:pPr>
        <w:keepNext w:val="0"/>
        <w:keepLines w:val="0"/>
        <w:pageBreakBefore w:val="0"/>
        <w:widowControl w:val="0"/>
        <w:numPr>
          <w:ilvl w:val="0"/>
          <w:numId w:val="0"/>
        </w:numPr>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验收标准：以合同约定的国家标准、行业规范及双方确认的技术方案为依据，重点核查档案整理规范性、数字化成果质量、系统挂接兼容性等。​</w:t>
      </w:r>
    </w:p>
    <w:p w14:paraId="2C572C6B">
      <w:pPr>
        <w:keepNext w:val="0"/>
        <w:keepLines w:val="0"/>
        <w:pageBreakBefore w:val="0"/>
        <w:widowControl w:val="0"/>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验收流程：乙方完成全部工作后，向甲方提交验收申请及成果文件；甲方在收到申请后 [X] 个工作日内组织验收，验收通过后签署验收合格文件；验收不合格的，乙方应在 [X] 日内整改完毕并重新申请验收。</w:t>
      </w:r>
    </w:p>
    <w:p w14:paraId="1C4315C1">
      <w:pPr>
        <w:keepNext w:val="0"/>
        <w:keepLines w:val="0"/>
        <w:pageBreakBefore w:val="0"/>
        <w:widowControl w:val="0"/>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合同争议的解决</w:t>
      </w:r>
    </w:p>
    <w:p w14:paraId="34BDB741">
      <w:pPr>
        <w:keepNext w:val="0"/>
        <w:keepLines w:val="0"/>
        <w:pageBreakBefore w:val="0"/>
        <w:widowControl w:val="0"/>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合同执行中发生争议的，当事人双方应协商解决，协商达不成一致时，可向采购人所在地人民法院提请诉讼。</w:t>
      </w:r>
    </w:p>
    <w:p w14:paraId="415D1C49">
      <w:pPr>
        <w:keepNext w:val="0"/>
        <w:keepLines w:val="0"/>
        <w:pageBreakBefore w:val="0"/>
        <w:widowControl w:val="0"/>
        <w:numPr>
          <w:ilvl w:val="0"/>
          <w:numId w:val="0"/>
        </w:numPr>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违约责任：</w:t>
      </w:r>
    </w:p>
    <w:p w14:paraId="3FBFEACB">
      <w:pPr>
        <w:keepNext w:val="0"/>
        <w:keepLines w:val="0"/>
        <w:pageBreakBefore w:val="0"/>
        <w:widowControl w:val="0"/>
        <w:numPr>
          <w:ilvl w:val="0"/>
          <w:numId w:val="0"/>
        </w:numPr>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若乙方未按合同约定工期完成项目，每逾期一日，应按合同总价的 [X]‰向甲方支付违约金；逾期超过 [X] 日的，甲方有权解除合同，并要求乙方返还已支付款项及赔偿损失。​</w:t>
      </w:r>
    </w:p>
    <w:p w14:paraId="2FF7A54C">
      <w:pPr>
        <w:keepNext w:val="0"/>
        <w:keepLines w:val="0"/>
        <w:pageBreakBefore w:val="0"/>
        <w:widowControl w:val="0"/>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若乙方提供的工作成果不符合质量标准，乙方应负责免费返工；返工后仍不合格的，甲方有权扣除相应款项或解除合同。​</w:t>
      </w:r>
    </w:p>
    <w:p w14:paraId="2C146E7E">
      <w:pPr>
        <w:keepNext w:val="0"/>
        <w:keepLines w:val="0"/>
        <w:pageBreakBefore w:val="0"/>
        <w:widowControl w:val="0"/>
        <w:wordWrap/>
        <w:overflowPunct/>
        <w:topLinePunct w:val="0"/>
        <w:autoSpaceDE/>
        <w:autoSpaceDN/>
        <w:bidi w:val="0"/>
        <w:spacing w:line="5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若甲方未按约定支付款项，每逾期一日，应按未付金额的 [X]‰向乙方支付违约金。</w:t>
      </w:r>
    </w:p>
    <w:p w14:paraId="6CD9D634">
      <w:pPr>
        <w:keepNext w:val="0"/>
        <w:keepLines w:val="0"/>
        <w:pageBreakBefore w:val="0"/>
        <w:widowControl w:val="0"/>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、其他（</w:t>
      </w:r>
      <w:r>
        <w:rPr>
          <w:rFonts w:hint="eastAsia" w:ascii="宋体" w:hAnsi="宋体" w:eastAsia="宋体" w:cs="宋体"/>
          <w:color w:val="auto"/>
          <w:sz w:val="24"/>
          <w:szCs w:val="24"/>
          <w:highlight w:val="none"/>
        </w:rPr>
        <w:t>在合同中具体明确）</w:t>
      </w:r>
    </w:p>
    <w:p w14:paraId="6D3379C7">
      <w:pPr>
        <w:keepNext w:val="0"/>
        <w:keepLines w:val="0"/>
        <w:pageBreakBefore w:val="0"/>
        <w:widowControl w:val="0"/>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、合同订立</w:t>
      </w:r>
    </w:p>
    <w:p w14:paraId="6332195D">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BFE5901">
      <w:pPr>
        <w:keepNext w:val="0"/>
        <w:keepLines w:val="0"/>
        <w:pageBreakBefore w:val="0"/>
        <w:widowControl w:val="0"/>
        <w:wordWrap/>
        <w:overflowPunct/>
        <w:topLinePunct w:val="0"/>
        <w:autoSpaceDE/>
        <w:autoSpaceDN/>
        <w:bidi w:val="0"/>
        <w:adjustRightInd w:val="0"/>
        <w:snapToGrid w:val="0"/>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F7454E">
      <w:pPr>
        <w:keepNext w:val="0"/>
        <w:keepLines w:val="0"/>
        <w:pageBreakBefore w:val="0"/>
        <w:widowControl w:val="0"/>
        <w:tabs>
          <w:tab w:val="left" w:pos="980"/>
        </w:tabs>
        <w:kinsoku w:val="0"/>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2"/>
          <w:szCs w:val="21"/>
          <w:highlight w:val="none"/>
        </w:rPr>
      </w:pPr>
      <w:r>
        <w:rPr>
          <w:rFonts w:hint="eastAsia" w:ascii="宋体" w:hAnsi="宋体" w:eastAsia="宋体" w:cs="宋体"/>
          <w:color w:val="auto"/>
          <w:sz w:val="24"/>
          <w:szCs w:val="24"/>
          <w:highlight w:val="none"/>
        </w:rPr>
        <w:t>3. 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份，监管部门备案</w:t>
      </w:r>
      <w:r>
        <w:rPr>
          <w:rFonts w:hint="eastAsia" w:ascii="宋体" w:hAnsi="宋体" w:eastAsia="宋体" w:cs="宋体"/>
          <w:color w:val="auto"/>
          <w:sz w:val="24"/>
          <w:szCs w:val="24"/>
          <w:highlight w:val="none"/>
          <w:u w:val="single"/>
        </w:rPr>
        <w:t xml:space="preserve"> 壹 </w:t>
      </w:r>
      <w:r>
        <w:rPr>
          <w:rFonts w:hint="eastAsia" w:ascii="宋体" w:hAnsi="宋体" w:eastAsia="宋体" w:cs="宋体"/>
          <w:color w:val="auto"/>
          <w:sz w:val="24"/>
          <w:szCs w:val="24"/>
          <w:highlight w:val="none"/>
        </w:rPr>
        <w:t>份、招标代理机构存档</w:t>
      </w:r>
      <w:r>
        <w:rPr>
          <w:rFonts w:hint="eastAsia" w:ascii="宋体" w:hAnsi="宋体" w:eastAsia="宋体" w:cs="宋体"/>
          <w:color w:val="auto"/>
          <w:sz w:val="24"/>
          <w:szCs w:val="24"/>
          <w:highlight w:val="none"/>
          <w:u w:val="single"/>
        </w:rPr>
        <w:t xml:space="preserve"> 壹 </w:t>
      </w:r>
      <w:r>
        <w:rPr>
          <w:rFonts w:hint="eastAsia" w:ascii="宋体" w:hAnsi="宋体" w:eastAsia="宋体" w:cs="宋体"/>
          <w:color w:val="auto"/>
          <w:sz w:val="24"/>
          <w:szCs w:val="24"/>
          <w:highlight w:val="none"/>
        </w:rPr>
        <w:t>份。各方签字盖章后生效，合同执行完毕自动失效。（合同的服务承诺则长期有</w:t>
      </w:r>
      <w:r>
        <w:rPr>
          <w:rFonts w:hint="eastAsia" w:ascii="宋体" w:hAnsi="宋体" w:eastAsia="宋体" w:cs="宋体"/>
          <w:color w:val="auto"/>
          <w:sz w:val="28"/>
          <w:szCs w:val="28"/>
          <w:highlight w:val="none"/>
        </w:rPr>
        <w:t>效）。</w:t>
      </w:r>
    </w:p>
    <w:p w14:paraId="0ED411EA">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  方（公章）</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乙  方（公章）          鉴 证 方（公章）</w:t>
      </w:r>
    </w:p>
    <w:p w14:paraId="65C0CF18">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               单位名称：                单位名称：</w:t>
      </w:r>
    </w:p>
    <w:p w14:paraId="7334A5E9">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                地    址：</w:t>
      </w:r>
    </w:p>
    <w:p w14:paraId="7CA087BE">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 理 人：               代 理 人：                代 理 人：</w:t>
      </w:r>
    </w:p>
    <w:p w14:paraId="4064F774">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                联系电话：</w:t>
      </w:r>
    </w:p>
    <w:p w14:paraId="7481067C">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帐    号：</w:t>
      </w:r>
    </w:p>
    <w:p w14:paraId="039792F9">
      <w:pPr>
        <w:keepNext w:val="0"/>
        <w:keepLines w:val="0"/>
        <w:pageBreakBefore w:val="0"/>
        <w:widowControl w:val="0"/>
        <w:tabs>
          <w:tab w:val="left" w:pos="480"/>
        </w:tabs>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w:t>
      </w:r>
    </w:p>
    <w:p w14:paraId="266097C2">
      <w:pPr>
        <w:pStyle w:val="4"/>
        <w:pageBreakBefore w:val="0"/>
        <w:widowControl w:val="0"/>
        <w:wordWrap/>
        <w:overflowPunct/>
        <w:topLinePunct w:val="0"/>
        <w:autoSpaceDE/>
        <w:autoSpaceDN/>
        <w:bidi w:val="0"/>
        <w:spacing w:before="42" w:line="520" w:lineRule="exact"/>
        <w:ind w:left="0" w:leftChars="0" w:right="875"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签订日期：               签订日期：                签订日期：</w:t>
      </w:r>
    </w:p>
    <w:p w14:paraId="09849ED0">
      <w:pPr>
        <w:rPr>
          <w:rFonts w:hint="eastAsia" w:ascii="宋体" w:hAnsi="宋体" w:eastAsia="宋体" w:cs="宋体"/>
          <w:color w:val="auto"/>
          <w:highlight w:val="none"/>
        </w:rPr>
      </w:pPr>
    </w:p>
    <w:p w14:paraId="37690A4A">
      <w:pPr>
        <w:pStyle w:val="11"/>
        <w:rPr>
          <w:rFonts w:hint="eastAsia" w:ascii="宋体" w:hAnsi="宋体" w:eastAsia="宋体" w:cs="宋体"/>
          <w:color w:val="auto"/>
          <w:highlight w:val="none"/>
        </w:rPr>
      </w:pPr>
    </w:p>
    <w:p w14:paraId="00DF32C8">
      <w:pPr>
        <w:rPr>
          <w:rFonts w:hint="eastAsia" w:ascii="宋体" w:hAnsi="宋体" w:eastAsia="宋体" w:cs="宋体"/>
          <w:color w:val="auto"/>
          <w:highlight w:val="none"/>
        </w:rPr>
      </w:pPr>
    </w:p>
    <w:p w14:paraId="64C75260">
      <w:pPr>
        <w:pStyle w:val="11"/>
        <w:rPr>
          <w:rFonts w:hint="eastAsia" w:ascii="宋体" w:hAnsi="宋体" w:eastAsia="宋体" w:cs="宋体"/>
          <w:color w:val="auto"/>
          <w:highlight w:val="none"/>
        </w:rPr>
      </w:pPr>
    </w:p>
    <w:p w14:paraId="13ACDF7E">
      <w:pPr>
        <w:rPr>
          <w:rFonts w:hint="eastAsia" w:ascii="宋体" w:hAnsi="宋体" w:eastAsia="宋体" w:cs="宋体"/>
          <w:color w:val="auto"/>
          <w:highlight w:val="none"/>
        </w:rPr>
      </w:pPr>
    </w:p>
    <w:p w14:paraId="7471BDCF">
      <w:pPr>
        <w:pStyle w:val="11"/>
        <w:rPr>
          <w:rFonts w:hint="eastAsia" w:ascii="宋体" w:hAnsi="宋体" w:eastAsia="宋体" w:cs="宋体"/>
          <w:color w:val="auto"/>
          <w:highlight w:val="none"/>
        </w:rPr>
      </w:pPr>
    </w:p>
    <w:p w14:paraId="44FCC4D0">
      <w:pPr>
        <w:rPr>
          <w:rFonts w:hint="eastAsia" w:ascii="宋体" w:hAnsi="宋体" w:eastAsia="宋体" w:cs="宋体"/>
          <w:color w:val="auto"/>
          <w:highlight w:val="none"/>
        </w:rPr>
      </w:pPr>
    </w:p>
    <w:p w14:paraId="3D4A27EF">
      <w:pPr>
        <w:pStyle w:val="11"/>
        <w:rPr>
          <w:rFonts w:hint="eastAsia" w:ascii="宋体" w:hAnsi="宋体" w:eastAsia="宋体" w:cs="宋体"/>
          <w:color w:val="auto"/>
          <w:highlight w:val="none"/>
        </w:rPr>
      </w:pPr>
    </w:p>
    <w:p w14:paraId="148055AF">
      <w:pPr>
        <w:rPr>
          <w:rFonts w:hint="eastAsia" w:ascii="宋体" w:hAnsi="宋体" w:eastAsia="宋体" w:cs="宋体"/>
          <w:color w:val="auto"/>
          <w:highlight w:val="none"/>
        </w:rPr>
      </w:pPr>
    </w:p>
    <w:p w14:paraId="654972FA">
      <w:pPr>
        <w:pStyle w:val="11"/>
        <w:rPr>
          <w:rFonts w:hint="eastAsia" w:ascii="宋体" w:hAnsi="宋体" w:eastAsia="宋体" w:cs="宋体"/>
          <w:color w:val="auto"/>
          <w:highlight w:val="none"/>
        </w:rPr>
      </w:pPr>
    </w:p>
    <w:p w14:paraId="7F9293C9">
      <w:pPr>
        <w:rPr>
          <w:rFonts w:hint="eastAsia" w:ascii="宋体" w:hAnsi="宋体" w:eastAsia="宋体" w:cs="宋体"/>
          <w:color w:val="auto"/>
          <w:highlight w:val="none"/>
        </w:rPr>
      </w:pPr>
    </w:p>
    <w:p w14:paraId="5A4D15D4">
      <w:pPr>
        <w:pStyle w:val="11"/>
        <w:rPr>
          <w:rFonts w:hint="eastAsia" w:ascii="宋体" w:hAnsi="宋体" w:eastAsia="宋体" w:cs="宋体"/>
          <w:color w:val="auto"/>
          <w:highlight w:val="none"/>
        </w:rPr>
      </w:pPr>
    </w:p>
    <w:p w14:paraId="024653A8">
      <w:pPr>
        <w:rPr>
          <w:rFonts w:hint="eastAsia" w:ascii="宋体" w:hAnsi="宋体" w:eastAsia="宋体" w:cs="宋体"/>
          <w:color w:val="auto"/>
          <w:highlight w:val="none"/>
        </w:rPr>
      </w:pPr>
    </w:p>
    <w:p w14:paraId="2FD9B032">
      <w:pPr>
        <w:pStyle w:val="11"/>
        <w:rPr>
          <w:rFonts w:hint="eastAsia" w:ascii="宋体" w:hAnsi="宋体" w:eastAsia="宋体" w:cs="宋体"/>
          <w:color w:val="auto"/>
          <w:highlight w:val="none"/>
        </w:rPr>
      </w:pPr>
    </w:p>
    <w:p w14:paraId="3FAA76E7">
      <w:pPr>
        <w:rPr>
          <w:rFonts w:hint="eastAsia" w:ascii="宋体" w:hAnsi="宋体" w:eastAsia="宋体" w:cs="宋体"/>
          <w:color w:val="auto"/>
          <w:highlight w:val="none"/>
        </w:rPr>
      </w:pPr>
    </w:p>
    <w:p w14:paraId="5889D342">
      <w:pPr>
        <w:pStyle w:val="11"/>
        <w:rPr>
          <w:rFonts w:hint="eastAsia" w:ascii="宋体" w:hAnsi="宋体" w:eastAsia="宋体" w:cs="宋体"/>
          <w:color w:val="auto"/>
          <w:highlight w:val="none"/>
        </w:rPr>
      </w:pPr>
    </w:p>
    <w:p w14:paraId="0E260E87">
      <w:pPr>
        <w:rPr>
          <w:rFonts w:hint="eastAsia" w:ascii="宋体" w:hAnsi="宋体" w:eastAsia="宋体" w:cs="宋体"/>
          <w:color w:val="auto"/>
          <w:highlight w:val="none"/>
        </w:rPr>
      </w:pPr>
    </w:p>
    <w:p w14:paraId="3FBC6742">
      <w:pPr>
        <w:pStyle w:val="11"/>
        <w:rPr>
          <w:rFonts w:hint="eastAsia" w:ascii="宋体" w:hAnsi="宋体" w:eastAsia="宋体" w:cs="宋体"/>
          <w:color w:val="auto"/>
          <w:highlight w:val="none"/>
        </w:rPr>
      </w:pPr>
    </w:p>
    <w:p w14:paraId="4314CC1C">
      <w:pPr>
        <w:pStyle w:val="11"/>
        <w:rPr>
          <w:rFonts w:hint="eastAsia" w:ascii="宋体" w:hAnsi="宋体" w:eastAsia="宋体" w:cs="宋体"/>
          <w:color w:val="auto"/>
          <w:highlight w:val="none"/>
        </w:rPr>
      </w:pPr>
    </w:p>
    <w:p w14:paraId="2B5F76FD">
      <w:pPr>
        <w:rPr>
          <w:rFonts w:hint="eastAsia" w:ascii="宋体" w:hAnsi="宋体" w:eastAsia="宋体" w:cs="宋体"/>
          <w:color w:val="auto"/>
          <w:highlight w:val="none"/>
        </w:rPr>
      </w:pPr>
    </w:p>
    <w:p w14:paraId="128F1FFE">
      <w:pPr>
        <w:pStyle w:val="2"/>
        <w:rPr>
          <w:rFonts w:hint="eastAsia" w:ascii="宋体" w:hAnsi="宋体" w:eastAsia="宋体" w:cs="宋体"/>
          <w:color w:val="auto"/>
          <w:highlight w:val="none"/>
        </w:rPr>
      </w:pPr>
    </w:p>
    <w:p w14:paraId="6C407C22">
      <w:pPr>
        <w:pStyle w:val="2"/>
        <w:rPr>
          <w:rFonts w:hint="eastAsia" w:ascii="宋体" w:hAnsi="宋体" w:eastAsia="宋体" w:cs="宋体"/>
          <w:color w:val="auto"/>
          <w:highlight w:val="none"/>
        </w:rPr>
      </w:pPr>
    </w:p>
    <w:p w14:paraId="0B5F59FC">
      <w:pPr>
        <w:pStyle w:val="2"/>
        <w:rPr>
          <w:rFonts w:hint="eastAsia" w:ascii="宋体" w:hAnsi="宋体" w:eastAsia="宋体" w:cs="宋体"/>
          <w:color w:val="auto"/>
          <w:highlight w:val="none"/>
        </w:rPr>
      </w:pPr>
    </w:p>
    <w:p w14:paraId="37F1BF54">
      <w:pPr>
        <w:pStyle w:val="2"/>
        <w:rPr>
          <w:rFonts w:hint="eastAsia" w:ascii="宋体" w:hAnsi="宋体" w:eastAsia="宋体" w:cs="宋体"/>
          <w:color w:val="auto"/>
          <w:highlight w:val="none"/>
        </w:rPr>
      </w:pPr>
    </w:p>
    <w:p w14:paraId="1853564C">
      <w:pPr>
        <w:pStyle w:val="2"/>
        <w:rPr>
          <w:rFonts w:hint="eastAsia" w:ascii="宋体" w:hAnsi="宋体" w:eastAsia="宋体" w:cs="宋体"/>
          <w:color w:val="auto"/>
          <w:highlight w:val="none"/>
        </w:rPr>
      </w:pPr>
    </w:p>
    <w:p w14:paraId="62DD9A5E">
      <w:pPr>
        <w:pStyle w:val="2"/>
        <w:rPr>
          <w:rFonts w:hint="eastAsia" w:ascii="宋体" w:hAnsi="宋体" w:eastAsia="宋体" w:cs="宋体"/>
          <w:color w:val="auto"/>
          <w:highlight w:val="none"/>
        </w:rPr>
      </w:pPr>
    </w:p>
    <w:p w14:paraId="0228D85F">
      <w:pPr>
        <w:pStyle w:val="2"/>
        <w:rPr>
          <w:rFonts w:hint="eastAsia" w:ascii="宋体" w:hAnsi="宋体" w:eastAsia="宋体" w:cs="宋体"/>
          <w:color w:val="auto"/>
          <w:highlight w:val="none"/>
        </w:rPr>
      </w:pPr>
    </w:p>
    <w:p w14:paraId="4129756F">
      <w:pPr>
        <w:pStyle w:val="2"/>
        <w:rPr>
          <w:rFonts w:hint="eastAsia" w:ascii="宋体" w:hAnsi="宋体" w:eastAsia="宋体" w:cs="宋体"/>
          <w:color w:val="auto"/>
          <w:highlight w:val="none"/>
        </w:rPr>
      </w:pPr>
    </w:p>
    <w:p w14:paraId="54B75849">
      <w:pPr>
        <w:pStyle w:val="2"/>
        <w:rPr>
          <w:rFonts w:hint="eastAsia" w:ascii="宋体" w:hAnsi="宋体" w:eastAsia="宋体" w:cs="宋体"/>
          <w:color w:val="auto"/>
          <w:highlight w:val="none"/>
        </w:rPr>
      </w:pPr>
    </w:p>
    <w:p w14:paraId="685009D5">
      <w:pPr>
        <w:pStyle w:val="2"/>
        <w:rPr>
          <w:rFonts w:hint="eastAsia" w:ascii="宋体" w:hAnsi="宋体" w:eastAsia="宋体" w:cs="宋体"/>
          <w:color w:val="auto"/>
          <w:highlight w:val="none"/>
        </w:rPr>
      </w:pPr>
    </w:p>
    <w:p w14:paraId="3D3A3EE8">
      <w:pPr>
        <w:pStyle w:val="2"/>
        <w:rPr>
          <w:rFonts w:hint="eastAsia" w:ascii="宋体" w:hAnsi="宋体" w:eastAsia="宋体" w:cs="宋体"/>
          <w:color w:val="auto"/>
          <w:highlight w:val="none"/>
        </w:rPr>
      </w:pPr>
    </w:p>
    <w:p w14:paraId="5856CBB2">
      <w:pPr>
        <w:rPr>
          <w:rFonts w:hint="eastAsia" w:ascii="宋体" w:hAnsi="宋体" w:eastAsia="宋体" w:cs="宋体"/>
          <w:color w:val="auto"/>
          <w:highlight w:val="none"/>
        </w:rPr>
      </w:pPr>
    </w:p>
    <w:p w14:paraId="78DB4505">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第六章　磋商响应文件构成及基本格式</w:t>
      </w:r>
    </w:p>
    <w:p w14:paraId="04755AEE">
      <w:pPr>
        <w:spacing w:line="500" w:lineRule="exact"/>
        <w:rPr>
          <w:rFonts w:hint="eastAsia" w:ascii="宋体" w:hAnsi="宋体" w:eastAsia="宋体" w:cs="宋体"/>
          <w:color w:val="auto"/>
          <w:sz w:val="28"/>
          <w:szCs w:val="28"/>
          <w:highlight w:val="none"/>
        </w:rPr>
      </w:pPr>
    </w:p>
    <w:p w14:paraId="1BE1F91D">
      <w:pPr>
        <w:spacing w:line="500" w:lineRule="exact"/>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lang w:val="en-US" w:eastAsia="zh-CN"/>
        </w:rPr>
        <w:t xml:space="preserve">           </w:t>
      </w:r>
    </w:p>
    <w:p w14:paraId="215CC660">
      <w:pPr>
        <w:spacing w:line="500" w:lineRule="exact"/>
        <w:ind w:firstLine="211"/>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正/副本</w:t>
      </w:r>
    </w:p>
    <w:p w14:paraId="4B4EB2CE">
      <w:pPr>
        <w:spacing w:line="500" w:lineRule="exact"/>
        <w:ind w:firstLine="211"/>
        <w:jc w:val="center"/>
        <w:rPr>
          <w:rFonts w:hint="eastAsia" w:ascii="宋体" w:hAnsi="宋体" w:eastAsia="宋体" w:cs="宋体"/>
          <w:b/>
          <w:color w:val="auto"/>
          <w:sz w:val="44"/>
          <w:szCs w:val="44"/>
          <w:highlight w:val="none"/>
        </w:rPr>
      </w:pPr>
    </w:p>
    <w:p w14:paraId="318F1745">
      <w:pPr>
        <w:jc w:val="center"/>
        <w:rPr>
          <w:rFonts w:hint="eastAsia" w:ascii="宋体" w:hAnsi="宋体" w:eastAsia="宋体" w:cs="宋体"/>
          <w:b/>
          <w:color w:val="auto"/>
          <w:sz w:val="44"/>
          <w:highlight w:val="none"/>
          <w:u w:val="single"/>
          <w:lang w:eastAsia="zh-CN"/>
        </w:rPr>
      </w:pPr>
    </w:p>
    <w:p w14:paraId="1E68C3D4">
      <w:pPr>
        <w:pStyle w:val="11"/>
        <w:jc w:val="center"/>
        <w:rPr>
          <w:rFonts w:hint="eastAsia" w:ascii="宋体" w:hAnsi="宋体" w:eastAsia="宋体" w:cs="宋体"/>
          <w:b/>
          <w:color w:val="auto"/>
          <w:sz w:val="44"/>
          <w:szCs w:val="44"/>
          <w:highlight w:val="none"/>
        </w:rPr>
      </w:pPr>
      <w:r>
        <w:rPr>
          <w:rFonts w:hint="eastAsia" w:ascii="宋体" w:hAnsi="宋体" w:cs="宋体"/>
          <w:b/>
          <w:color w:val="auto"/>
          <w:sz w:val="44"/>
          <w:highlight w:val="none"/>
          <w:u w:val="none"/>
          <w:lang w:eastAsia="zh-CN"/>
        </w:rPr>
        <w:t>石泉县中坝河流域（中坝村大桥至后柳集镇中坝大桥段）环境生态治理及水毁修复项目（一期）环境影响评价服务项目</w:t>
      </w:r>
    </w:p>
    <w:p w14:paraId="1E470002">
      <w:pPr>
        <w:rPr>
          <w:rFonts w:hint="eastAsia" w:ascii="宋体" w:hAnsi="宋体" w:eastAsia="宋体" w:cs="宋体"/>
          <w:color w:val="auto"/>
          <w:highlight w:val="none"/>
        </w:rPr>
      </w:pPr>
    </w:p>
    <w:p w14:paraId="76EF74D9">
      <w:pPr>
        <w:jc w:val="center"/>
        <w:rPr>
          <w:rFonts w:hint="eastAsia" w:ascii="宋体" w:hAnsi="宋体" w:eastAsia="宋体" w:cs="宋体"/>
          <w:b/>
          <w:color w:val="auto"/>
          <w:sz w:val="56"/>
          <w:szCs w:val="32"/>
          <w:highlight w:val="none"/>
          <w:u w:val="none"/>
          <w:lang w:eastAsia="zh-CN"/>
        </w:rPr>
      </w:pPr>
    </w:p>
    <w:p w14:paraId="4658C036">
      <w:pPr>
        <w:jc w:val="center"/>
        <w:rPr>
          <w:rFonts w:hint="eastAsia" w:ascii="宋体" w:hAnsi="宋体" w:eastAsia="宋体" w:cs="宋体"/>
          <w:b/>
          <w:color w:val="auto"/>
          <w:sz w:val="56"/>
          <w:szCs w:val="32"/>
          <w:highlight w:val="none"/>
          <w:u w:val="none"/>
          <w:lang w:eastAsia="zh-CN"/>
        </w:rPr>
      </w:pPr>
    </w:p>
    <w:p w14:paraId="7DE40881">
      <w:pPr>
        <w:jc w:val="center"/>
        <w:rPr>
          <w:rFonts w:hint="eastAsia" w:ascii="宋体" w:hAnsi="宋体" w:eastAsia="宋体" w:cs="宋体"/>
          <w:b/>
          <w:color w:val="auto"/>
          <w:sz w:val="56"/>
          <w:szCs w:val="32"/>
          <w:highlight w:val="none"/>
          <w:u w:val="none"/>
          <w:lang w:eastAsia="zh-CN"/>
        </w:rPr>
      </w:pPr>
      <w:r>
        <w:rPr>
          <w:rFonts w:hint="eastAsia" w:ascii="宋体" w:hAnsi="宋体" w:eastAsia="宋体" w:cs="宋体"/>
          <w:b/>
          <w:color w:val="auto"/>
          <w:sz w:val="56"/>
          <w:szCs w:val="32"/>
          <w:highlight w:val="none"/>
          <w:u w:val="none"/>
          <w:lang w:eastAsia="zh-CN"/>
        </w:rPr>
        <w:t>磋商响应文件</w:t>
      </w:r>
    </w:p>
    <w:p w14:paraId="1852F3BA">
      <w:pPr>
        <w:jc w:val="center"/>
        <w:rPr>
          <w:rFonts w:hint="eastAsia" w:ascii="宋体" w:hAnsi="宋体" w:eastAsia="宋体" w:cs="宋体"/>
          <w:b/>
          <w:color w:val="auto"/>
          <w:sz w:val="56"/>
          <w:szCs w:val="32"/>
          <w:highlight w:val="none"/>
          <w:u w:val="none"/>
          <w:lang w:eastAsia="zh-CN"/>
        </w:rPr>
      </w:pPr>
      <w:r>
        <w:rPr>
          <w:rFonts w:hint="eastAsia" w:ascii="宋体" w:hAnsi="宋体" w:eastAsia="宋体" w:cs="宋体"/>
          <w:b/>
          <w:color w:val="auto"/>
          <w:sz w:val="56"/>
          <w:szCs w:val="32"/>
          <w:highlight w:val="none"/>
          <w:u w:val="none"/>
          <w:lang w:eastAsia="zh-CN"/>
        </w:rPr>
        <w:t xml:space="preserve">  </w:t>
      </w:r>
    </w:p>
    <w:p w14:paraId="408EE11D">
      <w:pPr>
        <w:rPr>
          <w:rFonts w:hint="eastAsia" w:ascii="宋体" w:hAnsi="宋体" w:eastAsia="宋体" w:cs="宋体"/>
          <w:color w:val="auto"/>
          <w:sz w:val="32"/>
          <w:szCs w:val="32"/>
          <w:highlight w:val="none"/>
        </w:rPr>
      </w:pPr>
    </w:p>
    <w:p w14:paraId="7F115153">
      <w:pPr>
        <w:pStyle w:val="11"/>
        <w:rPr>
          <w:rFonts w:hint="eastAsia" w:ascii="宋体" w:hAnsi="宋体" w:eastAsia="宋体" w:cs="宋体"/>
          <w:color w:val="auto"/>
          <w:sz w:val="32"/>
          <w:szCs w:val="32"/>
          <w:highlight w:val="none"/>
        </w:rPr>
      </w:pPr>
    </w:p>
    <w:p w14:paraId="0F86EE4A">
      <w:pPr>
        <w:spacing w:line="500" w:lineRule="exact"/>
        <w:rPr>
          <w:rFonts w:hint="eastAsia" w:ascii="宋体" w:hAnsi="宋体" w:eastAsia="宋体" w:cs="宋体"/>
          <w:color w:val="auto"/>
          <w:sz w:val="32"/>
          <w:szCs w:val="32"/>
          <w:highlight w:val="none"/>
        </w:rPr>
      </w:pPr>
    </w:p>
    <w:p w14:paraId="403455AB">
      <w:pPr>
        <w:adjustRightInd w:val="0"/>
        <w:snapToGrid w:val="0"/>
        <w:spacing w:line="1000" w:lineRule="exact"/>
        <w:ind w:firstLine="1576"/>
        <w:outlineLvl w:val="0"/>
        <w:rPr>
          <w:rFonts w:hint="eastAsia" w:ascii="宋体" w:hAnsi="宋体" w:eastAsia="宋体" w:cs="宋体"/>
          <w:b/>
          <w:color w:val="auto"/>
          <w:sz w:val="32"/>
          <w:szCs w:val="32"/>
          <w:highlight w:val="none"/>
          <w:u w:val="thick"/>
        </w:rPr>
      </w:pPr>
      <w:bookmarkStart w:id="9" w:name="_Toc9708"/>
      <w:bookmarkStart w:id="10" w:name="_Toc24344"/>
      <w:r>
        <w:rPr>
          <w:rFonts w:hint="eastAsia" w:ascii="宋体" w:hAnsi="宋体" w:eastAsia="宋体" w:cs="宋体"/>
          <w:b/>
          <w:bCs/>
          <w:color w:val="auto"/>
          <w:sz w:val="32"/>
          <w:szCs w:val="32"/>
          <w:highlight w:val="none"/>
        </w:rPr>
        <w:t>供 应 商（盖章）</w:t>
      </w:r>
      <w:r>
        <w:rPr>
          <w:rFonts w:hint="eastAsia" w:ascii="宋体" w:hAnsi="宋体" w:eastAsia="宋体" w:cs="宋体"/>
          <w:b/>
          <w:color w:val="auto"/>
          <w:sz w:val="32"/>
          <w:szCs w:val="32"/>
          <w:highlight w:val="none"/>
        </w:rPr>
        <w:t>：</w:t>
      </w:r>
      <w:bookmarkEnd w:id="9"/>
      <w:bookmarkEnd w:id="10"/>
    </w:p>
    <w:p w14:paraId="52174785">
      <w:pPr>
        <w:adjustRightInd w:val="0"/>
        <w:snapToGrid w:val="0"/>
        <w:spacing w:line="1000" w:lineRule="exact"/>
        <w:ind w:firstLine="1576"/>
        <w:outlineLvl w:val="0"/>
        <w:rPr>
          <w:rFonts w:hint="eastAsia" w:ascii="宋体" w:hAnsi="宋体" w:eastAsia="宋体" w:cs="宋体"/>
          <w:b/>
          <w:bCs/>
          <w:color w:val="auto"/>
          <w:sz w:val="32"/>
          <w:szCs w:val="32"/>
          <w:highlight w:val="none"/>
          <w:u w:val="thick"/>
        </w:rPr>
      </w:pPr>
      <w:bookmarkStart w:id="11" w:name="_Toc32146"/>
      <w:bookmarkStart w:id="12" w:name="_Toc26102"/>
      <w:r>
        <w:rPr>
          <w:rFonts w:hint="eastAsia" w:ascii="宋体" w:hAnsi="宋体" w:eastAsia="宋体" w:cs="宋体"/>
          <w:b/>
          <w:bCs/>
          <w:color w:val="auto"/>
          <w:sz w:val="32"/>
          <w:szCs w:val="32"/>
          <w:highlight w:val="none"/>
        </w:rPr>
        <w:t>法定代表人或授权委托人（签字</w:t>
      </w:r>
      <w:r>
        <w:rPr>
          <w:rFonts w:hint="eastAsia" w:ascii="宋体" w:hAnsi="宋体" w:eastAsia="宋体" w:cs="宋体"/>
          <w:b/>
          <w:bCs/>
          <w:color w:val="auto"/>
          <w:sz w:val="32"/>
          <w:szCs w:val="32"/>
          <w:highlight w:val="none"/>
          <w:lang w:eastAsia="zh-CN"/>
        </w:rPr>
        <w:t>或</w:t>
      </w:r>
      <w:r>
        <w:rPr>
          <w:rFonts w:hint="eastAsia" w:ascii="宋体" w:hAnsi="宋体" w:eastAsia="宋体" w:cs="宋体"/>
          <w:b/>
          <w:bCs/>
          <w:color w:val="auto"/>
          <w:sz w:val="32"/>
          <w:szCs w:val="32"/>
          <w:highlight w:val="none"/>
        </w:rPr>
        <w:t>盖章）：</w:t>
      </w:r>
      <w:bookmarkEnd w:id="11"/>
      <w:bookmarkEnd w:id="12"/>
    </w:p>
    <w:p w14:paraId="0BC912D3">
      <w:pPr>
        <w:adjustRightInd w:val="0"/>
        <w:snapToGrid w:val="0"/>
        <w:spacing w:line="1000" w:lineRule="exact"/>
        <w:ind w:firstLine="1576"/>
        <w:outlineLvl w:val="0"/>
        <w:rPr>
          <w:rFonts w:hint="eastAsia" w:ascii="宋体" w:hAnsi="宋体" w:eastAsia="宋体" w:cs="宋体"/>
          <w:color w:val="auto"/>
          <w:sz w:val="32"/>
          <w:szCs w:val="32"/>
          <w:highlight w:val="none"/>
          <w:u w:val="thick"/>
        </w:rPr>
      </w:pPr>
      <w:bookmarkStart w:id="13" w:name="_Toc1143"/>
      <w:bookmarkStart w:id="14" w:name="_Toc6355"/>
      <w:r>
        <w:rPr>
          <w:rFonts w:hint="eastAsia" w:ascii="宋体" w:hAnsi="宋体" w:eastAsia="宋体" w:cs="宋体"/>
          <w:b/>
          <w:color w:val="auto"/>
          <w:sz w:val="32"/>
          <w:szCs w:val="32"/>
          <w:highlight w:val="none"/>
        </w:rPr>
        <w:t>时    间</w:t>
      </w:r>
      <w:r>
        <w:rPr>
          <w:rFonts w:hint="eastAsia" w:ascii="宋体" w:hAnsi="宋体" w:eastAsia="宋体" w:cs="宋体"/>
          <w:color w:val="auto"/>
          <w:sz w:val="32"/>
          <w:szCs w:val="32"/>
          <w:highlight w:val="none"/>
        </w:rPr>
        <w:t>：</w:t>
      </w:r>
      <w:bookmarkEnd w:id="13"/>
      <w:bookmarkEnd w:id="14"/>
    </w:p>
    <w:p w14:paraId="69C88C70">
      <w:pPr>
        <w:pageBreakBefore/>
        <w:spacing w:line="500" w:lineRule="exact"/>
        <w:jc w:val="center"/>
        <w:rPr>
          <w:rFonts w:hint="eastAsia" w:ascii="宋体" w:hAnsi="宋体" w:eastAsia="宋体" w:cs="宋体"/>
          <w:b/>
          <w:color w:val="auto"/>
          <w:sz w:val="50"/>
          <w:highlight w:val="none"/>
        </w:rPr>
      </w:pPr>
      <w:r>
        <w:rPr>
          <w:rFonts w:hint="eastAsia" w:ascii="宋体" w:hAnsi="宋体" w:eastAsia="宋体" w:cs="宋体"/>
          <w:b/>
          <w:color w:val="auto"/>
          <w:sz w:val="50"/>
          <w:highlight w:val="none"/>
        </w:rPr>
        <w:t>目　　录</w:t>
      </w:r>
    </w:p>
    <w:p w14:paraId="6B59A56E">
      <w:pPr>
        <w:spacing w:line="600" w:lineRule="auto"/>
        <w:outlineLvl w:val="0"/>
        <w:rPr>
          <w:rFonts w:hint="eastAsia" w:ascii="宋体" w:hAnsi="宋体" w:eastAsia="宋体" w:cs="宋体"/>
          <w:b/>
          <w:bCs/>
          <w:color w:val="auto"/>
          <w:sz w:val="28"/>
          <w:szCs w:val="28"/>
          <w:highlight w:val="none"/>
        </w:rPr>
      </w:pPr>
      <w:bookmarkStart w:id="15" w:name="_Toc32072"/>
      <w:bookmarkStart w:id="16" w:name="_Toc276"/>
      <w:r>
        <w:rPr>
          <w:rFonts w:hint="eastAsia" w:ascii="宋体" w:hAnsi="宋体" w:eastAsia="宋体" w:cs="宋体"/>
          <w:b/>
          <w:bCs/>
          <w:color w:val="auto"/>
          <w:sz w:val="28"/>
          <w:szCs w:val="28"/>
          <w:highlight w:val="none"/>
        </w:rPr>
        <w:t>一、投标函</w:t>
      </w:r>
      <w:bookmarkEnd w:id="15"/>
      <w:bookmarkEnd w:id="16"/>
    </w:p>
    <w:p w14:paraId="3CB4A832">
      <w:pPr>
        <w:spacing w:line="600" w:lineRule="auto"/>
        <w:outlineLvl w:val="0"/>
        <w:rPr>
          <w:rFonts w:hint="eastAsia" w:ascii="宋体" w:hAnsi="宋体" w:eastAsia="宋体" w:cs="宋体"/>
          <w:b/>
          <w:bCs/>
          <w:color w:val="auto"/>
          <w:sz w:val="28"/>
          <w:szCs w:val="28"/>
          <w:highlight w:val="none"/>
        </w:rPr>
      </w:pPr>
      <w:bookmarkStart w:id="17" w:name="_Toc1351"/>
      <w:bookmarkStart w:id="18" w:name="_Toc25752"/>
      <w:r>
        <w:rPr>
          <w:rFonts w:hint="eastAsia" w:ascii="宋体" w:hAnsi="宋体" w:eastAsia="宋体" w:cs="宋体"/>
          <w:b/>
          <w:bCs/>
          <w:color w:val="auto"/>
          <w:sz w:val="28"/>
          <w:szCs w:val="28"/>
          <w:highlight w:val="none"/>
        </w:rPr>
        <w:t>二、</w:t>
      </w:r>
      <w:bookmarkEnd w:id="17"/>
      <w:bookmarkEnd w:id="18"/>
      <w:r>
        <w:rPr>
          <w:rFonts w:hint="eastAsia" w:ascii="宋体" w:hAnsi="宋体" w:eastAsia="宋体" w:cs="宋体"/>
          <w:b/>
          <w:bCs/>
          <w:color w:val="auto"/>
          <w:sz w:val="28"/>
          <w:szCs w:val="28"/>
          <w:highlight w:val="none"/>
        </w:rPr>
        <w:t>磋商报价表</w:t>
      </w:r>
    </w:p>
    <w:p w14:paraId="2C845DFC">
      <w:pPr>
        <w:spacing w:line="600" w:lineRule="auto"/>
        <w:outlineLvl w:val="0"/>
        <w:rPr>
          <w:rFonts w:hint="eastAsia" w:ascii="宋体" w:hAnsi="宋体" w:eastAsia="宋体" w:cs="宋体"/>
          <w:b/>
          <w:bCs/>
          <w:color w:val="auto"/>
          <w:sz w:val="28"/>
          <w:szCs w:val="28"/>
          <w:highlight w:val="none"/>
        </w:rPr>
      </w:pPr>
      <w:bookmarkStart w:id="19" w:name="_Toc5745"/>
      <w:bookmarkStart w:id="20" w:name="_Toc1961"/>
      <w:r>
        <w:rPr>
          <w:rFonts w:hint="eastAsia" w:ascii="宋体" w:hAnsi="宋体" w:eastAsia="宋体" w:cs="宋体"/>
          <w:b/>
          <w:bCs/>
          <w:color w:val="auto"/>
          <w:sz w:val="28"/>
          <w:szCs w:val="28"/>
          <w:highlight w:val="none"/>
        </w:rPr>
        <w:t>三、</w:t>
      </w:r>
      <w:bookmarkEnd w:id="19"/>
      <w:r>
        <w:rPr>
          <w:rFonts w:hint="eastAsia" w:ascii="宋体" w:hAnsi="宋体" w:eastAsia="宋体" w:cs="宋体"/>
          <w:b/>
          <w:bCs/>
          <w:color w:val="auto"/>
          <w:sz w:val="28"/>
          <w:szCs w:val="28"/>
          <w:highlight w:val="none"/>
        </w:rPr>
        <w:t>资格证明文件</w:t>
      </w:r>
      <w:bookmarkEnd w:id="20"/>
    </w:p>
    <w:p w14:paraId="3D8FC12F">
      <w:pPr>
        <w:spacing w:line="600" w:lineRule="auto"/>
        <w:outlineLvl w:val="0"/>
        <w:rPr>
          <w:rFonts w:hint="eastAsia" w:ascii="宋体" w:hAnsi="宋体" w:eastAsia="宋体" w:cs="宋体"/>
          <w:b/>
          <w:bCs/>
          <w:color w:val="auto"/>
          <w:sz w:val="28"/>
          <w:szCs w:val="28"/>
          <w:highlight w:val="none"/>
        </w:rPr>
      </w:pPr>
      <w:bookmarkStart w:id="21" w:name="_Toc31762"/>
      <w:bookmarkStart w:id="22" w:name="_Toc7257"/>
      <w:r>
        <w:rPr>
          <w:rFonts w:hint="eastAsia" w:ascii="宋体" w:hAnsi="宋体" w:eastAsia="宋体" w:cs="宋体"/>
          <w:b/>
          <w:bCs/>
          <w:color w:val="auto"/>
          <w:sz w:val="28"/>
          <w:szCs w:val="28"/>
          <w:highlight w:val="none"/>
        </w:rPr>
        <w:t xml:space="preserve">四、 </w:t>
      </w:r>
      <w:bookmarkEnd w:id="21"/>
      <w:r>
        <w:rPr>
          <w:rFonts w:hint="eastAsia" w:ascii="宋体" w:hAnsi="宋体" w:eastAsia="宋体" w:cs="宋体"/>
          <w:b/>
          <w:bCs/>
          <w:color w:val="auto"/>
          <w:sz w:val="28"/>
          <w:szCs w:val="28"/>
          <w:highlight w:val="none"/>
        </w:rPr>
        <w:t>投标方案</w:t>
      </w:r>
      <w:bookmarkEnd w:id="22"/>
      <w:bookmarkStart w:id="23" w:name="_Toc26495"/>
    </w:p>
    <w:p w14:paraId="4F3C14FC">
      <w:pPr>
        <w:spacing w:line="600" w:lineRule="auto"/>
        <w:outlineLvl w:val="0"/>
        <w:rPr>
          <w:rFonts w:hint="eastAsia" w:ascii="宋体" w:hAnsi="宋体" w:eastAsia="宋体" w:cs="宋体"/>
          <w:b/>
          <w:bCs/>
          <w:color w:val="auto"/>
          <w:sz w:val="28"/>
          <w:szCs w:val="28"/>
          <w:highlight w:val="none"/>
        </w:rPr>
      </w:pPr>
      <w:bookmarkStart w:id="24" w:name="_Toc2551"/>
      <w:r>
        <w:rPr>
          <w:rFonts w:hint="eastAsia" w:ascii="宋体" w:hAnsi="宋体" w:eastAsia="宋体" w:cs="宋体"/>
          <w:b/>
          <w:bCs/>
          <w:color w:val="auto"/>
          <w:sz w:val="28"/>
          <w:szCs w:val="28"/>
          <w:highlight w:val="none"/>
        </w:rPr>
        <w:t>五、投标人近三年类似项目业绩</w:t>
      </w:r>
      <w:bookmarkEnd w:id="24"/>
    </w:p>
    <w:p w14:paraId="2B722E68">
      <w:pPr>
        <w:spacing w:line="600" w:lineRule="auto"/>
        <w:outlineLvl w:val="0"/>
        <w:rPr>
          <w:rFonts w:hint="eastAsia" w:ascii="宋体" w:hAnsi="宋体" w:eastAsia="宋体" w:cs="宋体"/>
          <w:b/>
          <w:bCs/>
          <w:color w:val="auto"/>
          <w:sz w:val="28"/>
          <w:szCs w:val="28"/>
          <w:highlight w:val="none"/>
        </w:rPr>
      </w:pPr>
      <w:bookmarkStart w:id="25" w:name="_Toc131"/>
      <w:r>
        <w:rPr>
          <w:rFonts w:hint="eastAsia" w:ascii="宋体" w:hAnsi="宋体" w:eastAsia="宋体" w:cs="宋体"/>
          <w:b/>
          <w:bCs/>
          <w:color w:val="auto"/>
          <w:sz w:val="28"/>
          <w:szCs w:val="28"/>
          <w:highlight w:val="none"/>
        </w:rPr>
        <w:t>六、政府采购投标人拒绝政府采购领域商业贿赂承诺书</w:t>
      </w:r>
      <w:bookmarkEnd w:id="25"/>
    </w:p>
    <w:bookmarkEnd w:id="23"/>
    <w:p w14:paraId="290BE8D4">
      <w:pPr>
        <w:spacing w:line="600" w:lineRule="auto"/>
        <w:outlineLvl w:val="0"/>
        <w:rPr>
          <w:rFonts w:hint="eastAsia" w:ascii="宋体" w:hAnsi="宋体" w:eastAsia="宋体" w:cs="宋体"/>
          <w:b/>
          <w:bCs/>
          <w:color w:val="auto"/>
          <w:sz w:val="28"/>
          <w:szCs w:val="28"/>
          <w:highlight w:val="none"/>
        </w:rPr>
      </w:pPr>
      <w:bookmarkStart w:id="26" w:name="_Toc20217"/>
      <w:bookmarkStart w:id="27" w:name="_Toc22362"/>
      <w:r>
        <w:rPr>
          <w:rFonts w:hint="eastAsia" w:ascii="宋体" w:hAnsi="宋体" w:eastAsia="宋体" w:cs="宋体"/>
          <w:b/>
          <w:bCs/>
          <w:color w:val="auto"/>
          <w:sz w:val="28"/>
          <w:szCs w:val="28"/>
          <w:highlight w:val="none"/>
        </w:rPr>
        <w:t>七、其他材料</w:t>
      </w:r>
      <w:bookmarkEnd w:id="26"/>
      <w:bookmarkEnd w:id="27"/>
    </w:p>
    <w:p w14:paraId="1CEF4A84">
      <w:pPr>
        <w:pStyle w:val="25"/>
        <w:autoSpaceDE w:val="0"/>
        <w:autoSpaceDN w:val="0"/>
        <w:spacing w:line="600" w:lineRule="auto"/>
        <w:ind w:firstLine="560" w:firstLineChars="200"/>
        <w:jc w:val="left"/>
        <w:rPr>
          <w:rFonts w:hint="eastAsia" w:ascii="宋体" w:hAnsi="宋体" w:eastAsia="宋体" w:cs="宋体"/>
          <w:b w:val="0"/>
          <w:color w:val="auto"/>
          <w:kern w:val="2"/>
          <w:sz w:val="28"/>
          <w:szCs w:val="28"/>
          <w:highlight w:val="none"/>
        </w:rPr>
      </w:pPr>
    </w:p>
    <w:p w14:paraId="26149EC0">
      <w:pPr>
        <w:pStyle w:val="25"/>
        <w:autoSpaceDE w:val="0"/>
        <w:autoSpaceDN w:val="0"/>
        <w:spacing w:line="600" w:lineRule="auto"/>
        <w:ind w:firstLine="560" w:firstLineChars="200"/>
        <w:jc w:val="left"/>
        <w:rPr>
          <w:rFonts w:hint="eastAsia" w:ascii="宋体" w:hAnsi="宋体" w:eastAsia="宋体" w:cs="宋体"/>
          <w:b w:val="0"/>
          <w:color w:val="auto"/>
          <w:kern w:val="2"/>
          <w:sz w:val="28"/>
          <w:szCs w:val="28"/>
          <w:highlight w:val="none"/>
        </w:rPr>
      </w:pPr>
    </w:p>
    <w:p w14:paraId="0BCEA824">
      <w:pPr>
        <w:pStyle w:val="25"/>
        <w:autoSpaceDE w:val="0"/>
        <w:autoSpaceDN w:val="0"/>
        <w:spacing w:line="600" w:lineRule="auto"/>
        <w:ind w:firstLine="560" w:firstLineChars="200"/>
        <w:jc w:val="left"/>
        <w:rPr>
          <w:rFonts w:hint="eastAsia" w:ascii="宋体" w:hAnsi="宋体" w:eastAsia="宋体" w:cs="宋体"/>
          <w:b w:val="0"/>
          <w:color w:val="auto"/>
          <w:sz w:val="28"/>
          <w:szCs w:val="28"/>
          <w:highlight w:val="none"/>
        </w:rPr>
      </w:pPr>
    </w:p>
    <w:p w14:paraId="7B3B6050">
      <w:pPr>
        <w:pStyle w:val="25"/>
        <w:spacing w:line="500" w:lineRule="exact"/>
        <w:jc w:val="left"/>
        <w:rPr>
          <w:rFonts w:hint="eastAsia" w:ascii="宋体" w:hAnsi="宋体" w:eastAsia="宋体" w:cs="宋体"/>
          <w:bCs/>
          <w:color w:val="auto"/>
          <w:sz w:val="28"/>
          <w:szCs w:val="28"/>
          <w:highlight w:val="none"/>
        </w:rPr>
      </w:pPr>
    </w:p>
    <w:p w14:paraId="1918A54A">
      <w:pPr>
        <w:pStyle w:val="25"/>
        <w:spacing w:line="500" w:lineRule="exact"/>
        <w:jc w:val="left"/>
        <w:rPr>
          <w:rFonts w:hint="eastAsia" w:ascii="宋体" w:hAnsi="宋体" w:eastAsia="宋体" w:cs="宋体"/>
          <w:bCs/>
          <w:color w:val="auto"/>
          <w:sz w:val="28"/>
          <w:szCs w:val="28"/>
          <w:highlight w:val="none"/>
        </w:rPr>
      </w:pPr>
    </w:p>
    <w:p w14:paraId="72260B94">
      <w:pPr>
        <w:pStyle w:val="25"/>
        <w:spacing w:line="500" w:lineRule="exact"/>
        <w:jc w:val="left"/>
        <w:rPr>
          <w:rFonts w:hint="eastAsia" w:ascii="宋体" w:hAnsi="宋体" w:eastAsia="宋体" w:cs="宋体"/>
          <w:bCs/>
          <w:color w:val="auto"/>
          <w:sz w:val="28"/>
          <w:szCs w:val="28"/>
          <w:highlight w:val="none"/>
        </w:rPr>
      </w:pPr>
    </w:p>
    <w:p w14:paraId="78F6EF0E">
      <w:pPr>
        <w:pStyle w:val="25"/>
        <w:spacing w:line="500" w:lineRule="exact"/>
        <w:jc w:val="left"/>
        <w:rPr>
          <w:rFonts w:hint="eastAsia" w:ascii="宋体" w:hAnsi="宋体" w:eastAsia="宋体" w:cs="宋体"/>
          <w:bCs/>
          <w:color w:val="auto"/>
          <w:sz w:val="28"/>
          <w:szCs w:val="28"/>
          <w:highlight w:val="none"/>
        </w:rPr>
      </w:pPr>
    </w:p>
    <w:p w14:paraId="66059138">
      <w:pPr>
        <w:pStyle w:val="25"/>
        <w:spacing w:line="500" w:lineRule="exact"/>
        <w:jc w:val="left"/>
        <w:rPr>
          <w:rFonts w:hint="eastAsia" w:ascii="宋体" w:hAnsi="宋体" w:eastAsia="宋体" w:cs="宋体"/>
          <w:bCs/>
          <w:color w:val="auto"/>
          <w:sz w:val="28"/>
          <w:szCs w:val="28"/>
          <w:highlight w:val="none"/>
        </w:rPr>
      </w:pPr>
    </w:p>
    <w:p w14:paraId="5C0A2FFD">
      <w:pPr>
        <w:pStyle w:val="25"/>
        <w:spacing w:line="500" w:lineRule="exact"/>
        <w:jc w:val="left"/>
        <w:rPr>
          <w:rFonts w:hint="eastAsia" w:ascii="宋体" w:hAnsi="宋体" w:eastAsia="宋体" w:cs="宋体"/>
          <w:bCs/>
          <w:color w:val="auto"/>
          <w:sz w:val="28"/>
          <w:szCs w:val="28"/>
          <w:highlight w:val="none"/>
        </w:rPr>
      </w:pPr>
    </w:p>
    <w:p w14:paraId="7BEBE92F">
      <w:pPr>
        <w:pStyle w:val="25"/>
        <w:spacing w:line="500" w:lineRule="exact"/>
        <w:jc w:val="left"/>
        <w:rPr>
          <w:rFonts w:hint="eastAsia" w:ascii="宋体" w:hAnsi="宋体" w:eastAsia="宋体" w:cs="宋体"/>
          <w:bCs/>
          <w:color w:val="auto"/>
          <w:sz w:val="28"/>
          <w:szCs w:val="28"/>
          <w:highlight w:val="none"/>
        </w:rPr>
      </w:pPr>
    </w:p>
    <w:p w14:paraId="0FE29CC9">
      <w:pPr>
        <w:pStyle w:val="25"/>
        <w:spacing w:line="500" w:lineRule="exact"/>
        <w:jc w:val="left"/>
        <w:rPr>
          <w:rFonts w:hint="eastAsia" w:ascii="宋体" w:hAnsi="宋体" w:eastAsia="宋体" w:cs="宋体"/>
          <w:bCs/>
          <w:color w:val="auto"/>
          <w:sz w:val="28"/>
          <w:szCs w:val="28"/>
          <w:highlight w:val="none"/>
        </w:rPr>
      </w:pPr>
    </w:p>
    <w:p w14:paraId="32BFBF4C">
      <w:pPr>
        <w:pStyle w:val="25"/>
        <w:autoSpaceDE w:val="0"/>
        <w:autoSpaceDN w:val="0"/>
        <w:spacing w:line="500" w:lineRule="exact"/>
        <w:rPr>
          <w:rFonts w:hint="eastAsia" w:ascii="宋体" w:hAnsi="宋体" w:eastAsia="宋体" w:cs="宋体"/>
          <w:color w:val="auto"/>
          <w:kern w:val="2"/>
          <w:sz w:val="32"/>
          <w:highlight w:val="none"/>
        </w:rPr>
      </w:pPr>
      <w:r>
        <w:rPr>
          <w:rFonts w:hint="eastAsia" w:ascii="宋体" w:hAnsi="宋体" w:eastAsia="宋体" w:cs="宋体"/>
          <w:color w:val="auto"/>
          <w:kern w:val="2"/>
          <w:sz w:val="32"/>
          <w:highlight w:val="none"/>
        </w:rPr>
        <w:t>一、投标函</w:t>
      </w:r>
    </w:p>
    <w:p w14:paraId="0DD4E552">
      <w:pPr>
        <w:pStyle w:val="12"/>
        <w:ind w:firstLine="420" w:firstLineChars="200"/>
        <w:rPr>
          <w:rFonts w:hint="eastAsia" w:ascii="宋体" w:hAnsi="宋体" w:eastAsia="宋体" w:cs="宋体"/>
          <w:color w:val="auto"/>
          <w:highlight w:val="none"/>
        </w:rPr>
      </w:pPr>
    </w:p>
    <w:p w14:paraId="050D9CBC">
      <w:pPr>
        <w:pStyle w:val="12"/>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亿诚建设项目管理有限公司：</w:t>
      </w:r>
    </w:p>
    <w:p w14:paraId="3DB6A2FF">
      <w:pPr>
        <w:pStyle w:val="12"/>
        <w:tabs>
          <w:tab w:val="left" w:pos="4167"/>
          <w:tab w:val="left" w:pos="8140"/>
          <w:tab w:val="left" w:pos="9288"/>
          <w:tab w:val="left" w:pos="9680"/>
        </w:tabs>
        <w:spacing w:before="93" w:line="312" w:lineRule="auto"/>
        <w:ind w:left="1396" w:leftChars="436" w:right="70" w:hanging="480" w:hanging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根据贵单位</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（项目名称）    </w:t>
      </w:r>
      <w:r>
        <w:rPr>
          <w:rFonts w:hint="eastAsia" w:ascii="宋体" w:hAnsi="宋体" w:eastAsia="宋体" w:cs="宋体"/>
          <w:color w:val="auto"/>
          <w:spacing w:val="-56"/>
          <w:sz w:val="24"/>
          <w:szCs w:val="32"/>
          <w:highlight w:val="none"/>
          <w:u w:val="single"/>
        </w:rPr>
        <w:t>，</w:t>
      </w:r>
      <w:r>
        <w:rPr>
          <w:rFonts w:hint="eastAsia" w:ascii="宋体" w:hAnsi="宋体" w:eastAsia="宋体" w:cs="宋体"/>
          <w:color w:val="auto"/>
          <w:sz w:val="24"/>
          <w:szCs w:val="32"/>
          <w:highlight w:val="none"/>
          <w:u w:val="single"/>
        </w:rPr>
        <w:t>项目编号：</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的</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公告，</w:t>
      </w:r>
    </w:p>
    <w:p w14:paraId="5514C32B">
      <w:pPr>
        <w:pStyle w:val="12"/>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我方代表</w:t>
      </w:r>
      <w:r>
        <w:rPr>
          <w:rFonts w:hint="eastAsia" w:ascii="宋体" w:hAnsi="宋体" w:eastAsia="宋体" w:cs="宋体"/>
          <w:color w:val="auto"/>
          <w:sz w:val="24"/>
          <w:szCs w:val="32"/>
          <w:highlight w:val="none"/>
          <w:u w:val="single"/>
        </w:rPr>
        <w:t xml:space="preserve">（姓名、职务） </w:t>
      </w:r>
      <w:r>
        <w:rPr>
          <w:rFonts w:hint="eastAsia" w:ascii="宋体" w:hAnsi="宋体" w:eastAsia="宋体" w:cs="宋体"/>
          <w:color w:val="auto"/>
          <w:sz w:val="24"/>
          <w:szCs w:val="32"/>
          <w:highlight w:val="none"/>
        </w:rPr>
        <w:t>经正式授权并代表</w:t>
      </w:r>
      <w:r>
        <w:rPr>
          <w:rFonts w:hint="eastAsia" w:ascii="宋体" w:hAnsi="宋体" w:eastAsia="宋体" w:cs="宋体"/>
          <w:color w:val="auto"/>
          <w:sz w:val="24"/>
          <w:szCs w:val="32"/>
          <w:highlight w:val="none"/>
          <w:u w:val="single"/>
        </w:rPr>
        <w:t xml:space="preserve">（投标人名称） </w:t>
      </w:r>
      <w:r>
        <w:rPr>
          <w:rFonts w:hint="eastAsia" w:ascii="宋体" w:hAnsi="宋体" w:eastAsia="宋体" w:cs="宋体"/>
          <w:color w:val="auto"/>
          <w:spacing w:val="-14"/>
          <w:sz w:val="24"/>
          <w:szCs w:val="32"/>
          <w:highlight w:val="none"/>
        </w:rPr>
        <w:t>就</w:t>
      </w:r>
      <w:r>
        <w:rPr>
          <w:rFonts w:hint="eastAsia" w:ascii="宋体" w:hAnsi="宋体" w:eastAsia="宋体" w:cs="宋体"/>
          <w:color w:val="auto"/>
          <w:sz w:val="24"/>
          <w:szCs w:val="32"/>
          <w:highlight w:val="none"/>
        </w:rPr>
        <w:t>该项目进行投标。</w:t>
      </w:r>
    </w:p>
    <w:p w14:paraId="5C88325C">
      <w:pPr>
        <w:pStyle w:val="5"/>
        <w:spacing w:before="1"/>
        <w:ind w:firstLine="480" w:firstLineChars="200"/>
        <w:rPr>
          <w:rFonts w:hint="eastAsia" w:ascii="宋体" w:hAnsi="宋体" w:eastAsia="宋体" w:cs="宋体"/>
          <w:color w:val="auto"/>
          <w:sz w:val="24"/>
          <w:highlight w:val="none"/>
          <w:lang w:val="zh-CN" w:bidi="zh-CN"/>
        </w:rPr>
      </w:pPr>
      <w:bookmarkStart w:id="28" w:name="_Toc31055"/>
      <w:r>
        <w:rPr>
          <w:rFonts w:hint="eastAsia" w:ascii="宋体" w:hAnsi="宋体" w:eastAsia="宋体" w:cs="宋体"/>
          <w:color w:val="auto"/>
          <w:sz w:val="24"/>
          <w:highlight w:val="none"/>
          <w:lang w:val="zh-CN" w:bidi="zh-CN"/>
        </w:rPr>
        <w:t>在此，签字代表宣布同意如下：</w:t>
      </w:r>
      <w:bookmarkEnd w:id="28"/>
    </w:p>
    <w:p w14:paraId="12E324D0">
      <w:pPr>
        <w:pStyle w:val="71"/>
        <w:numPr>
          <w:ilvl w:val="0"/>
          <w:numId w:val="6"/>
        </w:numPr>
        <w:tabs>
          <w:tab w:val="left" w:pos="2301"/>
        </w:tabs>
        <w:spacing w:before="156" w:line="374" w:lineRule="auto"/>
        <w:ind w:right="29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所附投标报价表中规定的应提交和交付的服务投标报价为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rPr>
        <w:t>元</w:t>
      </w:r>
      <w:r>
        <w:rPr>
          <w:rFonts w:hint="eastAsia" w:ascii="宋体" w:hAnsi="宋体" w:eastAsia="宋体" w:cs="宋体"/>
          <w:color w:val="auto"/>
          <w:sz w:val="24"/>
          <w:highlight w:val="none"/>
          <w:lang w:val="en-US" w:eastAsia="zh-CN"/>
        </w:rPr>
        <w:t>。</w:t>
      </w:r>
    </w:p>
    <w:p w14:paraId="27D7ABF7">
      <w:pPr>
        <w:pStyle w:val="71"/>
        <w:numPr>
          <w:ilvl w:val="0"/>
          <w:numId w:val="6"/>
        </w:numPr>
        <w:tabs>
          <w:tab w:val="left" w:pos="2301"/>
        </w:tabs>
        <w:spacing w:before="156" w:line="374" w:lineRule="auto"/>
        <w:ind w:right="150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投标人将按磋商文件的规定履行合同责任和义务。</w:t>
      </w:r>
    </w:p>
    <w:p w14:paraId="49A2F694">
      <w:pPr>
        <w:pStyle w:val="71"/>
        <w:numPr>
          <w:ilvl w:val="0"/>
          <w:numId w:val="6"/>
        </w:numPr>
        <w:tabs>
          <w:tab w:val="left" w:pos="2301"/>
        </w:tabs>
        <w:spacing w:before="156" w:line="374" w:lineRule="auto"/>
        <w:ind w:right="290" w:firstLine="476"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投标人已详细审查全部磋商文件。我们完全理解并同意放弃对这方面</w:t>
      </w:r>
      <w:r>
        <w:rPr>
          <w:rFonts w:hint="eastAsia" w:ascii="宋体" w:hAnsi="宋体" w:eastAsia="宋体" w:cs="宋体"/>
          <w:color w:val="auto"/>
          <w:sz w:val="24"/>
          <w:highlight w:val="none"/>
        </w:rPr>
        <w:t>有不明及误解的权力。</w:t>
      </w:r>
    </w:p>
    <w:p w14:paraId="69016A92">
      <w:pPr>
        <w:pStyle w:val="71"/>
        <w:numPr>
          <w:ilvl w:val="0"/>
          <w:numId w:val="6"/>
        </w:numPr>
        <w:tabs>
          <w:tab w:val="left" w:pos="2301"/>
        </w:tabs>
        <w:spacing w:before="156" w:line="374" w:lineRule="auto"/>
        <w:ind w:right="86" w:rightChars="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本投标有效期为自开标日起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日历日（</w:t>
      </w:r>
      <w:r>
        <w:rPr>
          <w:rFonts w:hint="eastAsia" w:ascii="宋体" w:hAnsi="宋体" w:eastAsia="宋体" w:cs="宋体"/>
          <w:color w:val="auto"/>
          <w:spacing w:val="-2"/>
          <w:sz w:val="24"/>
          <w:highlight w:val="none"/>
        </w:rPr>
        <w:t>中标人的投标文件有效期延</w:t>
      </w:r>
      <w:r>
        <w:rPr>
          <w:rFonts w:hint="eastAsia" w:ascii="宋体" w:hAnsi="宋体" w:eastAsia="宋体" w:cs="宋体"/>
          <w:color w:val="auto"/>
          <w:sz w:val="24"/>
          <w:highlight w:val="none"/>
        </w:rPr>
        <w:t>长为与合同有效期一致）。</w:t>
      </w:r>
    </w:p>
    <w:p w14:paraId="391BE556">
      <w:pPr>
        <w:pStyle w:val="71"/>
        <w:numPr>
          <w:ilvl w:val="0"/>
          <w:numId w:val="6"/>
        </w:numPr>
        <w:tabs>
          <w:tab w:val="left" w:pos="2301"/>
        </w:tabs>
        <w:spacing w:before="156" w:line="374" w:lineRule="auto"/>
        <w:ind w:right="86" w:rightChars="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投标人同意提供按照贵方可能要求的与其投标有关的一切数据或资料</w:t>
      </w:r>
      <w:r>
        <w:rPr>
          <w:rFonts w:hint="eastAsia" w:ascii="宋体" w:hAnsi="宋体" w:eastAsia="宋体" w:cs="宋体"/>
          <w:color w:val="auto"/>
          <w:spacing w:val="-4"/>
          <w:sz w:val="24"/>
          <w:highlight w:val="none"/>
        </w:rPr>
        <w:t>，完全理解贵方不一定接受最低投标报价的投标或收到的任何投标。</w:t>
      </w:r>
    </w:p>
    <w:p w14:paraId="22DD49AA">
      <w:pPr>
        <w:pStyle w:val="71"/>
        <w:numPr>
          <w:ilvl w:val="0"/>
          <w:numId w:val="6"/>
        </w:numPr>
        <w:tabs>
          <w:tab w:val="left" w:pos="2301"/>
        </w:tabs>
        <w:spacing w:before="156" w:line="374" w:lineRule="auto"/>
        <w:ind w:right="150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我方若中标对测量所有成果按照国家保密法相关规定进行保密</w:t>
      </w:r>
    </w:p>
    <w:p w14:paraId="5EF7672C">
      <w:pPr>
        <w:pStyle w:val="71"/>
        <w:numPr>
          <w:ilvl w:val="0"/>
          <w:numId w:val="6"/>
        </w:numPr>
        <w:tabs>
          <w:tab w:val="left" w:pos="2301"/>
        </w:tabs>
        <w:spacing w:before="156" w:line="374" w:lineRule="auto"/>
        <w:ind w:right="1500" w:firstLine="472"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 xml:space="preserve">与本投标有关的一切正式往来信函请寄： </w:t>
      </w:r>
    </w:p>
    <w:p w14:paraId="6DB31BC7">
      <w:pPr>
        <w:pStyle w:val="71"/>
        <w:tabs>
          <w:tab w:val="left" w:pos="2301"/>
        </w:tabs>
        <w:spacing w:before="156" w:line="374" w:lineRule="auto"/>
        <w:ind w:right="1500" w:firstLine="787" w:firstLineChars="328"/>
        <w:jc w:val="left"/>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rPr>
        <w:t>投标单位名称（公</w:t>
      </w:r>
      <w:r>
        <w:rPr>
          <w:rFonts w:hint="eastAsia" w:ascii="宋体" w:hAnsi="宋体" w:eastAsia="宋体" w:cs="宋体"/>
          <w:color w:val="auto"/>
          <w:spacing w:val="-2"/>
          <w:sz w:val="24"/>
          <w:highlight w:val="none"/>
        </w:rPr>
        <w:t>章）：</w:t>
      </w:r>
    </w:p>
    <w:p w14:paraId="2AC5265A">
      <w:pPr>
        <w:pStyle w:val="12"/>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highlight w:val="none"/>
          <w:u w:val="single"/>
        </w:rPr>
      </w:pPr>
      <w:r>
        <w:rPr>
          <w:rFonts w:hint="eastAsia" w:ascii="宋体" w:hAnsi="宋体" w:eastAsia="宋体" w:cs="宋体"/>
          <w:color w:val="auto"/>
          <w:sz w:val="24"/>
          <w:szCs w:val="32"/>
          <w:highlight w:val="none"/>
        </w:rPr>
        <w:t>法定代表人或授权代理人签字</w:t>
      </w:r>
      <w:r>
        <w:rPr>
          <w:rFonts w:hint="eastAsia" w:ascii="宋体" w:hAnsi="宋体" w:eastAsia="宋体" w:cs="宋体"/>
          <w:color w:val="auto"/>
          <w:spacing w:val="-19"/>
          <w:sz w:val="24"/>
          <w:szCs w:val="32"/>
          <w:highlight w:val="none"/>
        </w:rPr>
        <w:t>：</w:t>
      </w:r>
    </w:p>
    <w:p w14:paraId="7F4C9F6D">
      <w:pPr>
        <w:pStyle w:val="12"/>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rPr>
        <w:t>详细地址：</w:t>
      </w:r>
    </w:p>
    <w:p w14:paraId="3A4EA0A9">
      <w:pPr>
        <w:pStyle w:val="12"/>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highlight w:val="none"/>
          <w:u w:val="single"/>
        </w:rPr>
      </w:pPr>
      <w:r>
        <w:rPr>
          <w:rFonts w:hint="eastAsia" w:ascii="宋体" w:hAnsi="宋体" w:eastAsia="宋体" w:cs="宋体"/>
          <w:color w:val="auto"/>
          <w:sz w:val="24"/>
          <w:szCs w:val="32"/>
          <w:highlight w:val="none"/>
        </w:rPr>
        <w:t>邮政编码</w:t>
      </w:r>
      <w:r>
        <w:rPr>
          <w:rFonts w:hint="eastAsia" w:ascii="宋体" w:hAnsi="宋体" w:eastAsia="宋体" w:cs="宋体"/>
          <w:color w:val="auto"/>
          <w:spacing w:val="-18"/>
          <w:sz w:val="24"/>
          <w:szCs w:val="32"/>
          <w:highlight w:val="none"/>
        </w:rPr>
        <w:t>：</w:t>
      </w:r>
    </w:p>
    <w:p w14:paraId="31CDCDD2">
      <w:pPr>
        <w:pStyle w:val="12"/>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rPr>
        <w:t>电</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话</w:t>
      </w:r>
      <w:r>
        <w:rPr>
          <w:rFonts w:hint="eastAsia" w:ascii="宋体" w:hAnsi="宋体" w:eastAsia="宋体" w:cs="宋体"/>
          <w:color w:val="auto"/>
          <w:spacing w:val="-18"/>
          <w:sz w:val="24"/>
          <w:szCs w:val="32"/>
          <w:highlight w:val="none"/>
        </w:rPr>
        <w:t>：</w:t>
      </w:r>
    </w:p>
    <w:p w14:paraId="519FB283">
      <w:pPr>
        <w:autoSpaceDE w:val="0"/>
        <w:autoSpaceDN w:val="0"/>
        <w:spacing w:line="500" w:lineRule="exact"/>
        <w:ind w:firstLine="420" w:firstLineChars="200"/>
        <w:jc w:val="right"/>
        <w:rPr>
          <w:rFonts w:hint="eastAsia" w:ascii="宋体" w:hAnsi="宋体" w:eastAsia="宋体" w:cs="宋体"/>
          <w:color w:val="auto"/>
          <w:highlight w:val="none"/>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highlight w:val="none"/>
          <w:lang w:val="zh-CN" w:eastAsia="zh-CN" w:bidi="zh-CN"/>
        </w:rPr>
        <w:sectPr>
          <w:headerReference r:id="rId4" w:type="default"/>
          <w:footerReference r:id="rId5" w:type="default"/>
          <w:pgSz w:w="11906" w:h="16838"/>
          <w:pgMar w:top="1440" w:right="1080" w:bottom="1440" w:left="1080" w:header="851" w:footer="992" w:gutter="0"/>
          <w:cols w:space="720" w:num="1"/>
          <w:docGrid w:linePitch="286" w:charSpace="0"/>
        </w:sectPr>
      </w:pPr>
      <w:r>
        <w:rPr>
          <w:rFonts w:hint="eastAsia" w:ascii="宋体" w:hAnsi="宋体" w:eastAsia="宋体" w:cs="宋体"/>
          <w:color w:val="auto"/>
          <w:kern w:val="2"/>
          <w:sz w:val="24"/>
          <w:szCs w:val="22"/>
          <w:highlight w:val="none"/>
          <w:lang w:val="zh-CN" w:eastAsia="zh-CN" w:bidi="zh-CN"/>
        </w:rPr>
        <w:t>日</w:t>
      </w:r>
      <w:r>
        <w:rPr>
          <w:rFonts w:hint="eastAsia" w:ascii="宋体" w:hAnsi="宋体" w:eastAsia="宋体" w:cs="宋体"/>
          <w:color w:val="auto"/>
          <w:kern w:val="2"/>
          <w:sz w:val="24"/>
          <w:szCs w:val="22"/>
          <w:highlight w:val="none"/>
          <w:lang w:val="en-US" w:eastAsia="zh-CN" w:bidi="zh-CN"/>
        </w:rPr>
        <w:t xml:space="preserve">  </w:t>
      </w:r>
      <w:r>
        <w:rPr>
          <w:rFonts w:hint="eastAsia" w:ascii="宋体" w:hAnsi="宋体" w:eastAsia="宋体" w:cs="宋体"/>
          <w:color w:val="auto"/>
          <w:kern w:val="2"/>
          <w:sz w:val="24"/>
          <w:szCs w:val="22"/>
          <w:highlight w:val="none"/>
          <w:lang w:val="zh-CN" w:eastAsia="zh-CN" w:bidi="zh-CN"/>
        </w:rPr>
        <w:t>期：</w:t>
      </w:r>
      <w:r>
        <w:rPr>
          <w:rFonts w:hint="eastAsia" w:ascii="宋体" w:hAnsi="宋体" w:eastAsia="宋体" w:cs="宋体"/>
          <w:color w:val="auto"/>
          <w:kern w:val="2"/>
          <w:sz w:val="24"/>
          <w:szCs w:val="22"/>
          <w:highlight w:val="none"/>
          <w:lang w:val="zh-CN" w:eastAsia="zh-CN" w:bidi="zh-CN"/>
        </w:rPr>
        <w:tab/>
      </w:r>
      <w:r>
        <w:rPr>
          <w:rFonts w:hint="eastAsia" w:ascii="宋体" w:hAnsi="宋体" w:eastAsia="宋体" w:cs="宋体"/>
          <w:color w:val="auto"/>
          <w:kern w:val="2"/>
          <w:sz w:val="24"/>
          <w:szCs w:val="22"/>
          <w:highlight w:val="none"/>
          <w:lang w:val="zh-CN" w:eastAsia="zh-CN" w:bidi="zh-CN"/>
        </w:rPr>
        <w:t>年</w:t>
      </w:r>
      <w:r>
        <w:rPr>
          <w:rFonts w:hint="eastAsia" w:ascii="宋体" w:hAnsi="宋体" w:eastAsia="宋体" w:cs="宋体"/>
          <w:color w:val="auto"/>
          <w:kern w:val="2"/>
          <w:sz w:val="24"/>
          <w:szCs w:val="22"/>
          <w:highlight w:val="none"/>
          <w:lang w:val="zh-CN" w:eastAsia="zh-CN" w:bidi="zh-CN"/>
        </w:rPr>
        <w:tab/>
      </w:r>
      <w:r>
        <w:rPr>
          <w:rFonts w:hint="eastAsia" w:ascii="宋体" w:hAnsi="宋体" w:eastAsia="宋体" w:cs="宋体"/>
          <w:color w:val="auto"/>
          <w:kern w:val="2"/>
          <w:sz w:val="24"/>
          <w:szCs w:val="22"/>
          <w:highlight w:val="none"/>
          <w:lang w:val="zh-CN" w:eastAsia="zh-CN" w:bidi="zh-CN"/>
        </w:rPr>
        <w:t>月</w:t>
      </w:r>
      <w:r>
        <w:rPr>
          <w:rFonts w:hint="eastAsia" w:ascii="宋体" w:hAnsi="宋体" w:eastAsia="宋体" w:cs="宋体"/>
          <w:color w:val="auto"/>
          <w:kern w:val="2"/>
          <w:sz w:val="24"/>
          <w:szCs w:val="22"/>
          <w:highlight w:val="none"/>
          <w:lang w:val="zh-CN" w:eastAsia="zh-CN" w:bidi="zh-CN"/>
        </w:rPr>
        <w:tab/>
      </w:r>
      <w:r>
        <w:rPr>
          <w:rFonts w:hint="eastAsia" w:ascii="宋体" w:hAnsi="宋体" w:eastAsia="宋体" w:cs="宋体"/>
          <w:color w:val="auto"/>
          <w:kern w:val="2"/>
          <w:sz w:val="24"/>
          <w:szCs w:val="22"/>
          <w:highlight w:val="none"/>
          <w:lang w:val="zh-CN" w:eastAsia="zh-CN" w:bidi="zh-CN"/>
        </w:rPr>
        <w:t>日</w:t>
      </w:r>
    </w:p>
    <w:p w14:paraId="72EBD793">
      <w:pPr>
        <w:pStyle w:val="4"/>
        <w:numPr>
          <w:ilvl w:val="0"/>
          <w:numId w:val="4"/>
        </w:numPr>
        <w:ind w:left="0" w:leftChars="0" w:firstLine="643" w:firstLineChars="200"/>
        <w:jc w:val="center"/>
        <w:rPr>
          <w:rFonts w:hint="eastAsia" w:ascii="宋体" w:hAnsi="宋体" w:eastAsia="宋体" w:cs="宋体"/>
          <w:b/>
          <w:bCs w:val="0"/>
          <w:color w:val="auto"/>
          <w:kern w:val="2"/>
          <w:sz w:val="32"/>
          <w:szCs w:val="22"/>
          <w:highlight w:val="none"/>
          <w:lang w:val="en-US" w:eastAsia="zh-CN" w:bidi="ar-SA"/>
        </w:rPr>
      </w:pPr>
      <w:bookmarkStart w:id="29" w:name="_Toc24114"/>
      <w:r>
        <w:rPr>
          <w:rFonts w:hint="eastAsia" w:ascii="宋体" w:hAnsi="宋体" w:eastAsia="宋体" w:cs="宋体"/>
          <w:b/>
          <w:bCs w:val="0"/>
          <w:color w:val="auto"/>
          <w:kern w:val="2"/>
          <w:sz w:val="32"/>
          <w:szCs w:val="22"/>
          <w:highlight w:val="none"/>
          <w:lang w:val="en-US" w:eastAsia="zh-CN" w:bidi="ar-SA"/>
        </w:rPr>
        <w:t>磋商</w:t>
      </w:r>
      <w:bookmarkEnd w:id="29"/>
      <w:r>
        <w:rPr>
          <w:rFonts w:hint="eastAsia" w:ascii="宋体" w:hAnsi="宋体" w:eastAsia="宋体" w:cs="宋体"/>
          <w:b/>
          <w:bCs w:val="0"/>
          <w:color w:val="auto"/>
          <w:kern w:val="2"/>
          <w:sz w:val="32"/>
          <w:szCs w:val="22"/>
          <w:highlight w:val="none"/>
          <w:lang w:val="en-US" w:eastAsia="zh-CN" w:bidi="ar-SA"/>
        </w:rPr>
        <w:t>报价表</w:t>
      </w:r>
    </w:p>
    <w:p w14:paraId="281934BD">
      <w:pPr>
        <w:numPr>
          <w:ilvl w:val="0"/>
          <w:numId w:val="0"/>
        </w:numPr>
        <w:ind w:leftChars="200"/>
        <w:jc w:val="center"/>
        <w:rPr>
          <w:rFonts w:hint="default"/>
          <w:b/>
          <w:bCs/>
          <w:color w:val="auto"/>
          <w:sz w:val="28"/>
          <w:szCs w:val="32"/>
          <w:highlight w:val="none"/>
          <w:lang w:val="en-US" w:eastAsia="zh-CN"/>
        </w:rPr>
      </w:pPr>
      <w:r>
        <w:rPr>
          <w:rFonts w:hint="eastAsia"/>
          <w:b/>
          <w:bCs/>
          <w:color w:val="auto"/>
          <w:sz w:val="28"/>
          <w:szCs w:val="32"/>
          <w:highlight w:val="none"/>
          <w:lang w:val="en-US" w:eastAsia="zh-CN"/>
        </w:rPr>
        <w:t>2.1  磋商一览表</w:t>
      </w:r>
    </w:p>
    <w:p w14:paraId="11A57784">
      <w:pPr>
        <w:pStyle w:val="12"/>
        <w:rPr>
          <w:rFonts w:hint="eastAsia" w:ascii="宋体" w:hAnsi="宋体" w:eastAsia="宋体" w:cs="宋体"/>
          <w:b/>
          <w:color w:val="auto"/>
          <w:sz w:val="14"/>
          <w:highlight w:val="none"/>
        </w:rPr>
      </w:pPr>
    </w:p>
    <w:p w14:paraId="3A75462C">
      <w:pPr>
        <w:pStyle w:val="12"/>
        <w:spacing w:before="67"/>
        <w:rPr>
          <w:rFonts w:hint="eastAsia" w:ascii="宋体" w:hAnsi="宋体" w:eastAsia="宋体" w:cs="宋体"/>
          <w:color w:val="auto"/>
          <w:kern w:val="2"/>
          <w:sz w:val="24"/>
          <w:szCs w:val="22"/>
          <w:highlight w:val="none"/>
          <w:lang w:val="zh-CN" w:eastAsia="zh-CN" w:bidi="zh-CN"/>
        </w:rPr>
      </w:pPr>
      <w:r>
        <w:rPr>
          <w:rFonts w:hint="eastAsia" w:ascii="宋体" w:hAnsi="宋体" w:eastAsia="宋体" w:cs="宋体"/>
          <w:color w:val="auto"/>
          <w:kern w:val="2"/>
          <w:sz w:val="24"/>
          <w:szCs w:val="22"/>
          <w:highlight w:val="none"/>
          <w:lang w:val="zh-CN" w:eastAsia="zh-CN" w:bidi="zh-CN"/>
        </w:rPr>
        <w:t>项目编号：</w:t>
      </w:r>
    </w:p>
    <w:tbl>
      <w:tblPr>
        <w:tblStyle w:val="28"/>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0"/>
              <w:jc w:val="center"/>
              <w:rPr>
                <w:color w:val="auto"/>
                <w:sz w:val="24"/>
                <w:highlight w:val="none"/>
              </w:rPr>
            </w:pPr>
          </w:p>
          <w:p w14:paraId="19673AF8">
            <w:pPr>
              <w:pStyle w:val="70"/>
              <w:spacing w:before="170"/>
              <w:ind w:left="166" w:right="156"/>
              <w:jc w:val="center"/>
              <w:rPr>
                <w:color w:val="auto"/>
                <w:sz w:val="24"/>
                <w:highlight w:val="none"/>
              </w:rPr>
            </w:pPr>
            <w:r>
              <w:rPr>
                <w:color w:val="auto"/>
                <w:sz w:val="24"/>
                <w:highlight w:val="none"/>
              </w:rPr>
              <w:t>项目名称</w:t>
            </w:r>
          </w:p>
        </w:tc>
        <w:tc>
          <w:tcPr>
            <w:tcW w:w="2914" w:type="dxa"/>
          </w:tcPr>
          <w:p w14:paraId="745C1FCA">
            <w:pPr>
              <w:pStyle w:val="70"/>
              <w:jc w:val="center"/>
              <w:rPr>
                <w:color w:val="auto"/>
                <w:sz w:val="24"/>
                <w:highlight w:val="none"/>
              </w:rPr>
            </w:pPr>
          </w:p>
          <w:p w14:paraId="53BB4DC0">
            <w:pPr>
              <w:pStyle w:val="70"/>
              <w:spacing w:before="170"/>
              <w:ind w:left="174"/>
              <w:jc w:val="center"/>
              <w:rPr>
                <w:color w:val="auto"/>
                <w:sz w:val="24"/>
                <w:highlight w:val="none"/>
              </w:rPr>
            </w:pPr>
            <w:r>
              <w:rPr>
                <w:rFonts w:hint="eastAsia"/>
                <w:color w:val="auto"/>
                <w:sz w:val="24"/>
                <w:highlight w:val="none"/>
                <w:lang w:eastAsia="zh-CN"/>
              </w:rPr>
              <w:t>磋商</w:t>
            </w:r>
            <w:r>
              <w:rPr>
                <w:color w:val="auto"/>
                <w:sz w:val="24"/>
                <w:highlight w:val="none"/>
              </w:rPr>
              <w:t>总报价（元）</w:t>
            </w:r>
          </w:p>
        </w:tc>
        <w:tc>
          <w:tcPr>
            <w:tcW w:w="1620" w:type="dxa"/>
          </w:tcPr>
          <w:p w14:paraId="2FA68362">
            <w:pPr>
              <w:pStyle w:val="70"/>
              <w:jc w:val="center"/>
              <w:rPr>
                <w:color w:val="auto"/>
                <w:sz w:val="24"/>
                <w:highlight w:val="none"/>
              </w:rPr>
            </w:pPr>
          </w:p>
          <w:p w14:paraId="2142B67F">
            <w:pPr>
              <w:pStyle w:val="70"/>
              <w:spacing w:before="170"/>
              <w:ind w:left="174"/>
              <w:jc w:val="center"/>
              <w:rPr>
                <w:color w:val="auto"/>
                <w:sz w:val="24"/>
                <w:highlight w:val="none"/>
              </w:rPr>
            </w:pPr>
            <w:r>
              <w:rPr>
                <w:color w:val="auto"/>
                <w:sz w:val="24"/>
                <w:highlight w:val="none"/>
              </w:rPr>
              <w:t>服务期限</w:t>
            </w:r>
          </w:p>
        </w:tc>
        <w:tc>
          <w:tcPr>
            <w:tcW w:w="1830" w:type="dxa"/>
          </w:tcPr>
          <w:p w14:paraId="51227F27">
            <w:pPr>
              <w:pStyle w:val="70"/>
              <w:jc w:val="center"/>
              <w:rPr>
                <w:color w:val="auto"/>
                <w:sz w:val="24"/>
                <w:highlight w:val="none"/>
              </w:rPr>
            </w:pPr>
          </w:p>
          <w:p w14:paraId="58206AF1">
            <w:pPr>
              <w:pStyle w:val="70"/>
              <w:tabs>
                <w:tab w:val="left" w:pos="952"/>
              </w:tabs>
              <w:spacing w:before="170"/>
              <w:ind w:left="472"/>
              <w:jc w:val="both"/>
              <w:rPr>
                <w:rFonts w:hint="eastAsia" w:eastAsia="宋体"/>
                <w:color w:val="auto"/>
                <w:sz w:val="24"/>
                <w:highlight w:val="none"/>
                <w:lang w:eastAsia="zh-CN"/>
              </w:rPr>
            </w:pPr>
            <w:r>
              <w:rPr>
                <w:rFonts w:hint="eastAsia"/>
                <w:color w:val="auto"/>
                <w:sz w:val="24"/>
                <w:highlight w:val="none"/>
                <w:lang w:eastAsia="zh-CN"/>
              </w:rPr>
              <w:t>服务要求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264097D1">
            <w:pPr>
              <w:pStyle w:val="70"/>
              <w:jc w:val="center"/>
              <w:rPr>
                <w:rFonts w:hint="eastAsia" w:eastAsia="宋体"/>
                <w:color w:val="auto"/>
                <w:sz w:val="24"/>
                <w:highlight w:val="none"/>
                <w:lang w:eastAsia="zh-CN"/>
              </w:rPr>
            </w:pPr>
            <w:r>
              <w:rPr>
                <w:rFonts w:hint="eastAsia" w:cs="宋体"/>
                <w:color w:val="auto"/>
                <w:kern w:val="2"/>
                <w:sz w:val="24"/>
                <w:szCs w:val="24"/>
                <w:highlight w:val="none"/>
                <w:u w:val="none"/>
                <w:lang w:val="en-US" w:eastAsia="zh-CN" w:bidi="ar-SA"/>
              </w:rPr>
              <w:t>石泉县中坝河流域（中坝村大桥至后柳集镇中坝大桥段）环境生态治理及水毁修复项目（一期）环境影响评价服务项目</w:t>
            </w:r>
          </w:p>
        </w:tc>
        <w:tc>
          <w:tcPr>
            <w:tcW w:w="2914" w:type="dxa"/>
            <w:vAlign w:val="center"/>
          </w:tcPr>
          <w:p w14:paraId="595D94AC">
            <w:pPr>
              <w:pStyle w:val="70"/>
              <w:jc w:val="center"/>
              <w:rPr>
                <w:rFonts w:ascii="Times New Roman"/>
                <w:color w:val="auto"/>
                <w:sz w:val="24"/>
                <w:highlight w:val="none"/>
              </w:rPr>
            </w:pPr>
          </w:p>
        </w:tc>
        <w:tc>
          <w:tcPr>
            <w:tcW w:w="1620" w:type="dxa"/>
            <w:vAlign w:val="center"/>
          </w:tcPr>
          <w:p w14:paraId="4D36AF14">
            <w:pPr>
              <w:pStyle w:val="70"/>
              <w:jc w:val="center"/>
              <w:rPr>
                <w:rFonts w:ascii="Times New Roman"/>
                <w:color w:val="auto"/>
                <w:sz w:val="24"/>
                <w:highlight w:val="none"/>
              </w:rPr>
            </w:pPr>
          </w:p>
        </w:tc>
        <w:tc>
          <w:tcPr>
            <w:tcW w:w="1830" w:type="dxa"/>
            <w:vAlign w:val="center"/>
          </w:tcPr>
          <w:p w14:paraId="2FC47B9A">
            <w:pPr>
              <w:pStyle w:val="70"/>
              <w:jc w:val="center"/>
              <w:rPr>
                <w:rFonts w:ascii="Times New Roman"/>
                <w:color w:val="auto"/>
                <w:sz w:val="24"/>
                <w:highlight w:val="none"/>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0"/>
              <w:rPr>
                <w:color w:val="auto"/>
                <w:sz w:val="24"/>
                <w:highlight w:val="none"/>
              </w:rPr>
            </w:pPr>
          </w:p>
          <w:p w14:paraId="5D8D9B32">
            <w:pPr>
              <w:pStyle w:val="70"/>
              <w:spacing w:before="169"/>
              <w:ind w:left="166" w:right="156"/>
              <w:jc w:val="center"/>
              <w:rPr>
                <w:color w:val="auto"/>
                <w:sz w:val="24"/>
                <w:highlight w:val="none"/>
              </w:rPr>
            </w:pPr>
            <w:r>
              <w:rPr>
                <w:rFonts w:hint="eastAsia"/>
                <w:color w:val="auto"/>
                <w:sz w:val="24"/>
                <w:highlight w:val="none"/>
                <w:lang w:eastAsia="zh-CN"/>
              </w:rPr>
              <w:t>磋商</w:t>
            </w:r>
            <w:r>
              <w:rPr>
                <w:color w:val="auto"/>
                <w:sz w:val="24"/>
                <w:highlight w:val="none"/>
              </w:rPr>
              <w:t>总报价（大写）</w:t>
            </w:r>
          </w:p>
        </w:tc>
        <w:tc>
          <w:tcPr>
            <w:tcW w:w="6364" w:type="dxa"/>
            <w:gridSpan w:val="3"/>
          </w:tcPr>
          <w:p w14:paraId="40D92DDA">
            <w:pPr>
              <w:pStyle w:val="70"/>
              <w:rPr>
                <w:rFonts w:ascii="Times New Roman"/>
                <w:color w:val="auto"/>
                <w:sz w:val="24"/>
                <w:highlight w:val="none"/>
              </w:rPr>
            </w:pPr>
          </w:p>
        </w:tc>
      </w:tr>
    </w:tbl>
    <w:p w14:paraId="329C0F2B">
      <w:pPr>
        <w:pStyle w:val="22"/>
        <w:rPr>
          <w:rFonts w:hint="eastAsia" w:ascii="宋体" w:hAnsi="宋体" w:eastAsia="宋体" w:cs="宋体"/>
          <w:color w:val="auto"/>
          <w:highlight w:val="none"/>
        </w:rPr>
      </w:pPr>
    </w:p>
    <w:p w14:paraId="08A43F2F">
      <w:pPr>
        <w:pStyle w:val="12"/>
        <w:rPr>
          <w:rFonts w:hint="eastAsia" w:ascii="宋体" w:hAnsi="宋体" w:eastAsia="宋体" w:cs="宋体"/>
          <w:color w:val="auto"/>
          <w:highlight w:val="none"/>
        </w:rPr>
      </w:pPr>
    </w:p>
    <w:p w14:paraId="00CB3915">
      <w:pPr>
        <w:pStyle w:val="12"/>
        <w:autoSpaceDE w:val="0"/>
        <w:autoSpaceDN w:val="0"/>
        <w:spacing w:line="360" w:lineRule="auto"/>
        <w:ind w:right="-143" w:rightChars="-68" w:firstLine="496" w:firstLineChars="200"/>
        <w:rPr>
          <w:rFonts w:hint="eastAsia" w:ascii="宋体" w:hAnsi="宋体" w:eastAsia="宋体" w:cs="宋体"/>
          <w:color w:val="auto"/>
          <w:highlight w:val="none"/>
        </w:rPr>
      </w:pPr>
      <w:r>
        <w:rPr>
          <w:rFonts w:hint="eastAsia" w:ascii="宋体" w:hAnsi="宋体" w:eastAsia="宋体" w:cs="宋体"/>
          <w:color w:val="auto"/>
          <w:spacing w:val="4"/>
          <w:sz w:val="24"/>
          <w:highlight w:val="none"/>
        </w:rPr>
        <w:t>注：开标</w:t>
      </w:r>
      <w:r>
        <w:rPr>
          <w:rFonts w:hint="eastAsia" w:ascii="宋体" w:hAnsi="宋体" w:eastAsia="宋体" w:cs="宋体"/>
          <w:color w:val="auto"/>
          <w:spacing w:val="2"/>
          <w:sz w:val="24"/>
          <w:highlight w:val="none"/>
        </w:rPr>
        <w:t>一览表中的“投标报价”应是本项目的全部费用的报价，包</w:t>
      </w:r>
      <w:r>
        <w:rPr>
          <w:rFonts w:hint="eastAsia" w:ascii="宋体" w:hAnsi="宋体" w:eastAsia="宋体" w:cs="宋体"/>
          <w:color w:val="auto"/>
          <w:spacing w:val="-4"/>
          <w:sz w:val="24"/>
          <w:highlight w:val="none"/>
        </w:rPr>
        <w:t>括但不限于以下费用</w:t>
      </w:r>
      <w:r>
        <w:rPr>
          <w:rFonts w:hint="eastAsia" w:ascii="宋体" w:hAnsi="宋体" w:eastAsia="宋体" w:cs="宋体"/>
          <w:color w:val="auto"/>
          <w:spacing w:val="-2"/>
          <w:sz w:val="24"/>
          <w:highlight w:val="none"/>
        </w:rPr>
        <w:t>： 人工费用、设备使用费用、材料费</w:t>
      </w:r>
      <w:r>
        <w:rPr>
          <w:rFonts w:hint="eastAsia" w:ascii="宋体" w:hAnsi="宋体" w:eastAsia="宋体" w:cs="宋体"/>
          <w:color w:val="auto"/>
          <w:spacing w:val="2"/>
          <w:sz w:val="24"/>
          <w:highlight w:val="none"/>
        </w:rPr>
        <w:t>、劳务费、税金及其他所有相关费用的总</w:t>
      </w:r>
      <w:r>
        <w:rPr>
          <w:rFonts w:hint="eastAsia" w:ascii="宋体" w:hAnsi="宋体" w:eastAsia="宋体" w:cs="宋体"/>
          <w:color w:val="auto"/>
          <w:spacing w:val="-11"/>
          <w:sz w:val="24"/>
          <w:highlight w:val="none"/>
        </w:rPr>
        <w:t>和。</w:t>
      </w:r>
    </w:p>
    <w:p w14:paraId="68763EFD">
      <w:pPr>
        <w:pStyle w:val="12"/>
        <w:tabs>
          <w:tab w:val="left" w:pos="3379"/>
        </w:tabs>
        <w:spacing w:before="214"/>
        <w:ind w:left="122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w:t>
      </w:r>
      <w:r>
        <w:rPr>
          <w:rFonts w:hint="eastAsia" w:ascii="宋体" w:hAnsi="宋体" w:eastAsia="宋体" w:cs="宋体"/>
          <w:color w:val="auto"/>
          <w:spacing w:val="-120"/>
          <w:sz w:val="24"/>
          <w:szCs w:val="32"/>
          <w:highlight w:val="none"/>
        </w:rPr>
        <w:t>：</w:t>
      </w:r>
      <w:r>
        <w:rPr>
          <w:rFonts w:hint="eastAsia" w:ascii="宋体" w:hAnsi="宋体" w:eastAsia="宋体" w:cs="宋体"/>
          <w:color w:val="auto"/>
          <w:sz w:val="24"/>
          <w:szCs w:val="32"/>
          <w:highlight w:val="none"/>
        </w:rPr>
        <w:t>（盖章）</w:t>
      </w:r>
    </w:p>
    <w:p w14:paraId="4DF0F334">
      <w:pPr>
        <w:pStyle w:val="22"/>
        <w:rPr>
          <w:rFonts w:hint="eastAsia" w:ascii="宋体" w:hAnsi="宋体" w:eastAsia="宋体" w:cs="宋体"/>
          <w:color w:val="auto"/>
          <w:sz w:val="24"/>
          <w:szCs w:val="21"/>
          <w:highlight w:val="none"/>
        </w:rPr>
      </w:pPr>
    </w:p>
    <w:p w14:paraId="2271E9D9">
      <w:pPr>
        <w:pStyle w:val="12"/>
        <w:ind w:left="122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w:t>
      </w:r>
    </w:p>
    <w:p w14:paraId="4D8E9067">
      <w:pPr>
        <w:pStyle w:val="12"/>
        <w:rPr>
          <w:rFonts w:hint="eastAsia" w:ascii="宋体" w:hAnsi="宋体" w:eastAsia="宋体" w:cs="宋体"/>
          <w:color w:val="auto"/>
          <w:sz w:val="26"/>
          <w:highlight w:val="none"/>
        </w:rPr>
      </w:pPr>
    </w:p>
    <w:p w14:paraId="7F5B23BF">
      <w:pPr>
        <w:pStyle w:val="12"/>
        <w:spacing w:before="2"/>
        <w:rPr>
          <w:rFonts w:hint="eastAsia" w:ascii="宋体" w:hAnsi="宋体" w:eastAsia="宋体" w:cs="宋体"/>
          <w:color w:val="auto"/>
          <w:sz w:val="25"/>
          <w:highlight w:val="none"/>
        </w:rPr>
      </w:pPr>
    </w:p>
    <w:p w14:paraId="56AC865A">
      <w:pPr>
        <w:pStyle w:val="12"/>
        <w:tabs>
          <w:tab w:val="left" w:pos="7366"/>
          <w:tab w:val="left" w:pos="8326"/>
          <w:tab w:val="left" w:pos="9286"/>
        </w:tabs>
        <w:ind w:left="5806"/>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u w:val="single"/>
        </w:rPr>
        <w:tab/>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rPr>
        <w:tab/>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rPr>
        <w:tab/>
      </w:r>
      <w:r>
        <w:rPr>
          <w:rFonts w:hint="eastAsia" w:ascii="宋体" w:hAnsi="宋体" w:eastAsia="宋体" w:cs="宋体"/>
          <w:color w:val="auto"/>
          <w:sz w:val="28"/>
          <w:szCs w:val="36"/>
          <w:highlight w:val="none"/>
        </w:rPr>
        <w:t>日</w:t>
      </w:r>
    </w:p>
    <w:p w14:paraId="7125898B">
      <w:pPr>
        <w:rPr>
          <w:rFonts w:hint="eastAsia" w:ascii="宋体" w:hAnsi="宋体" w:eastAsia="宋体" w:cs="宋体"/>
          <w:color w:val="auto"/>
          <w:sz w:val="28"/>
          <w:szCs w:val="32"/>
          <w:highlight w:val="none"/>
        </w:rPr>
      </w:pPr>
    </w:p>
    <w:p w14:paraId="413ECE99">
      <w:pPr>
        <w:pStyle w:val="2"/>
        <w:rPr>
          <w:rFonts w:hint="eastAsia" w:ascii="宋体" w:hAnsi="宋体" w:eastAsia="宋体" w:cs="宋体"/>
          <w:color w:val="auto"/>
          <w:sz w:val="28"/>
          <w:szCs w:val="32"/>
          <w:highlight w:val="none"/>
        </w:rPr>
      </w:pPr>
    </w:p>
    <w:p w14:paraId="51BB503C">
      <w:pPr>
        <w:pStyle w:val="2"/>
        <w:rPr>
          <w:rFonts w:hint="eastAsia" w:ascii="宋体" w:hAnsi="宋体" w:eastAsia="宋体" w:cs="宋体"/>
          <w:color w:val="auto"/>
          <w:sz w:val="28"/>
          <w:szCs w:val="32"/>
          <w:highlight w:val="none"/>
        </w:rPr>
      </w:pPr>
    </w:p>
    <w:p w14:paraId="081A43E8">
      <w:pPr>
        <w:pStyle w:val="2"/>
        <w:rPr>
          <w:rFonts w:hint="eastAsia" w:ascii="宋体" w:hAnsi="宋体" w:eastAsia="宋体" w:cs="宋体"/>
          <w:color w:val="auto"/>
          <w:sz w:val="28"/>
          <w:szCs w:val="32"/>
          <w:highlight w:val="none"/>
        </w:rPr>
      </w:pPr>
    </w:p>
    <w:p w14:paraId="49F5E78F">
      <w:pPr>
        <w:pStyle w:val="2"/>
        <w:rPr>
          <w:rFonts w:hint="eastAsia" w:ascii="宋体" w:hAnsi="宋体" w:eastAsia="宋体" w:cs="宋体"/>
          <w:color w:val="auto"/>
          <w:sz w:val="28"/>
          <w:szCs w:val="32"/>
          <w:highlight w:val="none"/>
        </w:rPr>
      </w:pPr>
    </w:p>
    <w:p w14:paraId="4BF8938F">
      <w:pPr>
        <w:pStyle w:val="2"/>
        <w:rPr>
          <w:rFonts w:hint="eastAsia" w:ascii="宋体" w:hAnsi="宋体" w:eastAsia="宋体" w:cs="宋体"/>
          <w:color w:val="auto"/>
          <w:sz w:val="28"/>
          <w:szCs w:val="32"/>
          <w:highlight w:val="none"/>
        </w:rPr>
      </w:pPr>
    </w:p>
    <w:p w14:paraId="299CB503">
      <w:pPr>
        <w:pStyle w:val="2"/>
        <w:rPr>
          <w:rFonts w:hint="eastAsia" w:ascii="宋体" w:hAnsi="宋体" w:eastAsia="宋体" w:cs="宋体"/>
          <w:color w:val="auto"/>
          <w:sz w:val="28"/>
          <w:szCs w:val="32"/>
          <w:highlight w:val="none"/>
        </w:rPr>
      </w:pPr>
    </w:p>
    <w:p w14:paraId="502416DC">
      <w:pPr>
        <w:pStyle w:val="2"/>
        <w:rPr>
          <w:rFonts w:hint="eastAsia" w:ascii="宋体" w:hAnsi="宋体" w:eastAsia="宋体" w:cs="宋体"/>
          <w:color w:val="auto"/>
          <w:sz w:val="28"/>
          <w:szCs w:val="32"/>
          <w:highlight w:val="none"/>
        </w:rPr>
      </w:pPr>
    </w:p>
    <w:p w14:paraId="515A9C9B">
      <w:pPr>
        <w:pStyle w:val="2"/>
        <w:rPr>
          <w:rFonts w:hint="eastAsia" w:ascii="宋体" w:hAnsi="宋体" w:eastAsia="宋体" w:cs="宋体"/>
          <w:color w:val="auto"/>
          <w:sz w:val="28"/>
          <w:szCs w:val="32"/>
          <w:highlight w:val="none"/>
        </w:rPr>
      </w:pPr>
    </w:p>
    <w:p w14:paraId="51743ADD">
      <w:pPr>
        <w:pStyle w:val="2"/>
        <w:rPr>
          <w:rFonts w:hint="eastAsia" w:ascii="宋体" w:hAnsi="宋体" w:eastAsia="宋体" w:cs="宋体"/>
          <w:color w:val="auto"/>
          <w:sz w:val="28"/>
          <w:szCs w:val="32"/>
          <w:highlight w:val="none"/>
        </w:rPr>
      </w:pPr>
    </w:p>
    <w:p w14:paraId="033303E7">
      <w:pPr>
        <w:pStyle w:val="2"/>
        <w:rPr>
          <w:rFonts w:hint="eastAsia" w:ascii="宋体" w:hAnsi="宋体" w:eastAsia="宋体" w:cs="宋体"/>
          <w:color w:val="auto"/>
          <w:sz w:val="28"/>
          <w:szCs w:val="32"/>
          <w:highlight w:val="none"/>
        </w:rPr>
      </w:pPr>
    </w:p>
    <w:p w14:paraId="11DF3D0F">
      <w:pPr>
        <w:pStyle w:val="2"/>
        <w:rPr>
          <w:rFonts w:hint="eastAsia" w:ascii="宋体" w:hAnsi="宋体" w:eastAsia="宋体" w:cs="宋体"/>
          <w:color w:val="auto"/>
          <w:sz w:val="28"/>
          <w:szCs w:val="32"/>
          <w:highlight w:val="none"/>
        </w:rPr>
      </w:pPr>
    </w:p>
    <w:p w14:paraId="64F2257D">
      <w:pPr>
        <w:spacing w:before="163" w:line="223" w:lineRule="auto"/>
        <w:ind w:left="3334"/>
        <w:rPr>
          <w:rFonts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highlight w:val="none"/>
        </w:rPr>
        <w:t xml:space="preserve"> </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highlight w:val="none"/>
          <w14:textOutline w14:w="5793" w14:cap="sq" w14:cmpd="sng">
            <w14:solidFill>
              <w14:srgbClr w14:val="000000"/>
            </w14:solidFill>
            <w14:prstDash w14:val="solid"/>
            <w14:bevel/>
          </w14:textOutline>
        </w:rPr>
        <w:t>表</w:t>
      </w:r>
    </w:p>
    <w:p w14:paraId="3423660A">
      <w:pPr>
        <w:rPr>
          <w:color w:val="auto"/>
          <w:highlight w:val="none"/>
        </w:rPr>
      </w:pPr>
    </w:p>
    <w:p w14:paraId="67967033">
      <w:pPr>
        <w:spacing w:line="99" w:lineRule="auto"/>
        <w:rPr>
          <w:rFonts w:ascii="Arial"/>
          <w:color w:val="auto"/>
          <w:sz w:val="2"/>
          <w:highlight w:val="none"/>
        </w:rPr>
      </w:pPr>
    </w:p>
    <w:tbl>
      <w:tblPr>
        <w:tblStyle w:val="54"/>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highlight w:val="none"/>
              </w:rPr>
            </w:pPr>
            <w:r>
              <w:rPr>
                <w:rFonts w:ascii="宋体" w:hAnsi="宋体" w:eastAsia="宋体" w:cs="宋体"/>
                <w:color w:val="auto"/>
                <w:spacing w:val="6"/>
                <w:sz w:val="23"/>
                <w:szCs w:val="23"/>
                <w:highlight w:val="none"/>
              </w:rPr>
              <w:t>序</w:t>
            </w:r>
            <w:r>
              <w:rPr>
                <w:rFonts w:ascii="宋体" w:hAnsi="宋体" w:eastAsia="宋体" w:cs="宋体"/>
                <w:color w:val="auto"/>
                <w:spacing w:val="5"/>
                <w:sz w:val="23"/>
                <w:szCs w:val="23"/>
                <w:highlight w:val="none"/>
              </w:rPr>
              <w:t>号</w:t>
            </w:r>
          </w:p>
        </w:tc>
        <w:tc>
          <w:tcPr>
            <w:tcW w:w="3043" w:type="dxa"/>
            <w:vAlign w:val="top"/>
          </w:tcPr>
          <w:p w14:paraId="1CD6A75E">
            <w:pPr>
              <w:spacing w:before="77" w:line="230" w:lineRule="auto"/>
              <w:ind w:left="1287"/>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名</w:t>
            </w:r>
            <w:r>
              <w:rPr>
                <w:rFonts w:ascii="宋体" w:hAnsi="宋体" w:eastAsia="宋体" w:cs="宋体"/>
                <w:color w:val="auto"/>
                <w:spacing w:val="3"/>
                <w:sz w:val="23"/>
                <w:szCs w:val="23"/>
                <w:highlight w:val="none"/>
              </w:rPr>
              <w:t>称</w:t>
            </w:r>
          </w:p>
        </w:tc>
        <w:tc>
          <w:tcPr>
            <w:tcW w:w="1204" w:type="dxa"/>
            <w:vAlign w:val="top"/>
          </w:tcPr>
          <w:p w14:paraId="478EBB03">
            <w:pPr>
              <w:spacing w:before="78" w:line="227" w:lineRule="auto"/>
              <w:ind w:left="310"/>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数</w:t>
            </w:r>
            <w:r>
              <w:rPr>
                <w:rFonts w:ascii="宋体" w:hAnsi="宋体" w:eastAsia="宋体" w:cs="宋体"/>
                <w:color w:val="auto"/>
                <w:spacing w:val="4"/>
                <w:sz w:val="23"/>
                <w:szCs w:val="23"/>
                <w:highlight w:val="none"/>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单位</w:t>
            </w:r>
          </w:p>
        </w:tc>
        <w:tc>
          <w:tcPr>
            <w:tcW w:w="1487" w:type="dxa"/>
            <w:vAlign w:val="top"/>
          </w:tcPr>
          <w:p w14:paraId="1A472DFE">
            <w:pPr>
              <w:spacing w:before="77" w:line="226" w:lineRule="auto"/>
              <w:ind w:left="152"/>
              <w:rPr>
                <w:rFonts w:ascii="宋体" w:hAnsi="宋体" w:eastAsia="宋体" w:cs="宋体"/>
                <w:color w:val="auto"/>
                <w:sz w:val="23"/>
                <w:szCs w:val="23"/>
                <w:highlight w:val="none"/>
              </w:rPr>
            </w:pPr>
            <w:r>
              <w:rPr>
                <w:rFonts w:ascii="宋体" w:hAnsi="宋体" w:eastAsia="宋体" w:cs="宋体"/>
                <w:color w:val="auto"/>
                <w:spacing w:val="8"/>
                <w:sz w:val="23"/>
                <w:szCs w:val="23"/>
                <w:highlight w:val="none"/>
              </w:rPr>
              <w:t>单</w:t>
            </w:r>
            <w:r>
              <w:rPr>
                <w:rFonts w:ascii="宋体" w:hAnsi="宋体" w:eastAsia="宋体" w:cs="宋体"/>
                <w:color w:val="auto"/>
                <w:spacing w:val="4"/>
                <w:sz w:val="23"/>
                <w:szCs w:val="23"/>
                <w:highlight w:val="none"/>
              </w:rPr>
              <w:t>价 (元)</w:t>
            </w:r>
          </w:p>
        </w:tc>
        <w:tc>
          <w:tcPr>
            <w:tcW w:w="1171" w:type="dxa"/>
            <w:vAlign w:val="top"/>
          </w:tcPr>
          <w:p w14:paraId="7263506C">
            <w:pPr>
              <w:spacing w:before="77" w:line="226" w:lineRule="auto"/>
              <w:ind w:left="72"/>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总</w:t>
            </w:r>
            <w:r>
              <w:rPr>
                <w:rFonts w:ascii="宋体" w:hAnsi="宋体" w:eastAsia="宋体" w:cs="宋体"/>
                <w:color w:val="auto"/>
                <w:spacing w:val="-8"/>
                <w:sz w:val="23"/>
                <w:szCs w:val="23"/>
                <w:highlight w:val="none"/>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highlight w:val="none"/>
              </w:rPr>
            </w:pPr>
            <w:r>
              <w:rPr>
                <w:rFonts w:ascii="宋体" w:hAnsi="宋体" w:eastAsia="宋体" w:cs="宋体"/>
                <w:color w:val="auto"/>
                <w:sz w:val="23"/>
                <w:szCs w:val="23"/>
                <w:highlight w:val="none"/>
              </w:rPr>
              <w:t>1</w:t>
            </w:r>
          </w:p>
        </w:tc>
        <w:tc>
          <w:tcPr>
            <w:tcW w:w="3043" w:type="dxa"/>
            <w:vAlign w:val="top"/>
          </w:tcPr>
          <w:p w14:paraId="46FFE2B5">
            <w:pPr>
              <w:rPr>
                <w:rFonts w:ascii="Arial"/>
                <w:color w:val="auto"/>
                <w:sz w:val="21"/>
                <w:highlight w:val="none"/>
              </w:rPr>
            </w:pPr>
          </w:p>
        </w:tc>
        <w:tc>
          <w:tcPr>
            <w:tcW w:w="1204" w:type="dxa"/>
            <w:vAlign w:val="top"/>
          </w:tcPr>
          <w:p w14:paraId="56976FA2">
            <w:pPr>
              <w:rPr>
                <w:rFonts w:ascii="Arial"/>
                <w:color w:val="auto"/>
                <w:sz w:val="21"/>
                <w:highlight w:val="none"/>
              </w:rPr>
            </w:pPr>
          </w:p>
        </w:tc>
        <w:tc>
          <w:tcPr>
            <w:tcW w:w="1303" w:type="dxa"/>
            <w:vAlign w:val="top"/>
          </w:tcPr>
          <w:p w14:paraId="448394D4">
            <w:pPr>
              <w:rPr>
                <w:rFonts w:ascii="Arial"/>
                <w:color w:val="auto"/>
                <w:sz w:val="21"/>
                <w:highlight w:val="none"/>
              </w:rPr>
            </w:pPr>
          </w:p>
        </w:tc>
        <w:tc>
          <w:tcPr>
            <w:tcW w:w="1487" w:type="dxa"/>
            <w:vAlign w:val="top"/>
          </w:tcPr>
          <w:p w14:paraId="25F47D74">
            <w:pPr>
              <w:rPr>
                <w:rFonts w:ascii="Arial"/>
                <w:color w:val="auto"/>
                <w:sz w:val="21"/>
                <w:highlight w:val="none"/>
              </w:rPr>
            </w:pPr>
          </w:p>
        </w:tc>
        <w:tc>
          <w:tcPr>
            <w:tcW w:w="1171" w:type="dxa"/>
            <w:vAlign w:val="top"/>
          </w:tcPr>
          <w:p w14:paraId="3560B945">
            <w:pPr>
              <w:rPr>
                <w:rFonts w:ascii="Arial"/>
                <w:color w:val="auto"/>
                <w:sz w:val="21"/>
                <w:highlight w:val="none"/>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highlight w:val="none"/>
              </w:rPr>
            </w:pPr>
            <w:r>
              <w:rPr>
                <w:rFonts w:ascii="宋体" w:hAnsi="宋体" w:eastAsia="宋体" w:cs="宋体"/>
                <w:color w:val="auto"/>
                <w:sz w:val="23"/>
                <w:szCs w:val="23"/>
                <w:highlight w:val="none"/>
              </w:rPr>
              <w:t>2</w:t>
            </w:r>
          </w:p>
        </w:tc>
        <w:tc>
          <w:tcPr>
            <w:tcW w:w="3043" w:type="dxa"/>
            <w:vAlign w:val="top"/>
          </w:tcPr>
          <w:p w14:paraId="1E6A3DAD">
            <w:pPr>
              <w:rPr>
                <w:rFonts w:ascii="Arial"/>
                <w:color w:val="auto"/>
                <w:sz w:val="21"/>
                <w:highlight w:val="none"/>
              </w:rPr>
            </w:pPr>
          </w:p>
        </w:tc>
        <w:tc>
          <w:tcPr>
            <w:tcW w:w="1204" w:type="dxa"/>
            <w:vAlign w:val="top"/>
          </w:tcPr>
          <w:p w14:paraId="2457E702">
            <w:pPr>
              <w:rPr>
                <w:rFonts w:ascii="Arial"/>
                <w:color w:val="auto"/>
                <w:sz w:val="21"/>
                <w:highlight w:val="none"/>
              </w:rPr>
            </w:pPr>
          </w:p>
        </w:tc>
        <w:tc>
          <w:tcPr>
            <w:tcW w:w="1303" w:type="dxa"/>
            <w:vAlign w:val="top"/>
          </w:tcPr>
          <w:p w14:paraId="747294B6">
            <w:pPr>
              <w:rPr>
                <w:rFonts w:ascii="Arial"/>
                <w:color w:val="auto"/>
                <w:sz w:val="21"/>
                <w:highlight w:val="none"/>
              </w:rPr>
            </w:pPr>
          </w:p>
        </w:tc>
        <w:tc>
          <w:tcPr>
            <w:tcW w:w="1487" w:type="dxa"/>
            <w:vAlign w:val="top"/>
          </w:tcPr>
          <w:p w14:paraId="0B80A53C">
            <w:pPr>
              <w:rPr>
                <w:rFonts w:ascii="Arial"/>
                <w:color w:val="auto"/>
                <w:sz w:val="21"/>
                <w:highlight w:val="none"/>
              </w:rPr>
            </w:pPr>
          </w:p>
        </w:tc>
        <w:tc>
          <w:tcPr>
            <w:tcW w:w="1171" w:type="dxa"/>
            <w:vAlign w:val="top"/>
          </w:tcPr>
          <w:p w14:paraId="44FB64E6">
            <w:pPr>
              <w:rPr>
                <w:rFonts w:ascii="Arial"/>
                <w:color w:val="auto"/>
                <w:sz w:val="21"/>
                <w:highlight w:val="none"/>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highlight w:val="none"/>
              </w:rPr>
            </w:pPr>
            <w:r>
              <w:rPr>
                <w:rFonts w:ascii="宋体" w:hAnsi="宋体" w:eastAsia="宋体" w:cs="宋体"/>
                <w:color w:val="auto"/>
                <w:sz w:val="23"/>
                <w:szCs w:val="23"/>
                <w:highlight w:val="none"/>
              </w:rPr>
              <w:t>3</w:t>
            </w:r>
          </w:p>
        </w:tc>
        <w:tc>
          <w:tcPr>
            <w:tcW w:w="3043" w:type="dxa"/>
            <w:vAlign w:val="top"/>
          </w:tcPr>
          <w:p w14:paraId="0D17F7DF">
            <w:pPr>
              <w:rPr>
                <w:rFonts w:ascii="Arial"/>
                <w:color w:val="auto"/>
                <w:sz w:val="21"/>
                <w:highlight w:val="none"/>
              </w:rPr>
            </w:pPr>
          </w:p>
        </w:tc>
        <w:tc>
          <w:tcPr>
            <w:tcW w:w="1204" w:type="dxa"/>
            <w:vAlign w:val="top"/>
          </w:tcPr>
          <w:p w14:paraId="3EE968B7">
            <w:pPr>
              <w:rPr>
                <w:rFonts w:ascii="Arial"/>
                <w:color w:val="auto"/>
                <w:sz w:val="21"/>
                <w:highlight w:val="none"/>
              </w:rPr>
            </w:pPr>
          </w:p>
        </w:tc>
        <w:tc>
          <w:tcPr>
            <w:tcW w:w="1303" w:type="dxa"/>
            <w:vAlign w:val="top"/>
          </w:tcPr>
          <w:p w14:paraId="00E4D180">
            <w:pPr>
              <w:rPr>
                <w:rFonts w:ascii="Arial"/>
                <w:color w:val="auto"/>
                <w:sz w:val="21"/>
                <w:highlight w:val="none"/>
              </w:rPr>
            </w:pPr>
          </w:p>
        </w:tc>
        <w:tc>
          <w:tcPr>
            <w:tcW w:w="1487" w:type="dxa"/>
            <w:vAlign w:val="top"/>
          </w:tcPr>
          <w:p w14:paraId="4241A51A">
            <w:pPr>
              <w:rPr>
                <w:rFonts w:ascii="Arial"/>
                <w:color w:val="auto"/>
                <w:sz w:val="21"/>
                <w:highlight w:val="none"/>
              </w:rPr>
            </w:pPr>
          </w:p>
        </w:tc>
        <w:tc>
          <w:tcPr>
            <w:tcW w:w="1171" w:type="dxa"/>
            <w:vAlign w:val="top"/>
          </w:tcPr>
          <w:p w14:paraId="5F14309C">
            <w:pPr>
              <w:rPr>
                <w:rFonts w:ascii="Arial"/>
                <w:color w:val="auto"/>
                <w:sz w:val="21"/>
                <w:highlight w:val="none"/>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highlight w:val="none"/>
              </w:rPr>
            </w:pPr>
            <w:r>
              <w:rPr>
                <w:rFonts w:ascii="宋体" w:hAnsi="宋体" w:eastAsia="宋体" w:cs="宋体"/>
                <w:color w:val="auto"/>
                <w:sz w:val="23"/>
                <w:szCs w:val="23"/>
                <w:highlight w:val="none"/>
              </w:rPr>
              <w:t>4</w:t>
            </w:r>
          </w:p>
        </w:tc>
        <w:tc>
          <w:tcPr>
            <w:tcW w:w="3043" w:type="dxa"/>
            <w:vAlign w:val="top"/>
          </w:tcPr>
          <w:p w14:paraId="64AD1F7F">
            <w:pPr>
              <w:rPr>
                <w:rFonts w:ascii="Arial"/>
                <w:color w:val="auto"/>
                <w:sz w:val="21"/>
                <w:highlight w:val="none"/>
              </w:rPr>
            </w:pPr>
          </w:p>
        </w:tc>
        <w:tc>
          <w:tcPr>
            <w:tcW w:w="1204" w:type="dxa"/>
            <w:vAlign w:val="top"/>
          </w:tcPr>
          <w:p w14:paraId="10DEF649">
            <w:pPr>
              <w:rPr>
                <w:rFonts w:ascii="Arial"/>
                <w:color w:val="auto"/>
                <w:sz w:val="21"/>
                <w:highlight w:val="none"/>
              </w:rPr>
            </w:pPr>
          </w:p>
        </w:tc>
        <w:tc>
          <w:tcPr>
            <w:tcW w:w="1303" w:type="dxa"/>
            <w:vAlign w:val="top"/>
          </w:tcPr>
          <w:p w14:paraId="039522DA">
            <w:pPr>
              <w:rPr>
                <w:rFonts w:ascii="Arial"/>
                <w:color w:val="auto"/>
                <w:sz w:val="21"/>
                <w:highlight w:val="none"/>
              </w:rPr>
            </w:pPr>
          </w:p>
        </w:tc>
        <w:tc>
          <w:tcPr>
            <w:tcW w:w="1487" w:type="dxa"/>
            <w:vAlign w:val="top"/>
          </w:tcPr>
          <w:p w14:paraId="6525B346">
            <w:pPr>
              <w:rPr>
                <w:rFonts w:ascii="Arial"/>
                <w:color w:val="auto"/>
                <w:sz w:val="21"/>
                <w:highlight w:val="none"/>
              </w:rPr>
            </w:pPr>
          </w:p>
        </w:tc>
        <w:tc>
          <w:tcPr>
            <w:tcW w:w="1171" w:type="dxa"/>
            <w:vAlign w:val="top"/>
          </w:tcPr>
          <w:p w14:paraId="52AB231E">
            <w:pPr>
              <w:rPr>
                <w:rFonts w:ascii="Arial"/>
                <w:color w:val="auto"/>
                <w:sz w:val="21"/>
                <w:highlight w:val="none"/>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highlight w:val="none"/>
              </w:rPr>
            </w:pPr>
          </w:p>
        </w:tc>
        <w:tc>
          <w:tcPr>
            <w:tcW w:w="3043" w:type="dxa"/>
            <w:vAlign w:val="top"/>
          </w:tcPr>
          <w:p w14:paraId="0E5780BF">
            <w:pPr>
              <w:spacing w:before="82" w:line="338" w:lineRule="exact"/>
              <w:ind w:left="1300"/>
              <w:rPr>
                <w:rFonts w:ascii="宋体" w:hAnsi="宋体" w:eastAsia="宋体" w:cs="宋体"/>
                <w:color w:val="auto"/>
                <w:sz w:val="23"/>
                <w:szCs w:val="23"/>
                <w:highlight w:val="none"/>
              </w:rPr>
            </w:pPr>
            <w:r>
              <w:rPr>
                <w:rFonts w:ascii="宋体" w:hAnsi="宋体" w:eastAsia="宋体" w:cs="宋体"/>
                <w:color w:val="auto"/>
                <w:spacing w:val="5"/>
                <w:position w:val="2"/>
                <w:sz w:val="23"/>
                <w:szCs w:val="23"/>
                <w:highlight w:val="none"/>
              </w:rPr>
              <w:t>……</w:t>
            </w:r>
          </w:p>
        </w:tc>
        <w:tc>
          <w:tcPr>
            <w:tcW w:w="1204" w:type="dxa"/>
            <w:vAlign w:val="top"/>
          </w:tcPr>
          <w:p w14:paraId="454B5923">
            <w:pPr>
              <w:rPr>
                <w:rFonts w:ascii="Arial"/>
                <w:color w:val="auto"/>
                <w:sz w:val="21"/>
                <w:highlight w:val="none"/>
              </w:rPr>
            </w:pPr>
          </w:p>
        </w:tc>
        <w:tc>
          <w:tcPr>
            <w:tcW w:w="1303" w:type="dxa"/>
            <w:vAlign w:val="top"/>
          </w:tcPr>
          <w:p w14:paraId="4936AB49">
            <w:pPr>
              <w:rPr>
                <w:rFonts w:ascii="Arial"/>
                <w:color w:val="auto"/>
                <w:sz w:val="21"/>
                <w:highlight w:val="none"/>
              </w:rPr>
            </w:pPr>
          </w:p>
        </w:tc>
        <w:tc>
          <w:tcPr>
            <w:tcW w:w="1487" w:type="dxa"/>
            <w:vAlign w:val="top"/>
          </w:tcPr>
          <w:p w14:paraId="38FC7BE0">
            <w:pPr>
              <w:rPr>
                <w:rFonts w:ascii="Arial"/>
                <w:color w:val="auto"/>
                <w:sz w:val="21"/>
                <w:highlight w:val="none"/>
              </w:rPr>
            </w:pPr>
          </w:p>
        </w:tc>
        <w:tc>
          <w:tcPr>
            <w:tcW w:w="1171" w:type="dxa"/>
            <w:vAlign w:val="top"/>
          </w:tcPr>
          <w:p w14:paraId="6C66B7FD">
            <w:pPr>
              <w:rPr>
                <w:rFonts w:ascii="Arial"/>
                <w:color w:val="auto"/>
                <w:sz w:val="21"/>
                <w:highlight w:val="none"/>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highlight w:val="none"/>
              </w:rPr>
            </w:pPr>
          </w:p>
        </w:tc>
        <w:tc>
          <w:tcPr>
            <w:tcW w:w="3043" w:type="dxa"/>
            <w:vAlign w:val="top"/>
          </w:tcPr>
          <w:p w14:paraId="15A48DB0">
            <w:pPr>
              <w:rPr>
                <w:rFonts w:ascii="Arial"/>
                <w:color w:val="auto"/>
                <w:sz w:val="21"/>
                <w:highlight w:val="none"/>
              </w:rPr>
            </w:pPr>
          </w:p>
        </w:tc>
        <w:tc>
          <w:tcPr>
            <w:tcW w:w="1204" w:type="dxa"/>
            <w:vAlign w:val="top"/>
          </w:tcPr>
          <w:p w14:paraId="50E92998">
            <w:pPr>
              <w:rPr>
                <w:rFonts w:ascii="Arial"/>
                <w:color w:val="auto"/>
                <w:sz w:val="21"/>
                <w:highlight w:val="none"/>
              </w:rPr>
            </w:pPr>
          </w:p>
        </w:tc>
        <w:tc>
          <w:tcPr>
            <w:tcW w:w="1303" w:type="dxa"/>
            <w:vAlign w:val="top"/>
          </w:tcPr>
          <w:p w14:paraId="5D3BDF27">
            <w:pPr>
              <w:rPr>
                <w:rFonts w:ascii="Arial"/>
                <w:color w:val="auto"/>
                <w:sz w:val="21"/>
                <w:highlight w:val="none"/>
              </w:rPr>
            </w:pPr>
          </w:p>
        </w:tc>
        <w:tc>
          <w:tcPr>
            <w:tcW w:w="1487" w:type="dxa"/>
            <w:vAlign w:val="top"/>
          </w:tcPr>
          <w:p w14:paraId="40D3F12E">
            <w:pPr>
              <w:rPr>
                <w:rFonts w:ascii="Arial"/>
                <w:color w:val="auto"/>
                <w:sz w:val="21"/>
                <w:highlight w:val="none"/>
              </w:rPr>
            </w:pPr>
          </w:p>
        </w:tc>
        <w:tc>
          <w:tcPr>
            <w:tcW w:w="1171" w:type="dxa"/>
            <w:vAlign w:val="top"/>
          </w:tcPr>
          <w:p w14:paraId="20D92660">
            <w:pPr>
              <w:rPr>
                <w:rFonts w:ascii="Arial"/>
                <w:color w:val="auto"/>
                <w:sz w:val="21"/>
                <w:highlight w:val="none"/>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highlight w:val="none"/>
              </w:rPr>
            </w:pPr>
          </w:p>
        </w:tc>
        <w:tc>
          <w:tcPr>
            <w:tcW w:w="3043" w:type="dxa"/>
            <w:vAlign w:val="top"/>
          </w:tcPr>
          <w:p w14:paraId="3FC29E9D">
            <w:pPr>
              <w:rPr>
                <w:rFonts w:ascii="Arial"/>
                <w:color w:val="auto"/>
                <w:sz w:val="21"/>
                <w:highlight w:val="none"/>
              </w:rPr>
            </w:pPr>
          </w:p>
        </w:tc>
        <w:tc>
          <w:tcPr>
            <w:tcW w:w="1204" w:type="dxa"/>
            <w:vAlign w:val="top"/>
          </w:tcPr>
          <w:p w14:paraId="6CB08E2D">
            <w:pPr>
              <w:rPr>
                <w:rFonts w:ascii="Arial"/>
                <w:color w:val="auto"/>
                <w:sz w:val="21"/>
                <w:highlight w:val="none"/>
              </w:rPr>
            </w:pPr>
          </w:p>
        </w:tc>
        <w:tc>
          <w:tcPr>
            <w:tcW w:w="1303" w:type="dxa"/>
            <w:vAlign w:val="top"/>
          </w:tcPr>
          <w:p w14:paraId="7489DEB2">
            <w:pPr>
              <w:rPr>
                <w:rFonts w:ascii="Arial"/>
                <w:color w:val="auto"/>
                <w:sz w:val="21"/>
                <w:highlight w:val="none"/>
              </w:rPr>
            </w:pPr>
          </w:p>
        </w:tc>
        <w:tc>
          <w:tcPr>
            <w:tcW w:w="1487" w:type="dxa"/>
            <w:vAlign w:val="top"/>
          </w:tcPr>
          <w:p w14:paraId="1D12F1D8">
            <w:pPr>
              <w:rPr>
                <w:rFonts w:ascii="Arial"/>
                <w:color w:val="auto"/>
                <w:sz w:val="21"/>
                <w:highlight w:val="none"/>
              </w:rPr>
            </w:pPr>
          </w:p>
        </w:tc>
        <w:tc>
          <w:tcPr>
            <w:tcW w:w="1171" w:type="dxa"/>
            <w:vAlign w:val="top"/>
          </w:tcPr>
          <w:p w14:paraId="6B33AACA">
            <w:pPr>
              <w:rPr>
                <w:rFonts w:ascii="Arial"/>
                <w:color w:val="auto"/>
                <w:sz w:val="21"/>
                <w:highlight w:val="none"/>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highlight w:val="none"/>
              </w:rPr>
            </w:pPr>
          </w:p>
        </w:tc>
        <w:tc>
          <w:tcPr>
            <w:tcW w:w="3043" w:type="dxa"/>
            <w:vAlign w:val="top"/>
          </w:tcPr>
          <w:p w14:paraId="2AD3D9D0">
            <w:pPr>
              <w:rPr>
                <w:rFonts w:ascii="Arial"/>
                <w:color w:val="auto"/>
                <w:sz w:val="21"/>
                <w:highlight w:val="none"/>
              </w:rPr>
            </w:pPr>
          </w:p>
        </w:tc>
        <w:tc>
          <w:tcPr>
            <w:tcW w:w="1204" w:type="dxa"/>
            <w:vAlign w:val="top"/>
          </w:tcPr>
          <w:p w14:paraId="358C6EBC">
            <w:pPr>
              <w:rPr>
                <w:rFonts w:ascii="Arial"/>
                <w:color w:val="auto"/>
                <w:sz w:val="21"/>
                <w:highlight w:val="none"/>
              </w:rPr>
            </w:pPr>
          </w:p>
        </w:tc>
        <w:tc>
          <w:tcPr>
            <w:tcW w:w="1303" w:type="dxa"/>
            <w:vAlign w:val="top"/>
          </w:tcPr>
          <w:p w14:paraId="5EFCE139">
            <w:pPr>
              <w:rPr>
                <w:rFonts w:ascii="Arial"/>
                <w:color w:val="auto"/>
                <w:sz w:val="21"/>
                <w:highlight w:val="none"/>
              </w:rPr>
            </w:pPr>
          </w:p>
        </w:tc>
        <w:tc>
          <w:tcPr>
            <w:tcW w:w="1487" w:type="dxa"/>
            <w:vAlign w:val="top"/>
          </w:tcPr>
          <w:p w14:paraId="370E8D0C">
            <w:pPr>
              <w:rPr>
                <w:rFonts w:ascii="Arial"/>
                <w:color w:val="auto"/>
                <w:sz w:val="21"/>
                <w:highlight w:val="none"/>
              </w:rPr>
            </w:pPr>
          </w:p>
        </w:tc>
        <w:tc>
          <w:tcPr>
            <w:tcW w:w="1171" w:type="dxa"/>
            <w:vAlign w:val="top"/>
          </w:tcPr>
          <w:p w14:paraId="125D4EF3">
            <w:pPr>
              <w:rPr>
                <w:rFonts w:ascii="Arial"/>
                <w:color w:val="auto"/>
                <w:sz w:val="21"/>
                <w:highlight w:val="none"/>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highlight w:val="none"/>
              </w:rPr>
            </w:pPr>
          </w:p>
        </w:tc>
        <w:tc>
          <w:tcPr>
            <w:tcW w:w="3043" w:type="dxa"/>
            <w:vAlign w:val="top"/>
          </w:tcPr>
          <w:p w14:paraId="34F15308">
            <w:pPr>
              <w:rPr>
                <w:rFonts w:ascii="Arial"/>
                <w:color w:val="auto"/>
                <w:sz w:val="21"/>
                <w:highlight w:val="none"/>
              </w:rPr>
            </w:pPr>
          </w:p>
        </w:tc>
        <w:tc>
          <w:tcPr>
            <w:tcW w:w="1204" w:type="dxa"/>
            <w:vAlign w:val="top"/>
          </w:tcPr>
          <w:p w14:paraId="40445FD8">
            <w:pPr>
              <w:rPr>
                <w:rFonts w:ascii="Arial"/>
                <w:color w:val="auto"/>
                <w:sz w:val="21"/>
                <w:highlight w:val="none"/>
              </w:rPr>
            </w:pPr>
          </w:p>
        </w:tc>
        <w:tc>
          <w:tcPr>
            <w:tcW w:w="1303" w:type="dxa"/>
            <w:vAlign w:val="top"/>
          </w:tcPr>
          <w:p w14:paraId="2E4953DF">
            <w:pPr>
              <w:rPr>
                <w:rFonts w:ascii="Arial"/>
                <w:color w:val="auto"/>
                <w:sz w:val="21"/>
                <w:highlight w:val="none"/>
              </w:rPr>
            </w:pPr>
          </w:p>
        </w:tc>
        <w:tc>
          <w:tcPr>
            <w:tcW w:w="1487" w:type="dxa"/>
            <w:vAlign w:val="top"/>
          </w:tcPr>
          <w:p w14:paraId="779A8798">
            <w:pPr>
              <w:rPr>
                <w:rFonts w:ascii="Arial"/>
                <w:color w:val="auto"/>
                <w:sz w:val="21"/>
                <w:highlight w:val="none"/>
              </w:rPr>
            </w:pPr>
          </w:p>
        </w:tc>
        <w:tc>
          <w:tcPr>
            <w:tcW w:w="1171" w:type="dxa"/>
            <w:vAlign w:val="top"/>
          </w:tcPr>
          <w:p w14:paraId="0A8256B8">
            <w:pPr>
              <w:rPr>
                <w:rFonts w:ascii="Arial"/>
                <w:color w:val="auto"/>
                <w:sz w:val="21"/>
                <w:highlight w:val="none"/>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highlight w:val="none"/>
              </w:rPr>
            </w:pPr>
          </w:p>
        </w:tc>
        <w:tc>
          <w:tcPr>
            <w:tcW w:w="3043" w:type="dxa"/>
            <w:vAlign w:val="top"/>
          </w:tcPr>
          <w:p w14:paraId="3E7645C1">
            <w:pPr>
              <w:rPr>
                <w:rFonts w:ascii="Arial"/>
                <w:color w:val="auto"/>
                <w:sz w:val="21"/>
                <w:highlight w:val="none"/>
              </w:rPr>
            </w:pPr>
          </w:p>
        </w:tc>
        <w:tc>
          <w:tcPr>
            <w:tcW w:w="1204" w:type="dxa"/>
            <w:vAlign w:val="top"/>
          </w:tcPr>
          <w:p w14:paraId="493E2DEC">
            <w:pPr>
              <w:rPr>
                <w:rFonts w:ascii="Arial"/>
                <w:color w:val="auto"/>
                <w:sz w:val="21"/>
                <w:highlight w:val="none"/>
              </w:rPr>
            </w:pPr>
          </w:p>
        </w:tc>
        <w:tc>
          <w:tcPr>
            <w:tcW w:w="1303" w:type="dxa"/>
            <w:vAlign w:val="top"/>
          </w:tcPr>
          <w:p w14:paraId="65930910">
            <w:pPr>
              <w:rPr>
                <w:rFonts w:ascii="Arial"/>
                <w:color w:val="auto"/>
                <w:sz w:val="21"/>
                <w:highlight w:val="none"/>
              </w:rPr>
            </w:pPr>
          </w:p>
        </w:tc>
        <w:tc>
          <w:tcPr>
            <w:tcW w:w="1487" w:type="dxa"/>
            <w:vAlign w:val="top"/>
          </w:tcPr>
          <w:p w14:paraId="64151029">
            <w:pPr>
              <w:rPr>
                <w:rFonts w:ascii="Arial"/>
                <w:color w:val="auto"/>
                <w:sz w:val="21"/>
                <w:highlight w:val="none"/>
              </w:rPr>
            </w:pPr>
          </w:p>
        </w:tc>
        <w:tc>
          <w:tcPr>
            <w:tcW w:w="1171" w:type="dxa"/>
            <w:vAlign w:val="top"/>
          </w:tcPr>
          <w:p w14:paraId="6E30070B">
            <w:pPr>
              <w:rPr>
                <w:rFonts w:ascii="Arial"/>
                <w:color w:val="auto"/>
                <w:sz w:val="21"/>
                <w:highlight w:val="none"/>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highlight w:val="none"/>
              </w:rPr>
            </w:pPr>
          </w:p>
        </w:tc>
        <w:tc>
          <w:tcPr>
            <w:tcW w:w="3043" w:type="dxa"/>
            <w:vAlign w:val="top"/>
          </w:tcPr>
          <w:p w14:paraId="029E9460">
            <w:pPr>
              <w:rPr>
                <w:rFonts w:ascii="Arial"/>
                <w:color w:val="auto"/>
                <w:sz w:val="21"/>
                <w:highlight w:val="none"/>
              </w:rPr>
            </w:pPr>
          </w:p>
        </w:tc>
        <w:tc>
          <w:tcPr>
            <w:tcW w:w="1204" w:type="dxa"/>
            <w:vAlign w:val="top"/>
          </w:tcPr>
          <w:p w14:paraId="6B5D09E1">
            <w:pPr>
              <w:rPr>
                <w:rFonts w:ascii="Arial"/>
                <w:color w:val="auto"/>
                <w:sz w:val="21"/>
                <w:highlight w:val="none"/>
              </w:rPr>
            </w:pPr>
          </w:p>
        </w:tc>
        <w:tc>
          <w:tcPr>
            <w:tcW w:w="1303" w:type="dxa"/>
            <w:vAlign w:val="top"/>
          </w:tcPr>
          <w:p w14:paraId="0F66951A">
            <w:pPr>
              <w:rPr>
                <w:rFonts w:ascii="Arial"/>
                <w:color w:val="auto"/>
                <w:sz w:val="21"/>
                <w:highlight w:val="none"/>
              </w:rPr>
            </w:pPr>
          </w:p>
        </w:tc>
        <w:tc>
          <w:tcPr>
            <w:tcW w:w="1487" w:type="dxa"/>
            <w:vAlign w:val="top"/>
          </w:tcPr>
          <w:p w14:paraId="1191AC94">
            <w:pPr>
              <w:rPr>
                <w:rFonts w:ascii="Arial"/>
                <w:color w:val="auto"/>
                <w:sz w:val="21"/>
                <w:highlight w:val="none"/>
              </w:rPr>
            </w:pPr>
          </w:p>
        </w:tc>
        <w:tc>
          <w:tcPr>
            <w:tcW w:w="1171" w:type="dxa"/>
            <w:vAlign w:val="top"/>
          </w:tcPr>
          <w:p w14:paraId="5F7A8E91">
            <w:pPr>
              <w:rPr>
                <w:rFonts w:ascii="Arial"/>
                <w:color w:val="auto"/>
                <w:sz w:val="21"/>
                <w:highlight w:val="none"/>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highlight w:val="none"/>
              </w:rPr>
            </w:pPr>
          </w:p>
        </w:tc>
        <w:tc>
          <w:tcPr>
            <w:tcW w:w="3043" w:type="dxa"/>
            <w:vAlign w:val="top"/>
          </w:tcPr>
          <w:p w14:paraId="4FF72F67">
            <w:pPr>
              <w:rPr>
                <w:rFonts w:ascii="Arial"/>
                <w:color w:val="auto"/>
                <w:sz w:val="21"/>
                <w:highlight w:val="none"/>
              </w:rPr>
            </w:pPr>
          </w:p>
        </w:tc>
        <w:tc>
          <w:tcPr>
            <w:tcW w:w="1204" w:type="dxa"/>
            <w:vAlign w:val="top"/>
          </w:tcPr>
          <w:p w14:paraId="64C83A14">
            <w:pPr>
              <w:rPr>
                <w:rFonts w:ascii="Arial"/>
                <w:color w:val="auto"/>
                <w:sz w:val="21"/>
                <w:highlight w:val="none"/>
              </w:rPr>
            </w:pPr>
          </w:p>
        </w:tc>
        <w:tc>
          <w:tcPr>
            <w:tcW w:w="1303" w:type="dxa"/>
            <w:vAlign w:val="top"/>
          </w:tcPr>
          <w:p w14:paraId="2386ADB3">
            <w:pPr>
              <w:rPr>
                <w:rFonts w:ascii="Arial"/>
                <w:color w:val="auto"/>
                <w:sz w:val="21"/>
                <w:highlight w:val="none"/>
              </w:rPr>
            </w:pPr>
          </w:p>
        </w:tc>
        <w:tc>
          <w:tcPr>
            <w:tcW w:w="1487" w:type="dxa"/>
            <w:vAlign w:val="top"/>
          </w:tcPr>
          <w:p w14:paraId="79C2AAA1">
            <w:pPr>
              <w:rPr>
                <w:rFonts w:ascii="Arial"/>
                <w:color w:val="auto"/>
                <w:sz w:val="21"/>
                <w:highlight w:val="none"/>
              </w:rPr>
            </w:pPr>
          </w:p>
        </w:tc>
        <w:tc>
          <w:tcPr>
            <w:tcW w:w="1171" w:type="dxa"/>
            <w:vAlign w:val="top"/>
          </w:tcPr>
          <w:p w14:paraId="2A7C7023">
            <w:pPr>
              <w:rPr>
                <w:rFonts w:ascii="Arial"/>
                <w:color w:val="auto"/>
                <w:sz w:val="21"/>
                <w:highlight w:val="none"/>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highlight w:val="none"/>
              </w:rPr>
            </w:pPr>
          </w:p>
        </w:tc>
        <w:tc>
          <w:tcPr>
            <w:tcW w:w="3043" w:type="dxa"/>
            <w:vAlign w:val="top"/>
          </w:tcPr>
          <w:p w14:paraId="18EB172E">
            <w:pPr>
              <w:rPr>
                <w:rFonts w:ascii="Arial"/>
                <w:color w:val="auto"/>
                <w:sz w:val="21"/>
                <w:highlight w:val="none"/>
              </w:rPr>
            </w:pPr>
          </w:p>
        </w:tc>
        <w:tc>
          <w:tcPr>
            <w:tcW w:w="1204" w:type="dxa"/>
            <w:vAlign w:val="top"/>
          </w:tcPr>
          <w:p w14:paraId="05178ABE">
            <w:pPr>
              <w:rPr>
                <w:rFonts w:ascii="Arial"/>
                <w:color w:val="auto"/>
                <w:sz w:val="21"/>
                <w:highlight w:val="none"/>
              </w:rPr>
            </w:pPr>
          </w:p>
        </w:tc>
        <w:tc>
          <w:tcPr>
            <w:tcW w:w="1303" w:type="dxa"/>
            <w:vAlign w:val="top"/>
          </w:tcPr>
          <w:p w14:paraId="7D7A7ABB">
            <w:pPr>
              <w:rPr>
                <w:rFonts w:ascii="Arial"/>
                <w:color w:val="auto"/>
                <w:sz w:val="21"/>
                <w:highlight w:val="none"/>
              </w:rPr>
            </w:pPr>
          </w:p>
        </w:tc>
        <w:tc>
          <w:tcPr>
            <w:tcW w:w="1487" w:type="dxa"/>
            <w:vAlign w:val="top"/>
          </w:tcPr>
          <w:p w14:paraId="7A83A2E4">
            <w:pPr>
              <w:rPr>
                <w:rFonts w:ascii="Arial"/>
                <w:color w:val="auto"/>
                <w:sz w:val="21"/>
                <w:highlight w:val="none"/>
              </w:rPr>
            </w:pPr>
          </w:p>
        </w:tc>
        <w:tc>
          <w:tcPr>
            <w:tcW w:w="1171" w:type="dxa"/>
            <w:vAlign w:val="top"/>
          </w:tcPr>
          <w:p w14:paraId="45757644">
            <w:pPr>
              <w:rPr>
                <w:rFonts w:ascii="Arial"/>
                <w:color w:val="auto"/>
                <w:sz w:val="21"/>
                <w:highlight w:val="none"/>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highlight w:val="none"/>
              </w:rPr>
            </w:pPr>
          </w:p>
        </w:tc>
        <w:tc>
          <w:tcPr>
            <w:tcW w:w="3043" w:type="dxa"/>
            <w:vAlign w:val="top"/>
          </w:tcPr>
          <w:p w14:paraId="59EB1EB9">
            <w:pPr>
              <w:rPr>
                <w:rFonts w:ascii="Arial"/>
                <w:color w:val="auto"/>
                <w:sz w:val="21"/>
                <w:highlight w:val="none"/>
              </w:rPr>
            </w:pPr>
          </w:p>
        </w:tc>
        <w:tc>
          <w:tcPr>
            <w:tcW w:w="1204" w:type="dxa"/>
            <w:vAlign w:val="top"/>
          </w:tcPr>
          <w:p w14:paraId="6F884995">
            <w:pPr>
              <w:rPr>
                <w:rFonts w:ascii="Arial"/>
                <w:color w:val="auto"/>
                <w:sz w:val="21"/>
                <w:highlight w:val="none"/>
              </w:rPr>
            </w:pPr>
          </w:p>
        </w:tc>
        <w:tc>
          <w:tcPr>
            <w:tcW w:w="1303" w:type="dxa"/>
            <w:vAlign w:val="top"/>
          </w:tcPr>
          <w:p w14:paraId="59B52322">
            <w:pPr>
              <w:rPr>
                <w:rFonts w:ascii="Arial"/>
                <w:color w:val="auto"/>
                <w:sz w:val="21"/>
                <w:highlight w:val="none"/>
              </w:rPr>
            </w:pPr>
          </w:p>
        </w:tc>
        <w:tc>
          <w:tcPr>
            <w:tcW w:w="1487" w:type="dxa"/>
            <w:vAlign w:val="top"/>
          </w:tcPr>
          <w:p w14:paraId="1DD80E03">
            <w:pPr>
              <w:rPr>
                <w:rFonts w:ascii="Arial"/>
                <w:color w:val="auto"/>
                <w:sz w:val="21"/>
                <w:highlight w:val="none"/>
              </w:rPr>
            </w:pPr>
          </w:p>
        </w:tc>
        <w:tc>
          <w:tcPr>
            <w:tcW w:w="1171" w:type="dxa"/>
            <w:vAlign w:val="top"/>
          </w:tcPr>
          <w:p w14:paraId="00A45BED">
            <w:pPr>
              <w:rPr>
                <w:rFonts w:ascii="Arial"/>
                <w:color w:val="auto"/>
                <w:sz w:val="21"/>
                <w:highlight w:val="none"/>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highlight w:val="none"/>
              </w:rPr>
            </w:pPr>
            <w:r>
              <w:rPr>
                <w:rFonts w:ascii="宋体" w:hAnsi="宋体" w:eastAsia="宋体" w:cs="宋体"/>
                <w:color w:val="auto"/>
                <w:spacing w:val="5"/>
                <w:sz w:val="23"/>
                <w:szCs w:val="23"/>
                <w:highlight w:val="none"/>
              </w:rPr>
              <w:t>总</w:t>
            </w:r>
            <w:r>
              <w:rPr>
                <w:rFonts w:ascii="宋体" w:hAnsi="宋体" w:eastAsia="宋体" w:cs="宋体"/>
                <w:color w:val="auto"/>
                <w:spacing w:val="4"/>
                <w:sz w:val="23"/>
                <w:szCs w:val="23"/>
                <w:highlight w:val="none"/>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rPr>
              <w:t>￥</w:t>
            </w:r>
            <w:r>
              <w:rPr>
                <w:rFonts w:ascii="宋体" w:hAnsi="宋体" w:eastAsia="宋体" w:cs="宋体"/>
                <w:color w:val="auto"/>
                <w:spacing w:val="-90"/>
                <w:sz w:val="23"/>
                <w:szCs w:val="23"/>
                <w:highlight w:val="none"/>
              </w:rPr>
              <w:t xml:space="preserve"> </w:t>
            </w:r>
            <w:r>
              <w:rPr>
                <w:rFonts w:ascii="宋体" w:hAnsi="宋体" w:eastAsia="宋体" w:cs="宋体"/>
                <w:color w:val="auto"/>
                <w:spacing w:val="-19"/>
                <w:sz w:val="23"/>
                <w:szCs w:val="23"/>
                <w:highlight w:val="none"/>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highlight w:val="none"/>
              </w:rPr>
            </w:pPr>
            <w:r>
              <w:rPr>
                <w:rFonts w:ascii="宋体" w:hAnsi="宋体" w:eastAsia="宋体" w:cs="宋体"/>
                <w:color w:val="auto"/>
                <w:spacing w:val="31"/>
                <w:sz w:val="23"/>
                <w:szCs w:val="23"/>
                <w:highlight w:val="none"/>
              </w:rPr>
              <w:t>(大写)</w:t>
            </w:r>
          </w:p>
        </w:tc>
      </w:tr>
    </w:tbl>
    <w:p w14:paraId="4BEE9FEF">
      <w:pPr>
        <w:spacing w:before="303" w:line="226" w:lineRule="auto"/>
        <w:ind w:left="885"/>
        <w:rPr>
          <w:rFonts w:ascii="宋体" w:hAnsi="宋体" w:eastAsia="宋体" w:cs="宋体"/>
          <w:color w:val="auto"/>
          <w:sz w:val="23"/>
          <w:szCs w:val="23"/>
          <w:highlight w:val="none"/>
        </w:rPr>
      </w:pPr>
      <w:r>
        <w:rPr>
          <w:rFonts w:ascii="宋体" w:hAnsi="宋体" w:eastAsia="宋体" w:cs="宋体"/>
          <w:color w:val="auto"/>
          <w:spacing w:val="15"/>
          <w:sz w:val="23"/>
          <w:szCs w:val="23"/>
          <w:highlight w:val="none"/>
        </w:rPr>
        <w:t>注</w:t>
      </w:r>
      <w:r>
        <w:rPr>
          <w:rFonts w:ascii="宋体" w:hAnsi="宋体" w:eastAsia="宋体" w:cs="宋体"/>
          <w:color w:val="auto"/>
          <w:spacing w:val="9"/>
          <w:sz w:val="23"/>
          <w:szCs w:val="23"/>
          <w:highlight w:val="none"/>
        </w:rPr>
        <w:t>：① 如果按单价计算的结果与总价不一致，以单价为准修正总价。</w:t>
      </w:r>
    </w:p>
    <w:p w14:paraId="6B496E00">
      <w:pPr>
        <w:spacing w:before="163" w:line="225" w:lineRule="auto"/>
        <w:ind w:left="1303"/>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②</w:t>
      </w:r>
      <w:r>
        <w:rPr>
          <w:rFonts w:ascii="宋体" w:hAnsi="宋体" w:eastAsia="宋体" w:cs="宋体"/>
          <w:color w:val="auto"/>
          <w:spacing w:val="9"/>
          <w:sz w:val="23"/>
          <w:szCs w:val="23"/>
          <w:highlight w:val="none"/>
        </w:rPr>
        <w:t xml:space="preserve"> </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分项内容根据需求自行拟定。</w:t>
      </w:r>
    </w:p>
    <w:p w14:paraId="5BFD55D4">
      <w:pPr>
        <w:spacing w:line="319" w:lineRule="auto"/>
        <w:rPr>
          <w:rFonts w:ascii="Arial"/>
          <w:color w:val="auto"/>
          <w:sz w:val="21"/>
          <w:highlight w:val="none"/>
        </w:rPr>
      </w:pPr>
    </w:p>
    <w:p w14:paraId="4678EDC7">
      <w:pPr>
        <w:spacing w:line="319" w:lineRule="auto"/>
        <w:rPr>
          <w:rFonts w:ascii="Arial"/>
          <w:color w:val="auto"/>
          <w:sz w:val="21"/>
          <w:highlight w:val="none"/>
        </w:rPr>
      </w:pPr>
    </w:p>
    <w:p w14:paraId="390EDCFF">
      <w:pPr>
        <w:spacing w:line="320" w:lineRule="auto"/>
        <w:rPr>
          <w:rFonts w:ascii="Arial"/>
          <w:color w:val="auto"/>
          <w:sz w:val="21"/>
          <w:highlight w:val="none"/>
        </w:rPr>
      </w:pPr>
    </w:p>
    <w:p w14:paraId="7F303BA4">
      <w:pPr>
        <w:spacing w:before="75" w:line="227" w:lineRule="auto"/>
        <w:ind w:left="585"/>
        <w:rPr>
          <w:rFonts w:ascii="宋体" w:hAnsi="宋体" w:eastAsia="宋体" w:cs="宋体"/>
          <w:color w:val="auto"/>
          <w:sz w:val="23"/>
          <w:szCs w:val="23"/>
          <w:highlight w:val="none"/>
        </w:rPr>
      </w:pPr>
      <w:r>
        <w:rPr>
          <w:rFonts w:ascii="宋体" w:hAnsi="宋体" w:eastAsia="宋体" w:cs="宋体"/>
          <w:color w:val="auto"/>
          <w:spacing w:val="-10"/>
          <w:sz w:val="23"/>
          <w:szCs w:val="23"/>
          <w:highlight w:val="none"/>
        </w:rPr>
        <w:t>供</w:t>
      </w:r>
      <w:r>
        <w:rPr>
          <w:rFonts w:ascii="宋体" w:hAnsi="宋体" w:eastAsia="宋体" w:cs="宋体"/>
          <w:color w:val="auto"/>
          <w:spacing w:val="-6"/>
          <w:sz w:val="23"/>
          <w:szCs w:val="23"/>
          <w:highlight w:val="none"/>
        </w:rPr>
        <w:t>应</w:t>
      </w:r>
      <w:r>
        <w:rPr>
          <w:rFonts w:ascii="宋体" w:hAnsi="宋体" w:eastAsia="宋体" w:cs="宋体"/>
          <w:color w:val="auto"/>
          <w:spacing w:val="-5"/>
          <w:sz w:val="23"/>
          <w:szCs w:val="23"/>
          <w:highlight w:val="none"/>
        </w:rPr>
        <w:t>商 ：  (盖章)</w:t>
      </w:r>
      <w:r>
        <w:rPr>
          <w:rFonts w:ascii="宋体" w:hAnsi="宋体" w:eastAsia="宋体" w:cs="宋体"/>
          <w:color w:val="auto"/>
          <w:sz w:val="23"/>
          <w:szCs w:val="23"/>
          <w:highlight w:val="none"/>
          <w:u w:val="single" w:color="auto"/>
        </w:rPr>
        <w:t xml:space="preserve">                          </w:t>
      </w:r>
    </w:p>
    <w:p w14:paraId="1D26ECF2">
      <w:pPr>
        <w:spacing w:line="258" w:lineRule="auto"/>
        <w:rPr>
          <w:rFonts w:ascii="Arial"/>
          <w:color w:val="auto"/>
          <w:sz w:val="21"/>
          <w:highlight w:val="none"/>
        </w:rPr>
      </w:pPr>
    </w:p>
    <w:p w14:paraId="2952B9F5">
      <w:pPr>
        <w:spacing w:line="259" w:lineRule="auto"/>
        <w:rPr>
          <w:rFonts w:ascii="Arial"/>
          <w:color w:val="auto"/>
          <w:sz w:val="21"/>
          <w:highlight w:val="none"/>
        </w:rPr>
      </w:pPr>
    </w:p>
    <w:p w14:paraId="059DFB3B">
      <w:pPr>
        <w:spacing w:before="75" w:line="224" w:lineRule="auto"/>
        <w:ind w:left="586"/>
        <w:rPr>
          <w:rFonts w:ascii="宋体" w:hAnsi="宋体" w:eastAsia="宋体" w:cs="宋体"/>
          <w:color w:val="auto"/>
          <w:sz w:val="23"/>
          <w:szCs w:val="23"/>
          <w:highlight w:val="none"/>
        </w:rPr>
      </w:pPr>
      <w:r>
        <w:rPr>
          <w:rFonts w:ascii="宋体" w:hAnsi="宋体" w:eastAsia="宋体" w:cs="宋体"/>
          <w:color w:val="auto"/>
          <w:spacing w:val="12"/>
          <w:sz w:val="23"/>
          <w:szCs w:val="23"/>
          <w:highlight w:val="none"/>
        </w:rPr>
        <w:t>法</w:t>
      </w:r>
      <w:r>
        <w:rPr>
          <w:rFonts w:ascii="宋体" w:hAnsi="宋体" w:eastAsia="宋体" w:cs="宋体"/>
          <w:color w:val="auto"/>
          <w:spacing w:val="8"/>
          <w:sz w:val="23"/>
          <w:szCs w:val="23"/>
          <w:highlight w:val="none"/>
        </w:rPr>
        <w:t>定代表人或委托代理人 (签字或盖章) ：</w:t>
      </w:r>
      <w:r>
        <w:rPr>
          <w:rFonts w:ascii="宋体" w:hAnsi="宋体" w:eastAsia="宋体" w:cs="宋体"/>
          <w:color w:val="auto"/>
          <w:sz w:val="23"/>
          <w:szCs w:val="23"/>
          <w:highlight w:val="none"/>
          <w:u w:val="single" w:color="auto"/>
        </w:rPr>
        <w:t xml:space="preserve">                </w:t>
      </w:r>
    </w:p>
    <w:p w14:paraId="156E9948">
      <w:pPr>
        <w:spacing w:line="262" w:lineRule="auto"/>
        <w:rPr>
          <w:rFonts w:ascii="Arial"/>
          <w:color w:val="auto"/>
          <w:sz w:val="21"/>
          <w:highlight w:val="none"/>
        </w:rPr>
      </w:pPr>
    </w:p>
    <w:p w14:paraId="5ED38F01">
      <w:pPr>
        <w:spacing w:line="262" w:lineRule="auto"/>
        <w:rPr>
          <w:rFonts w:ascii="Arial"/>
          <w:color w:val="auto"/>
          <w:sz w:val="21"/>
          <w:highlight w:val="none"/>
        </w:rPr>
      </w:pPr>
    </w:p>
    <w:p w14:paraId="18113606">
      <w:pPr>
        <w:spacing w:before="75" w:line="227" w:lineRule="auto"/>
        <w:ind w:right="294"/>
        <w:jc w:val="right"/>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日</w:t>
      </w:r>
      <w:r>
        <w:rPr>
          <w:rFonts w:ascii="宋体" w:hAnsi="宋体" w:eastAsia="宋体" w:cs="宋体"/>
          <w:color w:val="auto"/>
          <w:sz w:val="23"/>
          <w:szCs w:val="23"/>
          <w:highlight w:val="none"/>
        </w:rPr>
        <w:t>期：      年    月    日</w:t>
      </w:r>
    </w:p>
    <w:p w14:paraId="7789978E">
      <w:pPr>
        <w:rPr>
          <w:color w:val="auto"/>
          <w:highlight w:val="none"/>
        </w:rPr>
        <w:sectPr>
          <w:footerReference r:id="rId6" w:type="default"/>
          <w:pgSz w:w="11906" w:h="16839"/>
          <w:pgMar w:top="1440" w:right="1080" w:bottom="1440" w:left="1080" w:header="0" w:footer="958" w:gutter="0"/>
          <w:pgNumType w:fmt="decimal"/>
          <w:cols w:space="720" w:num="1"/>
        </w:sectPr>
      </w:pPr>
    </w:p>
    <w:p w14:paraId="5B67CD6A">
      <w:pPr>
        <w:pStyle w:val="4"/>
        <w:jc w:val="center"/>
        <w:rPr>
          <w:rFonts w:hint="eastAsia" w:ascii="宋体" w:hAnsi="宋体" w:eastAsia="宋体" w:cs="宋体"/>
          <w:b/>
          <w:bCs w:val="0"/>
          <w:color w:val="auto"/>
          <w:kern w:val="2"/>
          <w:sz w:val="32"/>
          <w:szCs w:val="22"/>
          <w:highlight w:val="none"/>
          <w:lang w:val="en-US" w:eastAsia="zh-CN" w:bidi="ar-SA"/>
        </w:rPr>
      </w:pPr>
      <w:bookmarkStart w:id="30" w:name="三、资质证明文件"/>
      <w:bookmarkEnd w:id="30"/>
      <w:bookmarkStart w:id="31" w:name="_Toc21681"/>
      <w:r>
        <w:rPr>
          <w:rFonts w:hint="eastAsia" w:ascii="宋体" w:hAnsi="宋体" w:eastAsia="宋体" w:cs="宋体"/>
          <w:b/>
          <w:bCs w:val="0"/>
          <w:color w:val="auto"/>
          <w:kern w:val="2"/>
          <w:sz w:val="32"/>
          <w:szCs w:val="22"/>
          <w:highlight w:val="none"/>
          <w:lang w:val="en-US" w:eastAsia="zh-CN" w:bidi="ar-SA"/>
        </w:rPr>
        <w:t>三、资格证明文件</w:t>
      </w:r>
      <w:bookmarkEnd w:id="31"/>
    </w:p>
    <w:p w14:paraId="07E2DD35">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bookmarkStart w:id="32" w:name="（1）具有独立承担民事责任的能力：提供营业执照、税务登记证、组织机构代码证或登载"/>
      <w:bookmarkEnd w:id="32"/>
      <w:bookmarkStart w:id="33" w:name="注：投标单位未按磋商采购文件要求附相关资质证件的，按废标处理。"/>
      <w:bookmarkEnd w:id="33"/>
      <w:r>
        <w:rPr>
          <w:rFonts w:hint="eastAsia" w:ascii="宋体" w:hAnsi="宋体" w:eastAsia="宋体" w:cs="宋体"/>
          <w:color w:val="auto"/>
          <w:kern w:val="0"/>
          <w:sz w:val="24"/>
          <w:szCs w:val="24"/>
          <w:highlight w:val="none"/>
          <w:lang w:val="en-US" w:eastAsia="zh-CN" w:bidi="ar-SA"/>
        </w:rPr>
        <w:t>（1）提供有效合格的统一社会信用代码的营业执照，其他组织经营的须提供合法凭证，自然人的提供身份证明文件；</w:t>
      </w:r>
    </w:p>
    <w:p w14:paraId="0A1CF415">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49491DCA">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（3）拟投入的项目负责人须具有国家相关部门颁发的环境影响评价工程师职业资格证书；</w:t>
      </w:r>
    </w:p>
    <w:p w14:paraId="4EAFF826">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5642E79D">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40456B1C">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（6）税收缴纳证明:自2025年1月1日以来已缴纳的至少一个月的纳税证明或完税证明，纳税证明或完税证明上应有代收机构或税务机关的公章或业务专用章。依法免税的供应商应提供相关文件证明；</w:t>
      </w:r>
    </w:p>
    <w:p w14:paraId="740EEBD3">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通过中国政府采购网（www.ccgp.gov.cn）和“信用中国”网站(www.creditchina.gov.cn)查询相关主体无失信记录（网站查询的截图，加盖企业公章）以及参加政府采购活动前3年内在经营活动中没有重大违法记录的书面声明；</w:t>
      </w:r>
    </w:p>
    <w:p w14:paraId="2E2C3676">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（8）具有履行合同所必需的设备和专业技术能力的书面声明</w:t>
      </w:r>
    </w:p>
    <w:p w14:paraId="4CBCF693">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（9）供应商应提供中小企业声明函或残疾人福利性单位声明函或监狱企业证明文件；</w:t>
      </w:r>
    </w:p>
    <w:p w14:paraId="3D5E7CC7">
      <w:pPr>
        <w:keepNext w:val="0"/>
        <w:keepLines w:val="0"/>
        <w:pageBreakBefore w:val="0"/>
        <w:widowControl w:val="0"/>
        <w:shd w:val="clear" w:color="auto" w:fill="auto"/>
        <w:kinsoku/>
        <w:wordWrap/>
        <w:overflowPunct/>
        <w:topLinePunct w:val="0"/>
        <w:autoSpaceDE/>
        <w:autoSpaceDN/>
        <w:bidi w:val="0"/>
        <w:adjustRightInd/>
        <w:snapToGrid/>
        <w:spacing w:before="3" w:line="520" w:lineRule="exact"/>
        <w:ind w:right="1"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（10）本项目不接受联合体投标。</w:t>
      </w:r>
    </w:p>
    <w:p w14:paraId="66595B56">
      <w:pPr>
        <w:spacing w:before="212"/>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注：供应商未按磋商文件要求附相关资质证件的，按无效投标文件处理。</w:t>
      </w:r>
    </w:p>
    <w:p w14:paraId="7F00D3B9">
      <w:pPr>
        <w:jc w:val="left"/>
        <w:rPr>
          <w:rFonts w:hint="eastAsia" w:ascii="宋体" w:hAnsi="宋体" w:eastAsia="宋体" w:cs="宋体"/>
          <w:color w:val="auto"/>
          <w:sz w:val="24"/>
          <w:szCs w:val="24"/>
          <w:highlight w:val="none"/>
        </w:rPr>
        <w:sectPr>
          <w:pgSz w:w="11910" w:h="16840"/>
          <w:pgMar w:top="1440" w:right="1080" w:bottom="1440" w:left="1080" w:header="720" w:footer="720" w:gutter="0"/>
          <w:cols w:space="720" w:num="1"/>
        </w:sectPr>
      </w:pPr>
    </w:p>
    <w:p w14:paraId="090DB50F">
      <w:pPr>
        <w:pStyle w:val="4"/>
        <w:jc w:val="center"/>
        <w:rPr>
          <w:rFonts w:hint="eastAsia" w:ascii="宋体" w:hAnsi="宋体" w:eastAsia="宋体" w:cs="宋体"/>
          <w:b/>
          <w:bCs w:val="0"/>
          <w:color w:val="auto"/>
          <w:kern w:val="2"/>
          <w:sz w:val="32"/>
          <w:szCs w:val="22"/>
          <w:highlight w:val="none"/>
          <w:lang w:val="en-US" w:eastAsia="zh-CN" w:bidi="ar-SA"/>
        </w:rPr>
      </w:pPr>
      <w:bookmarkStart w:id="34" w:name="_Toc12651"/>
      <w:r>
        <w:rPr>
          <w:rFonts w:hint="eastAsia" w:ascii="宋体" w:hAnsi="宋体" w:eastAsia="宋体" w:cs="宋体"/>
          <w:b/>
          <w:bCs w:val="0"/>
          <w:color w:val="auto"/>
          <w:kern w:val="2"/>
          <w:sz w:val="32"/>
          <w:szCs w:val="22"/>
          <w:highlight w:val="none"/>
          <w:lang w:val="en-US" w:eastAsia="zh-CN" w:bidi="ar-SA"/>
        </w:rPr>
        <w:t>四、服务方案</w:t>
      </w:r>
      <w:bookmarkEnd w:id="34"/>
    </w:p>
    <w:p w14:paraId="0596724C">
      <w:pPr>
        <w:pStyle w:val="12"/>
        <w:spacing w:before="185"/>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服务</w:t>
      </w:r>
      <w:r>
        <w:rPr>
          <w:rFonts w:hint="eastAsia" w:ascii="宋体" w:hAnsi="宋体" w:eastAsia="宋体" w:cs="宋体"/>
          <w:color w:val="auto"/>
          <w:sz w:val="24"/>
          <w:szCs w:val="32"/>
          <w:highlight w:val="none"/>
        </w:rPr>
        <w:t>方案编制（结合本项目磋商文件中评审办法的要求格式自拟。）</w:t>
      </w:r>
    </w:p>
    <w:p w14:paraId="1A134CF0">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012792CC">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591C7DE6">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2B7773D1">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7EDB2A23">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3E14B8F6">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25973613">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1AB542AE">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43F697F8">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42694019">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74D2F152">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33D913C7">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50FF2246">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28141206">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5039EA72">
      <w:pPr>
        <w:pStyle w:val="71"/>
        <w:tabs>
          <w:tab w:val="left" w:pos="2301"/>
        </w:tabs>
        <w:autoSpaceDE w:val="0"/>
        <w:autoSpaceDN w:val="0"/>
        <w:spacing w:before="214"/>
        <w:ind w:left="0" w:firstLine="0"/>
        <w:jc w:val="left"/>
        <w:rPr>
          <w:rFonts w:hint="eastAsia" w:ascii="宋体" w:hAnsi="宋体" w:eastAsia="宋体" w:cs="宋体"/>
          <w:color w:val="auto"/>
          <w:sz w:val="24"/>
          <w:highlight w:val="none"/>
        </w:rPr>
      </w:pPr>
    </w:p>
    <w:p w14:paraId="7B4E724E">
      <w:pPr>
        <w:pStyle w:val="12"/>
        <w:spacing w:before="3"/>
        <w:rPr>
          <w:rFonts w:hint="eastAsia" w:ascii="宋体" w:hAnsi="宋体" w:eastAsia="宋体" w:cs="宋体"/>
          <w:color w:val="auto"/>
          <w:sz w:val="16"/>
          <w:highlight w:val="none"/>
        </w:rPr>
      </w:pPr>
    </w:p>
    <w:p w14:paraId="37E85768">
      <w:pPr>
        <w:pStyle w:val="22"/>
        <w:rPr>
          <w:rFonts w:hint="eastAsia" w:ascii="宋体" w:hAnsi="宋体" w:eastAsia="宋体" w:cs="宋体"/>
          <w:color w:val="auto"/>
          <w:sz w:val="16"/>
          <w:highlight w:val="none"/>
        </w:rPr>
      </w:pPr>
    </w:p>
    <w:p w14:paraId="5C6AA20F">
      <w:pPr>
        <w:pStyle w:val="22"/>
        <w:rPr>
          <w:rFonts w:hint="eastAsia" w:ascii="宋体" w:hAnsi="宋体" w:eastAsia="宋体" w:cs="宋体"/>
          <w:color w:val="auto"/>
          <w:sz w:val="16"/>
          <w:highlight w:val="none"/>
        </w:rPr>
      </w:pPr>
    </w:p>
    <w:p w14:paraId="5EA6632F">
      <w:pPr>
        <w:pStyle w:val="22"/>
        <w:rPr>
          <w:rFonts w:hint="eastAsia" w:ascii="宋体" w:hAnsi="宋体" w:eastAsia="宋体" w:cs="宋体"/>
          <w:color w:val="auto"/>
          <w:sz w:val="16"/>
          <w:highlight w:val="none"/>
        </w:rPr>
      </w:pPr>
    </w:p>
    <w:p w14:paraId="115F5F90">
      <w:pPr>
        <w:pStyle w:val="22"/>
        <w:rPr>
          <w:rFonts w:hint="eastAsia" w:ascii="宋体" w:hAnsi="宋体" w:eastAsia="宋体" w:cs="宋体"/>
          <w:color w:val="auto"/>
          <w:sz w:val="16"/>
          <w:highlight w:val="none"/>
        </w:rPr>
      </w:pPr>
    </w:p>
    <w:p w14:paraId="7D2E26BC">
      <w:pPr>
        <w:pStyle w:val="22"/>
        <w:rPr>
          <w:rFonts w:hint="eastAsia" w:ascii="宋体" w:hAnsi="宋体" w:eastAsia="宋体" w:cs="宋体"/>
          <w:color w:val="auto"/>
          <w:sz w:val="16"/>
          <w:highlight w:val="none"/>
        </w:rPr>
      </w:pPr>
    </w:p>
    <w:p w14:paraId="0776E2D2">
      <w:pPr>
        <w:pStyle w:val="22"/>
        <w:rPr>
          <w:rFonts w:hint="eastAsia" w:ascii="宋体" w:hAnsi="宋体" w:eastAsia="宋体" w:cs="宋体"/>
          <w:color w:val="auto"/>
          <w:sz w:val="16"/>
          <w:highlight w:val="none"/>
        </w:rPr>
      </w:pPr>
    </w:p>
    <w:p w14:paraId="67A20D50">
      <w:pPr>
        <w:pStyle w:val="22"/>
        <w:rPr>
          <w:rFonts w:hint="eastAsia" w:ascii="宋体" w:hAnsi="宋体" w:eastAsia="宋体" w:cs="宋体"/>
          <w:color w:val="auto"/>
          <w:sz w:val="16"/>
          <w:highlight w:val="none"/>
        </w:rPr>
      </w:pPr>
    </w:p>
    <w:p w14:paraId="559094B3">
      <w:pPr>
        <w:pStyle w:val="22"/>
        <w:rPr>
          <w:rFonts w:hint="eastAsia" w:ascii="宋体" w:hAnsi="宋体" w:eastAsia="宋体" w:cs="宋体"/>
          <w:color w:val="auto"/>
          <w:sz w:val="16"/>
          <w:highlight w:val="none"/>
        </w:rPr>
      </w:pPr>
    </w:p>
    <w:p w14:paraId="683A172E">
      <w:pPr>
        <w:pStyle w:val="22"/>
        <w:rPr>
          <w:rFonts w:hint="eastAsia" w:ascii="宋体" w:hAnsi="宋体" w:eastAsia="宋体" w:cs="宋体"/>
          <w:color w:val="auto"/>
          <w:sz w:val="16"/>
          <w:highlight w:val="none"/>
        </w:rPr>
      </w:pPr>
    </w:p>
    <w:p w14:paraId="265481CD">
      <w:pPr>
        <w:pStyle w:val="22"/>
        <w:rPr>
          <w:rFonts w:hint="eastAsia" w:ascii="宋体" w:hAnsi="宋体" w:eastAsia="宋体" w:cs="宋体"/>
          <w:color w:val="auto"/>
          <w:sz w:val="16"/>
          <w:highlight w:val="none"/>
        </w:rPr>
      </w:pPr>
    </w:p>
    <w:p w14:paraId="37E1E382">
      <w:pPr>
        <w:pStyle w:val="22"/>
        <w:rPr>
          <w:rFonts w:hint="eastAsia" w:ascii="宋体" w:hAnsi="宋体" w:eastAsia="宋体" w:cs="宋体"/>
          <w:color w:val="auto"/>
          <w:sz w:val="16"/>
          <w:highlight w:val="none"/>
        </w:rPr>
      </w:pPr>
    </w:p>
    <w:p w14:paraId="1F6E94D1">
      <w:pPr>
        <w:pStyle w:val="22"/>
        <w:rPr>
          <w:rFonts w:hint="eastAsia" w:ascii="宋体" w:hAnsi="宋体" w:eastAsia="宋体" w:cs="宋体"/>
          <w:color w:val="auto"/>
          <w:sz w:val="16"/>
          <w:highlight w:val="none"/>
        </w:rPr>
      </w:pPr>
    </w:p>
    <w:p w14:paraId="60E24223">
      <w:pPr>
        <w:pStyle w:val="22"/>
        <w:rPr>
          <w:rFonts w:hint="eastAsia" w:ascii="宋体" w:hAnsi="宋体" w:eastAsia="宋体" w:cs="宋体"/>
          <w:color w:val="auto"/>
          <w:sz w:val="16"/>
          <w:highlight w:val="none"/>
        </w:rPr>
      </w:pPr>
    </w:p>
    <w:p w14:paraId="6075882C">
      <w:pPr>
        <w:pStyle w:val="22"/>
        <w:rPr>
          <w:rFonts w:hint="eastAsia" w:ascii="宋体" w:hAnsi="宋体" w:eastAsia="宋体" w:cs="宋体"/>
          <w:color w:val="auto"/>
          <w:sz w:val="16"/>
          <w:highlight w:val="none"/>
        </w:rPr>
      </w:pPr>
    </w:p>
    <w:p w14:paraId="1C58514F">
      <w:pPr>
        <w:pStyle w:val="3"/>
        <w:numPr>
          <w:ilvl w:val="0"/>
          <w:numId w:val="7"/>
        </w:numPr>
        <w:spacing w:before="54"/>
        <w:ind w:left="668" w:right="945"/>
        <w:jc w:val="center"/>
        <w:rPr>
          <w:rFonts w:hint="eastAsia" w:ascii="宋体" w:hAnsi="宋体" w:eastAsia="宋体" w:cs="宋体"/>
          <w:color w:val="auto"/>
          <w:sz w:val="32"/>
          <w:szCs w:val="32"/>
          <w:highlight w:val="none"/>
        </w:rPr>
      </w:pPr>
      <w:bookmarkStart w:id="35" w:name="_Toc2952"/>
      <w:r>
        <w:rPr>
          <w:rFonts w:hint="eastAsia" w:ascii="宋体" w:hAnsi="宋体" w:eastAsia="宋体" w:cs="宋体"/>
          <w:color w:val="auto"/>
          <w:sz w:val="32"/>
          <w:szCs w:val="32"/>
          <w:highlight w:val="none"/>
        </w:rPr>
        <w:t>投标人近三年</w:t>
      </w:r>
      <w:r>
        <w:rPr>
          <w:rFonts w:hint="eastAsia" w:ascii="宋体" w:hAnsi="宋体" w:eastAsia="宋体" w:cs="宋体"/>
          <w:color w:val="auto"/>
          <w:sz w:val="32"/>
          <w:szCs w:val="32"/>
          <w:highlight w:val="none"/>
          <w:lang w:eastAsia="zh-CN"/>
        </w:rPr>
        <w:t>类似</w:t>
      </w:r>
      <w:r>
        <w:rPr>
          <w:rFonts w:hint="eastAsia" w:ascii="宋体" w:hAnsi="宋体" w:eastAsia="宋体" w:cs="宋体"/>
          <w:color w:val="auto"/>
          <w:sz w:val="32"/>
          <w:szCs w:val="32"/>
          <w:highlight w:val="none"/>
        </w:rPr>
        <w:t>项目业绩</w:t>
      </w:r>
      <w:bookmarkEnd w:id="35"/>
    </w:p>
    <w:p w14:paraId="0A03DEA3">
      <w:pPr>
        <w:rPr>
          <w:rFonts w:hint="eastAsia" w:ascii="宋体" w:hAnsi="宋体" w:eastAsia="宋体" w:cs="宋体"/>
          <w:color w:val="auto"/>
          <w:highlight w:val="none"/>
        </w:rPr>
      </w:pPr>
    </w:p>
    <w:p w14:paraId="6FD335CB">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注：附合同书或中标通知书加盖公章</w:t>
      </w:r>
    </w:p>
    <w:p w14:paraId="242DBDF6">
      <w:pPr>
        <w:pStyle w:val="3"/>
        <w:spacing w:before="54"/>
        <w:ind w:left="668" w:right="945"/>
        <w:jc w:val="center"/>
        <w:rPr>
          <w:rFonts w:hint="eastAsia" w:ascii="宋体" w:hAnsi="宋体" w:eastAsia="宋体" w:cs="宋体"/>
          <w:color w:val="auto"/>
          <w:highlight w:val="none"/>
        </w:rPr>
      </w:pPr>
    </w:p>
    <w:p w14:paraId="7091517E">
      <w:pPr>
        <w:pStyle w:val="3"/>
        <w:spacing w:before="54"/>
        <w:ind w:left="668" w:right="945"/>
        <w:jc w:val="center"/>
        <w:rPr>
          <w:rFonts w:hint="eastAsia" w:ascii="宋体" w:hAnsi="宋体" w:eastAsia="宋体" w:cs="宋体"/>
          <w:color w:val="auto"/>
          <w:highlight w:val="none"/>
        </w:rPr>
      </w:pPr>
    </w:p>
    <w:p w14:paraId="5E78AE5E">
      <w:pPr>
        <w:pStyle w:val="3"/>
        <w:spacing w:before="54"/>
        <w:ind w:left="668" w:right="945"/>
        <w:jc w:val="center"/>
        <w:rPr>
          <w:rFonts w:hint="eastAsia" w:ascii="宋体" w:hAnsi="宋体" w:eastAsia="宋体" w:cs="宋体"/>
          <w:color w:val="auto"/>
          <w:highlight w:val="none"/>
        </w:rPr>
      </w:pPr>
    </w:p>
    <w:p w14:paraId="227CA143">
      <w:pPr>
        <w:pStyle w:val="3"/>
        <w:spacing w:before="54"/>
        <w:ind w:left="668" w:right="945"/>
        <w:jc w:val="center"/>
        <w:rPr>
          <w:rFonts w:hint="eastAsia" w:ascii="宋体" w:hAnsi="宋体" w:eastAsia="宋体" w:cs="宋体"/>
          <w:color w:val="auto"/>
          <w:highlight w:val="none"/>
        </w:rPr>
      </w:pPr>
    </w:p>
    <w:p w14:paraId="05FE6BAB">
      <w:pPr>
        <w:pStyle w:val="3"/>
        <w:spacing w:before="54"/>
        <w:ind w:left="668" w:right="945"/>
        <w:jc w:val="center"/>
        <w:rPr>
          <w:rFonts w:hint="eastAsia" w:ascii="宋体" w:hAnsi="宋体" w:eastAsia="宋体" w:cs="宋体"/>
          <w:color w:val="auto"/>
          <w:highlight w:val="none"/>
        </w:rPr>
      </w:pPr>
    </w:p>
    <w:p w14:paraId="1FAF4B54">
      <w:pPr>
        <w:pStyle w:val="3"/>
        <w:spacing w:before="54"/>
        <w:ind w:left="668" w:right="945"/>
        <w:jc w:val="center"/>
        <w:rPr>
          <w:rFonts w:hint="eastAsia" w:ascii="宋体" w:hAnsi="宋体" w:eastAsia="宋体" w:cs="宋体"/>
          <w:color w:val="auto"/>
          <w:highlight w:val="none"/>
        </w:rPr>
      </w:pPr>
    </w:p>
    <w:p w14:paraId="39404D2B">
      <w:pPr>
        <w:pStyle w:val="3"/>
        <w:spacing w:before="54"/>
        <w:ind w:left="668" w:right="945"/>
        <w:jc w:val="center"/>
        <w:rPr>
          <w:rFonts w:hint="eastAsia" w:ascii="宋体" w:hAnsi="宋体" w:eastAsia="宋体" w:cs="宋体"/>
          <w:color w:val="auto"/>
          <w:highlight w:val="none"/>
        </w:rPr>
      </w:pPr>
    </w:p>
    <w:p w14:paraId="05D8FB26">
      <w:pPr>
        <w:pStyle w:val="3"/>
        <w:spacing w:before="54"/>
        <w:ind w:left="668" w:right="945"/>
        <w:jc w:val="center"/>
        <w:rPr>
          <w:rFonts w:hint="eastAsia" w:ascii="宋体" w:hAnsi="宋体" w:eastAsia="宋体" w:cs="宋体"/>
          <w:color w:val="auto"/>
          <w:highlight w:val="none"/>
        </w:rPr>
      </w:pPr>
    </w:p>
    <w:p w14:paraId="1AA7F277">
      <w:pPr>
        <w:pStyle w:val="3"/>
        <w:spacing w:before="54"/>
        <w:ind w:left="668" w:right="945"/>
        <w:jc w:val="center"/>
        <w:rPr>
          <w:rFonts w:hint="eastAsia" w:ascii="宋体" w:hAnsi="宋体" w:eastAsia="宋体" w:cs="宋体"/>
          <w:color w:val="auto"/>
          <w:highlight w:val="none"/>
        </w:rPr>
      </w:pPr>
    </w:p>
    <w:p w14:paraId="58D59770">
      <w:pPr>
        <w:pStyle w:val="3"/>
        <w:spacing w:before="54"/>
        <w:ind w:left="668" w:right="945"/>
        <w:jc w:val="center"/>
        <w:rPr>
          <w:rFonts w:hint="eastAsia" w:ascii="宋体" w:hAnsi="宋体" w:eastAsia="宋体" w:cs="宋体"/>
          <w:color w:val="auto"/>
          <w:highlight w:val="none"/>
        </w:rPr>
      </w:pPr>
    </w:p>
    <w:p w14:paraId="2F1BF572">
      <w:pPr>
        <w:pStyle w:val="3"/>
        <w:spacing w:before="54"/>
        <w:ind w:left="668" w:right="945"/>
        <w:jc w:val="center"/>
        <w:rPr>
          <w:rFonts w:hint="eastAsia" w:ascii="宋体" w:hAnsi="宋体" w:eastAsia="宋体" w:cs="宋体"/>
          <w:color w:val="auto"/>
          <w:highlight w:val="none"/>
        </w:rPr>
      </w:pPr>
    </w:p>
    <w:p w14:paraId="3823660F">
      <w:pPr>
        <w:rPr>
          <w:rFonts w:hint="eastAsia" w:ascii="宋体" w:hAnsi="宋体" w:eastAsia="宋体" w:cs="宋体"/>
          <w:color w:val="auto"/>
          <w:highlight w:val="none"/>
        </w:rPr>
      </w:pPr>
    </w:p>
    <w:p w14:paraId="42F0A9BC">
      <w:pPr>
        <w:pStyle w:val="9"/>
        <w:ind w:firstLine="480"/>
        <w:rPr>
          <w:rFonts w:hint="eastAsia" w:ascii="宋体" w:hAnsi="宋体" w:eastAsia="宋体" w:cs="宋体"/>
          <w:color w:val="auto"/>
          <w:highlight w:val="none"/>
        </w:rPr>
      </w:pPr>
    </w:p>
    <w:p w14:paraId="191C7C6D">
      <w:pPr>
        <w:pStyle w:val="3"/>
        <w:spacing w:before="54"/>
        <w:ind w:left="668" w:right="945"/>
        <w:jc w:val="center"/>
        <w:rPr>
          <w:rFonts w:hint="eastAsia" w:ascii="宋体" w:hAnsi="宋体" w:eastAsia="宋体" w:cs="宋体"/>
          <w:color w:val="auto"/>
          <w:highlight w:val="none"/>
        </w:rPr>
      </w:pPr>
    </w:p>
    <w:p w14:paraId="333718EF">
      <w:pPr>
        <w:widowControl/>
        <w:numPr>
          <w:ilvl w:val="0"/>
          <w:numId w:val="7"/>
        </w:numPr>
        <w:ind w:left="668"/>
        <w:jc w:val="center"/>
        <w:outlineLvl w:val="0"/>
        <w:rPr>
          <w:rFonts w:hint="eastAsia" w:ascii="宋体" w:hAnsi="宋体" w:eastAsia="宋体" w:cs="宋体"/>
          <w:b/>
          <w:bCs/>
          <w:color w:val="auto"/>
          <w:kern w:val="0"/>
          <w:sz w:val="32"/>
          <w:szCs w:val="32"/>
          <w:highlight w:val="none"/>
        </w:rPr>
      </w:pPr>
      <w:bookmarkStart w:id="36" w:name="_Toc22917"/>
      <w:r>
        <w:rPr>
          <w:rFonts w:hint="eastAsia" w:ascii="宋体" w:hAnsi="宋体" w:eastAsia="宋体" w:cs="宋体"/>
          <w:b/>
          <w:bCs/>
          <w:color w:val="auto"/>
          <w:kern w:val="0"/>
          <w:sz w:val="32"/>
          <w:szCs w:val="32"/>
          <w:highlight w:val="none"/>
        </w:rPr>
        <w:t>政府采购投标人拒绝政府采购领域商业贿赂承诺书</w:t>
      </w:r>
      <w:bookmarkEnd w:id="36"/>
    </w:p>
    <w:p w14:paraId="30E90EBC">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5、不采取不正当手段诋毁、排挤其他</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 xml:space="preserve">。 </w:t>
      </w:r>
    </w:p>
    <w:p w14:paraId="04CF3A09">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7、不与采购人、采购代理机构政府采购评审专家或其它</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9、不发生其他有悖于政府采购公开、公平、公正和诚信原则的行为。 </w:t>
      </w:r>
    </w:p>
    <w:p w14:paraId="29C45ADD">
      <w:pPr>
        <w:pStyle w:val="12"/>
        <w:rPr>
          <w:rFonts w:hint="eastAsia" w:ascii="宋体" w:hAnsi="宋体" w:eastAsia="宋体" w:cs="宋体"/>
          <w:color w:val="auto"/>
          <w:highlight w:val="none"/>
        </w:rPr>
      </w:pPr>
    </w:p>
    <w:p w14:paraId="2C2D7C1A">
      <w:pPr>
        <w:widowControl/>
        <w:spacing w:line="440" w:lineRule="exact"/>
        <w:ind w:firstLine="56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4"/>
          <w:highlight w:val="none"/>
        </w:rPr>
        <w:t>  </w:t>
      </w:r>
      <w:r>
        <w:rPr>
          <w:rFonts w:hint="eastAsia" w:ascii="宋体" w:hAnsi="宋体" w:eastAsia="宋体" w:cs="宋体"/>
          <w:color w:val="auto"/>
          <w:kern w:val="0"/>
          <w:sz w:val="28"/>
          <w:szCs w:val="24"/>
          <w:highlight w:val="none"/>
          <w:lang w:val="en-US" w:eastAsia="zh-CN"/>
        </w:rPr>
        <w:t xml:space="preserve"> </w:t>
      </w:r>
      <w:r>
        <w:rPr>
          <w:rFonts w:hint="eastAsia" w:ascii="宋体" w:hAnsi="宋体" w:eastAsia="宋体" w:cs="宋体"/>
          <w:color w:val="auto"/>
          <w:kern w:val="0"/>
          <w:sz w:val="24"/>
          <w:szCs w:val="24"/>
          <w:highlight w:val="none"/>
        </w:rPr>
        <w:t>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电　　话：</w:t>
      </w:r>
      <w:r>
        <w:rPr>
          <w:rFonts w:hint="eastAsia" w:ascii="宋体" w:hAnsi="宋体" w:eastAsia="宋体" w:cs="宋体"/>
          <w:color w:val="auto"/>
          <w:kern w:val="0"/>
          <w:sz w:val="24"/>
          <w:szCs w:val="24"/>
          <w:highlight w:val="none"/>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842101F">
      <w:pPr>
        <w:spacing w:afterLines="100"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14:paraId="5F23C683">
      <w:pPr>
        <w:pStyle w:val="12"/>
        <w:rPr>
          <w:rFonts w:hint="eastAsia" w:ascii="宋体" w:hAnsi="宋体" w:eastAsia="宋体" w:cs="宋体"/>
          <w:color w:val="auto"/>
          <w:highlight w:val="none"/>
        </w:rPr>
      </w:pPr>
    </w:p>
    <w:p w14:paraId="56CA10F6">
      <w:pPr>
        <w:pStyle w:val="3"/>
        <w:spacing w:before="54"/>
        <w:ind w:left="668" w:right="945"/>
        <w:jc w:val="center"/>
        <w:rPr>
          <w:rFonts w:hint="eastAsia" w:ascii="宋体" w:hAnsi="宋体" w:eastAsia="宋体" w:cs="宋体"/>
          <w:color w:val="auto"/>
          <w:highlight w:val="none"/>
        </w:rPr>
      </w:pPr>
    </w:p>
    <w:p w14:paraId="48DA8107">
      <w:pPr>
        <w:rPr>
          <w:rFonts w:hint="eastAsia" w:ascii="宋体" w:hAnsi="宋体" w:eastAsia="宋体" w:cs="宋体"/>
          <w:color w:val="auto"/>
          <w:highlight w:val="none"/>
        </w:rPr>
      </w:pPr>
    </w:p>
    <w:p w14:paraId="53189183">
      <w:pPr>
        <w:pStyle w:val="12"/>
        <w:rPr>
          <w:rFonts w:hint="eastAsia" w:ascii="宋体" w:hAnsi="宋体" w:eastAsia="宋体" w:cs="宋体"/>
          <w:color w:val="auto"/>
          <w:highlight w:val="none"/>
        </w:rPr>
      </w:pPr>
    </w:p>
    <w:p w14:paraId="7312B70E">
      <w:pPr>
        <w:pStyle w:val="22"/>
        <w:rPr>
          <w:rFonts w:hint="eastAsia" w:ascii="宋体" w:hAnsi="宋体" w:eastAsia="宋体" w:cs="宋体"/>
          <w:color w:val="auto"/>
          <w:highlight w:val="none"/>
        </w:rPr>
      </w:pPr>
    </w:p>
    <w:p w14:paraId="3EAEAC2A">
      <w:pPr>
        <w:pStyle w:val="3"/>
        <w:spacing w:before="54"/>
        <w:ind w:left="668" w:right="945"/>
        <w:jc w:val="center"/>
        <w:rPr>
          <w:rFonts w:hint="eastAsia" w:ascii="宋体" w:hAnsi="宋体" w:eastAsia="宋体" w:cs="宋体"/>
          <w:color w:val="auto"/>
          <w:kern w:val="0"/>
          <w:sz w:val="32"/>
          <w:szCs w:val="32"/>
          <w:highlight w:val="none"/>
          <w:lang w:bidi="zh-CN"/>
        </w:rPr>
      </w:pPr>
      <w:bookmarkStart w:id="37" w:name="_Toc4868"/>
      <w:r>
        <w:rPr>
          <w:rFonts w:hint="eastAsia" w:ascii="宋体" w:hAnsi="宋体" w:eastAsia="宋体" w:cs="宋体"/>
          <w:color w:val="auto"/>
          <w:kern w:val="0"/>
          <w:sz w:val="32"/>
          <w:szCs w:val="32"/>
          <w:highlight w:val="none"/>
          <w:lang w:val="zh-CN" w:bidi="zh-CN"/>
        </w:rPr>
        <w:t>七、</w:t>
      </w:r>
      <w:bookmarkEnd w:id="37"/>
      <w:r>
        <w:rPr>
          <w:rFonts w:hint="eastAsia" w:cs="宋体"/>
          <w:color w:val="auto"/>
          <w:kern w:val="0"/>
          <w:sz w:val="32"/>
          <w:szCs w:val="32"/>
          <w:highlight w:val="none"/>
          <w:lang w:val="zh-CN" w:bidi="zh-CN"/>
        </w:rPr>
        <w:t>其他材料</w:t>
      </w:r>
    </w:p>
    <w:p w14:paraId="79AC0014">
      <w:pPr>
        <w:pStyle w:val="9"/>
        <w:ind w:firstLine="0" w:firstLineChars="0"/>
        <w:jc w:val="center"/>
        <w:outlineLvl w:val="0"/>
        <w:rPr>
          <w:rFonts w:hint="eastAsia" w:ascii="宋体" w:hAnsi="宋体" w:eastAsia="宋体" w:cs="宋体"/>
          <w:b/>
          <w:color w:val="auto"/>
          <w:sz w:val="28"/>
          <w:szCs w:val="28"/>
          <w:highlight w:val="none"/>
          <w:lang w:val="zh-CN"/>
        </w:rPr>
      </w:pPr>
      <w:bookmarkStart w:id="38" w:name="_Toc29097"/>
      <w:bookmarkStart w:id="39" w:name="_Toc4819"/>
      <w:r>
        <w:rPr>
          <w:rFonts w:hint="eastAsia" w:ascii="宋体" w:hAnsi="宋体" w:eastAsia="宋体" w:cs="宋体"/>
          <w:b/>
          <w:color w:val="auto"/>
          <w:sz w:val="28"/>
          <w:szCs w:val="28"/>
          <w:highlight w:val="none"/>
          <w:lang w:val="zh-CN"/>
        </w:rPr>
        <w:t>中小企业声明函</w:t>
      </w:r>
      <w:bookmarkEnd w:id="38"/>
      <w:bookmarkEnd w:id="39"/>
    </w:p>
    <w:p w14:paraId="32EE1D8E">
      <w:pPr>
        <w:widowControl/>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，属于（采购文件中明确的所属行业）；承建（承接）企业为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，从业人员人，营业收入为万元，资产总额为万元，属于</w:t>
      </w:r>
      <w:r>
        <w:rPr>
          <w:rFonts w:hint="eastAsia" w:ascii="宋体" w:hAnsi="宋体" w:eastAsia="宋体" w:cs="宋体"/>
          <w:color w:val="auto"/>
          <w:kern w:val="0"/>
          <w:sz w:val="24"/>
          <w:szCs w:val="24"/>
          <w:highlight w:val="none"/>
          <w:u w:val="single"/>
        </w:rPr>
        <w:t>（中型企业、小型企业、微型企业）</w:t>
      </w:r>
      <w:r>
        <w:rPr>
          <w:rFonts w:hint="eastAsia" w:ascii="宋体" w:hAnsi="宋体" w:eastAsia="宋体" w:cs="宋体"/>
          <w:color w:val="auto"/>
          <w:kern w:val="0"/>
          <w:sz w:val="24"/>
          <w:szCs w:val="24"/>
          <w:highlight w:val="none"/>
        </w:rPr>
        <w:t xml:space="preserve">； </w:t>
      </w:r>
    </w:p>
    <w:p w14:paraId="17D7489C">
      <w:pPr>
        <w:widowControl/>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kern w:val="0"/>
          <w:sz w:val="24"/>
          <w:szCs w:val="24"/>
          <w:highlight w:val="none"/>
          <w:u w:val="single"/>
        </w:rPr>
        <w:t xml:space="preserve">（标的名称）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kern w:val="0"/>
          <w:sz w:val="24"/>
          <w:szCs w:val="24"/>
          <w:highlight w:val="none"/>
        </w:rPr>
        <w:t>； 承建（承接）企业为</w:t>
      </w:r>
      <w:r>
        <w:rPr>
          <w:rFonts w:hint="eastAsia" w:ascii="宋体" w:hAnsi="宋体" w:eastAsia="宋体" w:cs="宋体"/>
          <w:color w:val="auto"/>
          <w:kern w:val="0"/>
          <w:sz w:val="24"/>
          <w:szCs w:val="24"/>
          <w:highlight w:val="none"/>
          <w:u w:val="single"/>
        </w:rPr>
        <w:t>（企业名称）</w:t>
      </w:r>
      <w:r>
        <w:rPr>
          <w:rFonts w:hint="eastAsia" w:ascii="宋体" w:hAnsi="宋体" w:eastAsia="宋体" w:cs="宋体"/>
          <w:color w:val="auto"/>
          <w:kern w:val="0"/>
          <w:sz w:val="24"/>
          <w:szCs w:val="24"/>
          <w:highlight w:val="none"/>
        </w:rPr>
        <w:t>，从业人员人，营业收入为万元，资产总额为万元，属于</w:t>
      </w:r>
      <w:r>
        <w:rPr>
          <w:rFonts w:hint="eastAsia" w:ascii="宋体" w:hAnsi="宋体" w:eastAsia="宋体" w:cs="宋体"/>
          <w:color w:val="auto"/>
          <w:kern w:val="0"/>
          <w:sz w:val="24"/>
          <w:szCs w:val="24"/>
          <w:highlight w:val="none"/>
          <w:u w:val="single"/>
        </w:rPr>
        <w:t>（中型企业、 小型企业、微型企业）</w:t>
      </w:r>
      <w:r>
        <w:rPr>
          <w:rFonts w:hint="eastAsia" w:ascii="宋体" w:hAnsi="宋体" w:eastAsia="宋体" w:cs="宋体"/>
          <w:color w:val="auto"/>
          <w:kern w:val="0"/>
          <w:sz w:val="24"/>
          <w:szCs w:val="24"/>
          <w:highlight w:val="none"/>
        </w:rPr>
        <w:t xml:space="preserve">； </w:t>
      </w:r>
    </w:p>
    <w:p w14:paraId="542A279F">
      <w:pPr>
        <w:widowControl/>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highlight w:val="none"/>
        </w:rPr>
      </w:pPr>
    </w:p>
    <w:p w14:paraId="628456D9">
      <w:pPr>
        <w:widowControl/>
        <w:spacing w:line="480" w:lineRule="auto"/>
        <w:ind w:firstLine="4080" w:firstLineChars="17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企业名称（盖章）： </w:t>
      </w:r>
    </w:p>
    <w:p w14:paraId="62B9DD4A">
      <w:pPr>
        <w:spacing w:line="48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    期：</w:t>
      </w:r>
    </w:p>
    <w:p w14:paraId="0BE9BAC9">
      <w:pPr>
        <w:widowControl/>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F9BF2C2">
      <w:pPr>
        <w:pStyle w:val="4"/>
        <w:rPr>
          <w:rFonts w:hint="eastAsia" w:ascii="宋体" w:hAnsi="宋体" w:eastAsia="宋体" w:cs="宋体"/>
          <w:color w:val="auto"/>
          <w:highlight w:val="none"/>
        </w:rPr>
      </w:pPr>
    </w:p>
    <w:p w14:paraId="2A03EF40">
      <w:pPr>
        <w:rPr>
          <w:rFonts w:hint="eastAsia" w:ascii="宋体" w:hAnsi="宋体" w:eastAsia="宋体" w:cs="宋体"/>
          <w:color w:val="auto"/>
          <w:highlight w:val="none"/>
        </w:rPr>
      </w:pPr>
    </w:p>
    <w:p w14:paraId="11B0BBC0">
      <w:pPr>
        <w:rPr>
          <w:rFonts w:hint="eastAsia" w:ascii="宋体" w:hAnsi="宋体" w:eastAsia="宋体" w:cs="宋体"/>
          <w:color w:val="auto"/>
          <w:szCs w:val="21"/>
          <w:highlight w:val="none"/>
        </w:rPr>
      </w:pPr>
    </w:p>
    <w:p w14:paraId="7E50792D">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highlight w:val="none"/>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highlight w:val="none"/>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highlight w:val="none"/>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日  期：</w:t>
      </w:r>
    </w:p>
    <w:p w14:paraId="4218B5EB">
      <w:pPr>
        <w:adjustRightInd w:val="0"/>
        <w:snapToGrid w:val="0"/>
        <w:spacing w:line="360" w:lineRule="auto"/>
        <w:jc w:val="left"/>
        <w:rPr>
          <w:rFonts w:hint="eastAsia" w:ascii="宋体" w:hAnsi="宋体" w:eastAsia="宋体" w:cs="宋体"/>
          <w:color w:val="auto"/>
          <w:sz w:val="24"/>
          <w:szCs w:val="24"/>
          <w:highlight w:val="none"/>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highlight w:val="none"/>
        </w:rPr>
      </w:pPr>
    </w:p>
    <w:p w14:paraId="734DC625">
      <w:pPr>
        <w:pStyle w:val="72"/>
        <w:ind w:firstLine="480"/>
        <w:rPr>
          <w:rFonts w:hint="eastAsia" w:ascii="宋体" w:hAnsi="宋体" w:eastAsia="宋体" w:cs="宋体"/>
          <w:color w:val="auto"/>
          <w:sz w:val="24"/>
          <w:szCs w:val="24"/>
          <w:highlight w:val="none"/>
        </w:rPr>
      </w:pPr>
    </w:p>
    <w:p w14:paraId="170CED09">
      <w:pPr>
        <w:pStyle w:val="72"/>
        <w:ind w:firstLine="480"/>
        <w:rPr>
          <w:rFonts w:hint="eastAsia" w:ascii="宋体" w:hAnsi="宋体" w:eastAsia="宋体" w:cs="宋体"/>
          <w:color w:val="auto"/>
          <w:sz w:val="24"/>
          <w:szCs w:val="24"/>
          <w:highlight w:val="none"/>
        </w:rPr>
      </w:pPr>
    </w:p>
    <w:p w14:paraId="630A5069">
      <w:pPr>
        <w:pStyle w:val="72"/>
        <w:ind w:firstLine="0" w:firstLineChars="0"/>
        <w:rPr>
          <w:rFonts w:hint="eastAsia" w:ascii="宋体" w:hAnsi="宋体" w:eastAsia="宋体" w:cs="宋体"/>
          <w:color w:val="auto"/>
          <w:sz w:val="24"/>
          <w:szCs w:val="24"/>
          <w:highlight w:val="none"/>
        </w:rPr>
      </w:pPr>
    </w:p>
    <w:p w14:paraId="5CC3A721">
      <w:pPr>
        <w:pStyle w:val="72"/>
        <w:ind w:firstLine="480"/>
        <w:rPr>
          <w:rFonts w:hint="eastAsia" w:ascii="宋体" w:hAnsi="宋体" w:eastAsia="宋体" w:cs="宋体"/>
          <w:color w:val="auto"/>
          <w:sz w:val="24"/>
          <w:szCs w:val="24"/>
          <w:highlight w:val="none"/>
        </w:rPr>
      </w:pPr>
    </w:p>
    <w:p w14:paraId="2F318B12">
      <w:pPr>
        <w:pStyle w:val="72"/>
        <w:ind w:firstLine="480"/>
        <w:rPr>
          <w:rFonts w:hint="eastAsia" w:ascii="宋体" w:hAnsi="宋体" w:eastAsia="宋体" w:cs="宋体"/>
          <w:color w:val="auto"/>
          <w:sz w:val="24"/>
          <w:szCs w:val="24"/>
          <w:highlight w:val="none"/>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highlight w:val="none"/>
          <w:lang w:val="zh-CN"/>
        </w:rPr>
        <w:t>不符合条件的投标人无需填写，如果出现虚假应标，由此产生的后果由投标人自行负责。</w:t>
      </w:r>
    </w:p>
    <w:p w14:paraId="5F915463">
      <w:pPr>
        <w:pStyle w:val="12"/>
        <w:spacing w:line="360" w:lineRule="auto"/>
        <w:jc w:val="left"/>
        <w:rPr>
          <w:rFonts w:hint="eastAsia" w:ascii="宋体" w:hAnsi="宋体" w:eastAsia="宋体" w:cs="宋体"/>
          <w:color w:val="auto"/>
          <w:szCs w:val="21"/>
          <w:highlight w:val="none"/>
        </w:rPr>
      </w:pPr>
    </w:p>
    <w:p w14:paraId="56EF1E9B">
      <w:pPr>
        <w:rPr>
          <w:rFonts w:hint="eastAsia" w:ascii="宋体" w:hAnsi="宋体" w:eastAsia="宋体" w:cs="宋体"/>
          <w:color w:val="auto"/>
          <w:szCs w:val="21"/>
          <w:highlight w:val="none"/>
        </w:rPr>
      </w:pPr>
    </w:p>
    <w:p w14:paraId="51ECC4C6">
      <w:pPr>
        <w:pStyle w:val="72"/>
        <w:rPr>
          <w:rFonts w:hint="eastAsia" w:ascii="宋体" w:hAnsi="宋体" w:eastAsia="宋体" w:cs="宋体"/>
          <w:color w:val="auto"/>
          <w:szCs w:val="21"/>
          <w:highlight w:val="none"/>
        </w:rPr>
      </w:pPr>
    </w:p>
    <w:p w14:paraId="428568B9">
      <w:pPr>
        <w:pStyle w:val="72"/>
        <w:rPr>
          <w:rFonts w:hint="eastAsia" w:ascii="宋体" w:hAnsi="宋体" w:eastAsia="宋体" w:cs="宋体"/>
          <w:color w:val="auto"/>
          <w:szCs w:val="21"/>
          <w:highlight w:val="none"/>
        </w:rPr>
      </w:pPr>
    </w:p>
    <w:p w14:paraId="2BB8B925">
      <w:pPr>
        <w:pStyle w:val="72"/>
        <w:rPr>
          <w:rFonts w:hint="eastAsia" w:ascii="宋体" w:hAnsi="宋体" w:eastAsia="宋体" w:cs="宋体"/>
          <w:color w:val="auto"/>
          <w:szCs w:val="21"/>
          <w:highlight w:val="none"/>
        </w:rPr>
      </w:pPr>
    </w:p>
    <w:p w14:paraId="5F42597D">
      <w:pPr>
        <w:pStyle w:val="72"/>
        <w:rPr>
          <w:rFonts w:hint="eastAsia" w:ascii="宋体" w:hAnsi="宋体" w:eastAsia="宋体" w:cs="宋体"/>
          <w:color w:val="auto"/>
          <w:szCs w:val="21"/>
          <w:highlight w:val="none"/>
        </w:rPr>
      </w:pPr>
    </w:p>
    <w:p w14:paraId="1E09953B">
      <w:pPr>
        <w:pStyle w:val="72"/>
        <w:rPr>
          <w:rFonts w:hint="eastAsia" w:ascii="宋体" w:hAnsi="宋体" w:eastAsia="宋体" w:cs="宋体"/>
          <w:color w:val="auto"/>
          <w:szCs w:val="21"/>
          <w:highlight w:val="none"/>
        </w:rPr>
      </w:pPr>
    </w:p>
    <w:p w14:paraId="0B9E58BE">
      <w:pPr>
        <w:pStyle w:val="72"/>
        <w:rPr>
          <w:rFonts w:hint="eastAsia" w:ascii="宋体" w:hAnsi="宋体" w:eastAsia="宋体" w:cs="宋体"/>
          <w:color w:val="auto"/>
          <w:szCs w:val="21"/>
          <w:highlight w:val="none"/>
        </w:rPr>
      </w:pPr>
    </w:p>
    <w:p w14:paraId="0AD586FF">
      <w:pPr>
        <w:pStyle w:val="72"/>
        <w:rPr>
          <w:rFonts w:hint="eastAsia" w:ascii="宋体" w:hAnsi="宋体" w:eastAsia="宋体" w:cs="宋体"/>
          <w:color w:val="auto"/>
          <w:szCs w:val="21"/>
          <w:highlight w:val="none"/>
        </w:rPr>
      </w:pPr>
    </w:p>
    <w:p w14:paraId="3169EF4D">
      <w:pPr>
        <w:pStyle w:val="72"/>
        <w:rPr>
          <w:rFonts w:hint="eastAsia" w:ascii="宋体" w:hAnsi="宋体" w:eastAsia="宋体" w:cs="宋体"/>
          <w:color w:val="auto"/>
          <w:szCs w:val="21"/>
          <w:highlight w:val="none"/>
        </w:rPr>
      </w:pPr>
    </w:p>
    <w:p w14:paraId="3F60A688">
      <w:pPr>
        <w:pStyle w:val="12"/>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监狱企业证明文件</w:t>
      </w:r>
    </w:p>
    <w:p w14:paraId="76B2BDC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highlight w:val="none"/>
        </w:rPr>
      </w:pPr>
    </w:p>
    <w:p w14:paraId="1B7EFC06">
      <w:pPr>
        <w:rPr>
          <w:rFonts w:hint="eastAsia" w:ascii="宋体" w:hAnsi="宋体" w:eastAsia="宋体" w:cs="宋体"/>
          <w:b/>
          <w:color w:val="auto"/>
          <w:sz w:val="24"/>
          <w:szCs w:val="24"/>
          <w:highlight w:val="none"/>
        </w:rPr>
      </w:pPr>
    </w:p>
    <w:p w14:paraId="260447B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3F6D721">
      <w:pPr>
        <w:adjustRightInd w:val="0"/>
        <w:snapToGrid w:val="0"/>
        <w:spacing w:line="360" w:lineRule="auto"/>
        <w:ind w:firstLine="5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如实填写，不符合条件的投标人无需填写。如果出现虚假应标，由此产生的后果由投标人自行负责。</w:t>
      </w:r>
    </w:p>
    <w:p w14:paraId="20333825">
      <w:pPr>
        <w:pStyle w:val="26"/>
        <w:ind w:firstLine="240"/>
        <w:rPr>
          <w:rFonts w:hint="eastAsia" w:ascii="宋体" w:hAnsi="宋体" w:eastAsia="宋体" w:cs="宋体"/>
          <w:color w:val="auto"/>
          <w:sz w:val="24"/>
          <w:highlight w:val="none"/>
        </w:rPr>
      </w:pPr>
    </w:p>
    <w:p w14:paraId="4DDFC50C">
      <w:pPr>
        <w:spacing w:line="360" w:lineRule="auto"/>
        <w:rPr>
          <w:rFonts w:hint="eastAsia" w:ascii="宋体" w:hAnsi="宋体" w:eastAsia="宋体" w:cs="宋体"/>
          <w:color w:val="auto"/>
          <w:sz w:val="24"/>
          <w:szCs w:val="24"/>
          <w:highlight w:val="none"/>
        </w:rPr>
      </w:pPr>
    </w:p>
    <w:p w14:paraId="0FCCD79D">
      <w:pPr>
        <w:pStyle w:val="27"/>
        <w:tabs>
          <w:tab w:val="left" w:pos="4900"/>
        </w:tabs>
        <w:spacing w:before="156" w:after="156"/>
        <w:ind w:firstLine="0" w:firstLineChars="0"/>
        <w:rPr>
          <w:rFonts w:hint="eastAsia" w:ascii="宋体" w:hAnsi="宋体" w:eastAsia="宋体" w:cs="宋体"/>
          <w:color w:val="auto"/>
          <w:sz w:val="24"/>
          <w:highlight w:val="none"/>
        </w:rPr>
      </w:pPr>
    </w:p>
    <w:p w14:paraId="728D5441">
      <w:pPr>
        <w:pStyle w:val="27"/>
        <w:tabs>
          <w:tab w:val="left" w:pos="4900"/>
        </w:tabs>
        <w:spacing w:before="156" w:after="156"/>
        <w:ind w:firstLine="0" w:firstLineChars="0"/>
        <w:rPr>
          <w:rFonts w:hint="eastAsia" w:ascii="宋体" w:hAnsi="宋体" w:eastAsia="宋体" w:cs="宋体"/>
          <w:color w:val="auto"/>
          <w:sz w:val="24"/>
          <w:highlight w:val="none"/>
        </w:rPr>
      </w:pPr>
    </w:p>
    <w:p w14:paraId="5BBD05CD">
      <w:pPr>
        <w:pStyle w:val="27"/>
        <w:tabs>
          <w:tab w:val="left" w:pos="4900"/>
        </w:tabs>
        <w:spacing w:before="156" w:after="156"/>
        <w:ind w:firstLine="0" w:firstLineChars="0"/>
        <w:rPr>
          <w:rFonts w:hint="eastAsia" w:ascii="宋体" w:hAnsi="宋体" w:eastAsia="宋体" w:cs="宋体"/>
          <w:color w:val="auto"/>
          <w:sz w:val="24"/>
          <w:highlight w:val="none"/>
        </w:rPr>
      </w:pPr>
    </w:p>
    <w:p w14:paraId="05B0A2BE">
      <w:pPr>
        <w:pStyle w:val="27"/>
        <w:tabs>
          <w:tab w:val="left" w:pos="4900"/>
        </w:tabs>
        <w:spacing w:before="156" w:after="156"/>
        <w:ind w:firstLine="0" w:firstLineChars="0"/>
        <w:rPr>
          <w:rFonts w:hint="eastAsia" w:ascii="宋体" w:hAnsi="宋体" w:eastAsia="宋体" w:cs="宋体"/>
          <w:color w:val="auto"/>
          <w:sz w:val="24"/>
          <w:highlight w:val="none"/>
        </w:rPr>
      </w:pPr>
    </w:p>
    <w:p w14:paraId="25BBABF5">
      <w:pPr>
        <w:pStyle w:val="27"/>
        <w:tabs>
          <w:tab w:val="left" w:pos="4900"/>
        </w:tabs>
        <w:spacing w:before="156" w:after="156"/>
        <w:ind w:firstLine="0" w:firstLineChars="0"/>
        <w:rPr>
          <w:rFonts w:hint="eastAsia" w:ascii="宋体" w:hAnsi="宋体" w:eastAsia="宋体" w:cs="宋体"/>
          <w:color w:val="auto"/>
          <w:sz w:val="24"/>
          <w:highlight w:val="none"/>
        </w:rPr>
      </w:pPr>
    </w:p>
    <w:p w14:paraId="672C2933">
      <w:pPr>
        <w:pStyle w:val="27"/>
        <w:tabs>
          <w:tab w:val="left" w:pos="4900"/>
        </w:tabs>
        <w:spacing w:before="156" w:after="156"/>
        <w:ind w:firstLine="0" w:firstLineChars="0"/>
        <w:rPr>
          <w:rFonts w:hint="eastAsia" w:ascii="宋体" w:hAnsi="宋体" w:eastAsia="宋体" w:cs="宋体"/>
          <w:color w:val="auto"/>
          <w:sz w:val="24"/>
          <w:highlight w:val="none"/>
        </w:rPr>
      </w:pPr>
    </w:p>
    <w:p w14:paraId="305810FA">
      <w:pPr>
        <w:pStyle w:val="27"/>
        <w:tabs>
          <w:tab w:val="left" w:pos="4900"/>
        </w:tabs>
        <w:spacing w:before="156" w:after="156"/>
        <w:ind w:firstLine="0" w:firstLineChars="0"/>
        <w:rPr>
          <w:rFonts w:hint="eastAsia" w:ascii="宋体" w:hAnsi="宋体" w:eastAsia="宋体" w:cs="宋体"/>
          <w:color w:val="auto"/>
          <w:sz w:val="24"/>
          <w:highlight w:val="none"/>
        </w:rPr>
      </w:pPr>
    </w:p>
    <w:p w14:paraId="1DB1A8C5">
      <w:pPr>
        <w:pStyle w:val="27"/>
        <w:tabs>
          <w:tab w:val="left" w:pos="4900"/>
        </w:tabs>
        <w:spacing w:before="156" w:after="156"/>
        <w:ind w:firstLine="0" w:firstLineChars="0"/>
        <w:rPr>
          <w:rFonts w:hint="eastAsia" w:ascii="宋体" w:hAnsi="宋体" w:eastAsia="宋体" w:cs="宋体"/>
          <w:color w:val="auto"/>
          <w:sz w:val="24"/>
          <w:highlight w:val="none"/>
        </w:rPr>
      </w:pPr>
    </w:p>
    <w:p w14:paraId="047624FF">
      <w:pPr>
        <w:pStyle w:val="27"/>
        <w:tabs>
          <w:tab w:val="left" w:pos="4900"/>
        </w:tabs>
        <w:spacing w:before="156" w:after="156"/>
        <w:ind w:firstLine="0" w:firstLineChars="0"/>
        <w:rPr>
          <w:rFonts w:hint="eastAsia" w:ascii="宋体" w:hAnsi="宋体" w:eastAsia="宋体" w:cs="宋体"/>
          <w:color w:val="auto"/>
          <w:sz w:val="24"/>
          <w:highlight w:val="none"/>
        </w:rPr>
      </w:pPr>
    </w:p>
    <w:p w14:paraId="1DA63B6A">
      <w:pPr>
        <w:pStyle w:val="27"/>
        <w:tabs>
          <w:tab w:val="left" w:pos="4900"/>
        </w:tabs>
        <w:spacing w:before="156" w:after="156"/>
        <w:ind w:firstLine="0" w:firstLineChars="0"/>
        <w:rPr>
          <w:rFonts w:hint="eastAsia" w:ascii="宋体" w:hAnsi="宋体" w:eastAsia="宋体" w:cs="宋体"/>
          <w:color w:val="auto"/>
          <w:sz w:val="24"/>
          <w:highlight w:val="none"/>
        </w:rPr>
      </w:pPr>
    </w:p>
    <w:p w14:paraId="411CB1B6">
      <w:pPr>
        <w:pStyle w:val="27"/>
        <w:tabs>
          <w:tab w:val="left" w:pos="4900"/>
        </w:tabs>
        <w:spacing w:before="156" w:after="156"/>
        <w:ind w:firstLine="0" w:firstLineChars="0"/>
        <w:rPr>
          <w:rFonts w:hint="eastAsia" w:ascii="宋体" w:hAnsi="宋体" w:eastAsia="宋体" w:cs="宋体"/>
          <w:color w:val="auto"/>
          <w:sz w:val="24"/>
          <w:highlight w:val="none"/>
        </w:rPr>
      </w:pPr>
    </w:p>
    <w:p w14:paraId="229682CD">
      <w:pPr>
        <w:rPr>
          <w:rFonts w:hint="eastAsia" w:ascii="宋体" w:hAnsi="宋体" w:eastAsia="宋体" w:cs="宋体"/>
          <w:color w:val="auto"/>
          <w:highlight w:val="none"/>
        </w:rPr>
      </w:pPr>
    </w:p>
    <w:p w14:paraId="20534A18">
      <w:pPr>
        <w:pStyle w:val="27"/>
        <w:tabs>
          <w:tab w:val="left" w:pos="4900"/>
        </w:tabs>
        <w:spacing w:before="156" w:after="156"/>
        <w:ind w:firstLine="0" w:firstLineChars="0"/>
        <w:rPr>
          <w:rFonts w:hint="eastAsia" w:ascii="宋体" w:hAnsi="宋体" w:eastAsia="宋体" w:cs="宋体"/>
          <w:color w:val="auto"/>
          <w:sz w:val="24"/>
          <w:highlight w:val="none"/>
        </w:rPr>
      </w:pPr>
    </w:p>
    <w:p w14:paraId="5CEEF474">
      <w:pPr>
        <w:pStyle w:val="4"/>
        <w:jc w:val="center"/>
        <w:rPr>
          <w:rFonts w:hint="eastAsia" w:ascii="宋体" w:hAnsi="宋体" w:eastAsia="宋体" w:cs="宋体"/>
          <w:color w:val="auto"/>
          <w:highlight w:val="none"/>
        </w:rPr>
      </w:pPr>
      <w:bookmarkStart w:id="40" w:name="_Toc2669"/>
      <w:r>
        <w:rPr>
          <w:rFonts w:hint="eastAsia" w:ascii="宋体" w:hAnsi="宋体" w:eastAsia="宋体" w:cs="宋体"/>
          <w:color w:val="auto"/>
          <w:highlight w:val="none"/>
        </w:rPr>
        <w:t>“节能产品”，“环境标志产品”证明材料（若有）</w:t>
      </w:r>
      <w:bookmarkEnd w:id="40"/>
    </w:p>
    <w:p w14:paraId="4C523084">
      <w:pPr>
        <w:widowControl/>
        <w:spacing w:before="156" w:after="156"/>
        <w:ind w:left="6"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0419698">
      <w:pPr>
        <w:widowControl/>
        <w:spacing w:before="156" w:after="156"/>
        <w:ind w:left="6"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8"/>
        </w:numPr>
        <w:spacing w:before="156" w:after="156"/>
        <w:ind w:left="6" w:firstLine="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符合政府采购强制采购政策的</w:t>
      </w:r>
      <w:r>
        <w:rPr>
          <w:rFonts w:hint="eastAsia" w:ascii="宋体" w:hAnsi="宋体" w:eastAsia="宋体" w:cs="宋体"/>
          <w:color w:val="auto"/>
          <w:sz w:val="24"/>
          <w:szCs w:val="24"/>
          <w:highlight w:val="none"/>
        </w:rPr>
        <w:t>财政部、环境保护部发布的《节能产品政府采购品目清单》中标记的“强制采购节能产品”。</w:t>
      </w:r>
    </w:p>
    <w:p w14:paraId="30E20E59">
      <w:pPr>
        <w:widowControl/>
        <w:numPr>
          <w:ilvl w:val="0"/>
          <w:numId w:val="8"/>
        </w:numPr>
        <w:spacing w:before="156" w:after="156"/>
        <w:ind w:left="6" w:firstLine="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符合政府采购强制采购政策的</w:t>
      </w:r>
      <w:r>
        <w:rPr>
          <w:rFonts w:hint="eastAsia" w:ascii="宋体" w:hAnsi="宋体" w:eastAsia="宋体" w:cs="宋体"/>
          <w:color w:val="auto"/>
          <w:sz w:val="24"/>
          <w:szCs w:val="24"/>
          <w:highlight w:val="none"/>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2、未按照上述要求提供的，评审时不予以考虑。</w:t>
      </w:r>
    </w:p>
    <w:p w14:paraId="43D4B76E">
      <w:pPr>
        <w:pStyle w:val="27"/>
        <w:tabs>
          <w:tab w:val="left" w:pos="4900"/>
        </w:tabs>
        <w:spacing w:before="156" w:after="156"/>
        <w:ind w:firstLine="0" w:firstLineChars="0"/>
        <w:rPr>
          <w:rFonts w:hint="eastAsia" w:ascii="宋体" w:hAnsi="宋体" w:eastAsia="宋体" w:cs="宋体"/>
          <w:color w:val="auto"/>
          <w:sz w:val="24"/>
          <w:highlight w:val="none"/>
        </w:rPr>
      </w:pPr>
    </w:p>
    <w:p w14:paraId="1C2E4716">
      <w:pPr>
        <w:pStyle w:val="12"/>
        <w:rPr>
          <w:rFonts w:hint="eastAsia" w:ascii="宋体" w:hAnsi="宋体" w:eastAsia="宋体" w:cs="宋体"/>
          <w:color w:val="auto"/>
          <w:highlight w:val="none"/>
        </w:rPr>
      </w:pPr>
    </w:p>
    <w:p w14:paraId="3CD6AF13">
      <w:pPr>
        <w:pStyle w:val="12"/>
        <w:spacing w:before="1"/>
        <w:rPr>
          <w:rFonts w:hint="eastAsia" w:ascii="宋体" w:hAnsi="宋体" w:eastAsia="宋体" w:cs="宋体"/>
          <w:color w:val="auto"/>
          <w:sz w:val="32"/>
          <w:highlight w:val="none"/>
        </w:rPr>
      </w:pPr>
    </w:p>
    <w:p w14:paraId="27E0390E">
      <w:pPr>
        <w:ind w:left="1220"/>
        <w:jc w:val="left"/>
        <w:rPr>
          <w:rFonts w:hint="eastAsia" w:ascii="宋体" w:hAnsi="宋体" w:eastAsia="宋体" w:cs="宋体"/>
          <w:b/>
          <w:color w:val="auto"/>
          <w:highlight w:val="none"/>
        </w:rPr>
      </w:pPr>
      <w:r>
        <w:rPr>
          <w:rFonts w:hint="eastAsia" w:ascii="宋体" w:hAnsi="宋体" w:eastAsia="宋体" w:cs="宋体"/>
          <w:b/>
          <w:color w:val="auto"/>
          <w:highlight w:val="none"/>
        </w:rPr>
        <w:t>说明：</w:t>
      </w:r>
    </w:p>
    <w:p w14:paraId="04DC0ACC">
      <w:pPr>
        <w:pStyle w:val="12"/>
        <w:spacing w:before="6"/>
        <w:rPr>
          <w:rFonts w:hint="eastAsia" w:ascii="宋体" w:hAnsi="宋体" w:eastAsia="宋体" w:cs="宋体"/>
          <w:b/>
          <w:color w:val="auto"/>
          <w:sz w:val="18"/>
          <w:highlight w:val="none"/>
        </w:rPr>
      </w:pPr>
    </w:p>
    <w:p w14:paraId="6E575EAE">
      <w:pPr>
        <w:spacing w:before="1"/>
        <w:ind w:left="1640"/>
        <w:jc w:val="left"/>
        <w:rPr>
          <w:rFonts w:hint="eastAsia" w:ascii="宋体" w:hAnsi="宋体" w:eastAsia="宋体" w:cs="宋体"/>
          <w:b/>
          <w:color w:val="auto"/>
          <w:highlight w:val="none"/>
        </w:rPr>
      </w:pPr>
      <w:r>
        <w:rPr>
          <w:rFonts w:hint="eastAsia" w:ascii="宋体" w:hAnsi="宋体" w:eastAsia="宋体" w:cs="宋体"/>
          <w:b/>
          <w:color w:val="auto"/>
          <w:highlight w:val="none"/>
        </w:rPr>
        <w:t>1.如不是该类企业则不需提供证明文件（可删除此页）。</w:t>
      </w:r>
    </w:p>
    <w:p w14:paraId="3562C2FE">
      <w:pPr>
        <w:pStyle w:val="5"/>
        <w:spacing w:before="139" w:line="500" w:lineRule="exact"/>
        <w:ind w:left="80"/>
        <w:rPr>
          <w:rFonts w:hint="eastAsia" w:ascii="宋体" w:hAnsi="宋体" w:eastAsia="宋体" w:cs="宋体"/>
          <w:color w:val="auto"/>
          <w:highlight w:val="none"/>
        </w:rPr>
      </w:pPr>
    </w:p>
    <w:p w14:paraId="0B175054">
      <w:pPr>
        <w:pStyle w:val="39"/>
        <w:ind w:firstLine="480"/>
        <w:rPr>
          <w:rFonts w:hint="eastAsia" w:ascii="宋体" w:hAnsi="宋体" w:eastAsia="宋体" w:cs="宋体"/>
          <w:color w:val="auto"/>
          <w:highlight w:val="none"/>
        </w:rPr>
      </w:pPr>
    </w:p>
    <w:sectPr>
      <w:headerReference r:id="rId7" w:type="default"/>
      <w:footerReference r:id="rId8"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59554B-F93C-4F6F-B558-51465828E9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605053">
                          <w:pPr>
                            <w:pStyle w:val="18"/>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D605053">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8"/>
    </w:pPr>
    <w:r>
      <w:fldChar w:fldCharType="begin"/>
    </w:r>
    <w:r>
      <w:instrText xml:space="preserve">PAGE   \* MERGEFORMAT</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9"/>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9"/>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F3C83"/>
    <w:multiLevelType w:val="singleLevel"/>
    <w:tmpl w:val="F8FF3C83"/>
    <w:lvl w:ilvl="0" w:tentative="0">
      <w:start w:val="1"/>
      <w:numFmt w:val="decimal"/>
      <w:suff w:val="nothing"/>
      <w:lvlText w:val="（%1）"/>
      <w:lvlJc w:val="left"/>
    </w:lvl>
  </w:abstractNum>
  <w:abstractNum w:abstractNumId="1">
    <w:nsid w:val="09A7B21B"/>
    <w:multiLevelType w:val="singleLevel"/>
    <w:tmpl w:val="09A7B21B"/>
    <w:lvl w:ilvl="0" w:tentative="0">
      <w:start w:val="5"/>
      <w:numFmt w:val="chineseCounting"/>
      <w:suff w:val="nothing"/>
      <w:lvlText w:val="%1、"/>
      <w:lvlJc w:val="left"/>
      <w:rPr>
        <w:rFonts w:hint="eastAsia"/>
      </w:rPr>
    </w:lvl>
  </w:abstractNum>
  <w:abstractNum w:abstractNumId="2">
    <w:nsid w:val="1BD51BCC"/>
    <w:multiLevelType w:val="singleLevel"/>
    <w:tmpl w:val="1BD51BCC"/>
    <w:lvl w:ilvl="0" w:tentative="0">
      <w:start w:val="1"/>
      <w:numFmt w:val="decimal"/>
      <w:suff w:val="nothing"/>
      <w:lvlText w:val="%1、"/>
      <w:lvlJc w:val="left"/>
    </w:lvl>
  </w:abstractNum>
  <w:abstractNum w:abstractNumId="3">
    <w:nsid w:val="32CE65D3"/>
    <w:multiLevelType w:val="singleLevel"/>
    <w:tmpl w:val="32CE65D3"/>
    <w:lvl w:ilvl="0" w:tentative="0">
      <w:start w:val="5"/>
      <w:numFmt w:val="chineseCounting"/>
      <w:suff w:val="nothing"/>
      <w:lvlText w:val="%1、"/>
      <w:lvlJc w:val="left"/>
      <w:rPr>
        <w:rFonts w:hint="eastAsia"/>
      </w:rPr>
    </w:lvl>
  </w:abstractNum>
  <w:abstractNum w:abstractNumId="4">
    <w:nsid w:val="4988D9A5"/>
    <w:multiLevelType w:val="singleLevel"/>
    <w:tmpl w:val="4988D9A5"/>
    <w:lvl w:ilvl="0" w:tentative="0">
      <w:start w:val="1"/>
      <w:numFmt w:val="decimal"/>
      <w:suff w:val="nothing"/>
      <w:lvlText w:val="（%1）"/>
      <w:lvlJc w:val="left"/>
    </w:lvl>
  </w:abstractNum>
  <w:abstractNum w:abstractNumId="5">
    <w:nsid w:val="58E5EC48"/>
    <w:multiLevelType w:val="singleLevel"/>
    <w:tmpl w:val="58E5EC48"/>
    <w:lvl w:ilvl="0" w:tentative="0">
      <w:start w:val="1"/>
      <w:numFmt w:val="decimal"/>
      <w:suff w:val="nothing"/>
      <w:lvlText w:val="（%1）"/>
      <w:lvlJc w:val="left"/>
    </w:lvl>
  </w:abstractNum>
  <w:abstractNum w:abstractNumId="6">
    <w:nsid w:val="65746407"/>
    <w:multiLevelType w:val="singleLevel"/>
    <w:tmpl w:val="65746407"/>
    <w:lvl w:ilvl="0" w:tentative="0">
      <w:start w:val="7"/>
      <w:numFmt w:val="chineseCounting"/>
      <w:suff w:val="nothing"/>
      <w:lvlText w:val="%1、"/>
      <w:lvlJc w:val="left"/>
      <w:rPr>
        <w:rFonts w:hint="eastAsia"/>
      </w:rPr>
    </w:lvl>
  </w:abstractNum>
  <w:abstractNum w:abstractNumId="7">
    <w:nsid w:val="74283EFE"/>
    <w:multiLevelType w:val="singleLevel"/>
    <w:tmpl w:val="74283EFE"/>
    <w:lvl w:ilvl="0" w:tentative="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C513E0"/>
    <w:rsid w:val="00D0591D"/>
    <w:rsid w:val="00D1336F"/>
    <w:rsid w:val="00DE219A"/>
    <w:rsid w:val="00F0025B"/>
    <w:rsid w:val="00F37A60"/>
    <w:rsid w:val="00F74379"/>
    <w:rsid w:val="00F90118"/>
    <w:rsid w:val="00FD0915"/>
    <w:rsid w:val="00FF2F22"/>
    <w:rsid w:val="0168700A"/>
    <w:rsid w:val="038E69B0"/>
    <w:rsid w:val="0430665F"/>
    <w:rsid w:val="061D3ABF"/>
    <w:rsid w:val="068C0667"/>
    <w:rsid w:val="06BC075E"/>
    <w:rsid w:val="0A8E13AC"/>
    <w:rsid w:val="0CC87543"/>
    <w:rsid w:val="0DEE3746"/>
    <w:rsid w:val="0F3B29CB"/>
    <w:rsid w:val="0FDD270D"/>
    <w:rsid w:val="102F546A"/>
    <w:rsid w:val="10E548CC"/>
    <w:rsid w:val="18F227E1"/>
    <w:rsid w:val="19684765"/>
    <w:rsid w:val="19707FF0"/>
    <w:rsid w:val="1B10685E"/>
    <w:rsid w:val="1C951971"/>
    <w:rsid w:val="207277FE"/>
    <w:rsid w:val="226C3F91"/>
    <w:rsid w:val="22BD6367"/>
    <w:rsid w:val="234748C0"/>
    <w:rsid w:val="23510E84"/>
    <w:rsid w:val="23775858"/>
    <w:rsid w:val="24D334FA"/>
    <w:rsid w:val="277A4FC7"/>
    <w:rsid w:val="286751A4"/>
    <w:rsid w:val="2A0D4F35"/>
    <w:rsid w:val="33BD118A"/>
    <w:rsid w:val="3810197F"/>
    <w:rsid w:val="3D360816"/>
    <w:rsid w:val="3E732CB5"/>
    <w:rsid w:val="41856926"/>
    <w:rsid w:val="433C67DE"/>
    <w:rsid w:val="43F55088"/>
    <w:rsid w:val="442E5C38"/>
    <w:rsid w:val="460A5119"/>
    <w:rsid w:val="49AD7F11"/>
    <w:rsid w:val="4B273941"/>
    <w:rsid w:val="4B904FE8"/>
    <w:rsid w:val="4C1F5AA4"/>
    <w:rsid w:val="4D85602B"/>
    <w:rsid w:val="4EE760DA"/>
    <w:rsid w:val="509146D2"/>
    <w:rsid w:val="50BB64D4"/>
    <w:rsid w:val="50F17C87"/>
    <w:rsid w:val="51985C29"/>
    <w:rsid w:val="52BB2272"/>
    <w:rsid w:val="53907F7A"/>
    <w:rsid w:val="54B82337"/>
    <w:rsid w:val="58873F8A"/>
    <w:rsid w:val="590D39B1"/>
    <w:rsid w:val="5C5A2111"/>
    <w:rsid w:val="5CD723D2"/>
    <w:rsid w:val="5DED4AC4"/>
    <w:rsid w:val="5F0B4ACB"/>
    <w:rsid w:val="62886AAD"/>
    <w:rsid w:val="639F3BDC"/>
    <w:rsid w:val="645323E8"/>
    <w:rsid w:val="69D97BBF"/>
    <w:rsid w:val="6B2C7864"/>
    <w:rsid w:val="6D1A73B0"/>
    <w:rsid w:val="7B1443F9"/>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43"/>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link w:val="44"/>
    <w:autoRedefine/>
    <w:qFormat/>
    <w:uiPriority w:val="0"/>
    <w:pPr>
      <w:keepNext/>
      <w:keepLines/>
      <w:spacing w:line="360" w:lineRule="auto"/>
      <w:ind w:right="616"/>
      <w:outlineLvl w:val="1"/>
    </w:pPr>
    <w:rPr>
      <w:rFonts w:ascii="Arial" w:hAnsi="Arial" w:eastAsia="宋体"/>
      <w:b/>
      <w:bCs/>
      <w:sz w:val="24"/>
      <w:szCs w:val="24"/>
    </w:rPr>
  </w:style>
  <w:style w:type="paragraph" w:styleId="5">
    <w:name w:val="heading 3"/>
    <w:basedOn w:val="1"/>
    <w:next w:val="1"/>
    <w:link w:val="45"/>
    <w:autoRedefine/>
    <w:qFormat/>
    <w:uiPriority w:val="99"/>
    <w:pPr>
      <w:tabs>
        <w:tab w:val="left" w:pos="588"/>
      </w:tabs>
      <w:spacing w:line="360" w:lineRule="auto"/>
      <w:outlineLvl w:val="2"/>
    </w:pPr>
    <w:rPr>
      <w:rFonts w:ascii="Tahoma" w:hAnsi="Tahoma" w:eastAsia="宋体"/>
      <w:szCs w:val="24"/>
    </w:rPr>
  </w:style>
  <w:style w:type="paragraph" w:styleId="6">
    <w:name w:val="heading 4"/>
    <w:basedOn w:val="1"/>
    <w:next w:val="1"/>
    <w:link w:val="46"/>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7">
    <w:name w:val="heading 6"/>
    <w:basedOn w:val="1"/>
    <w:next w:val="1"/>
    <w:link w:val="47"/>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8">
    <w:name w:val="heading 7"/>
    <w:basedOn w:val="1"/>
    <w:next w:val="1"/>
    <w:qFormat/>
    <w:uiPriority w:val="0"/>
    <w:pPr>
      <w:spacing w:before="240" w:after="60"/>
      <w:outlineLvl w:val="6"/>
    </w:pPr>
    <w:rPr>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kern w:val="0"/>
      <w:sz w:val="18"/>
      <w:szCs w:val="20"/>
    </w:rPr>
  </w:style>
  <w:style w:type="paragraph" w:styleId="9">
    <w:name w:val="Normal Indent"/>
    <w:basedOn w:val="1"/>
    <w:next w:val="10"/>
    <w:autoRedefine/>
    <w:qFormat/>
    <w:uiPriority w:val="0"/>
    <w:pPr>
      <w:spacing w:line="360" w:lineRule="auto"/>
      <w:ind w:firstLine="200" w:firstLineChars="200"/>
    </w:pPr>
    <w:rPr>
      <w:rFonts w:ascii="Times New Roman" w:hAnsi="Times New Roman" w:eastAsia="宋体"/>
      <w:sz w:val="24"/>
      <w:szCs w:val="20"/>
    </w:rPr>
  </w:style>
  <w:style w:type="paragraph" w:styleId="10">
    <w:name w:val="toc 4"/>
    <w:basedOn w:val="1"/>
    <w:next w:val="1"/>
    <w:autoRedefine/>
    <w:unhideWhenUsed/>
    <w:qFormat/>
    <w:uiPriority w:val="39"/>
    <w:pPr>
      <w:ind w:left="1260" w:leftChars="600"/>
    </w:pPr>
  </w:style>
  <w:style w:type="paragraph" w:styleId="11">
    <w:name w:val="toa heading"/>
    <w:basedOn w:val="1"/>
    <w:next w:val="1"/>
    <w:autoRedefine/>
    <w:qFormat/>
    <w:uiPriority w:val="0"/>
    <w:pPr>
      <w:spacing w:before="120"/>
    </w:pPr>
    <w:rPr>
      <w:rFonts w:ascii="Arial" w:hAnsi="Arial" w:eastAsia="宋体"/>
      <w:sz w:val="24"/>
      <w:szCs w:val="24"/>
    </w:rPr>
  </w:style>
  <w:style w:type="paragraph" w:styleId="12">
    <w:name w:val="Body Text"/>
    <w:basedOn w:val="1"/>
    <w:next w:val="1"/>
    <w:link w:val="48"/>
    <w:autoRedefine/>
    <w:qFormat/>
    <w:uiPriority w:val="0"/>
    <w:pPr>
      <w:spacing w:after="120"/>
    </w:pPr>
    <w:rPr>
      <w:rFonts w:ascii="Times New Roman" w:hAnsi="Times New Roman" w:eastAsia="宋体"/>
      <w:szCs w:val="24"/>
    </w:rPr>
  </w:style>
  <w:style w:type="paragraph" w:styleId="13">
    <w:name w:val="Body Text Indent"/>
    <w:basedOn w:val="1"/>
    <w:link w:val="33"/>
    <w:autoRedefine/>
    <w:unhideWhenUsed/>
    <w:qFormat/>
    <w:uiPriority w:val="0"/>
    <w:pPr>
      <w:spacing w:after="120"/>
      <w:ind w:left="420" w:leftChars="200"/>
    </w:p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9"/>
    <w:autoRedefine/>
    <w:qFormat/>
    <w:uiPriority w:val="0"/>
    <w:pPr>
      <w:spacing w:line="360" w:lineRule="auto"/>
    </w:pPr>
    <w:rPr>
      <w:rFonts w:ascii="宋体" w:hAnsi="Courier New" w:eastAsia="宋体"/>
      <w:szCs w:val="21"/>
    </w:rPr>
  </w:style>
  <w:style w:type="paragraph" w:styleId="16">
    <w:name w:val="Body Text Indent 2"/>
    <w:basedOn w:val="1"/>
    <w:link w:val="50"/>
    <w:autoRedefine/>
    <w:qFormat/>
    <w:uiPriority w:val="0"/>
    <w:pPr>
      <w:ind w:firstLine="630"/>
    </w:pPr>
    <w:rPr>
      <w:rFonts w:ascii="Times New Roman" w:hAnsi="Times New Roman" w:eastAsia="宋体"/>
      <w:sz w:val="32"/>
      <w:szCs w:val="20"/>
    </w:rPr>
  </w:style>
  <w:style w:type="paragraph" w:styleId="17">
    <w:name w:val="Balloon Text"/>
    <w:basedOn w:val="1"/>
    <w:link w:val="74"/>
    <w:autoRedefine/>
    <w:semiHidden/>
    <w:unhideWhenUsed/>
    <w:qFormat/>
    <w:uiPriority w:val="99"/>
    <w:rPr>
      <w:sz w:val="18"/>
      <w:szCs w:val="18"/>
    </w:rPr>
  </w:style>
  <w:style w:type="paragraph" w:styleId="18">
    <w:name w:val="footer"/>
    <w:basedOn w:val="1"/>
    <w:link w:val="51"/>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9">
    <w:name w:val="header"/>
    <w:basedOn w:val="1"/>
    <w:link w:val="5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ind w:left="420" w:leftChars="200"/>
    </w:pPr>
  </w:style>
  <w:style w:type="paragraph" w:styleId="22">
    <w:name w:val="Body Text 2"/>
    <w:basedOn w:val="1"/>
    <w:autoRedefine/>
    <w:qFormat/>
    <w:uiPriority w:val="0"/>
    <w:rPr>
      <w:rFonts w:ascii="楷体_GB2312" w:hAnsi="Copperplate Gothic Bold" w:eastAsia="楷体_GB2312"/>
      <w:sz w:val="28"/>
    </w:rPr>
  </w:style>
  <w:style w:type="paragraph" w:styleId="23">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4">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5">
    <w:name w:val="Title"/>
    <w:basedOn w:val="1"/>
    <w:autoRedefine/>
    <w:qFormat/>
    <w:uiPriority w:val="0"/>
    <w:pPr>
      <w:widowControl/>
      <w:jc w:val="center"/>
    </w:pPr>
    <w:rPr>
      <w:rFonts w:ascii="Tahoma" w:hAnsi="Tahoma"/>
      <w:b/>
      <w:kern w:val="0"/>
      <w:sz w:val="24"/>
    </w:rPr>
  </w:style>
  <w:style w:type="paragraph" w:styleId="26">
    <w:name w:val="Body Text First Indent"/>
    <w:basedOn w:val="12"/>
    <w:autoRedefine/>
    <w:qFormat/>
    <w:uiPriority w:val="0"/>
    <w:pPr>
      <w:ind w:firstLine="420" w:firstLineChars="100"/>
    </w:pPr>
  </w:style>
  <w:style w:type="paragraph" w:styleId="27">
    <w:name w:val="Body Text First Indent 2"/>
    <w:basedOn w:val="13"/>
    <w:link w:val="34"/>
    <w:autoRedefine/>
    <w:unhideWhenUsed/>
    <w:qFormat/>
    <w:uiPriority w:val="0"/>
    <w:pPr>
      <w:spacing w:after="0"/>
      <w:ind w:left="0" w:leftChars="0" w:firstLine="420" w:firstLineChars="200"/>
    </w:pPr>
    <w:rPr>
      <w:rFonts w:ascii="Times New Roman" w:hAnsi="Times New Roman" w:eastAsia="宋体"/>
      <w:sz w:val="32"/>
      <w:szCs w:val="20"/>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Hyperlink"/>
    <w:autoRedefine/>
    <w:unhideWhenUsed/>
    <w:qFormat/>
    <w:uiPriority w:val="99"/>
    <w:rPr>
      <w:color w:val="0563C1"/>
      <w:u w:val="single"/>
    </w:rPr>
  </w:style>
  <w:style w:type="character" w:customStyle="1" w:styleId="33">
    <w:name w:val="正文文本缩进 Char"/>
    <w:basedOn w:val="30"/>
    <w:link w:val="13"/>
    <w:autoRedefine/>
    <w:semiHidden/>
    <w:qFormat/>
    <w:uiPriority w:val="99"/>
  </w:style>
  <w:style w:type="character" w:customStyle="1" w:styleId="34">
    <w:name w:val="正文首行缩进 2 Char"/>
    <w:link w:val="27"/>
    <w:autoRedefine/>
    <w:qFormat/>
    <w:uiPriority w:val="0"/>
    <w:rPr>
      <w:rFonts w:ascii="Times New Roman" w:hAnsi="Times New Roman" w:eastAsia="宋体" w:cs="Times New Roman"/>
      <w:sz w:val="32"/>
      <w:szCs w:val="20"/>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章 标题"/>
    <w:basedOn w:val="1"/>
    <w:link w:val="38"/>
    <w:autoRedefine/>
    <w:qFormat/>
    <w:uiPriority w:val="0"/>
    <w:pPr>
      <w:spacing w:beforeLines="100" w:afterLines="100"/>
      <w:jc w:val="center"/>
    </w:pPr>
    <w:rPr>
      <w:rFonts w:ascii="Times New Roman" w:hAnsi="Times New Roman" w:eastAsia="华文中宋"/>
      <w:b/>
      <w:sz w:val="32"/>
    </w:rPr>
  </w:style>
  <w:style w:type="paragraph" w:customStyle="1" w:styleId="37">
    <w:name w:val="一级标题"/>
    <w:basedOn w:val="1"/>
    <w:link w:val="40"/>
    <w:autoRedefine/>
    <w:qFormat/>
    <w:uiPriority w:val="0"/>
    <w:pPr>
      <w:spacing w:beforeLines="50" w:afterLines="50"/>
      <w:jc w:val="left"/>
    </w:pPr>
    <w:rPr>
      <w:rFonts w:ascii="Times New Roman" w:hAnsi="Times New Roman" w:eastAsia="宋体"/>
      <w:b/>
      <w:sz w:val="28"/>
    </w:rPr>
  </w:style>
  <w:style w:type="character" w:customStyle="1" w:styleId="38">
    <w:name w:val="章 标题 字符"/>
    <w:link w:val="36"/>
    <w:autoRedefine/>
    <w:qFormat/>
    <w:uiPriority w:val="0"/>
    <w:rPr>
      <w:rFonts w:ascii="Times New Roman" w:hAnsi="Times New Roman" w:eastAsia="华文中宋"/>
      <w:b/>
      <w:sz w:val="32"/>
    </w:rPr>
  </w:style>
  <w:style w:type="paragraph" w:customStyle="1" w:styleId="39">
    <w:name w:val="正文 样式"/>
    <w:basedOn w:val="1"/>
    <w:link w:val="42"/>
    <w:autoRedefine/>
    <w:qFormat/>
    <w:uiPriority w:val="0"/>
    <w:pPr>
      <w:spacing w:line="360" w:lineRule="auto"/>
      <w:ind w:firstLine="200" w:firstLineChars="200"/>
      <w:jc w:val="left"/>
    </w:pPr>
    <w:rPr>
      <w:rFonts w:ascii="Times New Roman" w:hAnsi="Times New Roman" w:eastAsia="宋体"/>
      <w:sz w:val="24"/>
    </w:rPr>
  </w:style>
  <w:style w:type="character" w:customStyle="1" w:styleId="40">
    <w:name w:val="一级标题 字符"/>
    <w:link w:val="37"/>
    <w:autoRedefine/>
    <w:qFormat/>
    <w:uiPriority w:val="0"/>
    <w:rPr>
      <w:rFonts w:ascii="Times New Roman" w:hAnsi="Times New Roman" w:eastAsia="宋体"/>
      <w:b/>
      <w:sz w:val="28"/>
    </w:rPr>
  </w:style>
  <w:style w:type="paragraph" w:customStyle="1" w:styleId="41">
    <w:name w:val="Table Text"/>
    <w:basedOn w:val="1"/>
    <w:autoRedefine/>
    <w:semiHidden/>
    <w:qFormat/>
    <w:uiPriority w:val="0"/>
    <w:rPr>
      <w:rFonts w:ascii="宋体" w:hAnsi="宋体" w:eastAsia="宋体" w:cs="宋体"/>
      <w:sz w:val="20"/>
      <w:szCs w:val="20"/>
      <w:lang w:eastAsia="en-US"/>
    </w:rPr>
  </w:style>
  <w:style w:type="character" w:customStyle="1" w:styleId="42">
    <w:name w:val="正文 样式 字符"/>
    <w:link w:val="39"/>
    <w:autoRedefine/>
    <w:qFormat/>
    <w:uiPriority w:val="0"/>
    <w:rPr>
      <w:rFonts w:ascii="Times New Roman" w:hAnsi="Times New Roman" w:eastAsia="宋体"/>
      <w:sz w:val="24"/>
    </w:rPr>
  </w:style>
  <w:style w:type="character" w:customStyle="1" w:styleId="43">
    <w:name w:val="标题 1 Char"/>
    <w:link w:val="3"/>
    <w:autoRedefine/>
    <w:qFormat/>
    <w:uiPriority w:val="0"/>
    <w:rPr>
      <w:rFonts w:ascii="宋体" w:hAnsi="宋体" w:eastAsia="宋体" w:cs="Times New Roman"/>
      <w:b/>
      <w:bCs/>
      <w:kern w:val="44"/>
      <w:sz w:val="48"/>
      <w:szCs w:val="48"/>
    </w:rPr>
  </w:style>
  <w:style w:type="character" w:customStyle="1" w:styleId="44">
    <w:name w:val="标题 2 Char"/>
    <w:link w:val="4"/>
    <w:autoRedefine/>
    <w:qFormat/>
    <w:uiPriority w:val="0"/>
    <w:rPr>
      <w:rFonts w:ascii="Arial" w:hAnsi="Arial"/>
      <w:b/>
      <w:bCs/>
      <w:kern w:val="2"/>
      <w:sz w:val="24"/>
      <w:szCs w:val="24"/>
    </w:rPr>
  </w:style>
  <w:style w:type="character" w:customStyle="1" w:styleId="45">
    <w:name w:val="标题 3 Char"/>
    <w:link w:val="5"/>
    <w:autoRedefine/>
    <w:qFormat/>
    <w:uiPriority w:val="99"/>
    <w:rPr>
      <w:rFonts w:ascii="Tahoma" w:hAnsi="Tahoma" w:eastAsia="宋体" w:cs="Times New Roman"/>
      <w:szCs w:val="24"/>
    </w:rPr>
  </w:style>
  <w:style w:type="character" w:customStyle="1" w:styleId="46">
    <w:name w:val="标题 4 Char"/>
    <w:link w:val="6"/>
    <w:autoRedefine/>
    <w:qFormat/>
    <w:uiPriority w:val="99"/>
    <w:rPr>
      <w:rFonts w:ascii="Arial" w:hAnsi="Times New Roman" w:eastAsia="宋体" w:cs="Times New Roman"/>
      <w:b/>
      <w:spacing w:val="20"/>
      <w:kern w:val="0"/>
      <w:sz w:val="20"/>
      <w:szCs w:val="24"/>
    </w:rPr>
  </w:style>
  <w:style w:type="character" w:customStyle="1" w:styleId="47">
    <w:name w:val="标题 6 Char"/>
    <w:link w:val="7"/>
    <w:autoRedefine/>
    <w:qFormat/>
    <w:uiPriority w:val="99"/>
    <w:rPr>
      <w:rFonts w:ascii="Calibri Light" w:hAnsi="Calibri Light" w:eastAsia="宋体" w:cs="Times New Roman"/>
      <w:b/>
      <w:bCs/>
      <w:sz w:val="24"/>
      <w:szCs w:val="24"/>
    </w:rPr>
  </w:style>
  <w:style w:type="character" w:customStyle="1" w:styleId="48">
    <w:name w:val="正文文本 Char"/>
    <w:link w:val="12"/>
    <w:autoRedefine/>
    <w:qFormat/>
    <w:uiPriority w:val="0"/>
    <w:rPr>
      <w:rFonts w:ascii="Times New Roman" w:hAnsi="Times New Roman" w:eastAsia="宋体" w:cs="Times New Roman"/>
      <w:szCs w:val="24"/>
    </w:rPr>
  </w:style>
  <w:style w:type="character" w:customStyle="1" w:styleId="49">
    <w:name w:val="纯文本 Char"/>
    <w:link w:val="15"/>
    <w:autoRedefine/>
    <w:qFormat/>
    <w:uiPriority w:val="0"/>
    <w:rPr>
      <w:rFonts w:ascii="宋体" w:hAnsi="Courier New" w:eastAsia="宋体" w:cs="Times New Roman"/>
      <w:szCs w:val="21"/>
    </w:rPr>
  </w:style>
  <w:style w:type="character" w:customStyle="1" w:styleId="50">
    <w:name w:val="正文文本缩进 2 Char"/>
    <w:link w:val="16"/>
    <w:autoRedefine/>
    <w:qFormat/>
    <w:uiPriority w:val="0"/>
    <w:rPr>
      <w:rFonts w:ascii="Times New Roman" w:hAnsi="Times New Roman" w:eastAsia="宋体" w:cs="Times New Roman"/>
      <w:sz w:val="32"/>
      <w:szCs w:val="20"/>
    </w:rPr>
  </w:style>
  <w:style w:type="character" w:customStyle="1" w:styleId="51">
    <w:name w:val="页脚 Char"/>
    <w:link w:val="18"/>
    <w:autoRedefine/>
    <w:qFormat/>
    <w:uiPriority w:val="99"/>
    <w:rPr>
      <w:rFonts w:ascii="Times New Roman" w:hAnsi="Times New Roman" w:eastAsia="宋体" w:cs="Times New Roman"/>
      <w:b/>
      <w:sz w:val="18"/>
      <w:szCs w:val="24"/>
    </w:rPr>
  </w:style>
  <w:style w:type="character" w:customStyle="1" w:styleId="52">
    <w:name w:val="页眉 Char"/>
    <w:link w:val="19"/>
    <w:autoRedefine/>
    <w:qFormat/>
    <w:uiPriority w:val="0"/>
    <w:rPr>
      <w:rFonts w:ascii="Times New Roman" w:hAnsi="Times New Roman" w:eastAsia="宋体"/>
      <w:kern w:val="2"/>
      <w:sz w:val="18"/>
      <w:szCs w:val="24"/>
    </w:rPr>
  </w:style>
  <w:style w:type="paragraph" w:customStyle="1" w:styleId="53">
    <w:name w:val="列出段落1"/>
    <w:basedOn w:val="1"/>
    <w:autoRedefine/>
    <w:qFormat/>
    <w:uiPriority w:val="0"/>
    <w:pPr>
      <w:ind w:firstLine="420" w:firstLineChars="200"/>
    </w:pPr>
    <w:rPr>
      <w:rFonts w:ascii="Times New Roman" w:hAnsi="Times New Roman" w:eastAsia="宋体"/>
      <w:szCs w:val="21"/>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p0"/>
    <w:basedOn w:val="1"/>
    <w:autoRedefine/>
    <w:qFormat/>
    <w:uiPriority w:val="0"/>
    <w:pPr>
      <w:widowControl/>
    </w:pPr>
    <w:rPr>
      <w:rFonts w:ascii="Times New Roman" w:hAnsi="Times New Roman" w:eastAsia="宋体"/>
      <w:kern w:val="0"/>
      <w:szCs w:val="21"/>
    </w:rPr>
  </w:style>
  <w:style w:type="paragraph" w:customStyle="1" w:styleId="56">
    <w:name w:val="样式2"/>
    <w:basedOn w:val="57"/>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7">
    <w:name w:val="@标题"/>
    <w:basedOn w:val="1"/>
    <w:next w:val="58"/>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8">
    <w:name w:val="@正文"/>
    <w:basedOn w:val="59"/>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0">
    <w:name w:val="页眉1"/>
    <w:basedOn w:val="1"/>
    <w:next w:val="19"/>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1">
    <w:name w:val="页脚1"/>
    <w:basedOn w:val="1"/>
    <w:next w:val="18"/>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2">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3">
    <w:name w:val="样式1"/>
    <w:basedOn w:val="5"/>
    <w:autoRedefine/>
    <w:qFormat/>
    <w:uiPriority w:val="0"/>
    <w:pPr>
      <w:jc w:val="left"/>
    </w:pPr>
    <w:rPr>
      <w:rFonts w:eastAsia="楷体"/>
      <w:sz w:val="32"/>
    </w:rPr>
  </w:style>
  <w:style w:type="paragraph" w:customStyle="1" w:styleId="64">
    <w:name w:val="副文 样式"/>
    <w:basedOn w:val="1"/>
    <w:link w:val="66"/>
    <w:autoRedefine/>
    <w:qFormat/>
    <w:uiPriority w:val="0"/>
    <w:pPr>
      <w:ind w:firstLine="200" w:firstLineChars="200"/>
      <w:jc w:val="left"/>
    </w:pPr>
    <w:rPr>
      <w:rFonts w:ascii="Times New Roman" w:hAnsi="Times New Roman" w:eastAsia="宋体"/>
      <w:sz w:val="24"/>
    </w:rPr>
  </w:style>
  <w:style w:type="paragraph" w:customStyle="1" w:styleId="65">
    <w:name w:val="副本 标题"/>
    <w:basedOn w:val="1"/>
    <w:link w:val="68"/>
    <w:autoRedefine/>
    <w:qFormat/>
    <w:uiPriority w:val="0"/>
    <w:pPr>
      <w:spacing w:beforeLines="100" w:afterLines="100"/>
      <w:jc w:val="center"/>
    </w:pPr>
    <w:rPr>
      <w:rFonts w:ascii="Times New Roman" w:hAnsi="Times New Roman" w:eastAsia="宋体"/>
      <w:b/>
      <w:sz w:val="28"/>
    </w:rPr>
  </w:style>
  <w:style w:type="character" w:customStyle="1" w:styleId="66">
    <w:name w:val="副文 样式 字符"/>
    <w:link w:val="64"/>
    <w:autoRedefine/>
    <w:qFormat/>
    <w:uiPriority w:val="0"/>
    <w:rPr>
      <w:rFonts w:ascii="Times New Roman" w:hAnsi="Times New Roman" w:eastAsia="宋体"/>
      <w:sz w:val="24"/>
    </w:rPr>
  </w:style>
  <w:style w:type="paragraph" w:customStyle="1" w:styleId="67">
    <w:name w:val="TOC 标题1"/>
    <w:basedOn w:val="3"/>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8">
    <w:name w:val="副本 标题 字符"/>
    <w:link w:val="65"/>
    <w:autoRedefine/>
    <w:qFormat/>
    <w:uiPriority w:val="0"/>
    <w:rPr>
      <w:rFonts w:ascii="Times New Roman" w:hAnsi="Times New Roman" w:eastAsia="宋体"/>
      <w:b/>
      <w:sz w:val="28"/>
    </w:rPr>
  </w:style>
  <w:style w:type="paragraph" w:customStyle="1" w:styleId="69">
    <w:name w:val="列出段落2"/>
    <w:basedOn w:val="1"/>
    <w:autoRedefine/>
    <w:qFormat/>
    <w:uiPriority w:val="0"/>
    <w:pPr>
      <w:ind w:firstLine="420" w:firstLineChars="200"/>
    </w:pPr>
    <w:rPr>
      <w:rFonts w:ascii="Times New Roman" w:hAnsi="Times New Roman"/>
      <w:szCs w:val="21"/>
    </w:rPr>
  </w:style>
  <w:style w:type="paragraph" w:customStyle="1" w:styleId="70">
    <w:name w:val="Table Paragraph"/>
    <w:basedOn w:val="1"/>
    <w:autoRedefine/>
    <w:qFormat/>
    <w:uiPriority w:val="1"/>
    <w:rPr>
      <w:rFonts w:ascii="宋体" w:hAnsi="宋体" w:eastAsia="宋体" w:cs="宋体"/>
      <w:lang w:val="zh-CN" w:bidi="zh-CN"/>
    </w:rPr>
  </w:style>
  <w:style w:type="paragraph" w:styleId="71">
    <w:name w:val="List Paragraph"/>
    <w:basedOn w:val="1"/>
    <w:autoRedefine/>
    <w:qFormat/>
    <w:uiPriority w:val="1"/>
    <w:pPr>
      <w:ind w:left="240" w:firstLine="480"/>
    </w:pPr>
    <w:rPr>
      <w:rFonts w:ascii="宋体" w:hAnsi="宋体" w:eastAsia="宋体" w:cs="宋体"/>
      <w:lang w:val="zh-CN" w:bidi="zh-CN"/>
    </w:rPr>
  </w:style>
  <w:style w:type="paragraph" w:customStyle="1" w:styleId="72">
    <w:name w:val="正文缩进1"/>
    <w:basedOn w:val="1"/>
    <w:autoRedefine/>
    <w:qFormat/>
    <w:uiPriority w:val="0"/>
    <w:pPr>
      <w:ind w:firstLine="420" w:firstLineChars="200"/>
    </w:pPr>
  </w:style>
  <w:style w:type="paragraph" w:customStyle="1" w:styleId="73">
    <w:name w:val="纯文本11"/>
    <w:basedOn w:val="1"/>
    <w:autoRedefine/>
    <w:qFormat/>
    <w:uiPriority w:val="99"/>
    <w:pPr>
      <w:adjustRightInd w:val="0"/>
      <w:textAlignment w:val="baseline"/>
    </w:pPr>
    <w:rPr>
      <w:rFonts w:ascii="宋体" w:hAnsi="Calibri" w:eastAsia="宋体"/>
    </w:rPr>
  </w:style>
  <w:style w:type="character" w:customStyle="1" w:styleId="74">
    <w:name w:val="批注框文本 Char"/>
    <w:basedOn w:val="30"/>
    <w:link w:val="17"/>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19372</Words>
  <Characters>20656</Characters>
  <Lines>295</Lines>
  <Paragraphs>83</Paragraphs>
  <TotalTime>162</TotalTime>
  <ScaleCrop>false</ScaleCrop>
  <LinksUpToDate>false</LinksUpToDate>
  <CharactersWithSpaces>20975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掌上雨初晴</cp:lastModifiedBy>
  <cp:lastPrinted>2025-05-29T09:22:27Z</cp:lastPrinted>
  <dcterms:modified xsi:type="dcterms:W3CDTF">2025-05-29T09:23:10Z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D17E9BFC5F7148B1ADD023D885F66F1D_13</vt:lpwstr>
  </property>
  <property fmtid="{D5CDD505-2E9C-101B-9397-08002B2CF9AE}" pid="4" name="KSOTemplateDocerSaveRecord">
    <vt:lpwstr>eyJoZGlkIjoiNTVhZDA4YTU3NmIxMTMxNDBlMWU3NDMyMzRjMDZhNzUiLCJ1c2VySWQiOiIxMDIyNjgzMCJ9</vt:lpwstr>
  </property>
</Properties>
</file>