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3C0F63">
      <w:pPr>
        <w:jc w:val="left"/>
        <w:rPr>
          <w:rFonts w:hint="eastAsia" w:asciiTheme="minorEastAsia" w:hAnsiTheme="minorEastAsia" w:eastAsiaTheme="minorEastAsia" w:cstheme="minorEastAsia"/>
          <w:b/>
          <w:bCs/>
          <w:sz w:val="32"/>
          <w:szCs w:val="32"/>
          <w:highlight w:val="none"/>
          <w:lang w:eastAsia="zh-CN"/>
        </w:rPr>
      </w:pPr>
      <w:r>
        <w:rPr>
          <w:rFonts w:hint="eastAsia" w:asciiTheme="minorEastAsia" w:hAnsiTheme="minorEastAsia" w:eastAsiaTheme="minorEastAsia" w:cstheme="minorEastAsia"/>
          <w:b/>
          <w:bCs/>
          <w:sz w:val="32"/>
          <w:szCs w:val="32"/>
          <w:highlight w:val="none"/>
        </w:rPr>
        <w:t>项目编号：</w:t>
      </w:r>
      <w:r>
        <w:rPr>
          <w:rFonts w:hint="eastAsia" w:asciiTheme="minorEastAsia" w:hAnsiTheme="minorEastAsia" w:eastAsiaTheme="minorEastAsia" w:cstheme="minorEastAsia"/>
          <w:b/>
          <w:bCs/>
          <w:sz w:val="32"/>
          <w:szCs w:val="32"/>
          <w:highlight w:val="none"/>
          <w:lang w:eastAsia="zh-CN"/>
        </w:rPr>
        <w:t>SXZCZB2025-ZCGK--0525</w:t>
      </w:r>
    </w:p>
    <w:p w14:paraId="5E54EBFE">
      <w:pPr>
        <w:jc w:val="center"/>
        <w:rPr>
          <w:rFonts w:asciiTheme="minorEastAsia" w:hAnsiTheme="minorEastAsia" w:eastAsiaTheme="minorEastAsia" w:cstheme="minorEastAsia"/>
          <w:b/>
          <w:sz w:val="36"/>
          <w:highlight w:val="none"/>
        </w:rPr>
      </w:pPr>
      <w:r>
        <w:rPr>
          <w:rFonts w:hint="eastAsia" w:asciiTheme="minorEastAsia" w:hAnsiTheme="minorEastAsia" w:eastAsiaTheme="minorEastAsia" w:cstheme="minorEastAsia"/>
          <w:b/>
          <w:sz w:val="36"/>
          <w:highlight w:val="none"/>
        </w:rPr>
        <w:t xml:space="preserve"> </w:t>
      </w:r>
    </w:p>
    <w:p w14:paraId="320F8FED">
      <w:pPr>
        <w:jc w:val="center"/>
        <w:rPr>
          <w:rFonts w:asciiTheme="minorEastAsia" w:hAnsiTheme="minorEastAsia" w:eastAsiaTheme="minorEastAsia" w:cstheme="minorEastAsia"/>
          <w:b/>
          <w:sz w:val="36"/>
          <w:highlight w:val="none"/>
        </w:rPr>
      </w:pPr>
    </w:p>
    <w:p w14:paraId="2794946B">
      <w:pPr>
        <w:jc w:val="center"/>
        <w:rPr>
          <w:rFonts w:asciiTheme="minorEastAsia" w:hAnsiTheme="minorEastAsia" w:eastAsiaTheme="minorEastAsia" w:cstheme="minorEastAsia"/>
          <w:b/>
          <w:sz w:val="36"/>
          <w:highlight w:val="none"/>
        </w:rPr>
      </w:pPr>
    </w:p>
    <w:p w14:paraId="6D2CA5C6">
      <w:pPr>
        <w:jc w:val="center"/>
        <w:rPr>
          <w:rFonts w:asciiTheme="minorEastAsia" w:hAnsiTheme="minorEastAsia" w:eastAsiaTheme="minorEastAsia" w:cstheme="minorEastAsia"/>
          <w:b/>
          <w:sz w:val="48"/>
          <w:szCs w:val="48"/>
          <w:highlight w:val="none"/>
        </w:rPr>
      </w:pPr>
    </w:p>
    <w:p w14:paraId="5FD1D335">
      <w:pPr>
        <w:jc w:val="center"/>
        <w:rPr>
          <w:rFonts w:hint="eastAsia" w:asciiTheme="minorEastAsia" w:hAnsiTheme="minorEastAsia" w:eastAsiaTheme="minorEastAsia" w:cstheme="minorEastAsia"/>
          <w:b/>
          <w:sz w:val="24"/>
          <w:szCs w:val="24"/>
          <w:highlight w:val="none"/>
          <w:lang w:eastAsia="zh-CN"/>
        </w:rPr>
      </w:pPr>
      <w:r>
        <w:rPr>
          <w:rFonts w:hint="eastAsia" w:asciiTheme="minorEastAsia" w:hAnsiTheme="minorEastAsia" w:eastAsiaTheme="minorEastAsia" w:cstheme="minorEastAsia"/>
          <w:b/>
          <w:sz w:val="48"/>
          <w:szCs w:val="48"/>
          <w:highlight w:val="none"/>
          <w:lang w:eastAsia="zh-CN"/>
        </w:rPr>
        <w:t>中央财政衔接推进乡村振兴补助资金（欠发达国有林场巩固提升任务）2025年林下种植（魔芋、天麻）建设项目</w:t>
      </w:r>
    </w:p>
    <w:p w14:paraId="18AD3CEE">
      <w:pPr>
        <w:jc w:val="center"/>
        <w:rPr>
          <w:rFonts w:asciiTheme="minorEastAsia" w:hAnsiTheme="minorEastAsia" w:eastAsiaTheme="minorEastAsia" w:cstheme="minorEastAsia"/>
          <w:b/>
          <w:sz w:val="40"/>
          <w:szCs w:val="40"/>
          <w:highlight w:val="none"/>
        </w:rPr>
      </w:pPr>
    </w:p>
    <w:p w14:paraId="04FFC196">
      <w:pPr>
        <w:jc w:val="center"/>
        <w:rPr>
          <w:rFonts w:asciiTheme="minorEastAsia" w:hAnsiTheme="minorEastAsia" w:eastAsiaTheme="minorEastAsia" w:cstheme="minorEastAsia"/>
          <w:b/>
          <w:sz w:val="36"/>
          <w:szCs w:val="36"/>
          <w:highlight w:val="none"/>
        </w:rPr>
      </w:pPr>
    </w:p>
    <w:p w14:paraId="7A534D86">
      <w:pPr>
        <w:pStyle w:val="27"/>
        <w:rPr>
          <w:highlight w:val="none"/>
        </w:rPr>
      </w:pPr>
    </w:p>
    <w:p w14:paraId="5A031886">
      <w:pPr>
        <w:spacing w:line="780" w:lineRule="auto"/>
        <w:jc w:val="center"/>
        <w:rPr>
          <w:rFonts w:asciiTheme="minorEastAsia" w:hAnsiTheme="minorEastAsia" w:eastAsiaTheme="minorEastAsia" w:cstheme="minorEastAsia"/>
          <w:b/>
          <w:sz w:val="72"/>
          <w:szCs w:val="72"/>
          <w:highlight w:val="none"/>
        </w:rPr>
      </w:pPr>
      <w:r>
        <w:rPr>
          <w:rFonts w:hint="eastAsia" w:asciiTheme="minorEastAsia" w:hAnsiTheme="minorEastAsia" w:eastAsiaTheme="minorEastAsia" w:cstheme="minorEastAsia"/>
          <w:b/>
          <w:sz w:val="72"/>
          <w:szCs w:val="72"/>
          <w:highlight w:val="none"/>
        </w:rPr>
        <w:t>招标文件</w:t>
      </w:r>
    </w:p>
    <w:p w14:paraId="5B89C55C">
      <w:pPr>
        <w:rPr>
          <w:rFonts w:asciiTheme="minorEastAsia" w:hAnsiTheme="minorEastAsia" w:eastAsiaTheme="minorEastAsia" w:cstheme="minorEastAsia"/>
          <w:highlight w:val="none"/>
        </w:rPr>
      </w:pPr>
      <w:bookmarkStart w:id="0" w:name="_Toc363463325"/>
    </w:p>
    <w:p w14:paraId="435D9C8F">
      <w:pPr>
        <w:rPr>
          <w:rFonts w:asciiTheme="minorEastAsia" w:hAnsiTheme="minorEastAsia" w:eastAsiaTheme="minorEastAsia" w:cstheme="minorEastAsia"/>
          <w:highlight w:val="none"/>
        </w:rPr>
      </w:pPr>
    </w:p>
    <w:bookmarkEnd w:id="0"/>
    <w:p w14:paraId="13FE9850">
      <w:pPr>
        <w:jc w:val="center"/>
        <w:rPr>
          <w:rFonts w:asciiTheme="minorEastAsia" w:hAnsiTheme="minorEastAsia" w:eastAsiaTheme="minorEastAsia" w:cstheme="minorEastAsia"/>
          <w:b/>
          <w:sz w:val="36"/>
          <w:szCs w:val="36"/>
          <w:highlight w:val="none"/>
        </w:rPr>
      </w:pPr>
    </w:p>
    <w:p w14:paraId="7925760D">
      <w:pPr>
        <w:rPr>
          <w:rFonts w:asciiTheme="minorEastAsia" w:hAnsiTheme="minorEastAsia" w:eastAsiaTheme="minorEastAsia" w:cstheme="minorEastAsia"/>
          <w:sz w:val="36"/>
          <w:szCs w:val="36"/>
          <w:highlight w:val="none"/>
        </w:rPr>
      </w:pPr>
    </w:p>
    <w:p w14:paraId="0CBBF01F">
      <w:pPr>
        <w:jc w:val="center"/>
        <w:rPr>
          <w:rFonts w:asciiTheme="minorEastAsia" w:hAnsiTheme="minorEastAsia" w:eastAsiaTheme="minorEastAsia" w:cstheme="minorEastAsia"/>
          <w:sz w:val="36"/>
          <w:szCs w:val="36"/>
          <w:highlight w:val="none"/>
        </w:rPr>
      </w:pPr>
    </w:p>
    <w:p w14:paraId="7EB40656">
      <w:pPr>
        <w:jc w:val="center"/>
        <w:rPr>
          <w:rFonts w:asciiTheme="minorEastAsia" w:hAnsiTheme="minorEastAsia" w:eastAsiaTheme="minorEastAsia" w:cstheme="minorEastAsia"/>
          <w:sz w:val="36"/>
          <w:szCs w:val="36"/>
          <w:highlight w:val="none"/>
        </w:rPr>
      </w:pPr>
    </w:p>
    <w:p w14:paraId="29229B6B">
      <w:pPr>
        <w:rPr>
          <w:rFonts w:asciiTheme="minorEastAsia" w:hAnsiTheme="minorEastAsia" w:eastAsiaTheme="minorEastAsia" w:cstheme="minorEastAsia"/>
          <w:sz w:val="18"/>
          <w:szCs w:val="18"/>
          <w:highlight w:val="none"/>
        </w:rPr>
      </w:pPr>
    </w:p>
    <w:p w14:paraId="7D051F8A">
      <w:pPr>
        <w:rPr>
          <w:rFonts w:asciiTheme="minorEastAsia" w:hAnsiTheme="minorEastAsia" w:eastAsiaTheme="minorEastAsia" w:cstheme="minorEastAsia"/>
          <w:sz w:val="18"/>
          <w:szCs w:val="18"/>
          <w:highlight w:val="none"/>
        </w:rPr>
      </w:pPr>
    </w:p>
    <w:p w14:paraId="4519BEDF">
      <w:pPr>
        <w:pStyle w:val="27"/>
        <w:ind w:firstLine="1067" w:firstLineChars="332"/>
        <w:rPr>
          <w:rFonts w:hint="eastAsia" w:asciiTheme="minorEastAsia" w:hAnsiTheme="minorEastAsia" w:eastAsiaTheme="minorEastAsia" w:cstheme="minorEastAsia"/>
          <w:b/>
          <w:bCs/>
          <w:sz w:val="32"/>
          <w:szCs w:val="32"/>
          <w:highlight w:val="none"/>
          <w:lang w:eastAsia="zh-CN"/>
        </w:rPr>
      </w:pPr>
      <w:r>
        <w:rPr>
          <w:rFonts w:hint="eastAsia" w:asciiTheme="minorEastAsia" w:hAnsiTheme="minorEastAsia" w:eastAsiaTheme="minorEastAsia" w:cstheme="minorEastAsia"/>
          <w:b/>
          <w:bCs/>
          <w:sz w:val="32"/>
          <w:szCs w:val="32"/>
          <w:highlight w:val="none"/>
        </w:rPr>
        <w:t>采 购 人：</w:t>
      </w:r>
      <w:r>
        <w:rPr>
          <w:rFonts w:hint="eastAsia" w:asciiTheme="minorEastAsia" w:hAnsiTheme="minorEastAsia" w:eastAsiaTheme="minorEastAsia" w:cstheme="minorEastAsia"/>
          <w:b/>
          <w:bCs/>
          <w:sz w:val="32"/>
          <w:szCs w:val="32"/>
          <w:highlight w:val="none"/>
          <w:lang w:eastAsia="zh-CN"/>
        </w:rPr>
        <w:t>镇安县黑窑沟国有林场</w:t>
      </w:r>
    </w:p>
    <w:p w14:paraId="5AE0DCFA">
      <w:pPr>
        <w:pStyle w:val="27"/>
        <w:ind w:firstLine="1067" w:firstLineChars="332"/>
        <w:rPr>
          <w:rFonts w:asciiTheme="minorEastAsia" w:hAnsiTheme="minorEastAsia" w:eastAsiaTheme="minorEastAsia" w:cstheme="minorEastAsia"/>
          <w:b/>
          <w:bCs/>
          <w:sz w:val="32"/>
          <w:szCs w:val="32"/>
          <w:highlight w:val="none"/>
        </w:rPr>
      </w:pPr>
      <w:r>
        <w:rPr>
          <w:rFonts w:hint="eastAsia" w:asciiTheme="minorEastAsia" w:hAnsiTheme="minorEastAsia" w:eastAsiaTheme="minorEastAsia" w:cstheme="minorEastAsia"/>
          <w:b/>
          <w:bCs/>
          <w:sz w:val="32"/>
          <w:szCs w:val="32"/>
          <w:highlight w:val="none"/>
        </w:rPr>
        <w:t>代理机构：陕西至诚项目管理集团有限公司</w:t>
      </w:r>
    </w:p>
    <w:p w14:paraId="2B10FF23">
      <w:pPr>
        <w:pStyle w:val="27"/>
        <w:ind w:firstLine="1067" w:firstLineChars="332"/>
        <w:rPr>
          <w:rFonts w:asciiTheme="minorEastAsia" w:hAnsiTheme="minorEastAsia" w:eastAsiaTheme="minorEastAsia" w:cstheme="minorEastAsia"/>
          <w:b/>
          <w:bCs/>
          <w:sz w:val="32"/>
          <w:szCs w:val="32"/>
          <w:highlight w:val="none"/>
        </w:rPr>
      </w:pPr>
      <w:r>
        <w:rPr>
          <w:rFonts w:hint="eastAsia" w:asciiTheme="minorEastAsia" w:hAnsiTheme="minorEastAsia" w:eastAsiaTheme="minorEastAsia" w:cstheme="minorEastAsia"/>
          <w:b/>
          <w:bCs/>
          <w:sz w:val="32"/>
          <w:szCs w:val="32"/>
          <w:highlight w:val="none"/>
        </w:rPr>
        <w:t>日    期：202</w:t>
      </w:r>
      <w:r>
        <w:rPr>
          <w:rFonts w:hint="eastAsia" w:asciiTheme="minorEastAsia" w:hAnsiTheme="minorEastAsia" w:eastAsiaTheme="minorEastAsia" w:cstheme="minorEastAsia"/>
          <w:b/>
          <w:bCs/>
          <w:sz w:val="32"/>
          <w:szCs w:val="32"/>
          <w:highlight w:val="none"/>
          <w:lang w:val="en-US" w:eastAsia="zh-CN"/>
        </w:rPr>
        <w:t>5</w:t>
      </w:r>
      <w:r>
        <w:rPr>
          <w:rFonts w:hint="eastAsia" w:asciiTheme="minorEastAsia" w:hAnsiTheme="minorEastAsia" w:eastAsiaTheme="minorEastAsia" w:cstheme="minorEastAsia"/>
          <w:b/>
          <w:bCs/>
          <w:sz w:val="32"/>
          <w:szCs w:val="32"/>
          <w:highlight w:val="none"/>
        </w:rPr>
        <w:t>年</w:t>
      </w:r>
      <w:r>
        <w:rPr>
          <w:rFonts w:hint="eastAsia" w:asciiTheme="minorEastAsia" w:hAnsiTheme="minorEastAsia" w:eastAsiaTheme="minorEastAsia" w:cstheme="minorEastAsia"/>
          <w:b/>
          <w:bCs/>
          <w:sz w:val="32"/>
          <w:szCs w:val="32"/>
          <w:highlight w:val="none"/>
          <w:lang w:val="en-US" w:eastAsia="zh-CN"/>
        </w:rPr>
        <w:t>05</w:t>
      </w:r>
      <w:r>
        <w:rPr>
          <w:rFonts w:hint="eastAsia" w:asciiTheme="minorEastAsia" w:hAnsiTheme="minorEastAsia" w:eastAsiaTheme="minorEastAsia" w:cstheme="minorEastAsia"/>
          <w:b/>
          <w:bCs/>
          <w:sz w:val="32"/>
          <w:szCs w:val="32"/>
          <w:highlight w:val="none"/>
        </w:rPr>
        <w:t>月</w:t>
      </w:r>
    </w:p>
    <w:p w14:paraId="3B42D458">
      <w:pPr>
        <w:pStyle w:val="27"/>
        <w:ind w:firstLine="749"/>
        <w:rPr>
          <w:rFonts w:asciiTheme="minorEastAsia" w:hAnsiTheme="minorEastAsia" w:eastAsiaTheme="minorEastAsia" w:cstheme="minorEastAsia"/>
          <w:b/>
          <w:bCs/>
          <w:sz w:val="32"/>
          <w:szCs w:val="32"/>
          <w:highlight w:val="none"/>
        </w:rPr>
      </w:pPr>
    </w:p>
    <w:p w14:paraId="60630330">
      <w:pPr>
        <w:pStyle w:val="27"/>
        <w:ind w:firstLine="749"/>
        <w:rPr>
          <w:rFonts w:asciiTheme="minorEastAsia" w:hAnsiTheme="minorEastAsia" w:eastAsiaTheme="minorEastAsia" w:cstheme="minorEastAsia"/>
          <w:b/>
          <w:bCs/>
          <w:sz w:val="32"/>
          <w:szCs w:val="32"/>
          <w:highlight w:val="none"/>
        </w:rPr>
        <w:sectPr>
          <w:headerReference r:id="rId5" w:type="first"/>
          <w:headerReference r:id="rId3" w:type="default"/>
          <w:footerReference r:id="rId6" w:type="default"/>
          <w:headerReference r:id="rId4" w:type="even"/>
          <w:footerReference r:id="rId7" w:type="even"/>
          <w:pgSz w:w="11906" w:h="16838"/>
          <w:pgMar w:top="1304" w:right="1361" w:bottom="1304" w:left="1361" w:header="851" w:footer="992" w:gutter="0"/>
          <w:pgNumType w:start="1"/>
          <w:cols w:space="720" w:num="1"/>
          <w:titlePg/>
          <w:docGrid w:type="lines" w:linePitch="312" w:charSpace="0"/>
        </w:sectPr>
      </w:pPr>
    </w:p>
    <w:p w14:paraId="3AE44E09">
      <w:pPr>
        <w:spacing w:line="480" w:lineRule="auto"/>
        <w:jc w:val="center"/>
        <w:rPr>
          <w:rFonts w:asciiTheme="minorEastAsia" w:hAnsiTheme="minorEastAsia" w:eastAsiaTheme="minorEastAsia" w:cstheme="minorEastAsia"/>
          <w:b/>
          <w:sz w:val="44"/>
          <w:szCs w:val="44"/>
          <w:highlight w:val="none"/>
        </w:rPr>
      </w:pPr>
      <w:r>
        <w:rPr>
          <w:rFonts w:hint="eastAsia" w:asciiTheme="minorEastAsia" w:hAnsiTheme="minorEastAsia" w:eastAsiaTheme="minorEastAsia" w:cstheme="minorEastAsia"/>
          <w:b/>
          <w:sz w:val="44"/>
          <w:szCs w:val="44"/>
          <w:highlight w:val="none"/>
        </w:rPr>
        <w:t>目   录</w:t>
      </w:r>
    </w:p>
    <w:p w14:paraId="14F14026">
      <w:pPr>
        <w:pStyle w:val="20"/>
        <w:tabs>
          <w:tab w:val="right" w:leader="dot" w:pos="9184"/>
        </w:tabs>
        <w:spacing w:line="480" w:lineRule="auto"/>
        <w:rPr>
          <w:rFonts w:ascii="宋体" w:hAnsi="宋体" w:cs="宋体"/>
          <w:sz w:val="24"/>
          <w:szCs w:val="24"/>
          <w:highlight w:val="none"/>
        </w:rPr>
      </w:pP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TOC \o "1-4" \h \u </w:instrText>
      </w:r>
      <w:r>
        <w:rPr>
          <w:rFonts w:hint="eastAsia" w:ascii="宋体" w:hAnsi="宋体" w:cs="宋体"/>
          <w:sz w:val="24"/>
          <w:szCs w:val="24"/>
          <w:highlight w:val="none"/>
        </w:rPr>
        <w:fldChar w:fldCharType="separate"/>
      </w:r>
      <w:r>
        <w:rPr>
          <w:highlight w:val="none"/>
        </w:rPr>
        <w:fldChar w:fldCharType="begin"/>
      </w:r>
      <w:r>
        <w:rPr>
          <w:highlight w:val="none"/>
        </w:rPr>
        <w:instrText xml:space="preserve"> HYPERLINK \l "_Toc31666" </w:instrText>
      </w:r>
      <w:r>
        <w:rPr>
          <w:highlight w:val="none"/>
        </w:rPr>
        <w:fldChar w:fldCharType="separate"/>
      </w:r>
      <w:r>
        <w:rPr>
          <w:rFonts w:hint="eastAsia" w:ascii="宋体" w:hAnsi="宋体" w:cs="宋体"/>
          <w:sz w:val="24"/>
          <w:szCs w:val="24"/>
          <w:highlight w:val="none"/>
        </w:rPr>
        <w:t>第一章  招标公告</w:t>
      </w:r>
      <w:r>
        <w:rPr>
          <w:rFonts w:hint="eastAsia" w:ascii="宋体" w:hAnsi="宋体" w:cs="宋体"/>
          <w:sz w:val="24"/>
          <w:szCs w:val="24"/>
          <w:highlight w:val="none"/>
        </w:rPr>
        <w:tab/>
      </w: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PAGEREF _Toc31666 \h </w:instrText>
      </w:r>
      <w:r>
        <w:rPr>
          <w:rFonts w:hint="eastAsia" w:ascii="宋体" w:hAnsi="宋体" w:cs="宋体"/>
          <w:sz w:val="24"/>
          <w:szCs w:val="24"/>
          <w:highlight w:val="none"/>
        </w:rPr>
        <w:fldChar w:fldCharType="separate"/>
      </w:r>
      <w:r>
        <w:rPr>
          <w:rFonts w:hint="eastAsia" w:ascii="宋体" w:hAnsi="宋体" w:cs="宋体"/>
          <w:sz w:val="24"/>
          <w:szCs w:val="24"/>
          <w:highlight w:val="none"/>
        </w:rPr>
        <w:t>2</w:t>
      </w:r>
      <w:r>
        <w:rPr>
          <w:rFonts w:hint="eastAsia" w:ascii="宋体" w:hAnsi="宋体" w:cs="宋体"/>
          <w:sz w:val="24"/>
          <w:szCs w:val="24"/>
          <w:highlight w:val="none"/>
        </w:rPr>
        <w:fldChar w:fldCharType="end"/>
      </w:r>
      <w:r>
        <w:rPr>
          <w:rFonts w:hint="eastAsia" w:ascii="宋体" w:hAnsi="宋体" w:cs="宋体"/>
          <w:sz w:val="24"/>
          <w:szCs w:val="24"/>
          <w:highlight w:val="none"/>
        </w:rPr>
        <w:fldChar w:fldCharType="end"/>
      </w:r>
    </w:p>
    <w:p w14:paraId="2585A7C2">
      <w:pPr>
        <w:pStyle w:val="20"/>
        <w:tabs>
          <w:tab w:val="right" w:leader="dot" w:pos="9184"/>
        </w:tabs>
        <w:spacing w:line="480" w:lineRule="auto"/>
        <w:rPr>
          <w:rFonts w:ascii="宋体" w:hAnsi="宋体" w:cs="宋体"/>
          <w:sz w:val="24"/>
          <w:szCs w:val="24"/>
          <w:highlight w:val="none"/>
        </w:rPr>
      </w:pPr>
      <w:r>
        <w:rPr>
          <w:highlight w:val="none"/>
        </w:rPr>
        <w:fldChar w:fldCharType="begin"/>
      </w:r>
      <w:r>
        <w:rPr>
          <w:highlight w:val="none"/>
        </w:rPr>
        <w:instrText xml:space="preserve"> HYPERLINK \l "_Toc31960" </w:instrText>
      </w:r>
      <w:r>
        <w:rPr>
          <w:highlight w:val="none"/>
        </w:rPr>
        <w:fldChar w:fldCharType="separate"/>
      </w:r>
      <w:r>
        <w:rPr>
          <w:rFonts w:hint="eastAsia" w:ascii="宋体" w:hAnsi="宋体" w:cs="宋体"/>
          <w:sz w:val="24"/>
          <w:szCs w:val="24"/>
          <w:highlight w:val="none"/>
        </w:rPr>
        <w:t>第二章  投标人须知</w:t>
      </w:r>
      <w:r>
        <w:rPr>
          <w:rFonts w:hint="eastAsia" w:ascii="宋体" w:hAnsi="宋体" w:cs="宋体"/>
          <w:sz w:val="24"/>
          <w:szCs w:val="24"/>
          <w:highlight w:val="none"/>
        </w:rPr>
        <w:tab/>
      </w: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PAGEREF _Toc31960 \h </w:instrText>
      </w:r>
      <w:r>
        <w:rPr>
          <w:rFonts w:hint="eastAsia" w:ascii="宋体" w:hAnsi="宋体" w:cs="宋体"/>
          <w:sz w:val="24"/>
          <w:szCs w:val="24"/>
          <w:highlight w:val="none"/>
        </w:rPr>
        <w:fldChar w:fldCharType="separate"/>
      </w:r>
      <w:r>
        <w:rPr>
          <w:rFonts w:hint="eastAsia" w:ascii="宋体" w:hAnsi="宋体" w:cs="宋体"/>
          <w:sz w:val="24"/>
          <w:szCs w:val="24"/>
          <w:highlight w:val="none"/>
        </w:rPr>
        <w:t>2</w:t>
      </w:r>
      <w:r>
        <w:rPr>
          <w:rFonts w:hint="eastAsia" w:ascii="宋体" w:hAnsi="宋体" w:cs="宋体"/>
          <w:sz w:val="24"/>
          <w:szCs w:val="24"/>
          <w:highlight w:val="none"/>
        </w:rPr>
        <w:fldChar w:fldCharType="end"/>
      </w:r>
      <w:r>
        <w:rPr>
          <w:rFonts w:hint="eastAsia" w:ascii="宋体" w:hAnsi="宋体" w:cs="宋体"/>
          <w:sz w:val="24"/>
          <w:szCs w:val="24"/>
          <w:highlight w:val="none"/>
        </w:rPr>
        <w:fldChar w:fldCharType="end"/>
      </w:r>
    </w:p>
    <w:p w14:paraId="7832B6EF">
      <w:pPr>
        <w:pStyle w:val="23"/>
        <w:tabs>
          <w:tab w:val="right" w:leader="dot" w:pos="9184"/>
        </w:tabs>
        <w:spacing w:line="480" w:lineRule="auto"/>
        <w:rPr>
          <w:rFonts w:ascii="宋体" w:hAnsi="宋体" w:cs="宋体"/>
          <w:sz w:val="24"/>
          <w:szCs w:val="24"/>
          <w:highlight w:val="none"/>
        </w:rPr>
      </w:pPr>
      <w:r>
        <w:rPr>
          <w:highlight w:val="none"/>
        </w:rPr>
        <w:fldChar w:fldCharType="begin"/>
      </w:r>
      <w:r>
        <w:rPr>
          <w:highlight w:val="none"/>
        </w:rPr>
        <w:instrText xml:space="preserve"> HYPERLINK \l "_Toc6196" </w:instrText>
      </w:r>
      <w:r>
        <w:rPr>
          <w:highlight w:val="none"/>
        </w:rPr>
        <w:fldChar w:fldCharType="separate"/>
      </w:r>
      <w:r>
        <w:rPr>
          <w:rFonts w:hint="eastAsia" w:ascii="宋体" w:hAnsi="宋体" w:cs="宋体"/>
          <w:bCs/>
          <w:sz w:val="24"/>
          <w:szCs w:val="24"/>
          <w:highlight w:val="none"/>
        </w:rPr>
        <w:t>投标人须知前附表</w:t>
      </w:r>
      <w:r>
        <w:rPr>
          <w:rFonts w:hint="eastAsia" w:ascii="宋体" w:hAnsi="宋体" w:cs="宋体"/>
          <w:sz w:val="24"/>
          <w:szCs w:val="24"/>
          <w:highlight w:val="none"/>
        </w:rPr>
        <w:tab/>
      </w: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PAGEREF _Toc6196 \h </w:instrText>
      </w:r>
      <w:r>
        <w:rPr>
          <w:rFonts w:hint="eastAsia" w:ascii="宋体" w:hAnsi="宋体" w:cs="宋体"/>
          <w:sz w:val="24"/>
          <w:szCs w:val="24"/>
          <w:highlight w:val="none"/>
        </w:rPr>
        <w:fldChar w:fldCharType="separate"/>
      </w:r>
      <w:r>
        <w:rPr>
          <w:rFonts w:hint="eastAsia" w:ascii="宋体" w:hAnsi="宋体" w:cs="宋体"/>
          <w:sz w:val="24"/>
          <w:szCs w:val="24"/>
          <w:highlight w:val="none"/>
        </w:rPr>
        <w:t>8</w:t>
      </w:r>
      <w:r>
        <w:rPr>
          <w:rFonts w:hint="eastAsia" w:ascii="宋体" w:hAnsi="宋体" w:cs="宋体"/>
          <w:sz w:val="24"/>
          <w:szCs w:val="24"/>
          <w:highlight w:val="none"/>
        </w:rPr>
        <w:fldChar w:fldCharType="end"/>
      </w:r>
      <w:r>
        <w:rPr>
          <w:rFonts w:hint="eastAsia" w:ascii="宋体" w:hAnsi="宋体" w:cs="宋体"/>
          <w:sz w:val="24"/>
          <w:szCs w:val="24"/>
          <w:highlight w:val="none"/>
        </w:rPr>
        <w:fldChar w:fldCharType="end"/>
      </w:r>
    </w:p>
    <w:p w14:paraId="487FFB98">
      <w:pPr>
        <w:pStyle w:val="20"/>
        <w:tabs>
          <w:tab w:val="right" w:leader="dot" w:pos="9184"/>
        </w:tabs>
        <w:spacing w:line="480" w:lineRule="auto"/>
        <w:rPr>
          <w:rFonts w:ascii="宋体" w:hAnsi="宋体" w:cs="宋体"/>
          <w:sz w:val="24"/>
          <w:szCs w:val="24"/>
          <w:highlight w:val="none"/>
        </w:rPr>
      </w:pPr>
      <w:r>
        <w:rPr>
          <w:highlight w:val="none"/>
        </w:rPr>
        <w:fldChar w:fldCharType="begin"/>
      </w:r>
      <w:r>
        <w:rPr>
          <w:highlight w:val="none"/>
        </w:rPr>
        <w:instrText xml:space="preserve"> HYPERLINK \l "_Toc21993" </w:instrText>
      </w:r>
      <w:r>
        <w:rPr>
          <w:highlight w:val="none"/>
        </w:rPr>
        <w:fldChar w:fldCharType="separate"/>
      </w:r>
      <w:r>
        <w:rPr>
          <w:rFonts w:hint="eastAsia" w:ascii="宋体" w:hAnsi="宋体" w:cs="宋体"/>
          <w:bCs/>
          <w:sz w:val="24"/>
          <w:szCs w:val="24"/>
          <w:highlight w:val="none"/>
        </w:rPr>
        <w:t>第三章  评审方法</w:t>
      </w:r>
      <w:r>
        <w:rPr>
          <w:rFonts w:hint="eastAsia" w:ascii="宋体" w:hAnsi="宋体" w:cs="宋体"/>
          <w:sz w:val="24"/>
          <w:szCs w:val="24"/>
          <w:highlight w:val="none"/>
        </w:rPr>
        <w:tab/>
      </w: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PAGEREF _Toc21993 \h </w:instrText>
      </w:r>
      <w:r>
        <w:rPr>
          <w:rFonts w:hint="eastAsia" w:ascii="宋体" w:hAnsi="宋体" w:cs="宋体"/>
          <w:sz w:val="24"/>
          <w:szCs w:val="24"/>
          <w:highlight w:val="none"/>
        </w:rPr>
        <w:fldChar w:fldCharType="separate"/>
      </w:r>
      <w:r>
        <w:rPr>
          <w:rFonts w:hint="eastAsia" w:ascii="宋体" w:hAnsi="宋体" w:cs="宋体"/>
          <w:sz w:val="24"/>
          <w:szCs w:val="24"/>
          <w:highlight w:val="none"/>
        </w:rPr>
        <w:t>24</w:t>
      </w:r>
      <w:r>
        <w:rPr>
          <w:rFonts w:hint="eastAsia" w:ascii="宋体" w:hAnsi="宋体" w:cs="宋体"/>
          <w:sz w:val="24"/>
          <w:szCs w:val="24"/>
          <w:highlight w:val="none"/>
        </w:rPr>
        <w:fldChar w:fldCharType="end"/>
      </w:r>
      <w:r>
        <w:rPr>
          <w:rFonts w:hint="eastAsia" w:ascii="宋体" w:hAnsi="宋体" w:cs="宋体"/>
          <w:sz w:val="24"/>
          <w:szCs w:val="24"/>
          <w:highlight w:val="none"/>
        </w:rPr>
        <w:fldChar w:fldCharType="end"/>
      </w:r>
    </w:p>
    <w:p w14:paraId="56A9FFA2">
      <w:pPr>
        <w:pStyle w:val="20"/>
        <w:tabs>
          <w:tab w:val="right" w:leader="dot" w:pos="9184"/>
        </w:tabs>
        <w:spacing w:line="480" w:lineRule="auto"/>
        <w:rPr>
          <w:rFonts w:ascii="宋体" w:hAnsi="宋体" w:cs="宋体"/>
          <w:sz w:val="24"/>
          <w:szCs w:val="24"/>
          <w:highlight w:val="none"/>
        </w:rPr>
      </w:pPr>
      <w:r>
        <w:rPr>
          <w:highlight w:val="none"/>
        </w:rPr>
        <w:fldChar w:fldCharType="begin"/>
      </w:r>
      <w:r>
        <w:rPr>
          <w:highlight w:val="none"/>
        </w:rPr>
        <w:instrText xml:space="preserve"> HYPERLINK \l "_Toc26850" </w:instrText>
      </w:r>
      <w:r>
        <w:rPr>
          <w:highlight w:val="none"/>
        </w:rPr>
        <w:fldChar w:fldCharType="separate"/>
      </w:r>
      <w:r>
        <w:rPr>
          <w:rFonts w:hint="eastAsia" w:ascii="宋体" w:hAnsi="宋体" w:cs="宋体"/>
          <w:sz w:val="24"/>
          <w:szCs w:val="24"/>
          <w:highlight w:val="none"/>
        </w:rPr>
        <w:t xml:space="preserve">第四章  </w:t>
      </w:r>
      <w:r>
        <w:rPr>
          <w:rFonts w:hint="eastAsia" w:ascii="宋体" w:hAnsi="宋体" w:cs="宋体"/>
          <w:bCs/>
          <w:sz w:val="24"/>
          <w:szCs w:val="24"/>
          <w:highlight w:val="none"/>
        </w:rPr>
        <w:t>合同条款及格式</w:t>
      </w:r>
      <w:r>
        <w:rPr>
          <w:rFonts w:hint="eastAsia" w:ascii="宋体" w:hAnsi="宋体" w:cs="宋体"/>
          <w:sz w:val="24"/>
          <w:szCs w:val="24"/>
          <w:highlight w:val="none"/>
        </w:rPr>
        <w:tab/>
      </w: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PAGEREF _Toc26850 \h </w:instrText>
      </w:r>
      <w:r>
        <w:rPr>
          <w:rFonts w:hint="eastAsia" w:ascii="宋体" w:hAnsi="宋体" w:cs="宋体"/>
          <w:sz w:val="24"/>
          <w:szCs w:val="24"/>
          <w:highlight w:val="none"/>
        </w:rPr>
        <w:fldChar w:fldCharType="separate"/>
      </w:r>
      <w:r>
        <w:rPr>
          <w:rFonts w:hint="eastAsia" w:ascii="宋体" w:hAnsi="宋体" w:cs="宋体"/>
          <w:sz w:val="24"/>
          <w:szCs w:val="24"/>
          <w:highlight w:val="none"/>
        </w:rPr>
        <w:t>31</w:t>
      </w:r>
      <w:r>
        <w:rPr>
          <w:rFonts w:hint="eastAsia" w:ascii="宋体" w:hAnsi="宋体" w:cs="宋体"/>
          <w:sz w:val="24"/>
          <w:szCs w:val="24"/>
          <w:highlight w:val="none"/>
        </w:rPr>
        <w:fldChar w:fldCharType="end"/>
      </w:r>
      <w:r>
        <w:rPr>
          <w:rFonts w:hint="eastAsia" w:ascii="宋体" w:hAnsi="宋体" w:cs="宋体"/>
          <w:sz w:val="24"/>
          <w:szCs w:val="24"/>
          <w:highlight w:val="none"/>
        </w:rPr>
        <w:fldChar w:fldCharType="end"/>
      </w:r>
    </w:p>
    <w:p w14:paraId="5D88AB60">
      <w:pPr>
        <w:pStyle w:val="23"/>
        <w:tabs>
          <w:tab w:val="right" w:leader="dot" w:pos="9184"/>
        </w:tabs>
        <w:spacing w:line="480" w:lineRule="auto"/>
        <w:rPr>
          <w:rFonts w:ascii="宋体" w:hAnsi="宋体" w:cs="宋体"/>
          <w:sz w:val="24"/>
          <w:szCs w:val="24"/>
          <w:highlight w:val="none"/>
        </w:rPr>
      </w:pPr>
      <w:r>
        <w:rPr>
          <w:highlight w:val="none"/>
        </w:rPr>
        <w:fldChar w:fldCharType="begin"/>
      </w:r>
      <w:r>
        <w:rPr>
          <w:highlight w:val="none"/>
        </w:rPr>
        <w:instrText xml:space="preserve"> HYPERLINK \l "_Toc6496" </w:instrText>
      </w:r>
      <w:r>
        <w:rPr>
          <w:highlight w:val="none"/>
        </w:rPr>
        <w:fldChar w:fldCharType="separate"/>
      </w:r>
      <w:r>
        <w:rPr>
          <w:rFonts w:hint="eastAsia" w:ascii="宋体" w:hAnsi="宋体" w:cs="宋体"/>
          <w:sz w:val="24"/>
          <w:szCs w:val="24"/>
          <w:highlight w:val="none"/>
        </w:rPr>
        <w:t>合同条款及格式前附表</w:t>
      </w:r>
      <w:r>
        <w:rPr>
          <w:rFonts w:hint="eastAsia" w:ascii="宋体" w:hAnsi="宋体" w:cs="宋体"/>
          <w:sz w:val="24"/>
          <w:szCs w:val="24"/>
          <w:highlight w:val="none"/>
        </w:rPr>
        <w:tab/>
      </w: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PAGEREF _Toc6496 \h </w:instrText>
      </w:r>
      <w:r>
        <w:rPr>
          <w:rFonts w:hint="eastAsia" w:ascii="宋体" w:hAnsi="宋体" w:cs="宋体"/>
          <w:sz w:val="24"/>
          <w:szCs w:val="24"/>
          <w:highlight w:val="none"/>
        </w:rPr>
        <w:fldChar w:fldCharType="separate"/>
      </w:r>
      <w:r>
        <w:rPr>
          <w:rFonts w:hint="eastAsia" w:ascii="宋体" w:hAnsi="宋体" w:cs="宋体"/>
          <w:sz w:val="24"/>
          <w:szCs w:val="24"/>
          <w:highlight w:val="none"/>
        </w:rPr>
        <w:t>31</w:t>
      </w:r>
      <w:r>
        <w:rPr>
          <w:rFonts w:hint="eastAsia" w:ascii="宋体" w:hAnsi="宋体" w:cs="宋体"/>
          <w:sz w:val="24"/>
          <w:szCs w:val="24"/>
          <w:highlight w:val="none"/>
        </w:rPr>
        <w:fldChar w:fldCharType="end"/>
      </w:r>
      <w:r>
        <w:rPr>
          <w:rFonts w:hint="eastAsia" w:ascii="宋体" w:hAnsi="宋体" w:cs="宋体"/>
          <w:sz w:val="24"/>
          <w:szCs w:val="24"/>
          <w:highlight w:val="none"/>
        </w:rPr>
        <w:fldChar w:fldCharType="end"/>
      </w:r>
    </w:p>
    <w:p w14:paraId="7AAA0B81">
      <w:pPr>
        <w:pStyle w:val="20"/>
        <w:tabs>
          <w:tab w:val="right" w:leader="dot" w:pos="9184"/>
        </w:tabs>
        <w:spacing w:line="480" w:lineRule="auto"/>
        <w:rPr>
          <w:rFonts w:ascii="宋体" w:hAnsi="宋体" w:cs="宋体"/>
          <w:sz w:val="24"/>
          <w:szCs w:val="24"/>
          <w:highlight w:val="none"/>
        </w:rPr>
      </w:pPr>
      <w:r>
        <w:rPr>
          <w:highlight w:val="none"/>
        </w:rPr>
        <w:fldChar w:fldCharType="begin"/>
      </w:r>
      <w:r>
        <w:rPr>
          <w:highlight w:val="none"/>
        </w:rPr>
        <w:instrText xml:space="preserve"> HYPERLINK \l "_Toc8858" </w:instrText>
      </w:r>
      <w:r>
        <w:rPr>
          <w:highlight w:val="none"/>
        </w:rPr>
        <w:fldChar w:fldCharType="separate"/>
      </w:r>
      <w:r>
        <w:rPr>
          <w:rFonts w:hint="eastAsia" w:ascii="宋体" w:hAnsi="宋体" w:cs="宋体"/>
          <w:sz w:val="24"/>
          <w:szCs w:val="24"/>
          <w:highlight w:val="none"/>
        </w:rPr>
        <w:t>第五章  项目概况及技术要求</w:t>
      </w:r>
      <w:r>
        <w:rPr>
          <w:rFonts w:hint="eastAsia" w:ascii="宋体" w:hAnsi="宋体" w:cs="宋体"/>
          <w:sz w:val="24"/>
          <w:szCs w:val="24"/>
          <w:highlight w:val="none"/>
        </w:rPr>
        <w:tab/>
      </w: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PAGEREF _Toc8858 \h </w:instrText>
      </w:r>
      <w:r>
        <w:rPr>
          <w:rFonts w:hint="eastAsia" w:ascii="宋体" w:hAnsi="宋体" w:cs="宋体"/>
          <w:sz w:val="24"/>
          <w:szCs w:val="24"/>
          <w:highlight w:val="none"/>
        </w:rPr>
        <w:fldChar w:fldCharType="separate"/>
      </w:r>
      <w:r>
        <w:rPr>
          <w:rFonts w:hint="eastAsia" w:ascii="宋体" w:hAnsi="宋体" w:cs="宋体"/>
          <w:sz w:val="24"/>
          <w:szCs w:val="24"/>
          <w:highlight w:val="none"/>
        </w:rPr>
        <w:t>46</w:t>
      </w:r>
      <w:r>
        <w:rPr>
          <w:rFonts w:hint="eastAsia" w:ascii="宋体" w:hAnsi="宋体" w:cs="宋体"/>
          <w:sz w:val="24"/>
          <w:szCs w:val="24"/>
          <w:highlight w:val="none"/>
        </w:rPr>
        <w:fldChar w:fldCharType="end"/>
      </w:r>
      <w:r>
        <w:rPr>
          <w:rFonts w:hint="eastAsia" w:ascii="宋体" w:hAnsi="宋体" w:cs="宋体"/>
          <w:sz w:val="24"/>
          <w:szCs w:val="24"/>
          <w:highlight w:val="none"/>
        </w:rPr>
        <w:fldChar w:fldCharType="end"/>
      </w:r>
    </w:p>
    <w:p w14:paraId="486C34BD">
      <w:pPr>
        <w:pStyle w:val="20"/>
        <w:tabs>
          <w:tab w:val="right" w:leader="dot" w:pos="9184"/>
        </w:tabs>
        <w:spacing w:line="480" w:lineRule="auto"/>
        <w:rPr>
          <w:rFonts w:ascii="宋体" w:hAnsi="宋体" w:cs="宋体"/>
          <w:sz w:val="24"/>
          <w:szCs w:val="24"/>
          <w:highlight w:val="none"/>
        </w:rPr>
      </w:pPr>
      <w:r>
        <w:rPr>
          <w:highlight w:val="none"/>
        </w:rPr>
        <w:fldChar w:fldCharType="begin"/>
      </w:r>
      <w:r>
        <w:rPr>
          <w:highlight w:val="none"/>
        </w:rPr>
        <w:instrText xml:space="preserve"> HYPERLINK \l "_Toc24769" </w:instrText>
      </w:r>
      <w:r>
        <w:rPr>
          <w:highlight w:val="none"/>
        </w:rPr>
        <w:fldChar w:fldCharType="separate"/>
      </w:r>
      <w:r>
        <w:rPr>
          <w:rFonts w:hint="eastAsia" w:ascii="宋体" w:hAnsi="宋体" w:cs="宋体"/>
          <w:bCs/>
          <w:sz w:val="24"/>
          <w:szCs w:val="24"/>
          <w:highlight w:val="none"/>
        </w:rPr>
        <w:t>第六章  投标文件构成及格式</w:t>
      </w:r>
      <w:r>
        <w:rPr>
          <w:rFonts w:hint="eastAsia" w:ascii="宋体" w:hAnsi="宋体" w:cs="宋体"/>
          <w:sz w:val="24"/>
          <w:szCs w:val="24"/>
          <w:highlight w:val="none"/>
        </w:rPr>
        <w:tab/>
      </w: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PAGEREF _Toc24769 \h </w:instrText>
      </w:r>
      <w:r>
        <w:rPr>
          <w:rFonts w:hint="eastAsia" w:ascii="宋体" w:hAnsi="宋体" w:cs="宋体"/>
          <w:sz w:val="24"/>
          <w:szCs w:val="24"/>
          <w:highlight w:val="none"/>
        </w:rPr>
        <w:fldChar w:fldCharType="separate"/>
      </w:r>
      <w:r>
        <w:rPr>
          <w:rFonts w:hint="eastAsia" w:ascii="宋体" w:hAnsi="宋体" w:cs="宋体"/>
          <w:sz w:val="24"/>
          <w:szCs w:val="24"/>
          <w:highlight w:val="none"/>
        </w:rPr>
        <w:t>73</w:t>
      </w:r>
      <w:r>
        <w:rPr>
          <w:rFonts w:hint="eastAsia" w:ascii="宋体" w:hAnsi="宋体" w:cs="宋体"/>
          <w:sz w:val="24"/>
          <w:szCs w:val="24"/>
          <w:highlight w:val="none"/>
        </w:rPr>
        <w:fldChar w:fldCharType="end"/>
      </w:r>
      <w:r>
        <w:rPr>
          <w:rFonts w:hint="eastAsia" w:ascii="宋体" w:hAnsi="宋体" w:cs="宋体"/>
          <w:sz w:val="24"/>
          <w:szCs w:val="24"/>
          <w:highlight w:val="none"/>
        </w:rPr>
        <w:fldChar w:fldCharType="end"/>
      </w:r>
    </w:p>
    <w:p w14:paraId="1491B576">
      <w:pPr>
        <w:spacing w:line="480" w:lineRule="auto"/>
        <w:rPr>
          <w:rFonts w:asciiTheme="minorEastAsia" w:hAnsiTheme="minorEastAsia" w:eastAsiaTheme="minorEastAsia" w:cstheme="minorEastAsia"/>
          <w:sz w:val="24"/>
          <w:szCs w:val="24"/>
          <w:highlight w:val="none"/>
        </w:rPr>
      </w:pPr>
      <w:r>
        <w:rPr>
          <w:rFonts w:hint="eastAsia" w:ascii="宋体" w:hAnsi="宋体" w:cs="宋体"/>
          <w:sz w:val="24"/>
          <w:szCs w:val="24"/>
          <w:highlight w:val="none"/>
        </w:rPr>
        <w:fldChar w:fldCharType="end"/>
      </w:r>
      <w:r>
        <w:rPr>
          <w:rFonts w:hint="eastAsia" w:asciiTheme="minorEastAsia" w:hAnsiTheme="minorEastAsia" w:eastAsiaTheme="minorEastAsia" w:cstheme="minorEastAsia"/>
          <w:sz w:val="24"/>
          <w:szCs w:val="24"/>
          <w:highlight w:val="none"/>
        </w:rPr>
        <w:br w:type="page"/>
      </w:r>
    </w:p>
    <w:p w14:paraId="17A15A6A">
      <w:pPr>
        <w:pStyle w:val="3"/>
        <w:jc w:val="center"/>
        <w:rPr>
          <w:rFonts w:asciiTheme="minorEastAsia" w:hAnsiTheme="minorEastAsia" w:eastAsiaTheme="minorEastAsia" w:cstheme="minorEastAsia"/>
          <w:highlight w:val="none"/>
        </w:rPr>
      </w:pPr>
      <w:bookmarkStart w:id="1" w:name="_Toc14968"/>
      <w:bookmarkStart w:id="2" w:name="_Toc31666"/>
      <w:r>
        <w:rPr>
          <w:rFonts w:hint="eastAsia" w:asciiTheme="minorEastAsia" w:hAnsiTheme="minorEastAsia" w:eastAsiaTheme="minorEastAsia" w:cstheme="minorEastAsia"/>
          <w:highlight w:val="none"/>
        </w:rPr>
        <w:t>第一章  招标公告</w:t>
      </w:r>
      <w:bookmarkEnd w:id="1"/>
      <w:bookmarkEnd w:id="2"/>
    </w:p>
    <w:p w14:paraId="71C7D42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jc w:val="left"/>
        <w:textAlignment w:val="auto"/>
        <w:outlineLvl w:val="9"/>
        <w:rPr>
          <w:rFonts w:hint="eastAsia" w:ascii="宋体" w:hAnsi="宋体" w:eastAsia="宋体" w:cs="宋体"/>
          <w:b w:val="0"/>
          <w:bCs w:val="0"/>
          <w:color w:val="auto"/>
          <w:sz w:val="24"/>
          <w:szCs w:val="24"/>
        </w:rPr>
      </w:pPr>
      <w:bookmarkStart w:id="3" w:name="_Toc18593"/>
      <w:bookmarkStart w:id="4" w:name="_Toc31960"/>
      <w:bookmarkStart w:id="5" w:name="_Toc421778363"/>
      <w:r>
        <w:rPr>
          <w:rStyle w:val="31"/>
          <w:rFonts w:hint="eastAsia" w:ascii="宋体" w:hAnsi="宋体" w:eastAsia="宋体" w:cs="宋体"/>
          <w:b/>
          <w:bCs/>
          <w:i w:val="0"/>
          <w:iCs w:val="0"/>
          <w:caps w:val="0"/>
          <w:color w:val="auto"/>
          <w:spacing w:val="0"/>
          <w:sz w:val="24"/>
          <w:szCs w:val="24"/>
          <w:shd w:val="clear" w:fill="FFFFFF"/>
        </w:rPr>
        <w:t>项目概况</w:t>
      </w:r>
    </w:p>
    <w:p w14:paraId="5A677F3E">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中央财政衔接推进乡村振兴补助资金（欠发达国有林场巩固提升任务）2025年林下种植（魔芋、天麻）建设项目招标项目的潜在投标人应在陕西省西安市经济技术开发区未央路171-1号银池道拉斯财富中心21楼03室获取招标文件，并于2025年06月10日09时30分（北京时间）前递交投标文件。</w:t>
      </w:r>
    </w:p>
    <w:p w14:paraId="499E8C9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jc w:val="left"/>
        <w:textAlignment w:val="auto"/>
        <w:outlineLvl w:val="9"/>
        <w:rPr>
          <w:rStyle w:val="31"/>
          <w:rFonts w:hint="eastAsia" w:ascii="宋体" w:hAnsi="宋体" w:eastAsia="宋体" w:cs="宋体"/>
          <w:b/>
          <w:bCs/>
          <w:i w:val="0"/>
          <w:iCs w:val="0"/>
          <w:caps w:val="0"/>
          <w:color w:val="auto"/>
          <w:spacing w:val="0"/>
          <w:sz w:val="24"/>
          <w:szCs w:val="24"/>
          <w:shd w:val="clear" w:fill="FFFFFF"/>
        </w:rPr>
      </w:pPr>
      <w:r>
        <w:rPr>
          <w:rStyle w:val="31"/>
          <w:rFonts w:hint="eastAsia" w:ascii="宋体" w:hAnsi="宋体" w:eastAsia="宋体" w:cs="宋体"/>
          <w:b/>
          <w:bCs/>
          <w:i w:val="0"/>
          <w:iCs w:val="0"/>
          <w:caps w:val="0"/>
          <w:color w:val="auto"/>
          <w:spacing w:val="0"/>
          <w:sz w:val="24"/>
          <w:szCs w:val="24"/>
          <w:shd w:val="clear" w:fill="FFFFFF"/>
        </w:rPr>
        <w:t>一、项目基本情况</w:t>
      </w:r>
    </w:p>
    <w:p w14:paraId="1774E462">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项目编号：SXZCZB2025-ZCGK--0525</w:t>
      </w:r>
    </w:p>
    <w:p w14:paraId="0993D6D2">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项目名称：中央财政衔接推进乡村振兴补助资金（欠发达国有林场巩固提升任务）2025年林下种植（魔芋、天麻）建设项目</w:t>
      </w:r>
    </w:p>
    <w:p w14:paraId="0A39C773">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采购方式：公开招标</w:t>
      </w:r>
    </w:p>
    <w:p w14:paraId="714C6942">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预算金额：4,288,265.65元</w:t>
      </w:r>
    </w:p>
    <w:p w14:paraId="01AF7F40">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采购需求：</w:t>
      </w:r>
    </w:p>
    <w:p w14:paraId="5C59F928">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合同包1(1标段-云盖寺镇黑窑沟村作业区，面积120亩（魔芋种植1、2、3小班）):</w:t>
      </w:r>
    </w:p>
    <w:p w14:paraId="61C1738E">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合同包预算金额：551,458.27元</w:t>
      </w:r>
    </w:p>
    <w:p w14:paraId="4ABDD99D">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合同包最高限价：551,458.27元</w:t>
      </w:r>
    </w:p>
    <w:tbl>
      <w:tblPr>
        <w:tblStyle w:val="28"/>
        <w:tblW w:w="4998"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481"/>
        <w:gridCol w:w="1597"/>
        <w:gridCol w:w="2618"/>
        <w:gridCol w:w="722"/>
        <w:gridCol w:w="1121"/>
        <w:gridCol w:w="1440"/>
        <w:gridCol w:w="1441"/>
      </w:tblGrid>
      <w:tr w14:paraId="7B249A1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28" w:hRule="atLeast"/>
          <w:tblHeader/>
        </w:trPr>
        <w:tc>
          <w:tcPr>
            <w:tcW w:w="30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A60B076">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品目号</w:t>
            </w:r>
          </w:p>
        </w:tc>
        <w:tc>
          <w:tcPr>
            <w:tcW w:w="108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23807E4">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品目名称</w:t>
            </w:r>
          </w:p>
        </w:tc>
        <w:tc>
          <w:tcPr>
            <w:tcW w:w="1533"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0BD37A9">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采购标的</w:t>
            </w:r>
          </w:p>
        </w:tc>
        <w:tc>
          <w:tcPr>
            <w:tcW w:w="38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D311EBF">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数量（单位）</w:t>
            </w:r>
          </w:p>
        </w:tc>
        <w:tc>
          <w:tcPr>
            <w:tcW w:w="73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21D1E3E">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技术规格、参数及要求</w:t>
            </w:r>
          </w:p>
        </w:tc>
        <w:tc>
          <w:tcPr>
            <w:tcW w:w="47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F37F865">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品目预算(元)</w:t>
            </w:r>
          </w:p>
        </w:tc>
        <w:tc>
          <w:tcPr>
            <w:tcW w:w="47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6F713EA">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最高限价(元)</w:t>
            </w:r>
          </w:p>
        </w:tc>
      </w:tr>
      <w:tr w14:paraId="0E48EF6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0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2D794D9">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1-1</w:t>
            </w:r>
          </w:p>
        </w:tc>
        <w:tc>
          <w:tcPr>
            <w:tcW w:w="108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FFC1AC5">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其他工程准备</w:t>
            </w:r>
          </w:p>
        </w:tc>
        <w:tc>
          <w:tcPr>
            <w:tcW w:w="1533"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D635932">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云盖寺镇黑窑沟村作业区，面积120亩（魔芋种植1、2、3小班）</w:t>
            </w:r>
          </w:p>
        </w:tc>
        <w:tc>
          <w:tcPr>
            <w:tcW w:w="38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A3C05DF">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1(项)</w:t>
            </w:r>
          </w:p>
        </w:tc>
        <w:tc>
          <w:tcPr>
            <w:tcW w:w="73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C8EFF6B">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详见采购文件</w:t>
            </w:r>
          </w:p>
        </w:tc>
        <w:tc>
          <w:tcPr>
            <w:tcW w:w="47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8183442">
            <w:pPr>
              <w:keepNext w:val="0"/>
              <w:keepLines w:val="0"/>
              <w:widowControl/>
              <w:suppressLineNumbers w:val="0"/>
              <w:wordWrap/>
              <w:spacing w:before="0" w:beforeAutospacing="0" w:after="0" w:afterAutospacing="0" w:line="360" w:lineRule="atLeast"/>
              <w:ind w:left="0" w:right="0"/>
              <w:jc w:val="right"/>
              <w:outlineLvl w:val="9"/>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551,458.27</w:t>
            </w:r>
          </w:p>
        </w:tc>
        <w:tc>
          <w:tcPr>
            <w:tcW w:w="47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6026824">
            <w:pPr>
              <w:keepNext w:val="0"/>
              <w:keepLines w:val="0"/>
              <w:widowControl/>
              <w:suppressLineNumbers w:val="0"/>
              <w:wordWrap/>
              <w:spacing w:before="0" w:beforeAutospacing="0" w:after="0" w:afterAutospacing="0" w:line="360" w:lineRule="atLeast"/>
              <w:ind w:left="0" w:right="0"/>
              <w:jc w:val="right"/>
              <w:outlineLvl w:val="9"/>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551,458.27</w:t>
            </w:r>
          </w:p>
        </w:tc>
      </w:tr>
    </w:tbl>
    <w:p w14:paraId="701F9F73">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本合同包不接受联合体投标</w:t>
      </w:r>
    </w:p>
    <w:p w14:paraId="00B869DB">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合同履行期限：详见招标文件</w:t>
      </w:r>
    </w:p>
    <w:p w14:paraId="3EC15038">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合同包2(2标段-月河镇黄土岭作业区，面积402亩（天麻种植1、3、4、5、10、11、12、13小班）):</w:t>
      </w:r>
    </w:p>
    <w:p w14:paraId="14CF943B">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合同包预算金额：2,026,081.78元</w:t>
      </w:r>
    </w:p>
    <w:p w14:paraId="4B999594">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合同包最高限价：2,026,081.78元</w:t>
      </w:r>
    </w:p>
    <w:tbl>
      <w:tblPr>
        <w:tblStyle w:val="28"/>
        <w:tblW w:w="4998"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481"/>
        <w:gridCol w:w="1115"/>
        <w:gridCol w:w="2859"/>
        <w:gridCol w:w="722"/>
        <w:gridCol w:w="883"/>
        <w:gridCol w:w="1680"/>
        <w:gridCol w:w="1680"/>
      </w:tblGrid>
      <w:tr w14:paraId="6A7F990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283"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91B9D65">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品目号</w:t>
            </w:r>
          </w:p>
        </w:tc>
        <w:tc>
          <w:tcPr>
            <w:tcW w:w="98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5871F71">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品目名称</w:t>
            </w:r>
          </w:p>
        </w:tc>
        <w:tc>
          <w:tcPr>
            <w:tcW w:w="172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73EE2AA">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采购标的</w:t>
            </w:r>
          </w:p>
        </w:tc>
        <w:tc>
          <w:tcPr>
            <w:tcW w:w="36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499E4C8">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数量（单位）</w:t>
            </w:r>
          </w:p>
        </w:tc>
        <w:tc>
          <w:tcPr>
            <w:tcW w:w="68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CA93DC1">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技术规格、参数及要求</w:t>
            </w:r>
          </w:p>
        </w:tc>
        <w:tc>
          <w:tcPr>
            <w:tcW w:w="47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A97448B">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品目预算(元)</w:t>
            </w:r>
          </w:p>
        </w:tc>
        <w:tc>
          <w:tcPr>
            <w:tcW w:w="47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88FF38A">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最高限价(元)</w:t>
            </w:r>
          </w:p>
        </w:tc>
      </w:tr>
      <w:tr w14:paraId="170F859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283"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76C23D2">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2-1</w:t>
            </w:r>
          </w:p>
        </w:tc>
        <w:tc>
          <w:tcPr>
            <w:tcW w:w="98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A452964">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其他工程准备</w:t>
            </w:r>
          </w:p>
        </w:tc>
        <w:tc>
          <w:tcPr>
            <w:tcW w:w="172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A2A0509">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月河镇黄土岭作业区，面积402亩（天麻种植1、3、4、5、10、11、12、13小班）</w:t>
            </w:r>
          </w:p>
        </w:tc>
        <w:tc>
          <w:tcPr>
            <w:tcW w:w="36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EC13BF8">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1(项)</w:t>
            </w:r>
          </w:p>
        </w:tc>
        <w:tc>
          <w:tcPr>
            <w:tcW w:w="68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8D6E590">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详见采购文件</w:t>
            </w:r>
          </w:p>
        </w:tc>
        <w:tc>
          <w:tcPr>
            <w:tcW w:w="47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1F6E29B">
            <w:pPr>
              <w:keepNext w:val="0"/>
              <w:keepLines w:val="0"/>
              <w:widowControl/>
              <w:suppressLineNumbers w:val="0"/>
              <w:wordWrap/>
              <w:spacing w:before="0" w:beforeAutospacing="0" w:after="0" w:afterAutospacing="0" w:line="360" w:lineRule="atLeast"/>
              <w:ind w:left="0" w:right="0"/>
              <w:jc w:val="right"/>
              <w:outlineLvl w:val="9"/>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2,026,081.78</w:t>
            </w:r>
          </w:p>
        </w:tc>
        <w:tc>
          <w:tcPr>
            <w:tcW w:w="47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72A05DF">
            <w:pPr>
              <w:keepNext w:val="0"/>
              <w:keepLines w:val="0"/>
              <w:widowControl/>
              <w:suppressLineNumbers w:val="0"/>
              <w:wordWrap/>
              <w:spacing w:before="0" w:beforeAutospacing="0" w:after="0" w:afterAutospacing="0" w:line="360" w:lineRule="atLeast"/>
              <w:ind w:left="0" w:right="0"/>
              <w:jc w:val="right"/>
              <w:outlineLvl w:val="9"/>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2,026,081.78</w:t>
            </w:r>
          </w:p>
        </w:tc>
      </w:tr>
    </w:tbl>
    <w:p w14:paraId="2368F8C3">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本合同包不接受联合体投标</w:t>
      </w:r>
    </w:p>
    <w:p w14:paraId="4EE9988F">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合同履行期限：详见招标文件</w:t>
      </w:r>
    </w:p>
    <w:p w14:paraId="15277132">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合同包3(3标段-月河镇黄土岭作业区，面积348亩（天麻种植2、6、7、8、9小班）):</w:t>
      </w:r>
    </w:p>
    <w:p w14:paraId="399C6CDC">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合同包预算金额：1,710,725.60元</w:t>
      </w:r>
    </w:p>
    <w:p w14:paraId="31529E96">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合同包最高限价：1,710,725.60元</w:t>
      </w:r>
    </w:p>
    <w:tbl>
      <w:tblPr>
        <w:tblStyle w:val="28"/>
        <w:tblW w:w="4997"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481"/>
        <w:gridCol w:w="1187"/>
        <w:gridCol w:w="2747"/>
        <w:gridCol w:w="722"/>
        <w:gridCol w:w="921"/>
        <w:gridCol w:w="1680"/>
        <w:gridCol w:w="1680"/>
      </w:tblGrid>
      <w:tr w14:paraId="19BB0A2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28" w:hRule="atLeast"/>
          <w:tblHeader/>
        </w:trPr>
        <w:tc>
          <w:tcPr>
            <w:tcW w:w="288"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66174AD">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品目号</w:t>
            </w:r>
          </w:p>
        </w:tc>
        <w:tc>
          <w:tcPr>
            <w:tcW w:w="100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A6EA466">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品目名称</w:t>
            </w:r>
          </w:p>
        </w:tc>
        <w:tc>
          <w:tcPr>
            <w:tcW w:w="16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4F4D683">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采购标的</w:t>
            </w:r>
          </w:p>
        </w:tc>
        <w:tc>
          <w:tcPr>
            <w:tcW w:w="368"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83B7139">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数量（单位）</w:t>
            </w:r>
          </w:p>
        </w:tc>
        <w:tc>
          <w:tcPr>
            <w:tcW w:w="6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7620E2F">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技术规格、参数及要求</w:t>
            </w:r>
          </w:p>
        </w:tc>
        <w:tc>
          <w:tcPr>
            <w:tcW w:w="488"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8937548">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品目预算(元)</w:t>
            </w:r>
          </w:p>
        </w:tc>
        <w:tc>
          <w:tcPr>
            <w:tcW w:w="488"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FCDA412">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最高限价(元)</w:t>
            </w:r>
          </w:p>
        </w:tc>
      </w:tr>
      <w:tr w14:paraId="29D1D4D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80" w:hRule="atLeast"/>
        </w:trPr>
        <w:tc>
          <w:tcPr>
            <w:tcW w:w="288"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06BA45D">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3-1</w:t>
            </w:r>
          </w:p>
        </w:tc>
        <w:tc>
          <w:tcPr>
            <w:tcW w:w="100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41ABD3F">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其他工程准备</w:t>
            </w:r>
          </w:p>
        </w:tc>
        <w:tc>
          <w:tcPr>
            <w:tcW w:w="16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855E620">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月河镇黄土岭作业区，面积348亩（天麻种植2、6、7、8、9小班）</w:t>
            </w:r>
          </w:p>
        </w:tc>
        <w:tc>
          <w:tcPr>
            <w:tcW w:w="368"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0F46681">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1(项)</w:t>
            </w:r>
          </w:p>
        </w:tc>
        <w:tc>
          <w:tcPr>
            <w:tcW w:w="6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98AE58D">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详见采购文件</w:t>
            </w:r>
          </w:p>
        </w:tc>
        <w:tc>
          <w:tcPr>
            <w:tcW w:w="488"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1C1894A">
            <w:pPr>
              <w:keepNext w:val="0"/>
              <w:keepLines w:val="0"/>
              <w:widowControl/>
              <w:suppressLineNumbers w:val="0"/>
              <w:wordWrap/>
              <w:spacing w:before="0" w:beforeAutospacing="0" w:after="0" w:afterAutospacing="0" w:line="360" w:lineRule="atLeast"/>
              <w:ind w:left="0" w:right="0"/>
              <w:jc w:val="right"/>
              <w:outlineLvl w:val="9"/>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1,710,725.60</w:t>
            </w:r>
          </w:p>
        </w:tc>
        <w:tc>
          <w:tcPr>
            <w:tcW w:w="488"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6C142E9">
            <w:pPr>
              <w:keepNext w:val="0"/>
              <w:keepLines w:val="0"/>
              <w:widowControl/>
              <w:suppressLineNumbers w:val="0"/>
              <w:wordWrap/>
              <w:spacing w:before="0" w:beforeAutospacing="0" w:after="0" w:afterAutospacing="0" w:line="360" w:lineRule="atLeast"/>
              <w:ind w:left="0" w:right="0"/>
              <w:jc w:val="right"/>
              <w:outlineLvl w:val="9"/>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1,710,725.60</w:t>
            </w:r>
          </w:p>
        </w:tc>
      </w:tr>
    </w:tbl>
    <w:p w14:paraId="1A1CBF7B">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本合同包不接受联合体投标</w:t>
      </w:r>
    </w:p>
    <w:p w14:paraId="6D42433C">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合同履行期限：详见招标文件</w:t>
      </w:r>
    </w:p>
    <w:p w14:paraId="7D9F1D8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right="0"/>
        <w:jc w:val="left"/>
        <w:textAlignment w:val="auto"/>
        <w:outlineLvl w:val="9"/>
        <w:rPr>
          <w:rStyle w:val="31"/>
          <w:rFonts w:hint="eastAsia" w:ascii="宋体" w:hAnsi="宋体" w:eastAsia="宋体" w:cs="宋体"/>
          <w:b/>
          <w:bCs/>
          <w:i w:val="0"/>
          <w:iCs w:val="0"/>
          <w:caps w:val="0"/>
          <w:color w:val="auto"/>
          <w:spacing w:val="0"/>
          <w:sz w:val="24"/>
          <w:szCs w:val="24"/>
          <w:shd w:val="clear" w:fill="FFFFFF"/>
        </w:rPr>
      </w:pPr>
      <w:r>
        <w:rPr>
          <w:rStyle w:val="31"/>
          <w:rFonts w:hint="eastAsia" w:ascii="宋体" w:hAnsi="宋体" w:eastAsia="宋体" w:cs="宋体"/>
          <w:b/>
          <w:bCs/>
          <w:i w:val="0"/>
          <w:iCs w:val="0"/>
          <w:caps w:val="0"/>
          <w:color w:val="auto"/>
          <w:spacing w:val="0"/>
          <w:sz w:val="24"/>
          <w:szCs w:val="24"/>
          <w:shd w:val="clear" w:fill="FFFFFF"/>
        </w:rPr>
        <w:t>二、申请人的资格要求：</w:t>
      </w:r>
    </w:p>
    <w:p w14:paraId="28877634">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1.满足《中华人民共和国政府采购法》第二十二条规定;</w:t>
      </w:r>
    </w:p>
    <w:p w14:paraId="761C4625">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2.落实政府采购政策需满足的资格要求：</w:t>
      </w:r>
    </w:p>
    <w:p w14:paraId="13254B1D">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合同包1(1标段-云盖寺镇黑窑沟村作业区，面积120亩（魔芋种植1、2、3小班）)落实政府采购政策需满足的资格要求如下:</w:t>
      </w:r>
    </w:p>
    <w:p w14:paraId="5832D055">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（1）《政府采购促进中小企业发展管理办法》（财库〔2020〕46号）；</w:t>
      </w:r>
    </w:p>
    <w:p w14:paraId="2299DACF">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（2）《财政部司法部关于政府采购支持监狱企业发展有关问题的通知》（财库〔2014〕68号）；</w:t>
      </w:r>
    </w:p>
    <w:p w14:paraId="66BD77FF">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（3）《关于促进残疾人就业政府采购政策的通知》（财库〔2017〕141号）；</w:t>
      </w:r>
    </w:p>
    <w:p w14:paraId="1BC57BEC">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（4）《节能产品政府采购实施意见》（财库〔2004〕185号）；</w:t>
      </w:r>
    </w:p>
    <w:p w14:paraId="2B40C510">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（5）《环境标志产品政府采购实施的意见》（财库〔2006〕90号）；</w:t>
      </w:r>
    </w:p>
    <w:p w14:paraId="322575F3">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（6）《国务院办公厅关于建立政府强制采购节能产品制度的通知》（国办发〔2007〕51号）；</w:t>
      </w:r>
    </w:p>
    <w:p w14:paraId="180EF76D">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（7）财政部发展改革委生态环境部市场监管总局关于调整优化节能产品、环境标志产品政府采购执行机制的通知（财库〔2019〕9号）；</w:t>
      </w:r>
    </w:p>
    <w:p w14:paraId="48ABB4A6">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（8）《关于印发环境标志产品政府采购品目清单的通知》--（财库〔2019〕18号）；</w:t>
      </w:r>
    </w:p>
    <w:p w14:paraId="761225C1">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（9）《关于印发节能产品政府采购品目清单的通知》--（财库〔2019〕19号）；</w:t>
      </w:r>
    </w:p>
    <w:p w14:paraId="60C5B4B4">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（10）《关于发布参与实施政府采购节能产品、环境标志产品认证机构名录的公告》—2019年第16号；</w:t>
      </w:r>
    </w:p>
    <w:p w14:paraId="2DBA611E">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（11）《关于运用政府采购政策支持乡村产业振兴的通知》（财库〔2021〕19号）；</w:t>
      </w:r>
    </w:p>
    <w:p w14:paraId="0C66D99C">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（12）陕西省财政厅关于印发《陕西省中小企业政府采购信用融资办法》（陕财办采〔2018〕23号），相关政策、业务流程、办理平台（详见http://www.ccgp-shaanxi.gov.cn/zcdservice/zcd/shanxi/）；</w:t>
      </w:r>
    </w:p>
    <w:p w14:paraId="4BB179B1">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（13）《陕西省财政厅关于加快推进我省中小企业政府采购信用融资工作的通知》（陕财办采〔2020〕15号）；</w:t>
      </w:r>
    </w:p>
    <w:p w14:paraId="1911AC2E">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（14）《关于进一步加强政府绿色采购有关问题的通知》（陕财办采〔2021〕29号）</w:t>
      </w:r>
    </w:p>
    <w:p w14:paraId="76EB15F0">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（15）《陕西省财政厅陕西省工业和信息化厅关于运用政府采购政策支持首台（套）及创新产品有关事项的通知》（陕财办采〔2021〕17号）；</w:t>
      </w:r>
    </w:p>
    <w:p w14:paraId="4F9191F9">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（16）《关于进一步加大政府采购支持中小企业力度的通知》（财库〔2022〕19号）、《关于落实政府采购支持中小企业政策有关事项的通知》（陕财办采函〔2022〕10号）；</w:t>
      </w:r>
    </w:p>
    <w:p w14:paraId="06ADEF77">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（17）其他需要落实的政府采购政策。</w:t>
      </w:r>
    </w:p>
    <w:p w14:paraId="76BDE25D">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合同包2(2标段-月河镇黄土岭作业区，面积402亩（天麻种植1、3、4、5、10、11、12、13小班）)落实政府采购政策需满足的资格要求如下:</w:t>
      </w:r>
    </w:p>
    <w:p w14:paraId="35C5E457">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同合同包1。</w:t>
      </w:r>
    </w:p>
    <w:p w14:paraId="1B7A0B00">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合同包3(3标段-月河镇黄土岭作业区，面积348亩（天麻种植2、6、7、8、9小班）)落实政府采购政策需满足的资格要求如下:</w:t>
      </w:r>
    </w:p>
    <w:p w14:paraId="409200CE">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同合同包1。</w:t>
      </w:r>
    </w:p>
    <w:p w14:paraId="7127AC13">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3.本项目的特定资格要求：</w:t>
      </w:r>
    </w:p>
    <w:p w14:paraId="4B746303">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合同包1(1标段-云盖寺镇黑窑沟村作业区，面积120亩（魔芋种植1、2、3小班）)特定资格要求如下:</w:t>
      </w:r>
    </w:p>
    <w:p w14:paraId="060FAD78">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（1）提供合格有效的法人或者其他组织的营业执照等证明文件，自然人的身份证明；</w:t>
      </w:r>
    </w:p>
    <w:p w14:paraId="1DD1D861">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（2）提供法定代表人授权书（附法定代表人、被授权人身份证复印件，法定代表人直接参加投标，须提供法定代表人身份证明及身份证复印件）；</w:t>
      </w:r>
    </w:p>
    <w:p w14:paraId="26E6EBB8">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（3）提供2023或2024年度或的财务审计报告（成立时间至提交投标文件截止时间不足一年的可提供成立后任意时段的资产负债表）或开标时间前六个月内银行出具的资信证明；</w:t>
      </w:r>
    </w:p>
    <w:p w14:paraId="570C8EFE">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（4）税收缴纳证明：提供投标截止日前近一年内任意一个月的纳税证明或完税证明（任意税种），依法免税的单位应提供相关证明材料；</w:t>
      </w:r>
    </w:p>
    <w:p w14:paraId="3CFDF386">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（5）社会保障资金缴纳证明：提供投标截止日前近一年内任意一个月的社会保障资金缴存单据或社保机构开具的社会保险参保缴费情况证明，依法不需要缴纳社会保障资金的单位应提供相关证明材料；</w:t>
      </w:r>
    </w:p>
    <w:p w14:paraId="430E9026">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（6）提供具有履行本合同所必需的设备和专业技术能力的说明及承诺书；</w:t>
      </w:r>
    </w:p>
    <w:p w14:paraId="77680759">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（7）供应商通过“信用中国”网站(www.creditchina.gov.cn)、中国政府采购网(www.ccgp.gov.cn)等查询相关主体信用记录；</w:t>
      </w:r>
    </w:p>
    <w:p w14:paraId="653F4454">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（8）参加政府采购活动前3年内，在经营活动中没有重大违法记录的书面声明；</w:t>
      </w:r>
    </w:p>
    <w:p w14:paraId="1CA01528">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（9）供应商须提供中小企业声明函；</w:t>
      </w:r>
    </w:p>
    <w:p w14:paraId="6BBED809">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（10）本项目不接受联合体投标（提供承诺书）。</w:t>
      </w:r>
    </w:p>
    <w:p w14:paraId="4F900AD2">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合同包2(2标段-月河镇黄土岭作业区，面积402亩（天麻种植1、3、4、5、10、11、12、13小班）)特定资格要求如下:</w:t>
      </w:r>
    </w:p>
    <w:p w14:paraId="507CF59A">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同合同包1。</w:t>
      </w:r>
    </w:p>
    <w:p w14:paraId="633D4AE4">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合同包3(3标段-月河镇黄土岭作业区，面积348亩（天麻种植2、6、7、8、9小班）)特定资格要求如下:</w:t>
      </w:r>
    </w:p>
    <w:p w14:paraId="6B6AE04B">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同合同包1。</w:t>
      </w:r>
    </w:p>
    <w:p w14:paraId="5A7A9F3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right="0"/>
        <w:jc w:val="left"/>
        <w:textAlignment w:val="auto"/>
        <w:outlineLvl w:val="9"/>
        <w:rPr>
          <w:rStyle w:val="31"/>
          <w:rFonts w:hint="eastAsia" w:ascii="宋体" w:hAnsi="宋体" w:eastAsia="宋体" w:cs="宋体"/>
          <w:b/>
          <w:bCs/>
          <w:i w:val="0"/>
          <w:iCs w:val="0"/>
          <w:caps w:val="0"/>
          <w:color w:val="auto"/>
          <w:spacing w:val="0"/>
          <w:sz w:val="24"/>
          <w:szCs w:val="24"/>
          <w:shd w:val="clear" w:fill="FFFFFF"/>
        </w:rPr>
      </w:pPr>
      <w:r>
        <w:rPr>
          <w:rStyle w:val="31"/>
          <w:rFonts w:hint="eastAsia" w:ascii="宋体" w:hAnsi="宋体" w:eastAsia="宋体" w:cs="宋体"/>
          <w:b/>
          <w:bCs/>
          <w:i w:val="0"/>
          <w:iCs w:val="0"/>
          <w:caps w:val="0"/>
          <w:color w:val="auto"/>
          <w:spacing w:val="0"/>
          <w:sz w:val="24"/>
          <w:szCs w:val="24"/>
          <w:shd w:val="clear" w:fill="FFFFFF"/>
        </w:rPr>
        <w:t>三、获取招标文件</w:t>
      </w:r>
    </w:p>
    <w:p w14:paraId="7F0383C9">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时间：2025年05月21日至2025年05月27日，每天上午09:00:00至12:00:00，下午14:00:00至17:00:00（北京时间）</w:t>
      </w:r>
    </w:p>
    <w:p w14:paraId="68511A71">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途径：陕西省西安市经济技术开发区未央路171-1号银池道拉斯财富中心21楼03室</w:t>
      </w:r>
    </w:p>
    <w:p w14:paraId="34888939">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方式：现场获取</w:t>
      </w:r>
    </w:p>
    <w:p w14:paraId="1F12BB4D">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售价：0元</w:t>
      </w:r>
    </w:p>
    <w:p w14:paraId="5FEC962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right="0"/>
        <w:jc w:val="left"/>
        <w:textAlignment w:val="auto"/>
        <w:outlineLvl w:val="9"/>
        <w:rPr>
          <w:rStyle w:val="31"/>
          <w:rFonts w:hint="eastAsia" w:ascii="宋体" w:hAnsi="宋体" w:eastAsia="宋体" w:cs="宋体"/>
          <w:b/>
          <w:bCs/>
          <w:i w:val="0"/>
          <w:iCs w:val="0"/>
          <w:caps w:val="0"/>
          <w:color w:val="auto"/>
          <w:spacing w:val="0"/>
          <w:sz w:val="24"/>
          <w:szCs w:val="24"/>
          <w:shd w:val="clear" w:fill="FFFFFF"/>
        </w:rPr>
      </w:pPr>
      <w:r>
        <w:rPr>
          <w:rStyle w:val="31"/>
          <w:rFonts w:hint="eastAsia" w:ascii="宋体" w:hAnsi="宋体" w:eastAsia="宋体" w:cs="宋体"/>
          <w:b/>
          <w:bCs/>
          <w:i w:val="0"/>
          <w:iCs w:val="0"/>
          <w:caps w:val="0"/>
          <w:color w:val="auto"/>
          <w:spacing w:val="0"/>
          <w:sz w:val="24"/>
          <w:szCs w:val="24"/>
          <w:shd w:val="clear" w:fill="FFFFFF"/>
        </w:rPr>
        <w:t>四、提交投标文件截止时间、开标时间和地点</w:t>
      </w:r>
    </w:p>
    <w:p w14:paraId="1323C679">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时间：2025年06月10日09时30分00秒（北京时间）</w:t>
      </w:r>
    </w:p>
    <w:p w14:paraId="54046A33">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提交投标文件地点：陕西省西安市经济技术开发区未央路171-1号银池道拉斯财富中心21楼03室</w:t>
      </w:r>
    </w:p>
    <w:p w14:paraId="330896E4">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开标地点：陕西省西安市经济技术开发区未央路171-1号银池道拉斯财富中心21楼03室</w:t>
      </w:r>
    </w:p>
    <w:p w14:paraId="51134B1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right="0"/>
        <w:jc w:val="left"/>
        <w:textAlignment w:val="auto"/>
        <w:outlineLvl w:val="9"/>
        <w:rPr>
          <w:rStyle w:val="31"/>
          <w:rFonts w:hint="eastAsia" w:ascii="宋体" w:hAnsi="宋体" w:eastAsia="宋体" w:cs="宋体"/>
          <w:b/>
          <w:bCs/>
          <w:i w:val="0"/>
          <w:iCs w:val="0"/>
          <w:caps w:val="0"/>
          <w:color w:val="auto"/>
          <w:spacing w:val="0"/>
          <w:sz w:val="24"/>
          <w:szCs w:val="24"/>
          <w:shd w:val="clear" w:fill="FFFFFF"/>
        </w:rPr>
      </w:pPr>
      <w:r>
        <w:rPr>
          <w:rStyle w:val="31"/>
          <w:rFonts w:hint="eastAsia" w:ascii="宋体" w:hAnsi="宋体" w:eastAsia="宋体" w:cs="宋体"/>
          <w:b/>
          <w:bCs/>
          <w:i w:val="0"/>
          <w:iCs w:val="0"/>
          <w:caps w:val="0"/>
          <w:color w:val="auto"/>
          <w:spacing w:val="0"/>
          <w:sz w:val="24"/>
          <w:szCs w:val="24"/>
          <w:shd w:val="clear" w:fill="FFFFFF"/>
        </w:rPr>
        <w:t>五、公告期限</w:t>
      </w:r>
    </w:p>
    <w:p w14:paraId="549CDE42">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自本公告发布之日起5个工作日。</w:t>
      </w:r>
    </w:p>
    <w:p w14:paraId="03206E8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right="0"/>
        <w:jc w:val="left"/>
        <w:textAlignment w:val="auto"/>
        <w:outlineLvl w:val="9"/>
        <w:rPr>
          <w:rStyle w:val="31"/>
          <w:rFonts w:hint="eastAsia" w:ascii="宋体" w:hAnsi="宋体" w:eastAsia="宋体" w:cs="宋体"/>
          <w:b/>
          <w:bCs/>
          <w:i w:val="0"/>
          <w:iCs w:val="0"/>
          <w:caps w:val="0"/>
          <w:color w:val="auto"/>
          <w:spacing w:val="0"/>
          <w:sz w:val="24"/>
          <w:szCs w:val="24"/>
          <w:shd w:val="clear" w:fill="FFFFFF"/>
        </w:rPr>
      </w:pPr>
      <w:r>
        <w:rPr>
          <w:rStyle w:val="31"/>
          <w:rFonts w:hint="eastAsia" w:ascii="宋体" w:hAnsi="宋体" w:eastAsia="宋体" w:cs="宋体"/>
          <w:b/>
          <w:bCs/>
          <w:i w:val="0"/>
          <w:iCs w:val="0"/>
          <w:caps w:val="0"/>
          <w:color w:val="auto"/>
          <w:spacing w:val="0"/>
          <w:sz w:val="24"/>
          <w:szCs w:val="24"/>
          <w:shd w:val="clear" w:fill="FFFFFF"/>
        </w:rPr>
        <w:t>六、其他补充事宜</w:t>
      </w:r>
    </w:p>
    <w:p w14:paraId="6A75CF86">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（1）供应商领取标书时，请携带单位介绍信及经办人身份证原件及复印件加盖公章。</w:t>
      </w:r>
    </w:p>
    <w:p w14:paraId="2D7F8883">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（2）请投标人按照《陕西省财政厅关于政府采购供应商注册登记有关事项的通知》中的要求，通过陕西省政府采购网（http://www.ccgp-shaanxi.gov.cn/）注册登记加入陕西省政府采购供应商库。</w:t>
      </w:r>
    </w:p>
    <w:p w14:paraId="5C9D1BD9">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（3）本项目为专门面向中小企业。</w:t>
      </w:r>
    </w:p>
    <w:p w14:paraId="1FA1BE37">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（4）本项目允许投标人在多个标段同时投标，但只允许中一个标段。</w:t>
      </w:r>
    </w:p>
    <w:p w14:paraId="2E74A28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right="0"/>
        <w:jc w:val="left"/>
        <w:textAlignment w:val="auto"/>
        <w:outlineLvl w:val="9"/>
        <w:rPr>
          <w:rStyle w:val="31"/>
          <w:rFonts w:hint="eastAsia" w:ascii="宋体" w:hAnsi="宋体" w:eastAsia="宋体" w:cs="宋体"/>
          <w:b/>
          <w:bCs/>
          <w:i w:val="0"/>
          <w:iCs w:val="0"/>
          <w:caps w:val="0"/>
          <w:color w:val="auto"/>
          <w:spacing w:val="0"/>
          <w:sz w:val="24"/>
          <w:szCs w:val="24"/>
          <w:shd w:val="clear" w:fill="FFFFFF"/>
        </w:rPr>
      </w:pPr>
      <w:r>
        <w:rPr>
          <w:rStyle w:val="31"/>
          <w:rFonts w:hint="eastAsia" w:ascii="宋体" w:hAnsi="宋体" w:eastAsia="宋体" w:cs="宋体"/>
          <w:b/>
          <w:bCs/>
          <w:i w:val="0"/>
          <w:iCs w:val="0"/>
          <w:caps w:val="0"/>
          <w:color w:val="auto"/>
          <w:spacing w:val="0"/>
          <w:sz w:val="24"/>
          <w:szCs w:val="24"/>
          <w:shd w:val="clear" w:fill="FFFFFF"/>
        </w:rPr>
        <w:t>七、对本次招标提出询问，请按以下方式联系。</w:t>
      </w:r>
    </w:p>
    <w:p w14:paraId="6A068F6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left"/>
        <w:textAlignment w:val="auto"/>
        <w:outlineLvl w:val="9"/>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rPr>
        <w:t>1.采购人信息</w:t>
      </w:r>
    </w:p>
    <w:p w14:paraId="7E967E9E">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名称：镇安县黑窑沟国有林场</w:t>
      </w:r>
    </w:p>
    <w:p w14:paraId="62F955E6">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地址：陕西省商洛市镇安县永乐街道办教场路56号</w:t>
      </w:r>
    </w:p>
    <w:p w14:paraId="52FDBE7E">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联系方式：13098238866</w:t>
      </w:r>
    </w:p>
    <w:p w14:paraId="59BA593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left"/>
        <w:textAlignment w:val="auto"/>
        <w:outlineLvl w:val="9"/>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rPr>
        <w:t>2.采购代理机构信息</w:t>
      </w:r>
    </w:p>
    <w:p w14:paraId="12F58FF0">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名称：陕西至诚项目管理集团有限公司</w:t>
      </w:r>
    </w:p>
    <w:p w14:paraId="0FF7887C">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地址：陕西省西安市经济技术开发区未央路171-1号银池道拉斯财富中心21楼03室</w:t>
      </w:r>
    </w:p>
    <w:p w14:paraId="43D9DC43">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联系方式：029-88219779</w:t>
      </w:r>
    </w:p>
    <w:p w14:paraId="01A90CA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left"/>
        <w:textAlignment w:val="auto"/>
        <w:outlineLvl w:val="9"/>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rPr>
        <w:t>3.项目联系方式</w:t>
      </w:r>
    </w:p>
    <w:p w14:paraId="31E0C0CD">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项目联系人：康乐、孙洋、常瑛</w:t>
      </w:r>
    </w:p>
    <w:p w14:paraId="07D7C4C1">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电话：029-88219779</w:t>
      </w:r>
    </w:p>
    <w:p w14:paraId="557B8D02">
      <w:pPr>
        <w:keepNext w:val="0"/>
        <w:keepLines w:val="0"/>
        <w:pageBreakBefore w:val="0"/>
        <w:kinsoku/>
        <w:overflowPunct/>
        <w:topLinePunct w:val="0"/>
        <w:autoSpaceDE/>
        <w:autoSpaceDN/>
        <w:bidi w:val="0"/>
        <w:adjustRightInd/>
        <w:snapToGrid w:val="0"/>
        <w:spacing w:line="360" w:lineRule="auto"/>
        <w:ind w:left="0" w:firstLine="480" w:firstLineChars="200"/>
        <w:jc w:val="right"/>
        <w:textAlignment w:val="auto"/>
        <w:outlineLvl w:val="9"/>
        <w:rPr>
          <w:rFonts w:hint="eastAsia" w:ascii="宋体" w:hAnsi="宋体" w:eastAsia="宋体" w:cs="宋体"/>
          <w:i w:val="0"/>
          <w:iCs w:val="0"/>
          <w:caps w:val="0"/>
          <w:color w:val="333333"/>
          <w:spacing w:val="0"/>
          <w:sz w:val="24"/>
          <w:szCs w:val="24"/>
          <w:highlight w:val="none"/>
          <w:shd w:val="clear" w:fill="FFFFFF"/>
        </w:rPr>
      </w:pPr>
    </w:p>
    <w:p w14:paraId="0FEADD95">
      <w:pPr>
        <w:keepNext w:val="0"/>
        <w:keepLines w:val="0"/>
        <w:pageBreakBefore w:val="0"/>
        <w:kinsoku/>
        <w:overflowPunct/>
        <w:topLinePunct w:val="0"/>
        <w:autoSpaceDE/>
        <w:autoSpaceDN/>
        <w:bidi w:val="0"/>
        <w:adjustRightInd/>
        <w:snapToGrid w:val="0"/>
        <w:spacing w:line="360" w:lineRule="auto"/>
        <w:ind w:left="0" w:firstLine="480" w:firstLineChars="200"/>
        <w:jc w:val="righ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陕西至诚项目管理集团有限公司</w:t>
      </w:r>
    </w:p>
    <w:p w14:paraId="7523851C">
      <w:pPr>
        <w:keepNext w:val="0"/>
        <w:keepLines w:val="0"/>
        <w:pageBreakBefore w:val="0"/>
        <w:kinsoku/>
        <w:overflowPunct/>
        <w:topLinePunct w:val="0"/>
        <w:autoSpaceDE/>
        <w:autoSpaceDN/>
        <w:bidi w:val="0"/>
        <w:adjustRightInd/>
        <w:snapToGrid w:val="0"/>
        <w:spacing w:line="360" w:lineRule="auto"/>
        <w:ind w:left="0" w:firstLine="480" w:firstLineChars="200"/>
        <w:jc w:val="righ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highlight w:val="none"/>
          <w:shd w:val="clear" w:fill="FFFFFF"/>
          <w:lang w:val="en-US" w:eastAsia="zh-CN"/>
        </w:rPr>
        <w:t>2025年05月</w:t>
      </w:r>
      <w:r>
        <w:rPr>
          <w:rFonts w:hint="eastAsia" w:ascii="宋体" w:hAnsi="宋体" w:cs="宋体"/>
          <w:i w:val="0"/>
          <w:iCs w:val="0"/>
          <w:caps w:val="0"/>
          <w:color w:val="333333"/>
          <w:spacing w:val="0"/>
          <w:sz w:val="24"/>
          <w:szCs w:val="24"/>
          <w:highlight w:val="none"/>
          <w:shd w:val="clear" w:fill="FFFFFF"/>
          <w:lang w:val="en-US" w:eastAsia="zh-CN"/>
        </w:rPr>
        <w:t>20</w:t>
      </w:r>
      <w:r>
        <w:rPr>
          <w:rFonts w:hint="eastAsia" w:ascii="宋体" w:hAnsi="宋体" w:eastAsia="宋体" w:cs="宋体"/>
          <w:i w:val="0"/>
          <w:iCs w:val="0"/>
          <w:caps w:val="0"/>
          <w:color w:val="333333"/>
          <w:spacing w:val="0"/>
          <w:sz w:val="24"/>
          <w:szCs w:val="24"/>
          <w:highlight w:val="none"/>
          <w:shd w:val="clear" w:fill="FFFFFF"/>
          <w:lang w:val="en-US" w:eastAsia="zh-CN"/>
        </w:rPr>
        <w:t>日</w:t>
      </w:r>
    </w:p>
    <w:p w14:paraId="2D86BB8D">
      <w:pPr>
        <w:pStyle w:val="25"/>
        <w:widowControl/>
        <w:spacing w:line="360" w:lineRule="auto"/>
        <w:ind w:firstLine="480"/>
        <w:jc w:val="right"/>
        <w:textAlignment w:val="baseline"/>
        <w:rPr>
          <w:rFonts w:ascii="宋体" w:hAnsi="宋体" w:cs="宋体"/>
          <w:color w:val="333333"/>
          <w:sz w:val="21"/>
          <w:szCs w:val="21"/>
          <w:highlight w:val="none"/>
          <w:shd w:val="clear" w:color="auto" w:fill="FFFFFF"/>
        </w:rPr>
      </w:pPr>
    </w:p>
    <w:p w14:paraId="5F4AA0EA">
      <w:pPr>
        <w:spacing w:line="360" w:lineRule="auto"/>
        <w:rPr>
          <w:rFonts w:ascii="宋体" w:hAnsi="宋体" w:cs="宋体"/>
          <w:szCs w:val="21"/>
          <w:highlight w:val="none"/>
        </w:rPr>
      </w:pPr>
    </w:p>
    <w:p w14:paraId="6159F2C6">
      <w:pPr>
        <w:pStyle w:val="3"/>
        <w:keepNext w:val="0"/>
        <w:pageBreakBefore/>
        <w:spacing w:line="350" w:lineRule="auto"/>
        <w:jc w:val="center"/>
        <w:rPr>
          <w:rFonts w:asciiTheme="minorEastAsia" w:hAnsiTheme="minorEastAsia" w:eastAsiaTheme="minorEastAsia" w:cstheme="minorEastAsia"/>
          <w:sz w:val="36"/>
          <w:szCs w:val="20"/>
          <w:highlight w:val="none"/>
        </w:rPr>
      </w:pPr>
      <w:r>
        <w:rPr>
          <w:rFonts w:hint="eastAsia" w:asciiTheme="minorEastAsia" w:hAnsiTheme="minorEastAsia" w:eastAsiaTheme="minorEastAsia" w:cstheme="minorEastAsia"/>
          <w:sz w:val="36"/>
          <w:szCs w:val="20"/>
          <w:highlight w:val="none"/>
        </w:rPr>
        <w:t>第二章  投标人须知</w:t>
      </w:r>
      <w:bookmarkEnd w:id="3"/>
      <w:bookmarkEnd w:id="4"/>
      <w:bookmarkEnd w:id="5"/>
    </w:p>
    <w:p w14:paraId="680282EA">
      <w:pPr>
        <w:spacing w:line="360" w:lineRule="auto"/>
        <w:jc w:val="center"/>
        <w:outlineLvl w:val="1"/>
        <w:rPr>
          <w:rFonts w:asciiTheme="minorEastAsia" w:hAnsiTheme="minorEastAsia" w:eastAsiaTheme="minorEastAsia" w:cstheme="minorEastAsia"/>
          <w:b/>
          <w:bCs/>
          <w:sz w:val="28"/>
          <w:szCs w:val="28"/>
          <w:highlight w:val="none"/>
        </w:rPr>
      </w:pPr>
      <w:bookmarkStart w:id="6" w:name="_Toc420591642"/>
      <w:bookmarkStart w:id="7" w:name="_Toc6196"/>
      <w:bookmarkStart w:id="8" w:name="_Toc421778364"/>
      <w:bookmarkStart w:id="9" w:name="_Toc19675"/>
      <w:r>
        <w:rPr>
          <w:rFonts w:hint="eastAsia" w:asciiTheme="minorEastAsia" w:hAnsiTheme="minorEastAsia" w:eastAsiaTheme="minorEastAsia" w:cstheme="minorEastAsia"/>
          <w:b/>
          <w:bCs/>
          <w:sz w:val="28"/>
          <w:szCs w:val="28"/>
          <w:highlight w:val="none"/>
        </w:rPr>
        <w:t>投标人须知前附表</w:t>
      </w:r>
      <w:bookmarkEnd w:id="6"/>
      <w:bookmarkEnd w:id="7"/>
      <w:bookmarkEnd w:id="8"/>
      <w:bookmarkEnd w:id="9"/>
    </w:p>
    <w:tbl>
      <w:tblPr>
        <w:tblStyle w:val="28"/>
        <w:tblW w:w="90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1966"/>
        <w:gridCol w:w="6053"/>
      </w:tblGrid>
      <w:tr w14:paraId="11FDF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85" w:type="dxa"/>
            <w:vAlign w:val="center"/>
          </w:tcPr>
          <w:p w14:paraId="6387364E">
            <w:pPr>
              <w:spacing w:line="360" w:lineRule="auto"/>
              <w:jc w:val="center"/>
              <w:rPr>
                <w:rFonts w:ascii="宋体" w:hAnsi="宋体" w:cs="宋体"/>
                <w:b/>
                <w:bCs/>
                <w:sz w:val="24"/>
                <w:szCs w:val="24"/>
                <w:highlight w:val="none"/>
              </w:rPr>
            </w:pPr>
            <w:r>
              <w:rPr>
                <w:rFonts w:hint="eastAsia" w:ascii="宋体" w:hAnsi="宋体" w:cs="宋体"/>
                <w:b/>
                <w:bCs/>
                <w:sz w:val="24"/>
                <w:szCs w:val="24"/>
                <w:highlight w:val="none"/>
              </w:rPr>
              <w:t>条款号</w:t>
            </w:r>
          </w:p>
        </w:tc>
        <w:tc>
          <w:tcPr>
            <w:tcW w:w="1966" w:type="dxa"/>
            <w:vAlign w:val="center"/>
          </w:tcPr>
          <w:p w14:paraId="3CE9F0D6">
            <w:pPr>
              <w:spacing w:line="360" w:lineRule="auto"/>
              <w:jc w:val="center"/>
              <w:rPr>
                <w:rFonts w:ascii="宋体" w:hAnsi="宋体" w:cs="宋体"/>
                <w:b/>
                <w:bCs/>
                <w:sz w:val="24"/>
                <w:szCs w:val="24"/>
                <w:highlight w:val="none"/>
              </w:rPr>
            </w:pPr>
            <w:r>
              <w:rPr>
                <w:rFonts w:hint="eastAsia" w:ascii="宋体" w:hAnsi="宋体" w:cs="宋体"/>
                <w:b/>
                <w:bCs/>
                <w:sz w:val="24"/>
                <w:szCs w:val="24"/>
                <w:highlight w:val="none"/>
              </w:rPr>
              <w:t>条款名称</w:t>
            </w:r>
          </w:p>
        </w:tc>
        <w:tc>
          <w:tcPr>
            <w:tcW w:w="6053" w:type="dxa"/>
            <w:vAlign w:val="center"/>
          </w:tcPr>
          <w:p w14:paraId="6103602E">
            <w:pPr>
              <w:spacing w:line="360" w:lineRule="auto"/>
              <w:jc w:val="center"/>
              <w:rPr>
                <w:rFonts w:ascii="宋体" w:hAnsi="宋体" w:cs="宋体"/>
                <w:b/>
                <w:bCs/>
                <w:sz w:val="24"/>
                <w:szCs w:val="24"/>
                <w:highlight w:val="none"/>
              </w:rPr>
            </w:pPr>
            <w:r>
              <w:rPr>
                <w:rFonts w:hint="eastAsia" w:ascii="宋体" w:hAnsi="宋体" w:cs="宋体"/>
                <w:b/>
                <w:bCs/>
                <w:sz w:val="24"/>
                <w:szCs w:val="24"/>
                <w:highlight w:val="none"/>
              </w:rPr>
              <w:t>编列内容</w:t>
            </w:r>
          </w:p>
        </w:tc>
      </w:tr>
      <w:tr w14:paraId="69AE3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985" w:type="dxa"/>
            <w:vAlign w:val="center"/>
          </w:tcPr>
          <w:p w14:paraId="18C576CF">
            <w:pPr>
              <w:spacing w:line="360" w:lineRule="auto"/>
              <w:jc w:val="center"/>
              <w:rPr>
                <w:rFonts w:ascii="宋体" w:hAnsi="宋体" w:cs="宋体"/>
                <w:sz w:val="24"/>
                <w:szCs w:val="24"/>
                <w:highlight w:val="none"/>
              </w:rPr>
            </w:pPr>
            <w:r>
              <w:rPr>
                <w:rFonts w:hint="eastAsia" w:ascii="宋体" w:hAnsi="宋体" w:cs="宋体"/>
                <w:sz w:val="24"/>
                <w:szCs w:val="24"/>
                <w:highlight w:val="none"/>
              </w:rPr>
              <w:t>1.1.2</w:t>
            </w:r>
          </w:p>
        </w:tc>
        <w:tc>
          <w:tcPr>
            <w:tcW w:w="1966" w:type="dxa"/>
            <w:vAlign w:val="center"/>
          </w:tcPr>
          <w:p w14:paraId="2BCE6EA0">
            <w:pPr>
              <w:spacing w:line="360" w:lineRule="auto"/>
              <w:jc w:val="center"/>
              <w:rPr>
                <w:rFonts w:ascii="宋体" w:hAnsi="宋体" w:cs="宋体"/>
                <w:sz w:val="24"/>
                <w:szCs w:val="24"/>
                <w:highlight w:val="none"/>
              </w:rPr>
            </w:pPr>
            <w:r>
              <w:rPr>
                <w:rFonts w:hint="eastAsia" w:ascii="宋体" w:hAnsi="宋体" w:cs="宋体"/>
                <w:sz w:val="24"/>
                <w:szCs w:val="24"/>
                <w:highlight w:val="none"/>
              </w:rPr>
              <w:t>招标人</w:t>
            </w:r>
          </w:p>
        </w:tc>
        <w:tc>
          <w:tcPr>
            <w:tcW w:w="6053" w:type="dxa"/>
            <w:vAlign w:val="center"/>
          </w:tcPr>
          <w:p w14:paraId="6D8069F3">
            <w:pPr>
              <w:spacing w:line="360" w:lineRule="auto"/>
              <w:rPr>
                <w:rFonts w:hint="eastAsia" w:ascii="宋体" w:hAnsi="宋体" w:eastAsia="宋体" w:cs="宋体"/>
                <w:sz w:val="24"/>
                <w:szCs w:val="24"/>
                <w:highlight w:val="none"/>
                <w:lang w:eastAsia="zh-CN"/>
              </w:rPr>
            </w:pPr>
            <w:r>
              <w:rPr>
                <w:rFonts w:hint="eastAsia" w:ascii="宋体" w:hAnsi="宋体" w:cs="宋体"/>
                <w:sz w:val="24"/>
                <w:szCs w:val="24"/>
                <w:highlight w:val="none"/>
              </w:rPr>
              <w:t>招标人：</w:t>
            </w:r>
            <w:r>
              <w:rPr>
                <w:rFonts w:hint="eastAsia" w:ascii="宋体" w:hAnsi="宋体" w:cs="宋体"/>
                <w:sz w:val="24"/>
                <w:szCs w:val="24"/>
                <w:highlight w:val="none"/>
                <w:lang w:eastAsia="zh-CN"/>
              </w:rPr>
              <w:t>镇安县黑窑沟国有林场</w:t>
            </w:r>
          </w:p>
          <w:p w14:paraId="2381AA21">
            <w:pPr>
              <w:spacing w:line="360" w:lineRule="auto"/>
              <w:rPr>
                <w:rFonts w:hint="eastAsia" w:ascii="宋体" w:hAnsi="宋体" w:eastAsia="宋体" w:cs="宋体"/>
                <w:sz w:val="24"/>
                <w:szCs w:val="24"/>
                <w:highlight w:val="none"/>
                <w:lang w:val="en-US" w:eastAsia="zh-CN"/>
              </w:rPr>
            </w:pPr>
            <w:r>
              <w:rPr>
                <w:rFonts w:hint="eastAsia" w:ascii="宋体" w:hAnsi="宋体" w:cs="宋体"/>
                <w:sz w:val="24"/>
                <w:szCs w:val="24"/>
                <w:highlight w:val="none"/>
              </w:rPr>
              <w:t>地  址：</w:t>
            </w:r>
            <w:r>
              <w:rPr>
                <w:rFonts w:hint="eastAsia" w:ascii="宋体" w:hAnsi="宋体" w:cs="宋体"/>
                <w:sz w:val="24"/>
                <w:szCs w:val="24"/>
                <w:highlight w:val="none"/>
                <w:lang w:eastAsia="zh-CN"/>
              </w:rPr>
              <w:t>陕西省商洛市镇安县永乐街道办教场路56号</w:t>
            </w:r>
          </w:p>
        </w:tc>
      </w:tr>
      <w:tr w14:paraId="73BCD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985" w:type="dxa"/>
            <w:vAlign w:val="center"/>
          </w:tcPr>
          <w:p w14:paraId="389F69D6">
            <w:pPr>
              <w:spacing w:line="360" w:lineRule="auto"/>
              <w:jc w:val="center"/>
              <w:rPr>
                <w:rFonts w:ascii="宋体" w:hAnsi="宋体" w:cs="宋体"/>
                <w:sz w:val="24"/>
                <w:szCs w:val="24"/>
                <w:highlight w:val="none"/>
              </w:rPr>
            </w:pPr>
            <w:r>
              <w:rPr>
                <w:rFonts w:hint="eastAsia" w:ascii="宋体" w:hAnsi="宋体" w:cs="宋体"/>
                <w:sz w:val="24"/>
                <w:szCs w:val="24"/>
                <w:highlight w:val="none"/>
              </w:rPr>
              <w:t>1.1.3</w:t>
            </w:r>
          </w:p>
        </w:tc>
        <w:tc>
          <w:tcPr>
            <w:tcW w:w="1966" w:type="dxa"/>
            <w:vAlign w:val="center"/>
          </w:tcPr>
          <w:p w14:paraId="7D57943D">
            <w:pPr>
              <w:spacing w:line="360" w:lineRule="auto"/>
              <w:jc w:val="center"/>
              <w:rPr>
                <w:rFonts w:ascii="宋体" w:hAnsi="宋体" w:cs="宋体"/>
                <w:sz w:val="24"/>
                <w:szCs w:val="24"/>
                <w:highlight w:val="none"/>
              </w:rPr>
            </w:pPr>
            <w:r>
              <w:rPr>
                <w:rFonts w:hint="eastAsia" w:ascii="宋体" w:hAnsi="宋体" w:cs="宋体"/>
                <w:sz w:val="24"/>
                <w:szCs w:val="24"/>
                <w:highlight w:val="none"/>
              </w:rPr>
              <w:t>招标代理机构</w:t>
            </w:r>
          </w:p>
        </w:tc>
        <w:tc>
          <w:tcPr>
            <w:tcW w:w="6053" w:type="dxa"/>
            <w:vAlign w:val="center"/>
          </w:tcPr>
          <w:p w14:paraId="1FDBDA45">
            <w:pPr>
              <w:spacing w:line="360" w:lineRule="auto"/>
              <w:rPr>
                <w:rFonts w:ascii="宋体" w:hAnsi="宋体" w:cs="宋体"/>
                <w:sz w:val="24"/>
                <w:szCs w:val="24"/>
                <w:highlight w:val="none"/>
              </w:rPr>
            </w:pPr>
            <w:r>
              <w:rPr>
                <w:rFonts w:hint="eastAsia" w:ascii="宋体" w:hAnsi="宋体" w:cs="宋体"/>
                <w:sz w:val="24"/>
                <w:szCs w:val="24"/>
                <w:highlight w:val="none"/>
              </w:rPr>
              <w:t>名称：</w:t>
            </w:r>
            <w:r>
              <w:rPr>
                <w:rFonts w:hint="eastAsia" w:ascii="宋体" w:hAnsi="宋体" w:cs="宋体"/>
                <w:kern w:val="0"/>
                <w:sz w:val="24"/>
                <w:szCs w:val="24"/>
                <w:highlight w:val="none"/>
              </w:rPr>
              <w:t xml:space="preserve">陕西至诚项目管理集团有限公司 </w:t>
            </w:r>
          </w:p>
          <w:p w14:paraId="67B588A5">
            <w:pPr>
              <w:spacing w:line="360" w:lineRule="auto"/>
              <w:rPr>
                <w:rFonts w:ascii="宋体" w:hAnsi="宋体" w:cs="宋体"/>
                <w:sz w:val="24"/>
                <w:szCs w:val="24"/>
                <w:highlight w:val="none"/>
              </w:rPr>
            </w:pPr>
            <w:r>
              <w:rPr>
                <w:rFonts w:hint="eastAsia" w:ascii="宋体" w:hAnsi="宋体" w:cs="宋体"/>
                <w:sz w:val="24"/>
                <w:szCs w:val="24"/>
                <w:highlight w:val="none"/>
              </w:rPr>
              <w:t>地址：陕西省西安市经济技术开发区未央路171-1号银池道拉斯财富中心21楼</w:t>
            </w:r>
          </w:p>
          <w:p w14:paraId="69E04F4C">
            <w:pPr>
              <w:spacing w:line="360" w:lineRule="auto"/>
              <w:rPr>
                <w:rFonts w:hint="eastAsia" w:ascii="宋体" w:hAnsi="宋体" w:eastAsia="宋体" w:cs="宋体"/>
                <w:sz w:val="24"/>
                <w:szCs w:val="24"/>
                <w:highlight w:val="none"/>
                <w:lang w:eastAsia="zh-CN"/>
              </w:rPr>
            </w:pPr>
            <w:r>
              <w:rPr>
                <w:rFonts w:hint="eastAsia" w:ascii="宋体" w:hAnsi="宋体" w:cs="宋体"/>
                <w:sz w:val="24"/>
                <w:szCs w:val="24"/>
                <w:highlight w:val="none"/>
              </w:rPr>
              <w:t>联系人：</w:t>
            </w:r>
            <w:r>
              <w:rPr>
                <w:rFonts w:hint="eastAsia" w:ascii="宋体" w:hAnsi="宋体" w:cs="宋体"/>
                <w:sz w:val="24"/>
                <w:szCs w:val="24"/>
                <w:highlight w:val="none"/>
                <w:lang w:eastAsia="zh-CN"/>
              </w:rPr>
              <w:t>康乐、孙洋、常瑛</w:t>
            </w:r>
          </w:p>
          <w:p w14:paraId="7597A704">
            <w:pPr>
              <w:spacing w:line="360" w:lineRule="auto"/>
              <w:rPr>
                <w:rFonts w:ascii="宋体" w:hAnsi="宋体" w:cs="宋体"/>
                <w:sz w:val="24"/>
                <w:szCs w:val="24"/>
                <w:highlight w:val="none"/>
              </w:rPr>
            </w:pPr>
            <w:r>
              <w:rPr>
                <w:rFonts w:hint="eastAsia" w:ascii="宋体" w:hAnsi="宋体" w:cs="宋体"/>
                <w:sz w:val="24"/>
                <w:szCs w:val="24"/>
                <w:highlight w:val="none"/>
              </w:rPr>
              <w:t>电话：029-88219779</w:t>
            </w:r>
          </w:p>
        </w:tc>
      </w:tr>
      <w:tr w14:paraId="21BFD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5" w:type="dxa"/>
            <w:vAlign w:val="center"/>
          </w:tcPr>
          <w:p w14:paraId="50D4267F">
            <w:pPr>
              <w:spacing w:line="360" w:lineRule="auto"/>
              <w:jc w:val="center"/>
              <w:rPr>
                <w:rFonts w:ascii="宋体" w:hAnsi="宋体" w:cs="宋体"/>
                <w:sz w:val="24"/>
                <w:szCs w:val="24"/>
                <w:highlight w:val="none"/>
              </w:rPr>
            </w:pPr>
            <w:r>
              <w:rPr>
                <w:rFonts w:hint="eastAsia" w:ascii="宋体" w:hAnsi="宋体" w:cs="宋体"/>
                <w:sz w:val="24"/>
                <w:szCs w:val="24"/>
                <w:highlight w:val="none"/>
              </w:rPr>
              <w:t>1.1.5</w:t>
            </w:r>
          </w:p>
        </w:tc>
        <w:tc>
          <w:tcPr>
            <w:tcW w:w="1966" w:type="dxa"/>
            <w:vAlign w:val="center"/>
          </w:tcPr>
          <w:p w14:paraId="1525EF54">
            <w:pPr>
              <w:spacing w:line="360" w:lineRule="auto"/>
              <w:jc w:val="center"/>
              <w:rPr>
                <w:rFonts w:ascii="宋体" w:hAnsi="宋体" w:cs="宋体"/>
                <w:sz w:val="24"/>
                <w:szCs w:val="24"/>
                <w:highlight w:val="none"/>
              </w:rPr>
            </w:pPr>
            <w:r>
              <w:rPr>
                <w:rFonts w:hint="eastAsia" w:ascii="宋体" w:hAnsi="宋体" w:cs="宋体"/>
                <w:sz w:val="24"/>
                <w:szCs w:val="24"/>
                <w:highlight w:val="none"/>
              </w:rPr>
              <w:t>建设地点</w:t>
            </w:r>
          </w:p>
        </w:tc>
        <w:tc>
          <w:tcPr>
            <w:tcW w:w="6053" w:type="dxa"/>
            <w:vAlign w:val="center"/>
          </w:tcPr>
          <w:p w14:paraId="799A901E">
            <w:pPr>
              <w:spacing w:line="360" w:lineRule="auto"/>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镇安县</w:t>
            </w:r>
          </w:p>
        </w:tc>
      </w:tr>
      <w:tr w14:paraId="77447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5" w:type="dxa"/>
            <w:vAlign w:val="center"/>
          </w:tcPr>
          <w:p w14:paraId="4F00F28D">
            <w:pPr>
              <w:spacing w:line="360" w:lineRule="auto"/>
              <w:jc w:val="center"/>
              <w:rPr>
                <w:rFonts w:ascii="宋体" w:hAnsi="宋体" w:cs="宋体"/>
                <w:sz w:val="24"/>
                <w:szCs w:val="24"/>
                <w:highlight w:val="none"/>
              </w:rPr>
            </w:pPr>
            <w:r>
              <w:rPr>
                <w:rFonts w:hint="eastAsia" w:ascii="宋体" w:hAnsi="宋体" w:cs="宋体"/>
                <w:sz w:val="24"/>
                <w:szCs w:val="24"/>
                <w:highlight w:val="none"/>
              </w:rPr>
              <w:t>1.2.1</w:t>
            </w:r>
          </w:p>
        </w:tc>
        <w:tc>
          <w:tcPr>
            <w:tcW w:w="1966" w:type="dxa"/>
            <w:vAlign w:val="center"/>
          </w:tcPr>
          <w:p w14:paraId="416E3DBA">
            <w:pPr>
              <w:spacing w:line="360" w:lineRule="auto"/>
              <w:jc w:val="center"/>
              <w:rPr>
                <w:rFonts w:ascii="宋体" w:hAnsi="宋体" w:cs="宋体"/>
                <w:sz w:val="24"/>
                <w:szCs w:val="24"/>
                <w:highlight w:val="none"/>
              </w:rPr>
            </w:pPr>
            <w:r>
              <w:rPr>
                <w:rFonts w:hint="eastAsia" w:ascii="宋体" w:hAnsi="宋体" w:cs="宋体"/>
                <w:sz w:val="24"/>
                <w:szCs w:val="24"/>
                <w:highlight w:val="none"/>
              </w:rPr>
              <w:t>资金来源</w:t>
            </w:r>
          </w:p>
        </w:tc>
        <w:tc>
          <w:tcPr>
            <w:tcW w:w="6053" w:type="dxa"/>
            <w:vAlign w:val="center"/>
          </w:tcPr>
          <w:p w14:paraId="16EBA9AE">
            <w:pPr>
              <w:spacing w:line="360" w:lineRule="auto"/>
              <w:rPr>
                <w:rFonts w:ascii="宋体" w:hAnsi="宋体" w:cs="宋体"/>
                <w:sz w:val="24"/>
                <w:szCs w:val="24"/>
                <w:highlight w:val="none"/>
              </w:rPr>
            </w:pPr>
            <w:r>
              <w:rPr>
                <w:rFonts w:hint="eastAsia" w:ascii="宋体" w:hAnsi="宋体" w:cs="宋体"/>
                <w:sz w:val="24"/>
                <w:szCs w:val="24"/>
                <w:highlight w:val="none"/>
                <w:lang w:val="en-US" w:eastAsia="zh-CN"/>
              </w:rPr>
              <w:t>中央</w:t>
            </w:r>
            <w:r>
              <w:rPr>
                <w:rFonts w:hint="eastAsia" w:ascii="宋体" w:hAnsi="宋体" w:cs="宋体"/>
                <w:sz w:val="24"/>
                <w:szCs w:val="24"/>
                <w:highlight w:val="none"/>
              </w:rPr>
              <w:t>财政资金</w:t>
            </w:r>
          </w:p>
        </w:tc>
      </w:tr>
      <w:tr w14:paraId="755A4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985" w:type="dxa"/>
            <w:vAlign w:val="center"/>
          </w:tcPr>
          <w:p w14:paraId="3586678C">
            <w:pPr>
              <w:spacing w:line="360" w:lineRule="auto"/>
              <w:jc w:val="center"/>
              <w:rPr>
                <w:rFonts w:ascii="宋体" w:hAnsi="宋体" w:cs="宋体"/>
                <w:sz w:val="24"/>
                <w:szCs w:val="24"/>
                <w:highlight w:val="none"/>
              </w:rPr>
            </w:pPr>
            <w:r>
              <w:rPr>
                <w:rFonts w:hint="eastAsia" w:ascii="宋体" w:hAnsi="宋体" w:cs="宋体"/>
                <w:sz w:val="24"/>
                <w:szCs w:val="24"/>
                <w:highlight w:val="none"/>
              </w:rPr>
              <w:t>1.2.2</w:t>
            </w:r>
          </w:p>
        </w:tc>
        <w:tc>
          <w:tcPr>
            <w:tcW w:w="1966" w:type="dxa"/>
            <w:vAlign w:val="center"/>
          </w:tcPr>
          <w:p w14:paraId="73FC73EA">
            <w:pPr>
              <w:spacing w:line="360" w:lineRule="auto"/>
              <w:jc w:val="center"/>
              <w:rPr>
                <w:rFonts w:ascii="宋体" w:hAnsi="宋体" w:cs="宋体"/>
                <w:sz w:val="24"/>
                <w:szCs w:val="24"/>
                <w:highlight w:val="none"/>
              </w:rPr>
            </w:pPr>
            <w:r>
              <w:rPr>
                <w:rFonts w:hint="eastAsia" w:ascii="宋体" w:hAnsi="宋体" w:cs="宋体"/>
                <w:sz w:val="24"/>
                <w:szCs w:val="24"/>
                <w:highlight w:val="none"/>
              </w:rPr>
              <w:t>资金落实情况</w:t>
            </w:r>
          </w:p>
        </w:tc>
        <w:tc>
          <w:tcPr>
            <w:tcW w:w="6053" w:type="dxa"/>
            <w:vAlign w:val="center"/>
          </w:tcPr>
          <w:p w14:paraId="2218524C">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资金已落实到位</w:t>
            </w:r>
          </w:p>
        </w:tc>
      </w:tr>
      <w:tr w14:paraId="59662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85" w:type="dxa"/>
            <w:vAlign w:val="center"/>
          </w:tcPr>
          <w:p w14:paraId="0F06DC14">
            <w:pPr>
              <w:spacing w:line="360" w:lineRule="auto"/>
              <w:jc w:val="center"/>
              <w:rPr>
                <w:rFonts w:ascii="宋体" w:hAnsi="宋体" w:cs="宋体"/>
                <w:sz w:val="24"/>
                <w:szCs w:val="24"/>
                <w:highlight w:val="none"/>
              </w:rPr>
            </w:pPr>
            <w:r>
              <w:rPr>
                <w:rFonts w:hint="eastAsia" w:ascii="宋体" w:hAnsi="宋体" w:cs="宋体"/>
                <w:sz w:val="24"/>
                <w:szCs w:val="24"/>
                <w:highlight w:val="none"/>
              </w:rPr>
              <w:t>1.3.1</w:t>
            </w:r>
          </w:p>
        </w:tc>
        <w:tc>
          <w:tcPr>
            <w:tcW w:w="1966" w:type="dxa"/>
            <w:vAlign w:val="center"/>
          </w:tcPr>
          <w:p w14:paraId="7A0FA612">
            <w:pPr>
              <w:spacing w:line="360" w:lineRule="auto"/>
              <w:jc w:val="center"/>
              <w:rPr>
                <w:rFonts w:ascii="宋体" w:hAnsi="宋体" w:cs="宋体"/>
                <w:sz w:val="24"/>
                <w:szCs w:val="24"/>
                <w:highlight w:val="none"/>
              </w:rPr>
            </w:pPr>
            <w:r>
              <w:rPr>
                <w:rFonts w:hint="eastAsia" w:ascii="宋体" w:hAnsi="宋体" w:cs="宋体"/>
                <w:sz w:val="24"/>
                <w:szCs w:val="24"/>
                <w:highlight w:val="none"/>
              </w:rPr>
              <w:t>招标范围</w:t>
            </w:r>
          </w:p>
        </w:tc>
        <w:tc>
          <w:tcPr>
            <w:tcW w:w="6053" w:type="dxa"/>
            <w:vAlign w:val="center"/>
          </w:tcPr>
          <w:p w14:paraId="14307C1D">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本项目包含的所有施工内容</w:t>
            </w:r>
          </w:p>
        </w:tc>
      </w:tr>
      <w:tr w14:paraId="3C0C1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85" w:type="dxa"/>
            <w:vAlign w:val="center"/>
          </w:tcPr>
          <w:p w14:paraId="1EF8D9B4">
            <w:pPr>
              <w:spacing w:line="360" w:lineRule="auto"/>
              <w:jc w:val="center"/>
              <w:rPr>
                <w:rFonts w:ascii="宋体" w:hAnsi="宋体" w:cs="宋体"/>
                <w:sz w:val="24"/>
                <w:szCs w:val="24"/>
                <w:highlight w:val="none"/>
              </w:rPr>
            </w:pPr>
            <w:r>
              <w:rPr>
                <w:rFonts w:hint="eastAsia" w:ascii="宋体" w:hAnsi="宋体" w:cs="宋体"/>
                <w:sz w:val="24"/>
                <w:szCs w:val="24"/>
                <w:highlight w:val="none"/>
              </w:rPr>
              <w:t>1.3.2</w:t>
            </w:r>
          </w:p>
        </w:tc>
        <w:tc>
          <w:tcPr>
            <w:tcW w:w="1966" w:type="dxa"/>
            <w:vAlign w:val="center"/>
          </w:tcPr>
          <w:p w14:paraId="1EF27D32">
            <w:pPr>
              <w:spacing w:line="360" w:lineRule="auto"/>
              <w:jc w:val="center"/>
              <w:rPr>
                <w:rFonts w:ascii="宋体" w:hAnsi="宋体" w:cs="宋体"/>
                <w:b/>
                <w:bCs/>
                <w:sz w:val="24"/>
                <w:szCs w:val="24"/>
                <w:highlight w:val="yellow"/>
              </w:rPr>
            </w:pPr>
            <w:r>
              <w:rPr>
                <w:rFonts w:hint="eastAsia" w:ascii="宋体" w:hAnsi="宋体" w:cs="宋体"/>
                <w:b/>
                <w:bCs/>
                <w:sz w:val="24"/>
                <w:szCs w:val="24"/>
                <w:highlight w:val="yellow"/>
              </w:rPr>
              <w:t>工</w:t>
            </w:r>
            <w:r>
              <w:rPr>
                <w:rFonts w:hint="eastAsia" w:ascii="宋体" w:hAnsi="宋体" w:cs="宋体"/>
                <w:b/>
                <w:bCs/>
                <w:sz w:val="24"/>
                <w:szCs w:val="24"/>
                <w:highlight w:val="yellow"/>
                <w:lang w:val="en-US" w:eastAsia="zh-CN"/>
              </w:rPr>
              <w:t xml:space="preserve"> </w:t>
            </w:r>
            <w:r>
              <w:rPr>
                <w:rFonts w:hint="eastAsia" w:ascii="宋体" w:hAnsi="宋体" w:cs="宋体"/>
                <w:b/>
                <w:bCs/>
                <w:sz w:val="24"/>
                <w:szCs w:val="24"/>
                <w:highlight w:val="yellow"/>
              </w:rPr>
              <w:t>期</w:t>
            </w:r>
          </w:p>
        </w:tc>
        <w:tc>
          <w:tcPr>
            <w:tcW w:w="6053" w:type="dxa"/>
            <w:vAlign w:val="center"/>
          </w:tcPr>
          <w:p w14:paraId="6B53D4BF">
            <w:pPr>
              <w:spacing w:line="360" w:lineRule="auto"/>
              <w:rPr>
                <w:rFonts w:ascii="宋体" w:hAnsi="宋体" w:cs="宋体"/>
                <w:b/>
                <w:bCs/>
                <w:color w:val="000000" w:themeColor="text1"/>
                <w:sz w:val="24"/>
                <w:szCs w:val="24"/>
                <w:highlight w:val="yellow"/>
                <w14:textFill>
                  <w14:solidFill>
                    <w14:schemeClr w14:val="tx1"/>
                  </w14:solidFill>
                </w14:textFill>
              </w:rPr>
            </w:pPr>
            <w:r>
              <w:rPr>
                <w:rFonts w:hint="eastAsia" w:ascii="宋体" w:hAnsi="宋体" w:cs="宋体"/>
                <w:b/>
                <w:bCs/>
                <w:color w:val="000000" w:themeColor="text1"/>
                <w:sz w:val="24"/>
                <w:szCs w:val="24"/>
                <w:highlight w:val="yellow"/>
                <w14:textFill>
                  <w14:solidFill>
                    <w14:schemeClr w14:val="tx1"/>
                  </w14:solidFill>
                </w14:textFill>
              </w:rPr>
              <w:t>自合同签订之日起</w:t>
            </w:r>
            <w:r>
              <w:rPr>
                <w:rFonts w:hint="eastAsia" w:ascii="宋体" w:hAnsi="宋体" w:cs="宋体"/>
                <w:b/>
                <w:bCs/>
                <w:color w:val="000000" w:themeColor="text1"/>
                <w:sz w:val="24"/>
                <w:szCs w:val="24"/>
                <w:highlight w:val="yellow"/>
                <w:lang w:val="en-US" w:eastAsia="zh-CN"/>
                <w14:textFill>
                  <w14:solidFill>
                    <w14:schemeClr w14:val="tx1"/>
                  </w14:solidFill>
                </w14:textFill>
              </w:rPr>
              <w:t>160</w:t>
            </w:r>
            <w:r>
              <w:rPr>
                <w:rFonts w:hint="eastAsia" w:ascii="宋体" w:hAnsi="宋体" w:cs="宋体"/>
                <w:b/>
                <w:bCs/>
                <w:color w:val="000000" w:themeColor="text1"/>
                <w:sz w:val="24"/>
                <w:szCs w:val="24"/>
                <w:highlight w:val="yellow"/>
                <w14:textFill>
                  <w14:solidFill>
                    <w14:schemeClr w14:val="tx1"/>
                  </w14:solidFill>
                </w14:textFill>
              </w:rPr>
              <w:t>日历天</w:t>
            </w:r>
          </w:p>
        </w:tc>
      </w:tr>
      <w:tr w14:paraId="51F6E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985" w:type="dxa"/>
            <w:vAlign w:val="center"/>
          </w:tcPr>
          <w:p w14:paraId="2E42ED0D">
            <w:pPr>
              <w:spacing w:line="360" w:lineRule="auto"/>
              <w:jc w:val="center"/>
              <w:rPr>
                <w:rFonts w:ascii="宋体" w:hAnsi="宋体" w:cs="宋体"/>
                <w:sz w:val="24"/>
                <w:szCs w:val="24"/>
                <w:highlight w:val="none"/>
              </w:rPr>
            </w:pPr>
            <w:r>
              <w:rPr>
                <w:rFonts w:hint="eastAsia" w:ascii="宋体" w:hAnsi="宋体" w:cs="宋体"/>
                <w:sz w:val="24"/>
                <w:szCs w:val="24"/>
                <w:highlight w:val="none"/>
              </w:rPr>
              <w:t>1.3.3</w:t>
            </w:r>
          </w:p>
        </w:tc>
        <w:tc>
          <w:tcPr>
            <w:tcW w:w="1966" w:type="dxa"/>
            <w:vAlign w:val="center"/>
          </w:tcPr>
          <w:p w14:paraId="50C3EDDD">
            <w:pPr>
              <w:spacing w:line="360" w:lineRule="auto"/>
              <w:jc w:val="center"/>
              <w:rPr>
                <w:rFonts w:ascii="宋体" w:hAnsi="宋体" w:cs="宋体"/>
                <w:sz w:val="24"/>
                <w:szCs w:val="24"/>
                <w:highlight w:val="none"/>
              </w:rPr>
            </w:pPr>
            <w:r>
              <w:rPr>
                <w:rFonts w:hint="eastAsia" w:ascii="宋体" w:hAnsi="宋体" w:cs="宋体"/>
                <w:sz w:val="24"/>
                <w:szCs w:val="24"/>
                <w:highlight w:val="none"/>
              </w:rPr>
              <w:t>质量标准</w:t>
            </w:r>
          </w:p>
        </w:tc>
        <w:tc>
          <w:tcPr>
            <w:tcW w:w="6053" w:type="dxa"/>
            <w:vAlign w:val="center"/>
          </w:tcPr>
          <w:p w14:paraId="161B3273">
            <w:pPr>
              <w:spacing w:line="360" w:lineRule="auto"/>
              <w:rPr>
                <w:rFonts w:ascii="宋体" w:hAnsi="宋体" w:cs="宋体"/>
                <w:sz w:val="24"/>
                <w:szCs w:val="24"/>
                <w:highlight w:val="none"/>
              </w:rPr>
            </w:pPr>
            <w:bookmarkStart w:id="10" w:name="OLE_LINK34"/>
            <w:bookmarkStart w:id="11" w:name="OLE_LINK18"/>
            <w:r>
              <w:rPr>
                <w:rFonts w:hint="eastAsia" w:ascii="宋体" w:hAnsi="宋体" w:cs="宋体"/>
                <w:kern w:val="0"/>
                <w:sz w:val="24"/>
                <w:szCs w:val="24"/>
                <w:highlight w:val="none"/>
              </w:rPr>
              <w:t>符合国家现行有关质量验收规范“合格”要求。</w:t>
            </w:r>
            <w:bookmarkEnd w:id="10"/>
            <w:bookmarkEnd w:id="11"/>
          </w:p>
        </w:tc>
      </w:tr>
      <w:tr w14:paraId="75FB0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5" w:type="dxa"/>
            <w:vAlign w:val="center"/>
          </w:tcPr>
          <w:p w14:paraId="670CAEB1">
            <w:pPr>
              <w:spacing w:line="360" w:lineRule="auto"/>
              <w:jc w:val="center"/>
              <w:rPr>
                <w:rFonts w:ascii="宋体" w:hAnsi="宋体" w:cs="宋体"/>
                <w:sz w:val="24"/>
                <w:szCs w:val="24"/>
                <w:highlight w:val="none"/>
              </w:rPr>
            </w:pPr>
            <w:r>
              <w:rPr>
                <w:rFonts w:hint="eastAsia" w:ascii="宋体" w:hAnsi="宋体" w:cs="宋体"/>
                <w:sz w:val="24"/>
                <w:szCs w:val="24"/>
                <w:highlight w:val="none"/>
              </w:rPr>
              <w:t>1.4.1</w:t>
            </w:r>
          </w:p>
        </w:tc>
        <w:tc>
          <w:tcPr>
            <w:tcW w:w="1966" w:type="dxa"/>
            <w:vAlign w:val="center"/>
          </w:tcPr>
          <w:p w14:paraId="7D5CC08F">
            <w:pPr>
              <w:spacing w:line="360" w:lineRule="auto"/>
              <w:jc w:val="center"/>
              <w:rPr>
                <w:rFonts w:ascii="宋体" w:hAnsi="宋体" w:cs="宋体"/>
                <w:sz w:val="24"/>
                <w:szCs w:val="24"/>
                <w:highlight w:val="none"/>
              </w:rPr>
            </w:pPr>
            <w:r>
              <w:rPr>
                <w:rFonts w:hint="eastAsia" w:ascii="宋体" w:hAnsi="宋体" w:cs="宋体"/>
                <w:sz w:val="24"/>
                <w:szCs w:val="24"/>
                <w:highlight w:val="none"/>
              </w:rPr>
              <w:t>资格审查条件</w:t>
            </w:r>
          </w:p>
        </w:tc>
        <w:tc>
          <w:tcPr>
            <w:tcW w:w="6053" w:type="dxa"/>
            <w:vAlign w:val="center"/>
          </w:tcPr>
          <w:p w14:paraId="465D49AE">
            <w:pPr>
              <w:spacing w:line="360" w:lineRule="auto"/>
              <w:rPr>
                <w:rFonts w:ascii="宋体" w:hAnsi="宋体" w:cs="宋体"/>
                <w:sz w:val="24"/>
                <w:szCs w:val="24"/>
                <w:highlight w:val="none"/>
              </w:rPr>
            </w:pPr>
            <w:r>
              <w:rPr>
                <w:rFonts w:hint="eastAsia" w:ascii="宋体" w:hAnsi="宋体" w:cs="宋体"/>
                <w:sz w:val="24"/>
                <w:szCs w:val="24"/>
                <w:highlight w:val="none"/>
              </w:rPr>
              <w:t>资格证明文件：</w:t>
            </w:r>
          </w:p>
          <w:p w14:paraId="6EE15C3F">
            <w:pPr>
              <w:spacing w:line="360" w:lineRule="auto"/>
              <w:rPr>
                <w:rFonts w:hint="eastAsia" w:ascii="宋体" w:hAnsi="宋体" w:cs="宋体"/>
                <w:sz w:val="24"/>
                <w:szCs w:val="24"/>
                <w:highlight w:val="none"/>
              </w:rPr>
            </w:pPr>
            <w:r>
              <w:rPr>
                <w:rFonts w:hint="eastAsia" w:ascii="宋体" w:hAnsi="宋体" w:cs="宋体"/>
                <w:sz w:val="24"/>
                <w:szCs w:val="24"/>
                <w:highlight w:val="none"/>
              </w:rPr>
              <w:t>（1）提供合格有效的法人或者其他组织的营业执照等证明文件，自然人的身份证明；</w:t>
            </w:r>
          </w:p>
          <w:p w14:paraId="6542E6DA">
            <w:pPr>
              <w:spacing w:line="360" w:lineRule="auto"/>
              <w:rPr>
                <w:rFonts w:hint="eastAsia" w:ascii="宋体" w:hAnsi="宋体" w:cs="宋体"/>
                <w:sz w:val="24"/>
                <w:szCs w:val="24"/>
                <w:highlight w:val="none"/>
              </w:rPr>
            </w:pPr>
            <w:r>
              <w:rPr>
                <w:rFonts w:hint="eastAsia" w:ascii="宋体" w:hAnsi="宋体" w:cs="宋体"/>
                <w:sz w:val="24"/>
                <w:szCs w:val="24"/>
                <w:highlight w:val="none"/>
              </w:rPr>
              <w:t>（2）提供法定代表人授权书（附法定代表人、被授权人身份证复印件，法定代表人直接参加投标，须提供法定代表人身份证明及身份证复印件）；</w:t>
            </w:r>
          </w:p>
          <w:p w14:paraId="76AC5554">
            <w:pPr>
              <w:spacing w:line="360" w:lineRule="auto"/>
              <w:rPr>
                <w:rFonts w:hint="eastAsia" w:ascii="宋体" w:hAnsi="宋体" w:cs="宋体"/>
                <w:sz w:val="24"/>
                <w:szCs w:val="24"/>
                <w:highlight w:val="none"/>
              </w:rPr>
            </w:pPr>
            <w:r>
              <w:rPr>
                <w:rFonts w:hint="eastAsia" w:ascii="宋体" w:hAnsi="宋体" w:cs="宋体"/>
                <w:sz w:val="24"/>
                <w:szCs w:val="24"/>
                <w:highlight w:val="none"/>
              </w:rPr>
              <w:t>（3）提供2023或2024年度或的财务审计报告（成立时间至提交投标文件截止时间不足一年的可提供成立后任意时段的资产负债表）或开标时间前六个月内银行出具的资信证明；</w:t>
            </w:r>
          </w:p>
          <w:p w14:paraId="4970D7E6">
            <w:pPr>
              <w:spacing w:line="360" w:lineRule="auto"/>
              <w:rPr>
                <w:rFonts w:hint="eastAsia" w:ascii="宋体" w:hAnsi="宋体" w:cs="宋体"/>
                <w:sz w:val="24"/>
                <w:szCs w:val="24"/>
                <w:highlight w:val="none"/>
              </w:rPr>
            </w:pPr>
            <w:r>
              <w:rPr>
                <w:rFonts w:hint="eastAsia" w:ascii="宋体" w:hAnsi="宋体" w:cs="宋体"/>
                <w:sz w:val="24"/>
                <w:szCs w:val="24"/>
                <w:highlight w:val="none"/>
              </w:rPr>
              <w:t>（4）税收缴纳证明：提供投标截止日前近一年内任意一个月的纳税证明或完税证明（任意税种），依法免税的单位应提供相关证明材料；</w:t>
            </w:r>
          </w:p>
          <w:p w14:paraId="4B6342E7">
            <w:pPr>
              <w:spacing w:line="360" w:lineRule="auto"/>
              <w:rPr>
                <w:rFonts w:hint="eastAsia" w:ascii="宋体" w:hAnsi="宋体" w:cs="宋体"/>
                <w:sz w:val="24"/>
                <w:szCs w:val="24"/>
                <w:highlight w:val="none"/>
              </w:rPr>
            </w:pPr>
            <w:r>
              <w:rPr>
                <w:rFonts w:hint="eastAsia" w:ascii="宋体" w:hAnsi="宋体" w:cs="宋体"/>
                <w:sz w:val="24"/>
                <w:szCs w:val="24"/>
                <w:highlight w:val="none"/>
              </w:rPr>
              <w:t>（5）社会保障资金缴纳证明：提供投标截止日前近一年内任意一个月的社会保障资金缴存单据或社保机构开具的社会保险参保缴费情况证明，依法不需要缴纳社会保障资金的单位应提供相关证明材料；</w:t>
            </w:r>
          </w:p>
          <w:p w14:paraId="1C3C4B5E">
            <w:pPr>
              <w:spacing w:line="360" w:lineRule="auto"/>
              <w:rPr>
                <w:rFonts w:hint="eastAsia" w:ascii="宋体" w:hAnsi="宋体" w:cs="宋体"/>
                <w:sz w:val="24"/>
                <w:szCs w:val="24"/>
                <w:highlight w:val="none"/>
              </w:rPr>
            </w:pPr>
            <w:r>
              <w:rPr>
                <w:rFonts w:hint="eastAsia" w:ascii="宋体" w:hAnsi="宋体" w:cs="宋体"/>
                <w:sz w:val="24"/>
                <w:szCs w:val="24"/>
                <w:highlight w:val="none"/>
              </w:rPr>
              <w:t>（6）提供具有履行本合同所必需的设备和专业技术能力的说明及承诺书；</w:t>
            </w:r>
          </w:p>
          <w:p w14:paraId="623A1EB7">
            <w:pPr>
              <w:spacing w:line="360" w:lineRule="auto"/>
              <w:rPr>
                <w:rFonts w:hint="eastAsia" w:ascii="宋体" w:hAnsi="宋体" w:cs="宋体"/>
                <w:sz w:val="24"/>
                <w:szCs w:val="24"/>
                <w:highlight w:val="none"/>
              </w:rPr>
            </w:pPr>
            <w:r>
              <w:rPr>
                <w:rFonts w:hint="eastAsia" w:ascii="宋体" w:hAnsi="宋体" w:cs="宋体"/>
                <w:sz w:val="24"/>
                <w:szCs w:val="24"/>
                <w:highlight w:val="none"/>
              </w:rPr>
              <w:t>（7）供应商通过“信用中国”网站(www.creditchina.gov.cn)、中国政府采购网(www.ccgp.gov.cn)等查询相关主体信用记录；</w:t>
            </w:r>
          </w:p>
          <w:p w14:paraId="6E30AEB3">
            <w:pPr>
              <w:spacing w:line="360" w:lineRule="auto"/>
              <w:rPr>
                <w:rFonts w:hint="eastAsia" w:ascii="宋体" w:hAnsi="宋体" w:cs="宋体"/>
                <w:sz w:val="24"/>
                <w:szCs w:val="24"/>
                <w:highlight w:val="none"/>
              </w:rPr>
            </w:pPr>
            <w:r>
              <w:rPr>
                <w:rFonts w:hint="eastAsia" w:ascii="宋体" w:hAnsi="宋体" w:cs="宋体"/>
                <w:sz w:val="24"/>
                <w:szCs w:val="24"/>
                <w:highlight w:val="none"/>
              </w:rPr>
              <w:t>（8）参加政府采购活动前3年内，在经营活动中没有重大违法记录的书面声明；</w:t>
            </w:r>
          </w:p>
          <w:p w14:paraId="4E4C8A58">
            <w:pPr>
              <w:spacing w:line="360" w:lineRule="auto"/>
              <w:rPr>
                <w:rFonts w:hint="eastAsia" w:ascii="宋体" w:hAnsi="宋体" w:cs="宋体"/>
                <w:sz w:val="24"/>
                <w:szCs w:val="24"/>
                <w:highlight w:val="none"/>
              </w:rPr>
            </w:pPr>
            <w:r>
              <w:rPr>
                <w:rFonts w:hint="eastAsia" w:ascii="宋体" w:hAnsi="宋体" w:cs="宋体"/>
                <w:sz w:val="24"/>
                <w:szCs w:val="24"/>
                <w:highlight w:val="none"/>
              </w:rPr>
              <w:t>（9）供应商须提供中小企业声明函；</w:t>
            </w:r>
          </w:p>
          <w:p w14:paraId="56E6B9D9">
            <w:pPr>
              <w:spacing w:line="360" w:lineRule="auto"/>
              <w:rPr>
                <w:rFonts w:ascii="宋体" w:hAnsi="宋体" w:cs="宋体"/>
                <w:sz w:val="24"/>
                <w:szCs w:val="24"/>
                <w:highlight w:val="none"/>
              </w:rPr>
            </w:pPr>
            <w:r>
              <w:rPr>
                <w:rFonts w:hint="eastAsia" w:ascii="宋体" w:hAnsi="宋体" w:cs="宋体"/>
                <w:sz w:val="24"/>
                <w:szCs w:val="24"/>
                <w:highlight w:val="none"/>
              </w:rPr>
              <w:t>（10）本项目不接受联合体投标（提供承诺书）。</w:t>
            </w:r>
          </w:p>
          <w:p w14:paraId="6C15866C">
            <w:pPr>
              <w:spacing w:line="360" w:lineRule="auto"/>
              <w:rPr>
                <w:rFonts w:ascii="宋体" w:hAnsi="宋体" w:cs="宋体"/>
                <w:sz w:val="24"/>
                <w:szCs w:val="24"/>
                <w:highlight w:val="none"/>
              </w:rPr>
            </w:pPr>
            <w:r>
              <w:rPr>
                <w:rFonts w:hint="eastAsia" w:ascii="宋体" w:hAnsi="宋体" w:cs="宋体"/>
                <w:b/>
                <w:bCs/>
                <w:sz w:val="24"/>
                <w:szCs w:val="24"/>
                <w:highlight w:val="none"/>
              </w:rPr>
              <w:t>以上（1-10）为必备资质，缺一项或某项达不到要求，按无效投标处理。</w:t>
            </w:r>
          </w:p>
        </w:tc>
      </w:tr>
      <w:tr w14:paraId="4F4CD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85" w:type="dxa"/>
            <w:vAlign w:val="center"/>
          </w:tcPr>
          <w:p w14:paraId="12A42797">
            <w:pPr>
              <w:spacing w:line="360" w:lineRule="auto"/>
              <w:jc w:val="center"/>
              <w:rPr>
                <w:rFonts w:ascii="宋体" w:hAnsi="宋体" w:cs="宋体"/>
                <w:sz w:val="24"/>
                <w:szCs w:val="24"/>
                <w:highlight w:val="none"/>
              </w:rPr>
            </w:pPr>
            <w:r>
              <w:rPr>
                <w:rFonts w:hint="eastAsia" w:ascii="宋体" w:hAnsi="宋体" w:cs="宋体"/>
                <w:sz w:val="24"/>
                <w:szCs w:val="24"/>
                <w:highlight w:val="none"/>
              </w:rPr>
              <w:t>1.4.2</w:t>
            </w:r>
          </w:p>
        </w:tc>
        <w:tc>
          <w:tcPr>
            <w:tcW w:w="1966" w:type="dxa"/>
            <w:vAlign w:val="center"/>
          </w:tcPr>
          <w:p w14:paraId="6AC1AF0A">
            <w:pPr>
              <w:spacing w:line="360" w:lineRule="auto"/>
              <w:jc w:val="center"/>
              <w:rPr>
                <w:rFonts w:ascii="宋体" w:hAnsi="宋体" w:cs="宋体"/>
                <w:sz w:val="24"/>
                <w:szCs w:val="24"/>
                <w:highlight w:val="none"/>
              </w:rPr>
            </w:pPr>
            <w:r>
              <w:rPr>
                <w:rFonts w:hint="eastAsia" w:ascii="宋体" w:hAnsi="宋体" w:cs="宋体"/>
                <w:sz w:val="24"/>
                <w:szCs w:val="24"/>
                <w:highlight w:val="none"/>
              </w:rPr>
              <w:t>招标文件</w:t>
            </w:r>
            <w:r>
              <w:rPr>
                <w:rFonts w:hint="eastAsia" w:ascii="宋体" w:hAnsi="宋体" w:cs="宋体"/>
                <w:sz w:val="24"/>
                <w:szCs w:val="24"/>
                <w:highlight w:val="none"/>
                <w:lang w:val="en-US" w:eastAsia="zh-CN"/>
              </w:rPr>
              <w:t>获取</w:t>
            </w:r>
            <w:r>
              <w:rPr>
                <w:rFonts w:hint="eastAsia" w:ascii="宋体" w:hAnsi="宋体" w:cs="宋体"/>
                <w:sz w:val="24"/>
                <w:szCs w:val="24"/>
                <w:highlight w:val="none"/>
              </w:rPr>
              <w:t>时间</w:t>
            </w:r>
          </w:p>
        </w:tc>
        <w:tc>
          <w:tcPr>
            <w:tcW w:w="6053" w:type="dxa"/>
            <w:vAlign w:val="center"/>
          </w:tcPr>
          <w:p w14:paraId="1DB3AF0C">
            <w:pPr>
              <w:spacing w:line="420" w:lineRule="exact"/>
              <w:rPr>
                <w:rFonts w:ascii="宋体" w:hAnsi="宋体" w:cs="宋体"/>
                <w:sz w:val="24"/>
                <w:szCs w:val="24"/>
                <w:highlight w:val="none"/>
              </w:rPr>
            </w:pPr>
            <w:r>
              <w:rPr>
                <w:rFonts w:hint="eastAsia" w:ascii="宋体" w:hAnsi="宋体" w:cs="宋体"/>
                <w:sz w:val="24"/>
                <w:szCs w:val="24"/>
                <w:highlight w:val="none"/>
              </w:rPr>
              <w:t>详见招标公告</w:t>
            </w:r>
          </w:p>
        </w:tc>
      </w:tr>
      <w:tr w14:paraId="62C51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 w:hRule="atLeast"/>
          <w:jc w:val="center"/>
        </w:trPr>
        <w:tc>
          <w:tcPr>
            <w:tcW w:w="985" w:type="dxa"/>
            <w:vAlign w:val="center"/>
          </w:tcPr>
          <w:p w14:paraId="4064E2F3">
            <w:pPr>
              <w:spacing w:line="360" w:lineRule="auto"/>
              <w:jc w:val="center"/>
              <w:rPr>
                <w:rFonts w:ascii="宋体" w:hAnsi="宋体" w:cs="宋体"/>
                <w:sz w:val="24"/>
                <w:szCs w:val="24"/>
                <w:highlight w:val="none"/>
              </w:rPr>
            </w:pPr>
            <w:r>
              <w:rPr>
                <w:rFonts w:hint="eastAsia" w:ascii="宋体" w:hAnsi="宋体" w:cs="宋体"/>
                <w:sz w:val="24"/>
                <w:szCs w:val="24"/>
                <w:highlight w:val="none"/>
              </w:rPr>
              <w:t>1.9</w:t>
            </w:r>
          </w:p>
        </w:tc>
        <w:tc>
          <w:tcPr>
            <w:tcW w:w="1966" w:type="dxa"/>
            <w:vAlign w:val="center"/>
          </w:tcPr>
          <w:p w14:paraId="77319D2A">
            <w:pPr>
              <w:spacing w:line="360" w:lineRule="auto"/>
              <w:jc w:val="center"/>
              <w:rPr>
                <w:rFonts w:ascii="宋体" w:hAnsi="宋体" w:cs="宋体"/>
                <w:sz w:val="24"/>
                <w:szCs w:val="24"/>
                <w:highlight w:val="none"/>
              </w:rPr>
            </w:pPr>
            <w:r>
              <w:rPr>
                <w:rFonts w:hint="eastAsia" w:ascii="宋体" w:hAnsi="宋体" w:cs="宋体"/>
                <w:sz w:val="24"/>
                <w:szCs w:val="24"/>
                <w:highlight w:val="none"/>
              </w:rPr>
              <w:t>踏勘现场</w:t>
            </w:r>
          </w:p>
        </w:tc>
        <w:tc>
          <w:tcPr>
            <w:tcW w:w="6053" w:type="dxa"/>
            <w:vAlign w:val="center"/>
          </w:tcPr>
          <w:p w14:paraId="7F26C7B2">
            <w:pPr>
              <w:spacing w:line="420" w:lineRule="exact"/>
              <w:rPr>
                <w:rFonts w:ascii="宋体" w:hAnsi="宋体" w:cs="宋体"/>
                <w:kern w:val="0"/>
                <w:sz w:val="24"/>
                <w:szCs w:val="24"/>
                <w:highlight w:val="none"/>
              </w:rPr>
            </w:pPr>
            <w:r>
              <w:rPr>
                <w:rFonts w:hint="eastAsia" w:ascii="宋体" w:hAnsi="宋体" w:cs="宋体"/>
                <w:kern w:val="0"/>
                <w:sz w:val="24"/>
                <w:szCs w:val="24"/>
                <w:highlight w:val="none"/>
              </w:rPr>
              <w:t>1）招标代理机构不组织统一踏勘，各投标人自行踏勘，相关费用及安全由投标人自行承担，踏勘时遵守相关规定，不得扰民。</w:t>
            </w:r>
          </w:p>
          <w:p w14:paraId="0396038D">
            <w:pPr>
              <w:spacing w:line="420" w:lineRule="exact"/>
              <w:rPr>
                <w:rFonts w:ascii="宋体" w:hAnsi="宋体" w:cs="宋体"/>
                <w:kern w:val="0"/>
                <w:sz w:val="24"/>
                <w:szCs w:val="24"/>
                <w:highlight w:val="none"/>
              </w:rPr>
            </w:pPr>
            <w:r>
              <w:rPr>
                <w:rFonts w:hint="eastAsia" w:ascii="宋体" w:hAnsi="宋体" w:cs="宋体"/>
                <w:kern w:val="0"/>
                <w:sz w:val="24"/>
                <w:szCs w:val="24"/>
                <w:highlight w:val="none"/>
              </w:rPr>
              <w:t>2）踏勘内容包含：完成本次招标所需要的现场工况及周围环境等资料。</w:t>
            </w:r>
          </w:p>
          <w:p w14:paraId="44118A4E">
            <w:pPr>
              <w:spacing w:line="360" w:lineRule="auto"/>
              <w:jc w:val="left"/>
              <w:rPr>
                <w:rFonts w:hint="eastAsia" w:ascii="宋体" w:hAnsi="宋体" w:eastAsia="宋体" w:cs="宋体"/>
                <w:sz w:val="24"/>
                <w:szCs w:val="24"/>
                <w:highlight w:val="none"/>
                <w:lang w:eastAsia="zh-CN"/>
              </w:rPr>
            </w:pPr>
            <w:r>
              <w:rPr>
                <w:rFonts w:hint="eastAsia" w:ascii="宋体" w:hAnsi="宋体" w:cs="宋体"/>
                <w:sz w:val="24"/>
                <w:szCs w:val="24"/>
                <w:highlight w:val="none"/>
              </w:rPr>
              <w:t>联系人：</w:t>
            </w:r>
            <w:r>
              <w:rPr>
                <w:rFonts w:hint="eastAsia" w:ascii="宋体" w:hAnsi="宋体" w:cs="宋体"/>
                <w:sz w:val="24"/>
                <w:szCs w:val="24"/>
                <w:highlight w:val="none"/>
                <w:lang w:eastAsia="zh-CN"/>
              </w:rPr>
              <w:t>镇安县黑窑沟国有林场</w:t>
            </w:r>
          </w:p>
          <w:p w14:paraId="0834EDA0">
            <w:pPr>
              <w:spacing w:line="360" w:lineRule="auto"/>
              <w:jc w:val="left"/>
              <w:rPr>
                <w:rFonts w:hint="eastAsia" w:ascii="宋体" w:hAnsi="宋体" w:eastAsia="宋体" w:cs="宋体"/>
                <w:sz w:val="24"/>
                <w:szCs w:val="24"/>
                <w:highlight w:val="none"/>
                <w:lang w:eastAsia="zh-CN"/>
              </w:rPr>
            </w:pPr>
            <w:r>
              <w:rPr>
                <w:rFonts w:hint="eastAsia" w:ascii="宋体" w:hAnsi="宋体" w:cs="宋体"/>
                <w:sz w:val="24"/>
                <w:szCs w:val="24"/>
                <w:highlight w:val="none"/>
              </w:rPr>
              <w:t>联系电话：</w:t>
            </w:r>
            <w:r>
              <w:rPr>
                <w:rFonts w:hint="eastAsia" w:ascii="宋体" w:hAnsi="宋体" w:cs="宋体"/>
                <w:sz w:val="24"/>
                <w:szCs w:val="24"/>
                <w:highlight w:val="none"/>
                <w:lang w:eastAsia="zh-CN"/>
              </w:rPr>
              <w:t>13098238866</w:t>
            </w:r>
          </w:p>
        </w:tc>
      </w:tr>
      <w:tr w14:paraId="37020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85" w:type="dxa"/>
            <w:vAlign w:val="center"/>
          </w:tcPr>
          <w:p w14:paraId="05B9E311">
            <w:pPr>
              <w:spacing w:line="360" w:lineRule="auto"/>
              <w:jc w:val="center"/>
              <w:rPr>
                <w:rFonts w:ascii="宋体" w:hAnsi="宋体" w:cs="宋体"/>
                <w:sz w:val="24"/>
                <w:szCs w:val="24"/>
                <w:highlight w:val="none"/>
              </w:rPr>
            </w:pPr>
            <w:r>
              <w:rPr>
                <w:rFonts w:hint="eastAsia" w:ascii="宋体" w:hAnsi="宋体" w:cs="宋体"/>
                <w:sz w:val="24"/>
                <w:szCs w:val="24"/>
                <w:highlight w:val="none"/>
              </w:rPr>
              <w:t>1.10</w:t>
            </w:r>
          </w:p>
        </w:tc>
        <w:tc>
          <w:tcPr>
            <w:tcW w:w="1966" w:type="dxa"/>
            <w:vAlign w:val="center"/>
          </w:tcPr>
          <w:p w14:paraId="66D66001">
            <w:pPr>
              <w:spacing w:line="360" w:lineRule="auto"/>
              <w:jc w:val="center"/>
              <w:rPr>
                <w:rFonts w:ascii="宋体" w:hAnsi="宋体" w:cs="宋体"/>
                <w:sz w:val="24"/>
                <w:szCs w:val="24"/>
                <w:highlight w:val="none"/>
              </w:rPr>
            </w:pPr>
            <w:r>
              <w:rPr>
                <w:rFonts w:hint="eastAsia" w:ascii="宋体" w:hAnsi="宋体" w:cs="宋体"/>
                <w:sz w:val="24"/>
                <w:szCs w:val="24"/>
                <w:highlight w:val="none"/>
              </w:rPr>
              <w:t>投标答疑会</w:t>
            </w:r>
          </w:p>
        </w:tc>
        <w:tc>
          <w:tcPr>
            <w:tcW w:w="6053" w:type="dxa"/>
            <w:vAlign w:val="center"/>
          </w:tcPr>
          <w:p w14:paraId="26810965">
            <w:pPr>
              <w:spacing w:line="360" w:lineRule="auto"/>
              <w:rPr>
                <w:rFonts w:ascii="宋体" w:hAnsi="宋体" w:cs="宋体"/>
                <w:sz w:val="24"/>
                <w:szCs w:val="24"/>
                <w:highlight w:val="none"/>
              </w:rPr>
            </w:pPr>
            <w:r>
              <w:rPr>
                <w:rFonts w:hint="eastAsia" w:ascii="宋体" w:hAnsi="宋体" w:cs="宋体"/>
                <w:sz w:val="24"/>
                <w:szCs w:val="24"/>
                <w:highlight w:val="none"/>
              </w:rPr>
              <w:t>不召开；若有疑问，均应在购买招标文件后7个工作日内以书面形式向采购代理机构提出。</w:t>
            </w:r>
          </w:p>
        </w:tc>
      </w:tr>
      <w:tr w14:paraId="3AECF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85" w:type="dxa"/>
            <w:vAlign w:val="center"/>
          </w:tcPr>
          <w:p w14:paraId="4D2F6C39">
            <w:pPr>
              <w:spacing w:line="360" w:lineRule="auto"/>
              <w:jc w:val="center"/>
              <w:rPr>
                <w:rFonts w:ascii="宋体" w:hAnsi="宋体" w:cs="宋体"/>
                <w:sz w:val="24"/>
                <w:szCs w:val="24"/>
                <w:highlight w:val="none"/>
              </w:rPr>
            </w:pPr>
            <w:r>
              <w:rPr>
                <w:rFonts w:hint="eastAsia" w:ascii="宋体" w:hAnsi="宋体" w:cs="宋体"/>
                <w:sz w:val="24"/>
                <w:szCs w:val="24"/>
                <w:highlight w:val="none"/>
              </w:rPr>
              <w:t>1.11</w:t>
            </w:r>
          </w:p>
        </w:tc>
        <w:tc>
          <w:tcPr>
            <w:tcW w:w="1966" w:type="dxa"/>
            <w:vAlign w:val="center"/>
          </w:tcPr>
          <w:p w14:paraId="193C5C24">
            <w:pPr>
              <w:spacing w:line="360" w:lineRule="auto"/>
              <w:jc w:val="center"/>
              <w:rPr>
                <w:rFonts w:ascii="宋体" w:hAnsi="宋体" w:cs="宋体"/>
                <w:sz w:val="24"/>
                <w:szCs w:val="24"/>
                <w:highlight w:val="none"/>
              </w:rPr>
            </w:pPr>
            <w:r>
              <w:rPr>
                <w:rFonts w:hint="eastAsia" w:ascii="宋体" w:hAnsi="宋体" w:cs="宋体"/>
                <w:sz w:val="24"/>
                <w:szCs w:val="24"/>
                <w:highlight w:val="none"/>
              </w:rPr>
              <w:t>分包</w:t>
            </w:r>
          </w:p>
        </w:tc>
        <w:tc>
          <w:tcPr>
            <w:tcW w:w="6053" w:type="dxa"/>
            <w:vAlign w:val="center"/>
          </w:tcPr>
          <w:p w14:paraId="4BB6F581">
            <w:pPr>
              <w:spacing w:line="360" w:lineRule="auto"/>
              <w:rPr>
                <w:rFonts w:ascii="宋体" w:hAnsi="宋体" w:cs="宋体"/>
                <w:sz w:val="24"/>
                <w:szCs w:val="24"/>
                <w:highlight w:val="none"/>
              </w:rPr>
            </w:pPr>
            <w:r>
              <w:rPr>
                <w:rFonts w:hint="eastAsia" w:ascii="宋体" w:hAnsi="宋体" w:cs="宋体"/>
                <w:sz w:val="24"/>
                <w:szCs w:val="24"/>
                <w:highlight w:val="none"/>
              </w:rPr>
              <w:t>不允许</w:t>
            </w:r>
          </w:p>
        </w:tc>
      </w:tr>
      <w:tr w14:paraId="19BAD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985" w:type="dxa"/>
            <w:vAlign w:val="center"/>
          </w:tcPr>
          <w:p w14:paraId="1B943AFF">
            <w:pPr>
              <w:spacing w:line="360" w:lineRule="auto"/>
              <w:jc w:val="center"/>
              <w:rPr>
                <w:rFonts w:ascii="宋体" w:hAnsi="宋体" w:cs="宋体"/>
                <w:sz w:val="24"/>
                <w:szCs w:val="24"/>
                <w:highlight w:val="none"/>
              </w:rPr>
            </w:pPr>
            <w:r>
              <w:rPr>
                <w:rFonts w:hint="eastAsia" w:ascii="宋体" w:hAnsi="宋体" w:cs="宋体"/>
                <w:sz w:val="24"/>
                <w:szCs w:val="24"/>
                <w:highlight w:val="none"/>
              </w:rPr>
              <w:t>3.1.1</w:t>
            </w:r>
          </w:p>
        </w:tc>
        <w:tc>
          <w:tcPr>
            <w:tcW w:w="1966" w:type="dxa"/>
            <w:vAlign w:val="center"/>
          </w:tcPr>
          <w:p w14:paraId="21BD5988">
            <w:pPr>
              <w:spacing w:line="360" w:lineRule="auto"/>
              <w:jc w:val="center"/>
              <w:rPr>
                <w:rFonts w:ascii="宋体" w:hAnsi="宋体" w:cs="宋体"/>
                <w:sz w:val="24"/>
                <w:szCs w:val="24"/>
                <w:highlight w:val="none"/>
              </w:rPr>
            </w:pPr>
            <w:r>
              <w:rPr>
                <w:rFonts w:hint="eastAsia" w:ascii="宋体" w:hAnsi="宋体" w:cs="宋体"/>
                <w:sz w:val="24"/>
                <w:szCs w:val="24"/>
                <w:highlight w:val="none"/>
              </w:rPr>
              <w:t>构成投标文件的其他材料</w:t>
            </w:r>
          </w:p>
        </w:tc>
        <w:tc>
          <w:tcPr>
            <w:tcW w:w="6053" w:type="dxa"/>
            <w:vAlign w:val="center"/>
          </w:tcPr>
          <w:p w14:paraId="7EEFB499">
            <w:pPr>
              <w:spacing w:line="360" w:lineRule="auto"/>
              <w:rPr>
                <w:rFonts w:ascii="宋体" w:hAnsi="宋体" w:cs="宋体"/>
                <w:sz w:val="24"/>
                <w:szCs w:val="24"/>
                <w:highlight w:val="none"/>
              </w:rPr>
            </w:pPr>
            <w:r>
              <w:rPr>
                <w:rFonts w:hint="eastAsia" w:ascii="宋体" w:hAnsi="宋体" w:cs="宋体"/>
                <w:sz w:val="24"/>
                <w:szCs w:val="24"/>
                <w:highlight w:val="none"/>
              </w:rPr>
              <w:t>投标人按照招标文件的要求认为有利于投标的材料。</w:t>
            </w:r>
          </w:p>
        </w:tc>
      </w:tr>
      <w:tr w14:paraId="6B31E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5" w:type="dxa"/>
            <w:vAlign w:val="center"/>
          </w:tcPr>
          <w:p w14:paraId="08CE4AE3">
            <w:pPr>
              <w:spacing w:line="360" w:lineRule="auto"/>
              <w:jc w:val="center"/>
              <w:rPr>
                <w:rFonts w:ascii="宋体" w:hAnsi="宋体" w:cs="宋体"/>
                <w:sz w:val="24"/>
                <w:szCs w:val="24"/>
                <w:highlight w:val="none"/>
              </w:rPr>
            </w:pPr>
            <w:r>
              <w:rPr>
                <w:rFonts w:hint="eastAsia" w:ascii="宋体" w:hAnsi="宋体" w:cs="宋体"/>
                <w:sz w:val="24"/>
                <w:szCs w:val="24"/>
                <w:highlight w:val="none"/>
              </w:rPr>
              <w:t>3.4.1</w:t>
            </w:r>
          </w:p>
        </w:tc>
        <w:tc>
          <w:tcPr>
            <w:tcW w:w="1966" w:type="dxa"/>
            <w:vAlign w:val="center"/>
          </w:tcPr>
          <w:p w14:paraId="04CACD7C">
            <w:pPr>
              <w:spacing w:line="360" w:lineRule="auto"/>
              <w:jc w:val="center"/>
              <w:rPr>
                <w:rFonts w:ascii="宋体" w:hAnsi="宋体" w:cs="宋体"/>
                <w:sz w:val="24"/>
                <w:szCs w:val="24"/>
                <w:highlight w:val="none"/>
              </w:rPr>
            </w:pPr>
            <w:r>
              <w:rPr>
                <w:rFonts w:hint="eastAsia" w:ascii="宋体" w:hAnsi="宋体" w:cs="宋体"/>
                <w:sz w:val="24"/>
                <w:szCs w:val="24"/>
                <w:highlight w:val="none"/>
              </w:rPr>
              <w:t>投标报价</w:t>
            </w:r>
          </w:p>
        </w:tc>
        <w:tc>
          <w:tcPr>
            <w:tcW w:w="6053" w:type="dxa"/>
            <w:vAlign w:val="center"/>
          </w:tcPr>
          <w:p w14:paraId="45EA02A5">
            <w:pPr>
              <w:spacing w:line="360" w:lineRule="auto"/>
              <w:rPr>
                <w:rFonts w:ascii="宋体" w:hAnsi="宋体" w:cs="宋体"/>
                <w:sz w:val="24"/>
                <w:szCs w:val="24"/>
                <w:highlight w:val="none"/>
              </w:rPr>
            </w:pPr>
            <w:r>
              <w:rPr>
                <w:rFonts w:hint="eastAsia" w:ascii="宋体" w:hAnsi="宋体" w:cs="宋体"/>
                <w:sz w:val="24"/>
                <w:szCs w:val="24"/>
                <w:highlight w:val="none"/>
              </w:rPr>
              <w:t>以中标价为依据签订总价合同。</w:t>
            </w:r>
          </w:p>
        </w:tc>
      </w:tr>
      <w:tr w14:paraId="3777C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985" w:type="dxa"/>
            <w:vAlign w:val="center"/>
          </w:tcPr>
          <w:p w14:paraId="10438D83">
            <w:pPr>
              <w:spacing w:line="360" w:lineRule="auto"/>
              <w:jc w:val="center"/>
              <w:rPr>
                <w:rFonts w:ascii="宋体" w:hAnsi="宋体" w:cs="宋体"/>
                <w:sz w:val="24"/>
                <w:szCs w:val="24"/>
                <w:highlight w:val="none"/>
              </w:rPr>
            </w:pPr>
            <w:r>
              <w:rPr>
                <w:rFonts w:hint="eastAsia" w:ascii="宋体" w:hAnsi="宋体" w:cs="宋体"/>
                <w:sz w:val="24"/>
                <w:szCs w:val="24"/>
                <w:highlight w:val="none"/>
              </w:rPr>
              <w:t>3.3.1</w:t>
            </w:r>
          </w:p>
        </w:tc>
        <w:tc>
          <w:tcPr>
            <w:tcW w:w="1966" w:type="dxa"/>
            <w:vAlign w:val="center"/>
          </w:tcPr>
          <w:p w14:paraId="1E013333">
            <w:pPr>
              <w:spacing w:line="360" w:lineRule="auto"/>
              <w:jc w:val="center"/>
              <w:rPr>
                <w:rFonts w:ascii="宋体" w:hAnsi="宋体" w:cs="宋体"/>
                <w:sz w:val="24"/>
                <w:szCs w:val="24"/>
                <w:highlight w:val="none"/>
              </w:rPr>
            </w:pPr>
            <w:r>
              <w:rPr>
                <w:rFonts w:hint="eastAsia" w:ascii="宋体" w:hAnsi="宋体" w:cs="宋体"/>
                <w:sz w:val="24"/>
                <w:szCs w:val="24"/>
                <w:highlight w:val="none"/>
              </w:rPr>
              <w:t>投标有效期</w:t>
            </w:r>
          </w:p>
        </w:tc>
        <w:tc>
          <w:tcPr>
            <w:tcW w:w="6053" w:type="dxa"/>
            <w:vAlign w:val="center"/>
          </w:tcPr>
          <w:p w14:paraId="02997E84">
            <w:pPr>
              <w:spacing w:line="360" w:lineRule="auto"/>
              <w:jc w:val="left"/>
              <w:rPr>
                <w:rFonts w:ascii="宋体" w:hAnsi="宋体" w:cs="宋体"/>
                <w:sz w:val="24"/>
                <w:szCs w:val="24"/>
                <w:highlight w:val="none"/>
              </w:rPr>
            </w:pPr>
            <w:r>
              <w:rPr>
                <w:rFonts w:hint="eastAsia" w:ascii="宋体" w:hAnsi="宋体" w:cs="宋体"/>
                <w:sz w:val="24"/>
                <w:szCs w:val="24"/>
                <w:highlight w:val="none"/>
              </w:rPr>
              <w:t>90日历天（从投标截止之日算起）</w:t>
            </w:r>
          </w:p>
        </w:tc>
      </w:tr>
      <w:tr w14:paraId="46855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985" w:type="dxa"/>
            <w:vAlign w:val="center"/>
          </w:tcPr>
          <w:p w14:paraId="6948B8AB">
            <w:pPr>
              <w:spacing w:line="360" w:lineRule="auto"/>
              <w:jc w:val="center"/>
              <w:rPr>
                <w:rFonts w:ascii="宋体" w:hAnsi="宋体" w:cs="宋体"/>
                <w:sz w:val="24"/>
                <w:szCs w:val="24"/>
                <w:highlight w:val="none"/>
              </w:rPr>
            </w:pPr>
            <w:r>
              <w:rPr>
                <w:rFonts w:hint="eastAsia" w:ascii="宋体" w:hAnsi="宋体" w:cs="宋体"/>
                <w:sz w:val="24"/>
                <w:szCs w:val="24"/>
                <w:highlight w:val="none"/>
              </w:rPr>
              <w:t>3.6</w:t>
            </w:r>
          </w:p>
        </w:tc>
        <w:tc>
          <w:tcPr>
            <w:tcW w:w="1966" w:type="dxa"/>
            <w:vAlign w:val="center"/>
          </w:tcPr>
          <w:p w14:paraId="72BF4EEB">
            <w:pPr>
              <w:spacing w:line="360" w:lineRule="auto"/>
              <w:jc w:val="center"/>
              <w:rPr>
                <w:rFonts w:ascii="宋体" w:hAnsi="宋体" w:cs="宋体"/>
                <w:sz w:val="24"/>
                <w:szCs w:val="24"/>
                <w:highlight w:val="none"/>
              </w:rPr>
            </w:pPr>
            <w:r>
              <w:rPr>
                <w:rFonts w:hint="eastAsia" w:ascii="宋体" w:hAnsi="宋体" w:cs="宋体"/>
                <w:sz w:val="24"/>
                <w:szCs w:val="24"/>
                <w:highlight w:val="none"/>
              </w:rPr>
              <w:t>投标保证金</w:t>
            </w:r>
          </w:p>
        </w:tc>
        <w:tc>
          <w:tcPr>
            <w:tcW w:w="6053" w:type="dxa"/>
            <w:vAlign w:val="center"/>
          </w:tcPr>
          <w:p w14:paraId="1F74469E">
            <w:pPr>
              <w:spacing w:line="360" w:lineRule="auto"/>
              <w:rPr>
                <w:rFonts w:ascii="宋体" w:hAnsi="宋体" w:cs="宋体"/>
                <w:sz w:val="24"/>
                <w:szCs w:val="24"/>
                <w:highlight w:val="none"/>
              </w:rPr>
            </w:pPr>
            <w:r>
              <w:rPr>
                <w:rFonts w:hint="eastAsia" w:ascii="宋体" w:hAnsi="宋体" w:cs="宋体"/>
                <w:b/>
                <w:bCs/>
                <w:sz w:val="24"/>
                <w:szCs w:val="24"/>
                <w:highlight w:val="none"/>
              </w:rPr>
              <w:t>投标保证金：本项目不缴纳投标保证金（招标文件中关于投标保证金要求均不适用）</w:t>
            </w:r>
          </w:p>
        </w:tc>
      </w:tr>
      <w:tr w14:paraId="7BE87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985" w:type="dxa"/>
            <w:vAlign w:val="center"/>
          </w:tcPr>
          <w:p w14:paraId="50A42762">
            <w:pPr>
              <w:spacing w:line="360" w:lineRule="auto"/>
              <w:jc w:val="center"/>
              <w:rPr>
                <w:rFonts w:ascii="宋体" w:hAnsi="宋体" w:cs="宋体"/>
                <w:sz w:val="24"/>
                <w:szCs w:val="24"/>
                <w:highlight w:val="none"/>
              </w:rPr>
            </w:pPr>
            <w:r>
              <w:rPr>
                <w:rFonts w:hint="eastAsia" w:ascii="宋体" w:hAnsi="宋体" w:cs="宋体"/>
                <w:sz w:val="24"/>
                <w:szCs w:val="24"/>
                <w:highlight w:val="none"/>
              </w:rPr>
              <w:t>3.4.2</w:t>
            </w:r>
          </w:p>
        </w:tc>
        <w:tc>
          <w:tcPr>
            <w:tcW w:w="1966" w:type="dxa"/>
            <w:vAlign w:val="center"/>
          </w:tcPr>
          <w:p w14:paraId="67785FF2">
            <w:pPr>
              <w:spacing w:line="360" w:lineRule="auto"/>
              <w:jc w:val="center"/>
              <w:rPr>
                <w:rFonts w:ascii="宋体" w:hAnsi="宋体" w:cs="宋体"/>
                <w:sz w:val="24"/>
                <w:szCs w:val="24"/>
                <w:highlight w:val="none"/>
              </w:rPr>
            </w:pPr>
            <w:r>
              <w:rPr>
                <w:rFonts w:hint="eastAsia" w:ascii="宋体" w:hAnsi="宋体" w:cs="宋体"/>
                <w:sz w:val="24"/>
                <w:szCs w:val="24"/>
                <w:highlight w:val="none"/>
              </w:rPr>
              <w:t>代理服务费</w:t>
            </w:r>
          </w:p>
        </w:tc>
        <w:tc>
          <w:tcPr>
            <w:tcW w:w="6053" w:type="dxa"/>
            <w:vAlign w:val="center"/>
          </w:tcPr>
          <w:p w14:paraId="7953DB5E">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1.收费标准：按国家计委颁发的《招标代理服务收费管理暂行办法》（计价格[2002]1980号）</w:t>
            </w:r>
            <w:r>
              <w:rPr>
                <w:rFonts w:hint="eastAsia" w:ascii="宋体" w:hAnsi="宋体" w:cs="宋体"/>
                <w:sz w:val="24"/>
                <w:szCs w:val="24"/>
                <w:highlight w:val="none"/>
                <w:lang w:eastAsia="zh-CN"/>
              </w:rPr>
              <w:t>、</w:t>
            </w:r>
            <w:r>
              <w:rPr>
                <w:rFonts w:hint="eastAsia" w:ascii="宋体" w:hAnsi="宋体" w:cs="宋体"/>
                <w:sz w:val="24"/>
                <w:szCs w:val="24"/>
                <w:highlight w:val="none"/>
              </w:rPr>
              <w:t>国家发展</w:t>
            </w:r>
            <w:r>
              <w:rPr>
                <w:rFonts w:hint="eastAsia" w:ascii="宋体" w:hAnsi="宋体" w:cs="宋体"/>
                <w:sz w:val="24"/>
                <w:szCs w:val="24"/>
                <w:highlight w:val="none"/>
                <w:lang w:val="en-US" w:eastAsia="zh-CN"/>
              </w:rPr>
              <w:t>和</w:t>
            </w:r>
            <w:r>
              <w:rPr>
                <w:rFonts w:hint="eastAsia" w:ascii="宋体" w:hAnsi="宋体" w:cs="宋体"/>
                <w:sz w:val="24"/>
                <w:szCs w:val="24"/>
                <w:highlight w:val="none"/>
              </w:rPr>
              <w:t>改革委员会办公厅颁发的《关于招标代理服务收费有关问题的通知》（发改办价格[2003]857号）的有关标准执行。</w:t>
            </w:r>
          </w:p>
          <w:p w14:paraId="505C6AE4">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2.由中标单位向招标代理机构一次性缴付招标代理服务费。</w:t>
            </w:r>
          </w:p>
        </w:tc>
      </w:tr>
      <w:tr w14:paraId="4AC99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985" w:type="dxa"/>
            <w:vAlign w:val="center"/>
          </w:tcPr>
          <w:p w14:paraId="4FE1F447">
            <w:pPr>
              <w:spacing w:line="360" w:lineRule="auto"/>
              <w:jc w:val="center"/>
              <w:rPr>
                <w:rFonts w:ascii="宋体" w:hAnsi="宋体" w:cs="宋体"/>
                <w:sz w:val="24"/>
                <w:szCs w:val="24"/>
                <w:highlight w:val="none"/>
              </w:rPr>
            </w:pPr>
            <w:r>
              <w:rPr>
                <w:rFonts w:hint="eastAsia" w:ascii="宋体" w:hAnsi="宋体" w:cs="宋体"/>
                <w:sz w:val="24"/>
                <w:szCs w:val="24"/>
                <w:highlight w:val="none"/>
              </w:rPr>
              <w:t>3.5</w:t>
            </w:r>
          </w:p>
        </w:tc>
        <w:tc>
          <w:tcPr>
            <w:tcW w:w="1966" w:type="dxa"/>
            <w:vAlign w:val="center"/>
          </w:tcPr>
          <w:p w14:paraId="75B9C55C">
            <w:pPr>
              <w:spacing w:line="360" w:lineRule="auto"/>
              <w:jc w:val="center"/>
              <w:rPr>
                <w:rFonts w:ascii="宋体" w:hAnsi="宋体" w:cs="宋体"/>
                <w:sz w:val="24"/>
                <w:szCs w:val="24"/>
                <w:highlight w:val="none"/>
              </w:rPr>
            </w:pPr>
            <w:r>
              <w:rPr>
                <w:rFonts w:hint="eastAsia" w:ascii="宋体" w:hAnsi="宋体" w:cs="宋体"/>
                <w:sz w:val="24"/>
                <w:szCs w:val="24"/>
                <w:highlight w:val="none"/>
              </w:rPr>
              <w:t>是否允许递交</w:t>
            </w:r>
          </w:p>
          <w:p w14:paraId="497DBFD2">
            <w:pPr>
              <w:spacing w:line="360" w:lineRule="auto"/>
              <w:jc w:val="center"/>
              <w:rPr>
                <w:rFonts w:ascii="宋体" w:hAnsi="宋体" w:cs="宋体"/>
                <w:sz w:val="24"/>
                <w:szCs w:val="24"/>
                <w:highlight w:val="none"/>
              </w:rPr>
            </w:pPr>
            <w:r>
              <w:rPr>
                <w:rFonts w:hint="eastAsia" w:ascii="宋体" w:hAnsi="宋体" w:cs="宋体"/>
                <w:sz w:val="24"/>
                <w:szCs w:val="24"/>
                <w:highlight w:val="none"/>
              </w:rPr>
              <w:t>备选投标方案</w:t>
            </w:r>
          </w:p>
        </w:tc>
        <w:tc>
          <w:tcPr>
            <w:tcW w:w="6053" w:type="dxa"/>
            <w:vAlign w:val="center"/>
          </w:tcPr>
          <w:p w14:paraId="5A13AF2C">
            <w:pPr>
              <w:spacing w:line="360" w:lineRule="auto"/>
              <w:rPr>
                <w:rFonts w:ascii="宋体" w:hAnsi="宋体" w:cs="宋体"/>
                <w:sz w:val="24"/>
                <w:szCs w:val="24"/>
                <w:highlight w:val="none"/>
              </w:rPr>
            </w:pPr>
            <w:r>
              <w:rPr>
                <w:rFonts w:hint="eastAsia" w:ascii="宋体" w:hAnsi="宋体" w:cs="宋体"/>
                <w:sz w:val="24"/>
                <w:szCs w:val="24"/>
                <w:highlight w:val="none"/>
              </w:rPr>
              <w:t>不允许</w:t>
            </w:r>
          </w:p>
        </w:tc>
      </w:tr>
      <w:tr w14:paraId="61123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85" w:type="dxa"/>
            <w:vAlign w:val="center"/>
          </w:tcPr>
          <w:p w14:paraId="60FEF9EF">
            <w:pPr>
              <w:spacing w:line="360" w:lineRule="auto"/>
              <w:jc w:val="center"/>
              <w:rPr>
                <w:rFonts w:ascii="宋体" w:hAnsi="宋体" w:cs="宋体"/>
                <w:sz w:val="24"/>
                <w:szCs w:val="24"/>
                <w:highlight w:val="none"/>
              </w:rPr>
            </w:pPr>
            <w:r>
              <w:rPr>
                <w:rFonts w:hint="eastAsia" w:ascii="宋体" w:hAnsi="宋体" w:cs="宋体"/>
                <w:sz w:val="24"/>
                <w:szCs w:val="24"/>
                <w:highlight w:val="none"/>
              </w:rPr>
              <w:t>3.6.3</w:t>
            </w:r>
          </w:p>
        </w:tc>
        <w:tc>
          <w:tcPr>
            <w:tcW w:w="1966" w:type="dxa"/>
            <w:vAlign w:val="center"/>
          </w:tcPr>
          <w:p w14:paraId="20BFC28F">
            <w:pPr>
              <w:spacing w:line="360" w:lineRule="auto"/>
              <w:jc w:val="center"/>
              <w:rPr>
                <w:rFonts w:ascii="宋体" w:hAnsi="宋体" w:cs="宋体"/>
                <w:sz w:val="24"/>
                <w:szCs w:val="24"/>
                <w:highlight w:val="none"/>
              </w:rPr>
            </w:pPr>
            <w:r>
              <w:rPr>
                <w:rFonts w:hint="eastAsia" w:ascii="宋体" w:hAnsi="宋体" w:cs="宋体"/>
                <w:sz w:val="24"/>
                <w:szCs w:val="24"/>
                <w:highlight w:val="none"/>
              </w:rPr>
              <w:t>签字或盖章要求</w:t>
            </w:r>
          </w:p>
        </w:tc>
        <w:tc>
          <w:tcPr>
            <w:tcW w:w="6053" w:type="dxa"/>
            <w:vAlign w:val="center"/>
          </w:tcPr>
          <w:p w14:paraId="19C691E8">
            <w:pPr>
              <w:spacing w:line="360" w:lineRule="auto"/>
              <w:rPr>
                <w:rFonts w:ascii="宋体" w:hAnsi="宋体" w:cs="宋体"/>
                <w:sz w:val="24"/>
                <w:szCs w:val="24"/>
                <w:highlight w:val="none"/>
              </w:rPr>
            </w:pPr>
            <w:r>
              <w:rPr>
                <w:rFonts w:hint="eastAsia" w:ascii="宋体" w:hAnsi="宋体" w:cs="宋体"/>
                <w:sz w:val="24"/>
                <w:szCs w:val="24"/>
                <w:highlight w:val="none"/>
              </w:rPr>
              <w:t>投标文件封面、投标函及其它有要求处必须加盖投标人公章并经法定代表人或其委托代理人签字或盖章。</w:t>
            </w:r>
            <w:bookmarkStart w:id="12" w:name="_Toc343511347"/>
          </w:p>
          <w:p w14:paraId="76C33B00">
            <w:pPr>
              <w:spacing w:line="360" w:lineRule="auto"/>
              <w:rPr>
                <w:rFonts w:ascii="宋体" w:hAnsi="宋体" w:cs="宋体"/>
                <w:sz w:val="24"/>
                <w:szCs w:val="24"/>
                <w:highlight w:val="none"/>
              </w:rPr>
            </w:pPr>
            <w:r>
              <w:rPr>
                <w:rFonts w:hint="eastAsia" w:ascii="宋体" w:hAnsi="宋体" w:cs="宋体"/>
                <w:sz w:val="24"/>
                <w:szCs w:val="24"/>
                <w:highlight w:val="none"/>
              </w:rPr>
              <w:t>投标文件应无涂改或行间插字和增删。如确需修改，修改处必须由投标人加盖投标人公章并经法定代表人或其委托代理人签字或盖章。</w:t>
            </w:r>
            <w:bookmarkEnd w:id="12"/>
          </w:p>
        </w:tc>
      </w:tr>
      <w:tr w14:paraId="059F7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985" w:type="dxa"/>
            <w:vAlign w:val="center"/>
          </w:tcPr>
          <w:p w14:paraId="359B33CE">
            <w:pPr>
              <w:spacing w:line="360" w:lineRule="auto"/>
              <w:jc w:val="center"/>
              <w:rPr>
                <w:rFonts w:ascii="宋体" w:hAnsi="宋体" w:cs="宋体"/>
                <w:sz w:val="24"/>
                <w:szCs w:val="24"/>
                <w:highlight w:val="none"/>
              </w:rPr>
            </w:pPr>
            <w:r>
              <w:rPr>
                <w:rFonts w:hint="eastAsia" w:ascii="宋体" w:hAnsi="宋体" w:cs="宋体"/>
                <w:sz w:val="24"/>
                <w:szCs w:val="24"/>
                <w:highlight w:val="none"/>
              </w:rPr>
              <w:t>3.6.4</w:t>
            </w:r>
          </w:p>
        </w:tc>
        <w:tc>
          <w:tcPr>
            <w:tcW w:w="1966" w:type="dxa"/>
            <w:vAlign w:val="center"/>
          </w:tcPr>
          <w:p w14:paraId="79CA15BA">
            <w:pPr>
              <w:spacing w:line="360" w:lineRule="auto"/>
              <w:jc w:val="center"/>
              <w:rPr>
                <w:rFonts w:ascii="宋体" w:hAnsi="宋体" w:cs="宋体"/>
                <w:sz w:val="24"/>
                <w:szCs w:val="24"/>
                <w:highlight w:val="none"/>
              </w:rPr>
            </w:pPr>
            <w:r>
              <w:rPr>
                <w:rFonts w:hint="eastAsia" w:ascii="宋体" w:hAnsi="宋体" w:cs="宋体"/>
                <w:sz w:val="24"/>
                <w:szCs w:val="24"/>
                <w:highlight w:val="none"/>
              </w:rPr>
              <w:t>投标文件份数</w:t>
            </w:r>
          </w:p>
        </w:tc>
        <w:tc>
          <w:tcPr>
            <w:tcW w:w="6053" w:type="dxa"/>
            <w:vAlign w:val="center"/>
          </w:tcPr>
          <w:p w14:paraId="6F75615E">
            <w:pPr>
              <w:spacing w:line="360" w:lineRule="auto"/>
              <w:rPr>
                <w:rFonts w:ascii="宋体" w:hAnsi="宋体" w:cs="宋体"/>
                <w:sz w:val="24"/>
                <w:szCs w:val="24"/>
                <w:highlight w:val="none"/>
              </w:rPr>
            </w:pPr>
            <w:r>
              <w:rPr>
                <w:rFonts w:hint="eastAsia" w:ascii="宋体" w:hAnsi="宋体" w:cs="宋体"/>
                <w:sz w:val="24"/>
                <w:szCs w:val="24"/>
                <w:highlight w:val="none"/>
              </w:rPr>
              <w:t>投标文件正本</w:t>
            </w:r>
            <w:r>
              <w:rPr>
                <w:rFonts w:hint="eastAsia" w:ascii="宋体" w:hAnsi="宋体" w:cs="宋体"/>
                <w:sz w:val="24"/>
                <w:szCs w:val="24"/>
                <w:highlight w:val="none"/>
                <w:u w:val="single"/>
              </w:rPr>
              <w:t>壹</w:t>
            </w:r>
            <w:r>
              <w:rPr>
                <w:rFonts w:hint="eastAsia" w:ascii="宋体" w:hAnsi="宋体" w:cs="宋体"/>
                <w:sz w:val="24"/>
                <w:szCs w:val="24"/>
                <w:highlight w:val="none"/>
              </w:rPr>
              <w:t>份,副本</w:t>
            </w:r>
            <w:r>
              <w:rPr>
                <w:rFonts w:hint="eastAsia" w:ascii="宋体" w:hAnsi="宋体" w:cs="宋体"/>
                <w:sz w:val="24"/>
                <w:szCs w:val="24"/>
                <w:highlight w:val="none"/>
                <w:u w:val="single"/>
              </w:rPr>
              <w:t>贰</w:t>
            </w:r>
            <w:r>
              <w:rPr>
                <w:rFonts w:hint="eastAsia" w:ascii="宋体" w:hAnsi="宋体" w:cs="宋体"/>
                <w:sz w:val="24"/>
                <w:szCs w:val="24"/>
                <w:highlight w:val="none"/>
              </w:rPr>
              <w:t>份,</w:t>
            </w:r>
            <w:r>
              <w:rPr>
                <w:rFonts w:hint="eastAsia" w:ascii="宋体" w:hAnsi="宋体" w:cs="宋体"/>
                <w:b/>
                <w:bCs/>
                <w:sz w:val="24"/>
                <w:szCs w:val="24"/>
                <w:highlight w:val="none"/>
              </w:rPr>
              <w:t>投标文件电子版</w:t>
            </w:r>
            <w:r>
              <w:rPr>
                <w:rFonts w:hint="eastAsia" w:ascii="宋体" w:hAnsi="宋体" w:cs="宋体"/>
                <w:b/>
                <w:bCs/>
                <w:sz w:val="24"/>
                <w:szCs w:val="24"/>
                <w:highlight w:val="none"/>
                <w:lang w:eastAsia="zh-CN"/>
              </w:rPr>
              <w:t>（</w:t>
            </w:r>
            <w:r>
              <w:rPr>
                <w:rFonts w:hint="eastAsia" w:ascii="宋体" w:hAnsi="宋体" w:cs="宋体"/>
                <w:b/>
                <w:bCs/>
                <w:sz w:val="24"/>
                <w:szCs w:val="24"/>
                <w:highlight w:val="none"/>
                <w:lang w:val="en-US" w:eastAsia="zh-CN"/>
              </w:rPr>
              <w:t>word及PDF)</w:t>
            </w:r>
            <w:r>
              <w:rPr>
                <w:rFonts w:hint="eastAsia" w:ascii="宋体" w:hAnsi="宋体" w:cs="宋体"/>
                <w:sz w:val="24"/>
                <w:szCs w:val="24"/>
                <w:highlight w:val="none"/>
                <w:u w:val="single"/>
              </w:rPr>
              <w:t>壹</w:t>
            </w:r>
            <w:r>
              <w:rPr>
                <w:rFonts w:hint="eastAsia" w:ascii="宋体" w:hAnsi="宋体" w:cs="宋体"/>
                <w:sz w:val="24"/>
                <w:szCs w:val="24"/>
                <w:highlight w:val="none"/>
              </w:rPr>
              <w:t>份（U盘），开标一览表</w:t>
            </w:r>
            <w:r>
              <w:rPr>
                <w:rFonts w:hint="eastAsia" w:ascii="宋体" w:hAnsi="宋体" w:cs="宋体"/>
                <w:sz w:val="24"/>
                <w:szCs w:val="24"/>
                <w:highlight w:val="none"/>
                <w:u w:val="single"/>
              </w:rPr>
              <w:t>壹</w:t>
            </w:r>
            <w:r>
              <w:rPr>
                <w:rFonts w:hint="eastAsia" w:ascii="宋体" w:hAnsi="宋体" w:cs="宋体"/>
                <w:sz w:val="24"/>
                <w:szCs w:val="24"/>
                <w:highlight w:val="none"/>
              </w:rPr>
              <w:t>份</w:t>
            </w:r>
          </w:p>
        </w:tc>
      </w:tr>
      <w:tr w14:paraId="28B25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985" w:type="dxa"/>
            <w:vAlign w:val="center"/>
          </w:tcPr>
          <w:p w14:paraId="35922FA4">
            <w:pPr>
              <w:spacing w:line="360" w:lineRule="auto"/>
              <w:jc w:val="center"/>
              <w:rPr>
                <w:rFonts w:ascii="宋体" w:hAnsi="宋体" w:cs="宋体"/>
                <w:sz w:val="24"/>
                <w:szCs w:val="24"/>
                <w:highlight w:val="none"/>
              </w:rPr>
            </w:pPr>
            <w:r>
              <w:rPr>
                <w:rFonts w:hint="eastAsia" w:ascii="宋体" w:hAnsi="宋体" w:cs="宋体"/>
                <w:sz w:val="24"/>
                <w:szCs w:val="24"/>
                <w:highlight w:val="none"/>
              </w:rPr>
              <w:t>4.1.2</w:t>
            </w:r>
          </w:p>
        </w:tc>
        <w:tc>
          <w:tcPr>
            <w:tcW w:w="1966" w:type="dxa"/>
            <w:vAlign w:val="center"/>
          </w:tcPr>
          <w:p w14:paraId="298C9846">
            <w:pPr>
              <w:spacing w:line="360" w:lineRule="auto"/>
              <w:jc w:val="center"/>
              <w:rPr>
                <w:rFonts w:ascii="宋体" w:hAnsi="宋体" w:cs="宋体"/>
                <w:sz w:val="24"/>
                <w:szCs w:val="24"/>
                <w:highlight w:val="none"/>
              </w:rPr>
            </w:pPr>
            <w:r>
              <w:rPr>
                <w:rFonts w:hint="eastAsia" w:ascii="宋体" w:hAnsi="宋体" w:cs="宋体"/>
                <w:sz w:val="24"/>
                <w:szCs w:val="24"/>
                <w:highlight w:val="none"/>
              </w:rPr>
              <w:t>投标文件密封</w:t>
            </w:r>
          </w:p>
        </w:tc>
        <w:tc>
          <w:tcPr>
            <w:tcW w:w="6053" w:type="dxa"/>
            <w:vAlign w:val="center"/>
          </w:tcPr>
          <w:p w14:paraId="0072F78B">
            <w:pPr>
              <w:spacing w:line="360" w:lineRule="auto"/>
              <w:ind w:left="360" w:hanging="360" w:hangingChars="150"/>
              <w:rPr>
                <w:rFonts w:ascii="宋体" w:hAnsi="宋体" w:cs="宋体"/>
                <w:sz w:val="24"/>
                <w:szCs w:val="24"/>
                <w:highlight w:val="none"/>
              </w:rPr>
            </w:pPr>
            <w:r>
              <w:rPr>
                <w:rFonts w:hint="eastAsia" w:ascii="宋体" w:hAnsi="宋体" w:cs="宋体"/>
                <w:sz w:val="24"/>
                <w:szCs w:val="24"/>
                <w:highlight w:val="none"/>
              </w:rPr>
              <w:t>1、投标文件正、副本应分别装订成册，装订应牢固、不易拆散和换页，不得采用活页装订。封袋应加贴封条，并在封线处由法定代表人或委托代理人签字盖章后加盖投标人公章。</w:t>
            </w:r>
          </w:p>
          <w:p w14:paraId="3C848583">
            <w:pPr>
              <w:spacing w:line="360" w:lineRule="auto"/>
              <w:rPr>
                <w:rFonts w:ascii="宋体" w:hAnsi="宋体" w:cs="宋体"/>
                <w:sz w:val="24"/>
                <w:szCs w:val="24"/>
                <w:highlight w:val="none"/>
              </w:rPr>
            </w:pPr>
            <w:r>
              <w:rPr>
                <w:rFonts w:hint="eastAsia" w:ascii="宋体" w:hAnsi="宋体" w:cs="宋体"/>
                <w:sz w:val="24"/>
                <w:szCs w:val="24"/>
                <w:highlight w:val="none"/>
              </w:rPr>
              <w:t>2、密封包装方式：</w:t>
            </w:r>
          </w:p>
          <w:p w14:paraId="65A661D9">
            <w:pPr>
              <w:spacing w:line="360" w:lineRule="auto"/>
              <w:ind w:firstLine="240" w:firstLineChars="100"/>
              <w:rPr>
                <w:rFonts w:ascii="宋体" w:hAnsi="宋体" w:cs="宋体"/>
                <w:sz w:val="24"/>
                <w:szCs w:val="24"/>
                <w:highlight w:val="none"/>
              </w:rPr>
            </w:pPr>
            <w:r>
              <w:rPr>
                <w:rFonts w:hint="eastAsia" w:ascii="宋体" w:hAnsi="宋体" w:cs="宋体"/>
                <w:sz w:val="24"/>
                <w:szCs w:val="24"/>
                <w:highlight w:val="none"/>
              </w:rPr>
              <w:t>（1）投标文件正本、开标一览表、电子版一包密封。</w:t>
            </w:r>
          </w:p>
          <w:p w14:paraId="1314E342">
            <w:pPr>
              <w:spacing w:line="360" w:lineRule="auto"/>
              <w:ind w:firstLine="240" w:firstLineChars="100"/>
              <w:rPr>
                <w:rFonts w:ascii="宋体" w:hAnsi="宋体" w:cs="宋体"/>
                <w:sz w:val="24"/>
                <w:szCs w:val="24"/>
                <w:highlight w:val="none"/>
              </w:rPr>
            </w:pPr>
            <w:r>
              <w:rPr>
                <w:rFonts w:hint="eastAsia" w:ascii="宋体" w:hAnsi="宋体" w:cs="宋体"/>
                <w:sz w:val="24"/>
                <w:szCs w:val="24"/>
                <w:highlight w:val="none"/>
              </w:rPr>
              <w:t>（2）投标文件所有副本一包密封。</w:t>
            </w:r>
          </w:p>
          <w:p w14:paraId="140B1BE1">
            <w:pPr>
              <w:spacing w:line="360" w:lineRule="auto"/>
              <w:rPr>
                <w:rFonts w:ascii="宋体" w:hAnsi="宋体" w:cs="宋体"/>
                <w:sz w:val="24"/>
                <w:szCs w:val="24"/>
                <w:highlight w:val="none"/>
              </w:rPr>
            </w:pPr>
            <w:r>
              <w:rPr>
                <w:rFonts w:hint="eastAsia" w:ascii="宋体" w:hAnsi="宋体" w:cs="宋体"/>
                <w:sz w:val="24"/>
                <w:szCs w:val="24"/>
                <w:highlight w:val="none"/>
              </w:rPr>
              <w:t>3、外层包装请按以下要求标记：</w:t>
            </w:r>
          </w:p>
          <w:p w14:paraId="287ADA03">
            <w:pPr>
              <w:spacing w:line="360" w:lineRule="auto"/>
              <w:ind w:firstLine="360" w:firstLineChars="150"/>
              <w:rPr>
                <w:rFonts w:ascii="宋体" w:hAnsi="宋体" w:cs="宋体"/>
                <w:sz w:val="24"/>
                <w:szCs w:val="24"/>
                <w:highlight w:val="none"/>
              </w:rPr>
            </w:pPr>
            <w:r>
              <w:rPr>
                <w:rFonts w:hint="eastAsia" w:ascii="宋体" w:hAnsi="宋体" w:cs="宋体"/>
                <w:sz w:val="24"/>
                <w:szCs w:val="24"/>
                <w:highlight w:val="none"/>
              </w:rPr>
              <w:t xml:space="preserve">项目名称： </w:t>
            </w:r>
          </w:p>
          <w:p w14:paraId="52EA60A9">
            <w:pPr>
              <w:spacing w:line="360" w:lineRule="auto"/>
              <w:ind w:firstLine="360" w:firstLineChars="150"/>
              <w:rPr>
                <w:rFonts w:ascii="宋体" w:hAnsi="宋体" w:cs="宋体"/>
                <w:sz w:val="24"/>
                <w:szCs w:val="24"/>
                <w:highlight w:val="none"/>
              </w:rPr>
            </w:pPr>
            <w:r>
              <w:rPr>
                <w:rFonts w:hint="eastAsia" w:ascii="宋体" w:hAnsi="宋体" w:cs="宋体"/>
                <w:sz w:val="24"/>
                <w:szCs w:val="24"/>
                <w:highlight w:val="none"/>
              </w:rPr>
              <w:t>项目编号：</w:t>
            </w:r>
          </w:p>
          <w:p w14:paraId="63C868F9">
            <w:pPr>
              <w:spacing w:line="360" w:lineRule="auto"/>
              <w:ind w:firstLine="360" w:firstLineChars="150"/>
              <w:rPr>
                <w:rFonts w:ascii="宋体" w:hAnsi="宋体" w:cs="宋体"/>
                <w:sz w:val="24"/>
                <w:szCs w:val="24"/>
                <w:highlight w:val="none"/>
              </w:rPr>
            </w:pPr>
            <w:r>
              <w:rPr>
                <w:rFonts w:hint="eastAsia" w:ascii="宋体" w:hAnsi="宋体" w:cs="宋体"/>
                <w:sz w:val="24"/>
                <w:szCs w:val="24"/>
                <w:highlight w:val="none"/>
              </w:rPr>
              <w:t>包号：第  包</w:t>
            </w:r>
          </w:p>
          <w:p w14:paraId="05D5F07B">
            <w:pPr>
              <w:spacing w:line="360" w:lineRule="auto"/>
              <w:ind w:firstLine="360" w:firstLineChars="150"/>
              <w:rPr>
                <w:rFonts w:ascii="宋体" w:hAnsi="宋体" w:cs="宋体"/>
                <w:sz w:val="24"/>
                <w:szCs w:val="24"/>
                <w:highlight w:val="none"/>
              </w:rPr>
            </w:pPr>
            <w:r>
              <w:rPr>
                <w:rFonts w:hint="eastAsia" w:ascii="宋体" w:hAnsi="宋体" w:cs="宋体"/>
                <w:sz w:val="24"/>
                <w:szCs w:val="24"/>
                <w:highlight w:val="none"/>
              </w:rPr>
              <w:t>投标人名称：</w:t>
            </w:r>
          </w:p>
          <w:p w14:paraId="55EF1252">
            <w:pPr>
              <w:spacing w:line="360" w:lineRule="auto"/>
              <w:ind w:firstLine="360" w:firstLineChars="150"/>
              <w:rPr>
                <w:rFonts w:ascii="宋体" w:hAnsi="宋体" w:cs="宋体"/>
                <w:sz w:val="24"/>
                <w:szCs w:val="24"/>
                <w:highlight w:val="none"/>
              </w:rPr>
            </w:pPr>
            <w:r>
              <w:rPr>
                <w:rFonts w:hint="eastAsia" w:ascii="宋体" w:hAnsi="宋体" w:cs="宋体"/>
                <w:sz w:val="24"/>
                <w:szCs w:val="24"/>
                <w:highlight w:val="none"/>
              </w:rPr>
              <w:t>内容：“正本”或“副本”</w:t>
            </w:r>
          </w:p>
          <w:p w14:paraId="4566725B">
            <w:pPr>
              <w:spacing w:line="360" w:lineRule="auto"/>
              <w:rPr>
                <w:rFonts w:ascii="宋体" w:hAnsi="宋体" w:cs="宋体"/>
                <w:sz w:val="24"/>
                <w:szCs w:val="24"/>
                <w:highlight w:val="none"/>
              </w:rPr>
            </w:pPr>
            <w:r>
              <w:rPr>
                <w:rFonts w:hint="eastAsia" w:ascii="宋体" w:hAnsi="宋体" w:cs="宋体"/>
                <w:sz w:val="24"/>
                <w:szCs w:val="24"/>
                <w:highlight w:val="none"/>
              </w:rPr>
              <w:t>投标文件在</w:t>
            </w:r>
            <w:r>
              <w:rPr>
                <w:rFonts w:hint="eastAsia" w:ascii="宋体" w:hAnsi="宋体" w:cs="宋体"/>
                <w:sz w:val="24"/>
                <w:szCs w:val="24"/>
                <w:highlight w:val="none"/>
                <w:u w:val="single"/>
              </w:rPr>
              <w:t xml:space="preserve"> 202</w:t>
            </w:r>
            <w:r>
              <w:rPr>
                <w:rFonts w:hint="eastAsia" w:ascii="宋体" w:hAnsi="宋体" w:cs="宋体"/>
                <w:sz w:val="24"/>
                <w:szCs w:val="24"/>
                <w:highlight w:val="none"/>
                <w:u w:val="single"/>
                <w:lang w:val="en-US" w:eastAsia="zh-CN"/>
              </w:rPr>
              <w:t>5</w:t>
            </w:r>
            <w:r>
              <w:rPr>
                <w:rFonts w:hint="eastAsia" w:ascii="宋体" w:hAnsi="宋体" w:cs="宋体"/>
                <w:sz w:val="24"/>
                <w:szCs w:val="24"/>
                <w:highlight w:val="none"/>
                <w:u w:val="single"/>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rPr>
              <w:t>日</w:t>
            </w:r>
            <w:r>
              <w:rPr>
                <w:rFonts w:hint="eastAsia" w:ascii="宋体" w:hAnsi="宋体" w:cs="宋体"/>
                <w:sz w:val="24"/>
                <w:szCs w:val="24"/>
                <w:highlight w:val="none"/>
                <w:u w:val="single"/>
              </w:rPr>
              <w:t xml:space="preserve">    </w:t>
            </w:r>
            <w:r>
              <w:rPr>
                <w:rFonts w:hint="eastAsia" w:ascii="宋体" w:hAnsi="宋体" w:cs="宋体"/>
                <w:sz w:val="24"/>
                <w:szCs w:val="24"/>
                <w:highlight w:val="none"/>
              </w:rPr>
              <w:t>时</w:t>
            </w:r>
            <w:r>
              <w:rPr>
                <w:rFonts w:hint="eastAsia" w:ascii="宋体" w:hAnsi="宋体" w:cs="宋体"/>
                <w:sz w:val="24"/>
                <w:szCs w:val="24"/>
                <w:highlight w:val="none"/>
                <w:u w:val="single"/>
              </w:rPr>
              <w:t xml:space="preserve">   </w:t>
            </w:r>
            <w:r>
              <w:rPr>
                <w:rFonts w:hint="eastAsia" w:ascii="宋体" w:hAnsi="宋体" w:cs="宋体"/>
                <w:sz w:val="24"/>
                <w:szCs w:val="24"/>
                <w:highlight w:val="none"/>
              </w:rPr>
              <w:t>分前不得开启；</w:t>
            </w:r>
          </w:p>
        </w:tc>
      </w:tr>
      <w:tr w14:paraId="75D0D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985" w:type="dxa"/>
            <w:vAlign w:val="center"/>
          </w:tcPr>
          <w:p w14:paraId="49A94895">
            <w:pPr>
              <w:spacing w:line="360" w:lineRule="auto"/>
              <w:jc w:val="center"/>
              <w:rPr>
                <w:rFonts w:ascii="宋体" w:hAnsi="宋体" w:cs="宋体"/>
                <w:sz w:val="24"/>
                <w:szCs w:val="24"/>
                <w:highlight w:val="none"/>
              </w:rPr>
            </w:pPr>
            <w:r>
              <w:rPr>
                <w:rFonts w:hint="eastAsia" w:ascii="宋体" w:hAnsi="宋体" w:cs="宋体"/>
                <w:sz w:val="24"/>
                <w:szCs w:val="24"/>
                <w:highlight w:val="none"/>
              </w:rPr>
              <w:t>4.2.2</w:t>
            </w:r>
          </w:p>
        </w:tc>
        <w:tc>
          <w:tcPr>
            <w:tcW w:w="1966" w:type="dxa"/>
            <w:vAlign w:val="center"/>
          </w:tcPr>
          <w:p w14:paraId="47133433">
            <w:pPr>
              <w:spacing w:line="360" w:lineRule="auto"/>
              <w:jc w:val="center"/>
              <w:rPr>
                <w:rFonts w:ascii="宋体" w:hAnsi="宋体" w:cs="宋体"/>
                <w:sz w:val="24"/>
                <w:szCs w:val="24"/>
                <w:highlight w:val="none"/>
              </w:rPr>
            </w:pPr>
            <w:r>
              <w:rPr>
                <w:rFonts w:hint="eastAsia" w:ascii="宋体" w:hAnsi="宋体" w:cs="宋体"/>
                <w:sz w:val="24"/>
                <w:szCs w:val="24"/>
                <w:highlight w:val="none"/>
              </w:rPr>
              <w:t>递交投标文件截止时间、地点</w:t>
            </w:r>
          </w:p>
        </w:tc>
        <w:tc>
          <w:tcPr>
            <w:tcW w:w="6053" w:type="dxa"/>
            <w:vAlign w:val="center"/>
          </w:tcPr>
          <w:p w14:paraId="1C5891BC">
            <w:pPr>
              <w:spacing w:line="360" w:lineRule="auto"/>
              <w:rPr>
                <w:rFonts w:ascii="宋体" w:hAnsi="宋体" w:cs="宋体"/>
                <w:sz w:val="24"/>
                <w:szCs w:val="24"/>
                <w:highlight w:val="none"/>
              </w:rPr>
            </w:pPr>
            <w:r>
              <w:rPr>
                <w:rFonts w:hint="eastAsia" w:ascii="宋体" w:hAnsi="宋体" w:cs="宋体"/>
                <w:sz w:val="24"/>
                <w:szCs w:val="24"/>
                <w:highlight w:val="none"/>
              </w:rPr>
              <w:t>时间：202</w:t>
            </w:r>
            <w:r>
              <w:rPr>
                <w:rFonts w:hint="eastAsia" w:ascii="宋体" w:hAnsi="宋体" w:cs="宋体"/>
                <w:sz w:val="24"/>
                <w:szCs w:val="24"/>
                <w:highlight w:val="none"/>
                <w:lang w:val="en-US" w:eastAsia="zh-CN"/>
              </w:rPr>
              <w:t>5</w:t>
            </w:r>
            <w:r>
              <w:rPr>
                <w:rFonts w:hint="eastAsia" w:ascii="宋体" w:hAnsi="宋体" w:cs="宋体"/>
                <w:sz w:val="24"/>
                <w:szCs w:val="24"/>
                <w:highlight w:val="none"/>
              </w:rPr>
              <w:t>年</w:t>
            </w:r>
            <w:r>
              <w:rPr>
                <w:rFonts w:hint="eastAsia" w:ascii="宋体" w:hAnsi="宋体" w:cs="宋体"/>
                <w:sz w:val="24"/>
                <w:szCs w:val="24"/>
                <w:highlight w:val="none"/>
                <w:lang w:val="en-US" w:eastAsia="zh-CN"/>
              </w:rPr>
              <w:t>06</w:t>
            </w:r>
            <w:r>
              <w:rPr>
                <w:rFonts w:hint="eastAsia" w:ascii="宋体" w:hAnsi="宋体" w:cs="宋体"/>
                <w:sz w:val="24"/>
                <w:szCs w:val="24"/>
                <w:highlight w:val="none"/>
              </w:rPr>
              <w:t>月</w:t>
            </w:r>
            <w:r>
              <w:rPr>
                <w:rFonts w:hint="eastAsia" w:ascii="宋体" w:hAnsi="宋体" w:cs="宋体"/>
                <w:sz w:val="24"/>
                <w:szCs w:val="24"/>
                <w:highlight w:val="none"/>
                <w:lang w:val="en-US" w:eastAsia="zh-CN"/>
              </w:rPr>
              <w:t>10</w:t>
            </w:r>
            <w:r>
              <w:rPr>
                <w:rFonts w:hint="eastAsia" w:ascii="宋体" w:hAnsi="宋体" w:cs="宋体"/>
                <w:sz w:val="24"/>
                <w:szCs w:val="24"/>
                <w:highlight w:val="none"/>
              </w:rPr>
              <w:t>日 09时</w:t>
            </w:r>
            <w:r>
              <w:rPr>
                <w:rFonts w:hint="eastAsia" w:ascii="宋体" w:hAnsi="宋体" w:cs="宋体"/>
                <w:sz w:val="24"/>
                <w:szCs w:val="24"/>
                <w:highlight w:val="none"/>
                <w:lang w:val="en-US" w:eastAsia="zh-CN"/>
              </w:rPr>
              <w:t>30</w:t>
            </w:r>
            <w:r>
              <w:rPr>
                <w:rFonts w:hint="eastAsia" w:ascii="宋体" w:hAnsi="宋体" w:cs="宋体"/>
                <w:sz w:val="24"/>
                <w:szCs w:val="24"/>
                <w:highlight w:val="none"/>
              </w:rPr>
              <w:t xml:space="preserve">分00秒 </w:t>
            </w:r>
          </w:p>
          <w:p w14:paraId="25BD26EC">
            <w:pPr>
              <w:spacing w:line="360" w:lineRule="auto"/>
              <w:rPr>
                <w:rFonts w:ascii="宋体" w:hAnsi="宋体" w:cs="宋体"/>
                <w:sz w:val="24"/>
                <w:szCs w:val="24"/>
                <w:highlight w:val="none"/>
              </w:rPr>
            </w:pPr>
            <w:r>
              <w:rPr>
                <w:rFonts w:hint="eastAsia" w:ascii="宋体" w:hAnsi="宋体" w:cs="宋体"/>
                <w:sz w:val="24"/>
                <w:szCs w:val="24"/>
                <w:highlight w:val="none"/>
              </w:rPr>
              <w:t>地点：陕西省西安市经济技术开发区未央路171-1号银池道拉斯财富中心21楼</w:t>
            </w:r>
          </w:p>
        </w:tc>
      </w:tr>
      <w:tr w14:paraId="6A10D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985" w:type="dxa"/>
            <w:vAlign w:val="center"/>
          </w:tcPr>
          <w:p w14:paraId="33823FBA">
            <w:pPr>
              <w:spacing w:line="360" w:lineRule="auto"/>
              <w:jc w:val="center"/>
              <w:rPr>
                <w:rFonts w:ascii="宋体" w:hAnsi="宋体" w:cs="宋体"/>
                <w:sz w:val="24"/>
                <w:szCs w:val="24"/>
                <w:highlight w:val="none"/>
              </w:rPr>
            </w:pPr>
            <w:r>
              <w:rPr>
                <w:rFonts w:hint="eastAsia" w:ascii="宋体" w:hAnsi="宋体" w:cs="宋体"/>
                <w:sz w:val="24"/>
                <w:szCs w:val="24"/>
                <w:highlight w:val="none"/>
              </w:rPr>
              <w:t>4.2.3</w:t>
            </w:r>
          </w:p>
        </w:tc>
        <w:tc>
          <w:tcPr>
            <w:tcW w:w="1966" w:type="dxa"/>
            <w:vAlign w:val="center"/>
          </w:tcPr>
          <w:p w14:paraId="201DD9B1">
            <w:pPr>
              <w:spacing w:line="360" w:lineRule="auto"/>
              <w:jc w:val="center"/>
              <w:rPr>
                <w:rFonts w:ascii="宋体" w:hAnsi="宋体" w:cs="宋体"/>
                <w:sz w:val="24"/>
                <w:szCs w:val="24"/>
                <w:highlight w:val="none"/>
              </w:rPr>
            </w:pPr>
            <w:r>
              <w:rPr>
                <w:rFonts w:hint="eastAsia" w:ascii="宋体" w:hAnsi="宋体" w:cs="宋体"/>
                <w:sz w:val="24"/>
                <w:szCs w:val="24"/>
                <w:highlight w:val="none"/>
              </w:rPr>
              <w:t>是否退还投标文件</w:t>
            </w:r>
          </w:p>
        </w:tc>
        <w:tc>
          <w:tcPr>
            <w:tcW w:w="6053" w:type="dxa"/>
            <w:vAlign w:val="center"/>
          </w:tcPr>
          <w:p w14:paraId="463CCD11">
            <w:pPr>
              <w:spacing w:line="360" w:lineRule="auto"/>
              <w:rPr>
                <w:rFonts w:ascii="宋体" w:hAnsi="宋体" w:cs="宋体"/>
                <w:sz w:val="24"/>
                <w:szCs w:val="24"/>
                <w:highlight w:val="none"/>
              </w:rPr>
            </w:pPr>
            <w:r>
              <w:rPr>
                <w:rFonts w:hint="eastAsia" w:ascii="宋体" w:hAnsi="宋体" w:cs="宋体"/>
                <w:sz w:val="24"/>
                <w:szCs w:val="24"/>
                <w:highlight w:val="none"/>
              </w:rPr>
              <w:t>否</w:t>
            </w:r>
          </w:p>
        </w:tc>
      </w:tr>
      <w:tr w14:paraId="61132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85" w:type="dxa"/>
            <w:vAlign w:val="center"/>
          </w:tcPr>
          <w:p w14:paraId="22817554">
            <w:pPr>
              <w:spacing w:line="360" w:lineRule="auto"/>
              <w:jc w:val="center"/>
              <w:rPr>
                <w:rFonts w:ascii="宋体" w:hAnsi="宋体" w:cs="宋体"/>
                <w:sz w:val="24"/>
                <w:szCs w:val="24"/>
                <w:highlight w:val="none"/>
              </w:rPr>
            </w:pPr>
            <w:r>
              <w:rPr>
                <w:rFonts w:hint="eastAsia" w:ascii="宋体" w:hAnsi="宋体" w:cs="宋体"/>
                <w:sz w:val="24"/>
                <w:szCs w:val="24"/>
                <w:highlight w:val="none"/>
              </w:rPr>
              <w:t>5.1</w:t>
            </w:r>
          </w:p>
        </w:tc>
        <w:tc>
          <w:tcPr>
            <w:tcW w:w="1966" w:type="dxa"/>
            <w:vAlign w:val="center"/>
          </w:tcPr>
          <w:p w14:paraId="3391C5F4">
            <w:pPr>
              <w:spacing w:line="360" w:lineRule="auto"/>
              <w:jc w:val="center"/>
              <w:rPr>
                <w:rFonts w:ascii="宋体" w:hAnsi="宋体" w:cs="宋体"/>
                <w:sz w:val="24"/>
                <w:szCs w:val="24"/>
                <w:highlight w:val="none"/>
              </w:rPr>
            </w:pPr>
            <w:r>
              <w:rPr>
                <w:rFonts w:hint="eastAsia" w:ascii="宋体" w:hAnsi="宋体" w:cs="宋体"/>
                <w:sz w:val="24"/>
                <w:szCs w:val="24"/>
                <w:highlight w:val="none"/>
              </w:rPr>
              <w:t>开标时间和地点</w:t>
            </w:r>
          </w:p>
        </w:tc>
        <w:tc>
          <w:tcPr>
            <w:tcW w:w="6053" w:type="dxa"/>
            <w:vAlign w:val="center"/>
          </w:tcPr>
          <w:p w14:paraId="04708058">
            <w:pPr>
              <w:spacing w:line="360" w:lineRule="auto"/>
              <w:rPr>
                <w:rFonts w:ascii="宋体" w:hAnsi="宋体" w:cs="宋体"/>
                <w:sz w:val="24"/>
                <w:szCs w:val="24"/>
                <w:highlight w:val="none"/>
              </w:rPr>
            </w:pPr>
            <w:r>
              <w:rPr>
                <w:rFonts w:hint="eastAsia" w:ascii="宋体" w:hAnsi="宋体" w:cs="宋体"/>
                <w:sz w:val="24"/>
                <w:szCs w:val="24"/>
                <w:highlight w:val="none"/>
              </w:rPr>
              <w:t>开标时间：202</w:t>
            </w:r>
            <w:r>
              <w:rPr>
                <w:rFonts w:hint="eastAsia" w:ascii="宋体" w:hAnsi="宋体" w:cs="宋体"/>
                <w:sz w:val="24"/>
                <w:szCs w:val="24"/>
                <w:highlight w:val="none"/>
                <w:lang w:val="en-US" w:eastAsia="zh-CN"/>
              </w:rPr>
              <w:t>5</w:t>
            </w:r>
            <w:r>
              <w:rPr>
                <w:rFonts w:hint="eastAsia" w:ascii="宋体" w:hAnsi="宋体" w:cs="宋体"/>
                <w:sz w:val="24"/>
                <w:szCs w:val="24"/>
                <w:highlight w:val="none"/>
              </w:rPr>
              <w:t>年</w:t>
            </w:r>
            <w:r>
              <w:rPr>
                <w:rFonts w:hint="eastAsia" w:ascii="宋体" w:hAnsi="宋体" w:cs="宋体"/>
                <w:sz w:val="24"/>
                <w:szCs w:val="24"/>
                <w:highlight w:val="none"/>
                <w:lang w:val="en-US" w:eastAsia="zh-CN"/>
              </w:rPr>
              <w:t>06</w:t>
            </w:r>
            <w:r>
              <w:rPr>
                <w:rFonts w:hint="eastAsia" w:ascii="宋体" w:hAnsi="宋体" w:cs="宋体"/>
                <w:sz w:val="24"/>
                <w:szCs w:val="24"/>
                <w:highlight w:val="none"/>
              </w:rPr>
              <w:t>月</w:t>
            </w:r>
            <w:r>
              <w:rPr>
                <w:rFonts w:hint="eastAsia" w:ascii="宋体" w:hAnsi="宋体" w:cs="宋体"/>
                <w:sz w:val="24"/>
                <w:szCs w:val="24"/>
                <w:highlight w:val="none"/>
                <w:lang w:val="en-US" w:eastAsia="zh-CN"/>
              </w:rPr>
              <w:t>10</w:t>
            </w:r>
            <w:r>
              <w:rPr>
                <w:rFonts w:hint="eastAsia" w:ascii="宋体" w:hAnsi="宋体" w:cs="宋体"/>
                <w:sz w:val="24"/>
                <w:szCs w:val="24"/>
                <w:highlight w:val="none"/>
              </w:rPr>
              <w:t>日 09时</w:t>
            </w:r>
            <w:r>
              <w:rPr>
                <w:rFonts w:hint="eastAsia" w:ascii="宋体" w:hAnsi="宋体" w:cs="宋体"/>
                <w:sz w:val="24"/>
                <w:szCs w:val="24"/>
                <w:highlight w:val="none"/>
                <w:lang w:val="en-US" w:eastAsia="zh-CN"/>
              </w:rPr>
              <w:t>30</w:t>
            </w:r>
            <w:r>
              <w:rPr>
                <w:rFonts w:hint="eastAsia" w:ascii="宋体" w:hAnsi="宋体" w:cs="宋体"/>
                <w:sz w:val="24"/>
                <w:szCs w:val="24"/>
                <w:highlight w:val="none"/>
              </w:rPr>
              <w:t xml:space="preserve">分00秒 </w:t>
            </w:r>
          </w:p>
          <w:p w14:paraId="43091C66">
            <w:pPr>
              <w:spacing w:line="360" w:lineRule="auto"/>
              <w:rPr>
                <w:rFonts w:ascii="宋体" w:hAnsi="宋体" w:cs="宋体"/>
                <w:sz w:val="24"/>
                <w:szCs w:val="24"/>
                <w:highlight w:val="none"/>
              </w:rPr>
            </w:pPr>
            <w:r>
              <w:rPr>
                <w:rFonts w:hint="eastAsia" w:ascii="宋体" w:hAnsi="宋体" w:cs="宋体"/>
                <w:sz w:val="24"/>
                <w:szCs w:val="24"/>
                <w:highlight w:val="none"/>
              </w:rPr>
              <w:t>开标地点</w:t>
            </w:r>
            <w:r>
              <w:rPr>
                <w:rFonts w:hint="eastAsia" w:ascii="宋体" w:hAnsi="宋体" w:cs="宋体"/>
                <w:sz w:val="24"/>
                <w:szCs w:val="24"/>
                <w:highlight w:val="none"/>
                <w:lang w:eastAsia="zh-CN"/>
              </w:rPr>
              <w:t>：</w:t>
            </w:r>
            <w:r>
              <w:rPr>
                <w:rFonts w:hint="eastAsia" w:ascii="宋体" w:hAnsi="宋体" w:cs="宋体"/>
                <w:sz w:val="24"/>
                <w:szCs w:val="24"/>
                <w:highlight w:val="none"/>
              </w:rPr>
              <w:t>陕西省西安市经济技术开发区未央路171-1号银池道拉斯财富中心21楼</w:t>
            </w:r>
          </w:p>
        </w:tc>
      </w:tr>
      <w:tr w14:paraId="5ED3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985" w:type="dxa"/>
            <w:vAlign w:val="center"/>
          </w:tcPr>
          <w:p w14:paraId="1AA7AA70">
            <w:pPr>
              <w:spacing w:line="360" w:lineRule="auto"/>
              <w:jc w:val="center"/>
              <w:rPr>
                <w:rFonts w:ascii="宋体" w:hAnsi="宋体" w:cs="宋体"/>
                <w:sz w:val="24"/>
                <w:szCs w:val="24"/>
                <w:highlight w:val="none"/>
              </w:rPr>
            </w:pPr>
            <w:r>
              <w:rPr>
                <w:rFonts w:hint="eastAsia" w:ascii="宋体" w:hAnsi="宋体" w:cs="宋体"/>
                <w:sz w:val="24"/>
                <w:szCs w:val="24"/>
                <w:highlight w:val="none"/>
              </w:rPr>
              <w:t>7.1</w:t>
            </w:r>
          </w:p>
        </w:tc>
        <w:tc>
          <w:tcPr>
            <w:tcW w:w="1966" w:type="dxa"/>
            <w:vAlign w:val="center"/>
          </w:tcPr>
          <w:p w14:paraId="3BCE4F2A">
            <w:pPr>
              <w:spacing w:line="360" w:lineRule="auto"/>
              <w:jc w:val="center"/>
              <w:rPr>
                <w:rFonts w:ascii="宋体" w:hAnsi="宋体" w:cs="宋体"/>
                <w:sz w:val="24"/>
                <w:szCs w:val="24"/>
                <w:highlight w:val="none"/>
              </w:rPr>
            </w:pPr>
            <w:r>
              <w:rPr>
                <w:rFonts w:hint="eastAsia" w:ascii="宋体" w:hAnsi="宋体" w:cs="宋体"/>
                <w:sz w:val="24"/>
                <w:szCs w:val="24"/>
                <w:highlight w:val="none"/>
              </w:rPr>
              <w:t>是否授权评标委员会确定中标人</w:t>
            </w:r>
          </w:p>
        </w:tc>
        <w:tc>
          <w:tcPr>
            <w:tcW w:w="6053" w:type="dxa"/>
            <w:vAlign w:val="center"/>
          </w:tcPr>
          <w:p w14:paraId="4BBB75C8">
            <w:pPr>
              <w:spacing w:line="360" w:lineRule="auto"/>
              <w:rPr>
                <w:rFonts w:ascii="宋体" w:hAnsi="宋体" w:cs="宋体"/>
                <w:sz w:val="24"/>
                <w:szCs w:val="24"/>
                <w:highlight w:val="none"/>
              </w:rPr>
            </w:pPr>
            <w:r>
              <w:rPr>
                <w:rFonts w:hint="eastAsia" w:ascii="宋体" w:hAnsi="宋体" w:cs="宋体"/>
                <w:sz w:val="24"/>
                <w:szCs w:val="24"/>
                <w:highlight w:val="none"/>
              </w:rPr>
              <w:t>否,</w:t>
            </w:r>
            <w:bookmarkStart w:id="13" w:name="OLE_LINK6"/>
            <w:r>
              <w:rPr>
                <w:rFonts w:hint="eastAsia" w:ascii="宋体" w:hAnsi="宋体" w:cs="宋体"/>
                <w:sz w:val="24"/>
                <w:szCs w:val="24"/>
                <w:highlight w:val="none"/>
              </w:rPr>
              <w:t>推荐3名中标候选人</w:t>
            </w:r>
            <w:bookmarkEnd w:id="13"/>
          </w:p>
        </w:tc>
      </w:tr>
      <w:tr w14:paraId="3B889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004" w:type="dxa"/>
            <w:gridSpan w:val="3"/>
            <w:vAlign w:val="center"/>
          </w:tcPr>
          <w:p w14:paraId="0AFED424">
            <w:pPr>
              <w:spacing w:line="360" w:lineRule="auto"/>
              <w:rPr>
                <w:rFonts w:ascii="宋体" w:hAnsi="宋体" w:cs="宋体"/>
                <w:sz w:val="24"/>
                <w:szCs w:val="24"/>
                <w:highlight w:val="none"/>
              </w:rPr>
            </w:pPr>
            <w:r>
              <w:rPr>
                <w:rFonts w:hint="eastAsia" w:ascii="宋体" w:hAnsi="宋体" w:cs="宋体"/>
                <w:sz w:val="24"/>
                <w:szCs w:val="24"/>
                <w:highlight w:val="none"/>
              </w:rPr>
              <w:t>10.1计算机辅助评标</w:t>
            </w:r>
          </w:p>
        </w:tc>
      </w:tr>
      <w:tr w14:paraId="206F1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951" w:type="dxa"/>
            <w:gridSpan w:val="2"/>
            <w:vAlign w:val="center"/>
          </w:tcPr>
          <w:p w14:paraId="00DF983A">
            <w:pPr>
              <w:spacing w:line="360" w:lineRule="auto"/>
              <w:jc w:val="center"/>
              <w:rPr>
                <w:rFonts w:ascii="宋体" w:hAnsi="宋体" w:cs="宋体"/>
                <w:sz w:val="24"/>
                <w:szCs w:val="24"/>
                <w:highlight w:val="none"/>
              </w:rPr>
            </w:pPr>
            <w:r>
              <w:rPr>
                <w:rFonts w:hint="eastAsia" w:ascii="宋体" w:hAnsi="宋体" w:cs="宋体"/>
                <w:sz w:val="24"/>
                <w:szCs w:val="24"/>
                <w:highlight w:val="none"/>
              </w:rPr>
              <w:t>是否实行计算机辅助评标</w:t>
            </w:r>
          </w:p>
        </w:tc>
        <w:tc>
          <w:tcPr>
            <w:tcW w:w="6053" w:type="dxa"/>
            <w:vAlign w:val="center"/>
          </w:tcPr>
          <w:p w14:paraId="51131090">
            <w:pPr>
              <w:spacing w:line="360" w:lineRule="auto"/>
              <w:rPr>
                <w:rFonts w:ascii="宋体" w:hAnsi="宋体" w:cs="宋体"/>
                <w:sz w:val="24"/>
                <w:szCs w:val="24"/>
                <w:highlight w:val="none"/>
              </w:rPr>
            </w:pPr>
            <w:r>
              <w:rPr>
                <w:rFonts w:hint="eastAsia" w:ascii="宋体" w:hAnsi="宋体" w:cs="宋体"/>
                <w:sz w:val="24"/>
                <w:szCs w:val="24"/>
                <w:highlight w:val="none"/>
              </w:rPr>
              <w:t>否</w:t>
            </w:r>
          </w:p>
        </w:tc>
      </w:tr>
      <w:tr w14:paraId="6E6A3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004" w:type="dxa"/>
            <w:gridSpan w:val="3"/>
            <w:vAlign w:val="center"/>
          </w:tcPr>
          <w:p w14:paraId="4F8D8FB7">
            <w:pPr>
              <w:spacing w:line="360" w:lineRule="auto"/>
              <w:ind w:left="110" w:leftChars="52" w:hanging="1"/>
              <w:rPr>
                <w:rFonts w:ascii="宋体" w:hAnsi="宋体" w:cs="宋体"/>
                <w:sz w:val="24"/>
                <w:szCs w:val="24"/>
                <w:highlight w:val="none"/>
              </w:rPr>
            </w:pPr>
            <w:r>
              <w:rPr>
                <w:rFonts w:hint="eastAsia" w:ascii="宋体" w:hAnsi="宋体" w:cs="宋体"/>
                <w:sz w:val="24"/>
                <w:szCs w:val="24"/>
                <w:highlight w:val="none"/>
              </w:rPr>
              <w:t>10.2 知识产权</w:t>
            </w:r>
          </w:p>
        </w:tc>
      </w:tr>
      <w:tr w14:paraId="3F16E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004" w:type="dxa"/>
            <w:gridSpan w:val="3"/>
            <w:vAlign w:val="center"/>
          </w:tcPr>
          <w:p w14:paraId="40B36B5A">
            <w:pPr>
              <w:spacing w:line="360" w:lineRule="auto"/>
              <w:ind w:left="110" w:leftChars="52" w:hanging="1"/>
              <w:rPr>
                <w:rFonts w:ascii="宋体" w:hAnsi="宋体" w:cs="宋体"/>
                <w:sz w:val="24"/>
                <w:szCs w:val="24"/>
                <w:highlight w:val="none"/>
              </w:rPr>
            </w:pPr>
            <w:r>
              <w:rPr>
                <w:rFonts w:hint="eastAsia" w:ascii="宋体" w:hAnsi="宋体" w:cs="宋体"/>
                <w:sz w:val="24"/>
                <w:szCs w:val="24"/>
                <w:highlight w:val="none"/>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tc>
      </w:tr>
      <w:tr w14:paraId="5756D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004" w:type="dxa"/>
            <w:gridSpan w:val="3"/>
            <w:vAlign w:val="center"/>
          </w:tcPr>
          <w:p w14:paraId="5218EC2E">
            <w:pPr>
              <w:spacing w:line="360" w:lineRule="auto"/>
              <w:ind w:left="110" w:leftChars="52" w:hanging="1"/>
              <w:rPr>
                <w:rFonts w:ascii="宋体" w:hAnsi="宋体" w:cs="宋体"/>
                <w:sz w:val="24"/>
                <w:szCs w:val="24"/>
                <w:highlight w:val="none"/>
              </w:rPr>
            </w:pPr>
            <w:r>
              <w:rPr>
                <w:rFonts w:hint="eastAsia" w:ascii="宋体" w:hAnsi="宋体" w:cs="宋体"/>
                <w:sz w:val="24"/>
                <w:szCs w:val="24"/>
                <w:highlight w:val="none"/>
              </w:rPr>
              <w:t>10.3 重新招标的其他情形</w:t>
            </w:r>
          </w:p>
        </w:tc>
      </w:tr>
      <w:tr w14:paraId="7B1A4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004" w:type="dxa"/>
            <w:gridSpan w:val="3"/>
            <w:vAlign w:val="center"/>
          </w:tcPr>
          <w:p w14:paraId="1889DEBB">
            <w:pPr>
              <w:spacing w:line="360" w:lineRule="auto"/>
              <w:ind w:left="110" w:leftChars="52" w:hanging="1"/>
              <w:rPr>
                <w:rFonts w:ascii="宋体" w:hAnsi="宋体" w:cs="宋体"/>
                <w:sz w:val="24"/>
                <w:szCs w:val="24"/>
                <w:highlight w:val="none"/>
              </w:rPr>
            </w:pPr>
            <w:r>
              <w:rPr>
                <w:rFonts w:hint="eastAsia" w:ascii="宋体" w:hAnsi="宋体" w:cs="宋体"/>
                <w:sz w:val="24"/>
                <w:szCs w:val="24"/>
                <w:highlight w:val="none"/>
              </w:rPr>
              <w:t>除投标人须知正文第8条规定的情形外，除非已经产生中标候选人，在投标有效期内同意延长投标有效期的投标人少于三个的，招标人应当依法重新招标。</w:t>
            </w:r>
          </w:p>
        </w:tc>
      </w:tr>
      <w:tr w14:paraId="68881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004" w:type="dxa"/>
            <w:gridSpan w:val="3"/>
            <w:vAlign w:val="center"/>
          </w:tcPr>
          <w:p w14:paraId="294CB0F7">
            <w:pPr>
              <w:spacing w:line="360" w:lineRule="auto"/>
              <w:ind w:left="110" w:leftChars="52" w:hanging="1"/>
              <w:rPr>
                <w:rFonts w:ascii="宋体" w:hAnsi="宋体" w:cs="宋体"/>
                <w:sz w:val="24"/>
                <w:szCs w:val="24"/>
                <w:highlight w:val="none"/>
              </w:rPr>
            </w:pPr>
            <w:r>
              <w:rPr>
                <w:rFonts w:hint="eastAsia" w:ascii="宋体" w:hAnsi="宋体" w:cs="宋体"/>
                <w:sz w:val="24"/>
                <w:szCs w:val="24"/>
                <w:highlight w:val="none"/>
              </w:rPr>
              <w:t>10.4  同义词语</w:t>
            </w:r>
          </w:p>
        </w:tc>
      </w:tr>
      <w:tr w14:paraId="0A4AE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9004" w:type="dxa"/>
            <w:gridSpan w:val="3"/>
            <w:vAlign w:val="center"/>
          </w:tcPr>
          <w:p w14:paraId="4E0B711A">
            <w:pPr>
              <w:spacing w:line="360" w:lineRule="auto"/>
              <w:ind w:left="110" w:leftChars="52" w:hanging="1"/>
              <w:rPr>
                <w:rFonts w:ascii="宋体" w:hAnsi="宋体" w:cs="宋体"/>
                <w:sz w:val="24"/>
                <w:szCs w:val="24"/>
                <w:highlight w:val="none"/>
              </w:rPr>
            </w:pPr>
            <w:r>
              <w:rPr>
                <w:rFonts w:hint="eastAsia" w:ascii="宋体" w:hAnsi="宋体" w:cs="宋体"/>
                <w:sz w:val="24"/>
                <w:szCs w:val="24"/>
                <w:highlight w:val="none"/>
              </w:rPr>
              <w:t>构成招标文件组成部分的“通用合同条款”、“专用合同条款”、“技术标准和要求”等章节中出现的措辞“发包人”和“承包人”，在招标投标阶段应当分别按“招标人”和“投标人”进行理解。</w:t>
            </w:r>
          </w:p>
        </w:tc>
      </w:tr>
      <w:tr w14:paraId="611FA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exact"/>
          <w:jc w:val="center"/>
        </w:trPr>
        <w:tc>
          <w:tcPr>
            <w:tcW w:w="9004" w:type="dxa"/>
            <w:gridSpan w:val="3"/>
            <w:vAlign w:val="center"/>
          </w:tcPr>
          <w:p w14:paraId="125CF227">
            <w:pPr>
              <w:spacing w:line="360" w:lineRule="auto"/>
              <w:ind w:left="68" w:leftChars="-2" w:hanging="72" w:hangingChars="30"/>
              <w:rPr>
                <w:rFonts w:ascii="宋体" w:hAnsi="宋体" w:cs="宋体"/>
                <w:sz w:val="24"/>
                <w:szCs w:val="24"/>
                <w:highlight w:val="none"/>
              </w:rPr>
            </w:pPr>
            <w:r>
              <w:rPr>
                <w:rFonts w:hint="eastAsia" w:ascii="宋体" w:hAnsi="宋体" w:cs="宋体"/>
                <w:sz w:val="24"/>
                <w:szCs w:val="24"/>
                <w:highlight w:val="none"/>
              </w:rPr>
              <w:t>10.5  解释权</w:t>
            </w:r>
          </w:p>
        </w:tc>
      </w:tr>
      <w:tr w14:paraId="72DF0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exact"/>
          <w:jc w:val="center"/>
        </w:trPr>
        <w:tc>
          <w:tcPr>
            <w:tcW w:w="9004" w:type="dxa"/>
            <w:gridSpan w:val="3"/>
            <w:vAlign w:val="center"/>
          </w:tcPr>
          <w:p w14:paraId="184CA6E7">
            <w:pPr>
              <w:spacing w:line="360" w:lineRule="auto"/>
              <w:ind w:left="68" w:leftChars="-2" w:hanging="72" w:hangingChars="30"/>
              <w:rPr>
                <w:rFonts w:ascii="宋体" w:hAnsi="宋体" w:cs="宋体"/>
                <w:sz w:val="24"/>
                <w:szCs w:val="24"/>
                <w:highlight w:val="none"/>
              </w:rPr>
            </w:pPr>
            <w:r>
              <w:rPr>
                <w:rFonts w:hint="eastAsia" w:ascii="宋体" w:hAnsi="宋体" w:cs="宋体"/>
                <w:sz w:val="24"/>
                <w:szCs w:val="24"/>
                <w:highlight w:val="none"/>
              </w:rPr>
              <w:t>本招标文件由招标人和招标代理机构负责解释。</w:t>
            </w:r>
          </w:p>
        </w:tc>
      </w:tr>
      <w:tr w14:paraId="0AED7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exact"/>
          <w:jc w:val="center"/>
        </w:trPr>
        <w:tc>
          <w:tcPr>
            <w:tcW w:w="9004" w:type="dxa"/>
            <w:gridSpan w:val="3"/>
            <w:vAlign w:val="center"/>
          </w:tcPr>
          <w:p w14:paraId="38E309E9">
            <w:pPr>
              <w:spacing w:line="360" w:lineRule="auto"/>
              <w:ind w:left="68" w:leftChars="-2" w:hanging="72" w:hangingChars="30"/>
              <w:jc w:val="center"/>
              <w:rPr>
                <w:rFonts w:ascii="宋体" w:hAnsi="宋体" w:cs="宋体"/>
                <w:sz w:val="24"/>
                <w:szCs w:val="24"/>
                <w:highlight w:val="none"/>
              </w:rPr>
            </w:pPr>
            <w:r>
              <w:rPr>
                <w:rFonts w:hint="eastAsia" w:ascii="宋体" w:hAnsi="宋体" w:cs="宋体"/>
                <w:b/>
                <w:bCs/>
                <w:sz w:val="24"/>
                <w:szCs w:val="24"/>
                <w:highlight w:val="none"/>
              </w:rPr>
              <w:t>其他</w:t>
            </w:r>
          </w:p>
        </w:tc>
      </w:tr>
      <w:tr w14:paraId="69404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exact"/>
          <w:jc w:val="center"/>
        </w:trPr>
        <w:tc>
          <w:tcPr>
            <w:tcW w:w="9004" w:type="dxa"/>
            <w:gridSpan w:val="3"/>
            <w:vAlign w:val="center"/>
          </w:tcPr>
          <w:p w14:paraId="0E5BBE88">
            <w:pPr>
              <w:spacing w:line="360" w:lineRule="auto"/>
              <w:ind w:left="68" w:leftChars="-2" w:hanging="72" w:hangingChars="30"/>
              <w:rPr>
                <w:rFonts w:ascii="宋体" w:hAnsi="宋体" w:cs="宋体"/>
                <w:sz w:val="24"/>
                <w:szCs w:val="24"/>
                <w:highlight w:val="none"/>
              </w:rPr>
            </w:pPr>
            <w:r>
              <w:rPr>
                <w:rFonts w:hint="eastAsia" w:ascii="宋体" w:hAnsi="宋体" w:cs="宋体"/>
                <w:b/>
                <w:bCs/>
                <w:sz w:val="24"/>
                <w:szCs w:val="24"/>
                <w:highlight w:val="none"/>
                <w:lang w:val="en-US" w:eastAsia="zh-CN"/>
              </w:rPr>
              <w:t>项目</w:t>
            </w:r>
            <w:r>
              <w:rPr>
                <w:rFonts w:hint="eastAsia" w:ascii="宋体" w:hAnsi="宋体" w:cs="宋体"/>
                <w:b/>
                <w:bCs/>
                <w:sz w:val="24"/>
                <w:szCs w:val="24"/>
                <w:highlight w:val="none"/>
              </w:rPr>
              <w:t>所属行业：农、林、牧、渔业</w:t>
            </w:r>
          </w:p>
        </w:tc>
      </w:tr>
      <w:tr w14:paraId="15E86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exact"/>
          <w:jc w:val="center"/>
        </w:trPr>
        <w:tc>
          <w:tcPr>
            <w:tcW w:w="9004" w:type="dxa"/>
            <w:gridSpan w:val="3"/>
            <w:vAlign w:val="center"/>
          </w:tcPr>
          <w:p w14:paraId="7F91E4CD">
            <w:pPr>
              <w:spacing w:line="360" w:lineRule="auto"/>
              <w:ind w:left="68" w:leftChars="-2" w:hanging="72" w:hangingChars="30"/>
              <w:rPr>
                <w:rFonts w:ascii="宋体" w:hAnsi="宋体" w:cs="宋体"/>
                <w:sz w:val="24"/>
                <w:szCs w:val="24"/>
                <w:highlight w:val="none"/>
              </w:rPr>
            </w:pPr>
            <w:r>
              <w:rPr>
                <w:rFonts w:hint="eastAsia" w:ascii="宋体" w:hAnsi="宋体" w:cs="宋体"/>
                <w:b/>
                <w:bCs/>
                <w:sz w:val="24"/>
                <w:szCs w:val="24"/>
                <w:highlight w:val="none"/>
              </w:rPr>
              <w:t>项目性质：本项目专门面向</w:t>
            </w:r>
            <w:r>
              <w:rPr>
                <w:rFonts w:hint="eastAsia" w:ascii="宋体" w:hAnsi="宋体" w:cs="宋体"/>
                <w:b/>
                <w:bCs/>
                <w:sz w:val="24"/>
                <w:szCs w:val="24"/>
                <w:highlight w:val="none"/>
                <w:lang w:val="en-US" w:eastAsia="zh-CN"/>
              </w:rPr>
              <w:t>中小</w:t>
            </w:r>
            <w:r>
              <w:rPr>
                <w:rFonts w:hint="eastAsia" w:ascii="宋体" w:hAnsi="宋体" w:cs="宋体"/>
                <w:b/>
                <w:bCs/>
                <w:sz w:val="24"/>
                <w:szCs w:val="24"/>
                <w:highlight w:val="none"/>
              </w:rPr>
              <w:t>企业</w:t>
            </w:r>
          </w:p>
        </w:tc>
      </w:tr>
      <w:tr w14:paraId="02BD2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5" w:hRule="exact"/>
          <w:jc w:val="center"/>
        </w:trPr>
        <w:tc>
          <w:tcPr>
            <w:tcW w:w="9004" w:type="dxa"/>
            <w:gridSpan w:val="3"/>
            <w:vAlign w:val="center"/>
          </w:tcPr>
          <w:p w14:paraId="62C3CBE6">
            <w:pPr>
              <w:spacing w:line="360" w:lineRule="auto"/>
              <w:ind w:left="68" w:leftChars="-2" w:hanging="72" w:hangingChars="30"/>
              <w:rPr>
                <w:rFonts w:ascii="宋体" w:hAnsi="宋体" w:cs="宋体"/>
                <w:sz w:val="24"/>
                <w:szCs w:val="24"/>
                <w:highlight w:val="none"/>
              </w:rPr>
            </w:pPr>
            <w:r>
              <w:rPr>
                <w:rFonts w:hint="eastAsia" w:ascii="宋体" w:hAnsi="宋体" w:cs="宋体"/>
                <w:sz w:val="24"/>
                <w:szCs w:val="24"/>
                <w:highlight w:val="none"/>
              </w:rPr>
              <w:t>中小企业政策性扣减：对符合《政府采购促进中小企业发展管理办法》(财库(2020)46号)规定的小微企业(监狱企业视同小型、微型企业)的报价给予10%(10%-20%)的扣除,用扣除后的价格参加评审。本项目为专门面向</w:t>
            </w:r>
            <w:r>
              <w:rPr>
                <w:rFonts w:hint="eastAsia" w:ascii="宋体" w:hAnsi="宋体" w:cs="宋体"/>
                <w:sz w:val="24"/>
                <w:szCs w:val="24"/>
                <w:highlight w:val="none"/>
                <w:lang w:val="en-US" w:eastAsia="zh-CN"/>
              </w:rPr>
              <w:t>中小</w:t>
            </w:r>
            <w:r>
              <w:rPr>
                <w:rFonts w:hint="eastAsia" w:ascii="宋体" w:hAnsi="宋体" w:cs="宋体"/>
                <w:sz w:val="24"/>
                <w:szCs w:val="24"/>
                <w:highlight w:val="none"/>
              </w:rPr>
              <w:t>企业，不在进行价格扣</w:t>
            </w:r>
            <w:r>
              <w:rPr>
                <w:rFonts w:hint="eastAsia" w:hAnsi="宋体" w:cs="宋体"/>
                <w:sz w:val="24"/>
                <w:szCs w:val="24"/>
                <w:highlight w:val="none"/>
              </w:rPr>
              <w:t>减。</w:t>
            </w:r>
          </w:p>
        </w:tc>
      </w:tr>
      <w:tr w14:paraId="398CF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exact"/>
          <w:jc w:val="center"/>
        </w:trPr>
        <w:tc>
          <w:tcPr>
            <w:tcW w:w="9004" w:type="dxa"/>
            <w:gridSpan w:val="3"/>
            <w:vAlign w:val="center"/>
          </w:tcPr>
          <w:p w14:paraId="3291C519">
            <w:pPr>
              <w:spacing w:line="360" w:lineRule="auto"/>
              <w:ind w:left="68" w:leftChars="-2" w:hanging="72" w:hangingChars="30"/>
              <w:rPr>
                <w:rFonts w:ascii="宋体" w:hAnsi="宋体" w:cs="宋体"/>
                <w:b/>
                <w:bCs/>
                <w:sz w:val="24"/>
                <w:szCs w:val="24"/>
                <w:highlight w:val="none"/>
              </w:rPr>
            </w:pPr>
            <w:r>
              <w:rPr>
                <w:rFonts w:ascii="宋体" w:hAnsi="宋体" w:cs="宋体"/>
                <w:b/>
                <w:bCs/>
                <w:sz w:val="24"/>
                <w:szCs w:val="24"/>
                <w:highlight w:val="none"/>
              </w:rPr>
              <w:t>本项目允许</w:t>
            </w:r>
            <w:r>
              <w:rPr>
                <w:rFonts w:hint="eastAsia" w:ascii="宋体" w:hAnsi="宋体" w:cs="宋体"/>
                <w:b/>
                <w:bCs/>
                <w:sz w:val="24"/>
                <w:szCs w:val="24"/>
                <w:highlight w:val="none"/>
                <w:lang w:val="en-US" w:eastAsia="zh-CN"/>
              </w:rPr>
              <w:t>投标人</w:t>
            </w:r>
            <w:r>
              <w:rPr>
                <w:rFonts w:ascii="宋体" w:hAnsi="宋体" w:cs="宋体"/>
                <w:b/>
                <w:bCs/>
                <w:sz w:val="24"/>
                <w:szCs w:val="24"/>
                <w:highlight w:val="none"/>
              </w:rPr>
              <w:t>多个标段</w:t>
            </w:r>
            <w:r>
              <w:rPr>
                <w:rFonts w:hint="eastAsia" w:ascii="宋体" w:hAnsi="宋体" w:cs="宋体"/>
                <w:b/>
                <w:bCs/>
                <w:sz w:val="24"/>
                <w:szCs w:val="24"/>
                <w:highlight w:val="none"/>
                <w:lang w:val="en-US" w:eastAsia="zh-CN"/>
              </w:rPr>
              <w:t>同时</w:t>
            </w:r>
            <w:r>
              <w:rPr>
                <w:rFonts w:ascii="宋体" w:hAnsi="宋体" w:cs="宋体"/>
                <w:b/>
                <w:bCs/>
                <w:sz w:val="24"/>
                <w:szCs w:val="24"/>
                <w:highlight w:val="none"/>
              </w:rPr>
              <w:t>投标，但只允许中一个标段。</w:t>
            </w:r>
          </w:p>
          <w:p w14:paraId="1A8E0E3B">
            <w:pPr>
              <w:spacing w:line="360" w:lineRule="auto"/>
              <w:ind w:left="68" w:leftChars="-2" w:hanging="72" w:hangingChars="30"/>
              <w:rPr>
                <w:rFonts w:ascii="宋体" w:hAnsi="宋体" w:cs="宋体"/>
                <w:sz w:val="24"/>
                <w:szCs w:val="24"/>
                <w:highlight w:val="none"/>
              </w:rPr>
            </w:pPr>
          </w:p>
        </w:tc>
      </w:tr>
      <w:tr w14:paraId="29EAA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4" w:hRule="exact"/>
          <w:jc w:val="center"/>
        </w:trPr>
        <w:tc>
          <w:tcPr>
            <w:tcW w:w="9004" w:type="dxa"/>
            <w:gridSpan w:val="3"/>
            <w:vAlign w:val="center"/>
          </w:tcPr>
          <w:p w14:paraId="5ADCD531">
            <w:pPr>
              <w:spacing w:line="500" w:lineRule="exact"/>
              <w:rPr>
                <w:rFonts w:ascii="宋体" w:hAnsi="宋体" w:cs="宋体"/>
                <w:b/>
                <w:bCs/>
                <w:sz w:val="24"/>
                <w:szCs w:val="24"/>
                <w:highlight w:val="none"/>
              </w:rPr>
            </w:pPr>
            <w:r>
              <w:rPr>
                <w:rFonts w:hint="eastAsia" w:ascii="宋体" w:hAnsi="宋体" w:cs="宋体"/>
                <w:b/>
                <w:bCs/>
                <w:sz w:val="24"/>
                <w:szCs w:val="24"/>
                <w:highlight w:val="none"/>
              </w:rPr>
              <w:t>备注：供应商注册登记提醒：</w:t>
            </w:r>
          </w:p>
          <w:p w14:paraId="4E79BB43">
            <w:pPr>
              <w:spacing w:line="360" w:lineRule="auto"/>
              <w:ind w:left="68" w:leftChars="-2" w:hanging="72" w:hangingChars="30"/>
              <w:jc w:val="left"/>
              <w:rPr>
                <w:rFonts w:ascii="宋体" w:hAnsi="宋体" w:cs="宋体"/>
                <w:sz w:val="24"/>
                <w:szCs w:val="24"/>
                <w:highlight w:val="none"/>
              </w:rPr>
            </w:pPr>
            <w:r>
              <w:rPr>
                <w:rFonts w:hint="eastAsia" w:ascii="宋体" w:hAnsi="宋体" w:cs="宋体"/>
                <w:b/>
                <w:bCs/>
                <w:sz w:val="24"/>
                <w:szCs w:val="24"/>
                <w:highlight w:val="none"/>
              </w:rPr>
              <w:t>根据陕西省财政厅关于政府采购供应商注册登记有关事项的通知，如所投本项目的供应商未在陕西省政府采购网（</w:t>
            </w:r>
            <w:r>
              <w:rPr>
                <w:highlight w:val="none"/>
              </w:rPr>
              <w:fldChar w:fldCharType="begin"/>
            </w:r>
            <w:r>
              <w:rPr>
                <w:highlight w:val="none"/>
              </w:rPr>
              <w:instrText xml:space="preserve"> HYPERLINK "http://www.ccgp-shaanxi.gov.cn/information/informationDetail.do?informationguid=8a85be3567ed23460167ed36804d0009" </w:instrText>
            </w:r>
            <w:r>
              <w:rPr>
                <w:highlight w:val="none"/>
              </w:rPr>
              <w:fldChar w:fldCharType="separate"/>
            </w:r>
            <w:r>
              <w:rPr>
                <w:rFonts w:hint="eastAsia" w:ascii="宋体" w:hAnsi="宋体" w:cs="宋体"/>
                <w:b/>
                <w:bCs/>
                <w:sz w:val="24"/>
                <w:szCs w:val="24"/>
                <w:highlight w:val="none"/>
              </w:rPr>
              <w:t>http://www.ccgp-shaanxi.gov.cn/information/informationDetail.do?informationguid=8a85be3567ed23460167ed36804d0009</w:t>
            </w:r>
            <w:r>
              <w:rPr>
                <w:rFonts w:hint="eastAsia" w:ascii="宋体" w:hAnsi="宋体" w:cs="宋体"/>
                <w:b/>
                <w:bCs/>
                <w:sz w:val="24"/>
                <w:szCs w:val="24"/>
                <w:highlight w:val="none"/>
              </w:rPr>
              <w:fldChar w:fldCharType="end"/>
            </w:r>
            <w:r>
              <w:rPr>
                <w:rFonts w:hint="eastAsia" w:ascii="宋体" w:hAnsi="宋体" w:cs="宋体"/>
                <w:b/>
                <w:bCs/>
                <w:sz w:val="24"/>
                <w:szCs w:val="24"/>
                <w:highlight w:val="none"/>
              </w:rPr>
              <w:t>）注册登记加入陕西省政府采购供应商库的，应按要求及时办理注册登记，并接受财政部门监督管理。</w:t>
            </w:r>
          </w:p>
        </w:tc>
      </w:tr>
      <w:tr w14:paraId="5FF8F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9" w:hRule="exact"/>
          <w:jc w:val="center"/>
        </w:trPr>
        <w:tc>
          <w:tcPr>
            <w:tcW w:w="9004" w:type="dxa"/>
            <w:gridSpan w:val="3"/>
            <w:vAlign w:val="center"/>
          </w:tcPr>
          <w:p w14:paraId="2AC70129">
            <w:pPr>
              <w:spacing w:line="360" w:lineRule="auto"/>
              <w:ind w:left="68" w:leftChars="-2" w:hanging="72" w:hangingChars="30"/>
              <w:rPr>
                <w:rFonts w:ascii="宋体" w:hAnsi="宋体" w:cs="宋体"/>
                <w:sz w:val="24"/>
                <w:szCs w:val="24"/>
                <w:highlight w:val="none"/>
              </w:rPr>
            </w:pPr>
            <w:bookmarkStart w:id="14" w:name="_Toc403077639"/>
            <w:bookmarkStart w:id="15" w:name="_Toc363474017"/>
            <w:bookmarkStart w:id="16" w:name="_Toc363473972"/>
            <w:bookmarkStart w:id="17" w:name="_Toc29568"/>
            <w:bookmarkStart w:id="18" w:name="_Toc8072"/>
            <w:r>
              <w:rPr>
                <w:rFonts w:hint="eastAsia" w:ascii="宋体" w:hAnsi="宋体" w:cs="宋体"/>
                <w:sz w:val="24"/>
                <w:szCs w:val="24"/>
                <w:highlight w:val="none"/>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 号）、《陕西省中小企业政府采购信用融资办法》（陕财办采【2018】23 号）、《陕西省财政厅关于加快推进我省中小企业政府采购信用融资工作的通知》陕财办采 【2020】15 号）等有关规定，按照市场主导、财政引导、银企自愿、风险自担的原则，中标（成交）供应商可根据自身资金需求，登录陕西省政府采购信用融资平台</w:t>
            </w:r>
          </w:p>
          <w:p w14:paraId="53915CC1">
            <w:pPr>
              <w:spacing w:line="360" w:lineRule="auto"/>
              <w:ind w:left="68" w:leftChars="-2" w:hanging="72" w:hangingChars="30"/>
              <w:rPr>
                <w:rFonts w:ascii="宋体" w:hAnsi="宋体" w:cs="宋体"/>
                <w:sz w:val="24"/>
                <w:szCs w:val="24"/>
                <w:highlight w:val="none"/>
              </w:rPr>
            </w:pPr>
            <w:r>
              <w:rPr>
                <w:rFonts w:hint="eastAsia" w:ascii="宋体" w:hAnsi="宋体" w:cs="宋体"/>
                <w:sz w:val="24"/>
                <w:szCs w:val="24"/>
                <w:highlight w:val="none"/>
              </w:rPr>
              <w:t>(http://www.ccgp-shaanxi.gov.cn/zcdservice/zcd/shan xi/）在线申请，依法参加政府采购信用融资活动。</w:t>
            </w:r>
          </w:p>
          <w:p w14:paraId="27E5C2A6">
            <w:pPr>
              <w:spacing w:line="360" w:lineRule="auto"/>
              <w:ind w:left="68" w:leftChars="-2" w:hanging="72" w:hangingChars="30"/>
              <w:jc w:val="left"/>
              <w:rPr>
                <w:rFonts w:ascii="宋体" w:hAnsi="宋体" w:cs="宋体"/>
                <w:b/>
                <w:bCs/>
                <w:sz w:val="24"/>
                <w:szCs w:val="24"/>
                <w:highlight w:val="none"/>
              </w:rPr>
            </w:pPr>
            <w:r>
              <w:rPr>
                <w:rFonts w:hint="eastAsia" w:ascii="宋体" w:hAnsi="宋体" w:cs="宋体"/>
                <w:sz w:val="24"/>
                <w:szCs w:val="24"/>
                <w:highlight w:val="none"/>
              </w:rPr>
              <w:t>目前的合作银行有∶北京银行、中国建设银行、中信银行、中国平安银行、中国光大银行、浦发银行、兴业银行、中国工商银行、秦农银行、浙商银行、中国银行、西安银行、中国农业银行、中国邮政储蓄银行（排名不分先后）。</w:t>
            </w:r>
          </w:p>
        </w:tc>
      </w:tr>
    </w:tbl>
    <w:p w14:paraId="1F603CC8">
      <w:pPr>
        <w:rPr>
          <w:rFonts w:asciiTheme="minorEastAsia" w:hAnsiTheme="minorEastAsia" w:eastAsiaTheme="minorEastAsia" w:cstheme="minorEastAsia"/>
          <w:sz w:val="30"/>
          <w:szCs w:val="30"/>
          <w:highlight w:val="none"/>
        </w:rPr>
      </w:pPr>
      <w:r>
        <w:rPr>
          <w:rFonts w:hint="eastAsia" w:asciiTheme="minorEastAsia" w:hAnsiTheme="minorEastAsia" w:eastAsiaTheme="minorEastAsia" w:cstheme="minorEastAsia"/>
          <w:sz w:val="30"/>
          <w:szCs w:val="30"/>
          <w:highlight w:val="none"/>
        </w:rPr>
        <w:br w:type="page"/>
      </w:r>
    </w:p>
    <w:bookmarkEnd w:id="14"/>
    <w:bookmarkEnd w:id="15"/>
    <w:bookmarkEnd w:id="16"/>
    <w:p w14:paraId="35AC5D1D">
      <w:pPr>
        <w:jc w:val="center"/>
        <w:rPr>
          <w:rFonts w:asciiTheme="minorEastAsia" w:hAnsiTheme="minorEastAsia" w:eastAsiaTheme="minorEastAsia" w:cstheme="minorEastAsia"/>
          <w:highlight w:val="none"/>
        </w:rPr>
      </w:pPr>
      <w:r>
        <w:rPr>
          <w:rFonts w:hint="eastAsia"/>
          <w:b/>
          <w:bCs/>
          <w:sz w:val="28"/>
          <w:szCs w:val="28"/>
          <w:highlight w:val="none"/>
        </w:rPr>
        <w:t>投标人须知</w:t>
      </w:r>
      <w:bookmarkEnd w:id="17"/>
      <w:bookmarkEnd w:id="18"/>
    </w:p>
    <w:p w14:paraId="498A24B4">
      <w:pPr>
        <w:spacing w:beforeLines="50" w:afterLines="50" w:line="360" w:lineRule="auto"/>
        <w:rPr>
          <w:rFonts w:asciiTheme="minorEastAsia" w:hAnsiTheme="minorEastAsia" w:eastAsiaTheme="minorEastAsia" w:cstheme="minorEastAsia"/>
          <w:b/>
          <w:bCs/>
          <w:sz w:val="24"/>
          <w:szCs w:val="24"/>
          <w:highlight w:val="none"/>
        </w:rPr>
      </w:pPr>
      <w:bookmarkStart w:id="19" w:name="_Toc425240464"/>
      <w:bookmarkStart w:id="20" w:name="_Toc420591643"/>
      <w:bookmarkStart w:id="21" w:name="_Toc421778365"/>
      <w:r>
        <w:rPr>
          <w:rFonts w:hint="eastAsia" w:asciiTheme="minorEastAsia" w:hAnsiTheme="minorEastAsia" w:eastAsiaTheme="minorEastAsia" w:cstheme="minorEastAsia"/>
          <w:b/>
          <w:bCs/>
          <w:sz w:val="24"/>
          <w:szCs w:val="24"/>
          <w:highlight w:val="none"/>
        </w:rPr>
        <w:t>1</w:t>
      </w:r>
      <w:bookmarkEnd w:id="19"/>
      <w:bookmarkEnd w:id="20"/>
      <w:bookmarkEnd w:id="21"/>
      <w:r>
        <w:rPr>
          <w:rFonts w:hint="eastAsia" w:asciiTheme="minorEastAsia" w:hAnsiTheme="minorEastAsia" w:eastAsiaTheme="minorEastAsia" w:cstheme="minorEastAsia"/>
          <w:b/>
          <w:bCs/>
          <w:sz w:val="24"/>
          <w:szCs w:val="24"/>
          <w:highlight w:val="none"/>
        </w:rPr>
        <w:t>．总则</w:t>
      </w:r>
    </w:p>
    <w:p w14:paraId="28D20A06">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1.1 项目概况</w:t>
      </w:r>
    </w:p>
    <w:p w14:paraId="08545211">
      <w:pPr>
        <w:pStyle w:val="9"/>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1.1.1 根据《中华人民共和国政府采购法》、《中华人民共和国招标投标法》等有关法律、法规和规章的规定，本招标项目己具备招标条件，现对本招标项目施工进行招标。</w:t>
      </w:r>
    </w:p>
    <w:p w14:paraId="6326B7EB">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1.1.2 本招标项目招标人：见投标人须知前附表。</w:t>
      </w:r>
    </w:p>
    <w:p w14:paraId="6CD0849B">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1.1.3 本招标项目招标代理机构：见投标人须知前附表。</w:t>
      </w:r>
    </w:p>
    <w:p w14:paraId="1D1AD173">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1.1.4本招标项目名称：见投标人须知前附表。</w:t>
      </w:r>
    </w:p>
    <w:p w14:paraId="24DA16D3">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1.1.5本招标项目建设地点：见投标人须知前附表。</w:t>
      </w:r>
    </w:p>
    <w:p w14:paraId="4040FD91">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1.2 资金来源和落实情况</w:t>
      </w:r>
    </w:p>
    <w:p w14:paraId="3463A391">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1.2.1 本招标项目的资金来源：见投标人须知前附表。</w:t>
      </w:r>
    </w:p>
    <w:p w14:paraId="0256BF47">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1.2.2 本招标项目的资金落实情况：见投标人须知前附表。</w:t>
      </w:r>
    </w:p>
    <w:p w14:paraId="23867297">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1.3 招标范围、计划工期和质量要求</w:t>
      </w:r>
    </w:p>
    <w:p w14:paraId="61541F86">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1.3.1 本次招标范围：见投标人须知前附表。</w:t>
      </w:r>
    </w:p>
    <w:p w14:paraId="122B2BB6">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1.3.2 本招标项目的计划工期：</w:t>
      </w:r>
      <w:bookmarkStart w:id="22" w:name="OLE_LINK8"/>
      <w:r>
        <w:rPr>
          <w:rFonts w:hint="eastAsia" w:asciiTheme="minorEastAsia" w:hAnsiTheme="minorEastAsia" w:eastAsiaTheme="minorEastAsia" w:cstheme="minorEastAsia"/>
          <w:sz w:val="24"/>
          <w:szCs w:val="24"/>
          <w:highlight w:val="none"/>
        </w:rPr>
        <w:t>见投标人须知前附表。</w:t>
      </w:r>
      <w:bookmarkEnd w:id="22"/>
    </w:p>
    <w:p w14:paraId="0F3793D5">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1.3.4 本招标项目的质量要求：见投标人须知前附表。</w:t>
      </w:r>
    </w:p>
    <w:p w14:paraId="28D95B35">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1.4 投标人资格要求及招标文件发售时间</w:t>
      </w:r>
    </w:p>
    <w:p w14:paraId="0D4792A6">
      <w:pPr>
        <w:pStyle w:val="9"/>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    1.4.1资格审查条件：见投标人须知前附表。</w:t>
      </w:r>
    </w:p>
    <w:p w14:paraId="53996749">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1.4.2招标文件发售时间：见投标人须知前附表。</w:t>
      </w:r>
    </w:p>
    <w:p w14:paraId="7D8626E0">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1.5 费用承担</w:t>
      </w:r>
    </w:p>
    <w:p w14:paraId="07D90DBC">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投标人准备和参加投标活动发生的费用自理。</w:t>
      </w:r>
    </w:p>
    <w:p w14:paraId="78DAA2FF">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1.6 保密</w:t>
      </w:r>
    </w:p>
    <w:p w14:paraId="08E395BB">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参与招标投标活动的各方应对招标文件和投标文件中的商业和技术等秘密保密，违者应对由此造成的后果承担法律责任。</w:t>
      </w:r>
    </w:p>
    <w:p w14:paraId="692EC760">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1.7 语言文字</w:t>
      </w:r>
    </w:p>
    <w:p w14:paraId="39247D99">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除专用术语外，与招标投标有关的语言均使用中文。必要时专用术语应附有中文注释。</w:t>
      </w:r>
    </w:p>
    <w:p w14:paraId="7D4D3734">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1.8 计量单位</w:t>
      </w:r>
    </w:p>
    <w:p w14:paraId="201FB56C">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所有计量均采用中华人民共和国法定计量单位。</w:t>
      </w:r>
    </w:p>
    <w:p w14:paraId="5A071BB2">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1.9 踏勘现场</w:t>
      </w:r>
    </w:p>
    <w:p w14:paraId="51204583">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1.9.1见投标人须知前附表。</w:t>
      </w:r>
    </w:p>
    <w:p w14:paraId="527B202B">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1.9.2 投标人踏勘现场发生的费用自理，并自行负责在踏勘现场中所发生的人员伤亡和财产损失。</w:t>
      </w:r>
    </w:p>
    <w:p w14:paraId="393C81F5">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1.9.3 投标人应对工程现场及周围环境进行踏勘，充分了解现场环境、总体布置情况、地形地貌、现场道路、储存空间、运输、装卸等限制条件及其它任何足以影响投标报价的情况，以便各投标人获取须自主考虑的有关投标文件编制和合同签署所需的相关资料和数据，任何因忽视或误解工地情况而导致的索赔或工期延长申请将不获批准。</w:t>
      </w:r>
    </w:p>
    <w:p w14:paraId="362058EA">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1.9.4 招标人在踏勘现场中介绍的工程场地和相关的周边环境情况，供投标人在编制投标文件时参考，招标人不对投标人据此作出的判断和决策负责。</w:t>
      </w:r>
    </w:p>
    <w:p w14:paraId="6FDF5812">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1.10 投标答疑会</w:t>
      </w:r>
    </w:p>
    <w:p w14:paraId="53015318">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不召开；若有疑问，均应在购买招标文件后7个工作日内以书面形式向采购代理机构提出。</w:t>
      </w:r>
    </w:p>
    <w:p w14:paraId="4F8440E0">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1.11 分包</w:t>
      </w:r>
    </w:p>
    <w:p w14:paraId="61DCBF16">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不允许。</w:t>
      </w:r>
    </w:p>
    <w:p w14:paraId="4A7C543D">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1.12 偏离</w:t>
      </w:r>
    </w:p>
    <w:p w14:paraId="28B356A2">
      <w:pPr>
        <w:spacing w:beforeLines="50" w:afterLines="50" w:line="360" w:lineRule="auto"/>
        <w:ind w:firstLine="480" w:firstLineChars="200"/>
        <w:rPr>
          <w:rFonts w:asciiTheme="minorEastAsia" w:hAnsiTheme="minorEastAsia" w:eastAsiaTheme="minorEastAsia" w:cstheme="minorEastAsia"/>
          <w:sz w:val="24"/>
          <w:szCs w:val="24"/>
          <w:highlight w:val="none"/>
        </w:rPr>
      </w:pPr>
      <w:bookmarkStart w:id="23" w:name="_Toc425240465"/>
      <w:bookmarkStart w:id="24" w:name="_Toc421778366"/>
      <w:bookmarkStart w:id="25" w:name="_Toc420591644"/>
      <w:r>
        <w:rPr>
          <w:rFonts w:hint="eastAsia" w:asciiTheme="minorEastAsia" w:hAnsiTheme="minorEastAsia" w:eastAsiaTheme="minorEastAsia" w:cstheme="minorEastAsia"/>
          <w:sz w:val="24"/>
          <w:szCs w:val="24"/>
          <w:highlight w:val="none"/>
        </w:rPr>
        <w:t>不满足评标办法中初步评审标准的，视为发生重大偏离，其投标被否决。其余偏离视为细微偏离，评标委员会将通过澄清方式对细微偏离进行澄清或修改。</w:t>
      </w:r>
    </w:p>
    <w:p w14:paraId="5306B58D">
      <w:pPr>
        <w:spacing w:beforeLines="50" w:afterLines="50" w:line="360" w:lineRule="auto"/>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2．招标文件</w:t>
      </w:r>
      <w:bookmarkEnd w:id="23"/>
      <w:bookmarkEnd w:id="24"/>
      <w:bookmarkEnd w:id="25"/>
    </w:p>
    <w:p w14:paraId="25D72A43">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2.1 招标文件的组成</w:t>
      </w:r>
    </w:p>
    <w:p w14:paraId="1A9D23A0">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本招标文件包括：</w:t>
      </w:r>
    </w:p>
    <w:p w14:paraId="246E61CF">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(1）招标公告；</w:t>
      </w:r>
    </w:p>
    <w:p w14:paraId="010B7AAC">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(2）投标人须知前附表及投标人须知；</w:t>
      </w:r>
    </w:p>
    <w:p w14:paraId="01636AF2">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w:t>
      </w:r>
      <w:r>
        <w:rPr>
          <w:rFonts w:hint="eastAsia" w:asciiTheme="minorEastAsia" w:hAnsiTheme="minorEastAsia" w:eastAsiaTheme="minorEastAsia" w:cstheme="minorEastAsia"/>
          <w:sz w:val="24"/>
          <w:szCs w:val="24"/>
          <w:highlight w:val="none"/>
          <w:lang w:val="en-US" w:eastAsia="zh-CN"/>
        </w:rPr>
        <w:t>评审</w:t>
      </w:r>
      <w:r>
        <w:rPr>
          <w:rFonts w:hint="eastAsia" w:asciiTheme="minorEastAsia" w:hAnsiTheme="minorEastAsia" w:eastAsiaTheme="minorEastAsia" w:cstheme="minorEastAsia"/>
          <w:sz w:val="24"/>
          <w:szCs w:val="24"/>
          <w:highlight w:val="none"/>
        </w:rPr>
        <w:t>办法；</w:t>
      </w:r>
    </w:p>
    <w:p w14:paraId="7DF7EFA0">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(4）合同条款及格式；</w:t>
      </w:r>
    </w:p>
    <w:p w14:paraId="47B69CC5">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(5）项目概况及技术要求;</w:t>
      </w:r>
    </w:p>
    <w:p w14:paraId="759D8266">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(6）投标文件格式。</w:t>
      </w:r>
    </w:p>
    <w:p w14:paraId="7A2102E7">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根据本章第1.10 款、第2.2 款和第2.3 款对招标文件所作的澄清、修改，构成招标文件的组成部分。</w:t>
      </w:r>
    </w:p>
    <w:p w14:paraId="58CC56BF">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2.2 招标文件的澄清及修改</w:t>
      </w:r>
    </w:p>
    <w:p w14:paraId="320AE996">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2.2.1在投标文件递交截止时间三个工作日前，采购代理机构可以视采购具体情况，延长投标截止时间和开标时间并在财政部门指定的媒体上发布变更公告，同时将变更时间书面通知所有招标文件收受人。</w:t>
      </w:r>
    </w:p>
    <w:p w14:paraId="33F6BE8E">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2.2.2采购代理机构如果对已发出的招标文件进行修改，将在招标文件要求提交投标文件截止时间十五日前，在发布招标公告的财政部门指定媒体上发布更正公告，并以书面形式通知所有招标文件收受人。该澄清或者修改的内容为招标文件的组成部分。 </w:t>
      </w:r>
    </w:p>
    <w:p w14:paraId="2DDAD9D1">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2.2.3已经购买招标文件的投标人对招标文件有疑问的，均应在购买招标文件后7个工作日内以书面形式向采购代理机构提出。采购代理机构视情况必要时将书面答复传送给所有招标文件收受人。</w:t>
      </w:r>
    </w:p>
    <w:p w14:paraId="4F4AD2E8">
      <w:pPr>
        <w:spacing w:line="360" w:lineRule="auto"/>
        <w:ind w:firstLine="480"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sz w:val="24"/>
          <w:szCs w:val="24"/>
          <w:highlight w:val="none"/>
        </w:rPr>
        <w:t>2.2.4投标人在收到上述通知后，应立即向采购代理机构回函确认。</w:t>
      </w:r>
    </w:p>
    <w:p w14:paraId="69EE9B3D">
      <w:pPr>
        <w:spacing w:beforeLines="50" w:afterLines="50" w:line="360" w:lineRule="auto"/>
        <w:rPr>
          <w:rFonts w:asciiTheme="minorEastAsia" w:hAnsiTheme="minorEastAsia" w:eastAsiaTheme="minorEastAsia" w:cstheme="minorEastAsia"/>
          <w:b/>
          <w:bCs/>
          <w:sz w:val="24"/>
          <w:szCs w:val="24"/>
          <w:highlight w:val="none"/>
        </w:rPr>
      </w:pPr>
      <w:bookmarkStart w:id="26" w:name="_Toc420591645"/>
      <w:bookmarkStart w:id="27" w:name="_Toc421778367"/>
      <w:bookmarkStart w:id="28" w:name="_Toc425240466"/>
      <w:r>
        <w:rPr>
          <w:rFonts w:hint="eastAsia" w:asciiTheme="minorEastAsia" w:hAnsiTheme="minorEastAsia" w:eastAsiaTheme="minorEastAsia" w:cstheme="minorEastAsia"/>
          <w:b/>
          <w:bCs/>
          <w:sz w:val="24"/>
          <w:szCs w:val="24"/>
          <w:highlight w:val="none"/>
        </w:rPr>
        <w:t>3．投标文件</w:t>
      </w:r>
      <w:bookmarkEnd w:id="26"/>
      <w:bookmarkEnd w:id="27"/>
      <w:bookmarkEnd w:id="28"/>
    </w:p>
    <w:p w14:paraId="71A8AE7C">
      <w:pPr>
        <w:spacing w:line="360" w:lineRule="auto"/>
        <w:rPr>
          <w:rFonts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3.1.投标语言和投标货币</w:t>
      </w:r>
    </w:p>
    <w:p w14:paraId="01D1B2C5">
      <w:pPr>
        <w:spacing w:line="360" w:lineRule="auto"/>
        <w:ind w:firstLine="480" w:firstLineChars="200"/>
        <w:rPr>
          <w:rFonts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sz w:val="24"/>
          <w:szCs w:val="24"/>
          <w:highlight w:val="none"/>
        </w:rPr>
        <w:t>3.1.1投标人提交的投标文件以及投标人与采购代理机构就有关投标的所有来往函电均应使用中文。</w:t>
      </w:r>
    </w:p>
    <w:p w14:paraId="24F21892">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3.1.2投标应以人民币报价。任何包含非人民币报价的投标将按无效投标处理。</w:t>
      </w:r>
    </w:p>
    <w:p w14:paraId="70EE8B08">
      <w:pPr>
        <w:spacing w:line="360" w:lineRule="auto"/>
        <w:rPr>
          <w:rFonts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3.2.投标文件的构成</w:t>
      </w:r>
    </w:p>
    <w:p w14:paraId="6B47811A">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3.2.1 投标人提交的投标文件应包含下列部分的内容：</w:t>
      </w:r>
    </w:p>
    <w:p w14:paraId="278831A3">
      <w:pPr>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1）按照投标人须知的要求和招标文件规定格式填写的招标函、开标一览表、法定代表人授权委托书。</w:t>
      </w:r>
    </w:p>
    <w:p w14:paraId="4A970FFC">
      <w:pPr>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2）按照招标文件的要求编制的投标方案说明书。</w:t>
      </w:r>
    </w:p>
    <w:p w14:paraId="7A5E5C73">
      <w:pPr>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3）按照招标文件投标人须知前附表的要求提交的资格证明文件；</w:t>
      </w:r>
    </w:p>
    <w:p w14:paraId="5590C079">
      <w:pPr>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4）按照本须知第14条要求提交的投标保证金。</w:t>
      </w:r>
    </w:p>
    <w:p w14:paraId="2BB1F56B">
      <w:pPr>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5）招标文件中要求的其他证明文件。</w:t>
      </w:r>
    </w:p>
    <w:p w14:paraId="244A34EC">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3.2.2 如果在招标文件中没有允许提供备选方案，则每个投标人只允许提交一个投标方案，否则，其投标将被作无效响应处理。</w:t>
      </w:r>
    </w:p>
    <w:p w14:paraId="7C616A1B">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3.2.3 本次投标的最小单元为“标段”</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投标人</w:t>
      </w:r>
      <w:r>
        <w:rPr>
          <w:rFonts w:hint="eastAsia" w:asciiTheme="minorEastAsia" w:hAnsiTheme="minorEastAsia" w:eastAsiaTheme="minorEastAsia" w:cstheme="minorEastAsia"/>
          <w:kern w:val="0"/>
          <w:sz w:val="24"/>
          <w:szCs w:val="24"/>
          <w:highlight w:val="none"/>
        </w:rPr>
        <w:t>可根据自身的资质情况和经营范围对本次项目进行投标，不得将其子目再行分解或只对本次项目中的品目进行不完全投标，任何不完全的响应将会被拒绝。</w:t>
      </w:r>
    </w:p>
    <w:p w14:paraId="52CA61A0">
      <w:pPr>
        <w:spacing w:line="360" w:lineRule="auto"/>
        <w:rPr>
          <w:rFonts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 xml:space="preserve">3.3.投标文件格式 </w:t>
      </w:r>
    </w:p>
    <w:p w14:paraId="0569240E">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3.3.1 投标人应按照招标文件中第六章“投标文件格式及构成”所提供的格式和要求制作投标文件，明确表达投标意愿，详细说明投标方案、承诺及价格。</w:t>
      </w:r>
    </w:p>
    <w:p w14:paraId="22AFF513">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3.3.2按招标文件第六章提供的格式和要求编写其投标文件，投标人不得缺少或留空任何招标文件要求填写的表格或提交的资料。</w:t>
      </w:r>
    </w:p>
    <w:p w14:paraId="5463835B">
      <w:pPr>
        <w:spacing w:line="360" w:lineRule="auto"/>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3.4 投标报价</w:t>
      </w:r>
    </w:p>
    <w:p w14:paraId="35AFDFC7">
      <w:pPr>
        <w:spacing w:line="560" w:lineRule="exact"/>
        <w:ind w:firstLine="496" w:firstLineChars="207"/>
        <w:rPr>
          <w:rFonts w:ascii="宋体" w:hAnsi="宋体" w:cs="宋体"/>
          <w:sz w:val="24"/>
          <w:szCs w:val="24"/>
          <w:highlight w:val="none"/>
        </w:rPr>
      </w:pPr>
      <w:r>
        <w:rPr>
          <w:rFonts w:hint="eastAsia" w:ascii="宋体" w:hAnsi="宋体" w:cs="宋体"/>
          <w:sz w:val="24"/>
          <w:szCs w:val="24"/>
          <w:highlight w:val="none"/>
        </w:rPr>
        <w:t>3.4.1以中标固定总价为依据签订合同。</w:t>
      </w:r>
    </w:p>
    <w:p w14:paraId="7120B1BA">
      <w:pPr>
        <w:spacing w:line="360" w:lineRule="auto"/>
        <w:ind w:firstLine="480" w:firstLineChars="200"/>
        <w:rPr>
          <w:rFonts w:ascii="宋体"/>
          <w:sz w:val="24"/>
          <w:szCs w:val="24"/>
          <w:highlight w:val="none"/>
        </w:rPr>
      </w:pPr>
      <w:r>
        <w:rPr>
          <w:rFonts w:ascii="宋体" w:hAnsi="宋体" w:cs="宋体"/>
          <w:sz w:val="24"/>
          <w:szCs w:val="24"/>
          <w:highlight w:val="none"/>
        </w:rPr>
        <w:t>3.</w:t>
      </w:r>
      <w:r>
        <w:rPr>
          <w:rFonts w:hint="eastAsia" w:ascii="宋体" w:hAnsi="宋体" w:cs="宋体"/>
          <w:sz w:val="24"/>
          <w:szCs w:val="24"/>
          <w:highlight w:val="none"/>
        </w:rPr>
        <w:t>4</w:t>
      </w:r>
      <w:r>
        <w:rPr>
          <w:rFonts w:ascii="宋体" w:hAnsi="宋体" w:cs="宋体"/>
          <w:sz w:val="24"/>
          <w:szCs w:val="24"/>
          <w:highlight w:val="none"/>
        </w:rPr>
        <w:t>.</w:t>
      </w:r>
      <w:r>
        <w:rPr>
          <w:rFonts w:hint="eastAsia" w:ascii="宋体" w:hAnsi="宋体" w:cs="宋体"/>
          <w:sz w:val="24"/>
          <w:szCs w:val="24"/>
          <w:highlight w:val="none"/>
        </w:rPr>
        <w:t>2本项目投标总价包含：</w:t>
      </w:r>
      <w:r>
        <w:rPr>
          <w:rFonts w:hint="eastAsia" w:ascii="宋体" w:hAnsi="宋体" w:cs="宋体"/>
          <w:color w:val="000000" w:themeColor="text1"/>
          <w:sz w:val="24"/>
          <w:szCs w:val="24"/>
          <w:highlight w:val="none"/>
          <w:lang w:val="en-US" w:eastAsia="zh-CN"/>
          <w14:textFill>
            <w14:solidFill>
              <w14:schemeClr w14:val="tx1"/>
            </w14:solidFill>
          </w14:textFill>
        </w:rPr>
        <w:t>种子</w:t>
      </w:r>
      <w:r>
        <w:rPr>
          <w:rFonts w:hint="eastAsia" w:ascii="宋体" w:hAnsi="宋体" w:cs="宋体"/>
          <w:color w:val="auto"/>
          <w:sz w:val="24"/>
          <w:szCs w:val="24"/>
          <w:highlight w:val="none"/>
        </w:rPr>
        <w:t>费、</w:t>
      </w:r>
      <w:r>
        <w:rPr>
          <w:rFonts w:hint="eastAsia" w:ascii="宋体" w:hAnsi="宋体" w:cs="宋体"/>
          <w:color w:val="000000" w:themeColor="text1"/>
          <w:sz w:val="24"/>
          <w:szCs w:val="24"/>
          <w:highlight w:val="none"/>
          <w14:textFill>
            <w14:solidFill>
              <w14:schemeClr w14:val="tx1"/>
            </w14:solidFill>
          </w14:textFill>
        </w:rPr>
        <w:t>人</w:t>
      </w:r>
      <w:r>
        <w:rPr>
          <w:rFonts w:hint="eastAsia" w:ascii="宋体" w:hAnsi="宋体" w:cs="宋体"/>
          <w:sz w:val="24"/>
          <w:szCs w:val="24"/>
          <w:highlight w:val="none"/>
        </w:rPr>
        <w:t>工（劳务）费、机械设备费、物料、其他、运输费、应缴税费等，完成项目所需的其他全部费用；</w:t>
      </w:r>
    </w:p>
    <w:p w14:paraId="215D3205">
      <w:pPr>
        <w:spacing w:line="360" w:lineRule="auto"/>
        <w:ind w:firstLine="480" w:firstLineChars="200"/>
        <w:rPr>
          <w:rFonts w:ascii="宋体"/>
          <w:sz w:val="24"/>
          <w:szCs w:val="24"/>
          <w:highlight w:val="none"/>
        </w:rPr>
      </w:pPr>
      <w:r>
        <w:rPr>
          <w:rFonts w:ascii="宋体" w:hAnsi="宋体" w:cs="宋体"/>
          <w:sz w:val="24"/>
          <w:szCs w:val="24"/>
          <w:highlight w:val="none"/>
        </w:rPr>
        <w:t>3.</w:t>
      </w:r>
      <w:r>
        <w:rPr>
          <w:rFonts w:hint="eastAsia" w:ascii="宋体" w:hAnsi="宋体" w:cs="宋体"/>
          <w:sz w:val="24"/>
          <w:szCs w:val="24"/>
          <w:highlight w:val="none"/>
        </w:rPr>
        <w:t>4</w:t>
      </w:r>
      <w:r>
        <w:rPr>
          <w:rFonts w:ascii="宋体" w:hAnsi="宋体" w:cs="宋体"/>
          <w:sz w:val="24"/>
          <w:szCs w:val="24"/>
          <w:highlight w:val="none"/>
        </w:rPr>
        <w:t>.</w:t>
      </w:r>
      <w:bookmarkStart w:id="29" w:name="OLE_LINK44"/>
      <w:r>
        <w:rPr>
          <w:rFonts w:hint="eastAsia" w:ascii="宋体" w:hAnsi="宋体" w:cs="宋体"/>
          <w:sz w:val="24"/>
          <w:szCs w:val="24"/>
          <w:highlight w:val="none"/>
        </w:rPr>
        <w:t>3本工程投标组价时应妥善考虑，正式施工时固定总价不因国家法律、行政法规和国家政策变化及原材料市场价发生变化等进行调整。</w:t>
      </w:r>
    </w:p>
    <w:bookmarkEnd w:id="29"/>
    <w:p w14:paraId="5F6BF42C">
      <w:pPr>
        <w:spacing w:line="360" w:lineRule="auto"/>
        <w:ind w:firstLine="480" w:firstLineChars="200"/>
        <w:rPr>
          <w:rFonts w:ascii="宋体"/>
          <w:sz w:val="24"/>
          <w:szCs w:val="24"/>
          <w:highlight w:val="none"/>
        </w:rPr>
      </w:pPr>
      <w:r>
        <w:rPr>
          <w:rFonts w:ascii="宋体" w:hAnsi="宋体" w:cs="宋体"/>
          <w:sz w:val="24"/>
          <w:szCs w:val="24"/>
          <w:highlight w:val="none"/>
        </w:rPr>
        <w:t>3.</w:t>
      </w:r>
      <w:r>
        <w:rPr>
          <w:rFonts w:hint="eastAsia" w:ascii="宋体" w:hAnsi="宋体" w:cs="宋体"/>
          <w:sz w:val="24"/>
          <w:szCs w:val="24"/>
          <w:highlight w:val="none"/>
        </w:rPr>
        <w:t>4</w:t>
      </w:r>
      <w:r>
        <w:rPr>
          <w:rFonts w:ascii="宋体" w:hAnsi="宋体" w:cs="宋体"/>
          <w:sz w:val="24"/>
          <w:szCs w:val="24"/>
          <w:highlight w:val="none"/>
        </w:rPr>
        <w:t>.</w:t>
      </w:r>
      <w:r>
        <w:rPr>
          <w:rFonts w:hint="eastAsia" w:ascii="宋体" w:hAnsi="宋体" w:cs="宋体"/>
          <w:sz w:val="24"/>
          <w:szCs w:val="24"/>
          <w:highlight w:val="none"/>
        </w:rPr>
        <w:t>4投标人应先到工地踏勘以充分了解工地位置、情况、道路、储存空间、装卸限制及任何其他足以影响投标价的情况，任何因投标人忽视或误解工地情况而导致的其提出的任何索赔或工期延长申请将不被批准。凡因投标人对招标文件阅读疏忽或误解，或因对施工现场、施工环境、市场行情等了解不清而造成的后果和风险，均由投标人负责。</w:t>
      </w:r>
    </w:p>
    <w:p w14:paraId="235EB2F0">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3.4.5编制投标报价的其他约定</w:t>
      </w:r>
    </w:p>
    <w:p w14:paraId="10858727">
      <w:pPr>
        <w:spacing w:line="360" w:lineRule="auto"/>
        <w:ind w:firstLine="480" w:firstLineChars="200"/>
        <w:rPr>
          <w:rFonts w:asciiTheme="minorEastAsia" w:hAnsiTheme="minorEastAsia" w:eastAsiaTheme="minorEastAsia" w:cstheme="minorEastAsia"/>
          <w:sz w:val="24"/>
          <w:szCs w:val="24"/>
          <w:highlight w:val="none"/>
        </w:rPr>
      </w:pPr>
      <w:bookmarkStart w:id="30" w:name="OLE_LINK21"/>
      <w:r>
        <w:rPr>
          <w:rFonts w:hint="eastAsia" w:asciiTheme="minorEastAsia" w:hAnsiTheme="minorEastAsia" w:eastAsiaTheme="minorEastAsia" w:cstheme="minorEastAsia"/>
          <w:sz w:val="24"/>
          <w:szCs w:val="24"/>
          <w:highlight w:val="none"/>
        </w:rPr>
        <w:t>3.4.6.</w:t>
      </w:r>
      <w:bookmarkEnd w:id="30"/>
      <w:r>
        <w:rPr>
          <w:rFonts w:hint="eastAsia" w:asciiTheme="minorEastAsia" w:hAnsiTheme="minorEastAsia" w:eastAsiaTheme="minorEastAsia" w:cstheme="minorEastAsia"/>
          <w:sz w:val="24"/>
          <w:szCs w:val="24"/>
          <w:highlight w:val="none"/>
        </w:rPr>
        <w:t>1投标人根据自行确定的施工组织设计或施工方案进行自主报价。</w:t>
      </w:r>
    </w:p>
    <w:p w14:paraId="379A3421">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3.4.6.2投标人应针对拟建工程编制保证安全施工、文明施工和环境保护的技术措施方案。</w:t>
      </w:r>
    </w:p>
    <w:p w14:paraId="79CC6AA1">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3.4.6.3投标人因承包本合同工程需缴纳的一切税费均由投标人承担，并包含在所报的单价或总额价内。</w:t>
      </w:r>
    </w:p>
    <w:p w14:paraId="5A484992">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3.4.6.4投标人应为建设工程和施工场地内自有人员及第三方人员生命财产及运至施工场地内用于工程的材料办理保险，投标人的投标价中应含的保险费，承包人装备险和承包人职工的（人身）事故险由投标人在其他项目清单保险费栏内自主列报，中标后包干使用。施工期间在施工区域内因非招标人原因发生的设备、材料、人员等的损害、伤害，招标人不再承担任何责任和费用。</w:t>
      </w:r>
    </w:p>
    <w:p w14:paraId="79025DF3">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3.4.6.5投标报价中的总价要与综合单价相对应。</w:t>
      </w:r>
    </w:p>
    <w:p w14:paraId="3D164337">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3.4.6.6投标函中的投标报价应与“投标总价”表中的投标总价数字相符，不允许在投标文件中出现两个报价。任何有选择的报价将不予接受，如“若我方中标，愿在中标价基础上再优惠或下浮多少”等类似报价方法,否则按无效投标处理。</w:t>
      </w:r>
      <w:bookmarkStart w:id="31" w:name="OLE_LINK113"/>
      <w:bookmarkStart w:id="32" w:name="OLE_LINK74"/>
      <w:bookmarkStart w:id="33" w:name="OLE_LINK114"/>
      <w:bookmarkStart w:id="34" w:name="OLE_LINK20"/>
      <w:bookmarkStart w:id="35" w:name="OLE_LINK63"/>
      <w:bookmarkStart w:id="36" w:name="OLE_LINK64"/>
    </w:p>
    <w:bookmarkEnd w:id="31"/>
    <w:bookmarkEnd w:id="32"/>
    <w:bookmarkEnd w:id="33"/>
    <w:bookmarkEnd w:id="34"/>
    <w:bookmarkEnd w:id="35"/>
    <w:bookmarkEnd w:id="36"/>
    <w:p w14:paraId="5AC2E481">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3.4.7服务费收费标准：按国家计委颁发的《招标代理服务收费管理暂行办法》（计价格[2002]1980号）</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国家发展</w:t>
      </w:r>
      <w:r>
        <w:rPr>
          <w:rFonts w:hint="eastAsia" w:asciiTheme="minorEastAsia" w:hAnsiTheme="minorEastAsia" w:eastAsiaTheme="minorEastAsia" w:cstheme="minorEastAsia"/>
          <w:sz w:val="24"/>
          <w:szCs w:val="24"/>
          <w:highlight w:val="none"/>
          <w:lang w:val="en-US" w:eastAsia="zh-CN"/>
        </w:rPr>
        <w:t>和</w:t>
      </w:r>
      <w:r>
        <w:rPr>
          <w:rFonts w:hint="eastAsia" w:asciiTheme="minorEastAsia" w:hAnsiTheme="minorEastAsia" w:eastAsiaTheme="minorEastAsia" w:cstheme="minorEastAsia"/>
          <w:sz w:val="24"/>
          <w:szCs w:val="24"/>
          <w:highlight w:val="none"/>
        </w:rPr>
        <w:t>改革委员会办公厅颁发的《关于招标代理服务收费有关问题的通知》（发改办价格[2003]857号）的有关标准执行。</w:t>
      </w:r>
    </w:p>
    <w:p w14:paraId="13C509F7">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服务费收取方式：中标人承担招标代理服务费，中标人在领取中标通知书前，须向</w:t>
      </w:r>
      <w:r>
        <w:rPr>
          <w:rFonts w:hint="eastAsia" w:asciiTheme="minorEastAsia" w:hAnsiTheme="minorEastAsia" w:eastAsiaTheme="minorEastAsia" w:cstheme="minorEastAsia"/>
          <w:sz w:val="24"/>
          <w:szCs w:val="24"/>
          <w:highlight w:val="none"/>
          <w:lang w:val="en-US" w:eastAsia="zh-CN"/>
        </w:rPr>
        <w:t>招标</w:t>
      </w:r>
      <w:r>
        <w:rPr>
          <w:rFonts w:hint="eastAsia" w:asciiTheme="minorEastAsia" w:hAnsiTheme="minorEastAsia" w:eastAsiaTheme="minorEastAsia" w:cstheme="minorEastAsia"/>
          <w:sz w:val="24"/>
          <w:szCs w:val="24"/>
          <w:highlight w:val="none"/>
        </w:rPr>
        <w:t>代理机构一次性支付招标代理服务费。</w:t>
      </w:r>
    </w:p>
    <w:p w14:paraId="2E8EDC30">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3.5 投标有效期</w:t>
      </w:r>
    </w:p>
    <w:p w14:paraId="438AE2ED">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3.5.1 在投标人须知前附表规定的投标有效期内，投标人不得要求撤销或修改其投标文件。</w:t>
      </w:r>
    </w:p>
    <w:p w14:paraId="626726D4">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3.5.2 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14:paraId="7858C973">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3.6 投标保证金（本项目不缴纳投标保证金）</w:t>
      </w:r>
    </w:p>
    <w:p w14:paraId="7F94BC26">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3.7备选投标方案</w:t>
      </w:r>
    </w:p>
    <w:p w14:paraId="058025C7">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除投标人须知前附表另有规定外，投标人不得递交备选投标方案。</w:t>
      </w:r>
    </w:p>
    <w:p w14:paraId="68CEF91C">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3.8投标文件的编制</w:t>
      </w:r>
    </w:p>
    <w:p w14:paraId="34A4CA6B">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3.8.1 投标文件应按“投标文件格式”进行编写，如有必要，可以增加附页，作为投标文件的组成部分。</w:t>
      </w:r>
    </w:p>
    <w:p w14:paraId="62FC5F87">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3.8.2 投标文件应当对招标文件有关工期、投标有效期、质量要求、技术标准和要求、招标范围等实质性内容作出响应。</w:t>
      </w:r>
    </w:p>
    <w:p w14:paraId="19ACA085">
      <w:pPr>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3.8.3 投标文件需打印或用不褪色的蓝(黑)色墨水(汁)书写,并由投标人法定代表人或经法定代表人正式授权的代表签字。投标文件若由授权代表签署，须按招标文件规定的格式出具的“法定代表人授权委托书”原件附在投标文件中。所有要求签字（名）处，均须由签字（名）者本人用不褪色的蓝(黑)色墨水(汁)书写，不得用任何形式的图章代替。所有投标文件按第六章规定的顺序编排、并应编制目录、逐页标注连续页码，每一页的正下方清楚标明第几页、共几页等字样，并统一装订（胶装）成册。</w:t>
      </w:r>
    </w:p>
    <w:p w14:paraId="0998B069">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3.8.4 投标文件正本、副本份数见投标人须知前附表。正本和副本的封面上应清楚地标记“正本”或“副本”、“包号：第  包”的字样。当副本和正本不一致时，以正本为准。电子版投标文件内容包括投标文件的所有内容。</w:t>
      </w:r>
    </w:p>
    <w:p w14:paraId="657C8398">
      <w:pPr>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3.8.5 所有投标文件正本和副本须按第八章规定的顺序编排、编制目录、</w:t>
      </w:r>
      <w:r>
        <w:rPr>
          <w:rFonts w:hint="eastAsia" w:asciiTheme="minorEastAsia" w:hAnsiTheme="minorEastAsia" w:eastAsiaTheme="minorEastAsia" w:cstheme="minorEastAsia"/>
          <w:b/>
          <w:bCs/>
          <w:sz w:val="24"/>
          <w:szCs w:val="24"/>
          <w:highlight w:val="none"/>
        </w:rPr>
        <w:t>投标文件正本需逐页加盖投标人公章</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sz w:val="24"/>
          <w:szCs w:val="24"/>
          <w:highlight w:val="none"/>
        </w:rPr>
        <w:t>并分别胶装成册。</w:t>
      </w:r>
    </w:p>
    <w:p w14:paraId="465551CB">
      <w:pPr>
        <w:spacing w:beforeLines="50" w:afterLines="50" w:line="360" w:lineRule="auto"/>
        <w:rPr>
          <w:rFonts w:asciiTheme="minorEastAsia" w:hAnsiTheme="minorEastAsia" w:eastAsiaTheme="minorEastAsia" w:cstheme="minorEastAsia"/>
          <w:b/>
          <w:bCs/>
          <w:sz w:val="24"/>
          <w:szCs w:val="24"/>
          <w:highlight w:val="none"/>
        </w:rPr>
      </w:pPr>
      <w:bookmarkStart w:id="37" w:name="_Toc420591646"/>
      <w:bookmarkStart w:id="38" w:name="_Toc425240467"/>
      <w:bookmarkStart w:id="39" w:name="_Toc421778368"/>
      <w:r>
        <w:rPr>
          <w:rFonts w:hint="eastAsia" w:asciiTheme="minorEastAsia" w:hAnsiTheme="minorEastAsia" w:eastAsiaTheme="minorEastAsia" w:cstheme="minorEastAsia"/>
          <w:b/>
          <w:bCs/>
          <w:sz w:val="24"/>
          <w:szCs w:val="24"/>
          <w:highlight w:val="none"/>
        </w:rPr>
        <w:t>4．投标</w:t>
      </w:r>
      <w:bookmarkEnd w:id="37"/>
      <w:bookmarkEnd w:id="38"/>
      <w:bookmarkEnd w:id="39"/>
    </w:p>
    <w:p w14:paraId="4F001A59">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4.1 投标文件的密封和标记</w:t>
      </w:r>
    </w:p>
    <w:p w14:paraId="02D7F16E">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4.1.1投标文件的密封：投标文件须胶装成套且须用密封袋密封，包括投标文件正本、副本、投标文件电子版，开标一览表（投标人需另外单独准备一份与正本内容一致的开标一览表），若与正本内容不一致，则按单独的开标一览表为准。</w:t>
      </w:r>
    </w:p>
    <w:p w14:paraId="595BF842">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4.1.2投标文件的封套上应清楚地标记“正本”、“副本”“第</w:t>
      </w:r>
      <w:r>
        <w:rPr>
          <w:rFonts w:hint="eastAsia" w:asciiTheme="minorEastAsia" w:hAnsiTheme="minorEastAsia" w:eastAsiaTheme="minorEastAsia" w:cstheme="minorEastAsia"/>
          <w:sz w:val="24"/>
          <w:szCs w:val="24"/>
          <w:highlight w:val="none"/>
          <w:u w:val="single"/>
        </w:rPr>
        <w:t xml:space="preserve">   </w:t>
      </w:r>
      <w:r>
        <w:rPr>
          <w:rFonts w:hint="eastAsia" w:asciiTheme="minorEastAsia" w:hAnsiTheme="minorEastAsia" w:eastAsiaTheme="minorEastAsia" w:cstheme="minorEastAsia"/>
          <w:sz w:val="24"/>
          <w:szCs w:val="24"/>
          <w:highlight w:val="none"/>
        </w:rPr>
        <w:t>包”字样，封套上应写明的其他内容见投标人须知前附表。</w:t>
      </w:r>
    </w:p>
    <w:p w14:paraId="0E30EE7F">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4.1.3未按本章第3.6.3、第3.6.4项和第4.1.2项要求密封和加写标记的投标文件，招标代理机构不予受理。</w:t>
      </w:r>
    </w:p>
    <w:p w14:paraId="0F3DE117">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4.2 投标文件的递交</w:t>
      </w:r>
    </w:p>
    <w:p w14:paraId="7C258188">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4.2.1 投标人应在投标人须知前附表第4.2.2 项规定的投标截止时间前递交投标文件。</w:t>
      </w:r>
    </w:p>
    <w:p w14:paraId="77E8FD71">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4.2.2 投标人递交投标文件的地点：见投标人须知前附表。</w:t>
      </w:r>
    </w:p>
    <w:p w14:paraId="6E066874">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4.2.3 投标人所递交的投标文件不予退还。</w:t>
      </w:r>
    </w:p>
    <w:p w14:paraId="7DA6FC74">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4.2.4逾期送达的或者未送达指定地点的投标文件，</w:t>
      </w:r>
      <w:bookmarkStart w:id="40" w:name="OLE_LINK50"/>
      <w:r>
        <w:rPr>
          <w:rFonts w:hint="eastAsia" w:asciiTheme="minorEastAsia" w:hAnsiTheme="minorEastAsia" w:eastAsiaTheme="minorEastAsia" w:cstheme="minorEastAsia"/>
          <w:sz w:val="24"/>
          <w:szCs w:val="24"/>
          <w:highlight w:val="none"/>
        </w:rPr>
        <w:t>招标代理机构</w:t>
      </w:r>
      <w:bookmarkEnd w:id="40"/>
      <w:r>
        <w:rPr>
          <w:rFonts w:hint="eastAsia" w:asciiTheme="minorEastAsia" w:hAnsiTheme="minorEastAsia" w:eastAsiaTheme="minorEastAsia" w:cstheme="minorEastAsia"/>
          <w:sz w:val="24"/>
          <w:szCs w:val="24"/>
          <w:highlight w:val="none"/>
        </w:rPr>
        <w:t>不予受理。</w:t>
      </w:r>
    </w:p>
    <w:p w14:paraId="5A354474">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4.3 投标文件的修改与撤回</w:t>
      </w:r>
    </w:p>
    <w:p w14:paraId="5B39BF81">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4.3.1 在投标人须知前附表第4.2.2 项规定的投标截止时间前，投标人可以修改或撤回已递交的投标文件，但应以书面形式通知招标人。</w:t>
      </w:r>
    </w:p>
    <w:p w14:paraId="1FE38881">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4.3.2 投标人修改或撤回已递交投标文件的书面通知应按照本章第3.6.5项的要求签字和盖章。</w:t>
      </w:r>
    </w:p>
    <w:p w14:paraId="66358C74">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4.3.3 修改的内容为投标文件的组成部分。修改的投标文件应按照本章第3条、第4条规定进行编制、密封、标记和递交，并标明“修改”字样。</w:t>
      </w:r>
    </w:p>
    <w:p w14:paraId="79C1C76A">
      <w:pPr>
        <w:spacing w:beforeLines="50" w:afterLines="50" w:line="360" w:lineRule="auto"/>
        <w:rPr>
          <w:rFonts w:asciiTheme="minorEastAsia" w:hAnsiTheme="minorEastAsia" w:eastAsiaTheme="minorEastAsia" w:cstheme="minorEastAsia"/>
          <w:b/>
          <w:bCs/>
          <w:sz w:val="24"/>
          <w:szCs w:val="24"/>
          <w:highlight w:val="none"/>
        </w:rPr>
      </w:pPr>
      <w:bookmarkStart w:id="41" w:name="_Toc425240468"/>
      <w:bookmarkStart w:id="42" w:name="_Toc420591647"/>
      <w:bookmarkStart w:id="43" w:name="_Toc421778369"/>
      <w:r>
        <w:rPr>
          <w:rFonts w:hint="eastAsia" w:asciiTheme="minorEastAsia" w:hAnsiTheme="minorEastAsia" w:eastAsiaTheme="minorEastAsia" w:cstheme="minorEastAsia"/>
          <w:b/>
          <w:bCs/>
          <w:sz w:val="24"/>
          <w:szCs w:val="24"/>
          <w:highlight w:val="none"/>
        </w:rPr>
        <w:t>5．开标</w:t>
      </w:r>
      <w:bookmarkEnd w:id="41"/>
      <w:bookmarkEnd w:id="42"/>
      <w:bookmarkEnd w:id="43"/>
    </w:p>
    <w:p w14:paraId="246F6C7C">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5.1 开标时间和地点</w:t>
      </w:r>
    </w:p>
    <w:p w14:paraId="019752BB">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见投标人须知前附表。</w:t>
      </w:r>
    </w:p>
    <w:p w14:paraId="20E640E2">
      <w:pPr>
        <w:spacing w:beforeLines="50" w:afterLines="50" w:line="360" w:lineRule="auto"/>
        <w:rPr>
          <w:rFonts w:asciiTheme="minorEastAsia" w:hAnsiTheme="minorEastAsia" w:eastAsiaTheme="minorEastAsia" w:cstheme="minorEastAsia"/>
          <w:b/>
          <w:bCs/>
          <w:sz w:val="24"/>
          <w:szCs w:val="24"/>
          <w:highlight w:val="none"/>
        </w:rPr>
      </w:pPr>
      <w:bookmarkStart w:id="44" w:name="_Toc421778370"/>
      <w:bookmarkStart w:id="45" w:name="_Toc420591648"/>
      <w:bookmarkStart w:id="46" w:name="_Toc425240469"/>
      <w:r>
        <w:rPr>
          <w:rFonts w:hint="eastAsia" w:asciiTheme="minorEastAsia" w:hAnsiTheme="minorEastAsia" w:eastAsiaTheme="minorEastAsia" w:cstheme="minorEastAsia"/>
          <w:b/>
          <w:bCs/>
          <w:sz w:val="24"/>
          <w:szCs w:val="24"/>
          <w:highlight w:val="none"/>
        </w:rPr>
        <w:t>6．评标</w:t>
      </w:r>
      <w:bookmarkEnd w:id="44"/>
      <w:bookmarkEnd w:id="45"/>
      <w:bookmarkEnd w:id="46"/>
    </w:p>
    <w:p w14:paraId="2D2B85EC">
      <w:pPr>
        <w:spacing w:line="360" w:lineRule="auto"/>
        <w:ind w:firstLine="482"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6.1 评标委员会</w:t>
      </w:r>
    </w:p>
    <w:p w14:paraId="0FA4B4A2">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6.1.1 评标由招标人依法组建的评标委员会负责。评标委员会由招标人代表和具备相关专业的专家等</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人以上单数组成评标委员会；</w:t>
      </w:r>
    </w:p>
    <w:p w14:paraId="46C6191D">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6.1.2 评标委员会成员有下列情形之一的，应当回避：</w:t>
      </w:r>
    </w:p>
    <w:p w14:paraId="773D50CB">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(1）投标人或投标人的主要负责人的近亲属；</w:t>
      </w:r>
    </w:p>
    <w:p w14:paraId="606D70AB">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(2）与投标人有经济利益关系，可能影响对投标公正评审的；</w:t>
      </w:r>
    </w:p>
    <w:p w14:paraId="709D960F">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(3）曾因在招标、评标以及其他与招标投标有关活动中从事违法行为而受过行政处罚或刑事处罚的。</w:t>
      </w:r>
    </w:p>
    <w:p w14:paraId="30B7D37C">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6.2 评标原则</w:t>
      </w:r>
    </w:p>
    <w:p w14:paraId="57A4CD45">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评标活动遵循公平、公正、科学和择优的原则。</w:t>
      </w:r>
    </w:p>
    <w:p w14:paraId="7FC0521D">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6.3 评标</w:t>
      </w:r>
    </w:p>
    <w:p w14:paraId="426E27E2">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6.3.1评标委员会按照第三章“评标办法”规定的方法、评审因素、标准和程序对投标文件进行评审。第三章“评标办法”没有规定的方法、评审因素和标准，不作为评标依据。</w:t>
      </w:r>
    </w:p>
    <w:p w14:paraId="08FD1903">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6.3.2评标过程的保密</w:t>
      </w:r>
    </w:p>
    <w:p w14:paraId="03FBD735">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（1）开标后，直至授予中标人合同为止，凡属于对投标文件的审查、补遗、评价和比较的有关资料以及中标候选人的推荐情况等均严格保密。</w:t>
      </w:r>
    </w:p>
    <w:p w14:paraId="39EF210E">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（2）在投标文件的评审、中标候选人推荐以及授予合同的过程中，投标人向招标人和评标委员会施加影响的任何行为，都将会导致其投标被拒绝直至取消其中标资格。</w:t>
      </w:r>
    </w:p>
    <w:p w14:paraId="35BD8E6F">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（3）中标人确定后，招标人不对未中标人就评标过程以及未能中标原因作出任何解释。未中标人不得向评标委员会组成人员或其他有关人员索问评标过程的情况和材料。</w:t>
      </w:r>
    </w:p>
    <w:p w14:paraId="3446D31E">
      <w:pPr>
        <w:spacing w:beforeLines="50" w:afterLines="50" w:line="360" w:lineRule="auto"/>
        <w:rPr>
          <w:rFonts w:asciiTheme="minorEastAsia" w:hAnsiTheme="minorEastAsia" w:eastAsiaTheme="minorEastAsia" w:cstheme="minorEastAsia"/>
          <w:b/>
          <w:bCs/>
          <w:sz w:val="24"/>
          <w:szCs w:val="24"/>
          <w:highlight w:val="none"/>
        </w:rPr>
      </w:pPr>
      <w:bookmarkStart w:id="47" w:name="_Toc420591649"/>
      <w:bookmarkStart w:id="48" w:name="_Toc425240470"/>
      <w:bookmarkStart w:id="49" w:name="_Toc421778371"/>
      <w:r>
        <w:rPr>
          <w:rFonts w:hint="eastAsia" w:asciiTheme="minorEastAsia" w:hAnsiTheme="minorEastAsia" w:eastAsiaTheme="minorEastAsia" w:cstheme="minorEastAsia"/>
          <w:b/>
          <w:bCs/>
          <w:sz w:val="24"/>
          <w:szCs w:val="24"/>
          <w:highlight w:val="none"/>
        </w:rPr>
        <w:t>7．合同授予</w:t>
      </w:r>
      <w:bookmarkEnd w:id="47"/>
      <w:bookmarkEnd w:id="48"/>
      <w:bookmarkEnd w:id="49"/>
    </w:p>
    <w:p w14:paraId="30D1846F">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7.1 定标方式</w:t>
      </w:r>
    </w:p>
    <w:p w14:paraId="1FFA4820">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评标委员会推荐3名中标候选人，并标明推荐顺序，招标人依据评标委员会推荐的中标候选人确定中标人。</w:t>
      </w:r>
    </w:p>
    <w:p w14:paraId="582AE274">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7.2 中标通知</w:t>
      </w:r>
    </w:p>
    <w:p w14:paraId="0752FBA2">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在本章第3.3 款规定的投标有效期内，经招标人同意由招标代理机构以书面形式向中标人发出中标通知书。</w:t>
      </w:r>
    </w:p>
    <w:p w14:paraId="4B5F336A">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7.3 签订合同</w:t>
      </w:r>
    </w:p>
    <w:p w14:paraId="3D428C98">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7.3.1 招标人和中标人应当自中标通知书发出之日起30天内，根据招标文件和中标人的投标文件订立书面合同；中标人无正当理由拒签合同的，招标人取消其中标资格，其投标保证金不予退还；给招标人和招标代理机构造成的损失超过投标保证金数额的，中标人还应当对超过部分予以赔偿。</w:t>
      </w:r>
    </w:p>
    <w:p w14:paraId="2F37A574">
      <w:pPr>
        <w:spacing w:beforeLines="50" w:afterLines="50" w:line="360" w:lineRule="auto"/>
        <w:rPr>
          <w:rFonts w:asciiTheme="minorEastAsia" w:hAnsiTheme="minorEastAsia" w:eastAsiaTheme="minorEastAsia" w:cstheme="minorEastAsia"/>
          <w:b/>
          <w:bCs/>
          <w:sz w:val="24"/>
          <w:szCs w:val="24"/>
          <w:highlight w:val="none"/>
        </w:rPr>
      </w:pPr>
      <w:bookmarkStart w:id="50" w:name="_Toc425240471"/>
      <w:bookmarkStart w:id="51" w:name="_Toc420591650"/>
      <w:bookmarkStart w:id="52" w:name="_Toc421778372"/>
      <w:r>
        <w:rPr>
          <w:rFonts w:hint="eastAsia" w:asciiTheme="minorEastAsia" w:hAnsiTheme="minorEastAsia" w:eastAsiaTheme="minorEastAsia" w:cstheme="minorEastAsia"/>
          <w:b/>
          <w:bCs/>
          <w:sz w:val="24"/>
          <w:szCs w:val="24"/>
          <w:highlight w:val="none"/>
        </w:rPr>
        <w:t>8．重新招标和不再招标</w:t>
      </w:r>
      <w:bookmarkEnd w:id="50"/>
      <w:bookmarkEnd w:id="51"/>
      <w:bookmarkEnd w:id="52"/>
    </w:p>
    <w:p w14:paraId="6A1EF8F8">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8.1 重新招标</w:t>
      </w:r>
    </w:p>
    <w:p w14:paraId="6EF6120C">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有下列情形之一的，招标人将重新招标：</w:t>
      </w:r>
    </w:p>
    <w:p w14:paraId="0134393E">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（l）投标截止时间止，投标人少于3个的；</w:t>
      </w:r>
    </w:p>
    <w:p w14:paraId="217047DC">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（2）经评标委员会评审后否决所有投标的。</w:t>
      </w:r>
    </w:p>
    <w:p w14:paraId="349ABA27">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8.2 不再招标</w:t>
      </w:r>
    </w:p>
    <w:p w14:paraId="5202994D">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重新招标后投标人仍少于3个或者所有投标被否决的，属于必须审批或核准的工程建设项目，经原审批或核准部门批准后不再进行招标。</w:t>
      </w:r>
    </w:p>
    <w:p w14:paraId="536BD6C1">
      <w:pPr>
        <w:spacing w:beforeLines="50" w:afterLines="50" w:line="360" w:lineRule="auto"/>
        <w:rPr>
          <w:rFonts w:asciiTheme="minorEastAsia" w:hAnsiTheme="minorEastAsia" w:eastAsiaTheme="minorEastAsia" w:cstheme="minorEastAsia"/>
          <w:b/>
          <w:bCs/>
          <w:sz w:val="24"/>
          <w:szCs w:val="24"/>
          <w:highlight w:val="none"/>
        </w:rPr>
      </w:pPr>
      <w:bookmarkStart w:id="53" w:name="_Toc421778373"/>
      <w:bookmarkStart w:id="54" w:name="_Toc425240472"/>
      <w:bookmarkStart w:id="55" w:name="_Toc420591651"/>
      <w:r>
        <w:rPr>
          <w:rFonts w:hint="eastAsia" w:asciiTheme="minorEastAsia" w:hAnsiTheme="minorEastAsia" w:eastAsiaTheme="minorEastAsia" w:cstheme="minorEastAsia"/>
          <w:b/>
          <w:bCs/>
          <w:sz w:val="24"/>
          <w:szCs w:val="24"/>
          <w:highlight w:val="none"/>
        </w:rPr>
        <w:t>9．纪律和监督</w:t>
      </w:r>
      <w:bookmarkEnd w:id="53"/>
      <w:bookmarkEnd w:id="54"/>
      <w:bookmarkEnd w:id="55"/>
    </w:p>
    <w:p w14:paraId="479437A4">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9.1 对招标人的纪律要求</w:t>
      </w:r>
    </w:p>
    <w:p w14:paraId="2A1BA905">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招标人不得泄漏招标投标活动中应当保密的情况和资料，不得与投标人串通损害国家利益、社会公共利益或者他人合法权益。</w:t>
      </w:r>
    </w:p>
    <w:p w14:paraId="76B1E816">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9.2 对投标人的纪律要求</w:t>
      </w:r>
    </w:p>
    <w:p w14:paraId="7D0A0D73">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69B6D96E">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9.3 对评标委员会成员的纪律要求</w:t>
      </w:r>
    </w:p>
    <w:p w14:paraId="1B0F920A">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w:t>
      </w:r>
    </w:p>
    <w:p w14:paraId="733146DC">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9.4 对与评标活动有关的工作人员的纪律要求</w:t>
      </w:r>
    </w:p>
    <w:p w14:paraId="7B882A32">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6B393ABB">
      <w:pPr>
        <w:spacing w:line="360" w:lineRule="auto"/>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9.5 投诉</w:t>
      </w:r>
    </w:p>
    <w:p w14:paraId="485068F3">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投标人和其他利害关系人认为本次招标活动违反法律、法规和规章规定的，有权向有关行政监督部门投诉。</w:t>
      </w:r>
    </w:p>
    <w:p w14:paraId="4C6A6C7D">
      <w:pPr>
        <w:spacing w:beforeLines="50" w:afterLines="50" w:line="360" w:lineRule="auto"/>
        <w:rPr>
          <w:rFonts w:asciiTheme="minorEastAsia" w:hAnsiTheme="minorEastAsia" w:eastAsiaTheme="minorEastAsia" w:cstheme="minorEastAsia"/>
          <w:b/>
          <w:bCs/>
          <w:sz w:val="24"/>
          <w:szCs w:val="24"/>
          <w:highlight w:val="none"/>
        </w:rPr>
      </w:pPr>
      <w:bookmarkStart w:id="56" w:name="_Toc425240473"/>
      <w:bookmarkStart w:id="57" w:name="_Toc421778374"/>
      <w:bookmarkStart w:id="58" w:name="_Toc420591652"/>
      <w:r>
        <w:rPr>
          <w:rFonts w:hint="eastAsia" w:asciiTheme="minorEastAsia" w:hAnsiTheme="minorEastAsia" w:eastAsiaTheme="minorEastAsia" w:cstheme="minorEastAsia"/>
          <w:b/>
          <w:bCs/>
          <w:sz w:val="24"/>
          <w:szCs w:val="24"/>
          <w:highlight w:val="none"/>
        </w:rPr>
        <w:t>10、需要补充的其他内容：</w:t>
      </w:r>
      <w:bookmarkStart w:id="59" w:name="_Toc356305901"/>
      <w:r>
        <w:rPr>
          <w:rFonts w:hint="eastAsia" w:asciiTheme="minorEastAsia" w:hAnsiTheme="minorEastAsia" w:eastAsiaTheme="minorEastAsia" w:cstheme="minorEastAsia"/>
          <w:b/>
          <w:bCs/>
          <w:sz w:val="24"/>
          <w:szCs w:val="24"/>
          <w:highlight w:val="none"/>
        </w:rPr>
        <w:t>详见投标人须知前附表</w:t>
      </w:r>
      <w:bookmarkEnd w:id="59"/>
      <w:r>
        <w:rPr>
          <w:rFonts w:hint="eastAsia" w:asciiTheme="minorEastAsia" w:hAnsiTheme="minorEastAsia" w:eastAsiaTheme="minorEastAsia" w:cstheme="minorEastAsia"/>
          <w:b/>
          <w:bCs/>
          <w:sz w:val="24"/>
          <w:szCs w:val="24"/>
          <w:highlight w:val="none"/>
        </w:rPr>
        <w:t>。</w:t>
      </w:r>
      <w:bookmarkEnd w:id="56"/>
      <w:bookmarkEnd w:id="57"/>
      <w:bookmarkEnd w:id="58"/>
    </w:p>
    <w:p w14:paraId="0EDC1FAD">
      <w:pPr>
        <w:spacing w:beforeLines="50" w:afterLines="50" w:line="360" w:lineRule="auto"/>
        <w:rPr>
          <w:rFonts w:asciiTheme="minorEastAsia" w:hAnsiTheme="minorEastAsia" w:eastAsiaTheme="minorEastAsia" w:cstheme="minorEastAsia"/>
          <w:b/>
          <w:bCs/>
          <w:sz w:val="24"/>
          <w:szCs w:val="24"/>
          <w:highlight w:val="none"/>
        </w:rPr>
      </w:pPr>
      <w:bookmarkStart w:id="60" w:name="_Toc425240474"/>
      <w:bookmarkStart w:id="61" w:name="_Toc421778375"/>
      <w:bookmarkStart w:id="62" w:name="_Toc420591653"/>
      <w:r>
        <w:rPr>
          <w:rFonts w:hint="eastAsia" w:asciiTheme="minorEastAsia" w:hAnsiTheme="minorEastAsia" w:eastAsiaTheme="minorEastAsia" w:cstheme="minorEastAsia"/>
          <w:b/>
          <w:bCs/>
          <w:sz w:val="24"/>
          <w:szCs w:val="24"/>
          <w:highlight w:val="none"/>
        </w:rPr>
        <w:t>11、招标代理服务费</w:t>
      </w:r>
      <w:bookmarkEnd w:id="60"/>
      <w:bookmarkEnd w:id="61"/>
      <w:bookmarkEnd w:id="62"/>
    </w:p>
    <w:p w14:paraId="6A0045DF">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11.1由中标单位向招标代理机构一次性缴付招标代理服务费。</w:t>
      </w:r>
    </w:p>
    <w:p w14:paraId="4F514AAE">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11.2收费标准：按国家计委颁发的《招标代理服务收费管理暂行办法》（计价格[2002]1980号）、国家发展和改革委员会办公厅颁发的《关于招标代理服务收费有关问题的通知》（发改办价格[2003]857号）的有关标准执行。</w:t>
      </w:r>
    </w:p>
    <w:p w14:paraId="1FFFB191">
      <w:pPr>
        <w:spacing w:line="500" w:lineRule="exact"/>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12.质疑</w:t>
      </w:r>
    </w:p>
    <w:p w14:paraId="021C793B">
      <w:pPr>
        <w:spacing w:line="500" w:lineRule="exact"/>
        <w:ind w:right="12" w:firstLine="48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12.1投标人认为招标文件、招标过程、中标结果使自己的权益受到损害的，可以在知道或者应知其权益受到损害之日起7个工作日内，以书面形式向采购人、采购代理机构提出质疑。</w:t>
      </w:r>
    </w:p>
    <w:p w14:paraId="215DE7F6">
      <w:pPr>
        <w:spacing w:line="500" w:lineRule="exact"/>
        <w:ind w:right="12" w:firstLine="480"/>
        <w:rPr>
          <w:rStyle w:val="31"/>
          <w:rFonts w:asciiTheme="minorEastAsia" w:hAnsiTheme="minorEastAsia" w:eastAsiaTheme="minorEastAsia" w:cstheme="minorEastAsia"/>
          <w:bCs w:val="0"/>
          <w:sz w:val="24"/>
          <w:szCs w:val="24"/>
          <w:highlight w:val="none"/>
          <w:shd w:val="clear" w:color="auto" w:fill="FFFFFF"/>
        </w:rPr>
      </w:pPr>
      <w:r>
        <w:rPr>
          <w:rFonts w:hint="eastAsia" w:asciiTheme="minorEastAsia" w:hAnsiTheme="minorEastAsia" w:eastAsiaTheme="minorEastAsia" w:cstheme="minorEastAsia"/>
          <w:sz w:val="24"/>
          <w:szCs w:val="24"/>
          <w:highlight w:val="none"/>
        </w:rPr>
        <w:t>12.2投标人必须在法定质疑期内一次性提出针对同一采购程序环节的质疑。</w:t>
      </w:r>
    </w:p>
    <w:p w14:paraId="3377DE62">
      <w:pPr>
        <w:spacing w:line="500" w:lineRule="exact"/>
        <w:ind w:left="3" w:firstLine="518" w:firstLineChars="216"/>
        <w:rPr>
          <w:rStyle w:val="31"/>
          <w:rFonts w:asciiTheme="minorEastAsia" w:hAnsiTheme="minorEastAsia" w:eastAsiaTheme="minorEastAsia" w:cstheme="minorEastAsia"/>
          <w:sz w:val="24"/>
          <w:szCs w:val="24"/>
          <w:highlight w:val="none"/>
          <w:shd w:val="clear" w:color="auto" w:fill="FFFFFF"/>
        </w:rPr>
      </w:pPr>
      <w:r>
        <w:rPr>
          <w:rStyle w:val="31"/>
          <w:rFonts w:hint="eastAsia" w:asciiTheme="minorEastAsia" w:hAnsiTheme="minorEastAsia" w:eastAsiaTheme="minorEastAsia" w:cstheme="minorEastAsia"/>
          <w:sz w:val="24"/>
          <w:szCs w:val="24"/>
          <w:highlight w:val="none"/>
          <w:shd w:val="clear" w:color="auto" w:fill="FFFFFF"/>
        </w:rPr>
        <w:t>12.3投标人可以委托代理人进行质疑。代理人提出质疑的，应当提交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38EB3907">
      <w:pPr>
        <w:spacing w:line="500" w:lineRule="exact"/>
        <w:ind w:left="3" w:firstLine="518" w:firstLineChars="216"/>
        <w:rPr>
          <w:rStyle w:val="31"/>
          <w:rFonts w:asciiTheme="minorEastAsia" w:hAnsiTheme="minorEastAsia" w:eastAsiaTheme="minorEastAsia" w:cstheme="minorEastAsia"/>
          <w:sz w:val="24"/>
          <w:szCs w:val="24"/>
          <w:highlight w:val="none"/>
          <w:shd w:val="clear" w:color="auto" w:fill="FFFFFF"/>
        </w:rPr>
      </w:pPr>
      <w:r>
        <w:rPr>
          <w:rStyle w:val="31"/>
          <w:rFonts w:hint="eastAsia" w:asciiTheme="minorEastAsia" w:hAnsiTheme="minorEastAsia" w:eastAsiaTheme="minorEastAsia" w:cstheme="minorEastAsia"/>
          <w:sz w:val="24"/>
          <w:szCs w:val="24"/>
          <w:highlight w:val="none"/>
          <w:shd w:val="clear" w:color="auto" w:fill="FFFFFF"/>
        </w:rPr>
        <w:t>12.4以联合体形式参加政府采购活动的，其质疑应当由组成联合体的所有投标人共同提出。</w:t>
      </w:r>
    </w:p>
    <w:p w14:paraId="4C0AC3EC">
      <w:pPr>
        <w:spacing w:line="500" w:lineRule="exact"/>
        <w:ind w:right="12" w:firstLine="480" w:firstLineChars="200"/>
        <w:rPr>
          <w:rFonts w:asciiTheme="minorEastAsia" w:hAnsiTheme="minorEastAsia" w:eastAsiaTheme="minorEastAsia" w:cstheme="minorEastAsia"/>
          <w:sz w:val="24"/>
          <w:szCs w:val="24"/>
          <w:highlight w:val="none"/>
        </w:rPr>
      </w:pPr>
      <w:r>
        <w:rPr>
          <w:rStyle w:val="31"/>
          <w:rFonts w:hint="eastAsia" w:asciiTheme="minorEastAsia" w:hAnsiTheme="minorEastAsia" w:eastAsiaTheme="minorEastAsia" w:cstheme="minorEastAsia"/>
          <w:sz w:val="24"/>
          <w:szCs w:val="24"/>
          <w:highlight w:val="none"/>
          <w:shd w:val="clear" w:color="auto" w:fill="FFFFFF"/>
        </w:rPr>
        <w:t>12</w:t>
      </w:r>
      <w:r>
        <w:rPr>
          <w:rFonts w:hint="eastAsia" w:asciiTheme="minorEastAsia" w:hAnsiTheme="minorEastAsia" w:eastAsiaTheme="minorEastAsia" w:cstheme="minorEastAsia"/>
          <w:sz w:val="24"/>
          <w:szCs w:val="24"/>
          <w:highlight w:val="none"/>
        </w:rPr>
        <w:t>.5投标人提出质疑应当提交质疑函和必要的证明材料。质疑函应当包括下列内容：</w:t>
      </w:r>
    </w:p>
    <w:p w14:paraId="54E392A1">
      <w:pPr>
        <w:spacing w:line="500" w:lineRule="exact"/>
        <w:ind w:right="12"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12.5.1投标人的姓名或者名称、地址、邮编、联系人及联系电话；</w:t>
      </w:r>
    </w:p>
    <w:p w14:paraId="2803FA07">
      <w:pPr>
        <w:spacing w:line="500" w:lineRule="exact"/>
        <w:ind w:right="12"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12.5.2质疑项目的名称、编号；</w:t>
      </w:r>
    </w:p>
    <w:p w14:paraId="356D75AC">
      <w:pPr>
        <w:spacing w:line="500" w:lineRule="exact"/>
        <w:ind w:right="12"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12.5.3具体、明确的质疑事项和与质疑事项相关的请求；</w:t>
      </w:r>
    </w:p>
    <w:p w14:paraId="43F208BC">
      <w:pPr>
        <w:spacing w:line="500" w:lineRule="exact"/>
        <w:ind w:right="12"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12.5.4事实依据；</w:t>
      </w:r>
    </w:p>
    <w:p w14:paraId="53BDE7F9">
      <w:pPr>
        <w:spacing w:line="500" w:lineRule="exact"/>
        <w:ind w:right="12"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12.5.5必要的法律依据；</w:t>
      </w:r>
    </w:p>
    <w:p w14:paraId="6D880EA8">
      <w:pPr>
        <w:spacing w:line="500" w:lineRule="exact"/>
        <w:ind w:right="12" w:firstLine="480" w:firstLineChars="200"/>
        <w:rPr>
          <w:rStyle w:val="31"/>
          <w:rFonts w:asciiTheme="minorEastAsia" w:hAnsiTheme="minorEastAsia" w:eastAsiaTheme="minorEastAsia" w:cstheme="minorEastAsia"/>
          <w:sz w:val="24"/>
          <w:szCs w:val="24"/>
          <w:highlight w:val="none"/>
          <w:shd w:val="clear" w:color="auto" w:fill="FFFFFF"/>
        </w:rPr>
      </w:pPr>
      <w:r>
        <w:rPr>
          <w:rFonts w:hint="eastAsia" w:asciiTheme="minorEastAsia" w:hAnsiTheme="minorEastAsia" w:eastAsiaTheme="minorEastAsia" w:cstheme="minorEastAsia"/>
          <w:sz w:val="24"/>
          <w:szCs w:val="24"/>
          <w:highlight w:val="none"/>
        </w:rPr>
        <w:t>12.5.6提出质疑的日期。</w:t>
      </w:r>
    </w:p>
    <w:p w14:paraId="25E1B1E3">
      <w:pPr>
        <w:widowControl/>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12.6有下列情形之一的，属于无效质疑，采购代理机构和采购人不予受理：</w:t>
      </w:r>
    </w:p>
    <w:p w14:paraId="5E026B7B">
      <w:pPr>
        <w:widowControl/>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12.6.1质疑投标人不是参与本次政府采购项目的投标人；</w:t>
      </w:r>
    </w:p>
    <w:p w14:paraId="003E2F59">
      <w:pPr>
        <w:widowControl/>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12.6.2质疑投标人与质疑事项不存在利害关系的；</w:t>
      </w:r>
    </w:p>
    <w:p w14:paraId="628DAB3D">
      <w:pPr>
        <w:widowControl/>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12.6.3未在法定期限内提出质疑的；</w:t>
      </w:r>
    </w:p>
    <w:p w14:paraId="68EAB890">
      <w:pPr>
        <w:widowControl/>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12.6.4质疑未以书面形式提出，或质疑函主要内容构成不完整的；</w:t>
      </w:r>
    </w:p>
    <w:p w14:paraId="2CA6FD17">
      <w:pPr>
        <w:widowControl/>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12.6.5应当提交授权书而未提交的；</w:t>
      </w:r>
    </w:p>
    <w:p w14:paraId="2C4DDAD0">
      <w:pPr>
        <w:widowControl/>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12.6.6以非法手段取得证据、材料的；</w:t>
      </w:r>
    </w:p>
    <w:p w14:paraId="53E5ACA5">
      <w:pPr>
        <w:widowControl/>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12.6.7质疑答复后，同一质疑人就同一事项或同一采购程序环节再次提出质疑的；</w:t>
      </w:r>
    </w:p>
    <w:p w14:paraId="3D183759">
      <w:pPr>
        <w:widowControl/>
        <w:spacing w:line="500" w:lineRule="exact"/>
        <w:ind w:firstLine="480" w:firstLineChars="200"/>
        <w:rPr>
          <w:rStyle w:val="31"/>
          <w:rFonts w:asciiTheme="minorEastAsia" w:hAnsiTheme="minorEastAsia" w:eastAsiaTheme="minorEastAsia" w:cstheme="minorEastAsia"/>
          <w:sz w:val="24"/>
          <w:szCs w:val="24"/>
          <w:highlight w:val="none"/>
          <w:shd w:val="clear" w:color="auto" w:fill="FFFFFF"/>
        </w:rPr>
      </w:pPr>
      <w:r>
        <w:rPr>
          <w:rFonts w:hint="eastAsia" w:asciiTheme="minorEastAsia" w:hAnsiTheme="minorEastAsia" w:eastAsiaTheme="minorEastAsia" w:cstheme="minorEastAsia"/>
          <w:sz w:val="24"/>
          <w:szCs w:val="24"/>
          <w:highlight w:val="none"/>
        </w:rPr>
        <w:t>12.6.8不符合法律、法规、规章和政府采购监管机构规定的其他条件的。</w:t>
      </w:r>
    </w:p>
    <w:p w14:paraId="06689DE1">
      <w:pPr>
        <w:spacing w:line="500" w:lineRule="exact"/>
        <w:ind w:right="12"/>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    12.7质疑答复</w:t>
      </w:r>
    </w:p>
    <w:p w14:paraId="70CDDD8E">
      <w:pPr>
        <w:pStyle w:val="41"/>
        <w:spacing w:line="500" w:lineRule="exact"/>
        <w:ind w:firstLine="480"/>
        <w:jc w:val="left"/>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12.7.1采购人或采购代理机构在收到质疑函后7个工作日内作出答复，并以书面形式通知质疑投标人和其他有关投标人。</w:t>
      </w:r>
    </w:p>
    <w:p w14:paraId="53898CA7">
      <w:pPr>
        <w:pStyle w:val="41"/>
        <w:spacing w:line="500" w:lineRule="exact"/>
        <w:ind w:firstLine="480" w:firstLineChars="0"/>
        <w:jc w:val="left"/>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12.7.2质疑投标人对采购人、采购代理机构的答复不满意，或者采购人、采购代理机构未在规定时间内作出答复的，可以在答复期满后15个工作日内向项目主管财政部门提起投诉。</w:t>
      </w:r>
    </w:p>
    <w:p w14:paraId="1ABA2E51">
      <w:pPr>
        <w:pStyle w:val="41"/>
        <w:spacing w:line="500" w:lineRule="exact"/>
        <w:ind w:firstLine="480" w:firstLineChars="0"/>
        <w:jc w:val="left"/>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12.8.1质疑函须按财政部《质疑函范本》给定的格式进行填写，范本下载详见【财政部国库司（gks.mof.gov.cn）】网站〖首页·政府采购管理〗栏目中的《政府采购供应商质疑函范本》。《政府采购供应商质疑函范本》链接地址：</w:t>
      </w:r>
    </w:p>
    <w:p w14:paraId="565789B2">
      <w:pPr>
        <w:pStyle w:val="41"/>
        <w:spacing w:line="500" w:lineRule="exact"/>
        <w:ind w:firstLine="480" w:firstLineChars="0"/>
        <w:jc w:val="left"/>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http://gks.mof.gov.cn/zhengfucaigouguanli/201802/t20180201_2804589.html</w:t>
      </w:r>
    </w:p>
    <w:p w14:paraId="1AC2E63E">
      <w:pPr>
        <w:pStyle w:val="41"/>
        <w:spacing w:line="500" w:lineRule="exact"/>
        <w:ind w:firstLine="480" w:firstLineChars="0"/>
        <w:jc w:val="left"/>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12.8.2接收质疑函的方式：书面形式</w:t>
      </w:r>
    </w:p>
    <w:p w14:paraId="70380300">
      <w:pPr>
        <w:pStyle w:val="41"/>
        <w:spacing w:line="500" w:lineRule="exact"/>
        <w:ind w:firstLine="480" w:firstLineChars="0"/>
        <w:jc w:val="left"/>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12.8.3联系部门：陕西至诚项目管理集团有限公司前台</w:t>
      </w:r>
    </w:p>
    <w:p w14:paraId="09694EEE">
      <w:pPr>
        <w:pStyle w:val="41"/>
        <w:spacing w:line="500" w:lineRule="exact"/>
        <w:ind w:firstLine="480" w:firstLineChars="0"/>
        <w:jc w:val="left"/>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12.8.4联系电话：029-88219779</w:t>
      </w:r>
    </w:p>
    <w:p w14:paraId="41BAA35D">
      <w:pPr>
        <w:pStyle w:val="41"/>
        <w:spacing w:line="500" w:lineRule="exact"/>
        <w:ind w:firstLine="480" w:firstLineChars="0"/>
        <w:jc w:val="left"/>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31.8.5通讯地址：陕西省西安市经济技术开发区未央路171-1号银池道拉斯财富中心21楼</w:t>
      </w:r>
    </w:p>
    <w:p w14:paraId="2036A4B7">
      <w:pPr>
        <w:spacing w:line="500" w:lineRule="exact"/>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13.其他</w:t>
      </w:r>
    </w:p>
    <w:p w14:paraId="76652139">
      <w:pPr>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13.1 废标的情形</w:t>
      </w:r>
    </w:p>
    <w:p w14:paraId="0766F70E">
      <w:pPr>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13.1.1招标采购中，出现下列情形之一的，应予以废标：</w:t>
      </w:r>
    </w:p>
    <w:p w14:paraId="3A9749C9">
      <w:pPr>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（1）符合专业条件的投标人或者对招标文件作实质响应的投标人不足3家的；</w:t>
      </w:r>
    </w:p>
    <w:p w14:paraId="034FEE91">
      <w:pPr>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（2）出现影响采购公正的违法、违规行为的；</w:t>
      </w:r>
    </w:p>
    <w:p w14:paraId="42DE7FF9">
      <w:pPr>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（3）投标人的报价均超过了采购预算，采购人不能支付的；</w:t>
      </w:r>
    </w:p>
    <w:p w14:paraId="73E143DE">
      <w:pPr>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（4）因重大变故，采购任务取消的。</w:t>
      </w:r>
    </w:p>
    <w:p w14:paraId="185FF750">
      <w:pPr>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13.1.2废标后，采购代理机构应在财政部门指定采购网上公告，并公告废标的详细理由。</w:t>
      </w:r>
    </w:p>
    <w:p w14:paraId="321A072E">
      <w:pPr>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13.2变更采购方式</w:t>
      </w:r>
    </w:p>
    <w:p w14:paraId="181A5937">
      <w:pPr>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13.2.1存在下列情形之一的，除采购任务取消情形外，采购人经同级财政部门同意后，可按《政府采购货物和服务招标投标管理办法》（财政部87号令）第四十三条规定的方式处理：</w:t>
      </w:r>
    </w:p>
    <w:p w14:paraId="52ED0AA5">
      <w:pPr>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（1）投标截止后参加投标的人不足3家的；</w:t>
      </w:r>
    </w:p>
    <w:p w14:paraId="22812675">
      <w:pPr>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（2）通过资格审查的投标人不足3家的；</w:t>
      </w:r>
    </w:p>
    <w:p w14:paraId="6E8508E1">
      <w:pPr>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（3）通过符合性审查的投标人不足3家的。</w:t>
      </w:r>
    </w:p>
    <w:p w14:paraId="51F5FB2C">
      <w:pPr>
        <w:spacing w:line="50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13.2.2通过符合性审查的投标人只有2家时，采购人经同级财政部门同意后，可以按《政府采购非招标采购方式管理办法》（财政部第74号令）的规定与该2家投标人进行竞争性谈判采购。</w:t>
      </w:r>
    </w:p>
    <w:p w14:paraId="17A2B8CA">
      <w:pPr>
        <w:spacing w:line="360" w:lineRule="auto"/>
        <w:ind w:firstLine="480" w:firstLineChars="200"/>
        <w:rPr>
          <w:rFonts w:asciiTheme="minorEastAsia" w:hAnsiTheme="minorEastAsia" w:eastAsiaTheme="minorEastAsia" w:cstheme="minorEastAsia"/>
          <w:sz w:val="24"/>
          <w:szCs w:val="24"/>
          <w:highlight w:val="none"/>
        </w:rPr>
      </w:pPr>
    </w:p>
    <w:p w14:paraId="2DF01B80">
      <w:pPr>
        <w:spacing w:line="360" w:lineRule="auto"/>
        <w:ind w:firstLine="420" w:firstLineChars="200"/>
        <w:rPr>
          <w:rFonts w:asciiTheme="minorEastAsia" w:hAnsiTheme="minorEastAsia" w:eastAsiaTheme="minorEastAsia" w:cstheme="minorEastAsia"/>
          <w:highlight w:val="none"/>
        </w:rPr>
        <w:sectPr>
          <w:footerReference r:id="rId8" w:type="default"/>
          <w:pgSz w:w="11906" w:h="16838"/>
          <w:pgMar w:top="1304" w:right="1361" w:bottom="1304" w:left="1361" w:header="851" w:footer="992" w:gutter="0"/>
          <w:pgNumType w:start="1"/>
          <w:cols w:space="0" w:num="1"/>
          <w:docGrid w:type="lines" w:linePitch="312" w:charSpace="0"/>
        </w:sectPr>
      </w:pPr>
    </w:p>
    <w:p w14:paraId="247B05BE">
      <w:pPr>
        <w:pStyle w:val="3"/>
        <w:keepNext w:val="0"/>
        <w:pageBreakBefore/>
        <w:jc w:val="center"/>
        <w:rPr>
          <w:rFonts w:asciiTheme="minorEastAsia" w:hAnsiTheme="minorEastAsia" w:eastAsiaTheme="minorEastAsia" w:cstheme="minorEastAsia"/>
          <w:bCs/>
          <w:sz w:val="36"/>
          <w:szCs w:val="36"/>
          <w:highlight w:val="none"/>
        </w:rPr>
      </w:pPr>
      <w:bookmarkStart w:id="63" w:name="_Toc30469"/>
      <w:bookmarkStart w:id="64" w:name="_Toc8864"/>
      <w:bookmarkStart w:id="65" w:name="_Toc21993"/>
      <w:bookmarkStart w:id="66" w:name="_Toc13146"/>
      <w:bookmarkStart w:id="67" w:name="_Toc2711"/>
      <w:bookmarkStart w:id="68" w:name="_Toc1025"/>
      <w:bookmarkStart w:id="69" w:name="_Toc11450"/>
      <w:bookmarkStart w:id="70" w:name="_Toc20481"/>
      <w:bookmarkStart w:id="71" w:name="_Toc4053"/>
      <w:bookmarkStart w:id="72" w:name="_Toc23856"/>
      <w:bookmarkStart w:id="73" w:name="_Toc389582038"/>
      <w:bookmarkStart w:id="74" w:name="_Toc351989128"/>
      <w:bookmarkStart w:id="75" w:name="_Toc19346"/>
      <w:bookmarkStart w:id="76" w:name="_Toc221523521"/>
      <w:bookmarkStart w:id="77" w:name="_Toc421778377"/>
      <w:bookmarkStart w:id="78" w:name="_Toc9479"/>
      <w:r>
        <w:rPr>
          <w:rFonts w:hint="eastAsia" w:asciiTheme="minorEastAsia" w:hAnsiTheme="minorEastAsia" w:eastAsiaTheme="minorEastAsia" w:cstheme="minorEastAsia"/>
          <w:bCs/>
          <w:sz w:val="36"/>
          <w:szCs w:val="36"/>
          <w:highlight w:val="none"/>
        </w:rPr>
        <w:t>第三章  评审方法</w:t>
      </w:r>
      <w:bookmarkEnd w:id="63"/>
      <w:bookmarkEnd w:id="64"/>
      <w:bookmarkEnd w:id="65"/>
      <w:bookmarkEnd w:id="66"/>
    </w:p>
    <w:bookmarkEnd w:id="67"/>
    <w:bookmarkEnd w:id="68"/>
    <w:bookmarkEnd w:id="69"/>
    <w:bookmarkEnd w:id="70"/>
    <w:bookmarkEnd w:id="71"/>
    <w:bookmarkEnd w:id="72"/>
    <w:bookmarkEnd w:id="73"/>
    <w:p w14:paraId="55A63A6E">
      <w:pPr>
        <w:spacing w:beforeLines="50" w:line="360" w:lineRule="auto"/>
        <w:rPr>
          <w:rFonts w:asciiTheme="minorEastAsia" w:hAnsiTheme="minorEastAsia" w:eastAsiaTheme="minorEastAsia" w:cstheme="minorEastAsia"/>
          <w:b/>
          <w:spacing w:val="4"/>
          <w:sz w:val="24"/>
          <w:szCs w:val="24"/>
          <w:highlight w:val="none"/>
        </w:rPr>
      </w:pPr>
      <w:r>
        <w:rPr>
          <w:rFonts w:hint="eastAsia" w:asciiTheme="minorEastAsia" w:hAnsiTheme="minorEastAsia" w:eastAsiaTheme="minorEastAsia" w:cstheme="minorEastAsia"/>
          <w:b/>
          <w:spacing w:val="4"/>
          <w:sz w:val="24"/>
          <w:szCs w:val="24"/>
          <w:highlight w:val="none"/>
        </w:rPr>
        <w:t>一．评标方法</w:t>
      </w:r>
    </w:p>
    <w:p w14:paraId="1D723334">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按照《中华人民共和国政府采购法》及实施条例和《中华人民共和国招标投标法》及其实施条例的规定，本次评标采用综合评分法，即在最大限度地满足招标文件实质性要求前提下，按照招标文件中规定的各项因素和相应的权重分值进行综合评审后，以总得分最高的投标人作为中标候选人并依次排序（最低报价不是中标的唯一标准）。</w:t>
      </w:r>
    </w:p>
    <w:p w14:paraId="191D3EC5">
      <w:pPr>
        <w:spacing w:beforeLines="50" w:line="360" w:lineRule="auto"/>
        <w:rPr>
          <w:rFonts w:asciiTheme="minorEastAsia" w:hAnsiTheme="minorEastAsia" w:eastAsiaTheme="minorEastAsia" w:cstheme="minorEastAsia"/>
          <w:b/>
          <w:spacing w:val="4"/>
          <w:sz w:val="24"/>
          <w:szCs w:val="24"/>
          <w:highlight w:val="none"/>
        </w:rPr>
      </w:pPr>
      <w:r>
        <w:rPr>
          <w:rFonts w:hint="eastAsia" w:asciiTheme="minorEastAsia" w:hAnsiTheme="minorEastAsia" w:eastAsiaTheme="minorEastAsia" w:cstheme="minorEastAsia"/>
          <w:b/>
          <w:spacing w:val="4"/>
          <w:sz w:val="24"/>
          <w:szCs w:val="24"/>
          <w:highlight w:val="none"/>
        </w:rPr>
        <w:t>二．评标委员会负责具体评标事务，并独立履行下列职责：</w:t>
      </w:r>
    </w:p>
    <w:p w14:paraId="6D285E65">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（一）审查、评价投标文件是否符合招标文件的商务、技术等实质性要求；</w:t>
      </w:r>
    </w:p>
    <w:p w14:paraId="15A6ED4C">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（二）要求投标人对投标文件有关事项作出澄清或者说明；</w:t>
      </w:r>
    </w:p>
    <w:p w14:paraId="2789C379">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（三）对投标文件进行比较和评价；</w:t>
      </w:r>
    </w:p>
    <w:p w14:paraId="72F012FA">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（四）确定中标候选人名单，以及根据采购人委托直接确定中标人；</w:t>
      </w:r>
    </w:p>
    <w:p w14:paraId="22DD32B1">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（五）向采购人、采购代理机构或者有关部门报告评标中发现的违法行为。</w:t>
      </w:r>
    </w:p>
    <w:p w14:paraId="63FBECED">
      <w:pPr>
        <w:spacing w:beforeLines="50" w:line="360" w:lineRule="auto"/>
        <w:rPr>
          <w:rFonts w:asciiTheme="minorEastAsia" w:hAnsiTheme="minorEastAsia" w:eastAsiaTheme="minorEastAsia" w:cstheme="minorEastAsia"/>
          <w:b/>
          <w:spacing w:val="4"/>
          <w:sz w:val="24"/>
          <w:szCs w:val="24"/>
          <w:highlight w:val="none"/>
        </w:rPr>
      </w:pPr>
      <w:r>
        <w:rPr>
          <w:rFonts w:hint="eastAsia" w:asciiTheme="minorEastAsia" w:hAnsiTheme="minorEastAsia" w:eastAsiaTheme="minorEastAsia" w:cstheme="minorEastAsia"/>
          <w:b/>
          <w:spacing w:val="4"/>
          <w:sz w:val="24"/>
          <w:szCs w:val="24"/>
          <w:highlight w:val="none"/>
        </w:rPr>
        <w:t>三.投标人存在下列情况之一的，投标无效：</w:t>
      </w:r>
    </w:p>
    <w:p w14:paraId="7D04143C">
      <w:pPr>
        <w:tabs>
          <w:tab w:val="left" w:pos="1260"/>
        </w:tabs>
        <w:spacing w:line="500" w:lineRule="exact"/>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1）没有按照招标文件要求提供的投标文件或投标文件构成有重大缺项；</w:t>
      </w:r>
    </w:p>
    <w:p w14:paraId="1146BEF3">
      <w:pPr>
        <w:kinsoku w:val="0"/>
        <w:spacing w:line="500" w:lineRule="exact"/>
        <w:ind w:firstLine="482" w:firstLineChars="200"/>
        <w:rPr>
          <w:rFonts w:asciiTheme="minorEastAsia" w:hAnsiTheme="minorEastAsia" w:eastAsiaTheme="minorEastAsia" w:cstheme="minorEastAsia"/>
          <w:b/>
          <w:bCs/>
          <w:spacing w:val="-6"/>
          <w:sz w:val="24"/>
          <w:szCs w:val="24"/>
          <w:highlight w:val="none"/>
        </w:rPr>
      </w:pPr>
      <w:r>
        <w:rPr>
          <w:rFonts w:hint="eastAsia" w:asciiTheme="minorEastAsia" w:hAnsiTheme="minorEastAsia" w:eastAsiaTheme="minorEastAsia" w:cstheme="minorEastAsia"/>
          <w:b/>
          <w:bCs/>
          <w:sz w:val="24"/>
          <w:szCs w:val="24"/>
          <w:highlight w:val="none"/>
        </w:rPr>
        <w:t>2）投标</w:t>
      </w:r>
      <w:r>
        <w:rPr>
          <w:rFonts w:hint="eastAsia" w:asciiTheme="minorEastAsia" w:hAnsiTheme="minorEastAsia" w:eastAsiaTheme="minorEastAsia" w:cstheme="minorEastAsia"/>
          <w:b/>
          <w:bCs/>
          <w:spacing w:val="-6"/>
          <w:sz w:val="24"/>
          <w:szCs w:val="24"/>
          <w:highlight w:val="none"/>
        </w:rPr>
        <w:t>文件</w:t>
      </w:r>
      <w:r>
        <w:rPr>
          <w:rFonts w:hint="eastAsia" w:asciiTheme="minorEastAsia" w:hAnsiTheme="minorEastAsia" w:eastAsiaTheme="minorEastAsia" w:cstheme="minorEastAsia"/>
          <w:b/>
          <w:bCs/>
          <w:sz w:val="24"/>
          <w:szCs w:val="24"/>
          <w:highlight w:val="none"/>
        </w:rPr>
        <w:t>未按招标文件要求密封、签署、盖章的；</w:t>
      </w:r>
    </w:p>
    <w:p w14:paraId="143F7CB6">
      <w:pPr>
        <w:tabs>
          <w:tab w:val="left" w:pos="1260"/>
        </w:tabs>
        <w:spacing w:line="500" w:lineRule="exact"/>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3）投标人未提交有效的投标保证金或金额不足的、投标保证金形式不符合招标文件要求的；</w:t>
      </w:r>
    </w:p>
    <w:p w14:paraId="24FC1A24">
      <w:pPr>
        <w:tabs>
          <w:tab w:val="left" w:pos="1260"/>
        </w:tabs>
        <w:spacing w:line="500" w:lineRule="exact"/>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4）资格证明文件不全的或无效的，或不符合国家规定的；</w:t>
      </w:r>
    </w:p>
    <w:p w14:paraId="73D1487C">
      <w:pPr>
        <w:tabs>
          <w:tab w:val="left" w:pos="1260"/>
        </w:tabs>
        <w:spacing w:line="500" w:lineRule="exact"/>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5）投标文件无投标人公章、无法定代表人或授权人签章或签章人无法定代表人有效委托书的；</w:t>
      </w:r>
    </w:p>
    <w:p w14:paraId="617AAED1">
      <w:pPr>
        <w:tabs>
          <w:tab w:val="left" w:pos="1260"/>
        </w:tabs>
        <w:spacing w:line="500" w:lineRule="exact"/>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6）</w:t>
      </w:r>
      <w:r>
        <w:rPr>
          <w:rFonts w:hint="eastAsia" w:asciiTheme="minorEastAsia" w:hAnsiTheme="minorEastAsia" w:eastAsiaTheme="minorEastAsia" w:cstheme="minorEastAsia"/>
          <w:b/>
          <w:bCs/>
          <w:spacing w:val="-6"/>
          <w:sz w:val="24"/>
          <w:szCs w:val="24"/>
          <w:highlight w:val="none"/>
        </w:rPr>
        <w:t>无投标有效期或有效期达不到招标文件要求的</w:t>
      </w:r>
      <w:r>
        <w:rPr>
          <w:rFonts w:hint="eastAsia" w:asciiTheme="minorEastAsia" w:hAnsiTheme="minorEastAsia" w:eastAsiaTheme="minorEastAsia" w:cstheme="minorEastAsia"/>
          <w:b/>
          <w:bCs/>
          <w:sz w:val="24"/>
          <w:szCs w:val="24"/>
          <w:highlight w:val="none"/>
        </w:rPr>
        <w:t>；</w:t>
      </w:r>
    </w:p>
    <w:p w14:paraId="281CDBEB">
      <w:pPr>
        <w:tabs>
          <w:tab w:val="left" w:pos="1260"/>
        </w:tabs>
        <w:spacing w:line="500" w:lineRule="exact"/>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7）投标人在同一份投标文件中，对同一招标产品报有两个或多个报价的；</w:t>
      </w:r>
    </w:p>
    <w:p w14:paraId="055B8443">
      <w:pPr>
        <w:tabs>
          <w:tab w:val="left" w:pos="1260"/>
        </w:tabs>
        <w:spacing w:line="500" w:lineRule="exact"/>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8）存在有重大缺漏项和重大技术偏离的投标产品；</w:t>
      </w:r>
    </w:p>
    <w:p w14:paraId="3D810360">
      <w:pPr>
        <w:tabs>
          <w:tab w:val="left" w:pos="1260"/>
        </w:tabs>
        <w:spacing w:line="500" w:lineRule="exact"/>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9）投标人有串通投标、以他人名义投标、弄虚作假、行贿等违法行为的；</w:t>
      </w:r>
    </w:p>
    <w:p w14:paraId="45C76427">
      <w:pPr>
        <w:tabs>
          <w:tab w:val="left" w:pos="1260"/>
        </w:tabs>
        <w:spacing w:line="500" w:lineRule="exact"/>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10）投标总报价低于成本或者高于招标文件公布的采购预算的。</w:t>
      </w:r>
    </w:p>
    <w:p w14:paraId="145C7F06">
      <w:pPr>
        <w:tabs>
          <w:tab w:val="left" w:pos="1260"/>
        </w:tabs>
        <w:spacing w:line="500" w:lineRule="exact"/>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11）提供虚假投标文件和资料的。</w:t>
      </w:r>
    </w:p>
    <w:p w14:paraId="5E4AB7BF">
      <w:pPr>
        <w:tabs>
          <w:tab w:val="left" w:pos="1260"/>
        </w:tabs>
        <w:spacing w:line="500" w:lineRule="exact"/>
        <w:ind w:firstLine="482" w:firstLineChars="200"/>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12）法律、法规和招标文件规定的其他无效情形；</w:t>
      </w:r>
    </w:p>
    <w:p w14:paraId="2069AD1C">
      <w:pPr>
        <w:spacing w:beforeLines="50" w:line="360" w:lineRule="auto"/>
        <w:rPr>
          <w:rFonts w:asciiTheme="minorEastAsia" w:hAnsiTheme="minorEastAsia" w:eastAsiaTheme="minorEastAsia" w:cstheme="minorEastAsia"/>
          <w:b/>
          <w:spacing w:val="4"/>
          <w:sz w:val="24"/>
          <w:szCs w:val="24"/>
          <w:highlight w:val="none"/>
        </w:rPr>
      </w:pPr>
      <w:r>
        <w:rPr>
          <w:rFonts w:hint="eastAsia" w:asciiTheme="minorEastAsia" w:hAnsiTheme="minorEastAsia" w:eastAsiaTheme="minorEastAsia" w:cstheme="minorEastAsia"/>
          <w:b/>
          <w:spacing w:val="4"/>
          <w:sz w:val="24"/>
          <w:szCs w:val="24"/>
          <w:highlight w:val="none"/>
        </w:rPr>
        <w:t>四.投标人有下列情形之一的，视为投标人串通投标，其投标无效：</w:t>
      </w:r>
    </w:p>
    <w:p w14:paraId="4390330B">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（一）不同投标人的投标文件由同一单位或者个人编制；</w:t>
      </w:r>
    </w:p>
    <w:p w14:paraId="21C21EF4">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（二）不同投标人委托同一单位或者个人办理投标事宜；</w:t>
      </w:r>
    </w:p>
    <w:p w14:paraId="52A525CE">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（三）不同投标人的投标文件载明的项目管理成员或者联系人员为同一人；</w:t>
      </w:r>
    </w:p>
    <w:p w14:paraId="395695CD">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（四）不同投标人的投标文件异常一致或者投标报价呈规律性差异；</w:t>
      </w:r>
    </w:p>
    <w:p w14:paraId="569CDD6B">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（五）不同投标人的投标文件相互混装；</w:t>
      </w:r>
    </w:p>
    <w:p w14:paraId="19E65E27">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（六）不同投标人的投标保证金从同一单位或者个人的账户转出。</w:t>
      </w:r>
    </w:p>
    <w:p w14:paraId="79E833AB">
      <w:pPr>
        <w:spacing w:beforeLines="50" w:line="360" w:lineRule="auto"/>
        <w:rPr>
          <w:rFonts w:asciiTheme="minorEastAsia" w:hAnsiTheme="minorEastAsia" w:eastAsiaTheme="minorEastAsia" w:cstheme="minorEastAsia"/>
          <w:b/>
          <w:spacing w:val="4"/>
          <w:sz w:val="24"/>
          <w:szCs w:val="24"/>
          <w:highlight w:val="none"/>
        </w:rPr>
      </w:pPr>
      <w:r>
        <w:rPr>
          <w:rFonts w:hint="eastAsia" w:asciiTheme="minorEastAsia" w:hAnsiTheme="minorEastAsia" w:eastAsiaTheme="minorEastAsia" w:cstheme="minorEastAsia"/>
          <w:b/>
          <w:spacing w:val="4"/>
          <w:sz w:val="24"/>
          <w:szCs w:val="24"/>
          <w:highlight w:val="none"/>
        </w:rPr>
        <w:t>五.评标程序</w:t>
      </w:r>
    </w:p>
    <w:p w14:paraId="0426CA41">
      <w:pPr>
        <w:spacing w:line="360" w:lineRule="auto"/>
        <w:ind w:firstLine="482" w:firstLineChars="200"/>
        <w:rPr>
          <w:rFonts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1、投标文件的资格性审查：</w:t>
      </w:r>
    </w:p>
    <w:p w14:paraId="5FDBCDE9">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采购人及代理机构对投标人的投标文件进行资格性审查，以确定其是否满足招标文件的资格要求。</w:t>
      </w:r>
    </w:p>
    <w:p w14:paraId="70AA056C">
      <w:pPr>
        <w:spacing w:line="360" w:lineRule="auto"/>
        <w:ind w:firstLine="482" w:firstLineChars="200"/>
        <w:rPr>
          <w:rFonts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2、投标文件的符合性审查：</w:t>
      </w:r>
    </w:p>
    <w:p w14:paraId="4D7F3690">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评标委员会对符合资格的投标人的投标文件进行符合性审查，以确定其是否满足招标文件的商务、技术等实质性要求。</w:t>
      </w:r>
    </w:p>
    <w:p w14:paraId="424B4143">
      <w:pPr>
        <w:spacing w:line="360" w:lineRule="auto"/>
        <w:ind w:firstLine="482" w:firstLineChars="200"/>
        <w:rPr>
          <w:rFonts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3、评委会对报价明显偏低的审查：</w:t>
      </w:r>
    </w:p>
    <w:p w14:paraId="52A6C041">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评标委员会认为投标人的报价明显低于其他通过符合性审查投标人的报价，有可能影响服务质量或者不能诚信履约的，应当要求其在评标现场合理的时间内提供书面说明，必要时提交相关证明材料；投标人不能证明其报价合理性的，评标委员会应当将其作为无效投标处理。</w:t>
      </w:r>
    </w:p>
    <w:p w14:paraId="5F41675F">
      <w:pPr>
        <w:spacing w:line="360" w:lineRule="auto"/>
        <w:ind w:firstLine="482" w:firstLineChars="200"/>
        <w:rPr>
          <w:rFonts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4、澄清有关问题：</w:t>
      </w:r>
    </w:p>
    <w:p w14:paraId="1985A03D">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4.1对于投标文件中含义不明确、同类问题表述不一致或者有明显文字和计算错误的内容，评标委员会以书面形式要求投标人做出必要的澄清、说明或者补正。投标人的澄清、说明或者补正应当采用书面形式，由法定代表人或其授权的代表签署全名。投标人的澄清、说明或者补正不得超出投标文件的范围或者改变投标文件的实质性内容。</w:t>
      </w:r>
    </w:p>
    <w:p w14:paraId="2B9AAE1C">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4.2投标文件报价出现前后不一致的，按照下列规定修正：</w:t>
      </w:r>
    </w:p>
    <w:p w14:paraId="00E50A75">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（一）大写金额和小写金额不一致的，以大写金额为准；</w:t>
      </w:r>
    </w:p>
    <w:p w14:paraId="348E8A08">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（二）单价金额小数点或者百分比有明显错位的，以开标一览表的总价为准，并修改单价；</w:t>
      </w:r>
    </w:p>
    <w:p w14:paraId="5F755635">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（三）总价金额与按单价汇总金额不一致的，以单价金额计算结果为准。</w:t>
      </w:r>
    </w:p>
    <w:p w14:paraId="116B9FD4">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同时出现两种以上不一致的，按照前款规定的顺序修正。修正后的报价经投标人书面确认后产生约束力，投标人不确认的，其投标无效。</w:t>
      </w:r>
    </w:p>
    <w:p w14:paraId="66D25823">
      <w:pPr>
        <w:spacing w:beforeLines="50" w:line="360" w:lineRule="auto"/>
        <w:ind w:firstLine="498" w:firstLineChars="200"/>
        <w:rPr>
          <w:rFonts w:asciiTheme="minorEastAsia" w:hAnsiTheme="minorEastAsia" w:eastAsiaTheme="minorEastAsia" w:cstheme="minorEastAsia"/>
          <w:b/>
          <w:spacing w:val="4"/>
          <w:sz w:val="24"/>
          <w:szCs w:val="24"/>
          <w:highlight w:val="none"/>
        </w:rPr>
      </w:pPr>
      <w:r>
        <w:rPr>
          <w:rFonts w:hint="eastAsia" w:asciiTheme="minorEastAsia" w:hAnsiTheme="minorEastAsia" w:eastAsiaTheme="minorEastAsia" w:cstheme="minorEastAsia"/>
          <w:b/>
          <w:spacing w:val="4"/>
          <w:sz w:val="24"/>
          <w:szCs w:val="24"/>
          <w:highlight w:val="none"/>
        </w:rPr>
        <w:t>5、比较与评价：</w:t>
      </w:r>
    </w:p>
    <w:p w14:paraId="2C6A3B87">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评委会各成员按照《评审因素量化赋分表》规定的内容，独立进行综合比较、评价打分。 </w:t>
      </w:r>
    </w:p>
    <w:p w14:paraId="016DB3BB">
      <w:pPr>
        <w:spacing w:beforeLines="50" w:line="360" w:lineRule="auto"/>
        <w:ind w:firstLine="498" w:firstLineChars="200"/>
        <w:rPr>
          <w:rFonts w:asciiTheme="minorEastAsia" w:hAnsiTheme="minorEastAsia" w:eastAsiaTheme="minorEastAsia" w:cstheme="minorEastAsia"/>
          <w:b/>
          <w:spacing w:val="4"/>
          <w:sz w:val="24"/>
          <w:szCs w:val="24"/>
          <w:highlight w:val="none"/>
        </w:rPr>
      </w:pPr>
      <w:r>
        <w:rPr>
          <w:rFonts w:hint="eastAsia" w:asciiTheme="minorEastAsia" w:hAnsiTheme="minorEastAsia" w:eastAsiaTheme="minorEastAsia" w:cstheme="minorEastAsia"/>
          <w:b/>
          <w:spacing w:val="4"/>
          <w:sz w:val="24"/>
          <w:szCs w:val="24"/>
          <w:highlight w:val="none"/>
        </w:rPr>
        <w:t>6、推荐中标候选人名单：</w:t>
      </w:r>
    </w:p>
    <w:p w14:paraId="3F0C56CC">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6.1汇总全体评委对每个投标人的赋分，计算出每个投标人的综合得分，按标段得分从高到低顺序排列，推荐前1～3名为中标候选人。</w:t>
      </w:r>
    </w:p>
    <w:p w14:paraId="52619102">
      <w:pPr>
        <w:spacing w:line="360" w:lineRule="auto"/>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6.2得分相同的，按投标报价由低到高顺序排列。得分且投标报价相同的并列。</w:t>
      </w:r>
    </w:p>
    <w:p w14:paraId="571E3434">
      <w:pPr>
        <w:spacing w:line="360" w:lineRule="auto"/>
        <w:ind w:right="40" w:rightChars="19" w:firstLine="422"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szCs w:val="28"/>
          <w:highlight w:val="none"/>
        </w:rPr>
        <w:br w:type="page"/>
      </w:r>
    </w:p>
    <w:p w14:paraId="39EC07D5">
      <w:pPr>
        <w:pStyle w:val="11"/>
        <w:rPr>
          <w:rFonts w:asciiTheme="minorEastAsia" w:hAnsiTheme="minorEastAsia" w:eastAsiaTheme="minorEastAsia" w:cstheme="minorEastAsia"/>
          <w:szCs w:val="24"/>
          <w:highlight w:val="none"/>
        </w:rPr>
      </w:pPr>
      <w:r>
        <w:rPr>
          <w:rFonts w:hint="eastAsia" w:asciiTheme="minorEastAsia" w:hAnsiTheme="minorEastAsia" w:eastAsiaTheme="minorEastAsia" w:cstheme="minorEastAsia"/>
          <w:b/>
          <w:bCs/>
          <w:szCs w:val="28"/>
          <w:highlight w:val="none"/>
        </w:rPr>
        <w:t>附件1：</w:t>
      </w:r>
    </w:p>
    <w:p w14:paraId="4CDEBD60">
      <w:pPr>
        <w:pStyle w:val="11"/>
        <w:jc w:val="center"/>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初步审查要素表</w:t>
      </w:r>
    </w:p>
    <w:tbl>
      <w:tblPr>
        <w:tblStyle w:val="28"/>
        <w:tblW w:w="93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576"/>
        <w:gridCol w:w="541"/>
        <w:gridCol w:w="2223"/>
        <w:gridCol w:w="5236"/>
      </w:tblGrid>
      <w:tr w14:paraId="4E9C3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397" w:type="dxa"/>
            <w:gridSpan w:val="2"/>
            <w:vAlign w:val="center"/>
          </w:tcPr>
          <w:p w14:paraId="37448C75">
            <w:pPr>
              <w:tabs>
                <w:tab w:val="left" w:pos="0"/>
              </w:tabs>
              <w:adjustRightInd w:val="0"/>
              <w:snapToGrid w:val="0"/>
              <w:jc w:val="center"/>
              <w:rPr>
                <w:rFonts w:ascii="宋体" w:hAnsi="宋体" w:cs="宋体"/>
                <w:b/>
                <w:sz w:val="24"/>
                <w:szCs w:val="24"/>
                <w:highlight w:val="none"/>
              </w:rPr>
            </w:pPr>
            <w:r>
              <w:rPr>
                <w:rFonts w:hint="eastAsia" w:ascii="宋体" w:hAnsi="宋体" w:cs="宋体"/>
                <w:b/>
                <w:sz w:val="24"/>
                <w:szCs w:val="24"/>
                <w:highlight w:val="none"/>
              </w:rPr>
              <w:t>条款号</w:t>
            </w:r>
          </w:p>
        </w:tc>
        <w:tc>
          <w:tcPr>
            <w:tcW w:w="2764" w:type="dxa"/>
            <w:gridSpan w:val="2"/>
            <w:vAlign w:val="center"/>
          </w:tcPr>
          <w:p w14:paraId="14B04A0F">
            <w:pPr>
              <w:tabs>
                <w:tab w:val="left" w:pos="0"/>
              </w:tabs>
              <w:adjustRightInd w:val="0"/>
              <w:snapToGrid w:val="0"/>
              <w:jc w:val="center"/>
              <w:rPr>
                <w:rFonts w:ascii="宋体" w:hAnsi="宋体" w:cs="宋体"/>
                <w:b/>
                <w:sz w:val="24"/>
                <w:szCs w:val="24"/>
                <w:highlight w:val="none"/>
              </w:rPr>
            </w:pPr>
            <w:r>
              <w:rPr>
                <w:rFonts w:hint="eastAsia" w:ascii="宋体" w:hAnsi="宋体" w:cs="宋体"/>
                <w:b/>
                <w:sz w:val="24"/>
                <w:szCs w:val="24"/>
                <w:highlight w:val="none"/>
              </w:rPr>
              <w:t>评审因素</w:t>
            </w:r>
          </w:p>
        </w:tc>
        <w:tc>
          <w:tcPr>
            <w:tcW w:w="5236" w:type="dxa"/>
            <w:vAlign w:val="center"/>
          </w:tcPr>
          <w:p w14:paraId="59BD54CD">
            <w:pPr>
              <w:tabs>
                <w:tab w:val="left" w:pos="0"/>
              </w:tabs>
              <w:adjustRightInd w:val="0"/>
              <w:snapToGrid w:val="0"/>
              <w:jc w:val="center"/>
              <w:rPr>
                <w:rFonts w:ascii="宋体" w:hAnsi="宋体" w:cs="宋体"/>
                <w:b/>
                <w:sz w:val="24"/>
                <w:szCs w:val="24"/>
                <w:highlight w:val="none"/>
              </w:rPr>
            </w:pPr>
            <w:r>
              <w:rPr>
                <w:rFonts w:hint="eastAsia" w:ascii="宋体" w:hAnsi="宋体" w:cs="宋体"/>
                <w:b/>
                <w:sz w:val="24"/>
                <w:szCs w:val="24"/>
                <w:highlight w:val="none"/>
              </w:rPr>
              <w:t>评审标准</w:t>
            </w:r>
          </w:p>
        </w:tc>
      </w:tr>
      <w:tr w14:paraId="1BE3D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21" w:type="dxa"/>
            <w:vMerge w:val="restart"/>
            <w:vAlign w:val="center"/>
          </w:tcPr>
          <w:p w14:paraId="440A8536">
            <w:pPr>
              <w:tabs>
                <w:tab w:val="left" w:pos="0"/>
              </w:tabs>
              <w:adjustRightInd w:val="0"/>
              <w:snapToGrid w:val="0"/>
              <w:jc w:val="center"/>
              <w:rPr>
                <w:rFonts w:ascii="宋体" w:hAnsi="宋体" w:cs="宋体"/>
                <w:b/>
                <w:sz w:val="24"/>
                <w:szCs w:val="24"/>
                <w:highlight w:val="none"/>
              </w:rPr>
            </w:pPr>
            <w:r>
              <w:rPr>
                <w:rFonts w:hint="eastAsia" w:ascii="宋体" w:hAnsi="宋体" w:cs="宋体"/>
                <w:b/>
                <w:sz w:val="24"/>
                <w:szCs w:val="24"/>
                <w:highlight w:val="none"/>
              </w:rPr>
              <w:t>2.1.1</w:t>
            </w:r>
          </w:p>
        </w:tc>
        <w:tc>
          <w:tcPr>
            <w:tcW w:w="576" w:type="dxa"/>
            <w:vMerge w:val="restart"/>
            <w:vAlign w:val="center"/>
          </w:tcPr>
          <w:p w14:paraId="4604B086">
            <w:pPr>
              <w:tabs>
                <w:tab w:val="left" w:pos="0"/>
              </w:tabs>
              <w:adjustRightInd w:val="0"/>
              <w:snapToGrid w:val="0"/>
              <w:jc w:val="center"/>
              <w:rPr>
                <w:rFonts w:ascii="宋体" w:hAnsi="宋体" w:cs="宋体"/>
                <w:b/>
                <w:sz w:val="24"/>
                <w:szCs w:val="24"/>
                <w:highlight w:val="none"/>
              </w:rPr>
            </w:pPr>
            <w:r>
              <w:rPr>
                <w:rFonts w:hint="eastAsia" w:ascii="宋体" w:hAnsi="宋体" w:cs="宋体"/>
                <w:b/>
                <w:sz w:val="24"/>
                <w:szCs w:val="24"/>
                <w:highlight w:val="none"/>
              </w:rPr>
              <w:t>资格评审</w:t>
            </w:r>
          </w:p>
          <w:p w14:paraId="788371D9">
            <w:pPr>
              <w:tabs>
                <w:tab w:val="left" w:pos="0"/>
              </w:tabs>
              <w:adjustRightInd w:val="0"/>
              <w:snapToGrid w:val="0"/>
              <w:jc w:val="center"/>
              <w:rPr>
                <w:rFonts w:ascii="宋体" w:hAnsi="宋体" w:cs="宋体"/>
                <w:b/>
                <w:sz w:val="24"/>
                <w:szCs w:val="24"/>
                <w:highlight w:val="none"/>
              </w:rPr>
            </w:pPr>
            <w:r>
              <w:rPr>
                <w:rFonts w:hint="eastAsia" w:ascii="宋体" w:hAnsi="宋体" w:cs="宋体"/>
                <w:b/>
                <w:sz w:val="24"/>
                <w:szCs w:val="24"/>
                <w:highlight w:val="none"/>
              </w:rPr>
              <w:t>标准</w:t>
            </w:r>
          </w:p>
        </w:tc>
        <w:tc>
          <w:tcPr>
            <w:tcW w:w="2764" w:type="dxa"/>
            <w:gridSpan w:val="2"/>
            <w:vAlign w:val="center"/>
          </w:tcPr>
          <w:p w14:paraId="3EB79631">
            <w:pPr>
              <w:tabs>
                <w:tab w:val="left" w:pos="0"/>
              </w:tabs>
              <w:adjustRightInd w:val="0"/>
              <w:snapToGrid w:val="0"/>
              <w:jc w:val="center"/>
              <w:rPr>
                <w:rFonts w:ascii="宋体" w:hAnsi="宋体" w:cs="宋体"/>
                <w:b/>
                <w:sz w:val="24"/>
                <w:szCs w:val="24"/>
                <w:highlight w:val="none"/>
              </w:rPr>
            </w:pPr>
            <w:r>
              <w:rPr>
                <w:rFonts w:hint="eastAsia" w:ascii="宋体" w:hAnsi="宋体" w:cs="宋体"/>
                <w:b/>
                <w:sz w:val="24"/>
                <w:szCs w:val="24"/>
                <w:highlight w:val="none"/>
              </w:rPr>
              <w:t>营业执照等主体资格证明文件</w:t>
            </w:r>
          </w:p>
        </w:tc>
        <w:tc>
          <w:tcPr>
            <w:tcW w:w="5236" w:type="dxa"/>
            <w:vAlign w:val="center"/>
          </w:tcPr>
          <w:p w14:paraId="154C5CAF">
            <w:pPr>
              <w:tabs>
                <w:tab w:val="left" w:pos="0"/>
              </w:tabs>
              <w:adjustRightInd w:val="0"/>
              <w:snapToGrid w:val="0"/>
              <w:jc w:val="center"/>
              <w:rPr>
                <w:rFonts w:hint="eastAsia" w:ascii="宋体" w:hAnsi="宋体" w:cs="宋体" w:eastAsiaTheme="minorEastAsia"/>
                <w:sz w:val="24"/>
                <w:szCs w:val="24"/>
                <w:highlight w:val="none"/>
                <w:lang w:eastAsia="zh-CN"/>
              </w:rPr>
            </w:pPr>
            <w:r>
              <w:rPr>
                <w:rFonts w:hint="eastAsia" w:ascii="宋体" w:hAnsi="宋体" w:cs="宋体"/>
                <w:sz w:val="24"/>
                <w:szCs w:val="24"/>
                <w:highlight w:val="none"/>
              </w:rPr>
              <w:t>提供合格有效的法人或者其他组织的营业执照等证明文件，自然人的身份证明</w:t>
            </w:r>
            <w:r>
              <w:rPr>
                <w:rFonts w:hint="eastAsia" w:ascii="宋体" w:hAnsi="宋体" w:cs="宋体"/>
                <w:sz w:val="24"/>
                <w:szCs w:val="24"/>
                <w:highlight w:val="none"/>
                <w:lang w:eastAsia="zh-CN"/>
              </w:rPr>
              <w:t>；</w:t>
            </w:r>
          </w:p>
        </w:tc>
      </w:tr>
      <w:tr w14:paraId="58C11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 w:hRule="atLeast"/>
        </w:trPr>
        <w:tc>
          <w:tcPr>
            <w:tcW w:w="821" w:type="dxa"/>
            <w:vMerge w:val="continue"/>
            <w:vAlign w:val="center"/>
          </w:tcPr>
          <w:p w14:paraId="505CBC91">
            <w:pPr>
              <w:tabs>
                <w:tab w:val="left" w:pos="0"/>
              </w:tabs>
              <w:adjustRightInd w:val="0"/>
              <w:snapToGrid w:val="0"/>
              <w:jc w:val="center"/>
              <w:rPr>
                <w:rFonts w:ascii="宋体" w:hAnsi="宋体" w:cs="宋体"/>
                <w:b/>
                <w:sz w:val="24"/>
                <w:szCs w:val="24"/>
                <w:highlight w:val="none"/>
              </w:rPr>
            </w:pPr>
          </w:p>
        </w:tc>
        <w:tc>
          <w:tcPr>
            <w:tcW w:w="576" w:type="dxa"/>
            <w:vMerge w:val="continue"/>
            <w:vAlign w:val="center"/>
          </w:tcPr>
          <w:p w14:paraId="6A9F867E">
            <w:pPr>
              <w:tabs>
                <w:tab w:val="left" w:pos="0"/>
              </w:tabs>
              <w:adjustRightInd w:val="0"/>
              <w:snapToGrid w:val="0"/>
              <w:jc w:val="center"/>
              <w:rPr>
                <w:rFonts w:ascii="宋体" w:hAnsi="宋体" w:cs="宋体"/>
                <w:b/>
                <w:sz w:val="24"/>
                <w:szCs w:val="24"/>
                <w:highlight w:val="none"/>
              </w:rPr>
            </w:pPr>
          </w:p>
        </w:tc>
        <w:tc>
          <w:tcPr>
            <w:tcW w:w="2764" w:type="dxa"/>
            <w:gridSpan w:val="2"/>
            <w:vAlign w:val="center"/>
          </w:tcPr>
          <w:p w14:paraId="6920C2BB">
            <w:pPr>
              <w:tabs>
                <w:tab w:val="left" w:pos="0"/>
              </w:tabs>
              <w:adjustRightInd w:val="0"/>
              <w:snapToGrid w:val="0"/>
              <w:jc w:val="center"/>
              <w:rPr>
                <w:rFonts w:ascii="宋体" w:hAnsi="宋体" w:cs="宋体"/>
                <w:b/>
                <w:sz w:val="24"/>
                <w:szCs w:val="24"/>
                <w:highlight w:val="none"/>
              </w:rPr>
            </w:pPr>
            <w:r>
              <w:rPr>
                <w:rFonts w:hint="eastAsia" w:ascii="宋体" w:hAnsi="宋体" w:cs="宋体"/>
                <w:b/>
                <w:sz w:val="24"/>
                <w:szCs w:val="24"/>
                <w:highlight w:val="none"/>
              </w:rPr>
              <w:t>法定代表人授权书/法定</w:t>
            </w:r>
          </w:p>
          <w:p w14:paraId="74A7D01E">
            <w:pPr>
              <w:tabs>
                <w:tab w:val="left" w:pos="0"/>
              </w:tabs>
              <w:adjustRightInd w:val="0"/>
              <w:snapToGrid w:val="0"/>
              <w:jc w:val="center"/>
              <w:rPr>
                <w:rFonts w:ascii="宋体" w:hAnsi="宋体" w:cs="宋体"/>
                <w:b/>
                <w:sz w:val="24"/>
                <w:szCs w:val="24"/>
                <w:highlight w:val="none"/>
              </w:rPr>
            </w:pPr>
            <w:r>
              <w:rPr>
                <w:rFonts w:hint="eastAsia" w:ascii="宋体" w:hAnsi="宋体" w:cs="宋体"/>
                <w:b/>
                <w:sz w:val="24"/>
                <w:szCs w:val="24"/>
                <w:highlight w:val="none"/>
              </w:rPr>
              <w:t>代表人身份证明</w:t>
            </w:r>
          </w:p>
        </w:tc>
        <w:tc>
          <w:tcPr>
            <w:tcW w:w="5236" w:type="dxa"/>
            <w:vAlign w:val="center"/>
          </w:tcPr>
          <w:p w14:paraId="4E235674">
            <w:pPr>
              <w:tabs>
                <w:tab w:val="left" w:pos="0"/>
              </w:tabs>
              <w:adjustRightInd w:val="0"/>
              <w:snapToGrid w:val="0"/>
              <w:jc w:val="center"/>
              <w:rPr>
                <w:rFonts w:ascii="宋体" w:hAnsi="宋体" w:cs="宋体"/>
                <w:sz w:val="24"/>
                <w:szCs w:val="24"/>
                <w:highlight w:val="none"/>
              </w:rPr>
            </w:pPr>
            <w:r>
              <w:rPr>
                <w:rFonts w:hint="eastAsia" w:ascii="宋体" w:hAnsi="宋体" w:cs="宋体"/>
                <w:sz w:val="24"/>
                <w:szCs w:val="24"/>
                <w:highlight w:val="none"/>
              </w:rPr>
              <w:t>提供法定代表人授权书（附法定代表人、被授权人身份证复印件，法定代表人直接参加投标，须提供法定代表人身份证明及身份证复印件）；</w:t>
            </w:r>
          </w:p>
        </w:tc>
      </w:tr>
      <w:tr w14:paraId="28039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trPr>
        <w:tc>
          <w:tcPr>
            <w:tcW w:w="821" w:type="dxa"/>
            <w:vMerge w:val="continue"/>
            <w:vAlign w:val="center"/>
          </w:tcPr>
          <w:p w14:paraId="52091049">
            <w:pPr>
              <w:tabs>
                <w:tab w:val="left" w:pos="0"/>
              </w:tabs>
              <w:adjustRightInd w:val="0"/>
              <w:snapToGrid w:val="0"/>
              <w:jc w:val="center"/>
              <w:rPr>
                <w:rFonts w:ascii="宋体" w:hAnsi="宋体" w:cs="宋体"/>
                <w:b/>
                <w:sz w:val="24"/>
                <w:szCs w:val="24"/>
                <w:highlight w:val="none"/>
              </w:rPr>
            </w:pPr>
          </w:p>
        </w:tc>
        <w:tc>
          <w:tcPr>
            <w:tcW w:w="576" w:type="dxa"/>
            <w:vMerge w:val="continue"/>
            <w:vAlign w:val="center"/>
          </w:tcPr>
          <w:p w14:paraId="2C2F1247">
            <w:pPr>
              <w:tabs>
                <w:tab w:val="left" w:pos="0"/>
              </w:tabs>
              <w:adjustRightInd w:val="0"/>
              <w:snapToGrid w:val="0"/>
              <w:jc w:val="center"/>
              <w:rPr>
                <w:rFonts w:ascii="宋体" w:hAnsi="宋体" w:cs="宋体"/>
                <w:b/>
                <w:sz w:val="24"/>
                <w:szCs w:val="24"/>
                <w:highlight w:val="none"/>
              </w:rPr>
            </w:pPr>
          </w:p>
        </w:tc>
        <w:tc>
          <w:tcPr>
            <w:tcW w:w="2764" w:type="dxa"/>
            <w:gridSpan w:val="2"/>
            <w:vAlign w:val="center"/>
          </w:tcPr>
          <w:p w14:paraId="7EE891CB">
            <w:pPr>
              <w:tabs>
                <w:tab w:val="left" w:pos="0"/>
              </w:tabs>
              <w:adjustRightInd w:val="0"/>
              <w:snapToGrid w:val="0"/>
              <w:jc w:val="center"/>
              <w:rPr>
                <w:rFonts w:ascii="宋体" w:hAnsi="宋体" w:cs="宋体"/>
                <w:b/>
                <w:sz w:val="24"/>
                <w:szCs w:val="24"/>
                <w:highlight w:val="none"/>
              </w:rPr>
            </w:pPr>
            <w:r>
              <w:rPr>
                <w:rFonts w:hint="eastAsia" w:ascii="宋体" w:hAnsi="宋体" w:cs="宋体"/>
                <w:b/>
                <w:sz w:val="24"/>
                <w:szCs w:val="24"/>
                <w:highlight w:val="none"/>
              </w:rPr>
              <w:t>财务状况</w:t>
            </w:r>
          </w:p>
        </w:tc>
        <w:tc>
          <w:tcPr>
            <w:tcW w:w="5236" w:type="dxa"/>
            <w:vAlign w:val="center"/>
          </w:tcPr>
          <w:p w14:paraId="36A96AA2">
            <w:pPr>
              <w:tabs>
                <w:tab w:val="left" w:pos="0"/>
              </w:tabs>
              <w:adjustRightInd w:val="0"/>
              <w:snapToGrid w:val="0"/>
              <w:jc w:val="center"/>
              <w:rPr>
                <w:rFonts w:ascii="宋体" w:hAnsi="宋体" w:cs="宋体"/>
                <w:sz w:val="24"/>
                <w:szCs w:val="24"/>
                <w:highlight w:val="none"/>
              </w:rPr>
            </w:pPr>
            <w:r>
              <w:rPr>
                <w:rFonts w:hint="eastAsia" w:ascii="宋体" w:hAnsi="宋体" w:cs="宋体"/>
                <w:sz w:val="24"/>
                <w:szCs w:val="24"/>
                <w:highlight w:val="none"/>
              </w:rPr>
              <w:t>提供2023或2024年度或的财务审计报告（成立时间至提交投标文件截止时间不足一年的可提供成立后任意时段的资产负债表）或开标时间前六个月内银行出具的资信证明；</w:t>
            </w:r>
          </w:p>
        </w:tc>
      </w:tr>
      <w:tr w14:paraId="1E6E6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821" w:type="dxa"/>
            <w:vMerge w:val="continue"/>
            <w:vAlign w:val="center"/>
          </w:tcPr>
          <w:p w14:paraId="1D062C8A">
            <w:pPr>
              <w:tabs>
                <w:tab w:val="left" w:pos="0"/>
              </w:tabs>
              <w:adjustRightInd w:val="0"/>
              <w:snapToGrid w:val="0"/>
              <w:jc w:val="center"/>
              <w:rPr>
                <w:rFonts w:ascii="宋体" w:hAnsi="宋体" w:cs="宋体"/>
                <w:b/>
                <w:sz w:val="24"/>
                <w:szCs w:val="24"/>
                <w:highlight w:val="none"/>
              </w:rPr>
            </w:pPr>
          </w:p>
        </w:tc>
        <w:tc>
          <w:tcPr>
            <w:tcW w:w="576" w:type="dxa"/>
            <w:vMerge w:val="continue"/>
            <w:vAlign w:val="center"/>
          </w:tcPr>
          <w:p w14:paraId="387BFD80">
            <w:pPr>
              <w:tabs>
                <w:tab w:val="left" w:pos="0"/>
              </w:tabs>
              <w:adjustRightInd w:val="0"/>
              <w:snapToGrid w:val="0"/>
              <w:jc w:val="center"/>
              <w:rPr>
                <w:rFonts w:ascii="宋体" w:hAnsi="宋体" w:cs="宋体"/>
                <w:b/>
                <w:sz w:val="24"/>
                <w:szCs w:val="24"/>
                <w:highlight w:val="none"/>
              </w:rPr>
            </w:pPr>
          </w:p>
        </w:tc>
        <w:tc>
          <w:tcPr>
            <w:tcW w:w="2764" w:type="dxa"/>
            <w:gridSpan w:val="2"/>
            <w:vAlign w:val="center"/>
          </w:tcPr>
          <w:p w14:paraId="3260CE9B">
            <w:pPr>
              <w:tabs>
                <w:tab w:val="left" w:pos="0"/>
              </w:tabs>
              <w:adjustRightInd w:val="0"/>
              <w:snapToGrid w:val="0"/>
              <w:jc w:val="center"/>
              <w:rPr>
                <w:rFonts w:ascii="宋体" w:hAnsi="宋体" w:cs="宋体"/>
                <w:b/>
                <w:sz w:val="24"/>
                <w:szCs w:val="24"/>
                <w:highlight w:val="none"/>
              </w:rPr>
            </w:pPr>
            <w:r>
              <w:rPr>
                <w:rFonts w:hint="eastAsia" w:ascii="宋体" w:hAnsi="宋体" w:cs="宋体"/>
                <w:b/>
                <w:sz w:val="24"/>
                <w:szCs w:val="24"/>
                <w:highlight w:val="none"/>
              </w:rPr>
              <w:t>税收缴纳证明</w:t>
            </w:r>
          </w:p>
        </w:tc>
        <w:tc>
          <w:tcPr>
            <w:tcW w:w="5236" w:type="dxa"/>
            <w:vAlign w:val="center"/>
          </w:tcPr>
          <w:p w14:paraId="7D8A7EA5">
            <w:pPr>
              <w:tabs>
                <w:tab w:val="left" w:pos="0"/>
              </w:tabs>
              <w:adjustRightInd w:val="0"/>
              <w:snapToGrid w:val="0"/>
              <w:jc w:val="center"/>
              <w:rPr>
                <w:rFonts w:ascii="宋体" w:hAnsi="宋体" w:cs="宋体"/>
                <w:sz w:val="24"/>
                <w:szCs w:val="24"/>
                <w:highlight w:val="none"/>
              </w:rPr>
            </w:pPr>
            <w:r>
              <w:rPr>
                <w:rFonts w:hint="eastAsia" w:ascii="宋体" w:hAnsi="宋体" w:cs="宋体"/>
                <w:sz w:val="24"/>
                <w:szCs w:val="24"/>
                <w:highlight w:val="none"/>
              </w:rPr>
              <w:t>提供投标截止日前近一年内任意一个月的纳税证明或完税证明（任意税种），依法免税的单位应提供相关证明材料；</w:t>
            </w:r>
          </w:p>
        </w:tc>
      </w:tr>
      <w:tr w14:paraId="2ACD1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 w:hRule="atLeast"/>
        </w:trPr>
        <w:tc>
          <w:tcPr>
            <w:tcW w:w="821" w:type="dxa"/>
            <w:vMerge w:val="continue"/>
            <w:vAlign w:val="center"/>
          </w:tcPr>
          <w:p w14:paraId="43216C12">
            <w:pPr>
              <w:tabs>
                <w:tab w:val="left" w:pos="0"/>
              </w:tabs>
              <w:adjustRightInd w:val="0"/>
              <w:snapToGrid w:val="0"/>
              <w:jc w:val="center"/>
              <w:rPr>
                <w:rFonts w:ascii="宋体" w:hAnsi="宋体" w:cs="宋体"/>
                <w:b/>
                <w:sz w:val="24"/>
                <w:szCs w:val="24"/>
                <w:highlight w:val="none"/>
              </w:rPr>
            </w:pPr>
          </w:p>
        </w:tc>
        <w:tc>
          <w:tcPr>
            <w:tcW w:w="576" w:type="dxa"/>
            <w:vMerge w:val="continue"/>
            <w:vAlign w:val="center"/>
          </w:tcPr>
          <w:p w14:paraId="2C63F1BB">
            <w:pPr>
              <w:tabs>
                <w:tab w:val="left" w:pos="0"/>
              </w:tabs>
              <w:adjustRightInd w:val="0"/>
              <w:snapToGrid w:val="0"/>
              <w:jc w:val="center"/>
              <w:rPr>
                <w:rFonts w:ascii="宋体" w:hAnsi="宋体" w:cs="宋体"/>
                <w:b/>
                <w:sz w:val="24"/>
                <w:szCs w:val="24"/>
                <w:highlight w:val="none"/>
              </w:rPr>
            </w:pPr>
          </w:p>
        </w:tc>
        <w:tc>
          <w:tcPr>
            <w:tcW w:w="2764" w:type="dxa"/>
            <w:gridSpan w:val="2"/>
            <w:vAlign w:val="center"/>
          </w:tcPr>
          <w:p w14:paraId="081695B1">
            <w:pPr>
              <w:tabs>
                <w:tab w:val="left" w:pos="0"/>
              </w:tabs>
              <w:adjustRightInd w:val="0"/>
              <w:snapToGrid w:val="0"/>
              <w:jc w:val="center"/>
              <w:rPr>
                <w:rFonts w:ascii="宋体" w:hAnsi="宋体" w:cs="宋体"/>
                <w:b/>
                <w:sz w:val="24"/>
                <w:szCs w:val="24"/>
                <w:highlight w:val="none"/>
              </w:rPr>
            </w:pPr>
            <w:r>
              <w:rPr>
                <w:rFonts w:hint="eastAsia" w:ascii="宋体" w:hAnsi="宋体" w:cs="宋体"/>
                <w:b/>
                <w:sz w:val="24"/>
                <w:szCs w:val="24"/>
                <w:highlight w:val="none"/>
              </w:rPr>
              <w:t>社会保障资金缴纳证明</w:t>
            </w:r>
          </w:p>
        </w:tc>
        <w:tc>
          <w:tcPr>
            <w:tcW w:w="5236" w:type="dxa"/>
            <w:vAlign w:val="center"/>
          </w:tcPr>
          <w:p w14:paraId="5736FCAF">
            <w:pPr>
              <w:tabs>
                <w:tab w:val="left" w:pos="0"/>
              </w:tabs>
              <w:adjustRightInd w:val="0"/>
              <w:snapToGrid w:val="0"/>
              <w:jc w:val="center"/>
              <w:rPr>
                <w:rFonts w:ascii="宋体" w:hAnsi="宋体" w:cs="宋体"/>
                <w:sz w:val="24"/>
                <w:szCs w:val="24"/>
                <w:highlight w:val="none"/>
              </w:rPr>
            </w:pPr>
            <w:r>
              <w:rPr>
                <w:rFonts w:hint="eastAsia" w:ascii="宋体" w:hAnsi="宋体" w:cs="宋体"/>
                <w:sz w:val="24"/>
                <w:szCs w:val="24"/>
                <w:highlight w:val="none"/>
              </w:rPr>
              <w:t>提供投标截止日前近一年内任意一个月的社会保障资金缴存单据或社保机构开具的社会保险参保缴费情况证明，依法不需要缴纳社会保障资金的单位应提供相关证明材料；</w:t>
            </w:r>
          </w:p>
        </w:tc>
      </w:tr>
      <w:tr w14:paraId="512D5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821" w:type="dxa"/>
            <w:vMerge w:val="continue"/>
            <w:vAlign w:val="center"/>
          </w:tcPr>
          <w:p w14:paraId="1BBEB120">
            <w:pPr>
              <w:tabs>
                <w:tab w:val="left" w:pos="0"/>
              </w:tabs>
              <w:adjustRightInd w:val="0"/>
              <w:snapToGrid w:val="0"/>
              <w:jc w:val="center"/>
              <w:rPr>
                <w:rFonts w:ascii="宋体" w:hAnsi="宋体" w:cs="宋体"/>
                <w:b/>
                <w:sz w:val="24"/>
                <w:szCs w:val="24"/>
                <w:highlight w:val="none"/>
              </w:rPr>
            </w:pPr>
          </w:p>
        </w:tc>
        <w:tc>
          <w:tcPr>
            <w:tcW w:w="576" w:type="dxa"/>
            <w:vMerge w:val="continue"/>
            <w:vAlign w:val="center"/>
          </w:tcPr>
          <w:p w14:paraId="2D94DF1C">
            <w:pPr>
              <w:tabs>
                <w:tab w:val="left" w:pos="0"/>
              </w:tabs>
              <w:adjustRightInd w:val="0"/>
              <w:snapToGrid w:val="0"/>
              <w:jc w:val="center"/>
              <w:rPr>
                <w:rFonts w:ascii="宋体" w:hAnsi="宋体" w:cs="宋体"/>
                <w:b/>
                <w:sz w:val="24"/>
                <w:szCs w:val="24"/>
                <w:highlight w:val="none"/>
              </w:rPr>
            </w:pPr>
          </w:p>
        </w:tc>
        <w:tc>
          <w:tcPr>
            <w:tcW w:w="2764" w:type="dxa"/>
            <w:gridSpan w:val="2"/>
            <w:shd w:val="clear" w:color="auto" w:fill="auto"/>
            <w:vAlign w:val="center"/>
          </w:tcPr>
          <w:p w14:paraId="564CCF5E">
            <w:pPr>
              <w:tabs>
                <w:tab w:val="left" w:pos="0"/>
              </w:tabs>
              <w:adjustRightInd w:val="0"/>
              <w:snapToGrid w:val="0"/>
              <w:jc w:val="center"/>
              <w:rPr>
                <w:rFonts w:hint="eastAsia" w:ascii="宋体" w:hAnsi="宋体" w:eastAsia="宋体" w:cs="宋体"/>
                <w:b/>
                <w:kern w:val="2"/>
                <w:sz w:val="24"/>
                <w:szCs w:val="24"/>
                <w:highlight w:val="none"/>
                <w:lang w:val="en-US" w:eastAsia="zh-CN" w:bidi="ar-SA"/>
              </w:rPr>
            </w:pPr>
            <w:r>
              <w:rPr>
                <w:rFonts w:hint="eastAsia" w:ascii="宋体" w:hAnsi="宋体" w:cs="宋体"/>
                <w:b/>
                <w:sz w:val="24"/>
                <w:szCs w:val="24"/>
                <w:highlight w:val="none"/>
              </w:rPr>
              <w:t>书面承诺书</w:t>
            </w:r>
          </w:p>
        </w:tc>
        <w:tc>
          <w:tcPr>
            <w:tcW w:w="5236" w:type="dxa"/>
            <w:shd w:val="clear" w:color="auto" w:fill="auto"/>
            <w:vAlign w:val="center"/>
          </w:tcPr>
          <w:p w14:paraId="65DE278D">
            <w:pPr>
              <w:tabs>
                <w:tab w:val="left" w:pos="0"/>
              </w:tabs>
              <w:adjustRightInd w:val="0"/>
              <w:snapToGrid w:val="0"/>
              <w:jc w:val="center"/>
              <w:rPr>
                <w:rFonts w:hint="eastAsia" w:ascii="宋体" w:hAnsi="宋体" w:eastAsia="宋体" w:cs="宋体"/>
                <w:kern w:val="2"/>
                <w:sz w:val="24"/>
                <w:szCs w:val="24"/>
                <w:highlight w:val="none"/>
                <w:lang w:val="en-US" w:eastAsia="zh-CN" w:bidi="ar-SA"/>
              </w:rPr>
            </w:pPr>
            <w:r>
              <w:rPr>
                <w:rFonts w:hint="eastAsia" w:ascii="宋体" w:hAnsi="宋体" w:cs="宋体"/>
                <w:sz w:val="24"/>
                <w:szCs w:val="24"/>
                <w:highlight w:val="none"/>
              </w:rPr>
              <w:t>提供具有履行合同所必需的设备和专业技术能力的书面承诺；</w:t>
            </w:r>
          </w:p>
        </w:tc>
      </w:tr>
      <w:tr w14:paraId="0732F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 w:hRule="atLeast"/>
        </w:trPr>
        <w:tc>
          <w:tcPr>
            <w:tcW w:w="821" w:type="dxa"/>
            <w:vMerge w:val="continue"/>
            <w:vAlign w:val="center"/>
          </w:tcPr>
          <w:p w14:paraId="24F32A60">
            <w:pPr>
              <w:tabs>
                <w:tab w:val="left" w:pos="0"/>
              </w:tabs>
              <w:adjustRightInd w:val="0"/>
              <w:snapToGrid w:val="0"/>
              <w:jc w:val="center"/>
              <w:rPr>
                <w:rFonts w:ascii="宋体" w:hAnsi="宋体" w:cs="宋体"/>
                <w:b/>
                <w:sz w:val="24"/>
                <w:szCs w:val="24"/>
                <w:highlight w:val="none"/>
              </w:rPr>
            </w:pPr>
          </w:p>
        </w:tc>
        <w:tc>
          <w:tcPr>
            <w:tcW w:w="576" w:type="dxa"/>
            <w:vMerge w:val="continue"/>
            <w:vAlign w:val="center"/>
          </w:tcPr>
          <w:p w14:paraId="49B5F90E">
            <w:pPr>
              <w:tabs>
                <w:tab w:val="left" w:pos="0"/>
              </w:tabs>
              <w:adjustRightInd w:val="0"/>
              <w:snapToGrid w:val="0"/>
              <w:jc w:val="center"/>
              <w:rPr>
                <w:rFonts w:ascii="宋体" w:hAnsi="宋体" w:cs="宋体"/>
                <w:b/>
                <w:sz w:val="24"/>
                <w:szCs w:val="24"/>
                <w:highlight w:val="none"/>
              </w:rPr>
            </w:pPr>
          </w:p>
        </w:tc>
        <w:tc>
          <w:tcPr>
            <w:tcW w:w="2764" w:type="dxa"/>
            <w:gridSpan w:val="2"/>
            <w:vAlign w:val="center"/>
          </w:tcPr>
          <w:p w14:paraId="729702FB">
            <w:pPr>
              <w:tabs>
                <w:tab w:val="left" w:pos="0"/>
              </w:tabs>
              <w:adjustRightInd w:val="0"/>
              <w:snapToGrid w:val="0"/>
              <w:jc w:val="center"/>
              <w:rPr>
                <w:rFonts w:ascii="宋体" w:hAnsi="宋体" w:cs="宋体"/>
                <w:b/>
                <w:sz w:val="24"/>
                <w:szCs w:val="24"/>
                <w:highlight w:val="none"/>
              </w:rPr>
            </w:pPr>
            <w:r>
              <w:rPr>
                <w:rFonts w:hint="eastAsia" w:ascii="宋体" w:hAnsi="宋体" w:cs="宋体"/>
                <w:b/>
                <w:sz w:val="24"/>
                <w:szCs w:val="24"/>
                <w:highlight w:val="none"/>
              </w:rPr>
              <w:t>信用记录</w:t>
            </w:r>
          </w:p>
        </w:tc>
        <w:tc>
          <w:tcPr>
            <w:tcW w:w="5236" w:type="dxa"/>
            <w:vAlign w:val="center"/>
          </w:tcPr>
          <w:p w14:paraId="11B8F5BF">
            <w:pPr>
              <w:tabs>
                <w:tab w:val="left" w:pos="0"/>
              </w:tabs>
              <w:adjustRightInd w:val="0"/>
              <w:snapToGrid w:val="0"/>
              <w:jc w:val="center"/>
              <w:rPr>
                <w:rFonts w:ascii="宋体" w:hAnsi="宋体" w:cs="宋体"/>
                <w:sz w:val="24"/>
                <w:szCs w:val="24"/>
                <w:highlight w:val="none"/>
              </w:rPr>
            </w:pPr>
            <w:r>
              <w:rPr>
                <w:rFonts w:hint="eastAsia" w:ascii="宋体" w:hAnsi="宋体" w:cs="宋体"/>
                <w:sz w:val="24"/>
                <w:szCs w:val="24"/>
                <w:highlight w:val="none"/>
              </w:rPr>
              <w:t>供应商通过“信用中国”网站(www.creditchina.gov.cn)、中国政府采购网(www.ccgp.gov.cn)等查询相关主体信用记录；；</w:t>
            </w:r>
          </w:p>
        </w:tc>
      </w:tr>
      <w:tr w14:paraId="195DD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21" w:type="dxa"/>
            <w:vMerge w:val="continue"/>
            <w:vAlign w:val="center"/>
          </w:tcPr>
          <w:p w14:paraId="15C54906">
            <w:pPr>
              <w:tabs>
                <w:tab w:val="left" w:pos="0"/>
              </w:tabs>
              <w:adjustRightInd w:val="0"/>
              <w:snapToGrid w:val="0"/>
              <w:jc w:val="center"/>
              <w:rPr>
                <w:rFonts w:ascii="宋体" w:hAnsi="宋体" w:cs="宋体"/>
                <w:b/>
                <w:sz w:val="24"/>
                <w:szCs w:val="24"/>
                <w:highlight w:val="none"/>
              </w:rPr>
            </w:pPr>
          </w:p>
        </w:tc>
        <w:tc>
          <w:tcPr>
            <w:tcW w:w="576" w:type="dxa"/>
            <w:vMerge w:val="continue"/>
            <w:vAlign w:val="center"/>
          </w:tcPr>
          <w:p w14:paraId="0B2C9256">
            <w:pPr>
              <w:tabs>
                <w:tab w:val="left" w:pos="0"/>
              </w:tabs>
              <w:adjustRightInd w:val="0"/>
              <w:snapToGrid w:val="0"/>
              <w:jc w:val="center"/>
              <w:rPr>
                <w:rFonts w:ascii="宋体" w:hAnsi="宋体" w:cs="宋体"/>
                <w:b/>
                <w:sz w:val="24"/>
                <w:szCs w:val="24"/>
                <w:highlight w:val="none"/>
              </w:rPr>
            </w:pPr>
          </w:p>
        </w:tc>
        <w:tc>
          <w:tcPr>
            <w:tcW w:w="2764" w:type="dxa"/>
            <w:gridSpan w:val="2"/>
            <w:vAlign w:val="center"/>
          </w:tcPr>
          <w:p w14:paraId="711BB5A4">
            <w:pPr>
              <w:tabs>
                <w:tab w:val="left" w:pos="0"/>
              </w:tabs>
              <w:adjustRightInd w:val="0"/>
              <w:snapToGrid w:val="0"/>
              <w:jc w:val="center"/>
              <w:rPr>
                <w:rFonts w:ascii="宋体" w:hAnsi="宋体" w:cs="宋体"/>
                <w:b/>
                <w:sz w:val="24"/>
                <w:szCs w:val="24"/>
                <w:highlight w:val="none"/>
              </w:rPr>
            </w:pPr>
            <w:r>
              <w:rPr>
                <w:rFonts w:hint="eastAsia" w:ascii="宋体" w:hAnsi="宋体" w:cs="宋体"/>
                <w:b/>
                <w:sz w:val="24"/>
                <w:szCs w:val="24"/>
                <w:highlight w:val="none"/>
              </w:rPr>
              <w:t>书面声明</w:t>
            </w:r>
          </w:p>
        </w:tc>
        <w:tc>
          <w:tcPr>
            <w:tcW w:w="5236" w:type="dxa"/>
            <w:vAlign w:val="center"/>
          </w:tcPr>
          <w:p w14:paraId="27DB8B5A">
            <w:pPr>
              <w:tabs>
                <w:tab w:val="left" w:pos="0"/>
              </w:tabs>
              <w:adjustRightInd w:val="0"/>
              <w:snapToGrid w:val="0"/>
              <w:jc w:val="center"/>
              <w:rPr>
                <w:rFonts w:ascii="宋体" w:hAnsi="宋体" w:cs="宋体"/>
                <w:sz w:val="24"/>
                <w:szCs w:val="24"/>
                <w:highlight w:val="none"/>
              </w:rPr>
            </w:pPr>
            <w:r>
              <w:rPr>
                <w:rFonts w:hint="eastAsia" w:ascii="宋体" w:hAnsi="宋体" w:cs="宋体"/>
                <w:sz w:val="24"/>
                <w:szCs w:val="24"/>
                <w:highlight w:val="none"/>
              </w:rPr>
              <w:t>参加政府采购活动前3年内，在经营活动中没有重大违法记录的书面声明；</w:t>
            </w:r>
          </w:p>
        </w:tc>
      </w:tr>
      <w:tr w14:paraId="65B89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21" w:type="dxa"/>
            <w:vMerge w:val="continue"/>
            <w:vAlign w:val="center"/>
          </w:tcPr>
          <w:p w14:paraId="6B952048">
            <w:pPr>
              <w:tabs>
                <w:tab w:val="left" w:pos="0"/>
              </w:tabs>
              <w:adjustRightInd w:val="0"/>
              <w:snapToGrid w:val="0"/>
              <w:jc w:val="center"/>
              <w:rPr>
                <w:rFonts w:ascii="宋体" w:hAnsi="宋体" w:cs="宋体"/>
                <w:b/>
                <w:sz w:val="24"/>
                <w:szCs w:val="24"/>
                <w:highlight w:val="none"/>
              </w:rPr>
            </w:pPr>
          </w:p>
        </w:tc>
        <w:tc>
          <w:tcPr>
            <w:tcW w:w="576" w:type="dxa"/>
            <w:vMerge w:val="continue"/>
            <w:vAlign w:val="center"/>
          </w:tcPr>
          <w:p w14:paraId="43E52D3D">
            <w:pPr>
              <w:tabs>
                <w:tab w:val="left" w:pos="0"/>
              </w:tabs>
              <w:adjustRightInd w:val="0"/>
              <w:snapToGrid w:val="0"/>
              <w:jc w:val="center"/>
              <w:rPr>
                <w:rFonts w:ascii="宋体" w:hAnsi="宋体" w:cs="宋体"/>
                <w:b/>
                <w:sz w:val="24"/>
                <w:szCs w:val="24"/>
                <w:highlight w:val="none"/>
              </w:rPr>
            </w:pPr>
          </w:p>
        </w:tc>
        <w:tc>
          <w:tcPr>
            <w:tcW w:w="2764" w:type="dxa"/>
            <w:gridSpan w:val="2"/>
            <w:vAlign w:val="center"/>
          </w:tcPr>
          <w:p w14:paraId="3A7DFEAA">
            <w:pPr>
              <w:tabs>
                <w:tab w:val="left" w:pos="0"/>
              </w:tabs>
              <w:adjustRightInd w:val="0"/>
              <w:snapToGrid w:val="0"/>
              <w:jc w:val="center"/>
              <w:rPr>
                <w:rFonts w:ascii="宋体" w:hAnsi="宋体" w:cs="宋体"/>
                <w:b/>
                <w:sz w:val="24"/>
                <w:szCs w:val="24"/>
                <w:highlight w:val="none"/>
              </w:rPr>
            </w:pPr>
            <w:r>
              <w:rPr>
                <w:rFonts w:hint="eastAsia" w:ascii="宋体" w:hAnsi="宋体" w:cs="宋体"/>
                <w:b/>
                <w:sz w:val="24"/>
                <w:szCs w:val="24"/>
                <w:highlight w:val="none"/>
              </w:rPr>
              <w:t>中小企业声明函</w:t>
            </w:r>
          </w:p>
        </w:tc>
        <w:tc>
          <w:tcPr>
            <w:tcW w:w="5236" w:type="dxa"/>
            <w:vAlign w:val="center"/>
          </w:tcPr>
          <w:p w14:paraId="76B8E427">
            <w:pPr>
              <w:tabs>
                <w:tab w:val="left" w:pos="0"/>
              </w:tabs>
              <w:adjustRightInd w:val="0"/>
              <w:snapToGrid w:val="0"/>
              <w:jc w:val="center"/>
              <w:rPr>
                <w:rFonts w:ascii="宋体" w:hAnsi="宋体" w:cs="宋体"/>
                <w:sz w:val="24"/>
                <w:szCs w:val="24"/>
                <w:highlight w:val="none"/>
              </w:rPr>
            </w:pPr>
            <w:r>
              <w:rPr>
                <w:rFonts w:hint="eastAsia" w:ascii="宋体" w:hAnsi="宋体" w:cs="宋体"/>
                <w:sz w:val="24"/>
                <w:szCs w:val="24"/>
                <w:highlight w:val="none"/>
              </w:rPr>
              <w:t>投标人须提供中小企业声明函；</w:t>
            </w:r>
          </w:p>
        </w:tc>
      </w:tr>
      <w:tr w14:paraId="35328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1" w:type="dxa"/>
            <w:vMerge w:val="continue"/>
            <w:vAlign w:val="center"/>
          </w:tcPr>
          <w:p w14:paraId="5DC2714F">
            <w:pPr>
              <w:tabs>
                <w:tab w:val="left" w:pos="0"/>
              </w:tabs>
              <w:adjustRightInd w:val="0"/>
              <w:snapToGrid w:val="0"/>
              <w:jc w:val="center"/>
              <w:rPr>
                <w:rFonts w:ascii="宋体" w:hAnsi="宋体" w:cs="宋体"/>
                <w:b/>
                <w:sz w:val="24"/>
                <w:szCs w:val="24"/>
                <w:highlight w:val="none"/>
              </w:rPr>
            </w:pPr>
          </w:p>
        </w:tc>
        <w:tc>
          <w:tcPr>
            <w:tcW w:w="576" w:type="dxa"/>
            <w:vMerge w:val="continue"/>
            <w:vAlign w:val="center"/>
          </w:tcPr>
          <w:p w14:paraId="75C6545F">
            <w:pPr>
              <w:tabs>
                <w:tab w:val="left" w:pos="0"/>
              </w:tabs>
              <w:adjustRightInd w:val="0"/>
              <w:snapToGrid w:val="0"/>
              <w:jc w:val="center"/>
              <w:rPr>
                <w:rFonts w:ascii="宋体" w:hAnsi="宋体" w:cs="宋体"/>
                <w:b/>
                <w:sz w:val="24"/>
                <w:szCs w:val="24"/>
                <w:highlight w:val="none"/>
              </w:rPr>
            </w:pPr>
          </w:p>
        </w:tc>
        <w:tc>
          <w:tcPr>
            <w:tcW w:w="2764" w:type="dxa"/>
            <w:gridSpan w:val="2"/>
            <w:vAlign w:val="center"/>
          </w:tcPr>
          <w:p w14:paraId="1793AEFA">
            <w:pPr>
              <w:tabs>
                <w:tab w:val="left" w:pos="0"/>
              </w:tabs>
              <w:adjustRightInd w:val="0"/>
              <w:snapToGrid w:val="0"/>
              <w:jc w:val="center"/>
              <w:rPr>
                <w:rFonts w:ascii="宋体" w:hAnsi="宋体" w:cs="宋体"/>
                <w:b/>
                <w:sz w:val="24"/>
                <w:szCs w:val="24"/>
                <w:highlight w:val="none"/>
              </w:rPr>
            </w:pPr>
            <w:r>
              <w:rPr>
                <w:rFonts w:hint="eastAsia" w:ascii="宋体" w:hAnsi="宋体" w:cs="宋体"/>
                <w:b/>
                <w:sz w:val="24"/>
                <w:szCs w:val="24"/>
                <w:highlight w:val="none"/>
              </w:rPr>
              <w:t>非联合体</w:t>
            </w:r>
          </w:p>
        </w:tc>
        <w:tc>
          <w:tcPr>
            <w:tcW w:w="5236" w:type="dxa"/>
            <w:vAlign w:val="center"/>
          </w:tcPr>
          <w:p w14:paraId="0218369E">
            <w:pPr>
              <w:tabs>
                <w:tab w:val="left" w:pos="0"/>
              </w:tabs>
              <w:adjustRightInd w:val="0"/>
              <w:snapToGrid w:val="0"/>
              <w:jc w:val="center"/>
              <w:rPr>
                <w:rFonts w:ascii="宋体" w:hAnsi="宋体" w:cs="宋体"/>
                <w:bCs/>
                <w:sz w:val="24"/>
                <w:szCs w:val="24"/>
                <w:highlight w:val="none"/>
              </w:rPr>
            </w:pPr>
            <w:r>
              <w:rPr>
                <w:rFonts w:hint="eastAsia" w:ascii="宋体" w:hAnsi="宋体" w:cs="宋体"/>
                <w:sz w:val="24"/>
                <w:szCs w:val="24"/>
                <w:highlight w:val="none"/>
              </w:rPr>
              <w:t>投标人须</w:t>
            </w:r>
            <w:r>
              <w:rPr>
                <w:rFonts w:hint="eastAsia" w:ascii="宋体" w:hAnsi="宋体" w:cs="宋体"/>
                <w:bCs/>
                <w:sz w:val="24"/>
                <w:szCs w:val="24"/>
                <w:highlight w:val="none"/>
              </w:rPr>
              <w:t>提供非联合体投标声明；</w:t>
            </w:r>
          </w:p>
        </w:tc>
      </w:tr>
      <w:tr w14:paraId="7FD93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1" w:hRule="atLeast"/>
        </w:trPr>
        <w:tc>
          <w:tcPr>
            <w:tcW w:w="9397" w:type="dxa"/>
            <w:gridSpan w:val="5"/>
            <w:vAlign w:val="center"/>
          </w:tcPr>
          <w:p w14:paraId="372987CB">
            <w:pPr>
              <w:tabs>
                <w:tab w:val="left" w:pos="0"/>
              </w:tabs>
              <w:adjustRightInd w:val="0"/>
              <w:snapToGrid w:val="0"/>
              <w:jc w:val="left"/>
              <w:rPr>
                <w:rFonts w:ascii="宋体" w:hAnsi="宋体" w:cs="宋体"/>
                <w:b/>
                <w:sz w:val="24"/>
                <w:szCs w:val="24"/>
                <w:highlight w:val="none"/>
              </w:rPr>
            </w:pPr>
            <w:r>
              <w:rPr>
                <w:rFonts w:hint="eastAsia" w:ascii="宋体" w:hAnsi="宋体" w:cs="宋体"/>
                <w:b/>
                <w:sz w:val="24"/>
                <w:szCs w:val="24"/>
                <w:highlight w:val="none"/>
              </w:rPr>
              <w:t>注：以上为必备资质，缺一项或某项达不到要求，按无效投标处理。资格审查时以投标文件中所附证明材料为准，原件备查。</w:t>
            </w:r>
          </w:p>
        </w:tc>
      </w:tr>
      <w:tr w14:paraId="15790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21" w:type="dxa"/>
            <w:vMerge w:val="restart"/>
            <w:vAlign w:val="center"/>
          </w:tcPr>
          <w:p w14:paraId="1E874278">
            <w:pPr>
              <w:tabs>
                <w:tab w:val="left" w:pos="0"/>
              </w:tabs>
              <w:adjustRightInd w:val="0"/>
              <w:snapToGrid w:val="0"/>
              <w:spacing w:line="360" w:lineRule="auto"/>
              <w:jc w:val="center"/>
              <w:rPr>
                <w:rFonts w:ascii="宋体" w:hAnsi="宋体" w:cs="宋体"/>
                <w:sz w:val="24"/>
                <w:szCs w:val="24"/>
                <w:highlight w:val="none"/>
              </w:rPr>
            </w:pPr>
            <w:r>
              <w:rPr>
                <w:rFonts w:hint="eastAsia" w:ascii="宋体" w:hAnsi="宋体" w:cs="宋体"/>
                <w:sz w:val="24"/>
                <w:szCs w:val="24"/>
                <w:highlight w:val="none"/>
              </w:rPr>
              <w:t>2.1.2</w:t>
            </w:r>
          </w:p>
        </w:tc>
        <w:tc>
          <w:tcPr>
            <w:tcW w:w="576" w:type="dxa"/>
            <w:vMerge w:val="restart"/>
            <w:vAlign w:val="center"/>
          </w:tcPr>
          <w:p w14:paraId="787FE36F">
            <w:pPr>
              <w:tabs>
                <w:tab w:val="left" w:pos="0"/>
              </w:tabs>
              <w:adjustRightInd w:val="0"/>
              <w:snapToGrid w:val="0"/>
              <w:jc w:val="center"/>
              <w:rPr>
                <w:rFonts w:ascii="宋体" w:hAnsi="宋体" w:cs="宋体"/>
                <w:b/>
                <w:bCs/>
                <w:sz w:val="24"/>
                <w:szCs w:val="24"/>
                <w:highlight w:val="none"/>
              </w:rPr>
            </w:pPr>
            <w:r>
              <w:rPr>
                <w:rFonts w:hint="eastAsia" w:ascii="宋体" w:hAnsi="宋体" w:cs="宋体"/>
                <w:b/>
                <w:bCs/>
                <w:sz w:val="24"/>
                <w:szCs w:val="24"/>
                <w:highlight w:val="none"/>
              </w:rPr>
              <w:t>符合性评审标准</w:t>
            </w:r>
          </w:p>
        </w:tc>
        <w:tc>
          <w:tcPr>
            <w:tcW w:w="541" w:type="dxa"/>
            <w:vMerge w:val="restart"/>
            <w:vAlign w:val="center"/>
          </w:tcPr>
          <w:p w14:paraId="39596F56">
            <w:pPr>
              <w:tabs>
                <w:tab w:val="left" w:pos="0"/>
              </w:tabs>
              <w:adjustRightInd w:val="0"/>
              <w:snapToGrid w:val="0"/>
              <w:jc w:val="center"/>
              <w:rPr>
                <w:rFonts w:ascii="宋体" w:hAnsi="宋体" w:cs="宋体"/>
                <w:b/>
                <w:bCs/>
                <w:sz w:val="24"/>
                <w:szCs w:val="24"/>
                <w:highlight w:val="none"/>
              </w:rPr>
            </w:pPr>
            <w:r>
              <w:rPr>
                <w:rFonts w:hint="eastAsia" w:ascii="宋体" w:hAnsi="宋体" w:cs="宋体"/>
                <w:b/>
                <w:bCs/>
                <w:sz w:val="24"/>
                <w:szCs w:val="24"/>
                <w:highlight w:val="none"/>
              </w:rPr>
              <w:t>有效性审查</w:t>
            </w:r>
          </w:p>
        </w:tc>
        <w:tc>
          <w:tcPr>
            <w:tcW w:w="2223" w:type="dxa"/>
            <w:vAlign w:val="center"/>
          </w:tcPr>
          <w:p w14:paraId="679D38A3">
            <w:pPr>
              <w:tabs>
                <w:tab w:val="left" w:pos="0"/>
              </w:tabs>
              <w:adjustRightInd w:val="0"/>
              <w:snapToGrid w:val="0"/>
              <w:rPr>
                <w:rFonts w:ascii="宋体" w:hAnsi="宋体" w:cs="宋体"/>
                <w:b/>
                <w:bCs/>
                <w:sz w:val="24"/>
                <w:szCs w:val="24"/>
                <w:highlight w:val="none"/>
              </w:rPr>
            </w:pPr>
            <w:r>
              <w:rPr>
                <w:rFonts w:hint="eastAsia" w:ascii="宋体" w:hAnsi="宋体" w:cs="宋体"/>
                <w:b/>
                <w:bCs/>
                <w:sz w:val="24"/>
                <w:szCs w:val="24"/>
                <w:highlight w:val="none"/>
              </w:rPr>
              <w:t>投标文件的签署盖章</w:t>
            </w:r>
          </w:p>
        </w:tc>
        <w:tc>
          <w:tcPr>
            <w:tcW w:w="5236" w:type="dxa"/>
            <w:vAlign w:val="center"/>
          </w:tcPr>
          <w:p w14:paraId="1E400978">
            <w:pPr>
              <w:tabs>
                <w:tab w:val="left" w:pos="0"/>
              </w:tabs>
              <w:adjustRightInd w:val="0"/>
              <w:snapToGrid w:val="0"/>
              <w:rPr>
                <w:rFonts w:ascii="宋体" w:hAnsi="宋体" w:cs="宋体"/>
                <w:sz w:val="24"/>
                <w:szCs w:val="24"/>
                <w:highlight w:val="none"/>
              </w:rPr>
            </w:pPr>
            <w:r>
              <w:rPr>
                <w:rFonts w:hint="eastAsia" w:ascii="宋体" w:hAnsi="宋体" w:cs="宋体"/>
                <w:sz w:val="24"/>
                <w:szCs w:val="24"/>
                <w:highlight w:val="none"/>
              </w:rPr>
              <w:t>投标文件上法定代表人或其授权代表人的签字齐全并加盖公章</w:t>
            </w:r>
          </w:p>
        </w:tc>
      </w:tr>
      <w:tr w14:paraId="50791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1" w:type="dxa"/>
            <w:vMerge w:val="continue"/>
          </w:tcPr>
          <w:p w14:paraId="521A73F5">
            <w:pPr>
              <w:tabs>
                <w:tab w:val="left" w:pos="0"/>
              </w:tabs>
              <w:adjustRightInd w:val="0"/>
              <w:snapToGrid w:val="0"/>
              <w:spacing w:line="360" w:lineRule="auto"/>
              <w:rPr>
                <w:rFonts w:ascii="宋体" w:hAnsi="宋体" w:cs="宋体"/>
                <w:sz w:val="24"/>
                <w:szCs w:val="24"/>
                <w:highlight w:val="none"/>
              </w:rPr>
            </w:pPr>
          </w:p>
        </w:tc>
        <w:tc>
          <w:tcPr>
            <w:tcW w:w="576" w:type="dxa"/>
            <w:vMerge w:val="continue"/>
          </w:tcPr>
          <w:p w14:paraId="55E7C4E9">
            <w:pPr>
              <w:tabs>
                <w:tab w:val="left" w:pos="0"/>
              </w:tabs>
              <w:adjustRightInd w:val="0"/>
              <w:snapToGrid w:val="0"/>
              <w:spacing w:line="360" w:lineRule="auto"/>
              <w:rPr>
                <w:rFonts w:ascii="宋体" w:hAnsi="宋体" w:cs="宋体"/>
                <w:b/>
                <w:bCs/>
                <w:sz w:val="24"/>
                <w:szCs w:val="24"/>
                <w:highlight w:val="none"/>
              </w:rPr>
            </w:pPr>
          </w:p>
        </w:tc>
        <w:tc>
          <w:tcPr>
            <w:tcW w:w="541" w:type="dxa"/>
            <w:vMerge w:val="continue"/>
          </w:tcPr>
          <w:p w14:paraId="41823D98">
            <w:pPr>
              <w:tabs>
                <w:tab w:val="left" w:pos="0"/>
              </w:tabs>
              <w:adjustRightInd w:val="0"/>
              <w:snapToGrid w:val="0"/>
              <w:spacing w:line="360" w:lineRule="auto"/>
              <w:rPr>
                <w:rFonts w:ascii="宋体" w:hAnsi="宋体" w:cs="宋体"/>
                <w:b/>
                <w:bCs/>
                <w:sz w:val="24"/>
                <w:szCs w:val="24"/>
                <w:highlight w:val="none"/>
              </w:rPr>
            </w:pPr>
          </w:p>
        </w:tc>
        <w:tc>
          <w:tcPr>
            <w:tcW w:w="2223" w:type="dxa"/>
            <w:vAlign w:val="center"/>
          </w:tcPr>
          <w:p w14:paraId="00ACD4AA">
            <w:pPr>
              <w:tabs>
                <w:tab w:val="left" w:pos="0"/>
              </w:tabs>
              <w:adjustRightInd w:val="0"/>
              <w:snapToGrid w:val="0"/>
              <w:rPr>
                <w:rFonts w:ascii="宋体" w:hAnsi="宋体" w:cs="宋体"/>
                <w:b/>
                <w:bCs/>
                <w:sz w:val="24"/>
                <w:szCs w:val="24"/>
                <w:highlight w:val="none"/>
              </w:rPr>
            </w:pPr>
            <w:r>
              <w:rPr>
                <w:rFonts w:hint="eastAsia" w:ascii="宋体" w:hAnsi="宋体" w:cs="宋体"/>
                <w:b/>
                <w:bCs/>
                <w:sz w:val="24"/>
                <w:szCs w:val="24"/>
                <w:highlight w:val="none"/>
              </w:rPr>
              <w:t>投标文件格式</w:t>
            </w:r>
          </w:p>
        </w:tc>
        <w:tc>
          <w:tcPr>
            <w:tcW w:w="5236" w:type="dxa"/>
            <w:vAlign w:val="center"/>
          </w:tcPr>
          <w:p w14:paraId="17074C24">
            <w:pPr>
              <w:tabs>
                <w:tab w:val="left" w:pos="0"/>
              </w:tabs>
              <w:adjustRightInd w:val="0"/>
              <w:snapToGrid w:val="0"/>
              <w:rPr>
                <w:rFonts w:ascii="宋体" w:hAnsi="宋体" w:cs="宋体"/>
                <w:sz w:val="24"/>
                <w:szCs w:val="24"/>
                <w:highlight w:val="none"/>
              </w:rPr>
            </w:pPr>
            <w:r>
              <w:rPr>
                <w:rFonts w:hint="eastAsia" w:ascii="宋体" w:hAnsi="宋体" w:cs="宋体"/>
                <w:sz w:val="24"/>
                <w:szCs w:val="24"/>
                <w:highlight w:val="none"/>
              </w:rPr>
              <w:t>应符合“投标文件格式”要求</w:t>
            </w:r>
          </w:p>
        </w:tc>
      </w:tr>
      <w:tr w14:paraId="6D489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21" w:type="dxa"/>
            <w:vMerge w:val="continue"/>
          </w:tcPr>
          <w:p w14:paraId="3EA686A7">
            <w:pPr>
              <w:tabs>
                <w:tab w:val="left" w:pos="0"/>
              </w:tabs>
              <w:adjustRightInd w:val="0"/>
              <w:snapToGrid w:val="0"/>
              <w:spacing w:line="360" w:lineRule="auto"/>
              <w:rPr>
                <w:rFonts w:ascii="宋体" w:hAnsi="宋体" w:cs="宋体"/>
                <w:sz w:val="24"/>
                <w:szCs w:val="24"/>
                <w:highlight w:val="none"/>
              </w:rPr>
            </w:pPr>
          </w:p>
        </w:tc>
        <w:tc>
          <w:tcPr>
            <w:tcW w:w="576" w:type="dxa"/>
            <w:vMerge w:val="continue"/>
          </w:tcPr>
          <w:p w14:paraId="6A84AA87">
            <w:pPr>
              <w:tabs>
                <w:tab w:val="left" w:pos="0"/>
              </w:tabs>
              <w:adjustRightInd w:val="0"/>
              <w:snapToGrid w:val="0"/>
              <w:spacing w:line="360" w:lineRule="auto"/>
              <w:rPr>
                <w:rFonts w:ascii="宋体" w:hAnsi="宋体" w:cs="宋体"/>
                <w:b/>
                <w:bCs/>
                <w:sz w:val="24"/>
                <w:szCs w:val="24"/>
                <w:highlight w:val="none"/>
              </w:rPr>
            </w:pPr>
          </w:p>
        </w:tc>
        <w:tc>
          <w:tcPr>
            <w:tcW w:w="541" w:type="dxa"/>
            <w:vMerge w:val="continue"/>
          </w:tcPr>
          <w:p w14:paraId="01A8F967">
            <w:pPr>
              <w:tabs>
                <w:tab w:val="left" w:pos="0"/>
              </w:tabs>
              <w:adjustRightInd w:val="0"/>
              <w:snapToGrid w:val="0"/>
              <w:spacing w:line="360" w:lineRule="auto"/>
              <w:rPr>
                <w:rFonts w:ascii="宋体" w:hAnsi="宋体" w:cs="宋体"/>
                <w:b/>
                <w:bCs/>
                <w:sz w:val="24"/>
                <w:szCs w:val="24"/>
                <w:highlight w:val="none"/>
              </w:rPr>
            </w:pPr>
          </w:p>
        </w:tc>
        <w:tc>
          <w:tcPr>
            <w:tcW w:w="2223" w:type="dxa"/>
            <w:vAlign w:val="center"/>
          </w:tcPr>
          <w:p w14:paraId="4C636764">
            <w:pPr>
              <w:tabs>
                <w:tab w:val="left" w:pos="0"/>
              </w:tabs>
              <w:adjustRightInd w:val="0"/>
              <w:snapToGrid w:val="0"/>
              <w:rPr>
                <w:rFonts w:ascii="宋体" w:hAnsi="宋体" w:cs="宋体"/>
                <w:b/>
                <w:bCs/>
                <w:sz w:val="24"/>
                <w:szCs w:val="24"/>
                <w:highlight w:val="none"/>
              </w:rPr>
            </w:pPr>
            <w:r>
              <w:rPr>
                <w:rFonts w:hint="eastAsia" w:ascii="宋体" w:hAnsi="宋体" w:cs="宋体"/>
                <w:b/>
                <w:bCs/>
                <w:sz w:val="24"/>
                <w:szCs w:val="24"/>
                <w:highlight w:val="none"/>
              </w:rPr>
              <w:t>报价唯一</w:t>
            </w:r>
          </w:p>
        </w:tc>
        <w:tc>
          <w:tcPr>
            <w:tcW w:w="5236" w:type="dxa"/>
            <w:vAlign w:val="center"/>
          </w:tcPr>
          <w:p w14:paraId="6E9D003A">
            <w:pPr>
              <w:tabs>
                <w:tab w:val="left" w:pos="0"/>
              </w:tabs>
              <w:adjustRightInd w:val="0"/>
              <w:snapToGrid w:val="0"/>
              <w:rPr>
                <w:rFonts w:ascii="宋体" w:hAnsi="宋体" w:cs="宋体"/>
                <w:sz w:val="24"/>
                <w:szCs w:val="24"/>
                <w:highlight w:val="none"/>
              </w:rPr>
            </w:pPr>
            <w:r>
              <w:rPr>
                <w:rFonts w:hint="eastAsia" w:ascii="宋体" w:hAnsi="宋体" w:cs="宋体"/>
                <w:sz w:val="24"/>
                <w:szCs w:val="24"/>
                <w:highlight w:val="none"/>
              </w:rPr>
              <w:t>只能有一个有效报价，不得提交选择性报价，且报价不超过采购预算金额或最高限价。</w:t>
            </w:r>
          </w:p>
        </w:tc>
      </w:tr>
      <w:tr w14:paraId="03D5F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21" w:type="dxa"/>
            <w:vMerge w:val="continue"/>
            <w:vAlign w:val="center"/>
          </w:tcPr>
          <w:p w14:paraId="7A8EB966">
            <w:pPr>
              <w:tabs>
                <w:tab w:val="left" w:pos="0"/>
              </w:tabs>
              <w:adjustRightInd w:val="0"/>
              <w:snapToGrid w:val="0"/>
              <w:spacing w:line="360" w:lineRule="auto"/>
              <w:jc w:val="center"/>
              <w:rPr>
                <w:rFonts w:ascii="宋体" w:hAnsi="宋体" w:cs="宋体"/>
                <w:sz w:val="24"/>
                <w:szCs w:val="24"/>
                <w:highlight w:val="none"/>
              </w:rPr>
            </w:pPr>
          </w:p>
        </w:tc>
        <w:tc>
          <w:tcPr>
            <w:tcW w:w="576" w:type="dxa"/>
            <w:vMerge w:val="continue"/>
            <w:vAlign w:val="center"/>
          </w:tcPr>
          <w:p w14:paraId="09671418">
            <w:pPr>
              <w:tabs>
                <w:tab w:val="left" w:pos="0"/>
              </w:tabs>
              <w:adjustRightInd w:val="0"/>
              <w:snapToGrid w:val="0"/>
              <w:jc w:val="center"/>
              <w:rPr>
                <w:rFonts w:ascii="宋体" w:hAnsi="宋体" w:cs="宋体"/>
                <w:b/>
                <w:bCs/>
                <w:sz w:val="24"/>
                <w:szCs w:val="24"/>
                <w:highlight w:val="none"/>
              </w:rPr>
            </w:pPr>
          </w:p>
        </w:tc>
        <w:tc>
          <w:tcPr>
            <w:tcW w:w="541" w:type="dxa"/>
            <w:vMerge w:val="restart"/>
            <w:vAlign w:val="center"/>
          </w:tcPr>
          <w:p w14:paraId="35C2E43D">
            <w:pPr>
              <w:tabs>
                <w:tab w:val="left" w:pos="0"/>
              </w:tabs>
              <w:adjustRightInd w:val="0"/>
              <w:snapToGrid w:val="0"/>
              <w:jc w:val="center"/>
              <w:rPr>
                <w:rFonts w:ascii="宋体" w:hAnsi="宋体" w:cs="宋体"/>
                <w:b/>
                <w:bCs/>
                <w:sz w:val="24"/>
                <w:szCs w:val="24"/>
                <w:highlight w:val="none"/>
              </w:rPr>
            </w:pPr>
            <w:r>
              <w:rPr>
                <w:rFonts w:hint="eastAsia" w:ascii="宋体" w:hAnsi="宋体" w:cs="宋体"/>
                <w:b/>
                <w:bCs/>
                <w:sz w:val="24"/>
                <w:szCs w:val="24"/>
                <w:highlight w:val="none"/>
              </w:rPr>
              <w:t>完整性审查</w:t>
            </w:r>
          </w:p>
        </w:tc>
        <w:tc>
          <w:tcPr>
            <w:tcW w:w="2223" w:type="dxa"/>
            <w:vAlign w:val="center"/>
          </w:tcPr>
          <w:p w14:paraId="172ED3FB">
            <w:pPr>
              <w:tabs>
                <w:tab w:val="left" w:pos="0"/>
              </w:tabs>
              <w:adjustRightInd w:val="0"/>
              <w:snapToGrid w:val="0"/>
              <w:rPr>
                <w:rFonts w:ascii="宋体" w:hAnsi="宋体" w:cs="宋体"/>
                <w:b/>
                <w:bCs/>
                <w:sz w:val="24"/>
                <w:szCs w:val="24"/>
                <w:highlight w:val="none"/>
              </w:rPr>
            </w:pPr>
            <w:r>
              <w:rPr>
                <w:rFonts w:hint="eastAsia" w:ascii="宋体" w:hAnsi="宋体" w:cs="宋体"/>
                <w:b/>
                <w:bCs/>
                <w:sz w:val="24"/>
                <w:szCs w:val="24"/>
                <w:highlight w:val="none"/>
              </w:rPr>
              <w:t>投标文件份数</w:t>
            </w:r>
          </w:p>
        </w:tc>
        <w:tc>
          <w:tcPr>
            <w:tcW w:w="5236" w:type="dxa"/>
            <w:vAlign w:val="center"/>
          </w:tcPr>
          <w:p w14:paraId="7C0EED19">
            <w:pPr>
              <w:tabs>
                <w:tab w:val="left" w:pos="0"/>
              </w:tabs>
              <w:adjustRightInd w:val="0"/>
              <w:snapToGrid w:val="0"/>
              <w:rPr>
                <w:rFonts w:ascii="宋体" w:hAnsi="宋体" w:cs="宋体"/>
                <w:sz w:val="24"/>
                <w:szCs w:val="24"/>
                <w:highlight w:val="none"/>
              </w:rPr>
            </w:pPr>
            <w:r>
              <w:rPr>
                <w:rFonts w:hint="eastAsia" w:ascii="宋体" w:hAnsi="宋体" w:cs="宋体"/>
                <w:sz w:val="24"/>
                <w:szCs w:val="24"/>
                <w:highlight w:val="none"/>
              </w:rPr>
              <w:t>应符合“投标人须知前附表”规定的正本、副本、电子文件数量</w:t>
            </w:r>
          </w:p>
        </w:tc>
      </w:tr>
      <w:tr w14:paraId="6433F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821" w:type="dxa"/>
            <w:vMerge w:val="continue"/>
          </w:tcPr>
          <w:p w14:paraId="788B71CC">
            <w:pPr>
              <w:tabs>
                <w:tab w:val="left" w:pos="0"/>
              </w:tabs>
              <w:adjustRightInd w:val="0"/>
              <w:snapToGrid w:val="0"/>
              <w:spacing w:line="360" w:lineRule="auto"/>
              <w:rPr>
                <w:rFonts w:ascii="宋体" w:hAnsi="宋体" w:cs="宋体"/>
                <w:sz w:val="24"/>
                <w:szCs w:val="24"/>
                <w:highlight w:val="none"/>
              </w:rPr>
            </w:pPr>
          </w:p>
        </w:tc>
        <w:tc>
          <w:tcPr>
            <w:tcW w:w="576" w:type="dxa"/>
            <w:vMerge w:val="continue"/>
          </w:tcPr>
          <w:p w14:paraId="567E3D66">
            <w:pPr>
              <w:tabs>
                <w:tab w:val="left" w:pos="0"/>
              </w:tabs>
              <w:adjustRightInd w:val="0"/>
              <w:snapToGrid w:val="0"/>
              <w:spacing w:line="360" w:lineRule="auto"/>
              <w:rPr>
                <w:rFonts w:ascii="宋体" w:hAnsi="宋体" w:cs="宋体"/>
                <w:b/>
                <w:bCs/>
                <w:sz w:val="24"/>
                <w:szCs w:val="24"/>
                <w:highlight w:val="none"/>
              </w:rPr>
            </w:pPr>
          </w:p>
        </w:tc>
        <w:tc>
          <w:tcPr>
            <w:tcW w:w="541" w:type="dxa"/>
            <w:vMerge w:val="continue"/>
          </w:tcPr>
          <w:p w14:paraId="257429A8">
            <w:pPr>
              <w:tabs>
                <w:tab w:val="left" w:pos="0"/>
              </w:tabs>
              <w:adjustRightInd w:val="0"/>
              <w:snapToGrid w:val="0"/>
              <w:spacing w:line="360" w:lineRule="auto"/>
              <w:rPr>
                <w:rFonts w:ascii="宋体" w:hAnsi="宋体" w:cs="宋体"/>
                <w:b/>
                <w:bCs/>
                <w:sz w:val="24"/>
                <w:szCs w:val="24"/>
                <w:highlight w:val="none"/>
              </w:rPr>
            </w:pPr>
          </w:p>
        </w:tc>
        <w:tc>
          <w:tcPr>
            <w:tcW w:w="2223" w:type="dxa"/>
            <w:vAlign w:val="center"/>
          </w:tcPr>
          <w:p w14:paraId="4EDEEA30">
            <w:pPr>
              <w:tabs>
                <w:tab w:val="left" w:pos="0"/>
              </w:tabs>
              <w:adjustRightInd w:val="0"/>
              <w:snapToGrid w:val="0"/>
              <w:rPr>
                <w:rFonts w:ascii="宋体" w:hAnsi="宋体" w:cs="宋体"/>
                <w:b/>
                <w:bCs/>
                <w:sz w:val="24"/>
                <w:szCs w:val="24"/>
                <w:highlight w:val="none"/>
              </w:rPr>
            </w:pPr>
            <w:r>
              <w:rPr>
                <w:rFonts w:hint="eastAsia" w:ascii="宋体" w:hAnsi="宋体" w:cs="宋体"/>
                <w:b/>
                <w:bCs/>
                <w:sz w:val="24"/>
                <w:szCs w:val="24"/>
                <w:highlight w:val="none"/>
              </w:rPr>
              <w:t>投标文件内容</w:t>
            </w:r>
          </w:p>
        </w:tc>
        <w:tc>
          <w:tcPr>
            <w:tcW w:w="5236" w:type="dxa"/>
            <w:vAlign w:val="center"/>
          </w:tcPr>
          <w:p w14:paraId="4E0DE3F5">
            <w:pPr>
              <w:tabs>
                <w:tab w:val="left" w:pos="0"/>
              </w:tabs>
              <w:adjustRightInd w:val="0"/>
              <w:snapToGrid w:val="0"/>
              <w:rPr>
                <w:rFonts w:ascii="宋体" w:hAnsi="宋体" w:cs="宋体"/>
                <w:sz w:val="24"/>
                <w:szCs w:val="24"/>
                <w:highlight w:val="none"/>
              </w:rPr>
            </w:pPr>
            <w:r>
              <w:rPr>
                <w:rFonts w:hint="eastAsia" w:ascii="宋体" w:hAnsi="宋体" w:cs="宋体"/>
                <w:sz w:val="24"/>
                <w:szCs w:val="24"/>
                <w:highlight w:val="none"/>
              </w:rPr>
              <w:t>投标文件内容齐全、无遗漏</w:t>
            </w:r>
          </w:p>
        </w:tc>
      </w:tr>
      <w:tr w14:paraId="79314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21" w:type="dxa"/>
            <w:vMerge w:val="continue"/>
            <w:vAlign w:val="center"/>
          </w:tcPr>
          <w:p w14:paraId="41AE911D">
            <w:pPr>
              <w:tabs>
                <w:tab w:val="left" w:pos="0"/>
              </w:tabs>
              <w:adjustRightInd w:val="0"/>
              <w:snapToGrid w:val="0"/>
              <w:spacing w:line="360" w:lineRule="auto"/>
              <w:jc w:val="center"/>
              <w:rPr>
                <w:rFonts w:ascii="宋体" w:hAnsi="宋体" w:cs="宋体"/>
                <w:sz w:val="24"/>
                <w:szCs w:val="24"/>
                <w:highlight w:val="none"/>
              </w:rPr>
            </w:pPr>
          </w:p>
        </w:tc>
        <w:tc>
          <w:tcPr>
            <w:tcW w:w="576" w:type="dxa"/>
            <w:vMerge w:val="continue"/>
            <w:vAlign w:val="center"/>
          </w:tcPr>
          <w:p w14:paraId="6B269CA0">
            <w:pPr>
              <w:tabs>
                <w:tab w:val="left" w:pos="0"/>
              </w:tabs>
              <w:adjustRightInd w:val="0"/>
              <w:snapToGrid w:val="0"/>
              <w:jc w:val="center"/>
              <w:rPr>
                <w:rFonts w:ascii="宋体" w:hAnsi="宋体" w:cs="宋体"/>
                <w:b/>
                <w:bCs/>
                <w:sz w:val="24"/>
                <w:szCs w:val="24"/>
                <w:highlight w:val="none"/>
              </w:rPr>
            </w:pPr>
          </w:p>
        </w:tc>
        <w:tc>
          <w:tcPr>
            <w:tcW w:w="541" w:type="dxa"/>
            <w:vMerge w:val="restart"/>
            <w:vAlign w:val="center"/>
          </w:tcPr>
          <w:p w14:paraId="4D8A6FCD">
            <w:pPr>
              <w:tabs>
                <w:tab w:val="left" w:pos="0"/>
              </w:tabs>
              <w:adjustRightInd w:val="0"/>
              <w:snapToGrid w:val="0"/>
              <w:jc w:val="center"/>
              <w:rPr>
                <w:rFonts w:ascii="宋体" w:hAnsi="宋体" w:cs="宋体"/>
                <w:b/>
                <w:bCs/>
                <w:sz w:val="24"/>
                <w:szCs w:val="24"/>
                <w:highlight w:val="none"/>
              </w:rPr>
            </w:pPr>
            <w:r>
              <w:rPr>
                <w:rFonts w:hint="eastAsia" w:ascii="宋体" w:hAnsi="宋体" w:cs="宋体"/>
                <w:b/>
                <w:bCs/>
                <w:sz w:val="24"/>
                <w:szCs w:val="24"/>
                <w:highlight w:val="none"/>
              </w:rPr>
              <w:t>响应性审查</w:t>
            </w:r>
          </w:p>
        </w:tc>
        <w:tc>
          <w:tcPr>
            <w:tcW w:w="2223" w:type="dxa"/>
            <w:vAlign w:val="center"/>
          </w:tcPr>
          <w:p w14:paraId="139B6160">
            <w:pPr>
              <w:tabs>
                <w:tab w:val="left" w:pos="0"/>
              </w:tabs>
              <w:adjustRightInd w:val="0"/>
              <w:snapToGrid w:val="0"/>
              <w:rPr>
                <w:rFonts w:ascii="宋体" w:hAnsi="宋体" w:cs="宋体"/>
                <w:b/>
                <w:bCs/>
                <w:sz w:val="24"/>
                <w:szCs w:val="24"/>
                <w:highlight w:val="none"/>
              </w:rPr>
            </w:pPr>
            <w:r>
              <w:rPr>
                <w:rFonts w:hint="eastAsia" w:ascii="宋体" w:hAnsi="宋体" w:cs="宋体"/>
                <w:b/>
                <w:bCs/>
                <w:sz w:val="24"/>
                <w:szCs w:val="24"/>
                <w:highlight w:val="none"/>
              </w:rPr>
              <w:t>对招标文件响应程度</w:t>
            </w:r>
          </w:p>
        </w:tc>
        <w:tc>
          <w:tcPr>
            <w:tcW w:w="5236" w:type="dxa"/>
            <w:vAlign w:val="center"/>
          </w:tcPr>
          <w:p w14:paraId="7C8AAB6F">
            <w:pPr>
              <w:tabs>
                <w:tab w:val="left" w:pos="0"/>
              </w:tabs>
              <w:adjustRightInd w:val="0"/>
              <w:snapToGrid w:val="0"/>
              <w:rPr>
                <w:rFonts w:ascii="宋体" w:hAnsi="宋体" w:cs="宋体"/>
                <w:sz w:val="24"/>
                <w:szCs w:val="24"/>
                <w:highlight w:val="none"/>
              </w:rPr>
            </w:pPr>
            <w:r>
              <w:rPr>
                <w:rFonts w:hint="eastAsia" w:ascii="宋体" w:hAnsi="宋体" w:cs="宋体"/>
                <w:sz w:val="24"/>
                <w:szCs w:val="24"/>
                <w:highlight w:val="none"/>
              </w:rPr>
              <w:t>要求全面响应，不能有任何采购人不能接受的附加条件</w:t>
            </w:r>
          </w:p>
        </w:tc>
      </w:tr>
      <w:tr w14:paraId="4D1CE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1" w:type="dxa"/>
            <w:vMerge w:val="continue"/>
          </w:tcPr>
          <w:p w14:paraId="7E440BC2">
            <w:pPr>
              <w:tabs>
                <w:tab w:val="left" w:pos="0"/>
              </w:tabs>
              <w:adjustRightInd w:val="0"/>
              <w:snapToGrid w:val="0"/>
              <w:spacing w:line="360" w:lineRule="auto"/>
              <w:rPr>
                <w:rFonts w:ascii="宋体" w:hAnsi="宋体" w:cs="宋体"/>
                <w:sz w:val="24"/>
                <w:szCs w:val="24"/>
                <w:highlight w:val="none"/>
              </w:rPr>
            </w:pPr>
          </w:p>
        </w:tc>
        <w:tc>
          <w:tcPr>
            <w:tcW w:w="576" w:type="dxa"/>
            <w:vMerge w:val="continue"/>
          </w:tcPr>
          <w:p w14:paraId="3681C8A2">
            <w:pPr>
              <w:tabs>
                <w:tab w:val="left" w:pos="0"/>
              </w:tabs>
              <w:adjustRightInd w:val="0"/>
              <w:snapToGrid w:val="0"/>
              <w:spacing w:line="360" w:lineRule="auto"/>
              <w:rPr>
                <w:rFonts w:ascii="宋体" w:hAnsi="宋体" w:cs="宋体"/>
                <w:b/>
                <w:bCs/>
                <w:sz w:val="24"/>
                <w:szCs w:val="24"/>
                <w:highlight w:val="none"/>
              </w:rPr>
            </w:pPr>
          </w:p>
        </w:tc>
        <w:tc>
          <w:tcPr>
            <w:tcW w:w="541" w:type="dxa"/>
            <w:vMerge w:val="continue"/>
          </w:tcPr>
          <w:p w14:paraId="2B457400">
            <w:pPr>
              <w:tabs>
                <w:tab w:val="left" w:pos="0"/>
              </w:tabs>
              <w:adjustRightInd w:val="0"/>
              <w:snapToGrid w:val="0"/>
              <w:spacing w:line="360" w:lineRule="auto"/>
              <w:rPr>
                <w:rFonts w:ascii="宋体" w:hAnsi="宋体" w:cs="宋体"/>
                <w:b/>
                <w:bCs/>
                <w:sz w:val="24"/>
                <w:szCs w:val="24"/>
                <w:highlight w:val="none"/>
              </w:rPr>
            </w:pPr>
          </w:p>
        </w:tc>
        <w:tc>
          <w:tcPr>
            <w:tcW w:w="2223" w:type="dxa"/>
            <w:vAlign w:val="center"/>
          </w:tcPr>
          <w:p w14:paraId="6A67B0AA">
            <w:pPr>
              <w:tabs>
                <w:tab w:val="left" w:pos="0"/>
              </w:tabs>
              <w:adjustRightInd w:val="0"/>
              <w:snapToGrid w:val="0"/>
              <w:rPr>
                <w:rFonts w:ascii="宋体" w:hAnsi="宋体" w:cs="宋体"/>
                <w:b/>
                <w:bCs/>
                <w:sz w:val="24"/>
                <w:szCs w:val="24"/>
                <w:highlight w:val="none"/>
              </w:rPr>
            </w:pPr>
            <w:r>
              <w:rPr>
                <w:rFonts w:hint="eastAsia" w:ascii="宋体" w:hAnsi="宋体" w:cs="宋体"/>
                <w:b/>
                <w:bCs/>
                <w:sz w:val="24"/>
                <w:szCs w:val="24"/>
                <w:highlight w:val="none"/>
              </w:rPr>
              <w:t>工期</w:t>
            </w:r>
          </w:p>
        </w:tc>
        <w:tc>
          <w:tcPr>
            <w:tcW w:w="5236" w:type="dxa"/>
            <w:vAlign w:val="center"/>
          </w:tcPr>
          <w:p w14:paraId="3C786392">
            <w:pPr>
              <w:tabs>
                <w:tab w:val="left" w:pos="0"/>
              </w:tabs>
              <w:adjustRightInd w:val="0"/>
              <w:snapToGrid w:val="0"/>
              <w:rPr>
                <w:rFonts w:ascii="宋体" w:hAnsi="宋体" w:cs="宋体"/>
                <w:sz w:val="24"/>
                <w:szCs w:val="24"/>
                <w:highlight w:val="none"/>
              </w:rPr>
            </w:pPr>
            <w:r>
              <w:rPr>
                <w:rFonts w:hint="eastAsia" w:ascii="宋体" w:hAnsi="宋体" w:cs="宋体"/>
                <w:sz w:val="24"/>
                <w:szCs w:val="24"/>
                <w:highlight w:val="none"/>
              </w:rPr>
              <w:t>应满足招标文件中要求的工期</w:t>
            </w:r>
          </w:p>
        </w:tc>
      </w:tr>
      <w:tr w14:paraId="66146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1" w:type="dxa"/>
            <w:vMerge w:val="continue"/>
          </w:tcPr>
          <w:p w14:paraId="5F89B942">
            <w:pPr>
              <w:tabs>
                <w:tab w:val="left" w:pos="0"/>
              </w:tabs>
              <w:adjustRightInd w:val="0"/>
              <w:snapToGrid w:val="0"/>
              <w:spacing w:line="360" w:lineRule="auto"/>
              <w:rPr>
                <w:rFonts w:ascii="宋体" w:hAnsi="宋体" w:cs="宋体"/>
                <w:sz w:val="24"/>
                <w:szCs w:val="24"/>
                <w:highlight w:val="none"/>
              </w:rPr>
            </w:pPr>
          </w:p>
        </w:tc>
        <w:tc>
          <w:tcPr>
            <w:tcW w:w="576" w:type="dxa"/>
            <w:vMerge w:val="continue"/>
          </w:tcPr>
          <w:p w14:paraId="3BC896BE">
            <w:pPr>
              <w:tabs>
                <w:tab w:val="left" w:pos="0"/>
              </w:tabs>
              <w:adjustRightInd w:val="0"/>
              <w:snapToGrid w:val="0"/>
              <w:spacing w:line="360" w:lineRule="auto"/>
              <w:rPr>
                <w:rFonts w:ascii="宋体" w:hAnsi="宋体" w:cs="宋体"/>
                <w:b/>
                <w:bCs/>
                <w:sz w:val="24"/>
                <w:szCs w:val="24"/>
                <w:highlight w:val="none"/>
              </w:rPr>
            </w:pPr>
          </w:p>
        </w:tc>
        <w:tc>
          <w:tcPr>
            <w:tcW w:w="541" w:type="dxa"/>
            <w:vMerge w:val="continue"/>
          </w:tcPr>
          <w:p w14:paraId="7FC5F284">
            <w:pPr>
              <w:tabs>
                <w:tab w:val="left" w:pos="0"/>
              </w:tabs>
              <w:adjustRightInd w:val="0"/>
              <w:snapToGrid w:val="0"/>
              <w:spacing w:line="360" w:lineRule="auto"/>
              <w:rPr>
                <w:rFonts w:ascii="宋体" w:hAnsi="宋体" w:cs="宋体"/>
                <w:b/>
                <w:bCs/>
                <w:sz w:val="24"/>
                <w:szCs w:val="24"/>
                <w:highlight w:val="none"/>
              </w:rPr>
            </w:pPr>
          </w:p>
        </w:tc>
        <w:tc>
          <w:tcPr>
            <w:tcW w:w="2223" w:type="dxa"/>
            <w:vAlign w:val="center"/>
          </w:tcPr>
          <w:p w14:paraId="0134830A">
            <w:pPr>
              <w:tabs>
                <w:tab w:val="left" w:pos="0"/>
              </w:tabs>
              <w:adjustRightInd w:val="0"/>
              <w:snapToGrid w:val="0"/>
              <w:rPr>
                <w:rFonts w:ascii="宋体" w:hAnsi="宋体" w:cs="宋体"/>
                <w:b/>
                <w:bCs/>
                <w:sz w:val="24"/>
                <w:szCs w:val="24"/>
                <w:highlight w:val="none"/>
              </w:rPr>
            </w:pPr>
            <w:r>
              <w:rPr>
                <w:rFonts w:hint="eastAsia" w:ascii="宋体" w:hAnsi="宋体" w:cs="宋体"/>
                <w:b/>
                <w:bCs/>
                <w:sz w:val="24"/>
                <w:szCs w:val="24"/>
                <w:highlight w:val="none"/>
              </w:rPr>
              <w:t>施工地点</w:t>
            </w:r>
          </w:p>
        </w:tc>
        <w:tc>
          <w:tcPr>
            <w:tcW w:w="5236" w:type="dxa"/>
            <w:vAlign w:val="center"/>
          </w:tcPr>
          <w:p w14:paraId="58AAE024">
            <w:pPr>
              <w:tabs>
                <w:tab w:val="left" w:pos="0"/>
              </w:tabs>
              <w:adjustRightInd w:val="0"/>
              <w:snapToGrid w:val="0"/>
              <w:rPr>
                <w:rFonts w:ascii="宋体" w:hAnsi="宋体" w:cs="宋体"/>
                <w:sz w:val="24"/>
                <w:szCs w:val="24"/>
                <w:highlight w:val="none"/>
              </w:rPr>
            </w:pPr>
            <w:r>
              <w:rPr>
                <w:rFonts w:hint="eastAsia" w:ascii="宋体" w:hAnsi="宋体" w:cs="宋体"/>
                <w:sz w:val="24"/>
                <w:szCs w:val="24"/>
                <w:highlight w:val="none"/>
              </w:rPr>
              <w:t>应满足招标文件中要求的施工地点</w:t>
            </w:r>
          </w:p>
        </w:tc>
      </w:tr>
      <w:tr w14:paraId="2E82D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821" w:type="dxa"/>
            <w:vMerge w:val="continue"/>
          </w:tcPr>
          <w:p w14:paraId="6394F494">
            <w:pPr>
              <w:tabs>
                <w:tab w:val="left" w:pos="0"/>
              </w:tabs>
              <w:adjustRightInd w:val="0"/>
              <w:snapToGrid w:val="0"/>
              <w:spacing w:line="360" w:lineRule="auto"/>
              <w:rPr>
                <w:rFonts w:ascii="宋体" w:hAnsi="宋体" w:cs="宋体"/>
                <w:sz w:val="24"/>
                <w:szCs w:val="24"/>
                <w:highlight w:val="none"/>
              </w:rPr>
            </w:pPr>
          </w:p>
        </w:tc>
        <w:tc>
          <w:tcPr>
            <w:tcW w:w="576" w:type="dxa"/>
            <w:vMerge w:val="continue"/>
          </w:tcPr>
          <w:p w14:paraId="2BC850E8">
            <w:pPr>
              <w:tabs>
                <w:tab w:val="left" w:pos="0"/>
              </w:tabs>
              <w:adjustRightInd w:val="0"/>
              <w:snapToGrid w:val="0"/>
              <w:spacing w:line="360" w:lineRule="auto"/>
              <w:rPr>
                <w:rFonts w:ascii="宋体" w:hAnsi="宋体" w:cs="宋体"/>
                <w:b/>
                <w:bCs/>
                <w:sz w:val="24"/>
                <w:szCs w:val="24"/>
                <w:highlight w:val="none"/>
              </w:rPr>
            </w:pPr>
          </w:p>
        </w:tc>
        <w:tc>
          <w:tcPr>
            <w:tcW w:w="541" w:type="dxa"/>
            <w:vMerge w:val="continue"/>
          </w:tcPr>
          <w:p w14:paraId="5052A1A2">
            <w:pPr>
              <w:tabs>
                <w:tab w:val="left" w:pos="0"/>
              </w:tabs>
              <w:adjustRightInd w:val="0"/>
              <w:snapToGrid w:val="0"/>
              <w:spacing w:line="360" w:lineRule="auto"/>
              <w:rPr>
                <w:rFonts w:ascii="宋体" w:hAnsi="宋体" w:cs="宋体"/>
                <w:b/>
                <w:bCs/>
                <w:sz w:val="24"/>
                <w:szCs w:val="24"/>
                <w:highlight w:val="none"/>
              </w:rPr>
            </w:pPr>
          </w:p>
        </w:tc>
        <w:tc>
          <w:tcPr>
            <w:tcW w:w="2223" w:type="dxa"/>
            <w:vAlign w:val="center"/>
          </w:tcPr>
          <w:p w14:paraId="5536DA59">
            <w:pPr>
              <w:tabs>
                <w:tab w:val="left" w:pos="0"/>
              </w:tabs>
              <w:adjustRightInd w:val="0"/>
              <w:snapToGrid w:val="0"/>
              <w:rPr>
                <w:rFonts w:ascii="宋体" w:hAnsi="宋体" w:cs="宋体"/>
                <w:b/>
                <w:bCs/>
                <w:sz w:val="24"/>
                <w:szCs w:val="24"/>
                <w:highlight w:val="none"/>
              </w:rPr>
            </w:pPr>
            <w:r>
              <w:rPr>
                <w:rFonts w:hint="eastAsia" w:ascii="宋体" w:hAnsi="宋体" w:cs="宋体"/>
                <w:b/>
                <w:bCs/>
                <w:sz w:val="24"/>
                <w:szCs w:val="24"/>
                <w:highlight w:val="none"/>
              </w:rPr>
              <w:t>投标有效期</w:t>
            </w:r>
          </w:p>
        </w:tc>
        <w:tc>
          <w:tcPr>
            <w:tcW w:w="5236" w:type="dxa"/>
            <w:vAlign w:val="center"/>
          </w:tcPr>
          <w:p w14:paraId="6BD2208C">
            <w:pPr>
              <w:tabs>
                <w:tab w:val="left" w:pos="0"/>
              </w:tabs>
              <w:adjustRightInd w:val="0"/>
              <w:snapToGrid w:val="0"/>
              <w:rPr>
                <w:rFonts w:ascii="宋体" w:hAnsi="宋体" w:cs="宋体"/>
                <w:sz w:val="24"/>
                <w:szCs w:val="24"/>
                <w:highlight w:val="none"/>
              </w:rPr>
            </w:pPr>
            <w:r>
              <w:rPr>
                <w:rFonts w:hint="eastAsia" w:ascii="宋体" w:hAnsi="宋体" w:cs="宋体"/>
                <w:sz w:val="24"/>
                <w:szCs w:val="24"/>
                <w:highlight w:val="none"/>
              </w:rPr>
              <w:t>应满足招标文件中的规定</w:t>
            </w:r>
          </w:p>
        </w:tc>
      </w:tr>
    </w:tbl>
    <w:p w14:paraId="06D29E21">
      <w:pPr>
        <w:spacing w:line="600" w:lineRule="exact"/>
        <w:jc w:val="left"/>
        <w:rPr>
          <w:rFonts w:asciiTheme="minorEastAsia" w:hAnsiTheme="minorEastAsia" w:eastAsiaTheme="minorEastAsia" w:cstheme="minorEastAsia"/>
          <w:b/>
          <w:sz w:val="28"/>
          <w:szCs w:val="28"/>
          <w:highlight w:val="none"/>
        </w:rPr>
      </w:pPr>
      <w:r>
        <w:rPr>
          <w:rFonts w:hint="eastAsia" w:asciiTheme="minorEastAsia" w:hAnsiTheme="minorEastAsia" w:eastAsiaTheme="minorEastAsia" w:cstheme="minorEastAsia"/>
          <w:b/>
          <w:sz w:val="28"/>
          <w:szCs w:val="28"/>
          <w:highlight w:val="none"/>
        </w:rPr>
        <w:t>附件2分值构成与评分标准</w:t>
      </w:r>
    </w:p>
    <w:p w14:paraId="172DF361">
      <w:pPr>
        <w:pStyle w:val="27"/>
        <w:rPr>
          <w:highlight w:val="none"/>
        </w:rPr>
      </w:pPr>
    </w:p>
    <w:tbl>
      <w:tblPr>
        <w:tblStyle w:val="28"/>
        <w:tblW w:w="93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276"/>
        <w:gridCol w:w="1435"/>
        <w:gridCol w:w="5824"/>
      </w:tblGrid>
      <w:tr w14:paraId="03789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36" w:type="dxa"/>
            <w:vAlign w:val="center"/>
          </w:tcPr>
          <w:p w14:paraId="5C1BFCE0">
            <w:pPr>
              <w:spacing w:line="480" w:lineRule="exact"/>
              <w:jc w:val="center"/>
              <w:rPr>
                <w:rFonts w:ascii="宋体" w:hAnsi="宋体" w:cs="宋体"/>
                <w:b/>
                <w:sz w:val="24"/>
                <w:szCs w:val="24"/>
                <w:highlight w:val="none"/>
              </w:rPr>
            </w:pPr>
            <w:r>
              <w:rPr>
                <w:rFonts w:hint="eastAsia" w:ascii="宋体" w:hAnsi="宋体" w:cs="宋体"/>
                <w:b/>
                <w:sz w:val="24"/>
                <w:szCs w:val="24"/>
                <w:highlight w:val="none"/>
              </w:rPr>
              <w:t>评分因素</w:t>
            </w:r>
          </w:p>
        </w:tc>
        <w:tc>
          <w:tcPr>
            <w:tcW w:w="1276" w:type="dxa"/>
            <w:vAlign w:val="center"/>
          </w:tcPr>
          <w:p w14:paraId="18ED73FA">
            <w:pPr>
              <w:spacing w:line="480" w:lineRule="exact"/>
              <w:jc w:val="center"/>
              <w:rPr>
                <w:rFonts w:ascii="宋体" w:hAnsi="宋体" w:cs="宋体"/>
                <w:b/>
                <w:sz w:val="24"/>
                <w:szCs w:val="24"/>
                <w:highlight w:val="none"/>
              </w:rPr>
            </w:pPr>
            <w:r>
              <w:rPr>
                <w:rFonts w:hint="eastAsia" w:ascii="宋体" w:hAnsi="宋体" w:cs="宋体"/>
                <w:b/>
                <w:sz w:val="24"/>
                <w:szCs w:val="24"/>
                <w:highlight w:val="none"/>
              </w:rPr>
              <w:t>总分</w:t>
            </w:r>
          </w:p>
          <w:p w14:paraId="62A3A09C">
            <w:pPr>
              <w:spacing w:line="480" w:lineRule="exact"/>
              <w:jc w:val="center"/>
              <w:rPr>
                <w:rFonts w:ascii="宋体" w:hAnsi="宋体" w:cs="宋体"/>
                <w:b/>
                <w:sz w:val="24"/>
                <w:szCs w:val="24"/>
                <w:highlight w:val="none"/>
              </w:rPr>
            </w:pPr>
            <w:r>
              <w:rPr>
                <w:rFonts w:hint="eastAsia" w:ascii="宋体" w:hAnsi="宋体" w:cs="宋体"/>
                <w:b/>
                <w:sz w:val="24"/>
                <w:szCs w:val="24"/>
                <w:highlight w:val="none"/>
              </w:rPr>
              <w:t>（100分）</w:t>
            </w:r>
          </w:p>
        </w:tc>
        <w:tc>
          <w:tcPr>
            <w:tcW w:w="1435" w:type="dxa"/>
            <w:vAlign w:val="center"/>
          </w:tcPr>
          <w:p w14:paraId="3202E956">
            <w:pPr>
              <w:spacing w:line="480" w:lineRule="exact"/>
              <w:jc w:val="center"/>
              <w:rPr>
                <w:rFonts w:ascii="宋体" w:hAnsi="宋体" w:cs="宋体"/>
                <w:b/>
                <w:sz w:val="24"/>
                <w:szCs w:val="24"/>
                <w:highlight w:val="none"/>
              </w:rPr>
            </w:pPr>
            <w:r>
              <w:rPr>
                <w:rFonts w:hint="eastAsia" w:ascii="宋体" w:hAnsi="宋体" w:cs="宋体"/>
                <w:b/>
                <w:sz w:val="24"/>
                <w:szCs w:val="24"/>
                <w:highlight w:val="none"/>
              </w:rPr>
              <w:t>评审要素</w:t>
            </w:r>
          </w:p>
        </w:tc>
        <w:tc>
          <w:tcPr>
            <w:tcW w:w="5824" w:type="dxa"/>
            <w:vAlign w:val="center"/>
          </w:tcPr>
          <w:p w14:paraId="4AF0BA9F">
            <w:pPr>
              <w:spacing w:line="480" w:lineRule="exact"/>
              <w:jc w:val="center"/>
              <w:rPr>
                <w:rFonts w:ascii="宋体" w:hAnsi="宋体" w:cs="宋体"/>
                <w:b/>
                <w:sz w:val="24"/>
                <w:szCs w:val="24"/>
                <w:highlight w:val="none"/>
              </w:rPr>
            </w:pPr>
            <w:r>
              <w:rPr>
                <w:rFonts w:hint="eastAsia" w:ascii="宋体" w:hAnsi="宋体" w:cs="宋体"/>
                <w:b/>
                <w:sz w:val="24"/>
                <w:szCs w:val="24"/>
                <w:highlight w:val="none"/>
              </w:rPr>
              <w:t>评分标准</w:t>
            </w:r>
          </w:p>
        </w:tc>
      </w:tr>
      <w:tr w14:paraId="27A84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6" w:type="dxa"/>
            <w:vMerge w:val="restart"/>
            <w:vAlign w:val="center"/>
          </w:tcPr>
          <w:p w14:paraId="1DDCDCCB">
            <w:pPr>
              <w:spacing w:line="480" w:lineRule="exact"/>
              <w:jc w:val="center"/>
              <w:rPr>
                <w:rFonts w:ascii="宋体" w:hAnsi="宋体" w:cs="宋体"/>
                <w:sz w:val="24"/>
                <w:szCs w:val="24"/>
                <w:highlight w:val="none"/>
              </w:rPr>
            </w:pPr>
            <w:r>
              <w:rPr>
                <w:rFonts w:hint="eastAsia" w:ascii="宋体" w:hAnsi="宋体" w:cs="宋体"/>
                <w:sz w:val="24"/>
                <w:szCs w:val="24"/>
                <w:highlight w:val="none"/>
              </w:rPr>
              <w:t>技术评分部分</w:t>
            </w:r>
          </w:p>
        </w:tc>
        <w:tc>
          <w:tcPr>
            <w:tcW w:w="1276" w:type="dxa"/>
            <w:vMerge w:val="restart"/>
            <w:vAlign w:val="center"/>
          </w:tcPr>
          <w:p w14:paraId="04D9D355">
            <w:pPr>
              <w:spacing w:line="480" w:lineRule="exact"/>
              <w:jc w:val="center"/>
              <w:rPr>
                <w:rFonts w:ascii="宋体" w:hAnsi="宋体" w:cs="宋体"/>
                <w:sz w:val="24"/>
                <w:szCs w:val="24"/>
                <w:highlight w:val="none"/>
              </w:rPr>
            </w:pPr>
            <w:r>
              <w:rPr>
                <w:rFonts w:hint="eastAsia" w:ascii="宋体" w:hAnsi="宋体" w:cs="宋体"/>
                <w:sz w:val="24"/>
                <w:szCs w:val="24"/>
                <w:highlight w:val="none"/>
              </w:rPr>
              <w:t>（70分）</w:t>
            </w:r>
          </w:p>
        </w:tc>
        <w:tc>
          <w:tcPr>
            <w:tcW w:w="1435" w:type="dxa"/>
            <w:vAlign w:val="center"/>
          </w:tcPr>
          <w:p w14:paraId="132D4F44">
            <w:pPr>
              <w:spacing w:line="480" w:lineRule="exact"/>
              <w:jc w:val="center"/>
              <w:rPr>
                <w:rFonts w:ascii="宋体" w:hAnsi="宋体" w:cs="宋体"/>
                <w:sz w:val="24"/>
                <w:szCs w:val="24"/>
                <w:highlight w:val="none"/>
              </w:rPr>
            </w:pPr>
            <w:r>
              <w:rPr>
                <w:rFonts w:hint="eastAsia" w:ascii="宋体" w:hAnsi="宋体" w:cs="宋体"/>
                <w:sz w:val="24"/>
                <w:szCs w:val="24"/>
                <w:highlight w:val="none"/>
              </w:rPr>
              <w:t>①项目管理部门及人员配备（5分）</w:t>
            </w:r>
          </w:p>
        </w:tc>
        <w:tc>
          <w:tcPr>
            <w:tcW w:w="5824" w:type="dxa"/>
            <w:vAlign w:val="center"/>
          </w:tcPr>
          <w:p w14:paraId="7EF5A983">
            <w:pPr>
              <w:spacing w:line="480" w:lineRule="exact"/>
              <w:rPr>
                <w:rFonts w:ascii="宋体" w:hAnsi="宋体" w:cs="宋体"/>
                <w:sz w:val="24"/>
                <w:szCs w:val="24"/>
                <w:highlight w:val="none"/>
              </w:rPr>
            </w:pPr>
            <w:r>
              <w:rPr>
                <w:rFonts w:hint="eastAsia" w:ascii="宋体" w:hAnsi="宋体" w:cs="宋体"/>
                <w:sz w:val="24"/>
                <w:szCs w:val="24"/>
                <w:highlight w:val="none"/>
              </w:rPr>
              <w:t>依据本项目成立项目管理部，项目部门技术人员配备合理，岗位职责清晰明确，满足本项目需求得</w:t>
            </w:r>
            <w:r>
              <w:rPr>
                <w:rFonts w:hint="eastAsia" w:ascii="宋体" w:hAnsi="宋体" w:cs="宋体"/>
                <w:sz w:val="24"/>
                <w:szCs w:val="24"/>
                <w:highlight w:val="none"/>
                <w:lang w:val="en-US" w:eastAsia="zh-CN"/>
              </w:rPr>
              <w:t>3-5</w:t>
            </w:r>
            <w:r>
              <w:rPr>
                <w:rFonts w:hint="eastAsia" w:ascii="宋体" w:hAnsi="宋体" w:cs="宋体"/>
                <w:sz w:val="24"/>
                <w:szCs w:val="24"/>
                <w:highlight w:val="none"/>
              </w:rPr>
              <w:t>（含3）分；项目部门技术人员配备较合理，岗位职责较为清晰明确，基本满足本项目需求得1-2（含2）分；项目部门技术人员配备不合理，岗位职责较不清晰明确，不能满足本项目需求得0分。</w:t>
            </w:r>
          </w:p>
        </w:tc>
      </w:tr>
      <w:tr w14:paraId="607CB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36" w:type="dxa"/>
            <w:vMerge w:val="continue"/>
            <w:vAlign w:val="center"/>
          </w:tcPr>
          <w:p w14:paraId="2013E8F8">
            <w:pPr>
              <w:spacing w:line="480" w:lineRule="exact"/>
              <w:jc w:val="center"/>
              <w:rPr>
                <w:rFonts w:ascii="宋体" w:hAnsi="宋体" w:cs="宋体"/>
                <w:sz w:val="24"/>
                <w:szCs w:val="24"/>
                <w:highlight w:val="none"/>
              </w:rPr>
            </w:pPr>
          </w:p>
        </w:tc>
        <w:tc>
          <w:tcPr>
            <w:tcW w:w="1276" w:type="dxa"/>
            <w:vMerge w:val="continue"/>
            <w:vAlign w:val="center"/>
          </w:tcPr>
          <w:p w14:paraId="58C5D5DE">
            <w:pPr>
              <w:spacing w:line="480" w:lineRule="exact"/>
              <w:jc w:val="center"/>
              <w:rPr>
                <w:rFonts w:ascii="宋体" w:hAnsi="宋体" w:cs="宋体"/>
                <w:sz w:val="24"/>
                <w:szCs w:val="24"/>
                <w:highlight w:val="none"/>
              </w:rPr>
            </w:pPr>
          </w:p>
        </w:tc>
        <w:tc>
          <w:tcPr>
            <w:tcW w:w="1435" w:type="dxa"/>
            <w:vAlign w:val="center"/>
          </w:tcPr>
          <w:p w14:paraId="5645D56E">
            <w:pPr>
              <w:spacing w:line="480" w:lineRule="exact"/>
              <w:jc w:val="center"/>
              <w:rPr>
                <w:rFonts w:ascii="宋体" w:hAnsi="宋体" w:cs="宋体"/>
                <w:sz w:val="24"/>
                <w:szCs w:val="24"/>
                <w:highlight w:val="none"/>
              </w:rPr>
            </w:pPr>
            <w:r>
              <w:rPr>
                <w:rFonts w:hint="eastAsia" w:ascii="宋体" w:hAnsi="宋体" w:cs="宋体"/>
                <w:sz w:val="24"/>
                <w:szCs w:val="24"/>
                <w:highlight w:val="none"/>
              </w:rPr>
              <w:t>②项目实施方案</w:t>
            </w:r>
          </w:p>
          <w:p w14:paraId="372FB067">
            <w:pPr>
              <w:spacing w:line="480" w:lineRule="exact"/>
              <w:jc w:val="center"/>
              <w:rPr>
                <w:rFonts w:ascii="宋体" w:hAnsi="宋体" w:cs="宋体"/>
                <w:sz w:val="24"/>
                <w:szCs w:val="24"/>
                <w:highlight w:val="none"/>
              </w:rPr>
            </w:pPr>
            <w:r>
              <w:rPr>
                <w:rFonts w:hint="eastAsia" w:ascii="宋体" w:hAnsi="宋体" w:cs="宋体"/>
                <w:sz w:val="24"/>
                <w:szCs w:val="24"/>
                <w:highlight w:val="none"/>
              </w:rPr>
              <w:t>（15分）</w:t>
            </w:r>
          </w:p>
        </w:tc>
        <w:tc>
          <w:tcPr>
            <w:tcW w:w="5824" w:type="dxa"/>
            <w:vAlign w:val="center"/>
          </w:tcPr>
          <w:p w14:paraId="4643E4BE">
            <w:pPr>
              <w:spacing w:line="480" w:lineRule="exact"/>
              <w:rPr>
                <w:rFonts w:ascii="宋体" w:hAnsi="宋体" w:cs="宋体"/>
                <w:sz w:val="24"/>
                <w:szCs w:val="24"/>
                <w:highlight w:val="none"/>
              </w:rPr>
            </w:pPr>
            <w:r>
              <w:rPr>
                <w:rFonts w:hint="eastAsia" w:ascii="宋体" w:hAnsi="宋体" w:cs="宋体"/>
                <w:sz w:val="24"/>
                <w:szCs w:val="24"/>
                <w:highlight w:val="none"/>
              </w:rPr>
              <w:t>针对本项目实际情况就工程内容编写施工方案：</w:t>
            </w:r>
          </w:p>
          <w:p w14:paraId="6AF7AA0D">
            <w:pPr>
              <w:spacing w:line="480" w:lineRule="exact"/>
              <w:rPr>
                <w:rFonts w:ascii="宋体" w:hAnsi="宋体" w:cs="宋体"/>
                <w:sz w:val="24"/>
                <w:szCs w:val="24"/>
                <w:highlight w:val="none"/>
              </w:rPr>
            </w:pPr>
            <w:r>
              <w:rPr>
                <w:rFonts w:hint="eastAsia" w:ascii="宋体" w:hAnsi="宋体" w:cs="宋体"/>
                <w:sz w:val="24"/>
                <w:szCs w:val="24"/>
                <w:highlight w:val="none"/>
              </w:rPr>
              <w:t>①方案切合实际、因地制宜、科学合理完全满足本项目要求10（含10）-15分；</w:t>
            </w:r>
          </w:p>
          <w:p w14:paraId="5DEB5396">
            <w:pPr>
              <w:spacing w:line="480" w:lineRule="exact"/>
              <w:rPr>
                <w:rFonts w:ascii="宋体" w:hAnsi="宋体" w:cs="宋体"/>
                <w:sz w:val="24"/>
                <w:szCs w:val="24"/>
                <w:highlight w:val="none"/>
              </w:rPr>
            </w:pPr>
            <w:r>
              <w:rPr>
                <w:rFonts w:hint="eastAsia" w:ascii="宋体" w:hAnsi="宋体" w:cs="宋体"/>
                <w:sz w:val="24"/>
                <w:szCs w:val="24"/>
                <w:highlight w:val="none"/>
              </w:rPr>
              <w:t>②方案较为切合实际、因地制宜性一般、较为满足本项目要求5（含5）-10分；</w:t>
            </w:r>
          </w:p>
          <w:p w14:paraId="6D2FA7B8">
            <w:pPr>
              <w:spacing w:line="480" w:lineRule="exact"/>
              <w:rPr>
                <w:rFonts w:ascii="宋体" w:hAnsi="宋体" w:cs="宋体"/>
                <w:sz w:val="24"/>
                <w:szCs w:val="24"/>
                <w:highlight w:val="none"/>
              </w:rPr>
            </w:pPr>
            <w:r>
              <w:rPr>
                <w:rFonts w:hint="eastAsia" w:ascii="宋体" w:hAnsi="宋体" w:cs="宋体"/>
                <w:sz w:val="24"/>
                <w:szCs w:val="24"/>
                <w:highlight w:val="none"/>
              </w:rPr>
              <w:t>③方案不切合实际情况、因地制宜性差，不能满足本项目实际要求0-5分。</w:t>
            </w:r>
          </w:p>
        </w:tc>
      </w:tr>
      <w:tr w14:paraId="392BD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836" w:type="dxa"/>
            <w:vMerge w:val="continue"/>
            <w:vAlign w:val="center"/>
          </w:tcPr>
          <w:p w14:paraId="449CE7A1">
            <w:pPr>
              <w:spacing w:line="480" w:lineRule="exact"/>
              <w:jc w:val="center"/>
              <w:rPr>
                <w:rFonts w:ascii="宋体" w:hAnsi="宋体" w:cs="宋体"/>
                <w:sz w:val="24"/>
                <w:szCs w:val="24"/>
                <w:highlight w:val="none"/>
              </w:rPr>
            </w:pPr>
          </w:p>
        </w:tc>
        <w:tc>
          <w:tcPr>
            <w:tcW w:w="1276" w:type="dxa"/>
            <w:vMerge w:val="continue"/>
            <w:vAlign w:val="center"/>
          </w:tcPr>
          <w:p w14:paraId="361A798A">
            <w:pPr>
              <w:spacing w:line="480" w:lineRule="exact"/>
              <w:jc w:val="center"/>
              <w:rPr>
                <w:rFonts w:ascii="宋体" w:hAnsi="宋体" w:cs="宋体"/>
                <w:sz w:val="24"/>
                <w:szCs w:val="24"/>
                <w:highlight w:val="none"/>
              </w:rPr>
            </w:pPr>
          </w:p>
        </w:tc>
        <w:tc>
          <w:tcPr>
            <w:tcW w:w="1435" w:type="dxa"/>
            <w:vAlign w:val="center"/>
          </w:tcPr>
          <w:p w14:paraId="3A5E1B69">
            <w:pPr>
              <w:spacing w:line="480" w:lineRule="exact"/>
              <w:jc w:val="center"/>
              <w:rPr>
                <w:rFonts w:ascii="宋体" w:hAnsi="宋体" w:cs="宋体"/>
                <w:sz w:val="24"/>
                <w:szCs w:val="24"/>
                <w:highlight w:val="none"/>
              </w:rPr>
            </w:pPr>
            <w:r>
              <w:rPr>
                <w:rFonts w:hint="eastAsia" w:ascii="宋体" w:hAnsi="宋体" w:cs="宋体"/>
                <w:sz w:val="24"/>
                <w:szCs w:val="24"/>
                <w:highlight w:val="none"/>
              </w:rPr>
              <w:t>③工程进度计划与保障措施（7分）</w:t>
            </w:r>
          </w:p>
        </w:tc>
        <w:tc>
          <w:tcPr>
            <w:tcW w:w="5824" w:type="dxa"/>
            <w:vAlign w:val="center"/>
          </w:tcPr>
          <w:p w14:paraId="788C1CA6">
            <w:pPr>
              <w:spacing w:line="480" w:lineRule="exact"/>
              <w:rPr>
                <w:rFonts w:ascii="宋体" w:hAnsi="宋体" w:cs="宋体"/>
                <w:sz w:val="24"/>
                <w:szCs w:val="24"/>
                <w:highlight w:val="none"/>
              </w:rPr>
            </w:pPr>
            <w:r>
              <w:rPr>
                <w:rFonts w:hint="eastAsia" w:ascii="宋体" w:hAnsi="宋体" w:cs="宋体"/>
                <w:sz w:val="24"/>
                <w:szCs w:val="24"/>
                <w:highlight w:val="none"/>
              </w:rPr>
              <w:t>进度计划及保障措施合理、完善，4～7分</w:t>
            </w:r>
          </w:p>
          <w:p w14:paraId="13D3D6FA">
            <w:pPr>
              <w:spacing w:line="480" w:lineRule="exact"/>
              <w:rPr>
                <w:rFonts w:ascii="宋体" w:hAnsi="宋体" w:cs="宋体"/>
                <w:sz w:val="24"/>
                <w:szCs w:val="24"/>
                <w:highlight w:val="none"/>
              </w:rPr>
            </w:pPr>
            <w:r>
              <w:rPr>
                <w:rFonts w:hint="eastAsia" w:ascii="宋体" w:hAnsi="宋体" w:cs="宋体"/>
                <w:sz w:val="24"/>
                <w:szCs w:val="24"/>
                <w:highlight w:val="none"/>
              </w:rPr>
              <w:t>进度计划及保障措施基本合理、比较完善，2～4分</w:t>
            </w:r>
          </w:p>
          <w:p w14:paraId="48426DA0">
            <w:pPr>
              <w:spacing w:line="480" w:lineRule="exact"/>
              <w:rPr>
                <w:rFonts w:ascii="宋体" w:hAnsi="宋体" w:cs="宋体"/>
                <w:sz w:val="24"/>
                <w:szCs w:val="24"/>
                <w:highlight w:val="none"/>
              </w:rPr>
            </w:pPr>
            <w:r>
              <w:rPr>
                <w:rFonts w:hint="eastAsia" w:ascii="宋体" w:hAnsi="宋体" w:cs="宋体"/>
                <w:sz w:val="24"/>
                <w:szCs w:val="24"/>
                <w:highlight w:val="none"/>
              </w:rPr>
              <w:t>进度计划及保障措施一般，0～2分；</w:t>
            </w:r>
          </w:p>
        </w:tc>
      </w:tr>
      <w:tr w14:paraId="04EC3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36" w:type="dxa"/>
            <w:vMerge w:val="continue"/>
            <w:vAlign w:val="center"/>
          </w:tcPr>
          <w:p w14:paraId="0EBCC39F">
            <w:pPr>
              <w:spacing w:line="480" w:lineRule="exact"/>
              <w:jc w:val="center"/>
              <w:rPr>
                <w:rFonts w:ascii="宋体" w:hAnsi="宋体" w:cs="宋体"/>
                <w:sz w:val="24"/>
                <w:szCs w:val="24"/>
                <w:highlight w:val="none"/>
              </w:rPr>
            </w:pPr>
          </w:p>
        </w:tc>
        <w:tc>
          <w:tcPr>
            <w:tcW w:w="1276" w:type="dxa"/>
            <w:vMerge w:val="continue"/>
            <w:vAlign w:val="center"/>
          </w:tcPr>
          <w:p w14:paraId="209FB96D">
            <w:pPr>
              <w:spacing w:line="480" w:lineRule="exact"/>
              <w:jc w:val="center"/>
              <w:rPr>
                <w:rFonts w:ascii="宋体" w:hAnsi="宋体" w:cs="宋体"/>
                <w:sz w:val="24"/>
                <w:szCs w:val="24"/>
                <w:highlight w:val="none"/>
              </w:rPr>
            </w:pPr>
          </w:p>
        </w:tc>
        <w:tc>
          <w:tcPr>
            <w:tcW w:w="1435" w:type="dxa"/>
            <w:vAlign w:val="center"/>
          </w:tcPr>
          <w:p w14:paraId="1F4FB69C">
            <w:pPr>
              <w:spacing w:line="480" w:lineRule="exact"/>
              <w:jc w:val="center"/>
              <w:rPr>
                <w:rFonts w:ascii="宋体" w:hAnsi="宋体" w:cs="宋体"/>
                <w:sz w:val="24"/>
                <w:szCs w:val="24"/>
                <w:highlight w:val="none"/>
              </w:rPr>
            </w:pPr>
            <w:r>
              <w:rPr>
                <w:rFonts w:hint="eastAsia" w:ascii="宋体" w:hAnsi="宋体" w:cs="宋体"/>
                <w:sz w:val="24"/>
                <w:szCs w:val="24"/>
                <w:highlight w:val="none"/>
              </w:rPr>
              <w:t>④确保工程质量的组织措施（6分）</w:t>
            </w:r>
          </w:p>
        </w:tc>
        <w:tc>
          <w:tcPr>
            <w:tcW w:w="5824" w:type="dxa"/>
            <w:vAlign w:val="center"/>
          </w:tcPr>
          <w:p w14:paraId="537E51E4">
            <w:pPr>
              <w:spacing w:line="480" w:lineRule="exact"/>
              <w:rPr>
                <w:rFonts w:ascii="宋体" w:hAnsi="宋体" w:cs="宋体"/>
                <w:sz w:val="24"/>
                <w:szCs w:val="24"/>
                <w:highlight w:val="none"/>
              </w:rPr>
            </w:pPr>
            <w:r>
              <w:rPr>
                <w:rFonts w:hint="eastAsia" w:ascii="宋体" w:hAnsi="宋体" w:cs="宋体"/>
                <w:sz w:val="24"/>
                <w:szCs w:val="24"/>
                <w:highlight w:val="none"/>
              </w:rPr>
              <w:t>所述内容切合工程实际，质量措施切实可行，根据响应的不同程度赋分4～6分；</w:t>
            </w:r>
          </w:p>
          <w:p w14:paraId="3AE97607">
            <w:pPr>
              <w:spacing w:line="480" w:lineRule="exact"/>
              <w:rPr>
                <w:rFonts w:ascii="宋体" w:hAnsi="宋体" w:cs="宋体"/>
                <w:sz w:val="24"/>
                <w:szCs w:val="24"/>
                <w:highlight w:val="none"/>
              </w:rPr>
            </w:pPr>
            <w:r>
              <w:rPr>
                <w:rFonts w:hint="eastAsia" w:ascii="宋体" w:hAnsi="宋体" w:cs="宋体"/>
                <w:sz w:val="24"/>
                <w:szCs w:val="24"/>
                <w:highlight w:val="none"/>
              </w:rPr>
              <w:t>质量措施基本合理、比较完善2～4分；质量措施一般，0～2分</w:t>
            </w:r>
          </w:p>
        </w:tc>
      </w:tr>
      <w:tr w14:paraId="581BC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36" w:type="dxa"/>
            <w:vMerge w:val="continue"/>
            <w:vAlign w:val="center"/>
          </w:tcPr>
          <w:p w14:paraId="1784E38D">
            <w:pPr>
              <w:spacing w:line="480" w:lineRule="exact"/>
              <w:jc w:val="center"/>
              <w:rPr>
                <w:rFonts w:ascii="宋体" w:hAnsi="宋体" w:cs="宋体"/>
                <w:sz w:val="24"/>
                <w:szCs w:val="24"/>
                <w:highlight w:val="none"/>
              </w:rPr>
            </w:pPr>
          </w:p>
        </w:tc>
        <w:tc>
          <w:tcPr>
            <w:tcW w:w="1276" w:type="dxa"/>
            <w:vMerge w:val="continue"/>
            <w:vAlign w:val="center"/>
          </w:tcPr>
          <w:p w14:paraId="590E0A2D">
            <w:pPr>
              <w:spacing w:line="480" w:lineRule="exact"/>
              <w:jc w:val="center"/>
              <w:rPr>
                <w:rFonts w:ascii="宋体" w:hAnsi="宋体" w:cs="宋体"/>
                <w:sz w:val="24"/>
                <w:szCs w:val="24"/>
                <w:highlight w:val="none"/>
              </w:rPr>
            </w:pPr>
          </w:p>
        </w:tc>
        <w:tc>
          <w:tcPr>
            <w:tcW w:w="1435" w:type="dxa"/>
            <w:vAlign w:val="center"/>
          </w:tcPr>
          <w:p w14:paraId="11D2FEA7">
            <w:pPr>
              <w:spacing w:line="480" w:lineRule="exact"/>
              <w:jc w:val="center"/>
              <w:rPr>
                <w:rFonts w:ascii="宋体" w:hAnsi="宋体" w:cs="宋体"/>
                <w:sz w:val="24"/>
                <w:szCs w:val="24"/>
                <w:highlight w:val="none"/>
              </w:rPr>
            </w:pPr>
            <w:r>
              <w:rPr>
                <w:rFonts w:hint="eastAsia" w:ascii="宋体" w:hAnsi="宋体" w:cs="宋体"/>
                <w:sz w:val="24"/>
                <w:szCs w:val="24"/>
                <w:highlight w:val="none"/>
              </w:rPr>
              <w:t>⑤文明施工、环境保护管理体系与措施</w:t>
            </w:r>
          </w:p>
          <w:p w14:paraId="016B1F90">
            <w:pPr>
              <w:spacing w:line="480" w:lineRule="exact"/>
              <w:jc w:val="center"/>
              <w:rPr>
                <w:rFonts w:ascii="宋体" w:hAnsi="宋体" w:cs="宋体"/>
                <w:sz w:val="24"/>
                <w:szCs w:val="24"/>
                <w:highlight w:val="none"/>
              </w:rPr>
            </w:pPr>
            <w:r>
              <w:rPr>
                <w:rFonts w:hint="eastAsia" w:ascii="宋体" w:hAnsi="宋体" w:cs="宋体"/>
                <w:sz w:val="24"/>
                <w:szCs w:val="24"/>
                <w:highlight w:val="none"/>
              </w:rPr>
              <w:t>（6分）</w:t>
            </w:r>
          </w:p>
        </w:tc>
        <w:tc>
          <w:tcPr>
            <w:tcW w:w="5824" w:type="dxa"/>
            <w:vAlign w:val="center"/>
          </w:tcPr>
          <w:p w14:paraId="0DB5BA5B">
            <w:pPr>
              <w:spacing w:line="480" w:lineRule="exact"/>
              <w:rPr>
                <w:rFonts w:ascii="宋体" w:hAnsi="宋体" w:cs="宋体"/>
                <w:sz w:val="24"/>
                <w:szCs w:val="24"/>
                <w:highlight w:val="none"/>
              </w:rPr>
            </w:pPr>
            <w:r>
              <w:rPr>
                <w:rFonts w:hint="eastAsia" w:ascii="宋体" w:hAnsi="宋体" w:cs="宋体"/>
                <w:sz w:val="24"/>
                <w:szCs w:val="24"/>
                <w:highlight w:val="none"/>
              </w:rPr>
              <w:t>文明施工、环境保障措施合理、完善，4～6分</w:t>
            </w:r>
          </w:p>
          <w:p w14:paraId="1B2DD7DF">
            <w:pPr>
              <w:spacing w:line="480" w:lineRule="exact"/>
              <w:rPr>
                <w:rFonts w:ascii="宋体" w:hAnsi="宋体" w:cs="宋体"/>
                <w:sz w:val="24"/>
                <w:szCs w:val="24"/>
                <w:highlight w:val="none"/>
              </w:rPr>
            </w:pPr>
            <w:r>
              <w:rPr>
                <w:rFonts w:hint="eastAsia" w:ascii="宋体" w:hAnsi="宋体" w:cs="宋体"/>
                <w:sz w:val="24"/>
                <w:szCs w:val="24"/>
                <w:highlight w:val="none"/>
              </w:rPr>
              <w:t>文明施工、环境保障措施基本合理、比较完善，2～4分；</w:t>
            </w:r>
          </w:p>
          <w:p w14:paraId="3F116434">
            <w:pPr>
              <w:spacing w:line="480" w:lineRule="exact"/>
              <w:rPr>
                <w:rFonts w:ascii="宋体" w:hAnsi="宋体" w:cs="宋体"/>
                <w:sz w:val="24"/>
                <w:szCs w:val="24"/>
                <w:highlight w:val="none"/>
              </w:rPr>
            </w:pPr>
            <w:r>
              <w:rPr>
                <w:rFonts w:hint="eastAsia" w:ascii="宋体" w:hAnsi="宋体" w:cs="宋体"/>
                <w:sz w:val="24"/>
                <w:szCs w:val="24"/>
                <w:highlight w:val="none"/>
              </w:rPr>
              <w:t>文明施工、环境保障措施一般，0～2分</w:t>
            </w:r>
          </w:p>
        </w:tc>
      </w:tr>
      <w:tr w14:paraId="4C7FB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6" w:type="dxa"/>
            <w:vMerge w:val="continue"/>
            <w:vAlign w:val="center"/>
          </w:tcPr>
          <w:p w14:paraId="3FA5231E">
            <w:pPr>
              <w:spacing w:line="480" w:lineRule="exact"/>
              <w:jc w:val="center"/>
              <w:rPr>
                <w:rFonts w:ascii="宋体" w:hAnsi="宋体" w:cs="宋体"/>
                <w:sz w:val="24"/>
                <w:szCs w:val="24"/>
                <w:highlight w:val="none"/>
              </w:rPr>
            </w:pPr>
          </w:p>
        </w:tc>
        <w:tc>
          <w:tcPr>
            <w:tcW w:w="1276" w:type="dxa"/>
            <w:vMerge w:val="continue"/>
            <w:vAlign w:val="center"/>
          </w:tcPr>
          <w:p w14:paraId="4C622996">
            <w:pPr>
              <w:spacing w:line="480" w:lineRule="exact"/>
              <w:jc w:val="center"/>
              <w:rPr>
                <w:rFonts w:ascii="宋体" w:hAnsi="宋体" w:cs="宋体"/>
                <w:sz w:val="24"/>
                <w:szCs w:val="24"/>
                <w:highlight w:val="none"/>
              </w:rPr>
            </w:pPr>
          </w:p>
        </w:tc>
        <w:tc>
          <w:tcPr>
            <w:tcW w:w="1435" w:type="dxa"/>
            <w:vAlign w:val="center"/>
          </w:tcPr>
          <w:p w14:paraId="75715D4D">
            <w:pPr>
              <w:spacing w:line="480" w:lineRule="exact"/>
              <w:jc w:val="center"/>
              <w:rPr>
                <w:rFonts w:ascii="宋体" w:hAnsi="宋体" w:cs="宋体"/>
                <w:sz w:val="24"/>
                <w:szCs w:val="24"/>
                <w:highlight w:val="none"/>
              </w:rPr>
            </w:pPr>
            <w:r>
              <w:rPr>
                <w:rFonts w:hint="eastAsia" w:ascii="宋体" w:hAnsi="宋体" w:cs="宋体"/>
                <w:sz w:val="24"/>
                <w:szCs w:val="24"/>
                <w:highlight w:val="none"/>
              </w:rPr>
              <w:t>⑥主要机具、设备和劳动力配备情况（6分）</w:t>
            </w:r>
          </w:p>
        </w:tc>
        <w:tc>
          <w:tcPr>
            <w:tcW w:w="5824" w:type="dxa"/>
            <w:vAlign w:val="center"/>
          </w:tcPr>
          <w:p w14:paraId="5A26610F">
            <w:pPr>
              <w:spacing w:line="480" w:lineRule="exact"/>
              <w:rPr>
                <w:rFonts w:ascii="宋体" w:hAnsi="宋体" w:cs="宋体"/>
                <w:sz w:val="24"/>
                <w:szCs w:val="24"/>
                <w:highlight w:val="none"/>
              </w:rPr>
            </w:pPr>
            <w:r>
              <w:rPr>
                <w:rFonts w:hint="eastAsia" w:ascii="宋体" w:hAnsi="宋体" w:cs="宋体"/>
                <w:sz w:val="24"/>
                <w:szCs w:val="24"/>
                <w:highlight w:val="none"/>
              </w:rPr>
              <w:t>投入的主要机具、设备先进，劳动力配备情况充分、合理、完善计4（含4）～6分</w:t>
            </w:r>
          </w:p>
          <w:p w14:paraId="42B23F88">
            <w:pPr>
              <w:spacing w:line="480" w:lineRule="exact"/>
              <w:rPr>
                <w:rFonts w:ascii="宋体" w:hAnsi="宋体" w:cs="宋体"/>
                <w:sz w:val="24"/>
                <w:szCs w:val="24"/>
                <w:highlight w:val="none"/>
              </w:rPr>
            </w:pPr>
            <w:r>
              <w:rPr>
                <w:rFonts w:hint="eastAsia" w:ascii="宋体" w:hAnsi="宋体" w:cs="宋体"/>
                <w:sz w:val="24"/>
                <w:szCs w:val="24"/>
                <w:highlight w:val="none"/>
              </w:rPr>
              <w:t>配备情况基本合理、基本能够满足施工需求计2（含2）～4分</w:t>
            </w:r>
          </w:p>
          <w:p w14:paraId="49F5B2DA">
            <w:pPr>
              <w:spacing w:line="480" w:lineRule="exact"/>
              <w:rPr>
                <w:rFonts w:ascii="宋体" w:hAnsi="宋体" w:cs="宋体"/>
                <w:sz w:val="24"/>
                <w:szCs w:val="24"/>
                <w:highlight w:val="none"/>
              </w:rPr>
            </w:pPr>
            <w:r>
              <w:rPr>
                <w:rFonts w:hint="eastAsia" w:ascii="宋体" w:hAnsi="宋体" w:cs="宋体"/>
                <w:sz w:val="24"/>
                <w:szCs w:val="24"/>
                <w:highlight w:val="none"/>
              </w:rPr>
              <w:t>施工器具不够合理完善不能满足项目需求计0～2分；</w:t>
            </w:r>
          </w:p>
        </w:tc>
      </w:tr>
      <w:tr w14:paraId="225A2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6" w:type="dxa"/>
            <w:vMerge w:val="continue"/>
            <w:vAlign w:val="center"/>
          </w:tcPr>
          <w:p w14:paraId="27C70267">
            <w:pPr>
              <w:spacing w:line="480" w:lineRule="exact"/>
              <w:jc w:val="center"/>
              <w:rPr>
                <w:rFonts w:ascii="宋体" w:hAnsi="宋体" w:cs="宋体"/>
                <w:sz w:val="24"/>
                <w:szCs w:val="24"/>
                <w:highlight w:val="none"/>
              </w:rPr>
            </w:pPr>
          </w:p>
        </w:tc>
        <w:tc>
          <w:tcPr>
            <w:tcW w:w="1276" w:type="dxa"/>
            <w:vMerge w:val="continue"/>
            <w:vAlign w:val="center"/>
          </w:tcPr>
          <w:p w14:paraId="244A61C9">
            <w:pPr>
              <w:spacing w:line="480" w:lineRule="exact"/>
              <w:jc w:val="center"/>
              <w:rPr>
                <w:rFonts w:ascii="宋体" w:hAnsi="宋体" w:cs="宋体"/>
                <w:sz w:val="24"/>
                <w:szCs w:val="24"/>
                <w:highlight w:val="none"/>
              </w:rPr>
            </w:pPr>
          </w:p>
        </w:tc>
        <w:tc>
          <w:tcPr>
            <w:tcW w:w="1435" w:type="dxa"/>
            <w:vAlign w:val="center"/>
          </w:tcPr>
          <w:p w14:paraId="03FF4D0F">
            <w:pPr>
              <w:spacing w:line="480" w:lineRule="exact"/>
              <w:jc w:val="center"/>
              <w:rPr>
                <w:rFonts w:ascii="宋体" w:hAnsi="宋体" w:cs="宋体"/>
                <w:sz w:val="24"/>
                <w:szCs w:val="24"/>
                <w:highlight w:val="none"/>
              </w:rPr>
            </w:pPr>
            <w:r>
              <w:rPr>
                <w:rFonts w:hint="eastAsia" w:ascii="宋体" w:hAnsi="宋体" w:cs="宋体"/>
                <w:sz w:val="24"/>
                <w:szCs w:val="24"/>
                <w:highlight w:val="none"/>
              </w:rPr>
              <w:t>⑦安全保障方案及应急措施</w:t>
            </w:r>
          </w:p>
          <w:p w14:paraId="0289416B">
            <w:pPr>
              <w:spacing w:line="480" w:lineRule="exact"/>
              <w:jc w:val="center"/>
              <w:rPr>
                <w:highlight w:val="none"/>
              </w:rPr>
            </w:pPr>
            <w:r>
              <w:rPr>
                <w:rFonts w:hint="eastAsia" w:ascii="宋体" w:hAnsi="宋体" w:cs="宋体"/>
                <w:sz w:val="24"/>
                <w:szCs w:val="24"/>
                <w:highlight w:val="none"/>
              </w:rPr>
              <w:t>（10分）</w:t>
            </w:r>
          </w:p>
        </w:tc>
        <w:tc>
          <w:tcPr>
            <w:tcW w:w="5824" w:type="dxa"/>
            <w:vAlign w:val="center"/>
          </w:tcPr>
          <w:p w14:paraId="403DC4DC">
            <w:pPr>
              <w:spacing w:line="480" w:lineRule="exact"/>
              <w:rPr>
                <w:rFonts w:ascii="宋体" w:hAnsi="宋体" w:cs="宋体"/>
                <w:sz w:val="24"/>
                <w:szCs w:val="24"/>
                <w:highlight w:val="none"/>
              </w:rPr>
            </w:pPr>
            <w:r>
              <w:rPr>
                <w:rFonts w:hint="eastAsia" w:ascii="宋体" w:hAnsi="宋体" w:cs="宋体"/>
                <w:sz w:val="24"/>
                <w:szCs w:val="24"/>
                <w:highlight w:val="none"/>
              </w:rPr>
              <w:t>保障方案、措施合理、完善，7～10分</w:t>
            </w:r>
          </w:p>
          <w:p w14:paraId="564A55C9">
            <w:pPr>
              <w:spacing w:line="480" w:lineRule="exact"/>
              <w:rPr>
                <w:rFonts w:ascii="宋体" w:hAnsi="宋体" w:cs="宋体"/>
                <w:sz w:val="24"/>
                <w:szCs w:val="24"/>
                <w:highlight w:val="none"/>
              </w:rPr>
            </w:pPr>
            <w:r>
              <w:rPr>
                <w:rFonts w:hint="eastAsia" w:ascii="宋体" w:hAnsi="宋体" w:cs="宋体"/>
                <w:sz w:val="24"/>
                <w:szCs w:val="24"/>
                <w:highlight w:val="none"/>
              </w:rPr>
              <w:t>保障方案、措施基本合理、比较完善，4～7分</w:t>
            </w:r>
          </w:p>
          <w:p w14:paraId="7DCFB26E">
            <w:pPr>
              <w:spacing w:line="480" w:lineRule="exact"/>
              <w:rPr>
                <w:rFonts w:ascii="宋体" w:hAnsi="宋体" w:cs="宋体"/>
                <w:sz w:val="24"/>
                <w:szCs w:val="24"/>
                <w:highlight w:val="none"/>
              </w:rPr>
            </w:pPr>
            <w:r>
              <w:rPr>
                <w:rFonts w:hint="eastAsia" w:ascii="宋体" w:hAnsi="宋体" w:cs="宋体"/>
                <w:sz w:val="24"/>
                <w:szCs w:val="24"/>
                <w:highlight w:val="none"/>
              </w:rPr>
              <w:t>保障方案、措施一般，0～4分；</w:t>
            </w:r>
          </w:p>
        </w:tc>
      </w:tr>
      <w:tr w14:paraId="01C85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6" w:type="dxa"/>
            <w:vMerge w:val="continue"/>
            <w:vAlign w:val="center"/>
          </w:tcPr>
          <w:p w14:paraId="0A0897B8">
            <w:pPr>
              <w:spacing w:line="480" w:lineRule="exact"/>
              <w:jc w:val="center"/>
              <w:rPr>
                <w:rFonts w:ascii="宋体" w:hAnsi="宋体" w:cs="宋体"/>
                <w:sz w:val="24"/>
                <w:szCs w:val="24"/>
                <w:highlight w:val="none"/>
              </w:rPr>
            </w:pPr>
          </w:p>
        </w:tc>
        <w:tc>
          <w:tcPr>
            <w:tcW w:w="1276" w:type="dxa"/>
            <w:vMerge w:val="continue"/>
            <w:vAlign w:val="center"/>
          </w:tcPr>
          <w:p w14:paraId="1463BA43">
            <w:pPr>
              <w:spacing w:line="480" w:lineRule="exact"/>
              <w:jc w:val="center"/>
              <w:rPr>
                <w:rFonts w:ascii="宋体" w:hAnsi="宋体" w:cs="宋体"/>
                <w:sz w:val="24"/>
                <w:szCs w:val="24"/>
                <w:highlight w:val="none"/>
              </w:rPr>
            </w:pPr>
          </w:p>
        </w:tc>
        <w:tc>
          <w:tcPr>
            <w:tcW w:w="1435" w:type="dxa"/>
            <w:vAlign w:val="center"/>
          </w:tcPr>
          <w:p w14:paraId="7ED7A973">
            <w:pPr>
              <w:spacing w:line="480" w:lineRule="exact"/>
              <w:jc w:val="center"/>
              <w:rPr>
                <w:rFonts w:ascii="宋体" w:hAnsi="宋体" w:cs="宋体"/>
                <w:sz w:val="24"/>
                <w:szCs w:val="24"/>
                <w:highlight w:val="none"/>
              </w:rPr>
            </w:pPr>
            <w:r>
              <w:rPr>
                <w:rFonts w:hint="eastAsia" w:ascii="宋体" w:hAnsi="宋体" w:cs="宋体"/>
                <w:sz w:val="24"/>
                <w:szCs w:val="24"/>
                <w:highlight w:val="none"/>
              </w:rPr>
              <w:t>⑧质量承诺</w:t>
            </w:r>
          </w:p>
          <w:p w14:paraId="07EA32DA">
            <w:pPr>
              <w:spacing w:line="480" w:lineRule="exact"/>
              <w:jc w:val="center"/>
              <w:rPr>
                <w:highlight w:val="none"/>
              </w:rPr>
            </w:pPr>
            <w:r>
              <w:rPr>
                <w:rFonts w:hint="eastAsia" w:ascii="宋体" w:hAnsi="宋体" w:cs="宋体"/>
                <w:sz w:val="24"/>
                <w:szCs w:val="24"/>
                <w:highlight w:val="none"/>
              </w:rPr>
              <w:t>（5分）</w:t>
            </w:r>
          </w:p>
        </w:tc>
        <w:tc>
          <w:tcPr>
            <w:tcW w:w="5824" w:type="dxa"/>
            <w:vAlign w:val="center"/>
          </w:tcPr>
          <w:p w14:paraId="79441685">
            <w:pPr>
              <w:spacing w:line="480" w:lineRule="exact"/>
              <w:rPr>
                <w:rFonts w:ascii="宋体" w:hAnsi="宋体" w:cs="宋体"/>
                <w:b/>
                <w:bCs/>
                <w:sz w:val="24"/>
                <w:szCs w:val="24"/>
                <w:highlight w:val="none"/>
              </w:rPr>
            </w:pPr>
            <w:r>
              <w:rPr>
                <w:rFonts w:hint="eastAsia" w:ascii="宋体" w:hAnsi="宋体" w:cs="宋体"/>
                <w:sz w:val="24"/>
                <w:szCs w:val="24"/>
                <w:highlight w:val="none"/>
              </w:rPr>
              <w:t>施工承诺：提供本项目的相关质量承诺，依据响应情况综合赋分。（0-5分）</w:t>
            </w:r>
          </w:p>
        </w:tc>
      </w:tr>
      <w:tr w14:paraId="744D5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836" w:type="dxa"/>
            <w:vMerge w:val="continue"/>
            <w:vAlign w:val="center"/>
          </w:tcPr>
          <w:p w14:paraId="5C7F68A9">
            <w:pPr>
              <w:spacing w:line="480" w:lineRule="exact"/>
              <w:jc w:val="center"/>
              <w:rPr>
                <w:rFonts w:ascii="宋体" w:hAnsi="宋体" w:cs="宋体"/>
                <w:sz w:val="24"/>
                <w:szCs w:val="24"/>
                <w:highlight w:val="none"/>
              </w:rPr>
            </w:pPr>
          </w:p>
        </w:tc>
        <w:tc>
          <w:tcPr>
            <w:tcW w:w="1276" w:type="dxa"/>
            <w:vMerge w:val="continue"/>
            <w:vAlign w:val="center"/>
          </w:tcPr>
          <w:p w14:paraId="3BE884B0">
            <w:pPr>
              <w:spacing w:line="480" w:lineRule="exact"/>
              <w:jc w:val="center"/>
              <w:rPr>
                <w:rFonts w:ascii="宋体" w:hAnsi="宋体" w:cs="宋体"/>
                <w:sz w:val="24"/>
                <w:szCs w:val="24"/>
                <w:highlight w:val="none"/>
              </w:rPr>
            </w:pPr>
          </w:p>
        </w:tc>
        <w:tc>
          <w:tcPr>
            <w:tcW w:w="1435" w:type="dxa"/>
            <w:vAlign w:val="center"/>
          </w:tcPr>
          <w:p w14:paraId="65F682C1">
            <w:pPr>
              <w:spacing w:line="480" w:lineRule="exact"/>
              <w:jc w:val="center"/>
              <w:rPr>
                <w:rFonts w:ascii="宋体" w:hAnsi="宋体" w:cs="宋体"/>
                <w:sz w:val="24"/>
                <w:szCs w:val="24"/>
                <w:highlight w:val="none"/>
              </w:rPr>
            </w:pPr>
            <w:r>
              <w:rPr>
                <w:rFonts w:hint="eastAsia" w:ascii="宋体" w:hAnsi="宋体" w:cs="宋体"/>
                <w:sz w:val="24"/>
                <w:szCs w:val="24"/>
                <w:highlight w:val="none"/>
              </w:rPr>
              <w:t>⑨业绩</w:t>
            </w:r>
          </w:p>
          <w:p w14:paraId="39E832B1">
            <w:pPr>
              <w:spacing w:line="480" w:lineRule="exact"/>
              <w:jc w:val="center"/>
              <w:rPr>
                <w:rFonts w:ascii="宋体" w:hAnsi="宋体" w:cs="宋体"/>
                <w:sz w:val="24"/>
                <w:szCs w:val="24"/>
                <w:highlight w:val="none"/>
              </w:rPr>
            </w:pPr>
            <w:r>
              <w:rPr>
                <w:rFonts w:hint="eastAsia" w:ascii="宋体" w:hAnsi="宋体" w:cs="宋体"/>
                <w:sz w:val="24"/>
                <w:szCs w:val="24"/>
                <w:highlight w:val="none"/>
              </w:rPr>
              <w:t>（10分）</w:t>
            </w:r>
          </w:p>
        </w:tc>
        <w:tc>
          <w:tcPr>
            <w:tcW w:w="5824" w:type="dxa"/>
            <w:vAlign w:val="center"/>
          </w:tcPr>
          <w:p w14:paraId="142F6270">
            <w:pPr>
              <w:spacing w:line="480" w:lineRule="exact"/>
              <w:rPr>
                <w:rFonts w:ascii="宋体" w:hAnsi="宋体" w:cs="宋体"/>
                <w:sz w:val="24"/>
                <w:szCs w:val="24"/>
                <w:highlight w:val="none"/>
              </w:rPr>
            </w:pPr>
            <w:r>
              <w:rPr>
                <w:rFonts w:hint="eastAsia" w:ascii="宋体" w:hAnsi="宋体" w:cs="宋体"/>
                <w:sz w:val="24"/>
                <w:szCs w:val="24"/>
                <w:highlight w:val="none"/>
              </w:rPr>
              <w:t>提供202</w:t>
            </w:r>
            <w:r>
              <w:rPr>
                <w:rFonts w:hint="eastAsia" w:ascii="宋体" w:hAnsi="宋体" w:cs="宋体"/>
                <w:sz w:val="24"/>
                <w:szCs w:val="24"/>
                <w:highlight w:val="none"/>
                <w:lang w:val="en-US" w:eastAsia="zh-CN"/>
              </w:rPr>
              <w:t>2</w:t>
            </w:r>
            <w:r>
              <w:rPr>
                <w:rFonts w:hint="eastAsia" w:ascii="宋体" w:hAnsi="宋体" w:cs="宋体"/>
                <w:sz w:val="24"/>
                <w:szCs w:val="24"/>
                <w:highlight w:val="none"/>
              </w:rPr>
              <w:t>年以后得类似工程施工业绩（业绩以合同复印件或中标通知书为依据）。每个业绩计2分，共10分。</w:t>
            </w:r>
          </w:p>
        </w:tc>
      </w:tr>
      <w:tr w14:paraId="15B28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6" w:type="dxa"/>
            <w:vAlign w:val="center"/>
          </w:tcPr>
          <w:p w14:paraId="35C0B038">
            <w:pPr>
              <w:spacing w:line="480" w:lineRule="exact"/>
              <w:jc w:val="center"/>
              <w:rPr>
                <w:rFonts w:ascii="宋体" w:hAnsi="宋体" w:cs="宋体"/>
                <w:sz w:val="24"/>
                <w:szCs w:val="24"/>
                <w:highlight w:val="none"/>
              </w:rPr>
            </w:pPr>
            <w:r>
              <w:rPr>
                <w:rFonts w:hint="eastAsia" w:ascii="宋体" w:hAnsi="宋体" w:cs="宋体"/>
                <w:sz w:val="24"/>
                <w:szCs w:val="24"/>
                <w:highlight w:val="none"/>
              </w:rPr>
              <w:t>报价评分标准</w:t>
            </w:r>
          </w:p>
        </w:tc>
        <w:tc>
          <w:tcPr>
            <w:tcW w:w="1276" w:type="dxa"/>
            <w:vAlign w:val="center"/>
          </w:tcPr>
          <w:p w14:paraId="433BE154">
            <w:pPr>
              <w:spacing w:line="480" w:lineRule="exact"/>
              <w:jc w:val="center"/>
              <w:rPr>
                <w:rFonts w:ascii="宋体" w:hAnsi="宋体" w:cs="宋体"/>
                <w:sz w:val="24"/>
                <w:szCs w:val="24"/>
                <w:highlight w:val="none"/>
              </w:rPr>
            </w:pPr>
            <w:r>
              <w:rPr>
                <w:rFonts w:hint="eastAsia" w:ascii="宋体" w:hAnsi="宋体" w:cs="宋体"/>
                <w:sz w:val="24"/>
                <w:szCs w:val="24"/>
                <w:highlight w:val="none"/>
              </w:rPr>
              <w:t>（30分）</w:t>
            </w:r>
          </w:p>
        </w:tc>
        <w:tc>
          <w:tcPr>
            <w:tcW w:w="1435" w:type="dxa"/>
            <w:vAlign w:val="center"/>
          </w:tcPr>
          <w:p w14:paraId="25917EF7">
            <w:pPr>
              <w:spacing w:line="480" w:lineRule="exact"/>
              <w:jc w:val="center"/>
              <w:rPr>
                <w:rFonts w:ascii="宋体" w:hAnsi="宋体" w:cs="宋体"/>
                <w:sz w:val="24"/>
                <w:szCs w:val="24"/>
                <w:highlight w:val="none"/>
              </w:rPr>
            </w:pPr>
            <w:r>
              <w:rPr>
                <w:rFonts w:hint="eastAsia" w:ascii="宋体" w:hAnsi="宋体" w:cs="宋体"/>
                <w:sz w:val="24"/>
                <w:szCs w:val="24"/>
                <w:highlight w:val="none"/>
              </w:rPr>
              <w:t>投标报价评分标准</w:t>
            </w:r>
          </w:p>
          <w:p w14:paraId="4C4BE073">
            <w:pPr>
              <w:spacing w:line="480" w:lineRule="exact"/>
              <w:jc w:val="center"/>
              <w:rPr>
                <w:rFonts w:ascii="宋体" w:hAnsi="宋体" w:cs="宋体"/>
                <w:sz w:val="24"/>
                <w:szCs w:val="24"/>
                <w:highlight w:val="none"/>
              </w:rPr>
            </w:pPr>
            <w:r>
              <w:rPr>
                <w:rFonts w:hint="eastAsia" w:ascii="宋体" w:hAnsi="宋体" w:cs="宋体"/>
                <w:sz w:val="24"/>
                <w:szCs w:val="24"/>
                <w:highlight w:val="none"/>
              </w:rPr>
              <w:t>（30分）</w:t>
            </w:r>
          </w:p>
        </w:tc>
        <w:tc>
          <w:tcPr>
            <w:tcW w:w="5824" w:type="dxa"/>
            <w:vAlign w:val="center"/>
          </w:tcPr>
          <w:p w14:paraId="2FF4B99C">
            <w:pPr>
              <w:spacing w:line="480" w:lineRule="exact"/>
              <w:rPr>
                <w:rFonts w:ascii="宋体" w:hAnsi="宋体" w:cs="宋体"/>
                <w:sz w:val="24"/>
                <w:szCs w:val="24"/>
                <w:highlight w:val="none"/>
              </w:rPr>
            </w:pPr>
            <w:r>
              <w:rPr>
                <w:rFonts w:hint="eastAsia" w:ascii="宋体" w:hAnsi="宋体" w:cs="宋体"/>
                <w:sz w:val="24"/>
                <w:szCs w:val="24"/>
                <w:highlight w:val="none"/>
              </w:rPr>
              <w:t>1.经初审合格的投标文件，其投标报价为有效投标价。</w:t>
            </w:r>
          </w:p>
          <w:p w14:paraId="16A98F7D">
            <w:pPr>
              <w:spacing w:line="480" w:lineRule="exact"/>
              <w:rPr>
                <w:rFonts w:ascii="宋体" w:hAnsi="宋体" w:cs="宋体"/>
                <w:sz w:val="24"/>
                <w:szCs w:val="24"/>
                <w:highlight w:val="none"/>
              </w:rPr>
            </w:pPr>
            <w:r>
              <w:rPr>
                <w:rFonts w:hint="eastAsia" w:ascii="宋体" w:hAnsi="宋体" w:cs="宋体"/>
                <w:sz w:val="24"/>
                <w:szCs w:val="24"/>
                <w:highlight w:val="none"/>
              </w:rPr>
              <w:t>2.有效最低报价为基准价得30分。</w:t>
            </w:r>
          </w:p>
          <w:p w14:paraId="1B34D851">
            <w:pPr>
              <w:spacing w:line="480" w:lineRule="exact"/>
              <w:rPr>
                <w:rFonts w:ascii="宋体" w:hAnsi="宋体" w:cs="宋体"/>
                <w:sz w:val="24"/>
                <w:szCs w:val="24"/>
                <w:highlight w:val="none"/>
              </w:rPr>
            </w:pPr>
            <w:r>
              <w:rPr>
                <w:rFonts w:hint="eastAsia" w:ascii="宋体" w:hAnsi="宋体" w:cs="宋体"/>
                <w:sz w:val="24"/>
                <w:szCs w:val="24"/>
                <w:highlight w:val="none"/>
              </w:rPr>
              <w:t>3.按（有效最低报价/有效投标报价）×30的公式计算其得分。</w:t>
            </w:r>
          </w:p>
          <w:p w14:paraId="2AEECCFF">
            <w:pPr>
              <w:spacing w:line="480" w:lineRule="exact"/>
              <w:rPr>
                <w:rFonts w:hint="eastAsia" w:ascii="宋体" w:hAnsi="宋体" w:cs="宋体"/>
                <w:sz w:val="24"/>
                <w:szCs w:val="24"/>
                <w:highlight w:val="none"/>
              </w:rPr>
            </w:pPr>
            <w:r>
              <w:rPr>
                <w:rFonts w:hint="eastAsia" w:ascii="宋体" w:hAnsi="宋体" w:cs="宋体"/>
                <w:sz w:val="24"/>
                <w:szCs w:val="24"/>
                <w:highlight w:val="none"/>
              </w:rPr>
              <w:t>4.经评委一致认定，投标人的投标总报价低于公认市场成本，或超过采购预算,其投标将被拒绝。</w:t>
            </w:r>
          </w:p>
          <w:p w14:paraId="68B0ED7F">
            <w:pPr>
              <w:pStyle w:val="11"/>
              <w:rPr>
                <w:rFonts w:hint="default" w:eastAsia="仿宋_GB2312"/>
                <w:highlight w:val="none"/>
                <w:lang w:val="en-US" w:eastAsia="zh-CN"/>
              </w:rPr>
            </w:pPr>
            <w:r>
              <w:rPr>
                <w:rFonts w:hint="eastAsia" w:ascii="宋体" w:hAnsi="宋体" w:eastAsia="宋体" w:cs="宋体"/>
                <w:b/>
                <w:bCs/>
                <w:highlight w:val="none"/>
                <w:lang w:val="en-US" w:eastAsia="zh-CN"/>
              </w:rPr>
              <w:t>本项目专门面向中小企业，价格不做扣除。</w:t>
            </w:r>
          </w:p>
        </w:tc>
      </w:tr>
      <w:tr w14:paraId="0B781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2112" w:type="dxa"/>
            <w:gridSpan w:val="2"/>
            <w:vAlign w:val="center"/>
          </w:tcPr>
          <w:p w14:paraId="411A8E19">
            <w:pPr>
              <w:spacing w:line="480" w:lineRule="exact"/>
              <w:jc w:val="center"/>
              <w:rPr>
                <w:rFonts w:ascii="宋体" w:hAnsi="宋体" w:cs="宋体"/>
                <w:sz w:val="24"/>
                <w:szCs w:val="24"/>
                <w:highlight w:val="none"/>
              </w:rPr>
            </w:pPr>
            <w:r>
              <w:rPr>
                <w:rFonts w:hint="eastAsia" w:ascii="宋体" w:hAnsi="宋体" w:cs="宋体"/>
                <w:sz w:val="24"/>
                <w:szCs w:val="24"/>
                <w:highlight w:val="none"/>
              </w:rPr>
              <w:t>备注</w:t>
            </w:r>
          </w:p>
        </w:tc>
        <w:tc>
          <w:tcPr>
            <w:tcW w:w="7259" w:type="dxa"/>
            <w:gridSpan w:val="2"/>
            <w:vAlign w:val="center"/>
          </w:tcPr>
          <w:p w14:paraId="75FE3FC7">
            <w:pPr>
              <w:spacing w:line="360" w:lineRule="auto"/>
              <w:jc w:val="left"/>
              <w:rPr>
                <w:rFonts w:ascii="宋体" w:hAnsi="宋体" w:cs="宋体"/>
                <w:sz w:val="24"/>
                <w:szCs w:val="24"/>
                <w:highlight w:val="none"/>
              </w:rPr>
            </w:pPr>
            <w:r>
              <w:rPr>
                <w:rFonts w:hint="eastAsia" w:ascii="宋体" w:hAnsi="宋体" w:cs="宋体"/>
                <w:sz w:val="24"/>
                <w:szCs w:val="24"/>
                <w:highlight w:val="none"/>
              </w:rPr>
              <w:t>1）各评标委员会独立打分。</w:t>
            </w:r>
          </w:p>
          <w:p w14:paraId="25363CBD">
            <w:pPr>
              <w:spacing w:line="360" w:lineRule="auto"/>
              <w:jc w:val="left"/>
              <w:rPr>
                <w:rFonts w:ascii="宋体" w:hAnsi="宋体" w:cs="宋体"/>
                <w:sz w:val="24"/>
                <w:szCs w:val="24"/>
                <w:highlight w:val="none"/>
              </w:rPr>
            </w:pPr>
            <w:r>
              <w:rPr>
                <w:rFonts w:hint="eastAsia" w:ascii="宋体" w:hAnsi="宋体" w:cs="宋体"/>
                <w:sz w:val="24"/>
                <w:szCs w:val="24"/>
                <w:highlight w:val="none"/>
              </w:rPr>
              <w:t>2）评标委员会成员打分超过得分界限或未按本表规定赋分时，该成员的打分作废，不计入汇总分。</w:t>
            </w:r>
          </w:p>
          <w:p w14:paraId="3C96E313">
            <w:pPr>
              <w:spacing w:line="360" w:lineRule="auto"/>
              <w:jc w:val="left"/>
              <w:rPr>
                <w:rFonts w:ascii="宋体" w:hAnsi="宋体" w:cs="宋体"/>
                <w:sz w:val="24"/>
                <w:szCs w:val="24"/>
                <w:highlight w:val="none"/>
              </w:rPr>
            </w:pPr>
            <w:r>
              <w:rPr>
                <w:rFonts w:hint="eastAsia" w:ascii="宋体" w:hAnsi="宋体" w:cs="宋体"/>
                <w:sz w:val="24"/>
                <w:szCs w:val="24"/>
                <w:highlight w:val="none"/>
              </w:rPr>
              <w:t>3）若出现综合得分并列时，比较价格得分，此分项得分高者排序在前；若价格得分仍相同，比较技术得分，此分项得分高者排序在前；若技术得分仍相同，则由全体评标委员会成员无记名投票，得票高者排序在前。</w:t>
            </w:r>
          </w:p>
          <w:p w14:paraId="25F817E1">
            <w:pPr>
              <w:spacing w:line="360" w:lineRule="auto"/>
              <w:jc w:val="left"/>
              <w:rPr>
                <w:rFonts w:ascii="宋体" w:hAnsi="宋体" w:cs="宋体"/>
                <w:sz w:val="24"/>
                <w:szCs w:val="24"/>
                <w:highlight w:val="none"/>
              </w:rPr>
            </w:pPr>
            <w:r>
              <w:rPr>
                <w:rFonts w:hint="eastAsia" w:ascii="宋体" w:hAnsi="宋体" w:cs="宋体"/>
                <w:sz w:val="24"/>
                <w:szCs w:val="24"/>
                <w:highlight w:val="none"/>
              </w:rPr>
              <w:t>4）各种计算采用插入法，数字均保留一位小数，第二位“四舍五入”。</w:t>
            </w:r>
          </w:p>
          <w:p w14:paraId="4B25EAD1">
            <w:pPr>
              <w:tabs>
                <w:tab w:val="left" w:pos="1599"/>
              </w:tabs>
              <w:jc w:val="left"/>
              <w:rPr>
                <w:rFonts w:ascii="宋体" w:hAnsi="宋体" w:cs="宋体"/>
                <w:b/>
                <w:bCs/>
                <w:sz w:val="24"/>
                <w:szCs w:val="24"/>
                <w:highlight w:val="none"/>
              </w:rPr>
            </w:pPr>
            <w:r>
              <w:rPr>
                <w:rFonts w:hint="eastAsia" w:ascii="宋体" w:hAnsi="宋体" w:cs="宋体"/>
                <w:sz w:val="24"/>
                <w:szCs w:val="24"/>
                <w:highlight w:val="none"/>
              </w:rPr>
              <w:t>5）评审过程中，若出现特殊情况时，由评审委员会决定暂停评审，并提出具体处理意见。</w:t>
            </w:r>
          </w:p>
        </w:tc>
      </w:tr>
    </w:tbl>
    <w:p w14:paraId="3DFEE03C">
      <w:pPr>
        <w:rPr>
          <w:rFonts w:asciiTheme="minorEastAsia" w:hAnsiTheme="minorEastAsia" w:eastAsiaTheme="minorEastAsia" w:cstheme="minorEastAsia"/>
          <w:b/>
          <w:spacing w:val="4"/>
          <w:sz w:val="24"/>
          <w:szCs w:val="24"/>
          <w:highlight w:val="none"/>
        </w:rPr>
      </w:pPr>
    </w:p>
    <w:p w14:paraId="5DAC6F0C">
      <w:pPr>
        <w:spacing w:line="360" w:lineRule="auto"/>
        <w:rPr>
          <w:rFonts w:asciiTheme="minorEastAsia" w:hAnsiTheme="minorEastAsia" w:eastAsiaTheme="minorEastAsia" w:cstheme="minorEastAsia"/>
          <w:b/>
          <w:spacing w:val="4"/>
          <w:sz w:val="24"/>
          <w:szCs w:val="24"/>
          <w:highlight w:val="none"/>
        </w:rPr>
      </w:pPr>
      <w:r>
        <w:rPr>
          <w:rFonts w:hint="eastAsia" w:asciiTheme="minorEastAsia" w:hAnsiTheme="minorEastAsia" w:eastAsiaTheme="minorEastAsia" w:cstheme="minorEastAsia"/>
          <w:b/>
          <w:spacing w:val="4"/>
          <w:sz w:val="24"/>
          <w:szCs w:val="24"/>
          <w:highlight w:val="none"/>
        </w:rPr>
        <w:t>五、定标：</w:t>
      </w:r>
    </w:p>
    <w:p w14:paraId="34375C95">
      <w:pPr>
        <w:spacing w:line="360" w:lineRule="auto"/>
        <w:ind w:firstLine="496" w:firstLineChars="200"/>
        <w:rPr>
          <w:rFonts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t>1、评标结果由全体</w:t>
      </w:r>
      <w:r>
        <w:rPr>
          <w:rFonts w:hint="eastAsia" w:asciiTheme="minorEastAsia" w:hAnsiTheme="minorEastAsia" w:eastAsiaTheme="minorEastAsia" w:cstheme="minorEastAsia"/>
          <w:sz w:val="24"/>
          <w:szCs w:val="24"/>
          <w:highlight w:val="none"/>
        </w:rPr>
        <w:t>评标委员会成员</w:t>
      </w:r>
      <w:r>
        <w:rPr>
          <w:rFonts w:hint="eastAsia" w:asciiTheme="minorEastAsia" w:hAnsiTheme="minorEastAsia" w:eastAsiaTheme="minorEastAsia" w:cstheme="minorEastAsia"/>
          <w:spacing w:val="4"/>
          <w:sz w:val="24"/>
          <w:szCs w:val="24"/>
          <w:highlight w:val="none"/>
        </w:rPr>
        <w:t>签字确认。</w:t>
      </w:r>
    </w:p>
    <w:p w14:paraId="722641E6">
      <w:pPr>
        <w:spacing w:line="360" w:lineRule="auto"/>
        <w:ind w:firstLine="496" w:firstLineChars="200"/>
        <w:rPr>
          <w:rFonts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t>2、采购人根据评标报告中推荐的中标候选人排列顺序确定供应商，以复函通知招标代理机构。</w:t>
      </w:r>
    </w:p>
    <w:p w14:paraId="3817D531">
      <w:pPr>
        <w:spacing w:line="360" w:lineRule="auto"/>
        <w:rPr>
          <w:rFonts w:asciiTheme="minorEastAsia" w:hAnsiTheme="minorEastAsia" w:eastAsiaTheme="minorEastAsia" w:cstheme="minorEastAsia"/>
          <w:sz w:val="36"/>
          <w:szCs w:val="36"/>
          <w:highlight w:val="none"/>
        </w:rPr>
      </w:pPr>
      <w:r>
        <w:rPr>
          <w:rFonts w:hint="eastAsia" w:asciiTheme="minorEastAsia" w:hAnsiTheme="minorEastAsia" w:eastAsiaTheme="minorEastAsia" w:cstheme="minorEastAsia"/>
          <w:sz w:val="36"/>
          <w:szCs w:val="36"/>
          <w:highlight w:val="none"/>
        </w:rPr>
        <w:br w:type="page"/>
      </w:r>
    </w:p>
    <w:p w14:paraId="1F636EA2">
      <w:pPr>
        <w:pStyle w:val="3"/>
        <w:jc w:val="center"/>
        <w:rPr>
          <w:rFonts w:asciiTheme="minorEastAsia" w:hAnsiTheme="minorEastAsia" w:eastAsiaTheme="minorEastAsia" w:cstheme="minorEastAsia"/>
          <w:bCs/>
          <w:sz w:val="36"/>
          <w:szCs w:val="36"/>
          <w:highlight w:val="none"/>
        </w:rPr>
      </w:pPr>
      <w:bookmarkStart w:id="79" w:name="_Toc26850"/>
      <w:r>
        <w:rPr>
          <w:rFonts w:hint="eastAsia" w:asciiTheme="minorEastAsia" w:hAnsiTheme="minorEastAsia" w:eastAsiaTheme="minorEastAsia" w:cstheme="minorEastAsia"/>
          <w:sz w:val="36"/>
          <w:szCs w:val="36"/>
          <w:highlight w:val="none"/>
        </w:rPr>
        <w:t xml:space="preserve">第四章 </w:t>
      </w:r>
      <w:bookmarkEnd w:id="74"/>
      <w:bookmarkEnd w:id="75"/>
      <w:bookmarkEnd w:id="76"/>
      <w:bookmarkEnd w:id="77"/>
      <w:bookmarkStart w:id="80" w:name="_Toc2068"/>
      <w:r>
        <w:rPr>
          <w:rFonts w:hint="eastAsia" w:asciiTheme="minorEastAsia" w:hAnsiTheme="minorEastAsia" w:eastAsiaTheme="minorEastAsia" w:cstheme="minorEastAsia"/>
          <w:sz w:val="36"/>
          <w:szCs w:val="36"/>
          <w:highlight w:val="none"/>
        </w:rPr>
        <w:t xml:space="preserve"> </w:t>
      </w:r>
      <w:r>
        <w:rPr>
          <w:rFonts w:hint="eastAsia" w:asciiTheme="minorEastAsia" w:hAnsiTheme="minorEastAsia" w:eastAsiaTheme="minorEastAsia" w:cstheme="minorEastAsia"/>
          <w:bCs/>
          <w:sz w:val="36"/>
          <w:szCs w:val="36"/>
          <w:highlight w:val="none"/>
        </w:rPr>
        <w:t>合同条款及格式</w:t>
      </w:r>
      <w:bookmarkEnd w:id="78"/>
      <w:bookmarkEnd w:id="79"/>
      <w:bookmarkEnd w:id="80"/>
    </w:p>
    <w:p w14:paraId="3D2B0895">
      <w:pPr>
        <w:pStyle w:val="4"/>
        <w:jc w:val="center"/>
        <w:rPr>
          <w:rFonts w:asciiTheme="minorEastAsia" w:hAnsiTheme="minorEastAsia" w:eastAsiaTheme="minorEastAsia" w:cstheme="minorEastAsia"/>
          <w:highlight w:val="none"/>
        </w:rPr>
      </w:pPr>
      <w:bookmarkStart w:id="81" w:name="_Toc6935"/>
      <w:bookmarkStart w:id="82" w:name="_Toc6496"/>
      <w:bookmarkStart w:id="83" w:name="_Toc30560"/>
      <w:r>
        <w:rPr>
          <w:rFonts w:hint="eastAsia" w:asciiTheme="minorEastAsia" w:hAnsiTheme="minorEastAsia" w:eastAsiaTheme="minorEastAsia" w:cstheme="minorEastAsia"/>
          <w:highlight w:val="none"/>
        </w:rPr>
        <w:t>合同条款及格式前附表</w:t>
      </w:r>
      <w:bookmarkEnd w:id="81"/>
      <w:bookmarkEnd w:id="82"/>
      <w:bookmarkEnd w:id="83"/>
    </w:p>
    <w:p w14:paraId="3347DD25">
      <w:pPr>
        <w:ind w:firstLine="480" w:firstLineChars="200"/>
        <w:rPr>
          <w:rFonts w:asciiTheme="minorEastAsia" w:hAnsiTheme="minorEastAsia" w:eastAsiaTheme="minorEastAsia" w:cstheme="minorEastAsia"/>
          <w:bCs/>
          <w:sz w:val="36"/>
          <w:szCs w:val="36"/>
          <w:highlight w:val="none"/>
        </w:rPr>
      </w:pPr>
      <w:r>
        <w:rPr>
          <w:rFonts w:hint="eastAsia" w:asciiTheme="minorEastAsia" w:hAnsiTheme="minorEastAsia" w:eastAsiaTheme="minorEastAsia" w:cstheme="minorEastAsia"/>
          <w:sz w:val="24"/>
          <w:szCs w:val="24"/>
          <w:highlight w:val="none"/>
        </w:rPr>
        <w:t>本表是对合同条款的具体补充和修改，如有矛盾，应以本资料表为准。</w:t>
      </w:r>
    </w:p>
    <w:tbl>
      <w:tblPr>
        <w:tblStyle w:val="28"/>
        <w:tblW w:w="923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087"/>
        <w:gridCol w:w="8152"/>
      </w:tblGrid>
      <w:tr w14:paraId="1415C8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87" w:type="dxa"/>
            <w:vAlign w:val="center"/>
          </w:tcPr>
          <w:p w14:paraId="13A46308">
            <w:pPr>
              <w:spacing w:line="360" w:lineRule="auto"/>
              <w:jc w:val="center"/>
              <w:rPr>
                <w:rFonts w:ascii="宋体" w:hAnsi="宋体" w:cs="宋体"/>
                <w:b/>
                <w:sz w:val="24"/>
                <w:szCs w:val="24"/>
                <w:highlight w:val="none"/>
              </w:rPr>
            </w:pPr>
            <w:bookmarkStart w:id="84" w:name="_Toc29888"/>
            <w:bookmarkStart w:id="85" w:name="_Toc31520"/>
            <w:bookmarkStart w:id="86" w:name="_Toc19246"/>
            <w:bookmarkStart w:id="87" w:name="_Toc19199"/>
            <w:bookmarkStart w:id="88" w:name="_Toc26595"/>
            <w:bookmarkStart w:id="89" w:name="_Toc8333"/>
            <w:bookmarkStart w:id="90" w:name="_Toc4679"/>
            <w:bookmarkStart w:id="91" w:name="_Toc389582037"/>
            <w:r>
              <w:rPr>
                <w:rFonts w:hint="eastAsia" w:ascii="宋体" w:hAnsi="宋体" w:cs="宋体"/>
                <w:b/>
                <w:sz w:val="24"/>
                <w:szCs w:val="24"/>
                <w:highlight w:val="none"/>
              </w:rPr>
              <w:t>序号</w:t>
            </w:r>
          </w:p>
        </w:tc>
        <w:tc>
          <w:tcPr>
            <w:tcW w:w="8152" w:type="dxa"/>
            <w:vAlign w:val="center"/>
          </w:tcPr>
          <w:p w14:paraId="10655483">
            <w:pPr>
              <w:spacing w:line="360" w:lineRule="auto"/>
              <w:jc w:val="center"/>
              <w:rPr>
                <w:rFonts w:ascii="宋体" w:hAnsi="宋体" w:cs="宋体"/>
                <w:b/>
                <w:sz w:val="24"/>
                <w:szCs w:val="24"/>
                <w:highlight w:val="none"/>
              </w:rPr>
            </w:pPr>
            <w:r>
              <w:rPr>
                <w:rFonts w:hint="eastAsia" w:ascii="宋体" w:hAnsi="宋体" w:cs="宋体"/>
                <w:b/>
                <w:sz w:val="24"/>
                <w:szCs w:val="24"/>
                <w:highlight w:val="none"/>
              </w:rPr>
              <w:t>内      容</w:t>
            </w:r>
          </w:p>
        </w:tc>
      </w:tr>
      <w:tr w14:paraId="4D8ECE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87" w:type="dxa"/>
            <w:vAlign w:val="center"/>
          </w:tcPr>
          <w:p w14:paraId="134984E6">
            <w:pPr>
              <w:jc w:val="center"/>
              <w:rPr>
                <w:rFonts w:ascii="宋体" w:hAnsi="宋体" w:cs="宋体"/>
                <w:sz w:val="24"/>
                <w:szCs w:val="24"/>
                <w:highlight w:val="none"/>
              </w:rPr>
            </w:pPr>
            <w:r>
              <w:rPr>
                <w:rFonts w:hint="eastAsia" w:ascii="宋体" w:hAnsi="宋体" w:cs="宋体"/>
                <w:sz w:val="24"/>
                <w:szCs w:val="24"/>
                <w:highlight w:val="none"/>
              </w:rPr>
              <w:t>1</w:t>
            </w:r>
          </w:p>
        </w:tc>
        <w:tc>
          <w:tcPr>
            <w:tcW w:w="8152" w:type="dxa"/>
            <w:vAlign w:val="center"/>
          </w:tcPr>
          <w:p w14:paraId="0A3D8D6C">
            <w:pPr>
              <w:spacing w:line="336" w:lineRule="auto"/>
              <w:jc w:val="left"/>
              <w:rPr>
                <w:rFonts w:hint="eastAsia" w:ascii="宋体" w:hAnsi="宋体" w:eastAsia="宋体" w:cs="宋体"/>
                <w:sz w:val="24"/>
                <w:szCs w:val="24"/>
                <w:highlight w:val="none"/>
                <w:lang w:eastAsia="zh-CN"/>
              </w:rPr>
            </w:pPr>
            <w:r>
              <w:rPr>
                <w:rFonts w:hint="eastAsia" w:ascii="宋体" w:hAnsi="宋体" w:cs="宋体"/>
                <w:sz w:val="24"/>
                <w:szCs w:val="24"/>
                <w:highlight w:val="none"/>
              </w:rPr>
              <w:t>采购人：</w:t>
            </w:r>
            <w:r>
              <w:rPr>
                <w:rFonts w:hint="eastAsia" w:ascii="宋体" w:hAnsi="宋体" w:cs="宋体"/>
                <w:kern w:val="0"/>
                <w:sz w:val="24"/>
                <w:szCs w:val="24"/>
                <w:highlight w:val="none"/>
                <w:lang w:eastAsia="zh-CN"/>
              </w:rPr>
              <w:t>镇安县黑窑沟国有林场</w:t>
            </w:r>
          </w:p>
          <w:p w14:paraId="161EE969">
            <w:pPr>
              <w:spacing w:line="336" w:lineRule="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cs="宋体"/>
                <w:sz w:val="24"/>
                <w:szCs w:val="24"/>
                <w:highlight w:val="none"/>
              </w:rPr>
              <w:t>地址：</w:t>
            </w:r>
            <w:r>
              <w:rPr>
                <w:rFonts w:hint="eastAsia" w:ascii="宋体" w:hAnsi="宋体" w:cs="宋体"/>
                <w:kern w:val="0"/>
                <w:sz w:val="24"/>
                <w:szCs w:val="24"/>
                <w:highlight w:val="none"/>
                <w:lang w:eastAsia="zh-CN"/>
              </w:rPr>
              <w:t>陕西省商洛市镇安县永乐街道办教场路56号</w:t>
            </w:r>
          </w:p>
          <w:p w14:paraId="57CB4EF6">
            <w:pPr>
              <w:spacing w:line="336" w:lineRule="auto"/>
              <w:rPr>
                <w:rFonts w:hint="eastAsia" w:ascii="宋体" w:hAnsi="宋体" w:eastAsia="宋体" w:cs="宋体"/>
                <w:sz w:val="24"/>
                <w:szCs w:val="24"/>
                <w:highlight w:val="none"/>
                <w:lang w:eastAsia="zh-CN"/>
              </w:rPr>
            </w:pPr>
            <w:r>
              <w:rPr>
                <w:rFonts w:hint="eastAsia" w:ascii="宋体" w:hAnsi="宋体" w:cs="宋体"/>
                <w:color w:val="000000" w:themeColor="text1"/>
                <w:sz w:val="24"/>
                <w:szCs w:val="24"/>
                <w:highlight w:val="none"/>
                <w14:textFill>
                  <w14:solidFill>
                    <w14:schemeClr w14:val="tx1"/>
                  </w14:solidFill>
                </w14:textFill>
              </w:rPr>
              <w:t>项目名称：</w:t>
            </w:r>
            <w:r>
              <w:rPr>
                <w:rFonts w:hint="eastAsia" w:ascii="宋体" w:hAnsi="宋体" w:cs="宋体"/>
                <w:color w:val="000000" w:themeColor="text1"/>
                <w:sz w:val="24"/>
                <w:szCs w:val="24"/>
                <w:highlight w:val="none"/>
                <w:lang w:eastAsia="zh-CN"/>
                <w14:textFill>
                  <w14:solidFill>
                    <w14:schemeClr w14:val="tx1"/>
                  </w14:solidFill>
                </w14:textFill>
              </w:rPr>
              <w:t>中央财政衔接推进乡村振兴补助资金（欠发达国有林场巩固提升任务）2025年林下种植（魔芋、天麻）建设项目</w:t>
            </w:r>
          </w:p>
          <w:p w14:paraId="1B90FEBD">
            <w:pPr>
              <w:spacing w:line="360" w:lineRule="auto"/>
              <w:rPr>
                <w:rFonts w:ascii="宋体" w:hAnsi="宋体" w:cs="宋体"/>
                <w:sz w:val="24"/>
                <w:szCs w:val="24"/>
                <w:highlight w:val="none"/>
              </w:rPr>
            </w:pPr>
            <w:r>
              <w:rPr>
                <w:rFonts w:hint="eastAsia" w:ascii="宋体" w:hAnsi="宋体" w:cs="宋体"/>
                <w:sz w:val="24"/>
                <w:szCs w:val="24"/>
                <w:highlight w:val="none"/>
              </w:rPr>
              <w:t>资金来源：</w:t>
            </w:r>
            <w:r>
              <w:rPr>
                <w:rFonts w:hint="eastAsia" w:ascii="宋体" w:hAnsi="宋体" w:cs="宋体"/>
                <w:sz w:val="24"/>
                <w:szCs w:val="24"/>
                <w:highlight w:val="none"/>
                <w:lang w:val="en-US" w:eastAsia="zh-CN"/>
              </w:rPr>
              <w:t>中央</w:t>
            </w:r>
            <w:r>
              <w:rPr>
                <w:rFonts w:hint="eastAsia" w:ascii="宋体" w:hAnsi="宋体" w:cs="宋体"/>
                <w:sz w:val="24"/>
                <w:szCs w:val="24"/>
                <w:highlight w:val="none"/>
              </w:rPr>
              <w:t>财政资金，资金已落实</w:t>
            </w:r>
          </w:p>
        </w:tc>
      </w:tr>
      <w:tr w14:paraId="4E66A4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87" w:type="dxa"/>
            <w:shd w:val="clear" w:color="auto" w:fill="auto"/>
            <w:vAlign w:val="center"/>
          </w:tcPr>
          <w:p w14:paraId="16F9C571">
            <w:pPr>
              <w:spacing w:line="360" w:lineRule="auto"/>
              <w:jc w:val="center"/>
              <w:rPr>
                <w:rFonts w:ascii="宋体" w:hAnsi="宋体" w:cs="宋体"/>
                <w:sz w:val="24"/>
                <w:szCs w:val="24"/>
                <w:highlight w:val="none"/>
              </w:rPr>
            </w:pPr>
            <w:r>
              <w:rPr>
                <w:rFonts w:hint="eastAsia" w:ascii="宋体" w:hAnsi="宋体" w:cs="宋体"/>
                <w:sz w:val="24"/>
                <w:szCs w:val="24"/>
                <w:highlight w:val="none"/>
              </w:rPr>
              <w:t>2</w:t>
            </w:r>
          </w:p>
        </w:tc>
        <w:tc>
          <w:tcPr>
            <w:tcW w:w="8152" w:type="dxa"/>
            <w:shd w:val="clear" w:color="auto" w:fill="auto"/>
            <w:vAlign w:val="center"/>
          </w:tcPr>
          <w:p w14:paraId="23ADAE86">
            <w:pPr>
              <w:spacing w:line="360" w:lineRule="auto"/>
              <w:rPr>
                <w:rFonts w:hint="eastAsia" w:ascii="宋体" w:hAnsi="宋体" w:eastAsia="宋体" w:cs="宋体"/>
                <w:sz w:val="24"/>
                <w:szCs w:val="24"/>
                <w:highlight w:val="none"/>
                <w:lang w:val="en-US" w:eastAsia="zh-CN"/>
              </w:rPr>
            </w:pPr>
            <w:r>
              <w:rPr>
                <w:rFonts w:hint="eastAsia" w:ascii="宋体" w:hAnsi="宋体" w:cs="宋体"/>
                <w:sz w:val="24"/>
                <w:szCs w:val="24"/>
                <w:highlight w:val="none"/>
              </w:rPr>
              <w:t>项目实施地点：</w:t>
            </w:r>
            <w:r>
              <w:rPr>
                <w:rFonts w:hint="eastAsia" w:ascii="宋体" w:hAnsi="宋体" w:cs="宋体"/>
                <w:sz w:val="24"/>
                <w:szCs w:val="24"/>
                <w:highlight w:val="none"/>
                <w:lang w:val="en-US" w:eastAsia="zh-CN"/>
              </w:rPr>
              <w:t>镇安县</w:t>
            </w:r>
          </w:p>
        </w:tc>
      </w:tr>
      <w:tr w14:paraId="07B39C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87" w:type="dxa"/>
            <w:shd w:val="clear" w:color="auto" w:fill="auto"/>
            <w:vAlign w:val="center"/>
          </w:tcPr>
          <w:p w14:paraId="2FA27DED">
            <w:pPr>
              <w:spacing w:line="360" w:lineRule="auto"/>
              <w:jc w:val="center"/>
              <w:rPr>
                <w:rFonts w:ascii="宋体" w:hAnsi="宋体" w:cs="宋体"/>
                <w:sz w:val="24"/>
                <w:szCs w:val="24"/>
                <w:highlight w:val="none"/>
              </w:rPr>
            </w:pPr>
            <w:r>
              <w:rPr>
                <w:rFonts w:hint="eastAsia" w:ascii="宋体" w:hAnsi="宋体" w:cs="宋体"/>
                <w:sz w:val="24"/>
                <w:szCs w:val="24"/>
                <w:highlight w:val="none"/>
              </w:rPr>
              <w:t>3</w:t>
            </w:r>
          </w:p>
        </w:tc>
        <w:tc>
          <w:tcPr>
            <w:tcW w:w="8152" w:type="dxa"/>
            <w:shd w:val="clear" w:color="auto" w:fill="auto"/>
            <w:vAlign w:val="center"/>
          </w:tcPr>
          <w:p w14:paraId="5BAC899F">
            <w:pPr>
              <w:spacing w:line="360" w:lineRule="auto"/>
              <w:rPr>
                <w:rFonts w:ascii="宋体" w:hAnsi="宋体" w:cs="宋体"/>
                <w:sz w:val="24"/>
                <w:szCs w:val="24"/>
                <w:highlight w:val="none"/>
              </w:rPr>
            </w:pPr>
            <w:r>
              <w:rPr>
                <w:rFonts w:hint="eastAsia" w:ascii="宋体" w:hAnsi="宋体" w:cs="宋体"/>
                <w:b/>
                <w:bCs/>
                <w:color w:val="000000" w:themeColor="text1"/>
                <w:sz w:val="24"/>
                <w:szCs w:val="24"/>
                <w:highlight w:val="none"/>
                <w14:textFill>
                  <w14:solidFill>
                    <w14:schemeClr w14:val="tx1"/>
                  </w14:solidFill>
                </w14:textFill>
              </w:rPr>
              <w:t>工期：自合同签订之日起</w:t>
            </w:r>
            <w:r>
              <w:rPr>
                <w:rFonts w:hint="eastAsia" w:ascii="宋体" w:hAnsi="宋体" w:cs="宋体"/>
                <w:b/>
                <w:bCs/>
                <w:color w:val="000000" w:themeColor="text1"/>
                <w:sz w:val="24"/>
                <w:szCs w:val="24"/>
                <w:highlight w:val="none"/>
                <w:lang w:val="en-US" w:eastAsia="zh-CN"/>
                <w14:textFill>
                  <w14:solidFill>
                    <w14:schemeClr w14:val="tx1"/>
                  </w14:solidFill>
                </w14:textFill>
              </w:rPr>
              <w:t>160</w:t>
            </w:r>
            <w:r>
              <w:rPr>
                <w:rFonts w:hint="eastAsia" w:ascii="宋体" w:hAnsi="宋体" w:cs="宋体"/>
                <w:b/>
                <w:bCs/>
                <w:color w:val="000000" w:themeColor="text1"/>
                <w:sz w:val="24"/>
                <w:szCs w:val="24"/>
                <w:highlight w:val="none"/>
                <w14:textFill>
                  <w14:solidFill>
                    <w14:schemeClr w14:val="tx1"/>
                  </w14:solidFill>
                </w14:textFill>
              </w:rPr>
              <w:t>日历天；</w:t>
            </w:r>
          </w:p>
        </w:tc>
      </w:tr>
      <w:tr w14:paraId="39D5B6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87" w:type="dxa"/>
            <w:shd w:val="clear" w:color="auto" w:fill="auto"/>
            <w:vAlign w:val="center"/>
          </w:tcPr>
          <w:p w14:paraId="43BA900C">
            <w:pPr>
              <w:spacing w:line="360" w:lineRule="auto"/>
              <w:jc w:val="center"/>
              <w:rPr>
                <w:rFonts w:ascii="宋体" w:hAnsi="宋体" w:cs="宋体"/>
                <w:sz w:val="24"/>
                <w:szCs w:val="24"/>
                <w:highlight w:val="none"/>
              </w:rPr>
            </w:pPr>
            <w:r>
              <w:rPr>
                <w:rFonts w:hint="eastAsia" w:ascii="宋体" w:hAnsi="宋体" w:cs="宋体"/>
                <w:sz w:val="24"/>
                <w:szCs w:val="24"/>
                <w:highlight w:val="none"/>
              </w:rPr>
              <w:t>4</w:t>
            </w:r>
          </w:p>
        </w:tc>
        <w:tc>
          <w:tcPr>
            <w:tcW w:w="8152" w:type="dxa"/>
            <w:shd w:val="clear" w:color="auto" w:fill="auto"/>
            <w:vAlign w:val="center"/>
          </w:tcPr>
          <w:p w14:paraId="67AF40B4">
            <w:pPr>
              <w:spacing w:line="360" w:lineRule="auto"/>
              <w:rPr>
                <w:rFonts w:ascii="宋体" w:hAnsi="宋体" w:cs="宋体"/>
                <w:sz w:val="24"/>
                <w:szCs w:val="24"/>
                <w:highlight w:val="none"/>
              </w:rPr>
            </w:pPr>
            <w:r>
              <w:rPr>
                <w:rFonts w:hint="eastAsia" w:ascii="宋体" w:hAnsi="宋体" w:cs="宋体"/>
                <w:sz w:val="24"/>
                <w:szCs w:val="24"/>
                <w:highlight w:val="none"/>
              </w:rPr>
              <w:t>质量标准：符合国家现行有关质量验收规范“合格”要求。</w:t>
            </w:r>
          </w:p>
        </w:tc>
      </w:tr>
      <w:tr w14:paraId="6F6250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87" w:type="dxa"/>
            <w:vAlign w:val="center"/>
          </w:tcPr>
          <w:p w14:paraId="5FBD3D00">
            <w:pPr>
              <w:spacing w:line="360" w:lineRule="auto"/>
              <w:jc w:val="center"/>
              <w:rPr>
                <w:rFonts w:ascii="宋体" w:hAnsi="宋体" w:cs="宋体"/>
                <w:sz w:val="24"/>
                <w:szCs w:val="24"/>
                <w:highlight w:val="none"/>
                <w:shd w:val="clear" w:color="FFFFFF" w:fill="D9D9D9"/>
              </w:rPr>
            </w:pPr>
            <w:r>
              <w:rPr>
                <w:rFonts w:hint="eastAsia" w:ascii="宋体" w:hAnsi="宋体" w:cs="宋体"/>
                <w:sz w:val="24"/>
                <w:szCs w:val="24"/>
                <w:highlight w:val="none"/>
              </w:rPr>
              <w:t>5</w:t>
            </w:r>
          </w:p>
        </w:tc>
        <w:tc>
          <w:tcPr>
            <w:tcW w:w="8152" w:type="dxa"/>
            <w:vAlign w:val="center"/>
          </w:tcPr>
          <w:p w14:paraId="5C0056D8">
            <w:pPr>
              <w:spacing w:line="360" w:lineRule="auto"/>
              <w:rPr>
                <w:rFonts w:ascii="宋体" w:hAnsi="宋体" w:cs="宋体"/>
                <w:sz w:val="24"/>
                <w:szCs w:val="24"/>
                <w:highlight w:val="none"/>
              </w:rPr>
            </w:pPr>
            <w:r>
              <w:rPr>
                <w:rFonts w:hint="eastAsia" w:ascii="宋体" w:hAnsi="宋体" w:cs="宋体"/>
                <w:sz w:val="24"/>
                <w:szCs w:val="24"/>
                <w:highlight w:val="none"/>
              </w:rPr>
              <w:t>1.合同总价即中标价，中标报价采用固定总价。中标报价是招标文件所确定的全部工程内容的价格体现。任何有选择的报价将不予接受，按无效投标响应。投标人根据自行确定的施工方案进行自主报价。</w:t>
            </w:r>
          </w:p>
          <w:p w14:paraId="3E225AF2">
            <w:pPr>
              <w:spacing w:line="360" w:lineRule="auto"/>
              <w:rPr>
                <w:rFonts w:ascii="宋体" w:hAnsi="宋体" w:cs="宋体"/>
                <w:sz w:val="24"/>
                <w:szCs w:val="24"/>
                <w:highlight w:val="none"/>
              </w:rPr>
            </w:pPr>
            <w:r>
              <w:rPr>
                <w:rFonts w:hint="eastAsia" w:ascii="宋体" w:hAnsi="宋体" w:cs="宋体"/>
                <w:sz w:val="24"/>
                <w:szCs w:val="24"/>
                <w:highlight w:val="none"/>
              </w:rPr>
              <w:t>2.中标后合同总价不做调整，不再因为环境的变化和工程量的增减而变化，任何有选择的报价将不予接受。</w:t>
            </w:r>
          </w:p>
          <w:p w14:paraId="31D87753">
            <w:pPr>
              <w:spacing w:line="360" w:lineRule="auto"/>
              <w:rPr>
                <w:rFonts w:ascii="宋体" w:hAnsi="宋体" w:cs="宋体"/>
                <w:sz w:val="24"/>
                <w:szCs w:val="24"/>
                <w:highlight w:val="none"/>
              </w:rPr>
            </w:pPr>
            <w:r>
              <w:rPr>
                <w:rFonts w:hint="eastAsia" w:ascii="宋体" w:hAnsi="宋体" w:cs="宋体"/>
                <w:sz w:val="24"/>
                <w:szCs w:val="24"/>
                <w:highlight w:val="none"/>
              </w:rPr>
              <w:t>3.付款方式和程序：</w:t>
            </w:r>
          </w:p>
          <w:p w14:paraId="5E2C942E">
            <w:pPr>
              <w:spacing w:line="360" w:lineRule="auto"/>
              <w:rPr>
                <w:rFonts w:ascii="宋体" w:hAnsi="宋体" w:cs="宋体"/>
                <w:sz w:val="24"/>
                <w:szCs w:val="24"/>
                <w:highlight w:val="none"/>
              </w:rPr>
            </w:pPr>
            <w:r>
              <w:rPr>
                <w:rFonts w:hint="eastAsia" w:ascii="宋体" w:hAnsi="宋体" w:cs="宋体"/>
                <w:sz w:val="24"/>
                <w:szCs w:val="24"/>
                <w:highlight w:val="none"/>
              </w:rPr>
              <w:t>（1）银行转账，项目实施完成并通过验收后，由供应商提供票据等财务报账所需材料进行报账。</w:t>
            </w:r>
          </w:p>
          <w:p w14:paraId="121E977C">
            <w:pPr>
              <w:spacing w:line="360" w:lineRule="auto"/>
              <w:rPr>
                <w:rFonts w:hint="eastAsia" w:ascii="宋体" w:hAnsi="宋体" w:eastAsia="宋体" w:cs="宋体"/>
                <w:sz w:val="24"/>
                <w:szCs w:val="24"/>
                <w:highlight w:val="none"/>
              </w:rPr>
            </w:pPr>
            <w:r>
              <w:rPr>
                <w:rFonts w:hint="eastAsia" w:ascii="宋体" w:hAnsi="宋体" w:cs="宋体"/>
                <w:b/>
                <w:bCs/>
                <w:sz w:val="24"/>
                <w:szCs w:val="24"/>
                <w:highlight w:val="none"/>
              </w:rPr>
              <w:t>（2）</w:t>
            </w:r>
            <w:r>
              <w:rPr>
                <w:rFonts w:hint="eastAsia" w:ascii="宋体" w:hAnsi="宋体" w:eastAsia="宋体" w:cs="宋体"/>
                <w:b/>
                <w:bCs/>
                <w:sz w:val="24"/>
                <w:szCs w:val="24"/>
                <w:highlight w:val="none"/>
              </w:rPr>
              <w:t>付款方式：</w:t>
            </w:r>
            <w:r>
              <w:rPr>
                <w:rFonts w:hint="eastAsia" w:ascii="宋体" w:hAnsi="宋体" w:eastAsia="宋体" w:cs="宋体"/>
                <w:sz w:val="24"/>
                <w:szCs w:val="24"/>
                <w:highlight w:val="none"/>
                <w:lang w:val="en-US" w:eastAsia="zh-CN"/>
              </w:rPr>
              <w:t>按照施工进度支付工程款，施工合同签订后，</w:t>
            </w:r>
            <w:r>
              <w:rPr>
                <w:rFonts w:hint="eastAsia" w:ascii="宋体" w:hAnsi="宋体" w:eastAsia="宋体" w:cs="宋体"/>
                <w:sz w:val="24"/>
                <w:szCs w:val="24"/>
                <w:highlight w:val="none"/>
              </w:rPr>
              <w:t>支付合同总价的</w:t>
            </w:r>
            <w:r>
              <w:rPr>
                <w:rFonts w:hint="eastAsia" w:ascii="宋体" w:hAnsi="宋体" w:eastAsia="宋体" w:cs="宋体"/>
                <w:sz w:val="24"/>
                <w:szCs w:val="24"/>
                <w:highlight w:val="none"/>
                <w:lang w:val="en-US" w:eastAsia="zh-CN"/>
              </w:rPr>
              <w:t>30</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工程施工进度到</w:t>
            </w:r>
            <w:r>
              <w:rPr>
                <w:rFonts w:hint="eastAsia" w:ascii="宋体" w:hAnsi="宋体" w:eastAsia="宋体" w:cs="宋体"/>
                <w:sz w:val="24"/>
                <w:szCs w:val="24"/>
                <w:highlight w:val="none"/>
                <w:lang w:val="en-US" w:eastAsia="zh-CN"/>
              </w:rPr>
              <w:t>30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支</w:t>
            </w:r>
            <w:r>
              <w:rPr>
                <w:rFonts w:hint="eastAsia" w:ascii="宋体" w:hAnsi="宋体" w:eastAsia="宋体" w:cs="宋体"/>
                <w:sz w:val="24"/>
                <w:szCs w:val="24"/>
                <w:highlight w:val="none"/>
              </w:rPr>
              <w:t>付合同总价的</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0%</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工程施工进度到80%支付合同总价的20%</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工程施工完毕</w:t>
            </w:r>
            <w:r>
              <w:rPr>
                <w:rFonts w:hint="eastAsia" w:ascii="宋体" w:hAnsi="宋体" w:eastAsia="宋体" w:cs="宋体"/>
                <w:sz w:val="24"/>
                <w:szCs w:val="24"/>
                <w:highlight w:val="none"/>
                <w:lang w:val="en-US" w:eastAsia="zh-CN"/>
              </w:rPr>
              <w:t>自查</w:t>
            </w:r>
            <w:r>
              <w:rPr>
                <w:rFonts w:hint="eastAsia" w:ascii="宋体" w:hAnsi="宋体" w:eastAsia="宋体" w:cs="宋体"/>
                <w:sz w:val="24"/>
                <w:szCs w:val="24"/>
                <w:highlight w:val="none"/>
              </w:rPr>
              <w:t>验收合格后支付合同总价的</w:t>
            </w:r>
            <w:r>
              <w:rPr>
                <w:rFonts w:hint="eastAsia" w:ascii="宋体" w:hAnsi="宋体" w:eastAsia="宋体" w:cs="宋体"/>
                <w:sz w:val="24"/>
                <w:szCs w:val="24"/>
                <w:highlight w:val="none"/>
                <w:lang w:val="en-US" w:eastAsia="zh-CN"/>
              </w:rPr>
              <w:t>17</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预留工程总价款</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%的质量保证金，</w:t>
            </w:r>
            <w:r>
              <w:rPr>
                <w:rFonts w:hint="eastAsia" w:ascii="宋体" w:hAnsi="宋体" w:eastAsia="宋体" w:cs="宋体"/>
                <w:sz w:val="24"/>
                <w:szCs w:val="24"/>
                <w:highlight w:val="none"/>
                <w:lang w:val="en-US" w:eastAsia="zh-CN"/>
              </w:rPr>
              <w:t>质保期1年，</w:t>
            </w:r>
            <w:r>
              <w:rPr>
                <w:rFonts w:hint="eastAsia" w:ascii="宋体" w:hAnsi="宋体" w:eastAsia="宋体" w:cs="宋体"/>
                <w:sz w:val="24"/>
                <w:szCs w:val="24"/>
                <w:highlight w:val="none"/>
              </w:rPr>
              <w:t>待</w:t>
            </w:r>
            <w:r>
              <w:rPr>
                <w:rFonts w:hint="eastAsia" w:ascii="宋体" w:hAnsi="宋体" w:eastAsia="宋体" w:cs="宋体"/>
                <w:sz w:val="24"/>
                <w:szCs w:val="24"/>
                <w:highlight w:val="none"/>
                <w:lang w:val="en-US" w:eastAsia="zh-CN"/>
              </w:rPr>
              <w:t>上级</w:t>
            </w:r>
            <w:r>
              <w:rPr>
                <w:rFonts w:hint="eastAsia" w:ascii="宋体" w:hAnsi="宋体" w:eastAsia="宋体" w:cs="宋体"/>
                <w:sz w:val="24"/>
                <w:szCs w:val="24"/>
                <w:highlight w:val="none"/>
              </w:rPr>
              <w:t>验收合格后再</w:t>
            </w:r>
            <w:r>
              <w:rPr>
                <w:rFonts w:hint="eastAsia" w:ascii="宋体" w:hAnsi="宋体" w:eastAsia="宋体" w:cs="宋体"/>
                <w:sz w:val="24"/>
                <w:szCs w:val="24"/>
                <w:highlight w:val="none"/>
                <w:lang w:val="en-US" w:eastAsia="zh-CN"/>
              </w:rPr>
              <w:t>由甲方</w:t>
            </w:r>
            <w:r>
              <w:rPr>
                <w:rFonts w:hint="eastAsia" w:ascii="宋体" w:hAnsi="宋体" w:eastAsia="宋体" w:cs="宋体"/>
                <w:sz w:val="24"/>
                <w:szCs w:val="24"/>
                <w:highlight w:val="none"/>
              </w:rPr>
              <w:t>予以支付</w:t>
            </w:r>
            <w:r>
              <w:rPr>
                <w:rFonts w:hint="eastAsia" w:ascii="宋体" w:hAnsi="宋体" w:eastAsia="宋体" w:cs="宋体"/>
                <w:sz w:val="24"/>
                <w:szCs w:val="24"/>
                <w:highlight w:val="none"/>
                <w:lang w:val="en-US" w:eastAsia="zh-CN"/>
              </w:rPr>
              <w:t>。</w:t>
            </w:r>
          </w:p>
          <w:p w14:paraId="5F5A4739">
            <w:pPr>
              <w:spacing w:line="360" w:lineRule="auto"/>
              <w:rPr>
                <w:rFonts w:ascii="宋体" w:hAnsi="宋体" w:cs="宋体"/>
                <w:sz w:val="24"/>
                <w:szCs w:val="24"/>
                <w:highlight w:val="none"/>
              </w:rPr>
            </w:pPr>
            <w:r>
              <w:rPr>
                <w:rFonts w:hint="eastAsia" w:ascii="宋体" w:hAnsi="宋体" w:eastAsia="宋体" w:cs="宋体"/>
                <w:sz w:val="24"/>
                <w:szCs w:val="24"/>
                <w:highlight w:val="none"/>
                <w:lang w:val="en-US" w:eastAsia="zh-CN"/>
              </w:rPr>
              <w:t>（具体以合同签订为准）。</w:t>
            </w:r>
          </w:p>
        </w:tc>
      </w:tr>
      <w:tr w14:paraId="3DECF7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87" w:type="dxa"/>
            <w:vAlign w:val="center"/>
          </w:tcPr>
          <w:p w14:paraId="09EDB383">
            <w:pPr>
              <w:spacing w:line="360" w:lineRule="auto"/>
              <w:jc w:val="center"/>
              <w:rPr>
                <w:rFonts w:ascii="宋体" w:hAnsi="宋体" w:cs="宋体"/>
                <w:sz w:val="24"/>
                <w:szCs w:val="24"/>
                <w:highlight w:val="none"/>
              </w:rPr>
            </w:pPr>
            <w:r>
              <w:rPr>
                <w:rFonts w:hint="eastAsia" w:ascii="宋体" w:hAnsi="宋体" w:cs="宋体"/>
                <w:sz w:val="24"/>
                <w:szCs w:val="24"/>
                <w:highlight w:val="none"/>
              </w:rPr>
              <w:t>6</w:t>
            </w:r>
          </w:p>
        </w:tc>
        <w:tc>
          <w:tcPr>
            <w:tcW w:w="8152" w:type="dxa"/>
            <w:vAlign w:val="center"/>
          </w:tcPr>
          <w:p w14:paraId="31922E73">
            <w:pPr>
              <w:pStyle w:val="15"/>
              <w:spacing w:line="360" w:lineRule="auto"/>
              <w:rPr>
                <w:rFonts w:hAnsi="宋体"/>
                <w:b/>
                <w:bCs/>
                <w:kern w:val="0"/>
                <w:sz w:val="24"/>
                <w:szCs w:val="24"/>
                <w:highlight w:val="none"/>
              </w:rPr>
            </w:pPr>
            <w:r>
              <w:rPr>
                <w:rFonts w:hint="eastAsia" w:hAnsi="宋体"/>
                <w:b/>
                <w:bCs/>
                <w:kern w:val="0"/>
                <w:sz w:val="24"/>
                <w:szCs w:val="24"/>
                <w:highlight w:val="none"/>
              </w:rPr>
              <w:t>质量保证：</w:t>
            </w:r>
          </w:p>
          <w:p w14:paraId="6F4D3F51">
            <w:pPr>
              <w:spacing w:line="520" w:lineRule="exact"/>
              <w:ind w:firstLine="480" w:firstLineChars="200"/>
              <w:rPr>
                <w:rFonts w:ascii="宋体" w:hAnsi="宋体" w:cs="宋体"/>
                <w:kern w:val="0"/>
                <w:sz w:val="24"/>
                <w:szCs w:val="24"/>
                <w:highlight w:val="none"/>
              </w:rPr>
            </w:pPr>
            <w:r>
              <w:rPr>
                <w:rFonts w:hint="eastAsia" w:ascii="宋体" w:hAnsi="宋体" w:cs="宋体"/>
                <w:sz w:val="24"/>
                <w:szCs w:val="24"/>
                <w:highlight w:val="none"/>
              </w:rPr>
              <w:t>供应商必须保证工程及服务质量可靠，并全面满足招标文件的要求，招标文件未明确要求的内容，供应商须按采购人的补充要求为准。技术标准严格按国家最新发布的规范标准执行，如发生质量问题由供应商承担全部责任。</w:t>
            </w:r>
          </w:p>
        </w:tc>
      </w:tr>
      <w:tr w14:paraId="7070BE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87" w:type="dxa"/>
            <w:vAlign w:val="center"/>
          </w:tcPr>
          <w:p w14:paraId="24BFDCB3">
            <w:pPr>
              <w:spacing w:line="360" w:lineRule="auto"/>
              <w:jc w:val="center"/>
              <w:rPr>
                <w:rFonts w:ascii="宋体" w:hAnsi="宋体" w:cs="宋体"/>
                <w:sz w:val="24"/>
                <w:szCs w:val="24"/>
                <w:highlight w:val="none"/>
              </w:rPr>
            </w:pPr>
            <w:r>
              <w:rPr>
                <w:rFonts w:hint="eastAsia" w:ascii="宋体" w:hAnsi="宋体" w:cs="宋体"/>
                <w:sz w:val="24"/>
                <w:szCs w:val="24"/>
                <w:highlight w:val="none"/>
              </w:rPr>
              <w:t>7</w:t>
            </w:r>
          </w:p>
        </w:tc>
        <w:tc>
          <w:tcPr>
            <w:tcW w:w="8152" w:type="dxa"/>
            <w:vAlign w:val="center"/>
          </w:tcPr>
          <w:p w14:paraId="303BB2BA">
            <w:pPr>
              <w:spacing w:line="360" w:lineRule="auto"/>
              <w:rPr>
                <w:rFonts w:ascii="宋体" w:hAnsi="宋体" w:cs="宋体"/>
                <w:b/>
                <w:sz w:val="24"/>
                <w:szCs w:val="24"/>
                <w:highlight w:val="none"/>
              </w:rPr>
            </w:pPr>
            <w:r>
              <w:rPr>
                <w:rFonts w:hint="eastAsia" w:ascii="宋体" w:hAnsi="宋体" w:cs="宋体"/>
                <w:b/>
                <w:sz w:val="24"/>
                <w:szCs w:val="24"/>
                <w:highlight w:val="none"/>
              </w:rPr>
              <w:t>验收：</w:t>
            </w:r>
          </w:p>
          <w:p w14:paraId="07F32339">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由采购人和供应商共同对项目进行整体验收。其内容包括</w:t>
            </w:r>
            <w:r>
              <w:rPr>
                <w:rFonts w:hint="eastAsia" w:ascii="宋体" w:hAnsi="宋体" w:cs="宋体"/>
                <w:sz w:val="24"/>
                <w:szCs w:val="24"/>
                <w:highlight w:val="none"/>
                <w:lang w:val="en-US" w:eastAsia="zh-CN"/>
              </w:rPr>
              <w:t>林下种植工程</w:t>
            </w:r>
            <w:r>
              <w:rPr>
                <w:rFonts w:hint="eastAsia" w:ascii="宋体" w:hAnsi="宋体" w:cs="宋体"/>
                <w:sz w:val="24"/>
                <w:szCs w:val="24"/>
                <w:highlight w:val="none"/>
              </w:rPr>
              <w:t>是否达到现行国家有关验收规范“合格”标准、是否按照采购人要求按时完工。</w:t>
            </w:r>
          </w:p>
          <w:p w14:paraId="182C8946">
            <w:pPr>
              <w:spacing w:line="520" w:lineRule="exact"/>
              <w:ind w:firstLine="480" w:firstLineChars="200"/>
              <w:rPr>
                <w:rFonts w:ascii="宋体" w:hAnsi="宋体" w:cs="宋体"/>
                <w:sz w:val="24"/>
                <w:szCs w:val="24"/>
                <w:highlight w:val="none"/>
              </w:rPr>
            </w:pPr>
            <w:r>
              <w:rPr>
                <w:rFonts w:hint="eastAsia" w:ascii="宋体" w:hAnsi="宋体" w:cs="宋体"/>
                <w:sz w:val="24"/>
                <w:szCs w:val="24"/>
                <w:highlight w:val="none"/>
              </w:rPr>
              <w:t>1.所验各项内容最终验收达不到招标文件要求和投标文件承诺的，或在后续使用中发现采购人不能容忍的缺陷等，将视为验收不合格，供应商应在采购人要求的时间内无条件整改及恢复。</w:t>
            </w:r>
          </w:p>
          <w:p w14:paraId="49AA56B0">
            <w:pPr>
              <w:spacing w:line="520" w:lineRule="exact"/>
              <w:ind w:firstLine="480" w:firstLineChars="200"/>
              <w:rPr>
                <w:rFonts w:ascii="宋体" w:hAnsi="宋体" w:cs="宋体"/>
                <w:sz w:val="24"/>
                <w:szCs w:val="24"/>
                <w:highlight w:val="none"/>
              </w:rPr>
            </w:pPr>
            <w:r>
              <w:rPr>
                <w:rFonts w:hint="eastAsia" w:ascii="宋体" w:hAnsi="宋体" w:cs="宋体"/>
                <w:sz w:val="24"/>
                <w:szCs w:val="24"/>
                <w:highlight w:val="none"/>
              </w:rPr>
              <w:t>2.若发现供应商有弄虚作假的，在投标阶段故意或随意夸大技术能力、工程、服务质量的，采购人有权解除合同，并且要求供应商赔偿相关损失。</w:t>
            </w:r>
          </w:p>
          <w:p w14:paraId="42532423">
            <w:pPr>
              <w:spacing w:line="520" w:lineRule="exact"/>
              <w:ind w:firstLine="480" w:firstLineChars="200"/>
              <w:rPr>
                <w:rFonts w:ascii="宋体" w:hAnsi="宋体" w:cs="宋体"/>
                <w:sz w:val="24"/>
                <w:szCs w:val="24"/>
                <w:highlight w:val="none"/>
              </w:rPr>
            </w:pPr>
            <w:r>
              <w:rPr>
                <w:rFonts w:hint="eastAsia" w:ascii="宋体" w:hAnsi="宋体" w:cs="宋体"/>
                <w:sz w:val="24"/>
                <w:szCs w:val="24"/>
                <w:highlight w:val="none"/>
              </w:rPr>
              <w:t>3.验收标准：按招标文件、投标文件及澄清函等技术指标进行验收。各项指标均应符合验收标准及要求。</w:t>
            </w:r>
          </w:p>
          <w:p w14:paraId="4402DCE8">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4.验收合格后，填写验收单，双方签字生效。</w:t>
            </w:r>
          </w:p>
          <w:p w14:paraId="69270F86">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5.验收依据：</w:t>
            </w:r>
          </w:p>
          <w:p w14:paraId="059CED0B">
            <w:pPr>
              <w:numPr>
                <w:ilvl w:val="0"/>
                <w:numId w:val="1"/>
              </w:numPr>
              <w:tabs>
                <w:tab w:val="left" w:pos="498"/>
                <w:tab w:val="clear" w:pos="840"/>
              </w:tabs>
              <w:spacing w:line="360" w:lineRule="auto"/>
              <w:ind w:hanging="625"/>
              <w:rPr>
                <w:rFonts w:ascii="宋体" w:hAnsi="宋体" w:cs="宋体"/>
                <w:sz w:val="24"/>
                <w:szCs w:val="24"/>
                <w:highlight w:val="none"/>
              </w:rPr>
            </w:pPr>
            <w:r>
              <w:rPr>
                <w:rFonts w:hint="eastAsia" w:ascii="宋体" w:hAnsi="宋体" w:cs="宋体"/>
                <w:sz w:val="24"/>
                <w:szCs w:val="24"/>
                <w:highlight w:val="none"/>
              </w:rPr>
              <w:t>合同文本；</w:t>
            </w:r>
          </w:p>
          <w:p w14:paraId="6E6DB112">
            <w:pPr>
              <w:numPr>
                <w:ilvl w:val="0"/>
                <w:numId w:val="1"/>
              </w:numPr>
              <w:tabs>
                <w:tab w:val="left" w:pos="498"/>
                <w:tab w:val="clear" w:pos="840"/>
              </w:tabs>
              <w:spacing w:line="360" w:lineRule="auto"/>
              <w:ind w:hanging="625"/>
              <w:rPr>
                <w:rFonts w:ascii="宋体" w:hAnsi="宋体" w:cs="宋体"/>
                <w:sz w:val="24"/>
                <w:szCs w:val="24"/>
                <w:highlight w:val="none"/>
              </w:rPr>
            </w:pPr>
            <w:r>
              <w:rPr>
                <w:rFonts w:hint="eastAsia" w:ascii="宋体" w:hAnsi="宋体" w:cs="宋体"/>
                <w:sz w:val="24"/>
                <w:szCs w:val="24"/>
                <w:highlight w:val="none"/>
              </w:rPr>
              <w:t>招标文件及澄清函、投标文件；</w:t>
            </w:r>
          </w:p>
          <w:p w14:paraId="424774D5">
            <w:pPr>
              <w:numPr>
                <w:ilvl w:val="0"/>
                <w:numId w:val="1"/>
              </w:numPr>
              <w:tabs>
                <w:tab w:val="left" w:pos="498"/>
                <w:tab w:val="clear" w:pos="840"/>
              </w:tabs>
              <w:spacing w:line="360" w:lineRule="auto"/>
              <w:ind w:hanging="625"/>
              <w:rPr>
                <w:rFonts w:ascii="宋体" w:hAnsi="宋体" w:cs="宋体"/>
                <w:sz w:val="24"/>
                <w:szCs w:val="24"/>
                <w:highlight w:val="none"/>
              </w:rPr>
            </w:pPr>
            <w:r>
              <w:rPr>
                <w:rFonts w:hint="eastAsia" w:ascii="宋体" w:hAnsi="宋体" w:cs="宋体"/>
                <w:sz w:val="24"/>
                <w:szCs w:val="24"/>
                <w:highlight w:val="none"/>
              </w:rPr>
              <w:t>国家和行业制定的相应的标准和规范；</w:t>
            </w:r>
          </w:p>
          <w:p w14:paraId="3E4B1E1D">
            <w:pPr>
              <w:tabs>
                <w:tab w:val="left" w:pos="498"/>
              </w:tabs>
              <w:spacing w:line="360" w:lineRule="auto"/>
              <w:ind w:firstLine="240" w:firstLineChars="100"/>
              <w:rPr>
                <w:rFonts w:ascii="宋体" w:hAnsi="宋体" w:cs="宋体"/>
                <w:sz w:val="24"/>
                <w:szCs w:val="24"/>
                <w:highlight w:val="none"/>
              </w:rPr>
            </w:pPr>
            <w:r>
              <w:rPr>
                <w:rFonts w:hint="eastAsia" w:ascii="宋体" w:hAnsi="宋体" w:cs="宋体"/>
                <w:sz w:val="24"/>
                <w:szCs w:val="24"/>
                <w:highlight w:val="none"/>
              </w:rPr>
              <w:t>d)验收清单。</w:t>
            </w:r>
          </w:p>
        </w:tc>
      </w:tr>
      <w:tr w14:paraId="43BF34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87" w:type="dxa"/>
            <w:vAlign w:val="center"/>
          </w:tcPr>
          <w:p w14:paraId="1AE03D57">
            <w:pPr>
              <w:pStyle w:val="15"/>
              <w:spacing w:line="360" w:lineRule="auto"/>
              <w:jc w:val="center"/>
              <w:rPr>
                <w:rFonts w:hAnsi="宋体"/>
                <w:sz w:val="24"/>
                <w:szCs w:val="24"/>
                <w:highlight w:val="none"/>
              </w:rPr>
            </w:pPr>
            <w:r>
              <w:rPr>
                <w:rFonts w:hint="eastAsia" w:hAnsi="宋体"/>
                <w:sz w:val="24"/>
                <w:szCs w:val="24"/>
                <w:highlight w:val="none"/>
              </w:rPr>
              <w:t>8</w:t>
            </w:r>
          </w:p>
        </w:tc>
        <w:tc>
          <w:tcPr>
            <w:tcW w:w="8152" w:type="dxa"/>
            <w:vAlign w:val="center"/>
          </w:tcPr>
          <w:p w14:paraId="53398401">
            <w:pPr>
              <w:spacing w:line="360" w:lineRule="auto"/>
              <w:rPr>
                <w:rFonts w:ascii="宋体" w:hAnsi="宋体" w:cs="宋体"/>
                <w:b/>
                <w:bCs/>
                <w:sz w:val="24"/>
                <w:szCs w:val="24"/>
                <w:highlight w:val="none"/>
              </w:rPr>
            </w:pPr>
            <w:r>
              <w:rPr>
                <w:rFonts w:hint="eastAsia" w:ascii="宋体" w:hAnsi="宋体" w:cs="宋体"/>
                <w:b/>
                <w:bCs/>
                <w:sz w:val="24"/>
                <w:szCs w:val="24"/>
                <w:highlight w:val="none"/>
              </w:rPr>
              <w:t>安全责任：</w:t>
            </w:r>
          </w:p>
          <w:p w14:paraId="5957A24E">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本项目施工过程中的安全责任均由中标单位负责。</w:t>
            </w:r>
          </w:p>
        </w:tc>
      </w:tr>
      <w:tr w14:paraId="7EC433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87" w:type="dxa"/>
            <w:vAlign w:val="center"/>
          </w:tcPr>
          <w:p w14:paraId="45F2A002">
            <w:pPr>
              <w:pStyle w:val="15"/>
              <w:spacing w:line="360" w:lineRule="auto"/>
              <w:jc w:val="center"/>
              <w:rPr>
                <w:rFonts w:hAnsi="宋体"/>
                <w:sz w:val="24"/>
                <w:szCs w:val="24"/>
                <w:highlight w:val="none"/>
              </w:rPr>
            </w:pPr>
            <w:r>
              <w:rPr>
                <w:rFonts w:hint="eastAsia" w:hAnsi="宋体"/>
                <w:sz w:val="24"/>
                <w:szCs w:val="24"/>
                <w:highlight w:val="none"/>
              </w:rPr>
              <w:t>9</w:t>
            </w:r>
          </w:p>
        </w:tc>
        <w:tc>
          <w:tcPr>
            <w:tcW w:w="8152" w:type="dxa"/>
            <w:vAlign w:val="center"/>
          </w:tcPr>
          <w:p w14:paraId="2EFF77C6">
            <w:pPr>
              <w:spacing w:line="360" w:lineRule="auto"/>
              <w:rPr>
                <w:rFonts w:ascii="宋体" w:hAnsi="宋体" w:cs="宋体"/>
                <w:b/>
                <w:sz w:val="24"/>
                <w:szCs w:val="24"/>
                <w:highlight w:val="none"/>
              </w:rPr>
            </w:pPr>
            <w:r>
              <w:rPr>
                <w:rFonts w:hint="eastAsia" w:ascii="宋体" w:hAnsi="宋体" w:cs="宋体"/>
                <w:b/>
                <w:sz w:val="24"/>
                <w:szCs w:val="24"/>
                <w:highlight w:val="none"/>
              </w:rPr>
              <w:t>违约责任：</w:t>
            </w:r>
          </w:p>
          <w:p w14:paraId="4DE2D179">
            <w:pPr>
              <w:tabs>
                <w:tab w:val="left" w:pos="152"/>
              </w:tabs>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1、按《民法典》中的相关条款执行。</w:t>
            </w:r>
          </w:p>
          <w:p w14:paraId="544ABFE2">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2、未按合同要求提供服务或服务不能满足合同要求，采购人应当将服务商违约的情况以及拟采取的措施以书面形式报政府采购监管部门，根据政府采购监管部门的处理意见，采购人有权依据《民法典》有关条款及合同约定终止合同，并要求服务商承担违约责任。同时，政府采购监管部门有权依据《政府采购法》及相关法律法规对服务商的违法行为进行相应的处罚。</w:t>
            </w:r>
          </w:p>
        </w:tc>
      </w:tr>
      <w:tr w14:paraId="7135FF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87" w:type="dxa"/>
            <w:vAlign w:val="center"/>
          </w:tcPr>
          <w:p w14:paraId="6F1FC836">
            <w:pPr>
              <w:spacing w:line="360" w:lineRule="auto"/>
              <w:jc w:val="center"/>
              <w:rPr>
                <w:rFonts w:ascii="宋体" w:hAnsi="宋体" w:cs="宋体"/>
                <w:sz w:val="24"/>
                <w:szCs w:val="24"/>
                <w:highlight w:val="none"/>
              </w:rPr>
            </w:pPr>
            <w:r>
              <w:rPr>
                <w:rFonts w:hint="eastAsia" w:ascii="宋体" w:hAnsi="宋体" w:cs="宋体"/>
                <w:sz w:val="24"/>
                <w:szCs w:val="24"/>
                <w:highlight w:val="none"/>
              </w:rPr>
              <w:t>10</w:t>
            </w:r>
          </w:p>
        </w:tc>
        <w:tc>
          <w:tcPr>
            <w:tcW w:w="8152" w:type="dxa"/>
            <w:vAlign w:val="center"/>
          </w:tcPr>
          <w:p w14:paraId="480E15AA">
            <w:pPr>
              <w:spacing w:line="360" w:lineRule="auto"/>
              <w:rPr>
                <w:rFonts w:ascii="宋体" w:hAnsi="宋体" w:cs="宋体"/>
                <w:b/>
                <w:sz w:val="24"/>
                <w:szCs w:val="24"/>
                <w:highlight w:val="none"/>
              </w:rPr>
            </w:pPr>
            <w:r>
              <w:rPr>
                <w:rFonts w:hint="eastAsia" w:ascii="宋体" w:hAnsi="宋体" w:cs="宋体"/>
                <w:b/>
                <w:sz w:val="24"/>
                <w:szCs w:val="24"/>
                <w:highlight w:val="none"/>
              </w:rPr>
              <w:t>政府采购合同：</w:t>
            </w:r>
          </w:p>
          <w:p w14:paraId="41D190F2">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政府采购合同适用民法典。采购人和供应商之间的权利和义务，应当按照平等、自愿的原则以合同方式约定。</w:t>
            </w:r>
            <w:r>
              <w:rPr>
                <w:rFonts w:hint="eastAsia" w:ascii="宋体" w:hAnsi="宋体" w:cs="宋体"/>
                <w:sz w:val="24"/>
                <w:szCs w:val="24"/>
                <w:highlight w:val="none"/>
              </w:rPr>
              <w:br w:type="textWrapping"/>
            </w:r>
            <w:r>
              <w:rPr>
                <w:rFonts w:hint="eastAsia" w:ascii="宋体" w:hAnsi="宋体" w:cs="宋体"/>
                <w:sz w:val="24"/>
                <w:szCs w:val="24"/>
                <w:highlight w:val="none"/>
              </w:rPr>
              <w:t xml:space="preserve">    政府采购合同应当采用书面形式。</w:t>
            </w:r>
          </w:p>
          <w:p w14:paraId="6AF08991">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国务院政府采购监督管理部门应当会同国务院有关部门，规定政府采购合同必须具备的条款。</w:t>
            </w:r>
            <w:r>
              <w:rPr>
                <w:rFonts w:hint="eastAsia" w:ascii="宋体" w:hAnsi="宋体" w:cs="宋体"/>
                <w:sz w:val="24"/>
                <w:szCs w:val="24"/>
                <w:highlight w:val="none"/>
              </w:rPr>
              <w:br w:type="textWrapping"/>
            </w:r>
            <w:r>
              <w:rPr>
                <w:rFonts w:hint="eastAsia" w:ascii="宋体" w:hAnsi="宋体" w:cs="宋体"/>
                <w:sz w:val="24"/>
                <w:szCs w:val="24"/>
                <w:highlight w:val="none"/>
              </w:rPr>
              <w:t xml:space="preserve">    采购人与中标、成交供应商应当在中标、成交通知书发出之日起</w:t>
            </w:r>
            <w:r>
              <w:rPr>
                <w:rFonts w:hint="eastAsia" w:ascii="宋体" w:hAnsi="宋体" w:cs="宋体"/>
                <w:sz w:val="24"/>
                <w:szCs w:val="24"/>
                <w:highlight w:val="none"/>
                <w:lang w:val="en-US" w:eastAsia="zh-CN"/>
              </w:rPr>
              <w:t>二十五</w:t>
            </w:r>
            <w:r>
              <w:rPr>
                <w:rFonts w:hint="eastAsia" w:ascii="宋体" w:hAnsi="宋体" w:cs="宋体"/>
                <w:sz w:val="24"/>
                <w:szCs w:val="24"/>
                <w:highlight w:val="none"/>
              </w:rPr>
              <w:t>内，按照采购文件确定的事项签订政府采购合同。</w:t>
            </w:r>
            <w:r>
              <w:rPr>
                <w:rFonts w:hint="eastAsia" w:ascii="宋体" w:hAnsi="宋体" w:cs="宋体"/>
                <w:sz w:val="24"/>
                <w:szCs w:val="24"/>
                <w:highlight w:val="none"/>
              </w:rPr>
              <w:br w:type="textWrapping"/>
            </w:r>
            <w:r>
              <w:rPr>
                <w:rFonts w:hint="eastAsia" w:ascii="宋体" w:hAnsi="宋体" w:cs="宋体"/>
                <w:sz w:val="24"/>
                <w:szCs w:val="24"/>
                <w:highlight w:val="none"/>
              </w:rPr>
              <w:t xml:space="preserve">    中标、成交通知书对采购人和中标、成交供应商均具有法律效力。中标、成交通知书发出后，采购人改变中标、成交结果的，或者中标、成交供应商放弃中标、成交项目的，应当依法承担法律责任。</w:t>
            </w:r>
          </w:p>
          <w:p w14:paraId="7E1402AF">
            <w:pPr>
              <w:pStyle w:val="15"/>
              <w:spacing w:line="360" w:lineRule="auto"/>
              <w:ind w:firstLine="480" w:firstLineChars="200"/>
              <w:rPr>
                <w:rFonts w:hAnsi="宋体"/>
                <w:sz w:val="24"/>
                <w:szCs w:val="24"/>
                <w:highlight w:val="none"/>
              </w:rPr>
            </w:pPr>
            <w:r>
              <w:rPr>
                <w:rFonts w:hint="eastAsia" w:hAnsi="宋体"/>
                <w:sz w:val="24"/>
                <w:szCs w:val="24"/>
                <w:highlight w:val="none"/>
              </w:rPr>
              <w:t>政府采购项目的采购合同自签订之日起七个工作日内，采购人应当将合同副本报同级政府采购监督管理部门和有关部门备案。</w:t>
            </w:r>
            <w:r>
              <w:rPr>
                <w:rFonts w:hint="eastAsia" w:hAnsi="宋体"/>
                <w:sz w:val="24"/>
                <w:szCs w:val="24"/>
                <w:highlight w:val="none"/>
              </w:rPr>
              <w:br w:type="textWrapping"/>
            </w:r>
            <w:r>
              <w:rPr>
                <w:rFonts w:hint="eastAsia" w:hAnsi="宋体"/>
                <w:sz w:val="24"/>
                <w:szCs w:val="24"/>
                <w:highlight w:val="none"/>
              </w:rPr>
              <w:t xml:space="preserve">    经采购人同意，中标、成交供应商可以依法采取分包方式履行合同。政府采购合同分包履行的，中标、成交供应商就采购项目和分包项目向采购人负责，分包供应商就分包项目承担责任。</w:t>
            </w:r>
            <w:r>
              <w:rPr>
                <w:rFonts w:hint="eastAsia" w:hAnsi="宋体"/>
                <w:sz w:val="24"/>
                <w:szCs w:val="24"/>
                <w:highlight w:val="none"/>
              </w:rPr>
              <w:br w:type="textWrapping"/>
            </w:r>
            <w:r>
              <w:rPr>
                <w:rFonts w:hint="eastAsia" w:hAnsi="宋体"/>
                <w:sz w:val="24"/>
                <w:szCs w:val="24"/>
                <w:highlight w:val="none"/>
              </w:rPr>
              <w:t xml:space="preserve">    政府采购合同履行中，采购人需追加与合同标的相同的货物、工程或者服务的，在不改变合同其他条款的前提下，可以与供应商协商签订补充合同，但所有补充合同的采购金额不得超过原合同采购金额的百分之十。</w:t>
            </w:r>
            <w:r>
              <w:rPr>
                <w:rFonts w:hint="eastAsia" w:hAnsi="宋体"/>
                <w:sz w:val="24"/>
                <w:szCs w:val="24"/>
                <w:highlight w:val="none"/>
              </w:rPr>
              <w:br w:type="textWrapping"/>
            </w:r>
            <w:r>
              <w:rPr>
                <w:rFonts w:hint="eastAsia" w:hAnsi="宋体"/>
                <w:sz w:val="24"/>
                <w:szCs w:val="24"/>
                <w:highlight w:val="none"/>
              </w:rPr>
              <w:t xml:space="preserve">    政府采购合同的双方当事人不得擅自变更、中止或者终止合同。</w:t>
            </w:r>
            <w:r>
              <w:rPr>
                <w:rFonts w:hint="eastAsia" w:hAnsi="宋体"/>
                <w:sz w:val="24"/>
                <w:szCs w:val="24"/>
                <w:highlight w:val="none"/>
              </w:rPr>
              <w:br w:type="textWrapping"/>
            </w:r>
            <w:r>
              <w:rPr>
                <w:rFonts w:hint="eastAsia" w:hAnsi="宋体"/>
                <w:sz w:val="24"/>
                <w:szCs w:val="24"/>
                <w:highlight w:val="none"/>
              </w:rPr>
              <w:t>政府采购合同继续履行将损害国家利益和社会公共利益的，双方当事人应当变更、中止或者终止合同。有过错的一方应当承担赔偿责任，双方都有过错的，各自承担相应的责任。</w:t>
            </w:r>
          </w:p>
        </w:tc>
      </w:tr>
    </w:tbl>
    <w:p w14:paraId="5A7417CC">
      <w:pPr>
        <w:spacing w:line="360" w:lineRule="auto"/>
        <w:rPr>
          <w:rFonts w:asciiTheme="minorEastAsia" w:hAnsiTheme="minorEastAsia" w:eastAsiaTheme="minorEastAsia" w:cstheme="minorEastAsia"/>
          <w:b/>
          <w:bCs/>
          <w:sz w:val="48"/>
          <w:szCs w:val="48"/>
          <w:highlight w:val="none"/>
        </w:rPr>
      </w:pPr>
      <w:r>
        <w:rPr>
          <w:rFonts w:hint="eastAsia" w:asciiTheme="minorEastAsia" w:hAnsiTheme="minorEastAsia" w:eastAsiaTheme="minorEastAsia" w:cstheme="minorEastAsia"/>
          <w:b/>
          <w:bCs/>
          <w:sz w:val="48"/>
          <w:szCs w:val="48"/>
          <w:highlight w:val="none"/>
        </w:rPr>
        <w:br w:type="page"/>
      </w:r>
    </w:p>
    <w:p w14:paraId="1D3B6D31">
      <w:pPr>
        <w:jc w:val="center"/>
        <w:rPr>
          <w:rFonts w:ascii="华文仿宋" w:hAnsi="华文仿宋" w:eastAsia="华文仿宋" w:cs="华文仿宋"/>
          <w:b/>
          <w:sz w:val="52"/>
          <w:szCs w:val="52"/>
          <w:highlight w:val="none"/>
        </w:rPr>
      </w:pPr>
    </w:p>
    <w:p w14:paraId="15D86D1F">
      <w:pPr>
        <w:jc w:val="center"/>
        <w:rPr>
          <w:rFonts w:ascii="华文仿宋" w:hAnsi="华文仿宋" w:eastAsia="华文仿宋" w:cs="华文仿宋"/>
          <w:b/>
          <w:sz w:val="52"/>
          <w:szCs w:val="52"/>
          <w:highlight w:val="none"/>
        </w:rPr>
      </w:pPr>
    </w:p>
    <w:p w14:paraId="4F6E495B">
      <w:pPr>
        <w:jc w:val="center"/>
        <w:rPr>
          <w:rFonts w:ascii="华文仿宋" w:hAnsi="华文仿宋" w:eastAsia="华文仿宋" w:cs="华文仿宋"/>
          <w:b/>
          <w:sz w:val="52"/>
          <w:szCs w:val="52"/>
          <w:highlight w:val="none"/>
        </w:rPr>
      </w:pPr>
    </w:p>
    <w:p w14:paraId="3351A120">
      <w:pPr>
        <w:jc w:val="center"/>
        <w:rPr>
          <w:rFonts w:ascii="华文仿宋" w:hAnsi="华文仿宋" w:eastAsia="华文仿宋" w:cs="华文仿宋"/>
          <w:b/>
          <w:sz w:val="52"/>
          <w:szCs w:val="52"/>
          <w:highlight w:val="none"/>
        </w:rPr>
      </w:pPr>
    </w:p>
    <w:p w14:paraId="1B565ADD">
      <w:pPr>
        <w:jc w:val="center"/>
        <w:rPr>
          <w:rFonts w:ascii="华文仿宋" w:hAnsi="华文仿宋" w:eastAsia="华文仿宋" w:cs="华文仿宋"/>
          <w:b/>
          <w:sz w:val="52"/>
          <w:szCs w:val="52"/>
          <w:highlight w:val="none"/>
        </w:rPr>
      </w:pPr>
    </w:p>
    <w:p w14:paraId="6F81CC43">
      <w:pPr>
        <w:jc w:val="center"/>
        <w:rPr>
          <w:rFonts w:hint="eastAsia" w:eastAsia="宋体"/>
          <w:b/>
          <w:sz w:val="32"/>
          <w:szCs w:val="32"/>
          <w:highlight w:val="none"/>
          <w:lang w:eastAsia="zh-CN"/>
        </w:rPr>
      </w:pPr>
      <w:r>
        <w:rPr>
          <w:rFonts w:hint="eastAsia" w:ascii="华文仿宋" w:hAnsi="华文仿宋" w:eastAsia="华文仿宋" w:cs="华文仿宋"/>
          <w:b/>
          <w:sz w:val="40"/>
          <w:szCs w:val="40"/>
          <w:highlight w:val="none"/>
          <w:lang w:eastAsia="zh-CN"/>
        </w:rPr>
        <w:t>中央财政衔接推进乡村振兴补助资金（欠发达国有林场巩固提升任务）2025年林下种植（魔芋、天麻）建设项目</w:t>
      </w:r>
    </w:p>
    <w:p w14:paraId="279A52AC">
      <w:pPr>
        <w:jc w:val="center"/>
        <w:rPr>
          <w:b/>
          <w:sz w:val="44"/>
          <w:szCs w:val="44"/>
          <w:highlight w:val="none"/>
        </w:rPr>
      </w:pPr>
    </w:p>
    <w:p w14:paraId="468FE67C">
      <w:pPr>
        <w:jc w:val="center"/>
        <w:rPr>
          <w:sz w:val="28"/>
          <w:szCs w:val="28"/>
          <w:highlight w:val="none"/>
        </w:rPr>
      </w:pPr>
      <w:r>
        <w:rPr>
          <w:rFonts w:hint="eastAsia"/>
          <w:b/>
          <w:sz w:val="44"/>
          <w:szCs w:val="44"/>
          <w:highlight w:val="none"/>
        </w:rPr>
        <w:t>（示范文本）</w:t>
      </w:r>
    </w:p>
    <w:p w14:paraId="775C4BE1">
      <w:pPr>
        <w:jc w:val="center"/>
        <w:rPr>
          <w:sz w:val="28"/>
          <w:szCs w:val="28"/>
          <w:highlight w:val="none"/>
        </w:rPr>
      </w:pPr>
    </w:p>
    <w:p w14:paraId="5B8F6BC3">
      <w:pPr>
        <w:jc w:val="center"/>
        <w:rPr>
          <w:sz w:val="28"/>
          <w:szCs w:val="28"/>
          <w:highlight w:val="none"/>
        </w:rPr>
      </w:pPr>
    </w:p>
    <w:p w14:paraId="1385B052">
      <w:pPr>
        <w:rPr>
          <w:sz w:val="28"/>
          <w:szCs w:val="28"/>
          <w:highlight w:val="none"/>
        </w:rPr>
      </w:pPr>
    </w:p>
    <w:p w14:paraId="1A03FED5">
      <w:pPr>
        <w:rPr>
          <w:sz w:val="28"/>
          <w:szCs w:val="28"/>
          <w:highlight w:val="none"/>
        </w:rPr>
      </w:pPr>
    </w:p>
    <w:p w14:paraId="484A2FAC">
      <w:pPr>
        <w:rPr>
          <w:sz w:val="28"/>
          <w:szCs w:val="28"/>
          <w:highlight w:val="none"/>
        </w:rPr>
      </w:pPr>
    </w:p>
    <w:p w14:paraId="636C1F98">
      <w:pPr>
        <w:rPr>
          <w:sz w:val="28"/>
          <w:szCs w:val="28"/>
          <w:highlight w:val="none"/>
        </w:rPr>
      </w:pPr>
    </w:p>
    <w:p w14:paraId="2BBF7780">
      <w:pPr>
        <w:rPr>
          <w:sz w:val="28"/>
          <w:szCs w:val="28"/>
          <w:highlight w:val="none"/>
        </w:rPr>
      </w:pPr>
    </w:p>
    <w:p w14:paraId="562E1A29">
      <w:pPr>
        <w:rPr>
          <w:sz w:val="28"/>
          <w:szCs w:val="28"/>
          <w:highlight w:val="none"/>
        </w:rPr>
      </w:pPr>
    </w:p>
    <w:p w14:paraId="3DFD8668">
      <w:pPr>
        <w:rPr>
          <w:sz w:val="28"/>
          <w:szCs w:val="28"/>
          <w:highlight w:val="none"/>
        </w:rPr>
      </w:pPr>
    </w:p>
    <w:p w14:paraId="6BB96E66">
      <w:pPr>
        <w:rPr>
          <w:sz w:val="28"/>
          <w:szCs w:val="28"/>
          <w:highlight w:val="none"/>
        </w:rPr>
      </w:pPr>
    </w:p>
    <w:p w14:paraId="7A147CE6">
      <w:pPr>
        <w:rPr>
          <w:sz w:val="28"/>
          <w:szCs w:val="28"/>
          <w:highlight w:val="none"/>
        </w:rPr>
      </w:pPr>
    </w:p>
    <w:p w14:paraId="481F64EF">
      <w:pPr>
        <w:ind w:firstLine="1960" w:firstLineChars="700"/>
        <w:rPr>
          <w:sz w:val="28"/>
          <w:szCs w:val="28"/>
          <w:highlight w:val="none"/>
          <w:u w:val="single"/>
        </w:rPr>
      </w:pPr>
    </w:p>
    <w:p w14:paraId="3A175702">
      <w:pPr>
        <w:ind w:firstLine="1960" w:firstLineChars="700"/>
        <w:rPr>
          <w:sz w:val="28"/>
          <w:szCs w:val="28"/>
          <w:highlight w:val="none"/>
          <w:u w:val="single"/>
        </w:rPr>
      </w:pPr>
    </w:p>
    <w:p w14:paraId="018BF219">
      <w:pPr>
        <w:pageBreakBefore/>
        <w:spacing w:afterLines="50" w:line="360" w:lineRule="auto"/>
        <w:jc w:val="center"/>
        <w:rPr>
          <w:rFonts w:hAnsi="宋体"/>
          <w:b/>
          <w:sz w:val="32"/>
          <w:szCs w:val="32"/>
          <w:highlight w:val="none"/>
        </w:rPr>
      </w:pPr>
      <w:bookmarkStart w:id="92" w:name="_Toc826"/>
      <w:bookmarkStart w:id="93" w:name="_Toc27199"/>
      <w:bookmarkStart w:id="94" w:name="_Toc18407"/>
      <w:r>
        <w:rPr>
          <w:rFonts w:hint="eastAsia" w:hAnsi="宋体"/>
          <w:b/>
          <w:sz w:val="32"/>
          <w:szCs w:val="32"/>
          <w:highlight w:val="none"/>
        </w:rPr>
        <w:t>第一部分  协议书</w:t>
      </w:r>
      <w:bookmarkEnd w:id="92"/>
      <w:bookmarkEnd w:id="93"/>
      <w:bookmarkEnd w:id="94"/>
    </w:p>
    <w:p w14:paraId="74E10DC5">
      <w:pPr>
        <w:spacing w:beforeLines="100" w:afterLines="100" w:line="360" w:lineRule="auto"/>
        <w:ind w:firstLine="460" w:firstLineChars="192"/>
        <w:jc w:val="left"/>
        <w:rPr>
          <w:rFonts w:ascii="宋体" w:hAnsi="宋体" w:cs="宋体"/>
          <w:sz w:val="24"/>
          <w:szCs w:val="24"/>
          <w:highlight w:val="none"/>
        </w:rPr>
      </w:pPr>
      <w:r>
        <w:rPr>
          <w:rFonts w:hint="eastAsia" w:ascii="宋体" w:hAnsi="宋体" w:cs="宋体"/>
          <w:sz w:val="24"/>
          <w:szCs w:val="24"/>
          <w:highlight w:val="none"/>
        </w:rPr>
        <w:t>发包人（全称）：</w:t>
      </w:r>
      <w:r>
        <w:rPr>
          <w:rFonts w:hint="eastAsia" w:ascii="宋体" w:hAnsi="宋体" w:cs="宋体"/>
          <w:sz w:val="24"/>
          <w:szCs w:val="24"/>
          <w:highlight w:val="none"/>
          <w:u w:val="single"/>
        </w:rPr>
        <w:t xml:space="preserve">                                  </w:t>
      </w:r>
    </w:p>
    <w:p w14:paraId="79D13E23">
      <w:pPr>
        <w:spacing w:beforeLines="100" w:afterLines="100" w:line="360" w:lineRule="auto"/>
        <w:ind w:firstLine="460" w:firstLineChars="192"/>
        <w:jc w:val="left"/>
        <w:rPr>
          <w:rFonts w:ascii="宋体" w:hAnsi="宋体" w:cs="宋体"/>
          <w:sz w:val="24"/>
          <w:szCs w:val="24"/>
          <w:highlight w:val="none"/>
        </w:rPr>
      </w:pPr>
      <w:r>
        <w:rPr>
          <w:rFonts w:hint="eastAsia" w:ascii="宋体" w:hAnsi="宋体" w:cs="宋体"/>
          <w:sz w:val="24"/>
          <w:szCs w:val="24"/>
          <w:highlight w:val="none"/>
        </w:rPr>
        <w:t>承包人（全称）：</w:t>
      </w:r>
      <w:r>
        <w:rPr>
          <w:rFonts w:hint="eastAsia" w:ascii="宋体" w:hAnsi="宋体" w:cs="宋体"/>
          <w:sz w:val="24"/>
          <w:szCs w:val="24"/>
          <w:highlight w:val="none"/>
          <w:u w:val="single"/>
        </w:rPr>
        <w:t xml:space="preserve">                                  </w:t>
      </w:r>
    </w:p>
    <w:p w14:paraId="2FF56EF9">
      <w:pPr>
        <w:spacing w:beforeLines="100" w:afterLines="100" w:line="360" w:lineRule="auto"/>
        <w:ind w:firstLine="460" w:firstLineChars="192"/>
        <w:jc w:val="left"/>
        <w:rPr>
          <w:rFonts w:ascii="宋体" w:hAnsi="宋体" w:cs="宋体"/>
          <w:sz w:val="24"/>
          <w:szCs w:val="24"/>
          <w:highlight w:val="none"/>
        </w:rPr>
      </w:pPr>
      <w:r>
        <w:rPr>
          <w:rFonts w:hint="eastAsia" w:ascii="宋体" w:hAnsi="宋体" w:cs="宋体"/>
          <w:sz w:val="24"/>
          <w:szCs w:val="24"/>
          <w:highlight w:val="none"/>
        </w:rPr>
        <w:t xml:space="preserve">依照《中华人民共和国民法典》及其他有关法律、行政法规，遵循平等、自愿、公平和诚实信用的原则，双方就本建设工程施工事项协商一致，订立本合同。 </w:t>
      </w:r>
    </w:p>
    <w:p w14:paraId="03D1BA79">
      <w:pPr>
        <w:spacing w:beforeLines="100" w:afterLines="100" w:line="360" w:lineRule="auto"/>
        <w:ind w:firstLine="460" w:firstLineChars="192"/>
        <w:jc w:val="left"/>
        <w:rPr>
          <w:rFonts w:ascii="宋体" w:hAnsi="宋体" w:cs="宋体"/>
          <w:sz w:val="24"/>
          <w:szCs w:val="24"/>
          <w:highlight w:val="none"/>
        </w:rPr>
      </w:pPr>
      <w:r>
        <w:rPr>
          <w:rFonts w:hint="eastAsia" w:ascii="宋体" w:hAnsi="宋体" w:cs="宋体"/>
          <w:sz w:val="24"/>
          <w:szCs w:val="24"/>
          <w:highlight w:val="none"/>
        </w:rPr>
        <w:t>一、工程概况：</w:t>
      </w:r>
    </w:p>
    <w:p w14:paraId="738A2E9A">
      <w:pPr>
        <w:spacing w:beforeLines="100" w:afterLines="100" w:line="360" w:lineRule="auto"/>
        <w:ind w:firstLine="460" w:firstLineChars="192"/>
        <w:jc w:val="left"/>
        <w:rPr>
          <w:rFonts w:ascii="宋体" w:hAnsi="宋体" w:cs="宋体"/>
          <w:sz w:val="24"/>
          <w:szCs w:val="24"/>
          <w:highlight w:val="none"/>
        </w:rPr>
      </w:pPr>
      <w:r>
        <w:rPr>
          <w:rFonts w:hint="eastAsia" w:ascii="宋体" w:hAnsi="宋体" w:cs="宋体"/>
          <w:sz w:val="24"/>
          <w:szCs w:val="24"/>
          <w:highlight w:val="none"/>
        </w:rPr>
        <w:t>工程名称：</w:t>
      </w:r>
      <w:r>
        <w:rPr>
          <w:rFonts w:hint="eastAsia" w:ascii="宋体" w:hAnsi="宋体" w:cs="宋体"/>
          <w:sz w:val="24"/>
          <w:szCs w:val="24"/>
          <w:highlight w:val="none"/>
          <w:u w:val="single"/>
        </w:rPr>
        <w:t xml:space="preserve">                                                          </w:t>
      </w:r>
    </w:p>
    <w:p w14:paraId="1BE5E440">
      <w:pPr>
        <w:spacing w:beforeLines="100" w:afterLines="100" w:line="360" w:lineRule="auto"/>
        <w:ind w:firstLine="460" w:firstLineChars="192"/>
        <w:jc w:val="left"/>
        <w:rPr>
          <w:rFonts w:ascii="宋体" w:hAnsi="宋体" w:cs="宋体"/>
          <w:sz w:val="24"/>
          <w:szCs w:val="24"/>
          <w:highlight w:val="none"/>
        </w:rPr>
      </w:pPr>
      <w:r>
        <w:rPr>
          <w:rFonts w:hint="eastAsia" w:ascii="宋体" w:hAnsi="宋体" w:cs="宋体"/>
          <w:sz w:val="24"/>
          <w:szCs w:val="24"/>
          <w:highlight w:val="none"/>
        </w:rPr>
        <w:t>工程地点：</w:t>
      </w:r>
      <w:r>
        <w:rPr>
          <w:rFonts w:hint="eastAsia" w:ascii="宋体" w:hAnsi="宋体" w:cs="宋体"/>
          <w:sz w:val="24"/>
          <w:szCs w:val="24"/>
          <w:highlight w:val="none"/>
          <w:u w:val="single"/>
        </w:rPr>
        <w:t xml:space="preserve">                                                          </w:t>
      </w:r>
    </w:p>
    <w:p w14:paraId="04E4F031">
      <w:pPr>
        <w:spacing w:beforeLines="100" w:afterLines="100" w:line="360" w:lineRule="auto"/>
        <w:ind w:firstLine="460" w:firstLineChars="192"/>
        <w:jc w:val="left"/>
        <w:rPr>
          <w:rFonts w:ascii="宋体" w:hAnsi="宋体" w:cs="宋体"/>
          <w:sz w:val="24"/>
          <w:szCs w:val="24"/>
          <w:highlight w:val="none"/>
        </w:rPr>
      </w:pPr>
      <w:r>
        <w:rPr>
          <w:rFonts w:hint="eastAsia" w:ascii="宋体" w:hAnsi="宋体" w:cs="宋体"/>
          <w:sz w:val="24"/>
          <w:szCs w:val="24"/>
          <w:highlight w:val="none"/>
        </w:rPr>
        <w:t>资金来源：</w:t>
      </w:r>
      <w:r>
        <w:rPr>
          <w:rFonts w:hint="eastAsia" w:ascii="宋体" w:hAnsi="宋体" w:cs="宋体"/>
          <w:sz w:val="24"/>
          <w:szCs w:val="24"/>
          <w:highlight w:val="none"/>
          <w:u w:val="single"/>
        </w:rPr>
        <w:t xml:space="preserve">                                                          </w:t>
      </w:r>
    </w:p>
    <w:p w14:paraId="2477DC4B">
      <w:pPr>
        <w:spacing w:beforeLines="100" w:afterLines="100" w:line="360" w:lineRule="auto"/>
        <w:ind w:firstLine="460" w:firstLineChars="192"/>
        <w:jc w:val="left"/>
        <w:rPr>
          <w:rFonts w:ascii="宋体" w:hAnsi="宋体" w:cs="宋体"/>
          <w:sz w:val="24"/>
          <w:szCs w:val="24"/>
          <w:highlight w:val="none"/>
        </w:rPr>
      </w:pPr>
      <w:r>
        <w:rPr>
          <w:rFonts w:hint="eastAsia" w:ascii="宋体" w:hAnsi="宋体" w:cs="宋体"/>
          <w:sz w:val="24"/>
          <w:szCs w:val="24"/>
          <w:highlight w:val="none"/>
        </w:rPr>
        <w:t xml:space="preserve">二、工程承包范围 </w:t>
      </w:r>
    </w:p>
    <w:p w14:paraId="46264C9B">
      <w:pPr>
        <w:spacing w:beforeLines="100" w:afterLines="100" w:line="360" w:lineRule="auto"/>
        <w:ind w:firstLine="460" w:firstLineChars="192"/>
        <w:jc w:val="left"/>
        <w:rPr>
          <w:rFonts w:ascii="宋体" w:hAnsi="宋体" w:cs="宋体"/>
          <w:sz w:val="24"/>
          <w:szCs w:val="24"/>
          <w:highlight w:val="none"/>
        </w:rPr>
      </w:pPr>
      <w:r>
        <w:rPr>
          <w:rFonts w:hint="eastAsia" w:ascii="宋体" w:hAnsi="宋体" w:cs="宋体"/>
          <w:sz w:val="24"/>
          <w:szCs w:val="24"/>
          <w:highlight w:val="none"/>
        </w:rPr>
        <w:t>承包范围：</w:t>
      </w:r>
      <w:r>
        <w:rPr>
          <w:rFonts w:hint="eastAsia" w:ascii="宋体" w:hAnsi="宋体" w:cs="宋体"/>
          <w:sz w:val="24"/>
          <w:szCs w:val="24"/>
          <w:highlight w:val="none"/>
          <w:u w:val="single"/>
        </w:rPr>
        <w:t xml:space="preserve">                                                          </w:t>
      </w:r>
    </w:p>
    <w:p w14:paraId="3E8D971E">
      <w:pPr>
        <w:spacing w:beforeLines="100" w:afterLines="100" w:line="360" w:lineRule="auto"/>
        <w:ind w:firstLine="460" w:firstLineChars="192"/>
        <w:jc w:val="left"/>
        <w:rPr>
          <w:rFonts w:ascii="宋体" w:hAnsi="宋体" w:cs="宋体"/>
          <w:sz w:val="24"/>
          <w:szCs w:val="24"/>
          <w:highlight w:val="none"/>
        </w:rPr>
      </w:pPr>
      <w:r>
        <w:rPr>
          <w:rFonts w:hint="eastAsia" w:ascii="宋体" w:hAnsi="宋体" w:cs="宋体"/>
          <w:sz w:val="24"/>
          <w:szCs w:val="24"/>
          <w:highlight w:val="none"/>
        </w:rPr>
        <w:t>三、合同工期</w:t>
      </w:r>
    </w:p>
    <w:p w14:paraId="1B3DAA50">
      <w:pPr>
        <w:spacing w:beforeLines="100" w:afterLines="100" w:line="360" w:lineRule="auto"/>
        <w:ind w:firstLine="460" w:firstLineChars="192"/>
        <w:jc w:val="left"/>
        <w:rPr>
          <w:rFonts w:ascii="宋体" w:hAnsi="宋体" w:cs="宋体"/>
          <w:sz w:val="24"/>
          <w:szCs w:val="24"/>
          <w:highlight w:val="none"/>
        </w:rPr>
      </w:pPr>
      <w:r>
        <w:rPr>
          <w:rFonts w:hint="eastAsia" w:ascii="宋体" w:hAnsi="宋体" w:cs="宋体"/>
          <w:sz w:val="24"/>
          <w:szCs w:val="24"/>
          <w:highlight w:val="none"/>
        </w:rPr>
        <w:t>开工日期：</w:t>
      </w:r>
      <w:r>
        <w:rPr>
          <w:rFonts w:hint="eastAsia" w:ascii="宋体" w:hAnsi="宋体" w:cs="宋体"/>
          <w:sz w:val="24"/>
          <w:szCs w:val="24"/>
          <w:highlight w:val="none"/>
          <w:u w:val="single"/>
        </w:rPr>
        <w:t xml:space="preserve">           </w:t>
      </w:r>
    </w:p>
    <w:p w14:paraId="072D3B19">
      <w:pPr>
        <w:spacing w:beforeLines="100" w:afterLines="100" w:line="360" w:lineRule="auto"/>
        <w:ind w:firstLine="460" w:firstLineChars="192"/>
        <w:jc w:val="left"/>
        <w:rPr>
          <w:rFonts w:ascii="宋体" w:hAnsi="宋体" w:cs="宋体"/>
          <w:sz w:val="24"/>
          <w:szCs w:val="24"/>
          <w:highlight w:val="none"/>
        </w:rPr>
      </w:pPr>
      <w:r>
        <w:rPr>
          <w:rFonts w:hint="eastAsia" w:ascii="宋体" w:hAnsi="宋体" w:cs="宋体"/>
          <w:sz w:val="24"/>
          <w:szCs w:val="24"/>
          <w:highlight w:val="none"/>
        </w:rPr>
        <w:t>竣工日期：</w:t>
      </w:r>
      <w:r>
        <w:rPr>
          <w:rFonts w:hint="eastAsia" w:ascii="宋体" w:hAnsi="宋体" w:cs="宋体"/>
          <w:sz w:val="24"/>
          <w:szCs w:val="24"/>
          <w:highlight w:val="none"/>
          <w:u w:val="single"/>
        </w:rPr>
        <w:t xml:space="preserve">           </w:t>
      </w:r>
    </w:p>
    <w:p w14:paraId="3A934711">
      <w:pPr>
        <w:spacing w:beforeLines="100" w:afterLines="100" w:line="360" w:lineRule="auto"/>
        <w:ind w:firstLine="460" w:firstLineChars="192"/>
        <w:jc w:val="left"/>
        <w:rPr>
          <w:rFonts w:ascii="宋体" w:hAnsi="宋体" w:cs="宋体"/>
          <w:sz w:val="24"/>
          <w:szCs w:val="24"/>
          <w:highlight w:val="none"/>
        </w:rPr>
      </w:pPr>
      <w:r>
        <w:rPr>
          <w:rFonts w:hint="eastAsia" w:ascii="宋体" w:hAnsi="宋体" w:cs="宋体"/>
          <w:sz w:val="24"/>
          <w:szCs w:val="24"/>
          <w:highlight w:val="none"/>
        </w:rPr>
        <w:t>合同工期总日历天数</w:t>
      </w:r>
      <w:r>
        <w:rPr>
          <w:rFonts w:hint="eastAsia" w:ascii="宋体" w:hAnsi="宋体" w:cs="宋体"/>
          <w:sz w:val="24"/>
          <w:szCs w:val="24"/>
          <w:highlight w:val="none"/>
          <w:u w:val="single"/>
        </w:rPr>
        <w:t xml:space="preserve">   </w:t>
      </w:r>
      <w:r>
        <w:rPr>
          <w:rFonts w:hint="eastAsia" w:ascii="宋体" w:hAnsi="宋体" w:cs="宋体"/>
          <w:sz w:val="24"/>
          <w:szCs w:val="24"/>
          <w:highlight w:val="none"/>
        </w:rPr>
        <w:t>日历日。</w:t>
      </w:r>
    </w:p>
    <w:p w14:paraId="15BA0DE5">
      <w:pPr>
        <w:spacing w:beforeLines="100" w:afterLines="100" w:line="360" w:lineRule="auto"/>
        <w:ind w:firstLine="460" w:firstLineChars="192"/>
        <w:jc w:val="left"/>
        <w:rPr>
          <w:rFonts w:ascii="宋体" w:hAnsi="宋体" w:cs="宋体"/>
          <w:sz w:val="24"/>
          <w:szCs w:val="24"/>
          <w:highlight w:val="none"/>
        </w:rPr>
      </w:pPr>
      <w:r>
        <w:rPr>
          <w:rFonts w:hint="eastAsia" w:ascii="宋体" w:hAnsi="宋体" w:cs="宋体"/>
          <w:sz w:val="24"/>
          <w:szCs w:val="24"/>
          <w:highlight w:val="none"/>
        </w:rPr>
        <w:t>四、质量标准</w:t>
      </w:r>
    </w:p>
    <w:p w14:paraId="2F8E5FF4">
      <w:pPr>
        <w:spacing w:beforeLines="100" w:afterLines="100" w:line="360" w:lineRule="auto"/>
        <w:ind w:firstLine="460" w:firstLineChars="192"/>
        <w:jc w:val="left"/>
        <w:rPr>
          <w:rFonts w:ascii="宋体" w:hAnsi="宋体" w:cs="宋体"/>
          <w:sz w:val="24"/>
          <w:szCs w:val="24"/>
          <w:highlight w:val="none"/>
        </w:rPr>
      </w:pPr>
      <w:r>
        <w:rPr>
          <w:rFonts w:hint="eastAsia" w:ascii="宋体" w:hAnsi="宋体" w:cs="宋体"/>
          <w:sz w:val="24"/>
          <w:szCs w:val="24"/>
          <w:highlight w:val="none"/>
        </w:rPr>
        <w:t>工程质量标准：达到国家质量验收合格标准</w:t>
      </w:r>
    </w:p>
    <w:p w14:paraId="42976561">
      <w:pPr>
        <w:spacing w:beforeLines="100" w:afterLines="100" w:line="360" w:lineRule="auto"/>
        <w:ind w:firstLine="460" w:firstLineChars="192"/>
        <w:jc w:val="left"/>
        <w:rPr>
          <w:rFonts w:ascii="宋体" w:hAnsi="宋体" w:cs="宋体"/>
          <w:sz w:val="24"/>
          <w:szCs w:val="24"/>
          <w:highlight w:val="none"/>
        </w:rPr>
      </w:pPr>
      <w:r>
        <w:rPr>
          <w:rFonts w:hint="eastAsia" w:ascii="宋体" w:hAnsi="宋体" w:cs="宋体"/>
          <w:sz w:val="24"/>
          <w:szCs w:val="24"/>
          <w:highlight w:val="none"/>
        </w:rPr>
        <w:t>五、合同价款</w:t>
      </w:r>
    </w:p>
    <w:p w14:paraId="3485D429">
      <w:pPr>
        <w:spacing w:beforeLines="100" w:afterLines="100" w:line="360" w:lineRule="auto"/>
        <w:ind w:firstLine="460" w:firstLineChars="192"/>
        <w:jc w:val="left"/>
        <w:rPr>
          <w:rFonts w:ascii="宋体" w:hAnsi="宋体" w:cs="宋体"/>
          <w:sz w:val="24"/>
          <w:szCs w:val="24"/>
          <w:highlight w:val="none"/>
        </w:rPr>
      </w:pPr>
      <w:r>
        <w:rPr>
          <w:rFonts w:hint="eastAsia" w:ascii="宋体" w:hAnsi="宋体" w:cs="宋体"/>
          <w:sz w:val="24"/>
          <w:szCs w:val="24"/>
          <w:highlight w:val="none"/>
        </w:rPr>
        <w:t>合同金额（大写）：</w:t>
      </w:r>
      <w:r>
        <w:rPr>
          <w:rFonts w:hint="eastAsia" w:ascii="宋体" w:hAnsi="宋体" w:cs="宋体"/>
          <w:sz w:val="24"/>
          <w:szCs w:val="24"/>
          <w:highlight w:val="none"/>
          <w:u w:val="single"/>
        </w:rPr>
        <w:t xml:space="preserve">                            </w:t>
      </w:r>
      <w:r>
        <w:rPr>
          <w:rFonts w:hint="eastAsia" w:ascii="宋体" w:hAnsi="宋体" w:cs="宋体"/>
          <w:sz w:val="24"/>
          <w:szCs w:val="24"/>
          <w:highlight w:val="none"/>
        </w:rPr>
        <w:t>（¥</w:t>
      </w:r>
      <w:r>
        <w:rPr>
          <w:rFonts w:hint="eastAsia" w:ascii="宋体" w:hAnsi="宋体" w:cs="宋体"/>
          <w:sz w:val="24"/>
          <w:szCs w:val="24"/>
          <w:highlight w:val="none"/>
          <w:u w:val="single"/>
        </w:rPr>
        <w:t xml:space="preserve">        </w:t>
      </w:r>
      <w:r>
        <w:rPr>
          <w:rFonts w:hint="eastAsia" w:ascii="宋体" w:hAnsi="宋体" w:cs="宋体"/>
          <w:sz w:val="24"/>
          <w:szCs w:val="24"/>
          <w:highlight w:val="none"/>
        </w:rPr>
        <w:t>）。</w:t>
      </w:r>
    </w:p>
    <w:p w14:paraId="344CB2BB">
      <w:pPr>
        <w:spacing w:beforeLines="100" w:afterLines="100" w:line="360" w:lineRule="auto"/>
        <w:ind w:firstLine="460" w:firstLineChars="192"/>
        <w:jc w:val="left"/>
        <w:rPr>
          <w:rFonts w:ascii="宋体" w:hAnsi="宋体" w:cs="宋体"/>
          <w:sz w:val="24"/>
          <w:szCs w:val="24"/>
          <w:highlight w:val="none"/>
        </w:rPr>
      </w:pPr>
      <w:r>
        <w:rPr>
          <w:rFonts w:hint="eastAsia" w:ascii="宋体" w:hAnsi="宋体" w:cs="宋体"/>
          <w:sz w:val="24"/>
          <w:szCs w:val="24"/>
          <w:highlight w:val="none"/>
        </w:rPr>
        <w:t>合同总价即成交价，合同总价为总承包价，不受市场价变化或实际工作量变化的影响，合同价格为含税价，供应商提供本工程所发生的一切税（包括增值税）费等都已包含于合同价款中。</w:t>
      </w:r>
    </w:p>
    <w:p w14:paraId="5D041D89">
      <w:pPr>
        <w:spacing w:beforeLines="100" w:afterLines="100" w:line="360" w:lineRule="auto"/>
        <w:ind w:firstLine="460" w:firstLineChars="192"/>
        <w:jc w:val="left"/>
        <w:rPr>
          <w:rFonts w:ascii="宋体" w:hAnsi="宋体" w:cs="宋体"/>
          <w:sz w:val="24"/>
          <w:szCs w:val="24"/>
          <w:highlight w:val="none"/>
        </w:rPr>
      </w:pPr>
      <w:r>
        <w:rPr>
          <w:rFonts w:hint="eastAsia" w:ascii="宋体" w:hAnsi="宋体" w:cs="宋体"/>
          <w:sz w:val="24"/>
          <w:szCs w:val="24"/>
          <w:highlight w:val="none"/>
        </w:rPr>
        <w:t>六、组成合同的文件</w:t>
      </w:r>
    </w:p>
    <w:p w14:paraId="02EE2F1B">
      <w:pPr>
        <w:spacing w:beforeLines="100" w:afterLines="100" w:line="360" w:lineRule="auto"/>
        <w:ind w:firstLine="460" w:firstLineChars="192"/>
        <w:jc w:val="left"/>
        <w:rPr>
          <w:rFonts w:ascii="宋体" w:hAnsi="宋体" w:cs="宋体"/>
          <w:sz w:val="24"/>
          <w:szCs w:val="24"/>
          <w:highlight w:val="none"/>
        </w:rPr>
      </w:pPr>
      <w:r>
        <w:rPr>
          <w:rFonts w:hint="eastAsia" w:ascii="宋体" w:hAnsi="宋体" w:cs="宋体"/>
          <w:sz w:val="24"/>
          <w:szCs w:val="24"/>
          <w:highlight w:val="none"/>
        </w:rPr>
        <w:t>组成本合同的文件包括：</w:t>
      </w:r>
    </w:p>
    <w:p w14:paraId="5ED9A583">
      <w:pPr>
        <w:spacing w:beforeLines="100" w:afterLines="100" w:line="360" w:lineRule="auto"/>
        <w:ind w:firstLine="460" w:firstLineChars="192"/>
        <w:jc w:val="left"/>
        <w:rPr>
          <w:rFonts w:ascii="宋体" w:hAnsi="宋体" w:cs="宋体"/>
          <w:sz w:val="24"/>
          <w:szCs w:val="24"/>
          <w:highlight w:val="none"/>
        </w:rPr>
      </w:pPr>
      <w:r>
        <w:rPr>
          <w:rFonts w:hint="eastAsia" w:ascii="宋体" w:hAnsi="宋体" w:cs="宋体"/>
          <w:sz w:val="24"/>
          <w:szCs w:val="24"/>
          <w:highlight w:val="none"/>
        </w:rPr>
        <w:t>1、本合同协议书</w:t>
      </w:r>
    </w:p>
    <w:p w14:paraId="3FD4EAF9">
      <w:pPr>
        <w:spacing w:beforeLines="100" w:afterLines="100" w:line="360" w:lineRule="auto"/>
        <w:ind w:firstLine="460" w:firstLineChars="192"/>
        <w:jc w:val="left"/>
        <w:rPr>
          <w:rFonts w:ascii="宋体" w:hAnsi="宋体" w:cs="宋体"/>
          <w:sz w:val="24"/>
          <w:szCs w:val="24"/>
          <w:highlight w:val="none"/>
        </w:rPr>
      </w:pPr>
      <w:r>
        <w:rPr>
          <w:rFonts w:hint="eastAsia" w:ascii="宋体" w:hAnsi="宋体" w:cs="宋体"/>
          <w:sz w:val="24"/>
          <w:szCs w:val="24"/>
          <w:highlight w:val="none"/>
        </w:rPr>
        <w:t>2、本合同专用条款</w:t>
      </w:r>
    </w:p>
    <w:p w14:paraId="3624CC62">
      <w:pPr>
        <w:spacing w:beforeLines="100" w:afterLines="100" w:line="360" w:lineRule="auto"/>
        <w:ind w:firstLine="460" w:firstLineChars="192"/>
        <w:jc w:val="left"/>
        <w:rPr>
          <w:rFonts w:ascii="宋体" w:hAnsi="宋体" w:cs="宋体"/>
          <w:sz w:val="24"/>
          <w:szCs w:val="24"/>
          <w:highlight w:val="none"/>
        </w:rPr>
      </w:pPr>
      <w:r>
        <w:rPr>
          <w:rFonts w:hint="eastAsia" w:ascii="宋体" w:hAnsi="宋体" w:cs="宋体"/>
          <w:sz w:val="24"/>
          <w:szCs w:val="24"/>
          <w:highlight w:val="none"/>
        </w:rPr>
        <w:t>3、本合同通用条款</w:t>
      </w:r>
    </w:p>
    <w:p w14:paraId="546E3B38">
      <w:pPr>
        <w:spacing w:beforeLines="100" w:afterLines="100" w:line="360" w:lineRule="auto"/>
        <w:ind w:firstLine="460" w:firstLineChars="192"/>
        <w:jc w:val="left"/>
        <w:rPr>
          <w:rFonts w:ascii="宋体" w:hAnsi="宋体" w:cs="宋体"/>
          <w:sz w:val="24"/>
          <w:szCs w:val="24"/>
          <w:highlight w:val="none"/>
        </w:rPr>
      </w:pPr>
      <w:r>
        <w:rPr>
          <w:rFonts w:hint="eastAsia" w:ascii="宋体" w:hAnsi="宋体" w:cs="宋体"/>
          <w:sz w:val="24"/>
          <w:szCs w:val="24"/>
          <w:highlight w:val="none"/>
        </w:rPr>
        <w:t>4、中标通知书</w:t>
      </w:r>
    </w:p>
    <w:p w14:paraId="5950EB08">
      <w:pPr>
        <w:spacing w:beforeLines="100" w:afterLines="100" w:line="360" w:lineRule="auto"/>
        <w:ind w:firstLine="460" w:firstLineChars="192"/>
        <w:jc w:val="left"/>
        <w:rPr>
          <w:rFonts w:ascii="宋体" w:hAnsi="宋体" w:cs="宋体"/>
          <w:sz w:val="24"/>
          <w:szCs w:val="24"/>
          <w:highlight w:val="none"/>
        </w:rPr>
      </w:pPr>
      <w:r>
        <w:rPr>
          <w:rFonts w:hint="eastAsia" w:ascii="宋体" w:hAnsi="宋体" w:cs="宋体"/>
          <w:sz w:val="24"/>
          <w:szCs w:val="24"/>
          <w:highlight w:val="none"/>
        </w:rPr>
        <w:t>5、投标文件、工程报价单或预算书及其附件</w:t>
      </w:r>
    </w:p>
    <w:p w14:paraId="0614AB7B">
      <w:pPr>
        <w:spacing w:beforeLines="100" w:afterLines="100" w:line="360" w:lineRule="auto"/>
        <w:ind w:firstLine="460" w:firstLineChars="192"/>
        <w:jc w:val="left"/>
        <w:rPr>
          <w:rFonts w:ascii="宋体" w:hAnsi="宋体" w:cs="宋体"/>
          <w:sz w:val="24"/>
          <w:szCs w:val="24"/>
          <w:highlight w:val="none"/>
        </w:rPr>
      </w:pPr>
      <w:r>
        <w:rPr>
          <w:rFonts w:hint="eastAsia" w:ascii="宋体" w:hAnsi="宋体" w:cs="宋体"/>
          <w:sz w:val="24"/>
          <w:szCs w:val="24"/>
          <w:highlight w:val="none"/>
        </w:rPr>
        <w:t>6、招标文件、答疑纪要</w:t>
      </w:r>
    </w:p>
    <w:p w14:paraId="425F759C">
      <w:pPr>
        <w:spacing w:beforeLines="100" w:afterLines="100" w:line="360" w:lineRule="auto"/>
        <w:ind w:firstLine="460" w:firstLineChars="192"/>
        <w:jc w:val="left"/>
        <w:rPr>
          <w:rFonts w:ascii="宋体" w:hAnsi="宋体" w:cs="宋体"/>
          <w:sz w:val="24"/>
          <w:szCs w:val="24"/>
          <w:highlight w:val="none"/>
        </w:rPr>
      </w:pPr>
      <w:r>
        <w:rPr>
          <w:rFonts w:hint="eastAsia" w:ascii="宋体" w:hAnsi="宋体" w:cs="宋体"/>
          <w:sz w:val="24"/>
          <w:szCs w:val="24"/>
          <w:highlight w:val="none"/>
        </w:rPr>
        <w:t>7、标准、规范及有关技术文件</w:t>
      </w:r>
    </w:p>
    <w:p w14:paraId="423FE95E">
      <w:pPr>
        <w:spacing w:beforeLines="100" w:afterLines="100" w:line="360" w:lineRule="auto"/>
        <w:ind w:firstLine="460" w:firstLineChars="192"/>
        <w:jc w:val="left"/>
        <w:rPr>
          <w:rFonts w:ascii="宋体" w:hAnsi="宋体" w:cs="宋体"/>
          <w:sz w:val="24"/>
          <w:szCs w:val="24"/>
          <w:highlight w:val="none"/>
        </w:rPr>
      </w:pPr>
      <w:r>
        <w:rPr>
          <w:rFonts w:hint="eastAsia" w:ascii="宋体" w:hAnsi="宋体" w:cs="宋体"/>
          <w:sz w:val="24"/>
          <w:szCs w:val="24"/>
          <w:highlight w:val="none"/>
        </w:rPr>
        <w:t>双方为履行本合同的有关洽商、变更等书面协议或文件视为本合同的组成部分。</w:t>
      </w:r>
    </w:p>
    <w:p w14:paraId="57FF730C">
      <w:pPr>
        <w:spacing w:beforeLines="100" w:afterLines="100" w:line="360" w:lineRule="auto"/>
        <w:ind w:firstLine="460" w:firstLineChars="192"/>
        <w:jc w:val="left"/>
        <w:rPr>
          <w:rFonts w:ascii="宋体" w:hAnsi="宋体" w:cs="宋体"/>
          <w:sz w:val="24"/>
          <w:szCs w:val="24"/>
          <w:highlight w:val="none"/>
        </w:rPr>
      </w:pPr>
      <w:r>
        <w:rPr>
          <w:rFonts w:hint="eastAsia" w:ascii="宋体" w:hAnsi="宋体" w:cs="宋体"/>
          <w:sz w:val="24"/>
          <w:szCs w:val="24"/>
          <w:highlight w:val="none"/>
        </w:rPr>
        <w:t>七、本协议书中有关词语含义与本合同第二部分《通用条款》中分别赋予它们的定义相同。</w:t>
      </w:r>
    </w:p>
    <w:p w14:paraId="270D5BA0">
      <w:pPr>
        <w:spacing w:beforeLines="100" w:afterLines="100" w:line="360" w:lineRule="auto"/>
        <w:ind w:firstLine="460" w:firstLineChars="192"/>
        <w:jc w:val="left"/>
        <w:rPr>
          <w:rFonts w:ascii="宋体" w:hAnsi="宋体" w:cs="宋体"/>
          <w:sz w:val="24"/>
          <w:szCs w:val="24"/>
          <w:highlight w:val="none"/>
        </w:rPr>
      </w:pPr>
      <w:r>
        <w:rPr>
          <w:rFonts w:hint="eastAsia" w:ascii="宋体" w:hAnsi="宋体" w:cs="宋体"/>
          <w:sz w:val="24"/>
          <w:szCs w:val="24"/>
          <w:highlight w:val="none"/>
        </w:rPr>
        <w:t>八、承包人向发包人承诺按照合同约定进行施工、竣工并在质量保修期内承担工程质量保修责任。</w:t>
      </w:r>
    </w:p>
    <w:p w14:paraId="3034CD71">
      <w:pPr>
        <w:spacing w:beforeLines="100" w:afterLines="100" w:line="360" w:lineRule="auto"/>
        <w:ind w:firstLine="460" w:firstLineChars="192"/>
        <w:jc w:val="left"/>
        <w:rPr>
          <w:rFonts w:ascii="宋体" w:hAnsi="宋体" w:cs="宋体"/>
          <w:sz w:val="24"/>
          <w:szCs w:val="24"/>
          <w:highlight w:val="none"/>
        </w:rPr>
      </w:pPr>
      <w:r>
        <w:rPr>
          <w:rFonts w:hint="eastAsia" w:ascii="宋体" w:hAnsi="宋体" w:cs="宋体"/>
          <w:sz w:val="24"/>
          <w:szCs w:val="24"/>
          <w:highlight w:val="none"/>
        </w:rPr>
        <w:t>九、发包人向承包人承诺按照合同约定的期限和方式支付合同价款及其他应当支付的款项。</w:t>
      </w:r>
    </w:p>
    <w:p w14:paraId="1EAE6852">
      <w:pPr>
        <w:spacing w:beforeLines="100" w:afterLines="100" w:line="360" w:lineRule="auto"/>
        <w:ind w:firstLine="460" w:firstLineChars="192"/>
        <w:jc w:val="left"/>
        <w:rPr>
          <w:rFonts w:ascii="宋体" w:hAnsi="宋体" w:cs="宋体"/>
          <w:sz w:val="24"/>
          <w:szCs w:val="24"/>
          <w:highlight w:val="none"/>
        </w:rPr>
      </w:pPr>
      <w:r>
        <w:rPr>
          <w:rFonts w:hint="eastAsia" w:ascii="宋体" w:hAnsi="宋体" w:cs="宋体"/>
          <w:sz w:val="24"/>
          <w:szCs w:val="24"/>
          <w:highlight w:val="none"/>
        </w:rPr>
        <w:t>十、合同生效</w:t>
      </w:r>
    </w:p>
    <w:p w14:paraId="70666432">
      <w:pPr>
        <w:spacing w:beforeLines="100" w:afterLines="100" w:line="360" w:lineRule="auto"/>
        <w:ind w:firstLine="460" w:firstLineChars="192"/>
        <w:jc w:val="left"/>
        <w:rPr>
          <w:rFonts w:ascii="宋体" w:hAnsi="宋体" w:cs="宋体"/>
          <w:sz w:val="24"/>
          <w:szCs w:val="24"/>
          <w:highlight w:val="none"/>
        </w:rPr>
      </w:pPr>
      <w:r>
        <w:rPr>
          <w:rFonts w:hint="eastAsia" w:ascii="宋体" w:hAnsi="宋体" w:cs="宋体"/>
          <w:sz w:val="24"/>
          <w:szCs w:val="24"/>
          <w:highlight w:val="none"/>
        </w:rPr>
        <w:t>合同订立时间：          年            月            日</w:t>
      </w:r>
    </w:p>
    <w:p w14:paraId="5B2223B9">
      <w:pPr>
        <w:spacing w:beforeLines="100" w:afterLines="100" w:line="360" w:lineRule="auto"/>
        <w:ind w:firstLine="460" w:firstLineChars="192"/>
        <w:jc w:val="left"/>
        <w:rPr>
          <w:rFonts w:ascii="宋体" w:hAnsi="宋体" w:cs="宋体"/>
          <w:sz w:val="24"/>
          <w:szCs w:val="24"/>
          <w:highlight w:val="none"/>
        </w:rPr>
      </w:pPr>
      <w:r>
        <w:rPr>
          <w:rFonts w:hint="eastAsia" w:ascii="宋体" w:hAnsi="宋体" w:cs="宋体"/>
          <w:sz w:val="24"/>
          <w:szCs w:val="24"/>
          <w:highlight w:val="none"/>
        </w:rPr>
        <w:t xml:space="preserve">合同订立地点：                                       </w:t>
      </w:r>
    </w:p>
    <w:p w14:paraId="51D4CF95">
      <w:pPr>
        <w:spacing w:beforeLines="100" w:afterLines="100" w:line="360" w:lineRule="auto"/>
        <w:ind w:firstLine="460" w:firstLineChars="192"/>
        <w:jc w:val="left"/>
        <w:rPr>
          <w:rFonts w:ascii="宋体" w:hAnsi="宋体" w:cs="宋体"/>
          <w:sz w:val="24"/>
          <w:szCs w:val="24"/>
          <w:highlight w:val="none"/>
        </w:rPr>
      </w:pPr>
      <w:r>
        <w:rPr>
          <w:rFonts w:hint="eastAsia" w:ascii="宋体" w:hAnsi="宋体" w:cs="宋体"/>
          <w:sz w:val="24"/>
          <w:szCs w:val="24"/>
          <w:highlight w:val="none"/>
        </w:rPr>
        <w:t>本合同双方约定双方签字盖章后生效。</w:t>
      </w:r>
    </w:p>
    <w:p w14:paraId="09CEF725">
      <w:pPr>
        <w:spacing w:beforeLines="100" w:afterLines="100" w:line="360" w:lineRule="auto"/>
        <w:ind w:firstLine="460" w:firstLineChars="192"/>
        <w:jc w:val="left"/>
        <w:rPr>
          <w:rFonts w:ascii="宋体" w:hAnsi="宋体" w:cs="宋体"/>
          <w:sz w:val="24"/>
          <w:szCs w:val="24"/>
          <w:highlight w:val="none"/>
        </w:rPr>
      </w:pPr>
      <w:r>
        <w:rPr>
          <w:rFonts w:hint="eastAsia" w:ascii="宋体" w:hAnsi="宋体" w:cs="宋体"/>
          <w:sz w:val="24"/>
          <w:szCs w:val="24"/>
          <w:highlight w:val="none"/>
        </w:rPr>
        <w:t>发包人：          （公章）         承包人：         （公章）</w:t>
      </w:r>
    </w:p>
    <w:p w14:paraId="4A017087">
      <w:pPr>
        <w:spacing w:beforeLines="100" w:afterLines="100" w:line="360" w:lineRule="auto"/>
        <w:ind w:firstLine="460" w:firstLineChars="192"/>
        <w:jc w:val="left"/>
        <w:rPr>
          <w:rFonts w:ascii="宋体" w:hAnsi="宋体" w:cs="宋体"/>
          <w:sz w:val="24"/>
          <w:szCs w:val="24"/>
          <w:highlight w:val="none"/>
        </w:rPr>
      </w:pPr>
      <w:r>
        <w:rPr>
          <w:rFonts w:hint="eastAsia" w:ascii="宋体" w:hAnsi="宋体" w:cs="宋体"/>
          <w:sz w:val="24"/>
          <w:szCs w:val="24"/>
          <w:highlight w:val="none"/>
        </w:rPr>
        <w:t>法定代表人：                         法定代表人：</w:t>
      </w:r>
    </w:p>
    <w:p w14:paraId="166C2F4D">
      <w:pPr>
        <w:spacing w:beforeLines="100" w:afterLines="100" w:line="360" w:lineRule="auto"/>
        <w:ind w:firstLine="460" w:firstLineChars="192"/>
        <w:jc w:val="left"/>
        <w:rPr>
          <w:rFonts w:ascii="宋体" w:hAnsi="宋体" w:cs="宋体"/>
          <w:sz w:val="24"/>
          <w:szCs w:val="24"/>
          <w:highlight w:val="none"/>
        </w:rPr>
      </w:pPr>
      <w:r>
        <w:rPr>
          <w:rFonts w:hint="eastAsia" w:ascii="宋体" w:hAnsi="宋体" w:cs="宋体"/>
          <w:sz w:val="24"/>
          <w:szCs w:val="24"/>
          <w:highlight w:val="none"/>
        </w:rPr>
        <w:t>委托代理人：                         委托代理人：</w:t>
      </w:r>
    </w:p>
    <w:p w14:paraId="21B0D4CE">
      <w:pPr>
        <w:spacing w:beforeLines="100" w:afterLines="100" w:line="360" w:lineRule="auto"/>
        <w:ind w:firstLine="460" w:firstLineChars="192"/>
        <w:jc w:val="left"/>
        <w:rPr>
          <w:rFonts w:ascii="宋体" w:hAnsi="宋体" w:cs="宋体"/>
          <w:sz w:val="24"/>
          <w:szCs w:val="24"/>
          <w:highlight w:val="none"/>
        </w:rPr>
      </w:pPr>
      <w:r>
        <w:rPr>
          <w:rFonts w:hint="eastAsia" w:ascii="宋体" w:hAnsi="宋体" w:cs="宋体"/>
          <w:sz w:val="24"/>
          <w:szCs w:val="24"/>
          <w:highlight w:val="none"/>
        </w:rPr>
        <w:t>联系人：                             联系人：</w:t>
      </w:r>
    </w:p>
    <w:p w14:paraId="787D8992">
      <w:pPr>
        <w:spacing w:beforeLines="100" w:afterLines="100" w:line="360" w:lineRule="auto"/>
        <w:ind w:firstLine="460" w:firstLineChars="192"/>
        <w:jc w:val="left"/>
        <w:rPr>
          <w:rFonts w:ascii="宋体" w:hAnsi="宋体" w:cs="宋体"/>
          <w:sz w:val="24"/>
          <w:szCs w:val="24"/>
          <w:highlight w:val="none"/>
        </w:rPr>
      </w:pPr>
      <w:r>
        <w:rPr>
          <w:rFonts w:hint="eastAsia" w:ascii="宋体" w:hAnsi="宋体" w:cs="宋体"/>
          <w:sz w:val="24"/>
          <w:szCs w:val="24"/>
          <w:highlight w:val="none"/>
        </w:rPr>
        <w:t>电话：                               电话：</w:t>
      </w:r>
    </w:p>
    <w:p w14:paraId="37BC131A">
      <w:pPr>
        <w:spacing w:beforeLines="100" w:afterLines="100" w:line="360" w:lineRule="auto"/>
        <w:ind w:firstLine="460" w:firstLineChars="192"/>
        <w:jc w:val="left"/>
        <w:rPr>
          <w:rFonts w:ascii="宋体" w:hAnsi="宋体" w:cs="宋体"/>
          <w:sz w:val="24"/>
          <w:szCs w:val="24"/>
          <w:highlight w:val="none"/>
        </w:rPr>
      </w:pPr>
      <w:r>
        <w:rPr>
          <w:rFonts w:hint="eastAsia" w:ascii="宋体" w:hAnsi="宋体" w:cs="宋体"/>
          <w:sz w:val="24"/>
          <w:szCs w:val="24"/>
          <w:highlight w:val="none"/>
        </w:rPr>
        <w:t>传真：                               传真：</w:t>
      </w:r>
    </w:p>
    <w:p w14:paraId="0B04BBA1">
      <w:pPr>
        <w:spacing w:beforeLines="100" w:afterLines="100" w:line="360" w:lineRule="auto"/>
        <w:ind w:firstLine="460" w:firstLineChars="192"/>
        <w:jc w:val="left"/>
        <w:rPr>
          <w:rFonts w:ascii="宋体" w:hAnsi="宋体" w:cs="宋体"/>
          <w:sz w:val="24"/>
          <w:szCs w:val="24"/>
          <w:highlight w:val="none"/>
        </w:rPr>
      </w:pPr>
      <w:r>
        <w:rPr>
          <w:rFonts w:hint="eastAsia" w:ascii="宋体" w:hAnsi="宋体" w:cs="宋体"/>
          <w:sz w:val="24"/>
          <w:szCs w:val="24"/>
          <w:highlight w:val="none"/>
        </w:rPr>
        <w:t>开户银行：                           开户银行：</w:t>
      </w:r>
    </w:p>
    <w:p w14:paraId="69E0CDE3">
      <w:pPr>
        <w:spacing w:beforeLines="100" w:afterLines="100" w:line="360" w:lineRule="auto"/>
        <w:ind w:firstLine="460" w:firstLineChars="192"/>
        <w:jc w:val="left"/>
        <w:rPr>
          <w:rFonts w:ascii="宋体" w:hAnsi="宋体" w:cs="宋体"/>
          <w:sz w:val="24"/>
          <w:szCs w:val="24"/>
          <w:highlight w:val="none"/>
        </w:rPr>
        <w:sectPr>
          <w:footerReference r:id="rId9" w:type="default"/>
          <w:pgSz w:w="11907" w:h="16840"/>
          <w:pgMar w:top="1304" w:right="1361" w:bottom="1304" w:left="1361" w:header="720" w:footer="720" w:gutter="0"/>
          <w:cols w:space="720" w:num="1"/>
        </w:sectPr>
      </w:pPr>
      <w:r>
        <w:rPr>
          <w:rFonts w:hint="eastAsia" w:ascii="宋体" w:hAnsi="宋体" w:cs="宋体"/>
          <w:sz w:val="24"/>
          <w:szCs w:val="24"/>
          <w:highlight w:val="none"/>
        </w:rPr>
        <w:t>账号：                               账号：</w:t>
      </w:r>
    </w:p>
    <w:p w14:paraId="278EE397">
      <w:pPr>
        <w:spacing w:line="360" w:lineRule="auto"/>
        <w:ind w:firstLine="723" w:firstLineChars="200"/>
        <w:jc w:val="center"/>
        <w:rPr>
          <w:rFonts w:hAnsi="宋体"/>
          <w:highlight w:val="none"/>
        </w:rPr>
      </w:pPr>
      <w:r>
        <w:rPr>
          <w:rFonts w:hint="eastAsia" w:hAnsi="宋体"/>
          <w:b/>
          <w:bCs/>
          <w:sz w:val="36"/>
          <w:szCs w:val="36"/>
          <w:highlight w:val="none"/>
        </w:rPr>
        <w:t>第二部分  通用合同条款</w:t>
      </w:r>
    </w:p>
    <w:p w14:paraId="13C1B72D">
      <w:pPr>
        <w:pStyle w:val="25"/>
        <w:spacing w:line="300" w:lineRule="auto"/>
        <w:jc w:val="center"/>
        <w:rPr>
          <w:rFonts w:cs="宋体"/>
          <w:b/>
          <w:bCs/>
          <w:color w:val="auto"/>
          <w:sz w:val="28"/>
          <w:szCs w:val="28"/>
          <w:highlight w:val="none"/>
        </w:rPr>
      </w:pPr>
      <w:r>
        <w:rPr>
          <w:rFonts w:hint="eastAsia" w:cs="宋体"/>
          <w:b/>
          <w:bCs/>
          <w:color w:val="auto"/>
          <w:sz w:val="28"/>
          <w:szCs w:val="28"/>
          <w:highlight w:val="none"/>
        </w:rPr>
        <w:t>执行《陕西省建设工程施工合同》（示范文本）</w:t>
      </w:r>
    </w:p>
    <w:p w14:paraId="0931FACB">
      <w:pPr>
        <w:pStyle w:val="25"/>
        <w:spacing w:line="300" w:lineRule="auto"/>
        <w:jc w:val="center"/>
        <w:rPr>
          <w:rFonts w:cs="宋体"/>
          <w:b/>
          <w:bCs/>
          <w:color w:val="auto"/>
          <w:sz w:val="28"/>
          <w:szCs w:val="28"/>
          <w:highlight w:val="none"/>
        </w:rPr>
      </w:pPr>
    </w:p>
    <w:p w14:paraId="0DF86D70">
      <w:pPr>
        <w:pStyle w:val="25"/>
        <w:spacing w:line="300" w:lineRule="auto"/>
        <w:jc w:val="center"/>
        <w:rPr>
          <w:rFonts w:cs="宋体"/>
          <w:b/>
          <w:bCs/>
          <w:color w:val="auto"/>
          <w:sz w:val="28"/>
          <w:szCs w:val="28"/>
          <w:highlight w:val="none"/>
        </w:rPr>
        <w:sectPr>
          <w:pgSz w:w="11906" w:h="16838"/>
          <w:pgMar w:top="1304" w:right="1361" w:bottom="1304" w:left="1361" w:header="720" w:footer="720" w:gutter="0"/>
          <w:cols w:space="720" w:num="1"/>
        </w:sectPr>
      </w:pPr>
    </w:p>
    <w:p w14:paraId="183D3019">
      <w:pPr>
        <w:jc w:val="center"/>
        <w:rPr>
          <w:rFonts w:ascii="黑体" w:eastAsia="黑体"/>
          <w:sz w:val="30"/>
          <w:szCs w:val="30"/>
          <w:highlight w:val="none"/>
        </w:rPr>
      </w:pPr>
      <w:r>
        <w:rPr>
          <w:rFonts w:hint="eastAsia" w:hAnsi="宋体"/>
          <w:b/>
          <w:bCs/>
          <w:sz w:val="36"/>
          <w:szCs w:val="36"/>
          <w:highlight w:val="none"/>
        </w:rPr>
        <w:t>第三部分  专用合同条款</w:t>
      </w:r>
    </w:p>
    <w:p w14:paraId="3E1E78EE">
      <w:pPr>
        <w:spacing w:line="360" w:lineRule="auto"/>
        <w:ind w:firstLine="482" w:firstLineChars="200"/>
        <w:jc w:val="left"/>
        <w:rPr>
          <w:rFonts w:ascii="宋体" w:hAnsi="宋体" w:cs="宋体"/>
          <w:b/>
          <w:bCs/>
          <w:sz w:val="24"/>
          <w:szCs w:val="24"/>
          <w:highlight w:val="none"/>
        </w:rPr>
      </w:pPr>
      <w:r>
        <w:rPr>
          <w:rFonts w:hint="eastAsia" w:ascii="宋体" w:hAnsi="宋体" w:cs="宋体"/>
          <w:b/>
          <w:bCs/>
          <w:sz w:val="24"/>
          <w:szCs w:val="24"/>
          <w:highlight w:val="none"/>
        </w:rPr>
        <w:t>一、词语定义及合同文件</w:t>
      </w:r>
    </w:p>
    <w:p w14:paraId="5A57D952">
      <w:pPr>
        <w:spacing w:line="360" w:lineRule="auto"/>
        <w:ind w:firstLine="482" w:firstLineChars="200"/>
        <w:jc w:val="left"/>
        <w:rPr>
          <w:rFonts w:ascii="宋体" w:hAnsi="宋体" w:cs="宋体"/>
          <w:sz w:val="24"/>
          <w:szCs w:val="24"/>
          <w:highlight w:val="none"/>
        </w:rPr>
      </w:pPr>
      <w:r>
        <w:rPr>
          <w:rFonts w:hint="eastAsia" w:ascii="宋体" w:hAnsi="宋体" w:cs="宋体"/>
          <w:b/>
          <w:bCs/>
          <w:sz w:val="24"/>
          <w:szCs w:val="24"/>
          <w:highlight w:val="none"/>
        </w:rPr>
        <w:t>1、</w:t>
      </w:r>
      <w:r>
        <w:rPr>
          <w:rFonts w:hint="eastAsia" w:ascii="宋体" w:hAnsi="宋体" w:cs="宋体"/>
          <w:sz w:val="24"/>
          <w:szCs w:val="24"/>
          <w:highlight w:val="none"/>
          <w:u w:val="single"/>
        </w:rPr>
        <w:t>专用合同条款是对通用条款中相应条款内容的解释、补充、删除或修改，其序号与通用条款中条款一一对应，未作改动的条款按通用条款执行。</w:t>
      </w:r>
    </w:p>
    <w:p w14:paraId="2E36423F">
      <w:pPr>
        <w:spacing w:line="360" w:lineRule="auto"/>
        <w:ind w:firstLine="482" w:firstLineChars="200"/>
        <w:jc w:val="left"/>
        <w:rPr>
          <w:rFonts w:ascii="宋体" w:hAnsi="宋体" w:cs="宋体"/>
          <w:b/>
          <w:bCs/>
          <w:sz w:val="24"/>
          <w:szCs w:val="24"/>
          <w:highlight w:val="none"/>
        </w:rPr>
      </w:pPr>
      <w:r>
        <w:rPr>
          <w:rFonts w:hint="eastAsia" w:ascii="宋体" w:hAnsi="宋体" w:cs="宋体"/>
          <w:b/>
          <w:bCs/>
          <w:sz w:val="24"/>
          <w:szCs w:val="24"/>
          <w:highlight w:val="none"/>
        </w:rPr>
        <w:t>2、合同文件及解释顺序</w:t>
      </w:r>
    </w:p>
    <w:p w14:paraId="0999A1DD">
      <w:pPr>
        <w:spacing w:line="360" w:lineRule="auto"/>
        <w:ind w:firstLine="480" w:firstLineChars="200"/>
        <w:jc w:val="left"/>
        <w:rPr>
          <w:rFonts w:ascii="宋体" w:hAnsi="宋体" w:cs="宋体"/>
          <w:sz w:val="24"/>
          <w:szCs w:val="24"/>
          <w:highlight w:val="none"/>
          <w:u w:val="single"/>
        </w:rPr>
      </w:pPr>
      <w:r>
        <w:rPr>
          <w:rFonts w:hint="eastAsia" w:ascii="宋体" w:hAnsi="宋体" w:cs="宋体"/>
          <w:sz w:val="24"/>
          <w:szCs w:val="24"/>
          <w:highlight w:val="none"/>
        </w:rPr>
        <w:t>合同文件组成及解释顺序：</w:t>
      </w:r>
      <w:r>
        <w:rPr>
          <w:rFonts w:hint="eastAsia" w:ascii="宋体" w:hAnsi="宋体" w:cs="宋体"/>
          <w:sz w:val="24"/>
          <w:szCs w:val="24"/>
          <w:highlight w:val="none"/>
          <w:u w:val="single"/>
        </w:rPr>
        <w:t>﹙1﹚本合同协议书；﹙2﹚本合同专用条款；﹙3﹚中标通知书；﹙4﹚招标文件答疑纪要；﹙5﹚本合同通用条款；﹙6﹚标准规范及有关技术文件；（7）其他。</w:t>
      </w:r>
    </w:p>
    <w:p w14:paraId="28DE2D21">
      <w:pPr>
        <w:spacing w:line="360" w:lineRule="auto"/>
        <w:ind w:firstLine="482" w:firstLineChars="200"/>
        <w:jc w:val="left"/>
        <w:rPr>
          <w:rFonts w:ascii="宋体" w:hAnsi="宋体" w:cs="宋体"/>
          <w:b/>
          <w:bCs/>
          <w:sz w:val="24"/>
          <w:szCs w:val="24"/>
          <w:highlight w:val="none"/>
        </w:rPr>
      </w:pPr>
      <w:r>
        <w:rPr>
          <w:rFonts w:hint="eastAsia" w:ascii="宋体" w:hAnsi="宋体" w:cs="宋体"/>
          <w:b/>
          <w:bCs/>
          <w:sz w:val="24"/>
          <w:szCs w:val="24"/>
          <w:highlight w:val="none"/>
        </w:rPr>
        <w:t>3、语言文字和适用法律语言文字和适用法律、标准及规范</w:t>
      </w:r>
    </w:p>
    <w:p w14:paraId="3A4D9DE1">
      <w:pPr>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3.1  本合同除使用汉语外，还使用_________</w:t>
      </w:r>
      <w:r>
        <w:rPr>
          <w:rFonts w:hint="eastAsia" w:ascii="宋体" w:hAnsi="宋体" w:cs="宋体"/>
          <w:sz w:val="24"/>
          <w:szCs w:val="24"/>
          <w:highlight w:val="none"/>
          <w:u w:val="single"/>
        </w:rPr>
        <w:t>/</w:t>
      </w:r>
      <w:r>
        <w:rPr>
          <w:rFonts w:hint="eastAsia" w:ascii="宋体" w:hAnsi="宋体" w:cs="宋体"/>
          <w:sz w:val="24"/>
          <w:szCs w:val="24"/>
          <w:highlight w:val="none"/>
        </w:rPr>
        <w:t>__________语言文字。</w:t>
      </w:r>
    </w:p>
    <w:p w14:paraId="25D1F5D6">
      <w:pPr>
        <w:spacing w:line="360" w:lineRule="auto"/>
        <w:ind w:firstLine="480" w:firstLineChars="200"/>
        <w:jc w:val="left"/>
        <w:rPr>
          <w:rFonts w:ascii="宋体" w:hAnsi="宋体" w:cs="宋体"/>
          <w:sz w:val="24"/>
          <w:szCs w:val="24"/>
          <w:highlight w:val="none"/>
          <w:u w:val="single"/>
        </w:rPr>
      </w:pPr>
      <w:r>
        <w:rPr>
          <w:rFonts w:hint="eastAsia" w:ascii="宋体" w:hAnsi="宋体" w:cs="宋体"/>
          <w:sz w:val="24"/>
          <w:szCs w:val="24"/>
          <w:highlight w:val="none"/>
        </w:rPr>
        <w:t>3.2  适用法律和法规需要明示的法律、行政法规：</w:t>
      </w:r>
      <w:r>
        <w:rPr>
          <w:rFonts w:hint="eastAsia" w:ascii="宋体" w:hAnsi="宋体" w:cs="宋体"/>
          <w:sz w:val="24"/>
          <w:szCs w:val="24"/>
          <w:highlight w:val="none"/>
          <w:u w:val="single"/>
        </w:rPr>
        <w:t>本合同适用于中华人民共和国法律，行政法规、陕西省地方法规。</w:t>
      </w:r>
    </w:p>
    <w:p w14:paraId="7B9183E1">
      <w:pPr>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 xml:space="preserve">3.3  适用标准、规范 </w:t>
      </w:r>
    </w:p>
    <w:p w14:paraId="10055617">
      <w:pPr>
        <w:spacing w:line="360" w:lineRule="auto"/>
        <w:ind w:firstLine="480" w:firstLineChars="200"/>
        <w:jc w:val="left"/>
        <w:rPr>
          <w:rFonts w:ascii="宋体" w:hAnsi="宋体" w:cs="宋体"/>
          <w:sz w:val="24"/>
          <w:szCs w:val="24"/>
          <w:highlight w:val="none"/>
          <w:u w:val="single"/>
        </w:rPr>
      </w:pPr>
      <w:r>
        <w:rPr>
          <w:rFonts w:hint="eastAsia" w:ascii="宋体" w:hAnsi="宋体" w:cs="宋体"/>
          <w:sz w:val="24"/>
          <w:szCs w:val="24"/>
          <w:highlight w:val="none"/>
        </w:rPr>
        <w:t>适用标准、规范的名称：</w:t>
      </w:r>
      <w:r>
        <w:rPr>
          <w:rFonts w:hint="eastAsia" w:ascii="宋体" w:hAnsi="宋体" w:cs="宋体"/>
          <w:sz w:val="24"/>
          <w:szCs w:val="24"/>
          <w:highlight w:val="none"/>
          <w:u w:val="single"/>
        </w:rPr>
        <w:t>﹙1﹚国家现行和相关技术规程；﹙2﹚工程所在地建设主管部门的标准、规范；﹙3﹚工程所在地行业的标准、规范。</w:t>
      </w:r>
    </w:p>
    <w:p w14:paraId="31EB7E82">
      <w:pPr>
        <w:spacing w:line="360" w:lineRule="auto"/>
        <w:ind w:firstLine="480" w:firstLineChars="200"/>
        <w:jc w:val="left"/>
        <w:rPr>
          <w:rFonts w:ascii="宋体" w:hAnsi="宋体" w:cs="宋体"/>
          <w:sz w:val="24"/>
          <w:szCs w:val="24"/>
          <w:highlight w:val="none"/>
          <w:u w:val="single"/>
        </w:rPr>
      </w:pPr>
      <w:r>
        <w:rPr>
          <w:rFonts w:hint="eastAsia" w:ascii="宋体" w:hAnsi="宋体" w:cs="宋体"/>
          <w:sz w:val="24"/>
          <w:szCs w:val="24"/>
          <w:highlight w:val="none"/>
        </w:rPr>
        <w:t>发包人提供标准、规范的时间：</w:t>
      </w:r>
      <w:r>
        <w:rPr>
          <w:rFonts w:hint="eastAsia" w:ascii="宋体" w:hAnsi="宋体" w:cs="宋体"/>
          <w:sz w:val="24"/>
          <w:szCs w:val="24"/>
          <w:highlight w:val="none"/>
          <w:u w:val="single"/>
        </w:rPr>
        <w:t xml:space="preserve">               /                    _</w:t>
      </w:r>
    </w:p>
    <w:p w14:paraId="12A3C5D3">
      <w:pPr>
        <w:spacing w:line="360" w:lineRule="auto"/>
        <w:ind w:firstLine="480" w:firstLineChars="200"/>
        <w:jc w:val="left"/>
        <w:rPr>
          <w:rFonts w:ascii="宋体" w:hAnsi="宋体" w:cs="宋体"/>
          <w:sz w:val="24"/>
          <w:szCs w:val="24"/>
          <w:highlight w:val="none"/>
          <w:u w:val="single"/>
        </w:rPr>
      </w:pPr>
      <w:r>
        <w:rPr>
          <w:rFonts w:hint="eastAsia" w:ascii="宋体" w:hAnsi="宋体" w:cs="宋体"/>
          <w:sz w:val="24"/>
          <w:szCs w:val="24"/>
          <w:highlight w:val="none"/>
        </w:rPr>
        <w:t>国内没有相应标准、规范时的约定：</w:t>
      </w:r>
      <w:r>
        <w:rPr>
          <w:rFonts w:hint="eastAsia" w:ascii="宋体" w:hAnsi="宋体" w:cs="宋体"/>
          <w:sz w:val="24"/>
          <w:szCs w:val="24"/>
          <w:highlight w:val="none"/>
          <w:u w:val="single"/>
        </w:rPr>
        <w:t xml:space="preserve">                              。</w:t>
      </w:r>
    </w:p>
    <w:p w14:paraId="6C8DEC07">
      <w:pPr>
        <w:spacing w:line="360" w:lineRule="auto"/>
        <w:ind w:firstLine="482" w:firstLineChars="200"/>
        <w:jc w:val="left"/>
        <w:rPr>
          <w:rFonts w:ascii="宋体" w:hAnsi="宋体" w:cs="宋体"/>
          <w:b/>
          <w:bCs/>
          <w:sz w:val="24"/>
          <w:szCs w:val="24"/>
          <w:highlight w:val="none"/>
        </w:rPr>
      </w:pPr>
      <w:r>
        <w:rPr>
          <w:rFonts w:hint="eastAsia" w:ascii="宋体" w:hAnsi="宋体" w:cs="宋体"/>
          <w:b/>
          <w:bCs/>
          <w:sz w:val="24"/>
          <w:szCs w:val="24"/>
          <w:highlight w:val="none"/>
        </w:rPr>
        <w:t>4、图纸</w:t>
      </w:r>
    </w:p>
    <w:p w14:paraId="24756107">
      <w:pPr>
        <w:spacing w:line="360" w:lineRule="auto"/>
        <w:ind w:firstLine="480" w:firstLineChars="200"/>
        <w:jc w:val="left"/>
        <w:rPr>
          <w:rFonts w:ascii="宋体" w:hAnsi="宋体" w:cs="宋体"/>
          <w:sz w:val="24"/>
          <w:szCs w:val="24"/>
          <w:highlight w:val="none"/>
          <w:u w:val="thick"/>
        </w:rPr>
      </w:pPr>
      <w:r>
        <w:rPr>
          <w:rFonts w:hint="eastAsia" w:ascii="宋体" w:hAnsi="宋体" w:cs="宋体"/>
          <w:sz w:val="24"/>
          <w:szCs w:val="24"/>
          <w:highlight w:val="none"/>
        </w:rPr>
        <w:t>4.1发包人向承包人提供图纸日期和套数</w:t>
      </w:r>
      <w:r>
        <w:rPr>
          <w:rFonts w:hint="eastAsia" w:ascii="宋体" w:hAnsi="宋体" w:cs="宋体"/>
          <w:sz w:val="24"/>
          <w:szCs w:val="24"/>
          <w:highlight w:val="none"/>
          <w:u w:val="single"/>
        </w:rPr>
        <w:t>：    /                       。</w:t>
      </w:r>
    </w:p>
    <w:p w14:paraId="3152ECE9">
      <w:pPr>
        <w:spacing w:line="360" w:lineRule="auto"/>
        <w:ind w:firstLine="480" w:firstLineChars="200"/>
        <w:jc w:val="left"/>
        <w:rPr>
          <w:rFonts w:ascii="宋体" w:hAnsi="宋体" w:cs="宋体"/>
          <w:sz w:val="24"/>
          <w:szCs w:val="24"/>
          <w:highlight w:val="none"/>
          <w:u w:val="single"/>
        </w:rPr>
      </w:pPr>
      <w:r>
        <w:rPr>
          <w:rFonts w:hint="eastAsia" w:ascii="宋体" w:hAnsi="宋体" w:cs="宋体"/>
          <w:sz w:val="24"/>
          <w:szCs w:val="24"/>
          <w:highlight w:val="none"/>
        </w:rPr>
        <w:t>发包人对图纸的保密要求</w:t>
      </w:r>
      <w:r>
        <w:rPr>
          <w:rFonts w:hint="eastAsia" w:ascii="宋体" w:hAnsi="宋体" w:cs="宋体"/>
          <w:sz w:val="24"/>
          <w:szCs w:val="24"/>
          <w:highlight w:val="none"/>
          <w:u w:val="single"/>
        </w:rPr>
        <w:t>：         /           。</w:t>
      </w:r>
    </w:p>
    <w:p w14:paraId="750B4852">
      <w:pPr>
        <w:spacing w:line="360" w:lineRule="auto"/>
        <w:ind w:firstLine="480" w:firstLineChars="200"/>
        <w:jc w:val="left"/>
        <w:rPr>
          <w:rFonts w:ascii="宋体" w:hAnsi="宋体" w:cs="宋体"/>
          <w:sz w:val="24"/>
          <w:szCs w:val="24"/>
          <w:highlight w:val="none"/>
          <w:u w:val="thick"/>
        </w:rPr>
      </w:pPr>
      <w:r>
        <w:rPr>
          <w:rFonts w:hint="eastAsia" w:ascii="宋体" w:hAnsi="宋体" w:cs="宋体"/>
          <w:sz w:val="24"/>
          <w:szCs w:val="24"/>
          <w:highlight w:val="none"/>
        </w:rPr>
        <w:t>使用国外图纸的要求及费用承担：</w:t>
      </w:r>
      <w:r>
        <w:rPr>
          <w:rFonts w:hint="eastAsia" w:ascii="宋体" w:hAnsi="宋体" w:cs="宋体"/>
          <w:sz w:val="24"/>
          <w:szCs w:val="24"/>
          <w:highlight w:val="none"/>
          <w:u w:val="single"/>
        </w:rPr>
        <w:t>____无_____</w:t>
      </w:r>
    </w:p>
    <w:p w14:paraId="0499916F">
      <w:pPr>
        <w:spacing w:line="360" w:lineRule="auto"/>
        <w:ind w:firstLine="482" w:firstLineChars="200"/>
        <w:jc w:val="left"/>
        <w:rPr>
          <w:rFonts w:ascii="宋体" w:hAnsi="宋体" w:cs="宋体"/>
          <w:b/>
          <w:bCs/>
          <w:sz w:val="24"/>
          <w:szCs w:val="24"/>
          <w:highlight w:val="none"/>
        </w:rPr>
      </w:pPr>
      <w:r>
        <w:rPr>
          <w:rFonts w:hint="eastAsia" w:ascii="宋体" w:hAnsi="宋体" w:cs="宋体"/>
          <w:b/>
          <w:bCs/>
          <w:sz w:val="24"/>
          <w:szCs w:val="24"/>
          <w:highlight w:val="none"/>
        </w:rPr>
        <w:t>二、双方一般权利和义务</w:t>
      </w:r>
    </w:p>
    <w:p w14:paraId="2B0F4E2D">
      <w:pPr>
        <w:spacing w:line="360" w:lineRule="auto"/>
        <w:ind w:firstLine="482" w:firstLineChars="200"/>
        <w:jc w:val="left"/>
        <w:rPr>
          <w:rFonts w:ascii="宋体" w:hAnsi="宋体" w:cs="宋体"/>
          <w:b/>
          <w:bCs/>
          <w:sz w:val="24"/>
          <w:szCs w:val="24"/>
          <w:highlight w:val="none"/>
        </w:rPr>
      </w:pPr>
      <w:r>
        <w:rPr>
          <w:rFonts w:hint="eastAsia" w:ascii="宋体" w:hAnsi="宋体" w:cs="宋体"/>
          <w:b/>
          <w:bCs/>
          <w:sz w:val="24"/>
          <w:szCs w:val="24"/>
          <w:highlight w:val="none"/>
        </w:rPr>
        <w:t>5、工程师</w:t>
      </w:r>
    </w:p>
    <w:p w14:paraId="36F32A98">
      <w:pPr>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 xml:space="preserve">5.2监理单位委派的工程师 </w:t>
      </w:r>
    </w:p>
    <w:p w14:paraId="331F2A40">
      <w:pPr>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姓名：______/_________职务：______/________</w:t>
      </w:r>
    </w:p>
    <w:p w14:paraId="0877B6C6">
      <w:pPr>
        <w:spacing w:line="360" w:lineRule="auto"/>
        <w:ind w:firstLine="480" w:firstLineChars="200"/>
        <w:jc w:val="left"/>
        <w:rPr>
          <w:rFonts w:ascii="宋体" w:hAnsi="宋体" w:cs="宋体"/>
          <w:sz w:val="24"/>
          <w:szCs w:val="24"/>
          <w:highlight w:val="none"/>
          <w:u w:val="single"/>
        </w:rPr>
      </w:pPr>
      <w:r>
        <w:rPr>
          <w:rFonts w:hint="eastAsia" w:ascii="宋体" w:hAnsi="宋体" w:cs="宋体"/>
          <w:sz w:val="24"/>
          <w:szCs w:val="24"/>
          <w:highlight w:val="none"/>
        </w:rPr>
        <w:t>发包人委托的职权：</w:t>
      </w:r>
      <w:r>
        <w:rPr>
          <w:rFonts w:hint="eastAsia" w:ascii="宋体" w:hAnsi="宋体" w:cs="宋体"/>
          <w:sz w:val="24"/>
          <w:szCs w:val="24"/>
          <w:highlight w:val="none"/>
          <w:u w:val="single"/>
        </w:rPr>
        <w:t xml:space="preserve">               /                   </w:t>
      </w:r>
    </w:p>
    <w:p w14:paraId="2BAE7485">
      <w:pPr>
        <w:spacing w:line="360" w:lineRule="auto"/>
        <w:ind w:firstLine="480" w:firstLineChars="200"/>
        <w:jc w:val="left"/>
        <w:rPr>
          <w:rFonts w:ascii="宋体" w:hAnsi="宋体" w:cs="宋体"/>
          <w:sz w:val="24"/>
          <w:szCs w:val="24"/>
          <w:highlight w:val="none"/>
          <w:u w:val="thick"/>
        </w:rPr>
      </w:pPr>
      <w:r>
        <w:rPr>
          <w:rFonts w:hint="eastAsia" w:ascii="宋体" w:hAnsi="宋体" w:cs="宋体"/>
          <w:sz w:val="24"/>
          <w:szCs w:val="24"/>
          <w:highlight w:val="none"/>
        </w:rPr>
        <w:t>需要取得发包人批准才能行使的职权：</w:t>
      </w:r>
      <w:r>
        <w:rPr>
          <w:rFonts w:hint="eastAsia" w:ascii="宋体" w:hAnsi="宋体" w:cs="宋体"/>
          <w:sz w:val="24"/>
          <w:szCs w:val="24"/>
          <w:highlight w:val="none"/>
          <w:u w:val="single"/>
        </w:rPr>
        <w:t xml:space="preserve">         /          </w:t>
      </w:r>
    </w:p>
    <w:p w14:paraId="713A8D72">
      <w:pPr>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 xml:space="preserve">5.4发包人派驻的工程师 </w:t>
      </w:r>
    </w:p>
    <w:p w14:paraId="3B511ABB">
      <w:pPr>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姓名：____________________职务：________________________________</w:t>
      </w:r>
    </w:p>
    <w:p w14:paraId="7CF67730">
      <w:pPr>
        <w:spacing w:line="360" w:lineRule="auto"/>
        <w:ind w:firstLine="480" w:firstLineChars="200"/>
        <w:jc w:val="left"/>
        <w:rPr>
          <w:rFonts w:ascii="宋体" w:hAnsi="宋体" w:cs="宋体"/>
          <w:sz w:val="24"/>
          <w:szCs w:val="24"/>
          <w:highlight w:val="none"/>
          <w:u w:val="single"/>
        </w:rPr>
      </w:pPr>
      <w:r>
        <w:rPr>
          <w:rFonts w:hint="eastAsia" w:ascii="宋体" w:hAnsi="宋体" w:cs="宋体"/>
          <w:sz w:val="24"/>
          <w:szCs w:val="24"/>
          <w:highlight w:val="none"/>
        </w:rPr>
        <w:t>职权：</w:t>
      </w:r>
      <w:r>
        <w:rPr>
          <w:rFonts w:hint="eastAsia" w:ascii="宋体" w:hAnsi="宋体" w:cs="宋体"/>
          <w:sz w:val="24"/>
          <w:szCs w:val="24"/>
          <w:highlight w:val="none"/>
          <w:u w:val="single"/>
        </w:rPr>
        <w:t xml:space="preserve">                                                          </w:t>
      </w:r>
    </w:p>
    <w:p w14:paraId="506F123B">
      <w:pPr>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5.6不实行监理的，工程师的职权：________</w:t>
      </w:r>
      <w:r>
        <w:rPr>
          <w:rFonts w:hint="eastAsia" w:ascii="宋体" w:hAnsi="宋体" w:cs="宋体"/>
          <w:sz w:val="24"/>
          <w:szCs w:val="24"/>
          <w:highlight w:val="none"/>
          <w:u w:val="single"/>
        </w:rPr>
        <w:t>/_</w:t>
      </w:r>
      <w:r>
        <w:rPr>
          <w:rFonts w:hint="eastAsia" w:ascii="宋体" w:hAnsi="宋体" w:cs="宋体"/>
          <w:sz w:val="24"/>
          <w:szCs w:val="24"/>
          <w:highlight w:val="none"/>
        </w:rPr>
        <w:t>____________________</w:t>
      </w:r>
    </w:p>
    <w:p w14:paraId="021A1ED6">
      <w:pPr>
        <w:spacing w:line="360" w:lineRule="auto"/>
        <w:ind w:firstLine="482" w:firstLineChars="200"/>
        <w:jc w:val="left"/>
        <w:rPr>
          <w:rFonts w:ascii="宋体" w:hAnsi="宋体" w:cs="宋体"/>
          <w:b/>
          <w:bCs/>
          <w:sz w:val="24"/>
          <w:szCs w:val="24"/>
          <w:highlight w:val="none"/>
        </w:rPr>
      </w:pPr>
      <w:r>
        <w:rPr>
          <w:rFonts w:hint="eastAsia" w:ascii="宋体" w:hAnsi="宋体" w:cs="宋体"/>
          <w:b/>
          <w:bCs/>
          <w:sz w:val="24"/>
          <w:szCs w:val="24"/>
          <w:highlight w:val="none"/>
        </w:rPr>
        <w:t>6、项目经理</w:t>
      </w:r>
    </w:p>
    <w:p w14:paraId="7981FDE5">
      <w:pPr>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姓名：___________职务：___________________</w:t>
      </w:r>
    </w:p>
    <w:p w14:paraId="6D946790">
      <w:pPr>
        <w:spacing w:line="360" w:lineRule="auto"/>
        <w:ind w:firstLine="482" w:firstLineChars="200"/>
        <w:jc w:val="left"/>
        <w:rPr>
          <w:rFonts w:ascii="宋体" w:hAnsi="宋体" w:cs="宋体"/>
          <w:b/>
          <w:bCs/>
          <w:sz w:val="24"/>
          <w:szCs w:val="24"/>
          <w:highlight w:val="none"/>
        </w:rPr>
      </w:pPr>
      <w:r>
        <w:rPr>
          <w:rFonts w:hint="eastAsia" w:ascii="宋体" w:hAnsi="宋体" w:cs="宋体"/>
          <w:b/>
          <w:bCs/>
          <w:sz w:val="24"/>
          <w:szCs w:val="24"/>
          <w:highlight w:val="none"/>
        </w:rPr>
        <w:t>7、发包人工作</w:t>
      </w:r>
    </w:p>
    <w:p w14:paraId="27693094">
      <w:pPr>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7.1发包人应按约定的时间和要求完成以下工作：</w:t>
      </w:r>
    </w:p>
    <w:p w14:paraId="11870928">
      <w:pPr>
        <w:spacing w:line="360" w:lineRule="auto"/>
        <w:ind w:firstLine="480" w:firstLineChars="200"/>
        <w:jc w:val="left"/>
        <w:rPr>
          <w:rFonts w:ascii="宋体" w:hAnsi="宋体" w:cs="宋体"/>
          <w:sz w:val="24"/>
          <w:szCs w:val="24"/>
          <w:highlight w:val="none"/>
          <w:u w:val="single"/>
        </w:rPr>
      </w:pPr>
      <w:r>
        <w:rPr>
          <w:rFonts w:hint="eastAsia" w:ascii="宋体" w:hAnsi="宋体" w:cs="宋体"/>
          <w:sz w:val="24"/>
          <w:szCs w:val="24"/>
          <w:highlight w:val="none"/>
        </w:rPr>
        <w:t>（1）施工场地具备施工条件的要求及完成的时间：</w:t>
      </w:r>
      <w:r>
        <w:rPr>
          <w:rFonts w:hint="eastAsia" w:ascii="宋体" w:hAnsi="宋体" w:cs="宋体"/>
          <w:sz w:val="24"/>
          <w:szCs w:val="24"/>
          <w:highlight w:val="none"/>
          <w:u w:val="single"/>
        </w:rPr>
        <w:t>工程开工前五日内完成。</w:t>
      </w:r>
    </w:p>
    <w:p w14:paraId="66298FA4">
      <w:pPr>
        <w:spacing w:line="360" w:lineRule="auto"/>
        <w:ind w:firstLine="480" w:firstLineChars="200"/>
        <w:jc w:val="left"/>
        <w:rPr>
          <w:rFonts w:ascii="宋体" w:hAnsi="宋体" w:cs="宋体"/>
          <w:sz w:val="24"/>
          <w:szCs w:val="24"/>
          <w:highlight w:val="none"/>
          <w:u w:val="single"/>
        </w:rPr>
      </w:pPr>
      <w:r>
        <w:rPr>
          <w:rFonts w:hint="eastAsia" w:ascii="宋体" w:hAnsi="宋体" w:cs="宋体"/>
          <w:sz w:val="24"/>
          <w:szCs w:val="24"/>
          <w:highlight w:val="none"/>
        </w:rPr>
        <w:t>（2）将施工所需的水、电、电讯线路接至施工场地的时间、地点和供应要求：</w:t>
      </w:r>
      <w:r>
        <w:rPr>
          <w:rFonts w:hint="eastAsia" w:ascii="宋体" w:hAnsi="宋体" w:cs="宋体"/>
          <w:sz w:val="24"/>
          <w:szCs w:val="24"/>
          <w:highlight w:val="none"/>
          <w:u w:val="single"/>
        </w:rPr>
        <w:t>本工程施工水源、电源、电讯均由承包人自行解决并承担费用。</w:t>
      </w:r>
    </w:p>
    <w:p w14:paraId="0E358440">
      <w:pPr>
        <w:spacing w:line="360" w:lineRule="auto"/>
        <w:ind w:firstLine="480" w:firstLineChars="200"/>
        <w:jc w:val="left"/>
        <w:rPr>
          <w:rFonts w:ascii="宋体" w:hAnsi="宋体" w:cs="宋体"/>
          <w:sz w:val="24"/>
          <w:szCs w:val="24"/>
          <w:highlight w:val="none"/>
          <w:u w:val="thick"/>
        </w:rPr>
      </w:pPr>
      <w:r>
        <w:rPr>
          <w:rFonts w:hint="eastAsia" w:ascii="宋体" w:hAnsi="宋体" w:cs="宋体"/>
          <w:sz w:val="24"/>
          <w:szCs w:val="24"/>
          <w:highlight w:val="none"/>
        </w:rPr>
        <w:t>其计量和计价方法为：</w:t>
      </w:r>
      <w:r>
        <w:rPr>
          <w:rFonts w:hint="eastAsia" w:ascii="宋体" w:hAnsi="宋体" w:cs="宋体"/>
          <w:sz w:val="24"/>
          <w:szCs w:val="24"/>
          <w:highlight w:val="none"/>
          <w:u w:val="single"/>
        </w:rPr>
        <w:t>由承包人承担费用，按不同来源在投标时自主报价，结算时不再调整。</w:t>
      </w:r>
    </w:p>
    <w:p w14:paraId="227EBD5A">
      <w:pPr>
        <w:spacing w:line="360" w:lineRule="auto"/>
        <w:ind w:firstLine="480" w:firstLineChars="200"/>
        <w:jc w:val="left"/>
        <w:rPr>
          <w:rFonts w:ascii="宋体" w:hAnsi="宋体" w:cs="宋体"/>
          <w:sz w:val="24"/>
          <w:szCs w:val="24"/>
          <w:highlight w:val="none"/>
          <w:u w:val="single"/>
        </w:rPr>
      </w:pPr>
      <w:r>
        <w:rPr>
          <w:rFonts w:hint="eastAsia" w:ascii="宋体" w:hAnsi="宋体" w:cs="宋体"/>
          <w:sz w:val="24"/>
          <w:szCs w:val="24"/>
          <w:highlight w:val="none"/>
        </w:rPr>
        <w:t>（3）施工场地与公共道路的通道开通时间和要求：</w:t>
      </w:r>
      <w:r>
        <w:rPr>
          <w:rFonts w:hint="eastAsia" w:ascii="宋体" w:hAnsi="宋体" w:cs="宋体"/>
          <w:sz w:val="24"/>
          <w:szCs w:val="24"/>
          <w:highlight w:val="none"/>
          <w:u w:val="single"/>
        </w:rPr>
        <w:t xml:space="preserve">             </w:t>
      </w:r>
    </w:p>
    <w:p w14:paraId="7308E9A8">
      <w:pPr>
        <w:spacing w:line="360" w:lineRule="auto"/>
        <w:ind w:firstLine="480" w:firstLineChars="200"/>
        <w:jc w:val="left"/>
        <w:rPr>
          <w:rFonts w:ascii="宋体" w:hAnsi="宋体" w:cs="宋体"/>
          <w:sz w:val="24"/>
          <w:szCs w:val="24"/>
          <w:highlight w:val="none"/>
          <w:u w:val="single"/>
        </w:rPr>
      </w:pPr>
      <w:r>
        <w:rPr>
          <w:rFonts w:hint="eastAsia" w:ascii="宋体" w:hAnsi="宋体" w:cs="宋体"/>
          <w:sz w:val="24"/>
          <w:szCs w:val="24"/>
          <w:highlight w:val="none"/>
        </w:rPr>
        <w:t>（4）工程地质和地下管线资料的提供时间：</w:t>
      </w:r>
      <w:r>
        <w:rPr>
          <w:rFonts w:hint="eastAsia" w:ascii="宋体" w:hAnsi="宋体" w:cs="宋体"/>
          <w:sz w:val="24"/>
          <w:szCs w:val="24"/>
          <w:highlight w:val="none"/>
          <w:u w:val="single"/>
        </w:rPr>
        <w:t>合同签订七日内提供发包人已知的情况，其它由承包人自行勘测和解决。</w:t>
      </w:r>
    </w:p>
    <w:p w14:paraId="33836113">
      <w:pPr>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（5）由发包人办理的施工所需证件、批件的名称和完成时间：</w:t>
      </w:r>
      <w:r>
        <w:rPr>
          <w:rFonts w:hint="eastAsia" w:ascii="宋体" w:hAnsi="宋体" w:cs="宋体"/>
          <w:sz w:val="24"/>
          <w:szCs w:val="24"/>
          <w:highlight w:val="none"/>
          <w:u w:val="single"/>
        </w:rPr>
        <w:t>合同签订后发包人积极办理，需要承包人配合的承包人必须积极配合在开工前完成</w:t>
      </w:r>
      <w:r>
        <w:rPr>
          <w:rFonts w:hint="eastAsia" w:ascii="宋体" w:hAnsi="宋体" w:cs="宋体"/>
          <w:sz w:val="24"/>
          <w:szCs w:val="24"/>
          <w:highlight w:val="none"/>
        </w:rPr>
        <w:t>。</w:t>
      </w:r>
    </w:p>
    <w:p w14:paraId="2813F927">
      <w:pPr>
        <w:spacing w:line="360" w:lineRule="auto"/>
        <w:ind w:firstLine="480" w:firstLineChars="200"/>
        <w:jc w:val="left"/>
        <w:rPr>
          <w:rFonts w:ascii="宋体" w:hAnsi="宋体" w:cs="宋体"/>
          <w:sz w:val="24"/>
          <w:szCs w:val="24"/>
          <w:highlight w:val="none"/>
          <w:u w:val="thick"/>
        </w:rPr>
      </w:pPr>
      <w:r>
        <w:rPr>
          <w:rFonts w:hint="eastAsia" w:ascii="宋体" w:hAnsi="宋体" w:cs="宋体"/>
          <w:sz w:val="24"/>
          <w:szCs w:val="24"/>
          <w:highlight w:val="none"/>
        </w:rPr>
        <w:t>（6）水准点与座标控制点交验要求：</w:t>
      </w:r>
      <w:r>
        <w:rPr>
          <w:rFonts w:hint="eastAsia" w:ascii="宋体" w:hAnsi="宋体" w:cs="宋体"/>
          <w:sz w:val="24"/>
          <w:szCs w:val="24"/>
          <w:highlight w:val="none"/>
          <w:u w:val="single"/>
        </w:rPr>
        <w:t>/。</w:t>
      </w:r>
    </w:p>
    <w:p w14:paraId="581195F7">
      <w:pPr>
        <w:spacing w:line="360" w:lineRule="auto"/>
        <w:ind w:firstLine="480" w:firstLineChars="200"/>
        <w:jc w:val="left"/>
        <w:rPr>
          <w:rFonts w:ascii="宋体" w:hAnsi="宋体" w:cs="宋体"/>
          <w:sz w:val="24"/>
          <w:szCs w:val="24"/>
          <w:highlight w:val="none"/>
          <w:u w:val="thick"/>
        </w:rPr>
      </w:pPr>
      <w:r>
        <w:rPr>
          <w:rFonts w:hint="eastAsia" w:ascii="宋体" w:hAnsi="宋体" w:cs="宋体"/>
          <w:sz w:val="24"/>
          <w:szCs w:val="24"/>
          <w:highlight w:val="none"/>
        </w:rPr>
        <w:t>（7）施工交底时间：</w:t>
      </w:r>
      <w:r>
        <w:rPr>
          <w:rFonts w:hint="eastAsia" w:ascii="宋体" w:hAnsi="宋体" w:cs="宋体"/>
          <w:sz w:val="24"/>
          <w:szCs w:val="24"/>
          <w:highlight w:val="none"/>
          <w:u w:val="single"/>
        </w:rPr>
        <w:t xml:space="preserve">       。</w:t>
      </w:r>
    </w:p>
    <w:p w14:paraId="202EA0F6">
      <w:pPr>
        <w:spacing w:line="360" w:lineRule="auto"/>
        <w:ind w:firstLine="480" w:firstLineChars="200"/>
        <w:jc w:val="left"/>
        <w:rPr>
          <w:rFonts w:ascii="宋体" w:hAnsi="宋体" w:cs="宋体"/>
          <w:sz w:val="24"/>
          <w:szCs w:val="24"/>
          <w:highlight w:val="none"/>
          <w:u w:val="thick"/>
        </w:rPr>
      </w:pPr>
      <w:r>
        <w:rPr>
          <w:rFonts w:hint="eastAsia" w:ascii="宋体" w:hAnsi="宋体" w:cs="宋体"/>
          <w:sz w:val="24"/>
          <w:szCs w:val="24"/>
          <w:highlight w:val="none"/>
        </w:rPr>
        <w:t>（8）协调处理施工场地周围地下管线和邻近建筑物、构筑物（含文物保护建筑）、古树名木的保护工作：</w:t>
      </w:r>
      <w:r>
        <w:rPr>
          <w:rFonts w:hint="eastAsia" w:ascii="宋体" w:hAnsi="宋体" w:cs="宋体"/>
          <w:sz w:val="24"/>
          <w:szCs w:val="24"/>
          <w:highlight w:val="none"/>
          <w:u w:val="single"/>
        </w:rPr>
        <w:t>由发包人和承包人协商确定。</w:t>
      </w:r>
    </w:p>
    <w:p w14:paraId="77225BA9">
      <w:pPr>
        <w:spacing w:line="360" w:lineRule="auto"/>
        <w:ind w:firstLine="480" w:firstLineChars="200"/>
        <w:jc w:val="left"/>
        <w:rPr>
          <w:rFonts w:ascii="宋体" w:hAnsi="宋体" w:cs="宋体"/>
          <w:sz w:val="24"/>
          <w:szCs w:val="24"/>
          <w:highlight w:val="none"/>
          <w:u w:val="thick"/>
        </w:rPr>
      </w:pPr>
      <w:r>
        <w:rPr>
          <w:rFonts w:hint="eastAsia" w:ascii="宋体" w:hAnsi="宋体" w:cs="宋体"/>
          <w:sz w:val="24"/>
          <w:szCs w:val="24"/>
          <w:highlight w:val="none"/>
        </w:rPr>
        <w:t>（9）双方约定发包人应做的其他工作：</w:t>
      </w:r>
      <w:r>
        <w:rPr>
          <w:rFonts w:hint="eastAsia" w:ascii="宋体" w:hAnsi="宋体" w:cs="宋体"/>
          <w:sz w:val="24"/>
          <w:szCs w:val="24"/>
          <w:highlight w:val="none"/>
          <w:u w:val="single"/>
        </w:rPr>
        <w:t>施工中的协调配合工作。</w:t>
      </w:r>
    </w:p>
    <w:p w14:paraId="56AF14E1">
      <w:pPr>
        <w:spacing w:line="360" w:lineRule="auto"/>
        <w:ind w:firstLine="480" w:firstLineChars="200"/>
        <w:jc w:val="left"/>
        <w:rPr>
          <w:rFonts w:ascii="宋体" w:hAnsi="宋体" w:cs="宋体"/>
          <w:sz w:val="24"/>
          <w:szCs w:val="24"/>
          <w:highlight w:val="none"/>
          <w:u w:val="thick"/>
        </w:rPr>
      </w:pPr>
      <w:r>
        <w:rPr>
          <w:rFonts w:hint="eastAsia" w:ascii="宋体" w:hAnsi="宋体" w:cs="宋体"/>
          <w:sz w:val="24"/>
          <w:szCs w:val="24"/>
          <w:highlight w:val="none"/>
        </w:rPr>
        <w:t>7.2发包人委托承包人办理的工作：</w:t>
      </w:r>
      <w:r>
        <w:rPr>
          <w:rFonts w:hint="eastAsia" w:ascii="宋体" w:hAnsi="宋体" w:cs="宋体"/>
          <w:sz w:val="24"/>
          <w:szCs w:val="24"/>
          <w:highlight w:val="none"/>
          <w:u w:val="single"/>
        </w:rPr>
        <w:t>配合发包人办理施工许可证、质量监督备案手续。</w:t>
      </w:r>
    </w:p>
    <w:p w14:paraId="4F6B4D18">
      <w:pPr>
        <w:spacing w:line="360" w:lineRule="auto"/>
        <w:ind w:firstLine="482" w:firstLineChars="200"/>
        <w:jc w:val="left"/>
        <w:rPr>
          <w:rFonts w:ascii="宋体" w:hAnsi="宋体" w:cs="宋体"/>
          <w:b/>
          <w:bCs/>
          <w:sz w:val="24"/>
          <w:szCs w:val="24"/>
          <w:highlight w:val="none"/>
        </w:rPr>
      </w:pPr>
      <w:r>
        <w:rPr>
          <w:rFonts w:hint="eastAsia" w:ascii="宋体" w:hAnsi="宋体" w:cs="宋体"/>
          <w:b/>
          <w:bCs/>
          <w:sz w:val="24"/>
          <w:szCs w:val="24"/>
          <w:highlight w:val="none"/>
        </w:rPr>
        <w:t>8、承包人工作</w:t>
      </w:r>
    </w:p>
    <w:p w14:paraId="3E4F5C70">
      <w:pPr>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8.1承包人应按约定时间和要求，完成以下工作：</w:t>
      </w:r>
    </w:p>
    <w:p w14:paraId="0E7CE979">
      <w:pPr>
        <w:spacing w:line="360" w:lineRule="auto"/>
        <w:ind w:firstLine="480" w:firstLineChars="200"/>
        <w:jc w:val="left"/>
        <w:rPr>
          <w:rFonts w:ascii="宋体" w:hAnsi="宋体" w:cs="宋体"/>
          <w:sz w:val="24"/>
          <w:szCs w:val="24"/>
          <w:highlight w:val="none"/>
          <w:u w:val="thick"/>
        </w:rPr>
      </w:pPr>
      <w:r>
        <w:rPr>
          <w:rFonts w:hint="eastAsia" w:ascii="宋体" w:hAnsi="宋体" w:cs="宋体"/>
          <w:sz w:val="24"/>
          <w:szCs w:val="24"/>
          <w:highlight w:val="none"/>
        </w:rPr>
        <w:t>（1）需由设计资质等级和业务范围允许的承包人完成的设计文件提交时间：</w:t>
      </w:r>
      <w:r>
        <w:rPr>
          <w:rFonts w:hint="eastAsia" w:ascii="宋体" w:hAnsi="宋体" w:cs="宋体"/>
          <w:sz w:val="24"/>
          <w:szCs w:val="24"/>
          <w:highlight w:val="none"/>
          <w:u w:val="single"/>
        </w:rPr>
        <w:t>按发包人的要求提供。</w:t>
      </w:r>
    </w:p>
    <w:p w14:paraId="7E4D0EF9">
      <w:pPr>
        <w:spacing w:line="360" w:lineRule="auto"/>
        <w:ind w:firstLine="480" w:firstLineChars="200"/>
        <w:jc w:val="left"/>
        <w:rPr>
          <w:rFonts w:ascii="宋体" w:hAnsi="宋体" w:cs="宋体"/>
          <w:sz w:val="24"/>
          <w:szCs w:val="24"/>
          <w:highlight w:val="none"/>
          <w:u w:val="single"/>
        </w:rPr>
      </w:pPr>
      <w:r>
        <w:rPr>
          <w:rFonts w:hint="eastAsia" w:ascii="宋体" w:hAnsi="宋体" w:cs="宋体"/>
          <w:sz w:val="24"/>
          <w:szCs w:val="24"/>
          <w:highlight w:val="none"/>
        </w:rPr>
        <w:t>（2）应提供计划、报表的名称及完成时间：</w:t>
      </w:r>
      <w:r>
        <w:rPr>
          <w:rFonts w:hint="eastAsia" w:ascii="宋体" w:hAnsi="宋体" w:cs="宋体"/>
          <w:sz w:val="24"/>
          <w:szCs w:val="24"/>
          <w:highlight w:val="none"/>
          <w:u w:val="single"/>
        </w:rPr>
        <w:t xml:space="preserve">        /          。</w:t>
      </w:r>
    </w:p>
    <w:p w14:paraId="4F6B6376">
      <w:pPr>
        <w:spacing w:line="360" w:lineRule="auto"/>
        <w:ind w:firstLine="480" w:firstLineChars="200"/>
        <w:jc w:val="left"/>
        <w:rPr>
          <w:rFonts w:ascii="宋体" w:hAnsi="宋体" w:cs="宋体"/>
          <w:sz w:val="24"/>
          <w:szCs w:val="24"/>
          <w:highlight w:val="none"/>
          <w:u w:val="single"/>
        </w:rPr>
      </w:pPr>
      <w:r>
        <w:rPr>
          <w:rFonts w:hint="eastAsia" w:ascii="宋体" w:hAnsi="宋体" w:cs="宋体"/>
          <w:sz w:val="24"/>
          <w:szCs w:val="24"/>
          <w:highlight w:val="none"/>
        </w:rPr>
        <w:t>（3）承担施工安全保卫工作及非夜间施工照明的责任和要求：</w:t>
      </w:r>
      <w:r>
        <w:rPr>
          <w:rFonts w:hint="eastAsia" w:ascii="宋体" w:hAnsi="宋体" w:cs="宋体"/>
          <w:sz w:val="24"/>
          <w:szCs w:val="24"/>
          <w:highlight w:val="none"/>
          <w:u w:val="single"/>
        </w:rPr>
        <w:t>a、为现场安全保卫提供足够的安全保卫人员及相应的设施和措施，提供24小时的安全保卫服务；b、负责维修夜间和非夜间施工用的照明；c、严格执行《施工现场临时用电安全技术规范》和《建设工程施工现场用电安全规范》。</w:t>
      </w:r>
    </w:p>
    <w:p w14:paraId="3A51569D">
      <w:pPr>
        <w:spacing w:line="360" w:lineRule="auto"/>
        <w:ind w:firstLine="480" w:firstLineChars="200"/>
        <w:jc w:val="left"/>
        <w:rPr>
          <w:rFonts w:ascii="宋体" w:hAnsi="宋体" w:cs="宋体"/>
          <w:sz w:val="24"/>
          <w:szCs w:val="24"/>
          <w:highlight w:val="none"/>
          <w:u w:val="single"/>
        </w:rPr>
      </w:pPr>
      <w:r>
        <w:rPr>
          <w:rFonts w:hint="eastAsia" w:ascii="宋体" w:hAnsi="宋体" w:cs="宋体"/>
          <w:sz w:val="24"/>
          <w:szCs w:val="24"/>
          <w:highlight w:val="none"/>
        </w:rPr>
        <w:t>（4）向发包人提供的办公和生活房屋及设施的要求：</w:t>
      </w:r>
      <w:r>
        <w:rPr>
          <w:rFonts w:hint="eastAsia" w:ascii="宋体" w:hAnsi="宋体" w:cs="宋体"/>
          <w:sz w:val="24"/>
          <w:szCs w:val="24"/>
          <w:highlight w:val="none"/>
          <w:u w:val="single"/>
        </w:rPr>
        <w:t>/</w:t>
      </w:r>
    </w:p>
    <w:p w14:paraId="3334B93E">
      <w:pPr>
        <w:spacing w:line="360" w:lineRule="auto"/>
        <w:ind w:firstLine="480" w:firstLineChars="200"/>
        <w:jc w:val="left"/>
        <w:rPr>
          <w:rFonts w:ascii="宋体" w:hAnsi="宋体" w:cs="宋体"/>
          <w:sz w:val="24"/>
          <w:szCs w:val="24"/>
          <w:highlight w:val="none"/>
          <w:u w:val="single"/>
        </w:rPr>
      </w:pPr>
      <w:r>
        <w:rPr>
          <w:rFonts w:hint="eastAsia" w:ascii="宋体" w:hAnsi="宋体" w:cs="宋体"/>
          <w:sz w:val="24"/>
          <w:szCs w:val="24"/>
          <w:highlight w:val="none"/>
        </w:rPr>
        <w:t>（5）需承包人办理的有关施工场地交通、环卫和施工噪音管理等手续：</w:t>
      </w:r>
      <w:r>
        <w:rPr>
          <w:rFonts w:hint="eastAsia" w:ascii="宋体" w:hAnsi="宋体" w:cs="宋体"/>
          <w:sz w:val="24"/>
          <w:szCs w:val="24"/>
          <w:highlight w:val="none"/>
          <w:u w:val="single"/>
        </w:rPr>
        <w:t>由承包人负责各项手续的办理并承担费用。</w:t>
      </w:r>
    </w:p>
    <w:p w14:paraId="2D50559B">
      <w:pPr>
        <w:spacing w:line="360" w:lineRule="auto"/>
        <w:ind w:firstLine="480" w:firstLineChars="200"/>
        <w:jc w:val="left"/>
        <w:rPr>
          <w:rFonts w:ascii="宋体" w:hAnsi="宋体" w:cs="宋体"/>
          <w:sz w:val="24"/>
          <w:szCs w:val="24"/>
          <w:highlight w:val="none"/>
          <w:u w:val="single"/>
        </w:rPr>
      </w:pPr>
      <w:r>
        <w:rPr>
          <w:rFonts w:hint="eastAsia" w:ascii="宋体" w:hAnsi="宋体" w:cs="宋体"/>
          <w:sz w:val="24"/>
          <w:szCs w:val="24"/>
          <w:highlight w:val="none"/>
        </w:rPr>
        <w:t>（6）已完工程成品保护的特殊要求及费用承担：</w:t>
      </w:r>
      <w:r>
        <w:rPr>
          <w:rFonts w:hint="eastAsia" w:ascii="宋体" w:hAnsi="宋体" w:cs="宋体"/>
          <w:sz w:val="24"/>
          <w:szCs w:val="24"/>
          <w:highlight w:val="none"/>
          <w:u w:val="single"/>
        </w:rPr>
        <w:t>承包人负责，费用由承包人承担。</w:t>
      </w:r>
    </w:p>
    <w:p w14:paraId="00231AAB">
      <w:pPr>
        <w:spacing w:line="360" w:lineRule="auto"/>
        <w:ind w:firstLine="480" w:firstLineChars="200"/>
        <w:jc w:val="left"/>
        <w:rPr>
          <w:rFonts w:ascii="宋体" w:hAnsi="宋体" w:cs="宋体"/>
          <w:sz w:val="24"/>
          <w:szCs w:val="24"/>
          <w:highlight w:val="none"/>
          <w:u w:val="thick"/>
        </w:rPr>
      </w:pPr>
      <w:r>
        <w:rPr>
          <w:rFonts w:hint="eastAsia" w:ascii="宋体" w:hAnsi="宋体" w:cs="宋体"/>
          <w:sz w:val="24"/>
          <w:szCs w:val="24"/>
          <w:highlight w:val="none"/>
        </w:rPr>
        <w:t>（7）施工场地周围地下管线和邻近建筑物、构筑物（含文物保护建筑）、古树名木的保护要求及费用承担：</w:t>
      </w:r>
      <w:r>
        <w:rPr>
          <w:rFonts w:hint="eastAsia" w:ascii="宋体" w:hAnsi="宋体" w:cs="宋体"/>
          <w:sz w:val="24"/>
          <w:szCs w:val="24"/>
          <w:highlight w:val="none"/>
          <w:u w:val="single"/>
        </w:rPr>
        <w:t>由发包人和承包人负责协商确定。</w:t>
      </w:r>
    </w:p>
    <w:p w14:paraId="77A7391E">
      <w:pPr>
        <w:spacing w:line="360" w:lineRule="auto"/>
        <w:ind w:firstLine="480" w:firstLineChars="200"/>
        <w:jc w:val="left"/>
        <w:rPr>
          <w:rFonts w:ascii="宋体" w:hAnsi="宋体" w:cs="宋体"/>
          <w:sz w:val="24"/>
          <w:szCs w:val="24"/>
          <w:highlight w:val="none"/>
          <w:u w:val="thick"/>
        </w:rPr>
      </w:pPr>
      <w:r>
        <w:rPr>
          <w:rFonts w:hint="eastAsia" w:ascii="宋体" w:hAnsi="宋体" w:cs="宋体"/>
          <w:sz w:val="24"/>
          <w:szCs w:val="24"/>
          <w:highlight w:val="none"/>
        </w:rPr>
        <w:t>（8）施工场地清洁卫生的要求：</w:t>
      </w:r>
      <w:r>
        <w:rPr>
          <w:rFonts w:hint="eastAsia" w:ascii="宋体" w:hAnsi="宋体" w:cs="宋体"/>
          <w:sz w:val="24"/>
          <w:szCs w:val="24"/>
          <w:highlight w:val="none"/>
          <w:u w:val="single"/>
        </w:rPr>
        <w:t>由承包人负责。</w:t>
      </w:r>
    </w:p>
    <w:p w14:paraId="70D6CE65">
      <w:pPr>
        <w:spacing w:line="360" w:lineRule="auto"/>
        <w:ind w:firstLine="480" w:firstLineChars="200"/>
        <w:jc w:val="left"/>
        <w:rPr>
          <w:rFonts w:ascii="宋体" w:hAnsi="宋体" w:cs="宋体"/>
          <w:sz w:val="24"/>
          <w:szCs w:val="24"/>
          <w:highlight w:val="none"/>
          <w:u w:val="thick"/>
        </w:rPr>
      </w:pPr>
      <w:r>
        <w:rPr>
          <w:rFonts w:hint="eastAsia" w:ascii="宋体" w:hAnsi="宋体" w:cs="宋体"/>
          <w:sz w:val="24"/>
          <w:szCs w:val="24"/>
          <w:highlight w:val="none"/>
        </w:rPr>
        <w:t>（9）双方约定承包人应做的其他工作：</w:t>
      </w:r>
      <w:r>
        <w:rPr>
          <w:rFonts w:hint="eastAsia" w:ascii="宋体" w:hAnsi="宋体" w:cs="宋体"/>
          <w:sz w:val="24"/>
          <w:szCs w:val="24"/>
          <w:highlight w:val="none"/>
          <w:u w:val="single"/>
        </w:rPr>
        <w:t>相关的对外协调工作。</w:t>
      </w:r>
    </w:p>
    <w:p w14:paraId="3362E26E">
      <w:pPr>
        <w:spacing w:line="360" w:lineRule="auto"/>
        <w:ind w:firstLine="482" w:firstLineChars="200"/>
        <w:jc w:val="left"/>
        <w:rPr>
          <w:rFonts w:ascii="宋体" w:hAnsi="宋体" w:cs="宋体"/>
          <w:b/>
          <w:bCs/>
          <w:sz w:val="24"/>
          <w:szCs w:val="24"/>
          <w:highlight w:val="none"/>
        </w:rPr>
      </w:pPr>
      <w:r>
        <w:rPr>
          <w:rFonts w:hint="eastAsia" w:ascii="宋体" w:hAnsi="宋体" w:cs="宋体"/>
          <w:b/>
          <w:bCs/>
          <w:sz w:val="24"/>
          <w:szCs w:val="24"/>
          <w:highlight w:val="none"/>
        </w:rPr>
        <w:t>三、施工组织设计和工期</w:t>
      </w:r>
    </w:p>
    <w:p w14:paraId="1BD0035C">
      <w:pPr>
        <w:spacing w:line="360" w:lineRule="auto"/>
        <w:ind w:firstLine="482" w:firstLineChars="200"/>
        <w:jc w:val="left"/>
        <w:rPr>
          <w:rFonts w:ascii="宋体" w:hAnsi="宋体" w:cs="宋体"/>
          <w:b/>
          <w:bCs/>
          <w:sz w:val="24"/>
          <w:szCs w:val="24"/>
          <w:highlight w:val="none"/>
        </w:rPr>
      </w:pPr>
      <w:r>
        <w:rPr>
          <w:rFonts w:hint="eastAsia" w:ascii="宋体" w:hAnsi="宋体" w:cs="宋体"/>
          <w:b/>
          <w:bCs/>
          <w:sz w:val="24"/>
          <w:szCs w:val="24"/>
          <w:highlight w:val="none"/>
        </w:rPr>
        <w:t>9、进度计划</w:t>
      </w:r>
    </w:p>
    <w:p w14:paraId="067F24B5">
      <w:pPr>
        <w:spacing w:line="360" w:lineRule="auto"/>
        <w:ind w:firstLine="480" w:firstLineChars="200"/>
        <w:jc w:val="left"/>
        <w:rPr>
          <w:rFonts w:ascii="宋体" w:hAnsi="宋体" w:cs="宋体"/>
          <w:sz w:val="24"/>
          <w:szCs w:val="24"/>
          <w:highlight w:val="none"/>
          <w:u w:val="single"/>
        </w:rPr>
      </w:pPr>
      <w:r>
        <w:rPr>
          <w:rFonts w:hint="eastAsia" w:ascii="宋体" w:hAnsi="宋体" w:cs="宋体"/>
          <w:sz w:val="24"/>
          <w:szCs w:val="24"/>
          <w:highlight w:val="none"/>
        </w:rPr>
        <w:t>9.1承包人提供施工组织设计（施工方案）和进度计划的时间：</w:t>
      </w:r>
      <w:r>
        <w:rPr>
          <w:rFonts w:hint="eastAsia" w:ascii="宋体" w:hAnsi="宋体" w:cs="宋体"/>
          <w:sz w:val="24"/>
          <w:szCs w:val="24"/>
          <w:highlight w:val="none"/>
          <w:u w:val="single"/>
        </w:rPr>
        <w:t>合同签订后15日内。</w:t>
      </w:r>
    </w:p>
    <w:p w14:paraId="2CA67481">
      <w:pPr>
        <w:spacing w:line="360" w:lineRule="auto"/>
        <w:ind w:firstLine="480" w:firstLineChars="200"/>
        <w:jc w:val="left"/>
        <w:rPr>
          <w:rFonts w:ascii="宋体" w:hAnsi="宋体" w:cs="宋体"/>
          <w:sz w:val="24"/>
          <w:szCs w:val="24"/>
          <w:highlight w:val="none"/>
          <w:u w:val="thick"/>
        </w:rPr>
      </w:pPr>
      <w:r>
        <w:rPr>
          <w:rFonts w:hint="eastAsia" w:ascii="宋体" w:hAnsi="宋体" w:cs="宋体"/>
          <w:sz w:val="24"/>
          <w:szCs w:val="24"/>
          <w:highlight w:val="none"/>
        </w:rPr>
        <w:t>工程师确认的时间：</w:t>
      </w:r>
      <w:r>
        <w:rPr>
          <w:rFonts w:hint="eastAsia" w:ascii="宋体" w:hAnsi="宋体" w:cs="宋体"/>
          <w:sz w:val="24"/>
          <w:szCs w:val="24"/>
          <w:highlight w:val="none"/>
          <w:u w:val="single"/>
        </w:rPr>
        <w:t>承包人接交之日起七日内。</w:t>
      </w:r>
    </w:p>
    <w:p w14:paraId="654E44F4">
      <w:pPr>
        <w:spacing w:line="360" w:lineRule="auto"/>
        <w:ind w:firstLine="480" w:firstLineChars="200"/>
        <w:jc w:val="left"/>
        <w:rPr>
          <w:rFonts w:ascii="宋体" w:hAnsi="宋体" w:cs="宋体"/>
          <w:sz w:val="24"/>
          <w:szCs w:val="24"/>
          <w:highlight w:val="none"/>
          <w:u w:val="thick"/>
        </w:rPr>
      </w:pPr>
      <w:r>
        <w:rPr>
          <w:rFonts w:hint="eastAsia" w:ascii="宋体" w:hAnsi="宋体" w:cs="宋体"/>
          <w:sz w:val="24"/>
          <w:szCs w:val="24"/>
          <w:highlight w:val="none"/>
        </w:rPr>
        <w:t>9.2群体工程中有关进度计划的要求：</w:t>
      </w:r>
      <w:r>
        <w:rPr>
          <w:rFonts w:hint="eastAsia" w:ascii="宋体" w:hAnsi="宋体" w:cs="宋体"/>
          <w:sz w:val="24"/>
          <w:szCs w:val="24"/>
          <w:highlight w:val="none"/>
          <w:u w:val="single"/>
        </w:rPr>
        <w:t>以发包人的要求为准。</w:t>
      </w:r>
    </w:p>
    <w:p w14:paraId="2719FB8F">
      <w:pPr>
        <w:spacing w:line="360" w:lineRule="auto"/>
        <w:ind w:firstLine="482" w:firstLineChars="200"/>
        <w:jc w:val="left"/>
        <w:rPr>
          <w:rFonts w:ascii="宋体" w:hAnsi="宋体" w:cs="宋体"/>
          <w:b/>
          <w:bCs/>
          <w:sz w:val="24"/>
          <w:szCs w:val="24"/>
          <w:highlight w:val="none"/>
        </w:rPr>
      </w:pPr>
      <w:r>
        <w:rPr>
          <w:rFonts w:hint="eastAsia" w:ascii="宋体" w:hAnsi="宋体" w:cs="宋体"/>
          <w:b/>
          <w:bCs/>
          <w:sz w:val="24"/>
          <w:szCs w:val="24"/>
          <w:highlight w:val="none"/>
        </w:rPr>
        <w:t>10、工期延误</w:t>
      </w:r>
    </w:p>
    <w:p w14:paraId="37F92368">
      <w:pPr>
        <w:spacing w:line="360" w:lineRule="auto"/>
        <w:ind w:firstLine="480" w:firstLineChars="200"/>
        <w:jc w:val="left"/>
        <w:rPr>
          <w:rFonts w:ascii="宋体" w:hAnsi="宋体" w:cs="宋体"/>
          <w:sz w:val="24"/>
          <w:szCs w:val="24"/>
          <w:highlight w:val="none"/>
          <w:u w:val="thick"/>
        </w:rPr>
      </w:pPr>
      <w:r>
        <w:rPr>
          <w:rFonts w:hint="eastAsia" w:ascii="宋体" w:hAnsi="宋体" w:cs="宋体"/>
          <w:sz w:val="24"/>
          <w:szCs w:val="24"/>
          <w:highlight w:val="none"/>
        </w:rPr>
        <w:t>10.1双方约定工期顺延的其他情况：</w:t>
      </w:r>
      <w:r>
        <w:rPr>
          <w:rFonts w:hint="eastAsia" w:ascii="宋体" w:hAnsi="宋体" w:cs="宋体"/>
          <w:sz w:val="24"/>
          <w:szCs w:val="24"/>
          <w:highlight w:val="none"/>
          <w:u w:val="single"/>
        </w:rPr>
        <w:t>执行《通用条款》。</w:t>
      </w:r>
    </w:p>
    <w:p w14:paraId="5B70ECD1">
      <w:pPr>
        <w:spacing w:line="360" w:lineRule="auto"/>
        <w:ind w:firstLine="482" w:firstLineChars="200"/>
        <w:jc w:val="left"/>
        <w:rPr>
          <w:rFonts w:ascii="宋体" w:hAnsi="宋体" w:cs="宋体"/>
          <w:b/>
          <w:bCs/>
          <w:sz w:val="24"/>
          <w:szCs w:val="24"/>
          <w:highlight w:val="none"/>
        </w:rPr>
      </w:pPr>
      <w:r>
        <w:rPr>
          <w:rFonts w:hint="eastAsia" w:ascii="宋体" w:hAnsi="宋体" w:cs="宋体"/>
          <w:b/>
          <w:bCs/>
          <w:sz w:val="24"/>
          <w:szCs w:val="24"/>
          <w:highlight w:val="none"/>
        </w:rPr>
        <w:t>四、质量与检验</w:t>
      </w:r>
    </w:p>
    <w:p w14:paraId="35F33F4F">
      <w:pPr>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 xml:space="preserve">11、隐蔽工程和中间验收 </w:t>
      </w:r>
    </w:p>
    <w:p w14:paraId="628B2F00">
      <w:pPr>
        <w:spacing w:line="360" w:lineRule="auto"/>
        <w:ind w:firstLine="480" w:firstLineChars="200"/>
        <w:jc w:val="left"/>
        <w:rPr>
          <w:rFonts w:ascii="宋体" w:hAnsi="宋体" w:cs="宋体"/>
          <w:sz w:val="24"/>
          <w:szCs w:val="24"/>
          <w:highlight w:val="none"/>
          <w:u w:val="thick"/>
        </w:rPr>
      </w:pPr>
      <w:r>
        <w:rPr>
          <w:rFonts w:hint="eastAsia" w:ascii="宋体" w:hAnsi="宋体" w:cs="宋体"/>
          <w:sz w:val="24"/>
          <w:szCs w:val="24"/>
          <w:highlight w:val="none"/>
        </w:rPr>
        <w:t>11.1双方约定中间验收部位：</w:t>
      </w:r>
      <w:r>
        <w:rPr>
          <w:rFonts w:hint="eastAsia" w:ascii="宋体" w:hAnsi="宋体" w:cs="宋体"/>
          <w:sz w:val="24"/>
          <w:szCs w:val="24"/>
          <w:highlight w:val="none"/>
          <w:u w:val="single"/>
        </w:rPr>
        <w:t>执行《通用条款》。</w:t>
      </w:r>
    </w:p>
    <w:p w14:paraId="58410FEF">
      <w:pPr>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 xml:space="preserve">12、工程试车 </w:t>
      </w:r>
    </w:p>
    <w:p w14:paraId="49E1F6EE">
      <w:pPr>
        <w:spacing w:line="360" w:lineRule="auto"/>
        <w:ind w:firstLine="480" w:firstLineChars="200"/>
        <w:jc w:val="left"/>
        <w:rPr>
          <w:rFonts w:ascii="宋体" w:hAnsi="宋体" w:cs="宋体"/>
          <w:sz w:val="24"/>
          <w:szCs w:val="24"/>
          <w:highlight w:val="none"/>
          <w:u w:val="thick"/>
        </w:rPr>
      </w:pPr>
      <w:r>
        <w:rPr>
          <w:rFonts w:hint="eastAsia" w:ascii="宋体" w:hAnsi="宋体" w:cs="宋体"/>
          <w:sz w:val="24"/>
          <w:szCs w:val="24"/>
          <w:highlight w:val="none"/>
        </w:rPr>
        <w:t>12.1试车费用的承担：</w:t>
      </w:r>
      <w:r>
        <w:rPr>
          <w:rFonts w:hint="eastAsia" w:ascii="宋体" w:hAnsi="宋体" w:cs="宋体"/>
          <w:sz w:val="24"/>
          <w:szCs w:val="24"/>
          <w:highlight w:val="none"/>
          <w:u w:val="single"/>
        </w:rPr>
        <w:t>由承包人承担。</w:t>
      </w:r>
    </w:p>
    <w:p w14:paraId="5DD3EBF9">
      <w:pPr>
        <w:spacing w:line="360" w:lineRule="auto"/>
        <w:ind w:firstLine="482" w:firstLineChars="200"/>
        <w:jc w:val="left"/>
        <w:rPr>
          <w:rFonts w:ascii="宋体" w:hAnsi="宋体" w:cs="宋体"/>
          <w:b/>
          <w:bCs/>
          <w:sz w:val="24"/>
          <w:szCs w:val="24"/>
          <w:highlight w:val="none"/>
        </w:rPr>
      </w:pPr>
      <w:r>
        <w:rPr>
          <w:rFonts w:hint="eastAsia" w:ascii="宋体" w:hAnsi="宋体" w:cs="宋体"/>
          <w:b/>
          <w:bCs/>
          <w:sz w:val="24"/>
          <w:szCs w:val="24"/>
          <w:highlight w:val="none"/>
        </w:rPr>
        <w:t>五、安全生产</w:t>
      </w:r>
    </w:p>
    <w:p w14:paraId="104FAFB6">
      <w:pPr>
        <w:spacing w:line="360" w:lineRule="auto"/>
        <w:ind w:firstLine="480" w:firstLineChars="200"/>
        <w:jc w:val="left"/>
        <w:rPr>
          <w:rFonts w:ascii="宋体" w:hAnsi="宋体" w:cs="宋体"/>
          <w:bCs/>
          <w:sz w:val="24"/>
          <w:szCs w:val="24"/>
          <w:highlight w:val="none"/>
        </w:rPr>
      </w:pPr>
      <w:r>
        <w:rPr>
          <w:rFonts w:hint="eastAsia" w:ascii="宋体" w:hAnsi="宋体" w:cs="宋体"/>
          <w:bCs/>
          <w:sz w:val="24"/>
          <w:szCs w:val="24"/>
          <w:highlight w:val="none"/>
        </w:rPr>
        <w:t>13、项目实施单位履行安全生产监管责任，项目施工单位履行安全生产主体责任。（详见作业设计说明书）</w:t>
      </w:r>
    </w:p>
    <w:p w14:paraId="27B87AEA">
      <w:pPr>
        <w:spacing w:line="360" w:lineRule="auto"/>
        <w:ind w:firstLine="482" w:firstLineChars="200"/>
        <w:jc w:val="left"/>
        <w:rPr>
          <w:rFonts w:ascii="宋体" w:hAnsi="宋体" w:cs="宋体"/>
          <w:b/>
          <w:bCs/>
          <w:sz w:val="24"/>
          <w:szCs w:val="24"/>
          <w:highlight w:val="none"/>
        </w:rPr>
      </w:pPr>
      <w:r>
        <w:rPr>
          <w:rFonts w:hint="eastAsia" w:ascii="宋体" w:hAnsi="宋体" w:cs="宋体"/>
          <w:b/>
          <w:bCs/>
          <w:sz w:val="24"/>
          <w:szCs w:val="24"/>
          <w:highlight w:val="none"/>
        </w:rPr>
        <w:t>六、合同价款</w:t>
      </w:r>
    </w:p>
    <w:p w14:paraId="3C773F4A">
      <w:pPr>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 xml:space="preserve">13、合同价款约定 </w:t>
      </w:r>
    </w:p>
    <w:p w14:paraId="087E3A91">
      <w:pPr>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13.1本合同价款采用</w:t>
      </w:r>
      <w:r>
        <w:rPr>
          <w:rFonts w:hint="eastAsia" w:ascii="宋体" w:hAnsi="宋体" w:cs="宋体"/>
          <w:sz w:val="24"/>
          <w:szCs w:val="24"/>
          <w:highlight w:val="none"/>
          <w:u w:val="single"/>
        </w:rPr>
        <w:t xml:space="preserve">  （1）_</w:t>
      </w:r>
      <w:r>
        <w:rPr>
          <w:rFonts w:hint="eastAsia" w:ascii="宋体" w:hAnsi="宋体" w:cs="宋体"/>
          <w:sz w:val="24"/>
          <w:szCs w:val="24"/>
          <w:highlight w:val="none"/>
        </w:rPr>
        <w:t>方式确定。</w:t>
      </w:r>
    </w:p>
    <w:p w14:paraId="0A7BA2B3">
      <w:pPr>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（1）采用固定总价合同：</w:t>
      </w:r>
    </w:p>
    <w:p w14:paraId="4438F67E">
      <w:pPr>
        <w:spacing w:line="360" w:lineRule="auto"/>
        <w:ind w:firstLine="480" w:firstLineChars="200"/>
        <w:jc w:val="left"/>
        <w:rPr>
          <w:rFonts w:ascii="宋体" w:hAnsi="宋体" w:cs="宋体"/>
          <w:sz w:val="24"/>
          <w:szCs w:val="24"/>
          <w:highlight w:val="none"/>
          <w:u w:val="single"/>
        </w:rPr>
      </w:pPr>
      <w:r>
        <w:rPr>
          <w:rFonts w:hint="eastAsia" w:ascii="宋体" w:hAnsi="宋体" w:cs="宋体"/>
          <w:sz w:val="24"/>
          <w:szCs w:val="24"/>
          <w:highlight w:val="none"/>
        </w:rPr>
        <w:t>（2）采用固定综合单价合同，综合单价中包括的风险范围：</w:t>
      </w:r>
      <w:r>
        <w:rPr>
          <w:rFonts w:hint="eastAsia" w:ascii="宋体" w:hAnsi="宋体" w:cs="宋体"/>
          <w:sz w:val="24"/>
          <w:szCs w:val="24"/>
          <w:highlight w:val="none"/>
          <w:u w:val="single"/>
        </w:rPr>
        <w:t xml:space="preserve">  /  </w:t>
      </w:r>
    </w:p>
    <w:p w14:paraId="795076A8">
      <w:pPr>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（3）采用可调价格合同，合同价款调整方法：_______</w:t>
      </w:r>
      <w:r>
        <w:rPr>
          <w:rFonts w:hint="eastAsia" w:ascii="宋体" w:hAnsi="宋体" w:cs="宋体"/>
          <w:sz w:val="24"/>
          <w:szCs w:val="24"/>
          <w:highlight w:val="none"/>
          <w:u w:val="single"/>
        </w:rPr>
        <w:t>__/__</w:t>
      </w:r>
      <w:r>
        <w:rPr>
          <w:rFonts w:hint="eastAsia" w:ascii="宋体" w:hAnsi="宋体" w:cs="宋体"/>
          <w:sz w:val="24"/>
          <w:szCs w:val="24"/>
          <w:highlight w:val="none"/>
        </w:rPr>
        <w:t>___________</w:t>
      </w:r>
    </w:p>
    <w:p w14:paraId="70E19620">
      <w:pPr>
        <w:spacing w:line="360" w:lineRule="auto"/>
        <w:ind w:firstLine="482" w:firstLineChars="200"/>
        <w:jc w:val="left"/>
        <w:rPr>
          <w:rFonts w:ascii="宋体" w:hAnsi="宋体" w:cs="宋体"/>
          <w:b/>
          <w:bCs/>
          <w:sz w:val="24"/>
          <w:szCs w:val="24"/>
          <w:highlight w:val="none"/>
        </w:rPr>
      </w:pPr>
      <w:r>
        <w:rPr>
          <w:rFonts w:hint="eastAsia" w:ascii="宋体" w:hAnsi="宋体" w:cs="宋体"/>
          <w:b/>
          <w:bCs/>
          <w:sz w:val="24"/>
          <w:szCs w:val="24"/>
          <w:highlight w:val="none"/>
        </w:rPr>
        <w:t>14、合同价款调整</w:t>
      </w:r>
    </w:p>
    <w:p w14:paraId="601FB6B2">
      <w:pPr>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14.1双方约定合同价款的其他调整因素：__________</w:t>
      </w:r>
      <w:r>
        <w:rPr>
          <w:rFonts w:hint="eastAsia" w:ascii="宋体" w:hAnsi="宋体" w:cs="宋体"/>
          <w:sz w:val="24"/>
          <w:szCs w:val="24"/>
          <w:highlight w:val="none"/>
          <w:u w:val="single"/>
        </w:rPr>
        <w:t>_/</w:t>
      </w:r>
      <w:r>
        <w:rPr>
          <w:rFonts w:hint="eastAsia" w:ascii="宋体" w:hAnsi="宋体" w:cs="宋体"/>
          <w:sz w:val="24"/>
          <w:szCs w:val="24"/>
          <w:highlight w:val="none"/>
        </w:rPr>
        <w:t>_______________</w:t>
      </w:r>
    </w:p>
    <w:p w14:paraId="6E8820A8">
      <w:pPr>
        <w:spacing w:line="360" w:lineRule="auto"/>
        <w:ind w:firstLine="482" w:firstLineChars="200"/>
        <w:jc w:val="left"/>
        <w:rPr>
          <w:rFonts w:ascii="宋体" w:hAnsi="宋体" w:cs="宋体"/>
          <w:b/>
          <w:bCs/>
          <w:sz w:val="24"/>
          <w:szCs w:val="24"/>
          <w:highlight w:val="none"/>
        </w:rPr>
      </w:pPr>
      <w:r>
        <w:rPr>
          <w:rFonts w:hint="eastAsia" w:ascii="宋体" w:hAnsi="宋体" w:cs="宋体"/>
          <w:b/>
          <w:bCs/>
          <w:sz w:val="24"/>
          <w:szCs w:val="24"/>
          <w:highlight w:val="none"/>
        </w:rPr>
        <w:t>15、工程预付款</w:t>
      </w:r>
    </w:p>
    <w:p w14:paraId="79AC0A7E">
      <w:pPr>
        <w:spacing w:line="360" w:lineRule="auto"/>
        <w:ind w:firstLine="480" w:firstLineChars="200"/>
        <w:jc w:val="left"/>
        <w:rPr>
          <w:rFonts w:ascii="宋体" w:hAnsi="宋体" w:cs="宋体"/>
          <w:sz w:val="24"/>
          <w:szCs w:val="24"/>
          <w:highlight w:val="none"/>
          <w:u w:val="thick"/>
        </w:rPr>
      </w:pPr>
      <w:r>
        <w:rPr>
          <w:rFonts w:hint="eastAsia" w:ascii="宋体" w:hAnsi="宋体" w:cs="宋体"/>
          <w:sz w:val="24"/>
          <w:szCs w:val="24"/>
          <w:highlight w:val="none"/>
        </w:rPr>
        <w:t>发包人向承包人预付工程款的时间和金额或占合同价款总额的比例：</w:t>
      </w:r>
      <w:r>
        <w:rPr>
          <w:rFonts w:hint="eastAsia" w:ascii="宋体" w:hAnsi="宋体" w:cs="宋体"/>
          <w:sz w:val="24"/>
          <w:szCs w:val="24"/>
          <w:highlight w:val="none"/>
          <w:u w:val="single"/>
        </w:rPr>
        <w:t xml:space="preserve"> / </w:t>
      </w:r>
    </w:p>
    <w:p w14:paraId="5DC2E7B7">
      <w:pPr>
        <w:widowControl/>
        <w:spacing w:line="360" w:lineRule="auto"/>
        <w:ind w:firstLine="480" w:firstLineChars="200"/>
        <w:rPr>
          <w:rFonts w:ascii="宋体" w:hAnsi="宋体" w:cs="宋体"/>
          <w:sz w:val="24"/>
          <w:szCs w:val="24"/>
          <w:highlight w:val="none"/>
          <w:u w:val="single"/>
        </w:rPr>
      </w:pPr>
      <w:r>
        <w:rPr>
          <w:rFonts w:hint="eastAsia" w:ascii="宋体" w:hAnsi="宋体" w:cs="宋体"/>
          <w:sz w:val="24"/>
          <w:szCs w:val="24"/>
          <w:highlight w:val="none"/>
        </w:rPr>
        <w:t>预付安全防护、文明施工措施费用的比例和时间：</w:t>
      </w:r>
      <w:r>
        <w:rPr>
          <w:rFonts w:hint="eastAsia" w:ascii="宋体" w:hAnsi="宋体" w:cs="宋体"/>
          <w:sz w:val="24"/>
          <w:szCs w:val="24"/>
          <w:highlight w:val="none"/>
          <w:u w:val="single"/>
        </w:rPr>
        <w:t xml:space="preserve"> / </w:t>
      </w:r>
    </w:p>
    <w:p w14:paraId="18B519E3">
      <w:pPr>
        <w:widowControl/>
        <w:spacing w:line="360" w:lineRule="auto"/>
        <w:ind w:firstLine="482" w:firstLineChars="200"/>
        <w:rPr>
          <w:rFonts w:ascii="宋体" w:hAnsi="宋体" w:cs="宋体"/>
          <w:b/>
          <w:bCs/>
          <w:sz w:val="24"/>
          <w:szCs w:val="24"/>
          <w:highlight w:val="none"/>
        </w:rPr>
      </w:pPr>
      <w:r>
        <w:rPr>
          <w:rFonts w:hint="eastAsia" w:ascii="宋体" w:hAnsi="宋体" w:cs="宋体"/>
          <w:b/>
          <w:bCs/>
          <w:sz w:val="24"/>
          <w:szCs w:val="24"/>
          <w:highlight w:val="none"/>
        </w:rPr>
        <w:t>16、工程量确认</w:t>
      </w:r>
    </w:p>
    <w:p w14:paraId="07E435BA">
      <w:pPr>
        <w:widowControl/>
        <w:spacing w:line="360" w:lineRule="auto"/>
        <w:ind w:firstLine="480" w:firstLineChars="200"/>
        <w:rPr>
          <w:rFonts w:ascii="宋体" w:hAnsi="宋体" w:cs="宋体"/>
          <w:sz w:val="24"/>
          <w:szCs w:val="24"/>
          <w:highlight w:val="none"/>
          <w:u w:val="single"/>
        </w:rPr>
      </w:pPr>
      <w:r>
        <w:rPr>
          <w:rFonts w:hint="eastAsia" w:ascii="宋体" w:hAnsi="宋体" w:cs="宋体"/>
          <w:sz w:val="24"/>
          <w:szCs w:val="24"/>
          <w:highlight w:val="none"/>
        </w:rPr>
        <w:t>16.1承包人向工程师提交已完工程量报告的时间：</w:t>
      </w:r>
      <w:r>
        <w:rPr>
          <w:rFonts w:hint="eastAsia" w:ascii="宋体" w:hAnsi="宋体" w:cs="宋体"/>
          <w:sz w:val="24"/>
          <w:szCs w:val="24"/>
          <w:highlight w:val="none"/>
          <w:u w:val="single"/>
        </w:rPr>
        <w:t>每月的2</w:t>
      </w:r>
      <w:r>
        <w:rPr>
          <w:rFonts w:hint="eastAsia" w:ascii="宋体" w:hAnsi="宋体" w:cs="宋体"/>
          <w:sz w:val="24"/>
          <w:szCs w:val="24"/>
          <w:highlight w:val="none"/>
          <w:u w:val="single"/>
          <w:lang w:val="en-US" w:eastAsia="zh-CN"/>
        </w:rPr>
        <w:t>0</w:t>
      </w:r>
      <w:r>
        <w:rPr>
          <w:rFonts w:hint="eastAsia" w:ascii="宋体" w:hAnsi="宋体" w:cs="宋体"/>
          <w:sz w:val="24"/>
          <w:szCs w:val="24"/>
          <w:highlight w:val="none"/>
          <w:u w:val="single"/>
        </w:rPr>
        <w:t>日</w:t>
      </w:r>
      <w:r>
        <w:rPr>
          <w:rFonts w:hint="eastAsia" w:ascii="宋体" w:hAnsi="宋体" w:cs="宋体"/>
          <w:sz w:val="24"/>
          <w:szCs w:val="24"/>
          <w:highlight w:val="none"/>
          <w:u w:val="single"/>
          <w:lang w:val="en-US" w:eastAsia="zh-CN"/>
        </w:rPr>
        <w:t>前</w:t>
      </w:r>
      <w:r>
        <w:rPr>
          <w:rFonts w:hint="eastAsia" w:ascii="宋体" w:hAnsi="宋体" w:cs="宋体"/>
          <w:sz w:val="24"/>
          <w:szCs w:val="24"/>
          <w:highlight w:val="none"/>
          <w:u w:val="single"/>
        </w:rPr>
        <w:t>承包人向发包人提交25日以前已完工程量报告。</w:t>
      </w:r>
    </w:p>
    <w:p w14:paraId="5B664DE2">
      <w:pPr>
        <w:widowControl/>
        <w:spacing w:line="360" w:lineRule="auto"/>
        <w:ind w:firstLine="482" w:firstLineChars="200"/>
        <w:rPr>
          <w:rFonts w:ascii="宋体" w:hAnsi="宋体" w:cs="宋体"/>
          <w:b/>
          <w:bCs/>
          <w:sz w:val="24"/>
          <w:szCs w:val="24"/>
          <w:highlight w:val="none"/>
        </w:rPr>
      </w:pPr>
      <w:r>
        <w:rPr>
          <w:rFonts w:hint="eastAsia" w:ascii="宋体" w:hAnsi="宋体" w:cs="宋体"/>
          <w:b/>
          <w:bCs/>
          <w:sz w:val="24"/>
          <w:szCs w:val="24"/>
          <w:highlight w:val="none"/>
        </w:rPr>
        <w:t>17、工程进度款结算与支付</w:t>
      </w:r>
    </w:p>
    <w:p w14:paraId="5D9B54F7">
      <w:pPr>
        <w:widowControl/>
        <w:spacing w:line="360" w:lineRule="auto"/>
        <w:ind w:firstLine="480" w:firstLineChars="200"/>
        <w:rPr>
          <w:rFonts w:ascii="宋体" w:hAnsi="宋体" w:cs="宋体"/>
          <w:sz w:val="24"/>
          <w:szCs w:val="24"/>
          <w:highlight w:val="none"/>
          <w:u w:val="single"/>
        </w:rPr>
      </w:pPr>
      <w:r>
        <w:rPr>
          <w:rFonts w:hint="eastAsia" w:ascii="宋体" w:hAnsi="宋体" w:cs="宋体"/>
          <w:sz w:val="24"/>
          <w:szCs w:val="24"/>
          <w:highlight w:val="none"/>
        </w:rPr>
        <w:t>双方约定的工程进度款支付的方式、时间和比例是：详见合同条款及格式前附表</w:t>
      </w:r>
    </w:p>
    <w:p w14:paraId="29E6845D">
      <w:pPr>
        <w:widowControl/>
        <w:spacing w:line="360" w:lineRule="auto"/>
        <w:ind w:firstLine="482" w:firstLineChars="200"/>
        <w:rPr>
          <w:rFonts w:ascii="宋体" w:hAnsi="宋体" w:cs="宋体"/>
          <w:b/>
          <w:bCs/>
          <w:sz w:val="24"/>
          <w:szCs w:val="24"/>
          <w:highlight w:val="none"/>
        </w:rPr>
      </w:pPr>
      <w:r>
        <w:rPr>
          <w:rFonts w:hint="eastAsia" w:ascii="宋体" w:hAnsi="宋体" w:cs="宋体"/>
          <w:b/>
          <w:bCs/>
          <w:sz w:val="24"/>
          <w:szCs w:val="24"/>
          <w:highlight w:val="none"/>
        </w:rPr>
        <w:t>七、材料设备供应</w:t>
      </w:r>
    </w:p>
    <w:p w14:paraId="451685B4">
      <w:pPr>
        <w:widowControl/>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31发包人供应材料设备，承包人应按计划领取使用，在结算时发包人按暂定价从工程款中扣除。</w:t>
      </w:r>
    </w:p>
    <w:p w14:paraId="0A7C4DB6">
      <w:pPr>
        <w:widowControl/>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31.4发包人供应的材料设备与一览表不符时，双方约定发包人承担责任如下：</w:t>
      </w:r>
    </w:p>
    <w:p w14:paraId="3F61E2D5">
      <w:pPr>
        <w:widowControl/>
        <w:spacing w:line="360" w:lineRule="auto"/>
        <w:ind w:firstLine="480" w:firstLineChars="200"/>
        <w:rPr>
          <w:rFonts w:ascii="宋体" w:hAnsi="宋体" w:cs="宋体"/>
          <w:sz w:val="24"/>
          <w:szCs w:val="24"/>
          <w:highlight w:val="none"/>
          <w:u w:val="thick"/>
        </w:rPr>
      </w:pPr>
      <w:r>
        <w:rPr>
          <w:rFonts w:hint="eastAsia" w:ascii="宋体" w:hAnsi="宋体" w:cs="宋体"/>
          <w:sz w:val="24"/>
          <w:szCs w:val="24"/>
          <w:highlight w:val="none"/>
        </w:rPr>
        <w:t>（1）材料设备单价与一览表不符：</w:t>
      </w:r>
      <w:r>
        <w:rPr>
          <w:rFonts w:hint="eastAsia" w:ascii="宋体" w:hAnsi="宋体" w:cs="宋体"/>
          <w:sz w:val="24"/>
          <w:szCs w:val="24"/>
          <w:highlight w:val="none"/>
          <w:u w:val="single"/>
        </w:rPr>
        <w:t>执行《通用条款》31.4.（1）款。</w:t>
      </w:r>
    </w:p>
    <w:p w14:paraId="481A9EF3">
      <w:pPr>
        <w:widowControl/>
        <w:spacing w:line="360" w:lineRule="auto"/>
        <w:ind w:firstLine="480" w:firstLineChars="200"/>
        <w:rPr>
          <w:rFonts w:ascii="宋体" w:hAnsi="宋体" w:cs="宋体"/>
          <w:sz w:val="24"/>
          <w:szCs w:val="24"/>
          <w:highlight w:val="none"/>
          <w:u w:val="single"/>
        </w:rPr>
      </w:pPr>
      <w:r>
        <w:rPr>
          <w:rFonts w:hint="eastAsia" w:ascii="宋体" w:hAnsi="宋体" w:cs="宋体"/>
          <w:sz w:val="24"/>
          <w:szCs w:val="24"/>
          <w:highlight w:val="none"/>
        </w:rPr>
        <w:t>（2）材料设备的品种、规格、型号、质量等级与一览表不符：</w:t>
      </w:r>
      <w:r>
        <w:rPr>
          <w:rFonts w:hint="eastAsia" w:ascii="宋体" w:hAnsi="宋体" w:cs="宋体"/>
          <w:sz w:val="24"/>
          <w:szCs w:val="24"/>
          <w:highlight w:val="none"/>
          <w:u w:val="single"/>
        </w:rPr>
        <w:t>执行《通用条款》31.4(2)款。</w:t>
      </w:r>
    </w:p>
    <w:p w14:paraId="4C677705">
      <w:pPr>
        <w:widowControl/>
        <w:spacing w:line="360" w:lineRule="auto"/>
        <w:ind w:firstLine="480" w:firstLineChars="200"/>
        <w:rPr>
          <w:rFonts w:ascii="宋体" w:hAnsi="宋体" w:cs="宋体"/>
          <w:sz w:val="24"/>
          <w:szCs w:val="24"/>
          <w:highlight w:val="none"/>
          <w:u w:val="thick"/>
        </w:rPr>
      </w:pPr>
      <w:r>
        <w:rPr>
          <w:rFonts w:hint="eastAsia" w:ascii="宋体" w:hAnsi="宋体" w:cs="宋体"/>
          <w:sz w:val="24"/>
          <w:szCs w:val="24"/>
          <w:highlight w:val="none"/>
        </w:rPr>
        <w:t>（3）承包人可代为调剂串换的材料：</w:t>
      </w:r>
      <w:r>
        <w:rPr>
          <w:rFonts w:hint="eastAsia" w:ascii="宋体" w:hAnsi="宋体" w:cs="宋体"/>
          <w:sz w:val="24"/>
          <w:szCs w:val="24"/>
          <w:highlight w:val="none"/>
          <w:u w:val="single"/>
        </w:rPr>
        <w:t>执行《通用条款》31.4.（3）款。</w:t>
      </w:r>
    </w:p>
    <w:p w14:paraId="0C2D0A3B">
      <w:pPr>
        <w:widowControl/>
        <w:spacing w:line="360" w:lineRule="auto"/>
        <w:ind w:firstLine="480" w:firstLineChars="200"/>
        <w:rPr>
          <w:rFonts w:ascii="宋体" w:hAnsi="宋体" w:cs="宋体"/>
          <w:sz w:val="24"/>
          <w:szCs w:val="24"/>
          <w:highlight w:val="none"/>
          <w:u w:val="thick"/>
        </w:rPr>
      </w:pPr>
      <w:r>
        <w:rPr>
          <w:rFonts w:hint="eastAsia" w:ascii="宋体" w:hAnsi="宋体" w:cs="宋体"/>
          <w:sz w:val="24"/>
          <w:szCs w:val="24"/>
          <w:highlight w:val="none"/>
        </w:rPr>
        <w:t>（4）到货地点与一览表不符：</w:t>
      </w:r>
      <w:r>
        <w:rPr>
          <w:rFonts w:hint="eastAsia" w:ascii="宋体" w:hAnsi="宋体" w:cs="宋体"/>
          <w:sz w:val="24"/>
          <w:szCs w:val="24"/>
          <w:highlight w:val="none"/>
          <w:u w:val="single"/>
        </w:rPr>
        <w:t>执行《通用条款》31.4.（4）款。</w:t>
      </w:r>
    </w:p>
    <w:p w14:paraId="572C2AB8">
      <w:pPr>
        <w:widowControl/>
        <w:spacing w:line="360" w:lineRule="auto"/>
        <w:ind w:firstLine="480" w:firstLineChars="200"/>
        <w:rPr>
          <w:rFonts w:ascii="宋体" w:hAnsi="宋体" w:cs="宋体"/>
          <w:sz w:val="24"/>
          <w:szCs w:val="24"/>
          <w:highlight w:val="none"/>
          <w:u w:val="thick"/>
        </w:rPr>
      </w:pPr>
      <w:r>
        <w:rPr>
          <w:rFonts w:hint="eastAsia" w:ascii="宋体" w:hAnsi="宋体" w:cs="宋体"/>
          <w:sz w:val="24"/>
          <w:szCs w:val="24"/>
          <w:highlight w:val="none"/>
        </w:rPr>
        <w:t>（5）供应数量与一览表不符：</w:t>
      </w:r>
      <w:r>
        <w:rPr>
          <w:rFonts w:hint="eastAsia" w:ascii="宋体" w:hAnsi="宋体" w:cs="宋体"/>
          <w:sz w:val="24"/>
          <w:szCs w:val="24"/>
          <w:highlight w:val="none"/>
          <w:u w:val="single"/>
        </w:rPr>
        <w:t>执行《通用条款》31.4.（5）款。</w:t>
      </w:r>
    </w:p>
    <w:p w14:paraId="2BA365F3">
      <w:pPr>
        <w:widowControl/>
        <w:spacing w:line="360" w:lineRule="auto"/>
        <w:ind w:firstLine="480" w:firstLineChars="200"/>
        <w:rPr>
          <w:rFonts w:ascii="宋体" w:hAnsi="宋体" w:cs="宋体"/>
          <w:sz w:val="24"/>
          <w:szCs w:val="24"/>
          <w:highlight w:val="none"/>
          <w:u w:val="thick"/>
        </w:rPr>
      </w:pPr>
      <w:r>
        <w:rPr>
          <w:rFonts w:hint="eastAsia" w:ascii="宋体" w:hAnsi="宋体" w:cs="宋体"/>
          <w:sz w:val="24"/>
          <w:szCs w:val="24"/>
          <w:highlight w:val="none"/>
        </w:rPr>
        <w:t>（6）到货时间与一览表不符：</w:t>
      </w:r>
      <w:r>
        <w:rPr>
          <w:rFonts w:hint="eastAsia" w:ascii="宋体" w:hAnsi="宋体" w:cs="宋体"/>
          <w:sz w:val="24"/>
          <w:szCs w:val="24"/>
          <w:highlight w:val="none"/>
          <w:u w:val="single"/>
        </w:rPr>
        <w:t>执行《通用条款》31.4.（6）款。</w:t>
      </w:r>
    </w:p>
    <w:p w14:paraId="65977BAF">
      <w:pPr>
        <w:widowControl/>
        <w:spacing w:line="360" w:lineRule="auto"/>
        <w:ind w:firstLine="480" w:firstLineChars="200"/>
        <w:rPr>
          <w:rFonts w:ascii="宋体" w:hAnsi="宋体" w:cs="宋体"/>
          <w:sz w:val="24"/>
          <w:szCs w:val="24"/>
          <w:highlight w:val="none"/>
          <w:u w:val="single"/>
        </w:rPr>
      </w:pPr>
      <w:r>
        <w:rPr>
          <w:rFonts w:hint="eastAsia" w:ascii="宋体" w:hAnsi="宋体" w:cs="宋体"/>
          <w:sz w:val="24"/>
          <w:szCs w:val="24"/>
          <w:highlight w:val="none"/>
        </w:rPr>
        <w:t>31.6发包人供应材料设备的结算方法：</w:t>
      </w:r>
      <w:r>
        <w:rPr>
          <w:rFonts w:hint="eastAsia" w:ascii="宋体" w:hAnsi="宋体" w:cs="宋体"/>
          <w:sz w:val="24"/>
          <w:szCs w:val="24"/>
          <w:highlight w:val="none"/>
          <w:u w:val="single"/>
        </w:rPr>
        <w:t xml:space="preserve">  无 </w:t>
      </w:r>
    </w:p>
    <w:p w14:paraId="047519C7">
      <w:pPr>
        <w:widowControl/>
        <w:spacing w:line="360" w:lineRule="auto"/>
        <w:ind w:firstLine="482" w:firstLineChars="200"/>
        <w:rPr>
          <w:rFonts w:ascii="宋体" w:hAnsi="宋体" w:cs="宋体"/>
          <w:b/>
          <w:bCs/>
          <w:sz w:val="24"/>
          <w:szCs w:val="24"/>
          <w:highlight w:val="none"/>
        </w:rPr>
      </w:pPr>
      <w:r>
        <w:rPr>
          <w:rFonts w:hint="eastAsia" w:ascii="宋体" w:hAnsi="宋体" w:cs="宋体"/>
          <w:b/>
          <w:bCs/>
          <w:sz w:val="24"/>
          <w:szCs w:val="24"/>
          <w:highlight w:val="none"/>
        </w:rPr>
        <w:t>32、承包人采购材料设备</w:t>
      </w:r>
    </w:p>
    <w:p w14:paraId="56F9619F">
      <w:pPr>
        <w:widowControl/>
        <w:spacing w:line="360" w:lineRule="auto"/>
        <w:ind w:firstLine="480" w:firstLineChars="200"/>
        <w:rPr>
          <w:rFonts w:ascii="宋体" w:hAnsi="宋体" w:cs="宋体"/>
          <w:sz w:val="24"/>
          <w:szCs w:val="24"/>
          <w:highlight w:val="none"/>
          <w:u w:val="thick"/>
        </w:rPr>
      </w:pPr>
      <w:r>
        <w:rPr>
          <w:rFonts w:hint="eastAsia" w:ascii="宋体" w:hAnsi="宋体" w:cs="宋体"/>
          <w:sz w:val="24"/>
          <w:szCs w:val="24"/>
          <w:highlight w:val="none"/>
        </w:rPr>
        <w:t>32.1承包人采购材料设备的约定：</w:t>
      </w:r>
      <w:r>
        <w:rPr>
          <w:rFonts w:hint="eastAsia" w:ascii="宋体" w:hAnsi="宋体" w:cs="宋体"/>
          <w:sz w:val="24"/>
          <w:szCs w:val="24"/>
          <w:highlight w:val="none"/>
          <w:u w:val="single"/>
        </w:rPr>
        <w:t>乙方自行采购的材料规格型号应与设计方案相符，质量等级必须合格。</w:t>
      </w:r>
      <w:bookmarkStart w:id="151" w:name="_GoBack"/>
      <w:bookmarkEnd w:id="151"/>
    </w:p>
    <w:p w14:paraId="30EACBB6">
      <w:pPr>
        <w:widowControl/>
        <w:spacing w:line="360" w:lineRule="auto"/>
        <w:ind w:firstLine="482" w:firstLineChars="200"/>
        <w:rPr>
          <w:rFonts w:ascii="宋体" w:hAnsi="宋体" w:cs="宋体"/>
          <w:b/>
          <w:bCs/>
          <w:sz w:val="24"/>
          <w:szCs w:val="24"/>
          <w:highlight w:val="none"/>
        </w:rPr>
      </w:pPr>
      <w:r>
        <w:rPr>
          <w:rFonts w:hint="eastAsia" w:ascii="宋体" w:hAnsi="宋体" w:cs="宋体"/>
          <w:b/>
          <w:bCs/>
          <w:sz w:val="24"/>
          <w:szCs w:val="24"/>
          <w:highlight w:val="none"/>
        </w:rPr>
        <w:t>八、工程变更</w:t>
      </w:r>
    </w:p>
    <w:p w14:paraId="26566D9C">
      <w:pPr>
        <w:widowControl/>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33、在本工程实施过程中若发生变更，按下列各项执行：</w:t>
      </w:r>
    </w:p>
    <w:p w14:paraId="5EC03B20">
      <w:pPr>
        <w:widowControl/>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33.1</w:t>
      </w:r>
      <w:r>
        <w:rPr>
          <w:rFonts w:hint="eastAsia" w:ascii="宋体" w:hAnsi="宋体" w:cs="宋体"/>
          <w:sz w:val="24"/>
          <w:szCs w:val="24"/>
          <w:highlight w:val="none"/>
          <w:u w:val="single"/>
        </w:rPr>
        <w:t>合同中已有适用综合单价的，可参照类似综合单价调整；</w:t>
      </w:r>
    </w:p>
    <w:p w14:paraId="20DDF755">
      <w:pPr>
        <w:widowControl/>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33.2</w:t>
      </w:r>
      <w:r>
        <w:rPr>
          <w:rFonts w:hint="eastAsia" w:ascii="宋体" w:hAnsi="宋体" w:cs="宋体"/>
          <w:sz w:val="24"/>
          <w:szCs w:val="24"/>
          <w:highlight w:val="none"/>
          <w:u w:val="single"/>
        </w:rPr>
        <w:t>合同中有类似综合单价的，可参照类似综合单价调整；</w:t>
      </w:r>
    </w:p>
    <w:p w14:paraId="2E6987BA">
      <w:pPr>
        <w:widowControl/>
        <w:spacing w:line="360" w:lineRule="auto"/>
        <w:ind w:firstLine="480" w:firstLineChars="200"/>
        <w:rPr>
          <w:rFonts w:ascii="宋体" w:hAnsi="宋体" w:cs="宋体"/>
          <w:sz w:val="24"/>
          <w:szCs w:val="24"/>
          <w:highlight w:val="none"/>
          <w:u w:val="thick"/>
        </w:rPr>
      </w:pPr>
      <w:r>
        <w:rPr>
          <w:rFonts w:hint="eastAsia" w:ascii="宋体" w:hAnsi="宋体" w:cs="宋体"/>
          <w:sz w:val="24"/>
          <w:szCs w:val="24"/>
          <w:highlight w:val="none"/>
        </w:rPr>
        <w:t>33.3</w:t>
      </w:r>
      <w:r>
        <w:rPr>
          <w:rFonts w:hint="eastAsia" w:ascii="宋体" w:hAnsi="宋体" w:cs="宋体"/>
          <w:sz w:val="24"/>
          <w:szCs w:val="24"/>
          <w:highlight w:val="none"/>
          <w:u w:val="single"/>
        </w:rPr>
        <w:t>合同中没有适用或类似综合单价的承包人按照投标书人工工日、材料、机械台班单价进行组价，报发包人审核认可。</w:t>
      </w:r>
    </w:p>
    <w:p w14:paraId="1CAE2A36">
      <w:pPr>
        <w:widowControl/>
        <w:spacing w:line="360" w:lineRule="auto"/>
        <w:ind w:firstLine="482" w:firstLineChars="200"/>
        <w:rPr>
          <w:rFonts w:ascii="宋体" w:hAnsi="宋体" w:cs="宋体"/>
          <w:b/>
          <w:bCs/>
          <w:sz w:val="24"/>
          <w:szCs w:val="24"/>
          <w:highlight w:val="none"/>
        </w:rPr>
      </w:pPr>
      <w:r>
        <w:rPr>
          <w:rFonts w:hint="eastAsia" w:ascii="宋体" w:hAnsi="宋体" w:cs="宋体"/>
          <w:b/>
          <w:bCs/>
          <w:sz w:val="24"/>
          <w:szCs w:val="24"/>
          <w:highlight w:val="none"/>
        </w:rPr>
        <w:t>九、竣工验收与结算</w:t>
      </w:r>
    </w:p>
    <w:p w14:paraId="040D372E">
      <w:pPr>
        <w:widowControl/>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36、竣工验收</w:t>
      </w:r>
    </w:p>
    <w:p w14:paraId="17F77CDA">
      <w:pPr>
        <w:widowControl/>
        <w:spacing w:line="360" w:lineRule="auto"/>
        <w:ind w:firstLine="480" w:firstLineChars="200"/>
        <w:rPr>
          <w:rFonts w:ascii="宋体" w:hAnsi="宋体" w:cs="宋体"/>
          <w:sz w:val="24"/>
          <w:szCs w:val="24"/>
          <w:highlight w:val="none"/>
          <w:u w:val="single"/>
        </w:rPr>
      </w:pPr>
      <w:r>
        <w:rPr>
          <w:rFonts w:hint="eastAsia" w:ascii="宋体" w:hAnsi="宋体" w:cs="宋体"/>
          <w:sz w:val="24"/>
          <w:szCs w:val="24"/>
          <w:highlight w:val="none"/>
        </w:rPr>
        <w:t>36.1承包人提供竣工图的约定：</w:t>
      </w:r>
      <w:r>
        <w:rPr>
          <w:rFonts w:hint="eastAsia" w:ascii="宋体" w:hAnsi="宋体" w:cs="宋体"/>
          <w:sz w:val="24"/>
          <w:szCs w:val="24"/>
          <w:highlight w:val="none"/>
          <w:u w:val="single"/>
        </w:rPr>
        <w:t>完整资料文件两套。</w:t>
      </w:r>
    </w:p>
    <w:p w14:paraId="00DAC189">
      <w:pPr>
        <w:widowControl/>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36.6中间交工工程的范围和竣工时间：_______________</w:t>
      </w:r>
      <w:r>
        <w:rPr>
          <w:rFonts w:hint="eastAsia" w:ascii="宋体" w:hAnsi="宋体" w:cs="宋体"/>
          <w:sz w:val="24"/>
          <w:szCs w:val="24"/>
          <w:highlight w:val="none"/>
          <w:u w:val="single"/>
        </w:rPr>
        <w:t>/</w:t>
      </w:r>
      <w:r>
        <w:rPr>
          <w:rFonts w:hint="eastAsia" w:ascii="宋体" w:hAnsi="宋体" w:cs="宋体"/>
          <w:sz w:val="24"/>
          <w:szCs w:val="24"/>
          <w:highlight w:val="none"/>
        </w:rPr>
        <w:t>_______________</w:t>
      </w:r>
    </w:p>
    <w:p w14:paraId="4EF93DA6">
      <w:pPr>
        <w:widowControl/>
        <w:spacing w:line="360" w:lineRule="auto"/>
        <w:ind w:firstLine="482" w:firstLineChars="200"/>
        <w:rPr>
          <w:rFonts w:ascii="宋体" w:hAnsi="宋体" w:cs="宋体"/>
          <w:b/>
          <w:bCs/>
          <w:sz w:val="24"/>
          <w:szCs w:val="24"/>
          <w:highlight w:val="none"/>
        </w:rPr>
      </w:pPr>
      <w:r>
        <w:rPr>
          <w:rFonts w:hint="eastAsia" w:ascii="宋体" w:hAnsi="宋体" w:cs="宋体"/>
          <w:b/>
          <w:bCs/>
          <w:sz w:val="24"/>
          <w:szCs w:val="24"/>
          <w:highlight w:val="none"/>
        </w:rPr>
        <w:t>37、竣工结算</w:t>
      </w:r>
    </w:p>
    <w:p w14:paraId="2B4C2DCD">
      <w:pPr>
        <w:widowControl/>
        <w:spacing w:line="360" w:lineRule="auto"/>
        <w:ind w:firstLine="480" w:firstLineChars="200"/>
        <w:rPr>
          <w:rFonts w:ascii="宋体" w:hAnsi="宋体" w:cs="宋体"/>
          <w:sz w:val="24"/>
          <w:szCs w:val="24"/>
          <w:highlight w:val="none"/>
          <w:u w:val="single"/>
        </w:rPr>
      </w:pPr>
      <w:r>
        <w:rPr>
          <w:rFonts w:hint="eastAsia" w:ascii="宋体" w:hAnsi="宋体" w:cs="宋体"/>
          <w:sz w:val="24"/>
          <w:szCs w:val="24"/>
          <w:highlight w:val="none"/>
        </w:rPr>
        <w:t xml:space="preserve">结算审查期限： </w:t>
      </w:r>
      <w:r>
        <w:rPr>
          <w:rFonts w:hint="eastAsia" w:ascii="宋体" w:hAnsi="宋体" w:cs="宋体"/>
          <w:sz w:val="24"/>
          <w:szCs w:val="24"/>
          <w:highlight w:val="none"/>
          <w:u w:val="single"/>
        </w:rPr>
        <w:t xml:space="preserve">  /   </w:t>
      </w:r>
    </w:p>
    <w:p w14:paraId="305FB47F">
      <w:pPr>
        <w:widowControl/>
        <w:spacing w:line="360" w:lineRule="auto"/>
        <w:ind w:firstLine="482" w:firstLineChars="200"/>
        <w:rPr>
          <w:rFonts w:ascii="宋体" w:hAnsi="宋体" w:cs="宋体"/>
          <w:b/>
          <w:bCs/>
          <w:sz w:val="24"/>
          <w:szCs w:val="24"/>
          <w:highlight w:val="none"/>
        </w:rPr>
      </w:pPr>
      <w:r>
        <w:rPr>
          <w:rFonts w:hint="eastAsia" w:ascii="宋体" w:hAnsi="宋体" w:cs="宋体"/>
          <w:b/>
          <w:bCs/>
          <w:sz w:val="24"/>
          <w:szCs w:val="24"/>
          <w:highlight w:val="none"/>
        </w:rPr>
        <w:t>十、违约、索赔和争议</w:t>
      </w:r>
    </w:p>
    <w:p w14:paraId="2B6BB137">
      <w:pPr>
        <w:widowControl/>
        <w:spacing w:line="360" w:lineRule="auto"/>
        <w:ind w:firstLine="482" w:firstLineChars="200"/>
        <w:rPr>
          <w:rFonts w:ascii="宋体" w:hAnsi="宋体" w:cs="宋体"/>
          <w:b/>
          <w:bCs/>
          <w:sz w:val="24"/>
          <w:szCs w:val="24"/>
          <w:highlight w:val="none"/>
        </w:rPr>
      </w:pPr>
      <w:r>
        <w:rPr>
          <w:rFonts w:hint="eastAsia" w:ascii="宋体" w:hAnsi="宋体" w:cs="宋体"/>
          <w:b/>
          <w:bCs/>
          <w:sz w:val="24"/>
          <w:szCs w:val="24"/>
          <w:highlight w:val="none"/>
        </w:rPr>
        <w:t>39、违约</w:t>
      </w:r>
    </w:p>
    <w:p w14:paraId="05775879">
      <w:pPr>
        <w:widowControl/>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 xml:space="preserve">39.1  本合同中关于发包人违约的具体责任如下： </w:t>
      </w:r>
    </w:p>
    <w:p w14:paraId="1B9CC295">
      <w:pPr>
        <w:widowControl/>
        <w:spacing w:line="360" w:lineRule="auto"/>
        <w:ind w:firstLine="480" w:firstLineChars="200"/>
        <w:rPr>
          <w:rFonts w:ascii="宋体" w:hAnsi="宋体" w:cs="宋体"/>
          <w:sz w:val="24"/>
          <w:szCs w:val="24"/>
          <w:highlight w:val="none"/>
          <w:u w:val="single"/>
        </w:rPr>
      </w:pPr>
      <w:r>
        <w:rPr>
          <w:rFonts w:hint="eastAsia" w:ascii="宋体" w:hAnsi="宋体" w:cs="宋体"/>
          <w:sz w:val="24"/>
          <w:szCs w:val="24"/>
          <w:highlight w:val="none"/>
        </w:rPr>
        <w:t>本合同通用条款第28.1条约定发包人违约应承担的违约责任：</w:t>
      </w:r>
      <w:r>
        <w:rPr>
          <w:rFonts w:hint="eastAsia" w:ascii="宋体" w:hAnsi="宋体" w:cs="宋体"/>
          <w:sz w:val="24"/>
          <w:szCs w:val="24"/>
          <w:highlight w:val="none"/>
          <w:u w:val="single"/>
        </w:rPr>
        <w:t xml:space="preserve">  _</w:t>
      </w:r>
      <w:r>
        <w:rPr>
          <w:rFonts w:hint="eastAsia" w:ascii="宋体" w:hAnsi="宋体" w:cs="宋体"/>
          <w:sz w:val="24"/>
          <w:szCs w:val="24"/>
          <w:highlight w:val="none"/>
        </w:rPr>
        <w:t>/_</w:t>
      </w:r>
      <w:r>
        <w:rPr>
          <w:rFonts w:hint="eastAsia" w:ascii="宋体" w:hAnsi="宋体" w:cs="宋体"/>
          <w:sz w:val="24"/>
          <w:szCs w:val="24"/>
          <w:highlight w:val="none"/>
          <w:u w:val="single"/>
        </w:rPr>
        <w:t xml:space="preserve">_   </w:t>
      </w:r>
    </w:p>
    <w:p w14:paraId="5F795668">
      <w:pPr>
        <w:widowControl/>
        <w:spacing w:line="360" w:lineRule="auto"/>
        <w:ind w:firstLine="480" w:firstLineChars="200"/>
        <w:rPr>
          <w:rFonts w:ascii="宋体" w:hAnsi="宋体" w:cs="宋体"/>
          <w:sz w:val="24"/>
          <w:szCs w:val="24"/>
          <w:highlight w:val="none"/>
          <w:u w:val="single"/>
        </w:rPr>
      </w:pPr>
      <w:r>
        <w:rPr>
          <w:rFonts w:hint="eastAsia" w:ascii="宋体" w:hAnsi="宋体" w:cs="宋体"/>
          <w:sz w:val="24"/>
          <w:szCs w:val="24"/>
          <w:highlight w:val="none"/>
        </w:rPr>
        <w:t>本合同通用条款第30.5款约定发包人违约应承担的违约责任：</w:t>
      </w:r>
      <w:r>
        <w:rPr>
          <w:rFonts w:hint="eastAsia" w:ascii="宋体" w:hAnsi="宋体" w:cs="宋体"/>
          <w:sz w:val="24"/>
          <w:szCs w:val="24"/>
          <w:highlight w:val="none"/>
          <w:u w:val="single"/>
        </w:rPr>
        <w:t>执行《通用条款》30.5款。</w:t>
      </w:r>
    </w:p>
    <w:p w14:paraId="11713C6C">
      <w:pPr>
        <w:widowControl/>
        <w:spacing w:line="360" w:lineRule="auto"/>
        <w:ind w:firstLine="480" w:firstLineChars="200"/>
        <w:rPr>
          <w:rFonts w:ascii="宋体" w:hAnsi="宋体" w:cs="宋体"/>
          <w:sz w:val="24"/>
          <w:szCs w:val="24"/>
          <w:highlight w:val="none"/>
          <w:u w:val="single"/>
        </w:rPr>
      </w:pPr>
      <w:r>
        <w:rPr>
          <w:rFonts w:hint="eastAsia" w:ascii="宋体" w:hAnsi="宋体" w:cs="宋体"/>
          <w:sz w:val="24"/>
          <w:szCs w:val="24"/>
          <w:highlight w:val="none"/>
        </w:rPr>
        <w:t>本合同通用条款第37.6款约定发包人违约应承担的违约责任：</w:t>
      </w:r>
      <w:r>
        <w:rPr>
          <w:rFonts w:hint="eastAsia" w:ascii="宋体" w:hAnsi="宋体" w:cs="宋体"/>
          <w:sz w:val="24"/>
          <w:szCs w:val="24"/>
          <w:highlight w:val="none"/>
          <w:u w:val="single"/>
        </w:rPr>
        <w:t>执行《通用条款》37.6款。</w:t>
      </w:r>
    </w:p>
    <w:p w14:paraId="4E03F017">
      <w:pPr>
        <w:widowControl/>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双方约定的发包人其他违约责任：__________/_________</w:t>
      </w:r>
    </w:p>
    <w:p w14:paraId="1D7AE417">
      <w:pPr>
        <w:widowControl/>
        <w:spacing w:line="360" w:lineRule="auto"/>
        <w:ind w:firstLine="480" w:firstLineChars="200"/>
        <w:rPr>
          <w:rFonts w:ascii="宋体" w:hAnsi="宋体" w:cs="宋体"/>
          <w:sz w:val="24"/>
          <w:szCs w:val="24"/>
          <w:highlight w:val="none"/>
          <w:u w:val="thick"/>
        </w:rPr>
      </w:pPr>
      <w:r>
        <w:rPr>
          <w:rFonts w:hint="eastAsia" w:ascii="宋体" w:hAnsi="宋体" w:cs="宋体"/>
          <w:sz w:val="24"/>
          <w:szCs w:val="24"/>
          <w:highlight w:val="none"/>
        </w:rPr>
        <w:t>39.2  本合同中关于承包人违约的具体责任如下：本合同通用条款第14.2款约定承包人违约承担的违约责任：</w:t>
      </w:r>
      <w:r>
        <w:rPr>
          <w:rFonts w:hint="eastAsia" w:ascii="宋体" w:hAnsi="宋体" w:cs="宋体"/>
          <w:sz w:val="24"/>
          <w:szCs w:val="24"/>
          <w:highlight w:val="none"/>
          <w:u w:val="single"/>
        </w:rPr>
        <w:t>承包人工期每推迟一天罚款1000元，若影响到发包人使用另行赔偿给甲方造成的损失。</w:t>
      </w:r>
    </w:p>
    <w:p w14:paraId="03DD1716">
      <w:pPr>
        <w:widowControl/>
        <w:spacing w:line="360" w:lineRule="auto"/>
        <w:ind w:firstLine="480" w:firstLineChars="200"/>
        <w:rPr>
          <w:rFonts w:ascii="宋体" w:hAnsi="宋体" w:cs="宋体"/>
          <w:sz w:val="24"/>
          <w:szCs w:val="24"/>
          <w:highlight w:val="none"/>
          <w:u w:val="single"/>
        </w:rPr>
      </w:pPr>
      <w:r>
        <w:rPr>
          <w:rFonts w:hint="eastAsia" w:ascii="宋体" w:hAnsi="宋体" w:cs="宋体"/>
          <w:sz w:val="24"/>
          <w:szCs w:val="24"/>
          <w:highlight w:val="none"/>
        </w:rPr>
        <w:t>本合同通用条款第15.1款约定承包人违约应承担的违约责任：</w:t>
      </w:r>
      <w:r>
        <w:rPr>
          <w:rFonts w:hint="eastAsia" w:ascii="宋体" w:hAnsi="宋体" w:cs="宋体"/>
          <w:sz w:val="24"/>
          <w:szCs w:val="24"/>
          <w:highlight w:val="none"/>
          <w:u w:val="single"/>
        </w:rPr>
        <w:t>承包方除按合同价款的2%承担违约金外，另按国务院279号令有关规定执行。</w:t>
      </w:r>
    </w:p>
    <w:p w14:paraId="1753CC8C">
      <w:pPr>
        <w:widowControl/>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双方约定的承包人其他违约责任：______</w:t>
      </w:r>
      <w:r>
        <w:rPr>
          <w:rFonts w:hint="eastAsia" w:ascii="宋体" w:hAnsi="宋体" w:cs="宋体"/>
          <w:sz w:val="24"/>
          <w:szCs w:val="24"/>
          <w:highlight w:val="none"/>
          <w:u w:val="single"/>
        </w:rPr>
        <w:t>/</w:t>
      </w:r>
      <w:r>
        <w:rPr>
          <w:rFonts w:hint="eastAsia" w:ascii="宋体" w:hAnsi="宋体" w:cs="宋体"/>
          <w:sz w:val="24"/>
          <w:szCs w:val="24"/>
          <w:highlight w:val="none"/>
        </w:rPr>
        <w:t>________</w:t>
      </w:r>
    </w:p>
    <w:p w14:paraId="12320B00">
      <w:pPr>
        <w:widowControl/>
        <w:spacing w:line="360" w:lineRule="auto"/>
        <w:ind w:firstLine="482" w:firstLineChars="200"/>
        <w:rPr>
          <w:rFonts w:ascii="宋体" w:hAnsi="宋体" w:cs="宋体"/>
          <w:b/>
          <w:bCs/>
          <w:sz w:val="24"/>
          <w:szCs w:val="24"/>
          <w:highlight w:val="none"/>
        </w:rPr>
      </w:pPr>
      <w:r>
        <w:rPr>
          <w:rFonts w:hint="eastAsia" w:ascii="宋体" w:hAnsi="宋体" w:cs="宋体"/>
          <w:b/>
          <w:bCs/>
          <w:sz w:val="24"/>
          <w:szCs w:val="24"/>
          <w:highlight w:val="none"/>
        </w:rPr>
        <w:t>41、争议</w:t>
      </w:r>
    </w:p>
    <w:p w14:paraId="5FF3C3AF">
      <w:pPr>
        <w:widowControl/>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41.1双方当事人约定，在履行合同过程中产生争议时：</w:t>
      </w:r>
    </w:p>
    <w:p w14:paraId="15B871E3">
      <w:pPr>
        <w:widowControl/>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（1）请_</w:t>
      </w:r>
      <w:r>
        <w:rPr>
          <w:rFonts w:hint="eastAsia" w:ascii="宋体" w:hAnsi="宋体" w:cs="宋体"/>
          <w:sz w:val="24"/>
          <w:szCs w:val="24"/>
          <w:highlight w:val="none"/>
          <w:u w:val="single"/>
        </w:rPr>
        <w:t>合同管理部门和其他有关部门</w:t>
      </w:r>
      <w:r>
        <w:rPr>
          <w:rFonts w:hint="eastAsia" w:ascii="宋体" w:hAnsi="宋体" w:cs="宋体"/>
          <w:sz w:val="24"/>
          <w:szCs w:val="24"/>
          <w:highlight w:val="none"/>
        </w:rPr>
        <w:t>_调解；</w:t>
      </w:r>
    </w:p>
    <w:p w14:paraId="6B26696B">
      <w:pPr>
        <w:widowControl/>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（2）合同争议调解不成的，按下列第_</w:t>
      </w:r>
      <w:r>
        <w:rPr>
          <w:rFonts w:hint="eastAsia" w:ascii="宋体" w:hAnsi="宋体" w:cs="宋体"/>
          <w:sz w:val="24"/>
          <w:szCs w:val="24"/>
          <w:highlight w:val="none"/>
          <w:u w:val="single"/>
        </w:rPr>
        <w:t xml:space="preserve"> 1）</w:t>
      </w:r>
      <w:r>
        <w:rPr>
          <w:rFonts w:hint="eastAsia" w:ascii="宋体" w:hAnsi="宋体" w:cs="宋体"/>
          <w:sz w:val="24"/>
          <w:szCs w:val="24"/>
          <w:highlight w:val="none"/>
        </w:rPr>
        <w:t>_种方式解决：</w:t>
      </w:r>
    </w:p>
    <w:p w14:paraId="2CC5BB6C">
      <w:pPr>
        <w:widowControl/>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 xml:space="preserve">  1）提交</w:t>
      </w:r>
      <w:r>
        <w:rPr>
          <w:rFonts w:hint="eastAsia" w:ascii="宋体" w:hAnsi="宋体" w:cs="宋体"/>
          <w:sz w:val="24"/>
          <w:szCs w:val="24"/>
          <w:highlight w:val="none"/>
          <w:u w:val="single"/>
        </w:rPr>
        <w:t xml:space="preserve">     </w:t>
      </w:r>
      <w:r>
        <w:rPr>
          <w:rFonts w:hint="eastAsia" w:ascii="宋体" w:hAnsi="宋体" w:cs="宋体"/>
          <w:sz w:val="24"/>
          <w:szCs w:val="24"/>
          <w:highlight w:val="none"/>
        </w:rPr>
        <w:t xml:space="preserve">仲裁委员会申请仲裁； </w:t>
      </w:r>
    </w:p>
    <w:p w14:paraId="2A9E16AC">
      <w:pPr>
        <w:widowControl/>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 xml:space="preserve">  2）依法</w:t>
      </w:r>
      <w:r>
        <w:rPr>
          <w:rFonts w:hint="eastAsia" w:ascii="宋体" w:hAnsi="宋体" w:cs="宋体"/>
          <w:sz w:val="24"/>
          <w:szCs w:val="24"/>
          <w:highlight w:val="none"/>
          <w:u w:val="single"/>
        </w:rPr>
        <w:t xml:space="preserve">向     </w:t>
      </w:r>
      <w:r>
        <w:rPr>
          <w:rFonts w:hint="eastAsia" w:ascii="宋体" w:hAnsi="宋体" w:cs="宋体"/>
          <w:sz w:val="24"/>
          <w:szCs w:val="24"/>
          <w:highlight w:val="none"/>
        </w:rPr>
        <w:t xml:space="preserve">人民法院提起诉讼。 </w:t>
      </w:r>
    </w:p>
    <w:p w14:paraId="65B37962">
      <w:pPr>
        <w:widowControl/>
        <w:spacing w:line="360" w:lineRule="auto"/>
        <w:ind w:firstLine="482" w:firstLineChars="200"/>
        <w:rPr>
          <w:rFonts w:ascii="宋体" w:hAnsi="宋体" w:cs="宋体"/>
          <w:b/>
          <w:bCs/>
          <w:sz w:val="24"/>
          <w:szCs w:val="24"/>
          <w:highlight w:val="none"/>
        </w:rPr>
      </w:pPr>
      <w:r>
        <w:rPr>
          <w:rFonts w:hint="eastAsia" w:ascii="宋体" w:hAnsi="宋体" w:cs="宋体"/>
          <w:b/>
          <w:bCs/>
          <w:sz w:val="24"/>
          <w:szCs w:val="24"/>
          <w:highlight w:val="none"/>
        </w:rPr>
        <w:t>十一、其他</w:t>
      </w:r>
    </w:p>
    <w:p w14:paraId="7F198275">
      <w:pPr>
        <w:widowControl/>
        <w:spacing w:line="360" w:lineRule="auto"/>
        <w:ind w:firstLine="482" w:firstLineChars="200"/>
        <w:rPr>
          <w:rFonts w:ascii="宋体" w:hAnsi="宋体" w:cs="宋体"/>
          <w:b/>
          <w:bCs/>
          <w:sz w:val="24"/>
          <w:szCs w:val="24"/>
          <w:highlight w:val="none"/>
        </w:rPr>
      </w:pPr>
      <w:r>
        <w:rPr>
          <w:rFonts w:hint="eastAsia" w:ascii="宋体" w:hAnsi="宋体" w:cs="宋体"/>
          <w:b/>
          <w:bCs/>
          <w:sz w:val="24"/>
          <w:szCs w:val="24"/>
          <w:highlight w:val="none"/>
        </w:rPr>
        <w:t>42、工程分包</w:t>
      </w:r>
    </w:p>
    <w:p w14:paraId="4E4232D1">
      <w:pPr>
        <w:widowControl/>
        <w:spacing w:line="360" w:lineRule="auto"/>
        <w:ind w:firstLine="480" w:firstLineChars="200"/>
        <w:rPr>
          <w:rFonts w:ascii="宋体" w:hAnsi="宋体" w:cs="宋体"/>
          <w:sz w:val="24"/>
          <w:szCs w:val="24"/>
          <w:highlight w:val="none"/>
          <w:u w:val="thick"/>
        </w:rPr>
      </w:pPr>
      <w:r>
        <w:rPr>
          <w:rFonts w:hint="eastAsia" w:ascii="宋体" w:hAnsi="宋体" w:cs="宋体"/>
          <w:sz w:val="24"/>
          <w:szCs w:val="24"/>
          <w:highlight w:val="none"/>
        </w:rPr>
        <w:t>42.1本工程发包人同意承包人分包的专业工程：</w:t>
      </w:r>
      <w:r>
        <w:rPr>
          <w:rFonts w:hint="eastAsia" w:ascii="宋体" w:hAnsi="宋体" w:cs="宋体"/>
          <w:sz w:val="24"/>
          <w:szCs w:val="24"/>
          <w:highlight w:val="none"/>
          <w:u w:val="single"/>
        </w:rPr>
        <w:t xml:space="preserve">   无  </w:t>
      </w:r>
    </w:p>
    <w:p w14:paraId="673FB1B5">
      <w:pPr>
        <w:widowControl/>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分包施工单位为：___________</w:t>
      </w:r>
      <w:r>
        <w:rPr>
          <w:rFonts w:hint="eastAsia" w:ascii="宋体" w:hAnsi="宋体" w:cs="宋体"/>
          <w:sz w:val="24"/>
          <w:szCs w:val="24"/>
          <w:highlight w:val="none"/>
          <w:u w:val="single"/>
        </w:rPr>
        <w:t>/</w:t>
      </w:r>
      <w:r>
        <w:rPr>
          <w:rFonts w:hint="eastAsia" w:ascii="宋体" w:hAnsi="宋体" w:cs="宋体"/>
          <w:sz w:val="24"/>
          <w:szCs w:val="24"/>
          <w:highlight w:val="none"/>
        </w:rPr>
        <w:t>_____________</w:t>
      </w:r>
    </w:p>
    <w:p w14:paraId="6B53B29E">
      <w:pPr>
        <w:widowControl/>
        <w:spacing w:line="360" w:lineRule="auto"/>
        <w:ind w:firstLine="482" w:firstLineChars="200"/>
        <w:rPr>
          <w:rFonts w:ascii="宋体" w:hAnsi="宋体" w:cs="宋体"/>
          <w:b/>
          <w:bCs/>
          <w:sz w:val="24"/>
          <w:szCs w:val="24"/>
          <w:highlight w:val="none"/>
        </w:rPr>
      </w:pPr>
      <w:r>
        <w:rPr>
          <w:rFonts w:hint="eastAsia" w:ascii="宋体" w:hAnsi="宋体" w:cs="宋体"/>
          <w:b/>
          <w:bCs/>
          <w:sz w:val="24"/>
          <w:szCs w:val="24"/>
          <w:highlight w:val="none"/>
        </w:rPr>
        <w:t>43、不可抗力</w:t>
      </w:r>
    </w:p>
    <w:p w14:paraId="3A1A7C63">
      <w:pPr>
        <w:widowControl/>
        <w:spacing w:line="360" w:lineRule="auto"/>
        <w:ind w:firstLine="480" w:firstLineChars="200"/>
        <w:rPr>
          <w:rFonts w:ascii="宋体" w:hAnsi="宋体" w:cs="宋体"/>
          <w:sz w:val="24"/>
          <w:szCs w:val="24"/>
          <w:highlight w:val="none"/>
          <w:u w:val="thick"/>
        </w:rPr>
      </w:pPr>
      <w:r>
        <w:rPr>
          <w:rFonts w:hint="eastAsia" w:ascii="宋体" w:hAnsi="宋体" w:cs="宋体"/>
          <w:sz w:val="24"/>
          <w:szCs w:val="24"/>
          <w:highlight w:val="none"/>
        </w:rPr>
        <w:t xml:space="preserve">43.1双方关于不可抗力的约定： </w:t>
      </w:r>
      <w:r>
        <w:rPr>
          <w:rFonts w:hint="eastAsia" w:ascii="宋体" w:hAnsi="宋体" w:cs="宋体"/>
          <w:sz w:val="24"/>
          <w:szCs w:val="24"/>
          <w:highlight w:val="none"/>
          <w:u w:val="single"/>
        </w:rPr>
        <w:t>_根据国家的法律规定执行。</w:t>
      </w:r>
    </w:p>
    <w:p w14:paraId="542B497D">
      <w:pPr>
        <w:widowControl/>
        <w:spacing w:line="360" w:lineRule="auto"/>
        <w:ind w:firstLine="482" w:firstLineChars="200"/>
        <w:rPr>
          <w:rFonts w:ascii="宋体" w:hAnsi="宋体" w:cs="宋体"/>
          <w:b/>
          <w:bCs/>
          <w:sz w:val="24"/>
          <w:szCs w:val="24"/>
          <w:highlight w:val="none"/>
        </w:rPr>
      </w:pPr>
      <w:r>
        <w:rPr>
          <w:rFonts w:hint="eastAsia" w:ascii="宋体" w:hAnsi="宋体" w:cs="宋体"/>
          <w:b/>
          <w:bCs/>
          <w:sz w:val="24"/>
          <w:szCs w:val="24"/>
          <w:highlight w:val="none"/>
        </w:rPr>
        <w:t>44、保险</w:t>
      </w:r>
    </w:p>
    <w:p w14:paraId="44DEC2A9">
      <w:pPr>
        <w:widowControl/>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44.6本工程双方约定投保内容如下：</w:t>
      </w:r>
    </w:p>
    <w:p w14:paraId="5A076501">
      <w:pPr>
        <w:widowControl/>
        <w:spacing w:line="360" w:lineRule="auto"/>
        <w:ind w:firstLine="480" w:firstLineChars="200"/>
        <w:rPr>
          <w:rFonts w:ascii="宋体" w:hAnsi="宋体" w:cs="宋体"/>
          <w:sz w:val="24"/>
          <w:szCs w:val="24"/>
          <w:highlight w:val="none"/>
          <w:u w:val="single"/>
        </w:rPr>
      </w:pPr>
      <w:r>
        <w:rPr>
          <w:rFonts w:hint="eastAsia" w:ascii="宋体" w:hAnsi="宋体" w:cs="宋体"/>
          <w:sz w:val="24"/>
          <w:szCs w:val="24"/>
          <w:highlight w:val="none"/>
        </w:rPr>
        <w:t>（1）发包人投保内容：</w:t>
      </w:r>
      <w:r>
        <w:rPr>
          <w:rFonts w:hint="eastAsia" w:ascii="宋体" w:hAnsi="宋体" w:cs="宋体"/>
          <w:sz w:val="24"/>
          <w:szCs w:val="24"/>
          <w:highlight w:val="none"/>
          <w:u w:val="single"/>
        </w:rPr>
        <w:t>执行《通用条款》44.1款，费用由发包人承担。</w:t>
      </w:r>
    </w:p>
    <w:p w14:paraId="18E5ECDA">
      <w:pPr>
        <w:widowControl/>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发包人委托承包人办理的保险事项：____________/________________</w:t>
      </w:r>
    </w:p>
    <w:p w14:paraId="5C63B921">
      <w:pPr>
        <w:widowControl/>
        <w:spacing w:line="360" w:lineRule="auto"/>
        <w:ind w:firstLine="480" w:firstLineChars="200"/>
        <w:rPr>
          <w:rFonts w:ascii="宋体" w:hAnsi="宋体" w:cs="宋体"/>
          <w:sz w:val="24"/>
          <w:szCs w:val="24"/>
          <w:highlight w:val="none"/>
          <w:u w:val="thick"/>
        </w:rPr>
      </w:pPr>
      <w:r>
        <w:rPr>
          <w:rFonts w:hint="eastAsia" w:ascii="宋体" w:hAnsi="宋体" w:cs="宋体"/>
          <w:sz w:val="24"/>
          <w:szCs w:val="24"/>
          <w:highlight w:val="none"/>
        </w:rPr>
        <w:t>（2）承包人投保内容：</w:t>
      </w:r>
      <w:r>
        <w:rPr>
          <w:rFonts w:hint="eastAsia" w:ascii="宋体" w:hAnsi="宋体" w:cs="宋体"/>
          <w:sz w:val="24"/>
          <w:szCs w:val="24"/>
          <w:highlight w:val="none"/>
          <w:u w:val="single"/>
        </w:rPr>
        <w:t>执行《通用条款》44.4款，费用由承包人承担。</w:t>
      </w:r>
    </w:p>
    <w:p w14:paraId="579BBE53">
      <w:pPr>
        <w:widowControl/>
        <w:spacing w:line="360" w:lineRule="auto"/>
        <w:ind w:firstLine="482" w:firstLineChars="200"/>
        <w:rPr>
          <w:rFonts w:ascii="宋体" w:hAnsi="宋体" w:cs="宋体"/>
          <w:b/>
          <w:bCs/>
          <w:sz w:val="24"/>
          <w:szCs w:val="24"/>
          <w:highlight w:val="none"/>
        </w:rPr>
      </w:pPr>
      <w:r>
        <w:rPr>
          <w:rFonts w:hint="eastAsia" w:ascii="宋体" w:hAnsi="宋体" w:cs="宋体"/>
          <w:b/>
          <w:bCs/>
          <w:sz w:val="24"/>
          <w:szCs w:val="24"/>
          <w:highlight w:val="none"/>
        </w:rPr>
        <w:t>45、担保</w:t>
      </w:r>
    </w:p>
    <w:p w14:paraId="63B0DD01">
      <w:pPr>
        <w:widowControl/>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 xml:space="preserve">45.3本工程双方约定担保事项如下： </w:t>
      </w:r>
    </w:p>
    <w:p w14:paraId="49906266">
      <w:pPr>
        <w:widowControl/>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（1）发包人向承包人提供支付担保，担保方式为：</w:t>
      </w:r>
      <w:r>
        <w:rPr>
          <w:rFonts w:hint="eastAsia" w:ascii="宋体" w:hAnsi="宋体" w:cs="宋体"/>
          <w:sz w:val="24"/>
          <w:szCs w:val="24"/>
          <w:highlight w:val="none"/>
          <w:u w:val="single"/>
        </w:rPr>
        <w:t xml:space="preserve">      </w:t>
      </w:r>
      <w:r>
        <w:rPr>
          <w:rFonts w:hint="eastAsia" w:ascii="宋体" w:hAnsi="宋体" w:cs="宋体"/>
          <w:sz w:val="24"/>
          <w:szCs w:val="24"/>
          <w:highlight w:val="none"/>
        </w:rPr>
        <w:t>，担保金额：</w:t>
      </w:r>
      <w:r>
        <w:rPr>
          <w:rFonts w:hint="eastAsia" w:ascii="宋体" w:hAnsi="宋体" w:cs="宋体"/>
          <w:sz w:val="24"/>
          <w:szCs w:val="24"/>
          <w:highlight w:val="none"/>
          <w:u w:val="single"/>
        </w:rPr>
        <w:t xml:space="preserve">    </w:t>
      </w:r>
      <w:r>
        <w:rPr>
          <w:rFonts w:hint="eastAsia" w:ascii="宋体" w:hAnsi="宋体" w:cs="宋体"/>
          <w:sz w:val="24"/>
          <w:szCs w:val="24"/>
          <w:highlight w:val="none"/>
        </w:rPr>
        <w:t>，担保有效期：</w:t>
      </w:r>
      <w:r>
        <w:rPr>
          <w:rFonts w:hint="eastAsia" w:ascii="宋体" w:hAnsi="宋体" w:cs="宋体"/>
          <w:sz w:val="24"/>
          <w:szCs w:val="24"/>
          <w:highlight w:val="none"/>
          <w:u w:val="single"/>
        </w:rPr>
        <w:t xml:space="preserve">    _</w:t>
      </w:r>
      <w:r>
        <w:rPr>
          <w:rFonts w:hint="eastAsia" w:ascii="宋体" w:hAnsi="宋体" w:cs="宋体"/>
          <w:sz w:val="24"/>
          <w:szCs w:val="24"/>
          <w:highlight w:val="none"/>
        </w:rPr>
        <w:t>。</w:t>
      </w:r>
    </w:p>
    <w:p w14:paraId="10720999">
      <w:pPr>
        <w:widowControl/>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（2）承包人向发包人提供履约担保，担保方式为：</w:t>
      </w:r>
      <w:r>
        <w:rPr>
          <w:rFonts w:hint="eastAsia" w:ascii="宋体" w:hAnsi="宋体" w:cs="宋体"/>
          <w:sz w:val="24"/>
          <w:szCs w:val="24"/>
          <w:highlight w:val="none"/>
          <w:u w:val="single"/>
        </w:rPr>
        <w:t xml:space="preserve"> / </w:t>
      </w:r>
      <w:r>
        <w:rPr>
          <w:rFonts w:hint="eastAsia" w:ascii="宋体" w:hAnsi="宋体" w:cs="宋体"/>
          <w:sz w:val="24"/>
          <w:szCs w:val="24"/>
          <w:highlight w:val="none"/>
        </w:rPr>
        <w:t>，担保金额：</w:t>
      </w:r>
      <w:r>
        <w:rPr>
          <w:rFonts w:hint="eastAsia" w:ascii="宋体" w:hAnsi="宋体" w:cs="宋体"/>
          <w:sz w:val="24"/>
          <w:szCs w:val="24"/>
          <w:highlight w:val="none"/>
          <w:u w:val="single"/>
        </w:rPr>
        <w:t>/</w:t>
      </w:r>
      <w:r>
        <w:rPr>
          <w:rFonts w:hint="eastAsia" w:ascii="宋体" w:hAnsi="宋体" w:cs="宋体"/>
          <w:sz w:val="24"/>
          <w:szCs w:val="24"/>
          <w:highlight w:val="none"/>
        </w:rPr>
        <w:t>，担保有效期：</w:t>
      </w:r>
      <w:r>
        <w:rPr>
          <w:rFonts w:hint="eastAsia" w:ascii="宋体" w:hAnsi="宋体" w:cs="宋体"/>
          <w:sz w:val="24"/>
          <w:szCs w:val="24"/>
          <w:highlight w:val="none"/>
          <w:u w:val="single"/>
        </w:rPr>
        <w:t>/</w:t>
      </w:r>
      <w:r>
        <w:rPr>
          <w:rFonts w:hint="eastAsia" w:ascii="宋体" w:hAnsi="宋体" w:cs="宋体"/>
          <w:sz w:val="24"/>
          <w:szCs w:val="24"/>
          <w:highlight w:val="none"/>
        </w:rPr>
        <w:t>。</w:t>
      </w:r>
    </w:p>
    <w:p w14:paraId="251981A6">
      <w:pPr>
        <w:widowControl/>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（3）双方约定的其他担保事项：_______________/________________</w:t>
      </w:r>
    </w:p>
    <w:p w14:paraId="665222B5">
      <w:pPr>
        <w:widowControl/>
        <w:spacing w:line="360" w:lineRule="auto"/>
        <w:ind w:firstLine="482" w:firstLineChars="200"/>
        <w:rPr>
          <w:rFonts w:ascii="宋体" w:hAnsi="宋体" w:cs="宋体"/>
          <w:b/>
          <w:bCs/>
          <w:sz w:val="24"/>
          <w:szCs w:val="24"/>
          <w:highlight w:val="none"/>
        </w:rPr>
      </w:pPr>
      <w:r>
        <w:rPr>
          <w:rFonts w:hint="eastAsia" w:ascii="宋体" w:hAnsi="宋体" w:cs="宋体"/>
          <w:b/>
          <w:bCs/>
          <w:sz w:val="24"/>
          <w:szCs w:val="24"/>
          <w:highlight w:val="none"/>
        </w:rPr>
        <w:t>50、合同份数</w:t>
      </w:r>
    </w:p>
    <w:p w14:paraId="40759D07">
      <w:pPr>
        <w:widowControl/>
        <w:spacing w:line="360" w:lineRule="auto"/>
        <w:ind w:firstLine="480" w:firstLineChars="200"/>
        <w:rPr>
          <w:rFonts w:ascii="宋体" w:hAnsi="宋体" w:cs="宋体"/>
          <w:sz w:val="24"/>
          <w:szCs w:val="24"/>
          <w:highlight w:val="none"/>
          <w:u w:val="thick"/>
        </w:rPr>
      </w:pPr>
      <w:r>
        <w:rPr>
          <w:rFonts w:hint="eastAsia" w:ascii="宋体" w:hAnsi="宋体" w:cs="宋体"/>
          <w:sz w:val="24"/>
          <w:szCs w:val="24"/>
          <w:highlight w:val="none"/>
        </w:rPr>
        <w:t>50.2双方约定合同副本份数：</w:t>
      </w:r>
      <w:r>
        <w:rPr>
          <w:rFonts w:hint="eastAsia" w:ascii="宋体" w:hAnsi="宋体" w:cs="宋体"/>
          <w:sz w:val="24"/>
          <w:szCs w:val="24"/>
          <w:highlight w:val="none"/>
          <w:u w:val="thick"/>
        </w:rPr>
        <w:t>捌份。</w:t>
      </w:r>
    </w:p>
    <w:p w14:paraId="37A67AD9">
      <w:pPr>
        <w:widowControl/>
        <w:spacing w:line="360" w:lineRule="auto"/>
        <w:ind w:firstLine="482" w:firstLineChars="200"/>
        <w:rPr>
          <w:rFonts w:ascii="宋体" w:hAnsi="宋体" w:cs="宋体"/>
          <w:b/>
          <w:bCs/>
          <w:sz w:val="24"/>
          <w:szCs w:val="24"/>
          <w:highlight w:val="none"/>
        </w:rPr>
      </w:pPr>
      <w:r>
        <w:rPr>
          <w:rFonts w:hint="eastAsia" w:ascii="宋体" w:hAnsi="宋体" w:cs="宋体"/>
          <w:b/>
          <w:bCs/>
          <w:sz w:val="24"/>
          <w:szCs w:val="24"/>
          <w:highlight w:val="none"/>
        </w:rPr>
        <w:t>51、补充条款</w:t>
      </w:r>
    </w:p>
    <w:p w14:paraId="131DCE04">
      <w:pPr>
        <w:widowControl/>
        <w:spacing w:line="360" w:lineRule="auto"/>
        <w:ind w:firstLine="480" w:firstLineChars="200"/>
        <w:rPr>
          <w:rFonts w:ascii="宋体" w:hAnsi="宋体" w:cs="宋体"/>
          <w:sz w:val="24"/>
          <w:szCs w:val="24"/>
          <w:highlight w:val="none"/>
          <w:u w:val="thick"/>
        </w:rPr>
      </w:pPr>
      <w:r>
        <w:rPr>
          <w:rFonts w:hint="eastAsia" w:ascii="宋体" w:hAnsi="宋体" w:cs="宋体"/>
          <w:sz w:val="24"/>
          <w:szCs w:val="24"/>
          <w:highlight w:val="none"/>
        </w:rPr>
        <w:t>51.1</w:t>
      </w:r>
      <w:r>
        <w:rPr>
          <w:rFonts w:hint="eastAsia" w:ascii="宋体" w:hAnsi="宋体" w:cs="宋体"/>
          <w:sz w:val="24"/>
          <w:szCs w:val="24"/>
          <w:highlight w:val="none"/>
          <w:u w:val="single"/>
        </w:rPr>
        <w:t>本工程禁止转包，若发现承包方私自转包和未经发包人许可私自分包，发包人有权终止合同，对已完工程不予结算，并由承包人赔偿因此给发包方造成的直接或间接的经济损失。</w:t>
      </w:r>
    </w:p>
    <w:p w14:paraId="5C207C8E">
      <w:pPr>
        <w:widowControl/>
        <w:spacing w:line="360" w:lineRule="auto"/>
        <w:ind w:firstLine="480" w:firstLineChars="200"/>
        <w:rPr>
          <w:rFonts w:ascii="宋体" w:hAnsi="宋体" w:cs="宋体"/>
          <w:sz w:val="24"/>
          <w:szCs w:val="24"/>
          <w:highlight w:val="none"/>
          <w:u w:val="thick"/>
        </w:rPr>
      </w:pPr>
      <w:r>
        <w:rPr>
          <w:rFonts w:hint="eastAsia" w:ascii="宋体" w:hAnsi="宋体" w:cs="宋体"/>
          <w:sz w:val="24"/>
          <w:szCs w:val="24"/>
          <w:highlight w:val="none"/>
        </w:rPr>
        <w:t>51.2</w:t>
      </w:r>
      <w:r>
        <w:rPr>
          <w:rFonts w:hint="eastAsia" w:ascii="宋体" w:hAnsi="宋体" w:cs="宋体"/>
          <w:sz w:val="24"/>
          <w:szCs w:val="24"/>
          <w:highlight w:val="none"/>
          <w:u w:val="single"/>
        </w:rPr>
        <w:t>施工企业须承诺按国务院及当地政府的规定按时、足额、实名方式支付农民工工资，否则发包人在工程款中代扣支付，并在工程结算时扣除。</w:t>
      </w:r>
    </w:p>
    <w:p w14:paraId="1EC83018">
      <w:pPr>
        <w:widowControl/>
        <w:spacing w:line="360" w:lineRule="auto"/>
        <w:ind w:firstLine="480" w:firstLineChars="200"/>
        <w:rPr>
          <w:rFonts w:ascii="宋体" w:hAnsi="宋体" w:cs="宋体"/>
          <w:sz w:val="24"/>
          <w:szCs w:val="24"/>
          <w:highlight w:val="none"/>
          <w:u w:val="thick"/>
        </w:rPr>
      </w:pPr>
      <w:r>
        <w:rPr>
          <w:rFonts w:hint="eastAsia" w:ascii="宋体" w:hAnsi="宋体" w:cs="宋体"/>
          <w:sz w:val="24"/>
          <w:szCs w:val="24"/>
          <w:highlight w:val="none"/>
        </w:rPr>
        <w:t>51.3</w:t>
      </w:r>
      <w:r>
        <w:rPr>
          <w:rFonts w:hint="eastAsia" w:ascii="宋体" w:hAnsi="宋体" w:cs="宋体"/>
          <w:sz w:val="24"/>
          <w:szCs w:val="24"/>
          <w:highlight w:val="none"/>
          <w:u w:val="single"/>
        </w:rPr>
        <w:t>本工程竣工后，应免费将建筑物周围和施工单位生活区周围内施工现场清除干净；无建筑材料、无建筑设备、无建筑垃圾、和施工垃圾，做到场地整洁。</w:t>
      </w:r>
    </w:p>
    <w:p w14:paraId="586A39E2">
      <w:pPr>
        <w:widowControl/>
        <w:spacing w:line="360" w:lineRule="auto"/>
        <w:ind w:firstLine="480" w:firstLineChars="200"/>
        <w:rPr>
          <w:rFonts w:ascii="宋体" w:hAnsi="宋体" w:cs="宋体"/>
          <w:sz w:val="24"/>
          <w:szCs w:val="24"/>
          <w:highlight w:val="none"/>
          <w:u w:val="single"/>
        </w:rPr>
      </w:pPr>
      <w:r>
        <w:rPr>
          <w:rFonts w:hint="eastAsia" w:ascii="宋体" w:hAnsi="宋体" w:cs="宋体"/>
          <w:sz w:val="24"/>
          <w:szCs w:val="24"/>
          <w:highlight w:val="none"/>
        </w:rPr>
        <w:t>51.4</w:t>
      </w:r>
      <w:r>
        <w:rPr>
          <w:rFonts w:hint="eastAsia" w:ascii="宋体" w:hAnsi="宋体" w:cs="宋体"/>
          <w:sz w:val="24"/>
          <w:szCs w:val="24"/>
          <w:highlight w:val="none"/>
          <w:u w:val="single"/>
        </w:rPr>
        <w:t>承包人在施工过程中应服从、遵守发包人和当地政府职能部门的管理制度。关于安全防护、文明施工措施费用的其他约定如下：</w:t>
      </w:r>
    </w:p>
    <w:p w14:paraId="0C133984">
      <w:pPr>
        <w:numPr>
          <w:ilvl w:val="0"/>
          <w:numId w:val="2"/>
        </w:numPr>
        <w:spacing w:line="360" w:lineRule="auto"/>
        <w:ind w:firstLine="480" w:firstLineChars="200"/>
        <w:rPr>
          <w:rFonts w:ascii="宋体" w:hAnsi="宋体" w:cs="宋体"/>
          <w:sz w:val="24"/>
          <w:szCs w:val="24"/>
          <w:highlight w:val="none"/>
          <w:u w:val="single"/>
        </w:rPr>
      </w:pPr>
      <w:r>
        <w:rPr>
          <w:rFonts w:hint="eastAsia" w:ascii="宋体" w:hAnsi="宋体" w:cs="宋体"/>
          <w:sz w:val="24"/>
          <w:szCs w:val="24"/>
          <w:highlight w:val="none"/>
          <w:u w:val="single"/>
        </w:rPr>
        <w:t>承包人需提供安全防护、文明施工措施费用的支付计划落实情况；</w:t>
      </w:r>
    </w:p>
    <w:p w14:paraId="536413DB">
      <w:pPr>
        <w:numPr>
          <w:ilvl w:val="0"/>
          <w:numId w:val="2"/>
        </w:numPr>
        <w:spacing w:line="360" w:lineRule="auto"/>
        <w:ind w:firstLine="480" w:firstLineChars="200"/>
        <w:rPr>
          <w:rFonts w:ascii="宋体" w:hAnsi="宋体" w:cs="宋体"/>
          <w:sz w:val="24"/>
          <w:szCs w:val="24"/>
          <w:highlight w:val="none"/>
          <w:u w:val="single"/>
        </w:rPr>
      </w:pPr>
      <w:r>
        <w:rPr>
          <w:rFonts w:hint="eastAsia" w:ascii="宋体" w:hAnsi="宋体" w:cs="宋体"/>
          <w:sz w:val="24"/>
          <w:szCs w:val="24"/>
          <w:highlight w:val="none"/>
          <w:u w:val="single"/>
        </w:rPr>
        <w:t>工程师对承包人落实安全防护、文明施工措施分情况进行现场监理，若发现承包人为落实安全防护、文明施工措施的，有权责令其立即整改；</w:t>
      </w:r>
    </w:p>
    <w:p w14:paraId="49F93E2B">
      <w:pPr>
        <w:widowControl/>
        <w:spacing w:line="360" w:lineRule="auto"/>
        <w:ind w:firstLine="480" w:firstLineChars="200"/>
        <w:rPr>
          <w:rFonts w:hint="eastAsia" w:ascii="宋体" w:hAnsi="宋体" w:cs="宋体"/>
          <w:sz w:val="24"/>
          <w:szCs w:val="24"/>
          <w:highlight w:val="none"/>
          <w:u w:val="single"/>
        </w:rPr>
      </w:pPr>
      <w:r>
        <w:rPr>
          <w:rFonts w:hint="eastAsia" w:ascii="宋体" w:hAnsi="宋体" w:cs="宋体"/>
          <w:sz w:val="24"/>
          <w:szCs w:val="24"/>
          <w:highlight w:val="none"/>
        </w:rPr>
        <w:t>3、</w:t>
      </w:r>
      <w:r>
        <w:rPr>
          <w:rFonts w:hint="eastAsia" w:ascii="宋体" w:hAnsi="宋体" w:cs="宋体"/>
          <w:sz w:val="24"/>
          <w:szCs w:val="24"/>
          <w:highlight w:val="none"/>
          <w:u w:val="single"/>
        </w:rPr>
        <w:t>发包人和承包人应在财务管理中单独列支安全防护、文明施工措施项目费用的支付情况。</w:t>
      </w:r>
    </w:p>
    <w:p w14:paraId="2D82DAA3">
      <w:pPr>
        <w:widowControl/>
        <w:spacing w:line="360" w:lineRule="auto"/>
        <w:ind w:firstLine="480" w:firstLineChars="200"/>
        <w:rPr>
          <w:rFonts w:hAnsi="宋体"/>
          <w:szCs w:val="24"/>
          <w:highlight w:val="none"/>
        </w:rPr>
      </w:pPr>
      <w:r>
        <w:rPr>
          <w:rFonts w:hint="eastAsia" w:ascii="宋体" w:hAnsi="宋体" w:cs="宋体"/>
          <w:sz w:val="24"/>
          <w:szCs w:val="24"/>
          <w:highlight w:val="none"/>
        </w:rPr>
        <w:t>51.5</w:t>
      </w:r>
      <w:r>
        <w:rPr>
          <w:rFonts w:hint="eastAsia" w:ascii="宋体" w:hAnsi="宋体" w:cs="宋体"/>
          <w:sz w:val="24"/>
          <w:szCs w:val="24"/>
          <w:highlight w:val="none"/>
          <w:u w:val="single"/>
        </w:rPr>
        <w:t>以上未尽事宜，双方协商解决或另行签署补充协议并到建设行政主管部门备案。</w:t>
      </w:r>
    </w:p>
    <w:p w14:paraId="70F44539">
      <w:pP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br w:type="page"/>
      </w:r>
    </w:p>
    <w:bookmarkEnd w:id="84"/>
    <w:bookmarkEnd w:id="85"/>
    <w:bookmarkEnd w:id="86"/>
    <w:bookmarkEnd w:id="87"/>
    <w:bookmarkEnd w:id="88"/>
    <w:bookmarkEnd w:id="89"/>
    <w:bookmarkEnd w:id="90"/>
    <w:bookmarkEnd w:id="91"/>
    <w:p w14:paraId="7B7E1875">
      <w:pPr>
        <w:pStyle w:val="3"/>
        <w:spacing w:line="360" w:lineRule="auto"/>
        <w:jc w:val="center"/>
        <w:rPr>
          <w:rFonts w:asciiTheme="minorEastAsia" w:hAnsiTheme="minorEastAsia" w:eastAsiaTheme="minorEastAsia" w:cstheme="minorEastAsia"/>
          <w:sz w:val="36"/>
          <w:szCs w:val="36"/>
          <w:highlight w:val="none"/>
        </w:rPr>
      </w:pPr>
      <w:bookmarkStart w:id="95" w:name="_Toc421778381"/>
      <w:bookmarkStart w:id="96" w:name="_Toc410"/>
      <w:bookmarkStart w:id="97" w:name="_Toc8858"/>
      <w:bookmarkStart w:id="98" w:name="_Toc344572156"/>
      <w:r>
        <w:rPr>
          <w:rFonts w:hint="eastAsia" w:asciiTheme="minorEastAsia" w:hAnsiTheme="minorEastAsia" w:eastAsiaTheme="minorEastAsia" w:cstheme="minorEastAsia"/>
          <w:sz w:val="36"/>
          <w:szCs w:val="36"/>
          <w:highlight w:val="none"/>
        </w:rPr>
        <w:t>第五章  项目概况及技术要求</w:t>
      </w:r>
      <w:bookmarkEnd w:id="95"/>
      <w:bookmarkEnd w:id="96"/>
      <w:bookmarkEnd w:id="97"/>
      <w:bookmarkStart w:id="99" w:name="_Toc8126"/>
    </w:p>
    <w:p w14:paraId="49DB9E1D">
      <w:pPr>
        <w:keepNext w:val="0"/>
        <w:keepLines w:val="0"/>
        <w:widowControl/>
        <w:suppressLineNumbers w:val="0"/>
        <w:jc w:val="left"/>
        <w:outlineLvl w:val="1"/>
        <w:rPr>
          <w:rFonts w:hint="eastAsia" w:ascii="仿宋" w:hAnsi="仿宋" w:eastAsia="仿宋" w:cs="仿宋"/>
          <w:b/>
          <w:bCs/>
          <w:color w:val="000000"/>
          <w:kern w:val="0"/>
          <w:sz w:val="28"/>
          <w:szCs w:val="28"/>
          <w:lang w:val="en-US" w:eastAsia="zh-CN" w:bidi="ar"/>
        </w:rPr>
      </w:pPr>
      <w:bookmarkStart w:id="100" w:name="bookmark3"/>
      <w:bookmarkEnd w:id="100"/>
      <w:bookmarkStart w:id="101" w:name="bookmark5"/>
      <w:bookmarkEnd w:id="101"/>
      <w:bookmarkStart w:id="102" w:name="bookmark7"/>
      <w:bookmarkEnd w:id="102"/>
      <w:bookmarkStart w:id="103" w:name="bookmark1"/>
      <w:bookmarkEnd w:id="103"/>
      <w:bookmarkStart w:id="104" w:name="bookmark2"/>
      <w:bookmarkEnd w:id="104"/>
      <w:bookmarkStart w:id="105" w:name="bookmark20"/>
      <w:bookmarkEnd w:id="105"/>
      <w:bookmarkStart w:id="106" w:name="bookmark21"/>
      <w:bookmarkEnd w:id="106"/>
      <w:r>
        <w:rPr>
          <w:rFonts w:hint="eastAsia" w:ascii="仿宋" w:hAnsi="仿宋" w:eastAsia="仿宋" w:cs="仿宋"/>
          <w:b/>
          <w:bCs/>
          <w:color w:val="000000"/>
          <w:kern w:val="0"/>
          <w:sz w:val="28"/>
          <w:szCs w:val="28"/>
          <w:lang w:val="en-US" w:eastAsia="zh-CN" w:bidi="ar"/>
        </w:rPr>
        <w:t>一、项目概况</w:t>
      </w:r>
    </w:p>
    <w:p w14:paraId="36BCC195">
      <w:pPr>
        <w:keepNext w:val="0"/>
        <w:keepLines w:val="0"/>
        <w:pageBreakBefore w:val="0"/>
        <w:widowControl/>
        <w:suppressLineNumbers w:val="0"/>
        <w:kinsoku/>
        <w:wordWrap/>
        <w:overflowPunct/>
        <w:topLinePunct w:val="0"/>
        <w:autoSpaceDE/>
        <w:autoSpaceDN/>
        <w:bidi w:val="0"/>
        <w:adjustRightInd/>
        <w:snapToGrid/>
        <w:spacing w:line="360" w:lineRule="auto"/>
        <w:ind w:firstLine="562" w:firstLineChars="200"/>
        <w:jc w:val="left"/>
        <w:textAlignment w:val="auto"/>
        <w:rPr>
          <w:rFonts w:hint="eastAsia" w:ascii="仿宋" w:hAnsi="仿宋" w:eastAsia="仿宋" w:cs="仿宋"/>
          <w:b/>
          <w:bCs/>
          <w:sz w:val="28"/>
          <w:szCs w:val="28"/>
        </w:rPr>
      </w:pPr>
      <w:r>
        <w:rPr>
          <w:rFonts w:hint="eastAsia" w:ascii="仿宋" w:hAnsi="仿宋" w:eastAsia="仿宋" w:cs="仿宋"/>
          <w:b/>
          <w:bCs/>
          <w:color w:val="000000"/>
          <w:kern w:val="0"/>
          <w:sz w:val="28"/>
          <w:szCs w:val="28"/>
          <w:lang w:val="en-US" w:eastAsia="zh-CN" w:bidi="ar"/>
        </w:rPr>
        <w:t>1.1 建设地点</w:t>
      </w:r>
    </w:p>
    <w:p w14:paraId="349E1284">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镇安县云盖寺镇黑窑沟村四、五、六组，月河镇黄土岭村四组虎狼沟。 </w:t>
      </w:r>
    </w:p>
    <w:p w14:paraId="0B3886BD">
      <w:pPr>
        <w:keepNext w:val="0"/>
        <w:keepLines w:val="0"/>
        <w:pageBreakBefore w:val="0"/>
        <w:widowControl/>
        <w:suppressLineNumbers w:val="0"/>
        <w:kinsoku/>
        <w:wordWrap/>
        <w:overflowPunct/>
        <w:topLinePunct w:val="0"/>
        <w:autoSpaceDE/>
        <w:autoSpaceDN/>
        <w:bidi w:val="0"/>
        <w:adjustRightInd/>
        <w:snapToGrid/>
        <w:spacing w:line="360" w:lineRule="auto"/>
        <w:ind w:firstLine="562" w:firstLineChars="200"/>
        <w:jc w:val="left"/>
        <w:textAlignment w:val="auto"/>
        <w:rPr>
          <w:rFonts w:hint="eastAsia" w:ascii="仿宋" w:hAnsi="仿宋" w:eastAsia="仿宋" w:cs="仿宋"/>
          <w:b/>
          <w:bCs/>
          <w:sz w:val="28"/>
          <w:szCs w:val="28"/>
        </w:rPr>
      </w:pPr>
      <w:r>
        <w:rPr>
          <w:rFonts w:hint="eastAsia" w:ascii="仿宋" w:hAnsi="仿宋" w:eastAsia="仿宋" w:cs="仿宋"/>
          <w:b/>
          <w:bCs/>
          <w:color w:val="000000"/>
          <w:kern w:val="0"/>
          <w:sz w:val="28"/>
          <w:szCs w:val="28"/>
          <w:lang w:val="en-US" w:eastAsia="zh-CN" w:bidi="ar"/>
        </w:rPr>
        <w:t>1.2 项目建设主要内容及规模</w:t>
      </w:r>
    </w:p>
    <w:p w14:paraId="38EA3228">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中央财政衔接推进乡村振兴补助资金(欠发达国有林场巩固提升任务）镇安县黑窑沟国有林场林下种植主要分为两个方面。 </w:t>
      </w:r>
    </w:p>
    <w:p w14:paraId="39D7C77E">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1.林下天麻种植基地 </w:t>
      </w:r>
    </w:p>
    <w:p w14:paraId="32C32D27">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在月河镇黄土岭村四组虎狼沟建设林下天麻种植基地 750 亩，修建机械围栏 1000 米、购置生产工器具 20 套、新建生产道路 1000 米。 </w:t>
      </w:r>
    </w:p>
    <w:p w14:paraId="0082C889">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2.林下魔芋种植基地 </w:t>
      </w:r>
    </w:p>
    <w:p w14:paraId="1B534A98">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在镇安县云盖寺镇黑窑沟村四、五、六组建设林下魔芋种植基地 120 亩。修建水泥便桥 1 座、铁丝围栏 1000 米、改建生产道路 1030 米、修建蓄水池 2 座。</w:t>
      </w:r>
    </w:p>
    <w:p w14:paraId="35F765C4">
      <w:pPr>
        <w:keepNext w:val="0"/>
        <w:keepLines w:val="0"/>
        <w:pageBreakBefore w:val="0"/>
        <w:widowControl/>
        <w:suppressLineNumbers w:val="0"/>
        <w:kinsoku/>
        <w:wordWrap/>
        <w:overflowPunct/>
        <w:topLinePunct w:val="0"/>
        <w:autoSpaceDE/>
        <w:autoSpaceDN/>
        <w:bidi w:val="0"/>
        <w:adjustRightInd/>
        <w:snapToGrid/>
        <w:spacing w:line="360" w:lineRule="auto"/>
        <w:ind w:firstLine="562" w:firstLineChars="200"/>
        <w:jc w:val="left"/>
        <w:textAlignment w:val="auto"/>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1.3 标段划分</w:t>
      </w:r>
    </w:p>
    <w:p w14:paraId="76175D31">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default" w:ascii="仿宋" w:hAnsi="仿宋" w:eastAsia="仿宋" w:cs="仿宋"/>
          <w:color w:val="000000"/>
          <w:kern w:val="0"/>
          <w:sz w:val="28"/>
          <w:szCs w:val="28"/>
          <w:lang w:val="en-US" w:eastAsia="zh-CN" w:bidi="ar"/>
        </w:rPr>
      </w:pPr>
      <w:r>
        <w:rPr>
          <w:rFonts w:hint="default" w:ascii="仿宋" w:hAnsi="仿宋" w:eastAsia="仿宋" w:cs="仿宋"/>
          <w:color w:val="000000"/>
          <w:kern w:val="0"/>
          <w:sz w:val="28"/>
          <w:szCs w:val="28"/>
          <w:lang w:val="en-US" w:eastAsia="zh-CN" w:bidi="ar"/>
        </w:rPr>
        <w:t>1标段-云盖寺镇黑窑沟村作业区，面积120亩（魔芋种植1、2、3小班）</w:t>
      </w:r>
      <w:r>
        <w:rPr>
          <w:rFonts w:hint="eastAsia" w:ascii="仿宋" w:hAnsi="仿宋" w:eastAsia="仿宋" w:cs="仿宋"/>
          <w:color w:val="000000"/>
          <w:kern w:val="0"/>
          <w:sz w:val="28"/>
          <w:szCs w:val="28"/>
          <w:lang w:val="en-US" w:eastAsia="zh-CN" w:bidi="ar"/>
        </w:rPr>
        <w:t>；</w:t>
      </w:r>
    </w:p>
    <w:p w14:paraId="5825B3FF">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default" w:ascii="仿宋" w:hAnsi="仿宋" w:eastAsia="仿宋" w:cs="仿宋"/>
          <w:color w:val="000000"/>
          <w:kern w:val="0"/>
          <w:sz w:val="28"/>
          <w:szCs w:val="28"/>
          <w:lang w:val="en-US" w:eastAsia="zh-CN" w:bidi="ar"/>
        </w:rPr>
      </w:pPr>
      <w:r>
        <w:rPr>
          <w:rFonts w:hint="default" w:ascii="仿宋" w:hAnsi="仿宋" w:eastAsia="仿宋" w:cs="仿宋"/>
          <w:color w:val="000000"/>
          <w:kern w:val="0"/>
          <w:sz w:val="28"/>
          <w:szCs w:val="28"/>
          <w:lang w:val="en-US" w:eastAsia="zh-CN" w:bidi="ar"/>
        </w:rPr>
        <w:t>2标段-月河镇黄土岭作业区，面积402亩（天麻种植1、3、4、5、10、11、12、13小班）</w:t>
      </w:r>
      <w:r>
        <w:rPr>
          <w:rFonts w:hint="eastAsia" w:ascii="仿宋" w:hAnsi="仿宋" w:eastAsia="仿宋" w:cs="仿宋"/>
          <w:color w:val="000000"/>
          <w:kern w:val="0"/>
          <w:sz w:val="28"/>
          <w:szCs w:val="28"/>
          <w:lang w:val="en-US" w:eastAsia="zh-CN" w:bidi="ar"/>
        </w:rPr>
        <w:t>；</w:t>
      </w:r>
    </w:p>
    <w:p w14:paraId="00A03555">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default" w:ascii="仿宋" w:hAnsi="仿宋" w:eastAsia="仿宋" w:cs="仿宋"/>
          <w:color w:val="000000"/>
          <w:kern w:val="0"/>
          <w:sz w:val="28"/>
          <w:szCs w:val="28"/>
          <w:lang w:val="en-US" w:eastAsia="zh-CN" w:bidi="ar"/>
        </w:rPr>
      </w:pPr>
      <w:r>
        <w:rPr>
          <w:rFonts w:hint="default" w:ascii="仿宋" w:hAnsi="仿宋" w:eastAsia="仿宋" w:cs="仿宋"/>
          <w:color w:val="000000"/>
          <w:kern w:val="0"/>
          <w:sz w:val="28"/>
          <w:szCs w:val="28"/>
          <w:lang w:val="en-US" w:eastAsia="zh-CN" w:bidi="ar"/>
        </w:rPr>
        <w:t>3标段-月河镇黄土岭作业区，面积348亩（天麻种植2、6、7、8、9小班）</w:t>
      </w:r>
      <w:r>
        <w:rPr>
          <w:rFonts w:hint="eastAsia" w:ascii="仿宋" w:hAnsi="仿宋" w:eastAsia="仿宋" w:cs="仿宋"/>
          <w:color w:val="000000"/>
          <w:kern w:val="0"/>
          <w:sz w:val="28"/>
          <w:szCs w:val="28"/>
          <w:lang w:val="en-US" w:eastAsia="zh-CN" w:bidi="ar"/>
        </w:rPr>
        <w:t>。</w:t>
      </w:r>
    </w:p>
    <w:p w14:paraId="4A7880A2">
      <w:pPr>
        <w:keepNext w:val="0"/>
        <w:keepLines w:val="0"/>
        <w:widowControl/>
        <w:suppressLineNumbers w:val="0"/>
        <w:jc w:val="left"/>
        <w:outlineLvl w:val="1"/>
        <w:rPr>
          <w:rFonts w:hint="default"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二、编制依据</w:t>
      </w:r>
    </w:p>
    <w:p w14:paraId="17F3B34E">
      <w:pPr>
        <w:keepNext w:val="0"/>
        <w:keepLines w:val="0"/>
        <w:pageBreakBefore w:val="0"/>
        <w:widowControl/>
        <w:suppressLineNumbers w:val="0"/>
        <w:kinsoku/>
        <w:wordWrap/>
        <w:overflowPunct/>
        <w:topLinePunct w:val="0"/>
        <w:autoSpaceDE/>
        <w:autoSpaceDN/>
        <w:bidi w:val="0"/>
        <w:adjustRightInd/>
        <w:snapToGrid/>
        <w:spacing w:line="360" w:lineRule="auto"/>
        <w:ind w:firstLine="562" w:firstLineChars="200"/>
        <w:jc w:val="left"/>
        <w:textAlignment w:val="auto"/>
        <w:rPr>
          <w:rFonts w:hint="eastAsia" w:ascii="仿宋" w:hAnsi="仿宋" w:eastAsia="仿宋" w:cs="仿宋"/>
          <w:sz w:val="28"/>
          <w:szCs w:val="28"/>
        </w:rPr>
      </w:pPr>
      <w:r>
        <w:rPr>
          <w:rFonts w:hint="eastAsia" w:ascii="仿宋" w:hAnsi="仿宋" w:eastAsia="仿宋" w:cs="仿宋"/>
          <w:b/>
          <w:bCs/>
          <w:color w:val="000000"/>
          <w:kern w:val="0"/>
          <w:sz w:val="28"/>
          <w:szCs w:val="28"/>
          <w:lang w:val="en-US" w:eastAsia="zh-CN" w:bidi="ar"/>
        </w:rPr>
        <w:t xml:space="preserve">1.2.1 法律法规 </w:t>
      </w:r>
    </w:p>
    <w:p w14:paraId="08D552F5">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1.《中华人民共和国森林法》（2020 年 7 月 1 日实施）； </w:t>
      </w:r>
    </w:p>
    <w:p w14:paraId="37BA81A1">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2.国务院办公厅关于加快林下经济发展的意见(国办发﹝2012﹞42 号)； </w:t>
      </w:r>
    </w:p>
    <w:p w14:paraId="782B8EB8">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3.国家林业局关于贯彻落实《国务院办公厅关于加快林下经济发展的意见》的通知(林改发﹝2012﹞204 号); </w:t>
      </w:r>
    </w:p>
    <w:p w14:paraId="34F07D83">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4.陕西省林下经济示范基地管理办法; </w:t>
      </w:r>
    </w:p>
    <w:p w14:paraId="1498EF96">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5.陕西省林业厅《关于加强营造林地管理工作的通知》(陕林资发﹝2015﹞242 号); </w:t>
      </w:r>
    </w:p>
    <w:p w14:paraId="287EC05D">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6.陕西省林业局《关于做好 2024 年财政衔接推进乡村振兴补助资金(欠发达国有林场巩固提升)项目储备入库工作》的通知(陕林财发﹝2023﹞126 号); </w:t>
      </w:r>
    </w:p>
    <w:p w14:paraId="47212DD1">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7.商洛市林业局《关于提前下达 2025 年中央财政衔接推进乡村振兴补助资金(欠发达国有林场巩固提升)项目计划》的通知(商林发﹝2024﹞100 号); </w:t>
      </w:r>
    </w:p>
    <w:p w14:paraId="731D4B30">
      <w:pPr>
        <w:keepNext w:val="0"/>
        <w:keepLines w:val="0"/>
        <w:pageBreakBefore w:val="0"/>
        <w:widowControl/>
        <w:suppressLineNumbers w:val="0"/>
        <w:kinsoku/>
        <w:wordWrap/>
        <w:overflowPunct/>
        <w:topLinePunct w:val="0"/>
        <w:autoSpaceDE/>
        <w:autoSpaceDN/>
        <w:bidi w:val="0"/>
        <w:adjustRightInd/>
        <w:snapToGrid/>
        <w:spacing w:line="360" w:lineRule="auto"/>
        <w:ind w:firstLine="562" w:firstLineChars="200"/>
        <w:jc w:val="left"/>
        <w:textAlignment w:val="auto"/>
        <w:rPr>
          <w:rFonts w:hint="eastAsia" w:ascii="仿宋" w:hAnsi="仿宋" w:eastAsia="仿宋" w:cs="仿宋"/>
          <w:sz w:val="28"/>
          <w:szCs w:val="28"/>
        </w:rPr>
      </w:pPr>
      <w:r>
        <w:rPr>
          <w:rFonts w:hint="eastAsia" w:ascii="仿宋" w:hAnsi="仿宋" w:eastAsia="仿宋" w:cs="仿宋"/>
          <w:b/>
          <w:bCs/>
          <w:color w:val="000000"/>
          <w:kern w:val="0"/>
          <w:sz w:val="28"/>
          <w:szCs w:val="28"/>
          <w:lang w:val="en-US" w:eastAsia="zh-CN" w:bidi="ar"/>
        </w:rPr>
        <w:t xml:space="preserve">1.2.2 相关技术文件 </w:t>
      </w:r>
    </w:p>
    <w:p w14:paraId="468A3F3F">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1.《天麻林下生态种植技术规程》（T/SZBP002—2024）； </w:t>
      </w:r>
    </w:p>
    <w:p w14:paraId="42D44443">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2.《魔芋林下种植技术规程 》（DB5104/T93—2023）； </w:t>
      </w:r>
    </w:p>
    <w:p w14:paraId="495279D6">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3. 镇安县林下经济总体发展规划； </w:t>
      </w:r>
    </w:p>
    <w:p w14:paraId="483A0A48">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4. 陕西省《工程造价管理信息》（2013）。</w:t>
      </w:r>
    </w:p>
    <w:p w14:paraId="2A9AF592">
      <w:pPr>
        <w:keepNext w:val="0"/>
        <w:keepLines w:val="0"/>
        <w:widowControl/>
        <w:suppressLineNumbers w:val="0"/>
        <w:jc w:val="left"/>
        <w:outlineLvl w:val="1"/>
        <w:rPr>
          <w:rFonts w:hint="default"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三、项目区概况</w:t>
      </w:r>
    </w:p>
    <w:p w14:paraId="2C8A6874">
      <w:pPr>
        <w:keepNext w:val="0"/>
        <w:keepLines w:val="0"/>
        <w:pageBreakBefore w:val="0"/>
        <w:widowControl/>
        <w:suppressLineNumbers w:val="0"/>
        <w:kinsoku/>
        <w:wordWrap/>
        <w:overflowPunct/>
        <w:topLinePunct w:val="0"/>
        <w:autoSpaceDE/>
        <w:autoSpaceDN/>
        <w:bidi w:val="0"/>
        <w:adjustRightInd/>
        <w:snapToGrid/>
        <w:spacing w:line="360" w:lineRule="auto"/>
        <w:ind w:firstLine="562" w:firstLineChars="200"/>
        <w:jc w:val="left"/>
        <w:textAlignment w:val="auto"/>
        <w:rPr>
          <w:rFonts w:hint="eastAsia" w:ascii="仿宋" w:hAnsi="仿宋" w:eastAsia="仿宋" w:cs="仿宋"/>
          <w:sz w:val="28"/>
          <w:szCs w:val="28"/>
        </w:rPr>
      </w:pPr>
      <w:r>
        <w:rPr>
          <w:rFonts w:hint="eastAsia" w:ascii="仿宋" w:hAnsi="仿宋" w:eastAsia="仿宋" w:cs="仿宋"/>
          <w:b/>
          <w:bCs/>
          <w:color w:val="000000"/>
          <w:kern w:val="0"/>
          <w:sz w:val="28"/>
          <w:szCs w:val="28"/>
          <w:lang w:val="en-US" w:eastAsia="zh-CN" w:bidi="ar"/>
        </w:rPr>
        <w:t xml:space="preserve">3.1 自然地理概况 </w:t>
      </w:r>
    </w:p>
    <w:p w14:paraId="52FEDDA4">
      <w:pPr>
        <w:keepNext w:val="0"/>
        <w:keepLines w:val="0"/>
        <w:pageBreakBefore w:val="0"/>
        <w:widowControl/>
        <w:suppressLineNumbers w:val="0"/>
        <w:kinsoku/>
        <w:wordWrap/>
        <w:overflowPunct/>
        <w:topLinePunct w:val="0"/>
        <w:autoSpaceDE/>
        <w:autoSpaceDN/>
        <w:bidi w:val="0"/>
        <w:adjustRightInd/>
        <w:snapToGrid/>
        <w:spacing w:line="360" w:lineRule="auto"/>
        <w:ind w:firstLine="562" w:firstLineChars="200"/>
        <w:jc w:val="left"/>
        <w:textAlignment w:val="auto"/>
        <w:rPr>
          <w:rFonts w:hint="eastAsia" w:ascii="仿宋" w:hAnsi="仿宋" w:eastAsia="仿宋" w:cs="仿宋"/>
          <w:sz w:val="28"/>
          <w:szCs w:val="28"/>
        </w:rPr>
      </w:pPr>
      <w:r>
        <w:rPr>
          <w:rFonts w:hint="eastAsia" w:ascii="仿宋" w:hAnsi="仿宋" w:eastAsia="仿宋" w:cs="仿宋"/>
          <w:b/>
          <w:bCs/>
          <w:color w:val="000000"/>
          <w:kern w:val="0"/>
          <w:sz w:val="28"/>
          <w:szCs w:val="28"/>
          <w:lang w:val="en-US" w:eastAsia="zh-CN" w:bidi="ar"/>
        </w:rPr>
        <w:t xml:space="preserve">3.1.1 地理位置 </w:t>
      </w:r>
    </w:p>
    <w:p w14:paraId="67A25CB3">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镇安县地处秦岭南麓中段，位于北纬 33°8'34″至 33°44′57″，东经108°34′35″至 109°36′51″之间，东与山阳县及湖北省郧西县交界，西与宁陕县毗邻，南与安康市汉滨区、旬阳县接壤，北与柞水县相连。东西长 170 千米，南北宽 75 千米，总面积 3487.33 平方千米。 </w:t>
      </w:r>
    </w:p>
    <w:p w14:paraId="3732314B">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项目区位于镇安县月河镇黄土岭村、云盖寺镇黑窑沟村。 </w:t>
      </w:r>
    </w:p>
    <w:p w14:paraId="7FF78795">
      <w:pPr>
        <w:keepNext w:val="0"/>
        <w:keepLines w:val="0"/>
        <w:pageBreakBefore w:val="0"/>
        <w:widowControl/>
        <w:suppressLineNumbers w:val="0"/>
        <w:kinsoku/>
        <w:wordWrap/>
        <w:overflowPunct/>
        <w:topLinePunct w:val="0"/>
        <w:autoSpaceDE/>
        <w:autoSpaceDN/>
        <w:bidi w:val="0"/>
        <w:adjustRightInd/>
        <w:snapToGrid/>
        <w:spacing w:line="360" w:lineRule="auto"/>
        <w:ind w:firstLine="562" w:firstLineChars="200"/>
        <w:jc w:val="left"/>
        <w:textAlignment w:val="auto"/>
        <w:rPr>
          <w:rFonts w:hint="eastAsia" w:ascii="仿宋" w:hAnsi="仿宋" w:eastAsia="仿宋" w:cs="仿宋"/>
          <w:sz w:val="28"/>
          <w:szCs w:val="28"/>
        </w:rPr>
      </w:pPr>
      <w:r>
        <w:rPr>
          <w:rFonts w:hint="eastAsia" w:ascii="仿宋" w:hAnsi="仿宋" w:eastAsia="仿宋" w:cs="仿宋"/>
          <w:b/>
          <w:bCs/>
          <w:color w:val="000000"/>
          <w:kern w:val="0"/>
          <w:sz w:val="28"/>
          <w:szCs w:val="28"/>
          <w:lang w:val="en-US" w:eastAsia="zh-CN" w:bidi="ar"/>
        </w:rPr>
        <w:t xml:space="preserve">3.1.2 地质地貌 </w:t>
      </w:r>
    </w:p>
    <w:p w14:paraId="5A865481">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镇安县地势自西北向东南倾斜，山势丛横交错，侵蚀河流众多，形成山、川、坪、滩纵横一体的掌形叶脉状地貌。镇安县地形复杂，最突出的特征是山地面积广大，山大沟深，山河相间。境内最高点为木王镇鹰嘴石，海拔 2601.6 米，最低点是青铜关镇旬河村河谷，海拔 344 米，高低落差 2257.6 米。 </w:t>
      </w:r>
    </w:p>
    <w:p w14:paraId="4A7951EA">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项目区位于镇安县月河镇黄土岭村属于山地地带，海拔 1050～1280 米；云盖寺镇黑窑沟村海拔 1030～1200 米。 </w:t>
      </w:r>
    </w:p>
    <w:p w14:paraId="66203A7B">
      <w:pPr>
        <w:keepNext w:val="0"/>
        <w:keepLines w:val="0"/>
        <w:pageBreakBefore w:val="0"/>
        <w:widowControl/>
        <w:suppressLineNumbers w:val="0"/>
        <w:kinsoku/>
        <w:wordWrap/>
        <w:overflowPunct/>
        <w:topLinePunct w:val="0"/>
        <w:autoSpaceDE/>
        <w:autoSpaceDN/>
        <w:bidi w:val="0"/>
        <w:adjustRightInd/>
        <w:snapToGrid/>
        <w:spacing w:line="360" w:lineRule="auto"/>
        <w:ind w:firstLine="562" w:firstLineChars="200"/>
        <w:jc w:val="left"/>
        <w:textAlignment w:val="auto"/>
        <w:rPr>
          <w:rFonts w:hint="eastAsia" w:ascii="仿宋" w:hAnsi="仿宋" w:eastAsia="仿宋" w:cs="仿宋"/>
          <w:sz w:val="28"/>
          <w:szCs w:val="28"/>
        </w:rPr>
      </w:pPr>
      <w:r>
        <w:rPr>
          <w:rFonts w:hint="eastAsia" w:ascii="仿宋" w:hAnsi="仿宋" w:eastAsia="仿宋" w:cs="仿宋"/>
          <w:b/>
          <w:bCs/>
          <w:color w:val="000000"/>
          <w:kern w:val="0"/>
          <w:sz w:val="28"/>
          <w:szCs w:val="28"/>
          <w:lang w:val="en-US" w:eastAsia="zh-CN" w:bidi="ar"/>
        </w:rPr>
        <w:t xml:space="preserve">3.1.3 气候 </w:t>
      </w:r>
    </w:p>
    <w:p w14:paraId="5DA4B265">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镇安县属亚热带半湿润气候。年均日照 1947.4 小时，年平均风速 1.4 米/秒，年均气温 12.2℃，无霜期 206 天，年降水量 800～500 毫米，年平均降雨量 804.8 毫米。</w:t>
      </w:r>
    </w:p>
    <w:p w14:paraId="0AD2C15E">
      <w:pPr>
        <w:keepNext w:val="0"/>
        <w:keepLines w:val="0"/>
        <w:pageBreakBefore w:val="0"/>
        <w:widowControl/>
        <w:suppressLineNumbers w:val="0"/>
        <w:kinsoku/>
        <w:wordWrap/>
        <w:overflowPunct/>
        <w:topLinePunct w:val="0"/>
        <w:autoSpaceDE/>
        <w:autoSpaceDN/>
        <w:bidi w:val="0"/>
        <w:adjustRightInd/>
        <w:snapToGrid/>
        <w:spacing w:line="360" w:lineRule="auto"/>
        <w:ind w:firstLine="562" w:firstLineChars="200"/>
        <w:jc w:val="left"/>
        <w:textAlignment w:val="auto"/>
        <w:rPr>
          <w:rFonts w:hint="eastAsia" w:ascii="仿宋" w:hAnsi="仿宋" w:eastAsia="仿宋" w:cs="仿宋"/>
          <w:sz w:val="28"/>
          <w:szCs w:val="28"/>
        </w:rPr>
      </w:pPr>
      <w:r>
        <w:rPr>
          <w:rFonts w:hint="eastAsia" w:ascii="仿宋" w:hAnsi="仿宋" w:eastAsia="仿宋" w:cs="仿宋"/>
          <w:b/>
          <w:bCs/>
          <w:color w:val="000000"/>
          <w:kern w:val="0"/>
          <w:sz w:val="28"/>
          <w:szCs w:val="28"/>
          <w:lang w:val="en-US" w:eastAsia="zh-CN" w:bidi="ar"/>
        </w:rPr>
        <w:t xml:space="preserve">3.1.4 水文 </w:t>
      </w:r>
    </w:p>
    <w:p w14:paraId="4D651878">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镇安县多年地表水平均径流量 18.9 亿立方米，多年平均地下水天然资源量为 3.06 亿立方米。 </w:t>
      </w:r>
    </w:p>
    <w:p w14:paraId="59BB0A0A">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镇安县境内有大小河沟 5300 余条，河流总长 1892 千米，河网密度0.54 千米/平方千米，分为旬河流域、乾佑河流域、达仁河流域、栗扎河流域、唐家河流域、关坪河流域及腰庄河流域七个流域，均系长江流域汉江水系。 </w:t>
      </w:r>
    </w:p>
    <w:p w14:paraId="4A259F87">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镇安县月河镇镇黄土岭村虎狼沟常年溪水不断，云盖寺镇黑窑沟村位于镇安河分支上游，河水水量较大。项目区距离水源近，生产作业能够满足。 </w:t>
      </w:r>
    </w:p>
    <w:p w14:paraId="1EA55F7D">
      <w:pPr>
        <w:keepNext w:val="0"/>
        <w:keepLines w:val="0"/>
        <w:pageBreakBefore w:val="0"/>
        <w:widowControl/>
        <w:suppressLineNumbers w:val="0"/>
        <w:kinsoku/>
        <w:wordWrap/>
        <w:overflowPunct/>
        <w:topLinePunct w:val="0"/>
        <w:autoSpaceDE/>
        <w:autoSpaceDN/>
        <w:bidi w:val="0"/>
        <w:adjustRightInd/>
        <w:snapToGrid/>
        <w:spacing w:line="360" w:lineRule="auto"/>
        <w:ind w:firstLine="562" w:firstLineChars="200"/>
        <w:jc w:val="left"/>
        <w:textAlignment w:val="auto"/>
        <w:rPr>
          <w:rFonts w:hint="eastAsia" w:ascii="仿宋" w:hAnsi="仿宋" w:eastAsia="仿宋" w:cs="仿宋"/>
          <w:sz w:val="28"/>
          <w:szCs w:val="28"/>
        </w:rPr>
      </w:pPr>
      <w:r>
        <w:rPr>
          <w:rFonts w:hint="eastAsia" w:ascii="仿宋" w:hAnsi="仿宋" w:eastAsia="仿宋" w:cs="仿宋"/>
          <w:b/>
          <w:bCs/>
          <w:color w:val="000000"/>
          <w:kern w:val="0"/>
          <w:sz w:val="28"/>
          <w:szCs w:val="28"/>
          <w:lang w:val="en-US" w:eastAsia="zh-CN" w:bidi="ar"/>
        </w:rPr>
        <w:t xml:space="preserve">3.1.5 野生植物资源 </w:t>
      </w:r>
    </w:p>
    <w:p w14:paraId="0CF496F7">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镇安县境内种子植物达 1300 多种，主要树种 188 种。其中银杏、樟树、木兰、桂花等为名贵树种；红豆杉、银杏、小麦树、杜仲、连香树、秦岭冷杉、山柏树、香果树、狭叶瓶尔小草等为国家级保护植物；还有天麻、二花、五味子、当归等野生中药材达 480 余种。 </w:t>
      </w:r>
    </w:p>
    <w:p w14:paraId="6D7EA7F6">
      <w:pPr>
        <w:keepNext w:val="0"/>
        <w:keepLines w:val="0"/>
        <w:pageBreakBefore w:val="0"/>
        <w:widowControl/>
        <w:suppressLineNumbers w:val="0"/>
        <w:kinsoku/>
        <w:wordWrap/>
        <w:overflowPunct/>
        <w:topLinePunct w:val="0"/>
        <w:autoSpaceDE/>
        <w:autoSpaceDN/>
        <w:bidi w:val="0"/>
        <w:adjustRightInd/>
        <w:snapToGrid/>
        <w:spacing w:line="360" w:lineRule="auto"/>
        <w:ind w:firstLine="562" w:firstLineChars="200"/>
        <w:jc w:val="left"/>
        <w:textAlignment w:val="auto"/>
        <w:rPr>
          <w:rFonts w:hint="eastAsia" w:ascii="仿宋" w:hAnsi="仿宋" w:eastAsia="仿宋" w:cs="仿宋"/>
          <w:sz w:val="28"/>
          <w:szCs w:val="28"/>
        </w:rPr>
      </w:pPr>
      <w:r>
        <w:rPr>
          <w:rFonts w:hint="eastAsia" w:ascii="仿宋" w:hAnsi="仿宋" w:eastAsia="仿宋" w:cs="仿宋"/>
          <w:b/>
          <w:bCs/>
          <w:color w:val="000000"/>
          <w:kern w:val="0"/>
          <w:sz w:val="28"/>
          <w:szCs w:val="28"/>
          <w:lang w:val="en-US" w:eastAsia="zh-CN" w:bidi="ar"/>
        </w:rPr>
        <w:t xml:space="preserve">3.1.6 野生动物资源 </w:t>
      </w:r>
    </w:p>
    <w:p w14:paraId="6CFC82E2">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镇安县境内野生动物有 300 余种，其中属国家级和省级保护的珍稀野生动物 27 种：羚牛、青羊、苏门羚、林麓、金钱豹、云豹、黑熊、大灵猫、毛冠鹿、宏羊、大鲵、镍鸡、金猫、锦鸡、红腰角、红角号鸟、老鹰、雀鹰、灰鹤等。 </w:t>
      </w:r>
    </w:p>
    <w:p w14:paraId="54CB8471">
      <w:pPr>
        <w:keepNext w:val="0"/>
        <w:keepLines w:val="0"/>
        <w:pageBreakBefore w:val="0"/>
        <w:widowControl/>
        <w:suppressLineNumbers w:val="0"/>
        <w:kinsoku/>
        <w:wordWrap/>
        <w:overflowPunct/>
        <w:topLinePunct w:val="0"/>
        <w:autoSpaceDE/>
        <w:autoSpaceDN/>
        <w:bidi w:val="0"/>
        <w:adjustRightInd/>
        <w:snapToGrid/>
        <w:spacing w:line="360" w:lineRule="auto"/>
        <w:ind w:firstLine="562" w:firstLineChars="200"/>
        <w:jc w:val="left"/>
        <w:textAlignment w:val="auto"/>
        <w:rPr>
          <w:rFonts w:hint="eastAsia" w:ascii="仿宋" w:hAnsi="仿宋" w:eastAsia="仿宋" w:cs="仿宋"/>
          <w:sz w:val="28"/>
          <w:szCs w:val="28"/>
        </w:rPr>
      </w:pPr>
      <w:r>
        <w:rPr>
          <w:rFonts w:hint="eastAsia" w:ascii="仿宋" w:hAnsi="仿宋" w:eastAsia="仿宋" w:cs="仿宋"/>
          <w:b/>
          <w:bCs/>
          <w:color w:val="000000"/>
          <w:kern w:val="0"/>
          <w:sz w:val="28"/>
          <w:szCs w:val="28"/>
          <w:lang w:val="en-US" w:eastAsia="zh-CN" w:bidi="ar"/>
        </w:rPr>
        <w:t xml:space="preserve">3.2 社会经济状况 </w:t>
      </w:r>
    </w:p>
    <w:p w14:paraId="0AB1576F">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全县辖 14 个镇 1 个街道办事处，147 个村，7 个社区，999 个村民小组，58 个居民小组。2021 年末，全县共有户籍户数 101237 户，户籍人口 295745 人，其中男性 158896 人、女性 136849 人。根据 1‰人口变动抽样调查结果显示，2021 年末全县常住人口 25.2 万人，出生率 7.23‰，死亡7.02‰，城镇化率 49.43%。 </w:t>
      </w:r>
    </w:p>
    <w:p w14:paraId="57AEA9BB">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项目所在地乡村劳动力较多，便于项目施工作业区。</w:t>
      </w:r>
    </w:p>
    <w:p w14:paraId="02E37C42">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区内县镇道路通往 2 个镇办，镇办道路通往区内部分行政村，早期林场运输木材的道路还伸向了林区深处。农村电网已通达区内的各个村。电信通讯光缆分别通往所涉及的 2 个乡镇，为各项工作的开展创造了必要的基础设施条件。</w:t>
      </w:r>
    </w:p>
    <w:p w14:paraId="76555472">
      <w:pPr>
        <w:keepNext w:val="0"/>
        <w:keepLines w:val="0"/>
        <w:widowControl/>
        <w:suppressLineNumbers w:val="0"/>
        <w:jc w:val="left"/>
        <w:outlineLvl w:val="1"/>
        <w:rPr>
          <w:rFonts w:hint="default"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四、项目实施方案及内容</w:t>
      </w:r>
    </w:p>
    <w:p w14:paraId="64572A33">
      <w:pPr>
        <w:keepNext w:val="0"/>
        <w:keepLines w:val="0"/>
        <w:pageBreakBefore w:val="0"/>
        <w:widowControl/>
        <w:suppressLineNumbers w:val="0"/>
        <w:kinsoku/>
        <w:wordWrap/>
        <w:overflowPunct/>
        <w:topLinePunct w:val="0"/>
        <w:autoSpaceDE/>
        <w:autoSpaceDN/>
        <w:bidi w:val="0"/>
        <w:adjustRightInd/>
        <w:snapToGrid/>
        <w:spacing w:line="360" w:lineRule="auto"/>
        <w:ind w:firstLine="562" w:firstLineChars="200"/>
        <w:jc w:val="left"/>
        <w:textAlignment w:val="auto"/>
        <w:rPr>
          <w:rFonts w:hint="eastAsia" w:ascii="仿宋" w:hAnsi="仿宋" w:eastAsia="仿宋" w:cs="仿宋"/>
          <w:sz w:val="28"/>
          <w:szCs w:val="28"/>
        </w:rPr>
      </w:pPr>
      <w:r>
        <w:rPr>
          <w:rFonts w:hint="eastAsia" w:ascii="仿宋" w:hAnsi="仿宋" w:eastAsia="仿宋" w:cs="仿宋"/>
          <w:b/>
          <w:bCs/>
          <w:color w:val="000000"/>
          <w:kern w:val="0"/>
          <w:sz w:val="28"/>
          <w:szCs w:val="28"/>
          <w:lang w:val="en-US" w:eastAsia="zh-CN" w:bidi="ar"/>
        </w:rPr>
        <w:t xml:space="preserve">4.1 项目建设指导思想 </w:t>
      </w:r>
    </w:p>
    <w:p w14:paraId="4C0FC808">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以党的二十大提出的实施创新驱动发展战略的重大决策为指导，推进美丽中国建设，坚持山水林田湖草沙一体化保护和系统治理，统筹产业结构调整、污染治理、生态保护、应对气候变化，系统推进降碳、减污、扩绿、增长，推进生态优先、节约集约、绿色低碳发展。林下经济是低碳、绿色、生态、立体复合型可持续经营循环经济，发展林下经济符合绿色发展理念，有利于在保护生态环境的前提下，实现生态资源的合理利用和经济价值的提升，促进人与自然和谐共生。林下经济作为乡村特色产业的重要组成部分，对于促进农民增收、推动乡村产业兴旺具有重要意义，是落实全面推进乡村振兴战略的重要举措，促进镇安县林业工作可持续发展，建设“美丽陕西”。 </w:t>
      </w:r>
    </w:p>
    <w:p w14:paraId="3030586A">
      <w:pPr>
        <w:keepNext w:val="0"/>
        <w:keepLines w:val="0"/>
        <w:pageBreakBefore w:val="0"/>
        <w:widowControl/>
        <w:suppressLineNumbers w:val="0"/>
        <w:kinsoku/>
        <w:wordWrap/>
        <w:overflowPunct/>
        <w:topLinePunct w:val="0"/>
        <w:autoSpaceDE/>
        <w:autoSpaceDN/>
        <w:bidi w:val="0"/>
        <w:adjustRightInd/>
        <w:snapToGrid/>
        <w:spacing w:line="360" w:lineRule="auto"/>
        <w:ind w:firstLine="562" w:firstLineChars="200"/>
        <w:jc w:val="left"/>
        <w:textAlignment w:val="auto"/>
        <w:rPr>
          <w:rFonts w:hint="eastAsia" w:ascii="仿宋" w:hAnsi="仿宋" w:eastAsia="仿宋" w:cs="仿宋"/>
          <w:sz w:val="28"/>
          <w:szCs w:val="28"/>
        </w:rPr>
      </w:pPr>
      <w:r>
        <w:rPr>
          <w:rFonts w:hint="eastAsia" w:ascii="仿宋" w:hAnsi="仿宋" w:eastAsia="仿宋" w:cs="仿宋"/>
          <w:b/>
          <w:bCs/>
          <w:color w:val="000000"/>
          <w:kern w:val="0"/>
          <w:sz w:val="28"/>
          <w:szCs w:val="28"/>
          <w:lang w:val="en-US" w:eastAsia="zh-CN" w:bidi="ar"/>
        </w:rPr>
        <w:t xml:space="preserve">4.2 项目建设原则 </w:t>
      </w:r>
    </w:p>
    <w:p w14:paraId="5C01814D">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1、坚持科学规划，合理布局，分步实施的原则； </w:t>
      </w:r>
    </w:p>
    <w:p w14:paraId="47CE149A">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2、坚持高标准建设，规范化管理，科学经营的原则； </w:t>
      </w:r>
    </w:p>
    <w:p w14:paraId="56AA14E6">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3、坚持保护优先，合理利用的原则，走可持续发展原则。 </w:t>
      </w:r>
    </w:p>
    <w:p w14:paraId="3318D9E7">
      <w:pPr>
        <w:keepNext w:val="0"/>
        <w:keepLines w:val="0"/>
        <w:pageBreakBefore w:val="0"/>
        <w:widowControl/>
        <w:suppressLineNumbers w:val="0"/>
        <w:kinsoku/>
        <w:wordWrap/>
        <w:overflowPunct/>
        <w:topLinePunct w:val="0"/>
        <w:autoSpaceDE/>
        <w:autoSpaceDN/>
        <w:bidi w:val="0"/>
        <w:adjustRightInd/>
        <w:snapToGrid/>
        <w:spacing w:line="360" w:lineRule="auto"/>
        <w:ind w:firstLine="562" w:firstLineChars="200"/>
        <w:jc w:val="left"/>
        <w:textAlignment w:val="auto"/>
        <w:rPr>
          <w:rFonts w:hint="eastAsia" w:ascii="仿宋" w:hAnsi="仿宋" w:eastAsia="仿宋" w:cs="仿宋"/>
          <w:sz w:val="28"/>
          <w:szCs w:val="28"/>
        </w:rPr>
      </w:pPr>
      <w:r>
        <w:rPr>
          <w:rFonts w:hint="eastAsia" w:ascii="仿宋" w:hAnsi="仿宋" w:eastAsia="仿宋" w:cs="仿宋"/>
          <w:b/>
          <w:bCs/>
          <w:color w:val="000000"/>
          <w:kern w:val="0"/>
          <w:sz w:val="28"/>
          <w:szCs w:val="28"/>
          <w:lang w:val="en-US" w:eastAsia="zh-CN" w:bidi="ar"/>
        </w:rPr>
        <w:t xml:space="preserve">4.3 项目选址方案 </w:t>
      </w:r>
    </w:p>
    <w:p w14:paraId="55541823">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在月河镇黄土岭村四组虎狼沟建设林下天麻种植基地 750 亩、机械围栏 1000 米、购置生产工器具 20 套、新建生产道路 1000 米；在镇安县云盖寺镇黑窑沟村四、五、六组建设林下魔芋种植基地 120 亩；在云盖寺黑窑沟村周沟修建水泥便桥 1 座、改建生产道路 1030 米、修建蓄水池 2 座、铁丝围栏 1000 米。 </w:t>
      </w:r>
    </w:p>
    <w:p w14:paraId="57277CE9">
      <w:pPr>
        <w:keepNext w:val="0"/>
        <w:keepLines w:val="0"/>
        <w:pageBreakBefore w:val="0"/>
        <w:widowControl/>
        <w:suppressLineNumbers w:val="0"/>
        <w:kinsoku/>
        <w:wordWrap/>
        <w:overflowPunct/>
        <w:topLinePunct w:val="0"/>
        <w:autoSpaceDE/>
        <w:autoSpaceDN/>
        <w:bidi w:val="0"/>
        <w:adjustRightInd/>
        <w:snapToGrid/>
        <w:spacing w:line="360" w:lineRule="auto"/>
        <w:ind w:firstLine="562" w:firstLineChars="200"/>
        <w:jc w:val="left"/>
        <w:textAlignment w:val="auto"/>
        <w:rPr>
          <w:rFonts w:hint="eastAsia" w:ascii="仿宋" w:hAnsi="仿宋" w:eastAsia="仿宋" w:cs="仿宋"/>
          <w:sz w:val="28"/>
          <w:szCs w:val="28"/>
        </w:rPr>
      </w:pPr>
      <w:r>
        <w:rPr>
          <w:rFonts w:hint="eastAsia" w:ascii="仿宋" w:hAnsi="仿宋" w:eastAsia="仿宋" w:cs="仿宋"/>
          <w:b/>
          <w:bCs/>
          <w:color w:val="000000"/>
          <w:kern w:val="0"/>
          <w:sz w:val="28"/>
          <w:szCs w:val="28"/>
          <w:lang w:val="en-US" w:eastAsia="zh-CN" w:bidi="ar"/>
        </w:rPr>
        <w:t xml:space="preserve">4.4 项目布局 </w:t>
      </w:r>
    </w:p>
    <w:p w14:paraId="4880C214">
      <w:pPr>
        <w:keepNext w:val="0"/>
        <w:keepLines w:val="0"/>
        <w:pageBreakBefore w:val="0"/>
        <w:widowControl/>
        <w:suppressLineNumbers w:val="0"/>
        <w:kinsoku/>
        <w:wordWrap/>
        <w:overflowPunct/>
        <w:topLinePunct w:val="0"/>
        <w:autoSpaceDE/>
        <w:autoSpaceDN/>
        <w:bidi w:val="0"/>
        <w:adjustRightInd/>
        <w:snapToGrid/>
        <w:spacing w:line="360" w:lineRule="auto"/>
        <w:ind w:firstLine="562" w:firstLineChars="200"/>
        <w:jc w:val="left"/>
        <w:textAlignment w:val="auto"/>
        <w:rPr>
          <w:rFonts w:hint="eastAsia" w:ascii="仿宋" w:hAnsi="仿宋" w:eastAsia="仿宋" w:cs="仿宋"/>
          <w:sz w:val="28"/>
          <w:szCs w:val="28"/>
        </w:rPr>
      </w:pPr>
      <w:r>
        <w:rPr>
          <w:rFonts w:hint="eastAsia" w:ascii="仿宋" w:hAnsi="仿宋" w:eastAsia="仿宋" w:cs="仿宋"/>
          <w:b/>
          <w:bCs/>
          <w:color w:val="000000"/>
          <w:kern w:val="0"/>
          <w:sz w:val="28"/>
          <w:szCs w:val="28"/>
          <w:lang w:val="en-US" w:eastAsia="zh-CN" w:bidi="ar"/>
        </w:rPr>
        <w:t xml:space="preserve">4.4.1 布局原则 </w:t>
      </w:r>
    </w:p>
    <w:p w14:paraId="216C3C91">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项目布局遵循因地制宜、分区建设、便于管理的原则，合理利用土地资源，充分利用现有资源，降低成本，提高效益，最大限度发挥项目建设的生态、社会和经济效益，实现三大效益统一。 </w:t>
      </w:r>
    </w:p>
    <w:p w14:paraId="1603A0A7">
      <w:pPr>
        <w:keepNext w:val="0"/>
        <w:keepLines w:val="0"/>
        <w:pageBreakBefore w:val="0"/>
        <w:widowControl/>
        <w:suppressLineNumbers w:val="0"/>
        <w:kinsoku/>
        <w:wordWrap/>
        <w:overflowPunct/>
        <w:topLinePunct w:val="0"/>
        <w:autoSpaceDE/>
        <w:autoSpaceDN/>
        <w:bidi w:val="0"/>
        <w:adjustRightInd/>
        <w:snapToGrid/>
        <w:spacing w:line="360" w:lineRule="auto"/>
        <w:ind w:firstLine="562" w:firstLineChars="200"/>
        <w:jc w:val="left"/>
        <w:textAlignment w:val="auto"/>
        <w:rPr>
          <w:rFonts w:hint="eastAsia" w:ascii="仿宋" w:hAnsi="仿宋" w:eastAsia="仿宋" w:cs="仿宋"/>
          <w:sz w:val="28"/>
          <w:szCs w:val="28"/>
        </w:rPr>
      </w:pPr>
      <w:r>
        <w:rPr>
          <w:rFonts w:hint="eastAsia" w:ascii="仿宋" w:hAnsi="仿宋" w:eastAsia="仿宋" w:cs="仿宋"/>
          <w:b/>
          <w:bCs/>
          <w:color w:val="000000"/>
          <w:kern w:val="0"/>
          <w:sz w:val="28"/>
          <w:szCs w:val="28"/>
          <w:lang w:val="en-US" w:eastAsia="zh-CN" w:bidi="ar"/>
        </w:rPr>
        <w:t xml:space="preserve">4.4.2 布局方案 </w:t>
      </w:r>
    </w:p>
    <w:p w14:paraId="50A4BE66">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按照国家林业局关于贯彻落实《国务院办公厅关于加快林下经济发展的意见》的通知(林改发〔﹝2012﹞204 号)、陕西省林业厅《关于加强营造林地管理工作的通知》(陕林资发﹝2015﹞242 号)等规范文件，结合镇安县黑窑沟国有林场实际，将项目建设分为两个部分：林下天麻种植基地、林地魔芋种植基地。 </w:t>
      </w:r>
    </w:p>
    <w:p w14:paraId="48462B2A">
      <w:pPr>
        <w:keepNext w:val="0"/>
        <w:keepLines w:val="0"/>
        <w:pageBreakBefore w:val="0"/>
        <w:widowControl/>
        <w:suppressLineNumbers w:val="0"/>
        <w:kinsoku/>
        <w:wordWrap/>
        <w:overflowPunct/>
        <w:topLinePunct w:val="0"/>
        <w:autoSpaceDE/>
        <w:autoSpaceDN/>
        <w:bidi w:val="0"/>
        <w:adjustRightInd/>
        <w:snapToGrid/>
        <w:spacing w:line="360" w:lineRule="auto"/>
        <w:ind w:firstLine="562" w:firstLineChars="200"/>
        <w:jc w:val="left"/>
        <w:textAlignment w:val="auto"/>
        <w:rPr>
          <w:rFonts w:hint="eastAsia" w:ascii="仿宋" w:hAnsi="仿宋" w:eastAsia="仿宋" w:cs="仿宋"/>
          <w:sz w:val="28"/>
          <w:szCs w:val="28"/>
        </w:rPr>
      </w:pPr>
      <w:r>
        <w:rPr>
          <w:rFonts w:hint="eastAsia" w:ascii="仿宋" w:hAnsi="仿宋" w:eastAsia="仿宋" w:cs="仿宋"/>
          <w:b/>
          <w:bCs/>
          <w:color w:val="000000"/>
          <w:kern w:val="0"/>
          <w:sz w:val="28"/>
          <w:szCs w:val="28"/>
          <w:lang w:val="en-US" w:eastAsia="zh-CN" w:bidi="ar"/>
        </w:rPr>
        <w:t xml:space="preserve">4.5 建设方案与内容 </w:t>
      </w:r>
    </w:p>
    <w:p w14:paraId="1A8DA4B4">
      <w:pPr>
        <w:keepNext w:val="0"/>
        <w:keepLines w:val="0"/>
        <w:pageBreakBefore w:val="0"/>
        <w:widowControl/>
        <w:suppressLineNumbers w:val="0"/>
        <w:kinsoku/>
        <w:wordWrap/>
        <w:overflowPunct/>
        <w:topLinePunct w:val="0"/>
        <w:autoSpaceDE/>
        <w:autoSpaceDN/>
        <w:bidi w:val="0"/>
        <w:adjustRightInd/>
        <w:snapToGrid/>
        <w:spacing w:line="360" w:lineRule="auto"/>
        <w:ind w:firstLine="562" w:firstLineChars="200"/>
        <w:jc w:val="left"/>
        <w:textAlignment w:val="auto"/>
        <w:rPr>
          <w:rFonts w:hint="eastAsia" w:ascii="仿宋" w:hAnsi="仿宋" w:eastAsia="仿宋" w:cs="仿宋"/>
          <w:sz w:val="28"/>
          <w:szCs w:val="28"/>
        </w:rPr>
      </w:pPr>
      <w:r>
        <w:rPr>
          <w:rFonts w:hint="eastAsia" w:ascii="仿宋" w:hAnsi="仿宋" w:eastAsia="仿宋" w:cs="仿宋"/>
          <w:b/>
          <w:bCs/>
          <w:color w:val="000000"/>
          <w:kern w:val="0"/>
          <w:sz w:val="28"/>
          <w:szCs w:val="28"/>
          <w:lang w:val="en-US" w:eastAsia="zh-CN" w:bidi="ar"/>
        </w:rPr>
        <w:t xml:space="preserve">4.5.1 林下天麻种植基地 </w:t>
      </w:r>
    </w:p>
    <w:p w14:paraId="25B845D5">
      <w:pPr>
        <w:keepNext w:val="0"/>
        <w:keepLines w:val="0"/>
        <w:pageBreakBefore w:val="0"/>
        <w:widowControl/>
        <w:suppressLineNumbers w:val="0"/>
        <w:kinsoku/>
        <w:wordWrap/>
        <w:overflowPunct/>
        <w:topLinePunct w:val="0"/>
        <w:autoSpaceDE/>
        <w:autoSpaceDN/>
        <w:bidi w:val="0"/>
        <w:adjustRightInd/>
        <w:snapToGrid/>
        <w:spacing w:line="360" w:lineRule="auto"/>
        <w:ind w:firstLine="562" w:firstLineChars="200"/>
        <w:jc w:val="left"/>
        <w:textAlignment w:val="auto"/>
        <w:rPr>
          <w:rFonts w:hint="eastAsia" w:ascii="仿宋" w:hAnsi="仿宋" w:eastAsia="仿宋" w:cs="仿宋"/>
          <w:sz w:val="28"/>
          <w:szCs w:val="28"/>
        </w:rPr>
      </w:pPr>
      <w:r>
        <w:rPr>
          <w:rFonts w:hint="eastAsia" w:ascii="仿宋" w:hAnsi="仿宋" w:eastAsia="仿宋" w:cs="仿宋"/>
          <w:b/>
          <w:bCs/>
          <w:color w:val="000000"/>
          <w:kern w:val="0"/>
          <w:sz w:val="28"/>
          <w:szCs w:val="28"/>
          <w:lang w:val="en-US" w:eastAsia="zh-CN" w:bidi="ar"/>
        </w:rPr>
        <w:t xml:space="preserve">4.5.1.1 天麻基本情况介绍 </w:t>
      </w:r>
    </w:p>
    <w:p w14:paraId="3FB172EF">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天麻（学名：</w:t>
      </w:r>
      <w:r>
        <w:rPr>
          <w:rFonts w:hint="eastAsia" w:ascii="仿宋" w:hAnsi="仿宋" w:eastAsia="仿宋" w:cs="仿宋"/>
          <w:i/>
          <w:iCs/>
          <w:color w:val="000000"/>
          <w:kern w:val="0"/>
          <w:sz w:val="28"/>
          <w:szCs w:val="28"/>
          <w:lang w:val="en-US" w:eastAsia="zh-CN" w:bidi="ar"/>
        </w:rPr>
        <w:t>Gastrodia elata Bl.</w:t>
      </w:r>
      <w:r>
        <w:rPr>
          <w:rFonts w:hint="eastAsia" w:ascii="仿宋" w:hAnsi="仿宋" w:eastAsia="仿宋" w:cs="仿宋"/>
          <w:color w:val="000000"/>
          <w:kern w:val="0"/>
          <w:sz w:val="28"/>
          <w:szCs w:val="28"/>
          <w:lang w:val="en-US" w:eastAsia="zh-CN" w:bidi="ar"/>
        </w:rPr>
        <w:t>），兰科天麻属多年生草本植物；在中国陕西、四川、贵州、云南、湖北等地均有分布。天麻多生于中高山区的林下阴湿地带；喜荫蔽、凉爽、湿润气候；栽培时宜选富含有机质、质地疏松、排水良好、保水力强的砂质壤土及腐殖质土；必须在有蜜环菌的条件下才能生长、发育、繁衍后代。天麻一般采用块茎繁殖或种子繁殖。 2021 年，天麻在《国家重点保护野生植物名录》被列为国家二级保护植物。天麻是名贵中药，能治疗头晕目眩、肢体麻木、小儿惊风等病症，还有“除百病益寿延年”的作用，在《神农本草经》和《本草纲目》中有记载。</w:t>
      </w:r>
    </w:p>
    <w:p w14:paraId="2025F6B2">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天麻属高海拔条件下生长的药用植物，一般都生长在海拔 800～2500m 的高山区；天麻成长最适宜的温度在 20～25℃之间，低于 10℃就滞长或休眠、超过 28℃就停止生长甚至蜜环菌死亡。因此，选择环境应充分照顾到天麻生长（其实主要是蜜环菌成活及活力）喜温凉、需湿润，怕高温、忌积水的要求，选择林荫下且阳光可比较充分照射到的缓坡、沥水环境。蜜环菌寄生或腐生较好的林地，可为天麻生长提供营养物质，在土层深厚、土质带沙、土壤肥沃的腐殖土中，蜜环菌生育良好，天麻生长健壮，产量高，品质也好。 </w:t>
      </w:r>
    </w:p>
    <w:p w14:paraId="65A41029">
      <w:pPr>
        <w:keepNext w:val="0"/>
        <w:keepLines w:val="0"/>
        <w:pageBreakBefore w:val="0"/>
        <w:widowControl/>
        <w:suppressLineNumbers w:val="0"/>
        <w:kinsoku/>
        <w:wordWrap/>
        <w:overflowPunct/>
        <w:topLinePunct w:val="0"/>
        <w:autoSpaceDE/>
        <w:autoSpaceDN/>
        <w:bidi w:val="0"/>
        <w:adjustRightInd/>
        <w:snapToGrid/>
        <w:spacing w:line="360" w:lineRule="auto"/>
        <w:ind w:firstLine="562" w:firstLineChars="200"/>
        <w:jc w:val="left"/>
        <w:textAlignment w:val="auto"/>
        <w:rPr>
          <w:rFonts w:hint="eastAsia" w:ascii="仿宋" w:hAnsi="仿宋" w:eastAsia="仿宋" w:cs="仿宋"/>
          <w:sz w:val="28"/>
          <w:szCs w:val="28"/>
        </w:rPr>
      </w:pPr>
      <w:r>
        <w:rPr>
          <w:rFonts w:hint="eastAsia" w:ascii="仿宋" w:hAnsi="仿宋" w:eastAsia="仿宋" w:cs="仿宋"/>
          <w:b/>
          <w:bCs/>
          <w:color w:val="000000"/>
          <w:kern w:val="0"/>
          <w:sz w:val="28"/>
          <w:szCs w:val="28"/>
          <w:lang w:val="en-US" w:eastAsia="zh-CN" w:bidi="ar"/>
        </w:rPr>
        <w:t xml:space="preserve">4.5.1.2 天麻林下种植技术要点 </w:t>
      </w:r>
    </w:p>
    <w:p w14:paraId="6C1920C9">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按照林下种植技术路径：选址→林地清理→整地→施肥→栽植→抚育管理（除草、松土、施肥、病虫害防治等），严格按照技术规程实施，严把质量关。 </w:t>
      </w:r>
    </w:p>
    <w:p w14:paraId="3E161EB3">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（1）场地选择 </w:t>
      </w:r>
    </w:p>
    <w:p w14:paraId="3883DC23">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天麻适宜生长在镇安县海拔 800～1400 米的山地或丘陵地带，坡度以25 度以下为宜，最好选择在气候凉爽、湿润、通风良好的环境，在森林改培区域内，选择以栓皮栎、水曲柳为主要树种的小班，半阴半阳的富含有机质的缓坡地、谷沟地栽种，土质以疏松的壤土肥沃、排水良好的砂壤土或砂土为主，土壤在 PH5-6 左右，土壤含有丰富的腐殖质，质地均匀，物理性状好，含水量常年保持在 50%左右。避免选择黏土和涝洼积水地，不可重茬。 </w:t>
      </w:r>
    </w:p>
    <w:p w14:paraId="65D7F3DD">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选择结果： </w:t>
      </w:r>
    </w:p>
    <w:p w14:paraId="6F2FA192">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选择在月河镇黄土岭村四组虎狼沟，其森林覆盖率达到 85%以上，优势树种为栎类，郁闭度 0.6-0.8，平均树高 7-10 米，坡度为 10-20，土壤为砂质壤土。林木起源为天然，树下有 3-7cm 的腐殖质。</w:t>
      </w:r>
    </w:p>
    <w:p w14:paraId="522875F7">
      <w:pPr>
        <w:pStyle w:val="11"/>
        <w:jc w:val="center"/>
        <w:rPr>
          <w:rFonts w:hint="eastAsia" w:ascii="仿宋" w:hAnsi="仿宋" w:eastAsia="仿宋" w:cs="仿宋"/>
          <w:sz w:val="28"/>
          <w:szCs w:val="28"/>
          <w:lang w:val="en-US" w:eastAsia="zh-CN"/>
        </w:rPr>
      </w:pPr>
      <w:r>
        <w:rPr>
          <w:rFonts w:hint="eastAsia" w:ascii="仿宋" w:hAnsi="仿宋" w:eastAsia="仿宋" w:cs="仿宋"/>
          <w:sz w:val="28"/>
          <w:szCs w:val="28"/>
        </w:rPr>
        <w:drawing>
          <wp:inline distT="0" distB="0" distL="114300" distR="114300">
            <wp:extent cx="5819775" cy="25336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819775" cy="2533650"/>
                    </a:xfrm>
                    <a:prstGeom prst="rect">
                      <a:avLst/>
                    </a:prstGeom>
                    <a:noFill/>
                    <a:ln>
                      <a:noFill/>
                    </a:ln>
                  </pic:spPr>
                </pic:pic>
              </a:graphicData>
            </a:graphic>
          </wp:inline>
        </w:drawing>
      </w:r>
    </w:p>
    <w:p w14:paraId="0AA1B532">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（2）林地清理 </w:t>
      </w:r>
    </w:p>
    <w:p w14:paraId="7834D1D1">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清理林地是进行林下种植天麻之前不可缺少的准备工序，林地内存在少量灌木林地，覆盖度大的草本植物，清理坏死的灌木林地、一定量的草本植物主要目的是改善天麻的环境条件，为天麻提供良好的土壤环境，进而提高天麻成活率。 </w:t>
      </w:r>
    </w:p>
    <w:p w14:paraId="05EF6F37">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（3）整地 </w:t>
      </w:r>
    </w:p>
    <w:p w14:paraId="3183E434">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在林下缓坡地，基于可放稳菌包为标准，环形开挖 50 厘米以上宽度的条带。开挖好的条带上撒含量 3%辛硫磷（每 100 窝撒 1 公斤左右，分别在挖好的条带底部和栽培覆土之后两次）除虫。 </w:t>
      </w:r>
    </w:p>
    <w:p w14:paraId="0B1AFE9A">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（4）施肥 </w:t>
      </w:r>
    </w:p>
    <w:p w14:paraId="70ADE881">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整地深耕时要用有机复合肥。 </w:t>
      </w:r>
    </w:p>
    <w:p w14:paraId="7191EB2F">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养分比例：天麻生长需要多种养分，不同生长阶段对养分的需求有所差异。一般来说，前期以氮肥为主，促进茎叶生长；中后期以磷、钾肥为主，有利于块茎膨大。因此，可选择氮、磷、钾比例为 1:1:1 或 2:1:2 的复合肥，如 15 - 15 - 15、18 - 9 - 18 等配方的复合肥。 </w:t>
      </w:r>
    </w:p>
    <w:p w14:paraId="54FF8A47">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含氯情况：天麻属于忌氯作物，应避免使用含氯复合肥，以免影响天麻的生长和品质。优先选择硫酸钾型复合肥，其钾元素以硫酸钾形式存在，不含氯离子，更适合天麻生长。 </w:t>
      </w:r>
    </w:p>
    <w:p w14:paraId="4C26EE11">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基肥：在种植天麻前，将复合肥均匀撒在种植地表面，然后进行翻耕，使肥料与土壤充分混合。一般每平方米施用量为 0.5 - 1 千克。也可在挖好种植穴或种植沟后，将复合肥施于穴底或沟底，再覆盖一层薄土，然后放置菌材和天麻种。 </w:t>
      </w:r>
    </w:p>
    <w:p w14:paraId="4EBB69F6">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追肥：在天麻生长期间，根据天麻的生长情况进行追肥。可将复合肥稀释成 0.2% - 0.5% 的溶液，通过浇施的方式进行追肥。浇施时，将溶液浇在菌材周围，避免直接接触天麻块茎。追肥次数一般为 2 - 3 次，每次每平方米用量约 0.2 - 0.5 千克。 </w:t>
      </w:r>
    </w:p>
    <w:p w14:paraId="64F18472">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（5）栽植 </w:t>
      </w:r>
    </w:p>
    <w:p w14:paraId="0A1F84E7">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A 菌种的分离培养 </w:t>
      </w:r>
    </w:p>
    <w:p w14:paraId="383C90C5">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蜜环菌是一种腐生真菌，暗处有萤光。菌索须根状，称为根状菌索，棕色；子实体伞状，蜜黄色，柄上有环。菌索多生长在高山森林地的腐朽竹、木上。纯菌种（株）的分离（一级菌种的制备）是以蜜环菌菌索、子实体、带有蜜环菌的天麻或新鲜菌材为原料，在无菌条件下进行分离培养，获得纯菌种（株）。随后将纯菌种培养成二级菌种用以培养菌材。 </w:t>
      </w:r>
    </w:p>
    <w:p w14:paraId="3204D795">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B 菌材的培养 </w:t>
      </w:r>
    </w:p>
    <w:p w14:paraId="70B8FFD1">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a 菌枝培养</w:t>
      </w:r>
    </w:p>
    <w:p w14:paraId="74D35426">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阔叶树，如栎类、桦树、青冈、毛粟树、等均可培育菌材。菌枝是选粗 2cm～3cm 的树枝，截成长 15cm～20cm 的小木段。4～6 月培育菌枝，挖深 50cm、长宽各 1 m 的坑，坑底先铺 1cm 厚的湿树叶，将长度为 15cm～ 20cm 待培养的短枝铺上一层，再将蜜环菌种枝条或培养料铺上一层，然后再铺一层待培养的短枝，之后在其上盖砂土 1 cm，用手摇动树枝，使砂土充分落入其间，浇水，再撒树叶，以此类推，堆放 4～5 层后，填土15cm～20cm，最后用树叶盖好防晒保墒。32d～35d 即可培养好。 </w:t>
      </w:r>
    </w:p>
    <w:p w14:paraId="3E331F85">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b 菌材（棒）培养 </w:t>
      </w:r>
    </w:p>
    <w:p w14:paraId="7528472B">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菌棒是选直径 5 cm～15 cm 的树干或枝桠，锯成长 30 cm 的木棒，在 </w:t>
      </w:r>
    </w:p>
    <w:p w14:paraId="456A530D">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棒上砍 2～3 排鱼鳞口，深度达木质部，鱼鳞口间距 2.5 cm～3 cm。7～8 月为天麻冬栽培育菌棒，2～3 月份为夏季天麻有性繁殖播种培育菌棒。 </w:t>
      </w:r>
    </w:p>
    <w:p w14:paraId="3E069E69">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菌材（棒）来源于黑窑沟国有林场自有林木，林木权属为国有。 </w:t>
      </w:r>
    </w:p>
    <w:p w14:paraId="7B0BF1A3">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林下栽培培养菌材有坑培法、半坑培法。</w:t>
      </w:r>
    </w:p>
    <w:p w14:paraId="30A7A58C">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坑培法：挖坑深 50 cm，长 2 m，宽 1.2 m～1.5 m。坑底整平，先用 </w:t>
      </w:r>
    </w:p>
    <w:p w14:paraId="3E4AE0D4">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水将坑底浇透浸干后撒 1 cm 厚的湿树叶，将准备好的木棒摆好，两棒相距 1 cm，用砂土回填至木棒一半时，在每根木棒的两侧及两端摆放 8～10 个掰小的蜜环菌块，在棒间斜夹放蜜环菌块使菌块两端分别两木棒鱼鳞口处，然后再盖土 1 cm～1.5 cm 树叶，摇动木棒，压实并用水浇湿，如此摆放 4～5 层，上盖土 15 cm～20 cm，最后覆一层树叶保湿。此法适低山和相对干旱地区。 </w:t>
      </w:r>
    </w:p>
    <w:p w14:paraId="032DE77B">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半坑培法：坑深 30 cm 左右，方法同坑培法，只是 1～2 层木材高出地面，上面盖砂土呈梯形。适于温度、湿度适中的地区。</w:t>
      </w:r>
    </w:p>
    <w:p w14:paraId="27AAEC98">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（6）播种与栽植 </w:t>
      </w:r>
    </w:p>
    <w:p w14:paraId="2A99C294">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A 时间：春栽黄金期（3-4 月）：气温稳定在 10℃以上时，用指甲划开树皮能渗出汁液的阔叶树最适合菌材培育；秋栽关键期（9-11 月）：抓住落叶前 30 天种植，菌丝可在冬季持续发育。 </w:t>
      </w:r>
    </w:p>
    <w:p w14:paraId="373E4CBD">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B 菌床：选青冈木等硬质木材，锯成 30-40 厘米段，每隔 10 厘米砍鱼鳞口，底层铺腐殖土，菌材间距保持两根手指宽度，覆土后浇透水 </w:t>
      </w:r>
    </w:p>
    <w:p w14:paraId="4AF028C1">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C 开孔：将购买的蜜环菌菌包，在两侧对边均匀打出口径约 1～2 厘米、深度 2 厘米左右的圆孔（两侧各 3 个、底部打 1 个，可削尖一个如此大小的树棍、放稳菌袋用力扦插即可），保障菌索伸出与天麻种结菌、建立共生关系。 </w:t>
      </w:r>
    </w:p>
    <w:p w14:paraId="6FC4BDA8">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D 排放菌包及下种：将打好孔洞的菌包与垄带垂直排放，间距 3～4 指宽，每平方米放置 15-20 个种麻，呈“品”字形排列，最好是把麻种尾部一端对着孔洞。 </w:t>
      </w:r>
    </w:p>
    <w:p w14:paraId="65417F9A">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E 覆土：下种栽培好之后，需覆盖一层薄土，其厚度以覆盖住菌包不外漏为宜。覆土之后再次施撒辛硫磷防虫（每百窝两次共用 1 公斤即可）。 </w:t>
      </w:r>
    </w:p>
    <w:p w14:paraId="6F6F76AC">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F 盖叶：覆盖树叶，是操作流程后的最后一道工序，可以保暖保潮，可以防暴晒造成沙粒高温烫死菌丝和菌丝健康生长，还可以防连雨天气造成水渍烂麻。覆叶后，还应用树枝覆压，以免覆叶被大风刮跑。天麻栽培完成后 10 日内就必须完成覆叶。 </w:t>
      </w:r>
    </w:p>
    <w:p w14:paraId="45C49DBE">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G.按照现地情况，当地经验，每亩种植 200 窝，选择乌江杂交品种。 </w:t>
      </w:r>
    </w:p>
    <w:p w14:paraId="1768632B">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（7）田间管理 </w:t>
      </w:r>
    </w:p>
    <w:p w14:paraId="3872AFDD">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A 温度管理：天麻喜欢凉爽环境，外界温度处于 10 到 25 度之间时生长最快，在温度超过 30 度时就会停止生长。高海拔的地区和初春及秋冬培养应注意保温，可采取加盖塑料薄膜，搭建温棚或增加日照时间等措施。 </w:t>
      </w:r>
    </w:p>
    <w:p w14:paraId="6A23F80F">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夏季高温季节应注意采取降温措施，例如搭盖遮荫棚，栽培坑表面加盖麦草、树叶稻草等或喷水等，可有效降低温度。 </w:t>
      </w:r>
    </w:p>
    <w:p w14:paraId="5C1932FF">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B 湿度管理：天麻的栽培生产既要防旱又要防涝。6-8 月是天麻生长的旺盛期，土壤含水量应保持在 50%以上；如遇干旱无雨，麻体变黄，萎缩，蜜环菌大量死亡，因此这一时期应浇水防旱，但水量不宜过大，应采用喷灌或淋灌，切忌大水漫灌。涝害常发生在夏季高温多雨季节或秋雨绵绵时节，应开沟排水，防治积水现象发生。 </w:t>
      </w:r>
    </w:p>
    <w:p w14:paraId="5B6DBCCB">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C 光照管理：天麻喜荫，避免阳光直射。种植天麻地块乔木林地郁闭度 0.6-0.8，树木郁闭度大避免了阳光直射。 </w:t>
      </w:r>
    </w:p>
    <w:p w14:paraId="26571E32">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D 施肥管理：天麻无根无叶，不能进行光合作用制造养分，主要依靠蜜环菌提供营养，一般不需要施肥。 </w:t>
      </w:r>
    </w:p>
    <w:p w14:paraId="315728D1">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E 防冻害：一般天麻在越冬期间在土壤中可以忍耐-3℃的低温，但不能低于-5℃，因此在冬季应加强对栽培坑的防冻处理，可以采用覆盖地膜等措施保温。地膜具有提高地温作用，在早春或寒冷季节，地膜能使地温提高2-4℃，为作物种子发芽和幼苗生长提供适宜的温度环境，促进作物早出苗、出齐苗，提高出苗率。地膜也具有减少热量散失、增强太阳辐射吸收、抑制水分蒸发的功能。合理使用地膜，推广可降解地膜等环保型产品，减少对环境的破坏。 </w:t>
      </w:r>
    </w:p>
    <w:p w14:paraId="4397249B">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（8）病害防治 </w:t>
      </w:r>
    </w:p>
    <w:p w14:paraId="2FF56F5C">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A 块茎腐烂病</w:t>
      </w:r>
    </w:p>
    <w:p w14:paraId="4437B467">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主要有块茎黑腐病、块茎锈腐病、白环锈伞病等。块茎黑腐病并通过菌材感染天麻，染病的天麻早期出现黑斑，后期腐烂，有时半个天麻变成黑色，味极苦。块茎锈腐病早期表现为出现小黑斑，一般种麻最严重。白环锈伞通常分布在菌材表面，菌托常连接许多白色菌丝束，也可引起天麻腐烂。 </w:t>
      </w:r>
    </w:p>
    <w:p w14:paraId="25230315">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防治方法： </w:t>
      </w:r>
    </w:p>
    <w:p w14:paraId="2130EBF8">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土壤消毒：在播种前，可选用化学药剂对土壤进行消毒处理。如用40%五氯硝基苯粉剂与细土按 1:200 的比例混合均匀，撒在种植穴内，每穴用药土 1 - 2 千克，可有效杀灭土壤中的病菌。 </w:t>
      </w:r>
    </w:p>
    <w:p w14:paraId="4B62413B">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药剂喷雾：在病害发生初期，及时选用合适的化学药剂进行喷雾防治。 </w:t>
      </w:r>
    </w:p>
    <w:p w14:paraId="213554E2">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如针对马铃薯块茎腐烂病，可选用 72%农用硫酸链霉素可溶性粉剂 4000 倍液，或 50% 琥胶肥酸铜可湿性粉剂 500 - 600 倍液，每隔 7 - 10 天喷一次，连续喷 2 - 3 次，注意将药剂均匀喷洒在植株的茎基部和叶片上。 </w:t>
      </w:r>
    </w:p>
    <w:p w14:paraId="2132FA66">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药剂灌根：对于一些已经出现块茎腐烂症状的植株，可采用药剂灌根的方法进行防治。如用 25%甲霜灵可湿性粉剂 800 - 1000 倍液，或 64% 杀毒矾可湿性粉剂 500 倍液，每株灌药液 200 - 300 毫升，使药液渗透到根部周围的土壤中，以杀灭根部病菌，控制病害的发展。 </w:t>
      </w:r>
    </w:p>
    <w:p w14:paraId="3B580135">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B 日灼病 </w:t>
      </w:r>
    </w:p>
    <w:p w14:paraId="369E22B1">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因遮阴不良，天麻受到烈日的灼伤，使花茎变色，倒伏，称日灼病。 </w:t>
      </w:r>
    </w:p>
    <w:p w14:paraId="0D0392A2">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天麻抽薹后花茎出土，受日光灼伤后颜色变深，继而变黑，遇到阴雨感染霉菌，使茎倒伏。 </w:t>
      </w:r>
    </w:p>
    <w:p w14:paraId="7E27641F">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防治方法：搭建遮荫棚，防止灼伤。</w:t>
      </w:r>
    </w:p>
    <w:p w14:paraId="462E8F8A">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（9）虫害防治 </w:t>
      </w:r>
    </w:p>
    <w:p w14:paraId="601583C5">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A 蛴螬 </w:t>
      </w:r>
    </w:p>
    <w:p w14:paraId="712F35F9">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天麻虫害主要的虫害。幼虫时在天麻窝内咬食块茎，将天麻咬成空洞，并在菌材上蛀洞越冬，毁坏菌材。蛴螬一般昼伏夜出，晚上取食。 </w:t>
      </w:r>
    </w:p>
    <w:p w14:paraId="2E0DAB8B">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防治方法：1、布设黑光灯，以灯光诱杀成虫；2、在栽培场周围种蓖麻，可引起其成虫中毒、麻痹、甚至死亡。 </w:t>
      </w:r>
    </w:p>
    <w:p w14:paraId="41F806B9">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B 蝼蛄 </w:t>
      </w:r>
    </w:p>
    <w:p w14:paraId="6B1D3695">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以成虫或幼虫在天麻表层下开纵横隧道，咀食天麻块茎，破坏天麻与蜜环菌的共生关系。 </w:t>
      </w:r>
    </w:p>
    <w:p w14:paraId="3301A99E">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防治方法：1、布设黑光灯，以灯光诱杀；2、可以改变土壤条件减轻危害，主要通过深翻土壤、适时中耕、清除杂草、平整土地等。 </w:t>
      </w:r>
    </w:p>
    <w:p w14:paraId="7994DA9C">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C 介壳虫 </w:t>
      </w:r>
    </w:p>
    <w:p w14:paraId="6ECB5AF1">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是害天麻的主要害虫。天麻收获时常见到有成群的粉蚧集中于天麻的块茎上，为害处颜色加深，严重时块茎瘦小停止生长。 </w:t>
      </w:r>
    </w:p>
    <w:p w14:paraId="0F147C68">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防治方法：收获天麻以后，对栽培坑进行焚烧，收获的天麻不能作为种麻继续使用。 </w:t>
      </w:r>
    </w:p>
    <w:p w14:paraId="44E41FD7">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D 蚜虫 </w:t>
      </w:r>
    </w:p>
    <w:p w14:paraId="27AFCAC2">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以成虫及若虫群集于天麻的花茎及嫩花上刺吸汁液，使花茎生长停滞，植株矮小，变为畸形。花穗弯曲，果实瘦小，影响开花结实，严重时引起枯死。一般 5-6 月发生。 </w:t>
      </w:r>
    </w:p>
    <w:p w14:paraId="77AF10E5">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防治方法：1、黄板诱杀，在田间设置黄色粘板或者黄色水盆诱杀有翅蚜虫；2、因回收趋避，利用蚜虫对银灰色的负趋性，在田间悬挂银灰色塑料条；3、加强田间管理，及时除草、修枝，减少蚜虫的藏匿和繁殖场所。 </w:t>
      </w:r>
    </w:p>
    <w:p w14:paraId="4830E1D1">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（10）采收 </w:t>
      </w:r>
    </w:p>
    <w:p w14:paraId="73723263">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A 采收时期:最佳采收时期为 10 月下旬至笠年 3 月下旬。 </w:t>
      </w:r>
    </w:p>
    <w:p w14:paraId="57B60549">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（11）采收方法 </w:t>
      </w:r>
    </w:p>
    <w:p w14:paraId="61C551BB">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慢慢扒开表土，揭起菌材，即露出天麻，小心将天麻取出，防止撞伤，然后向四周挖掘，挖出深土层中的天麻。将挖起的商品麻、种麻、米麻分开盛放，种麻作种，米麻继续培育，商品麻加工入药。 </w:t>
      </w:r>
    </w:p>
    <w:p w14:paraId="47B156EE">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（13）加工包装 </w:t>
      </w:r>
    </w:p>
    <w:p w14:paraId="38F188A8">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采收的天麻应及时加工，用硬毛刷刷去表皮土壤或杂质，按大、中、小分三个等级，一级麻单个重量 150g 以上，二级麻重量 75 g～150g，三级麻 75g 以下。再把清洗干净的天麻按等级先后放入沸水中煮数分钟（一级麻煮 10 min～15 min，二级麻煮 7 min～10 min，三级麻煮 5 min～8 min），取出一个天麻对着光看，已透明无黑心，或用手捏压天麻发出喳喳声，即为煮沸时间正适合，随即把天麻捞出投入冷水中。天麻最好用烘干机或土温坑烘干，温度 50～55℃，烘 5 小时，取出发汗 5-6 小时；多次重复，直至烘干，干品含水量不高于 15%。加工后的天麻，以个大肥厚，完整饱满，色黄白，明亮，质坚实，无空心、虫蛀、霉变者为佳品。 </w:t>
      </w:r>
    </w:p>
    <w:p w14:paraId="12718C7D">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加工后挂标识包装，编制袋、纸箱包装，每批天麻应挂有标签，标明品种名、批号、生产单位、产地、采收时间、重量、等级及质量合格标志。 </w:t>
      </w:r>
    </w:p>
    <w:p w14:paraId="57BBDDFD">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（14）贮藏 </w:t>
      </w:r>
    </w:p>
    <w:p w14:paraId="6BBB54DE">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贮藏药材的仓库应通风、干燥、避光，必要时安装空调及除湿设备，并具有防鼠、虫、禽畜的措施。地面应整洁、无缝隙、易清洁。药材应存放在货架上，与墙壁保持足够距离，防止虫蛀、霉变、腐烂、泛油等现象发生，并定期检查。 </w:t>
      </w:r>
    </w:p>
    <w:p w14:paraId="64673EB1">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4.5.1.3 天麻菌材原材料来源 </w:t>
      </w:r>
    </w:p>
    <w:p w14:paraId="484414F4">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在镇安县月河镇黄土岭村虎狼沟组选取 750 亩进行采伐，采伐优势树种为栎类，郁闭度 0.6-0.8，平均树高 7-10 米，坡度为 10-20，林木起源为天然，每亩株数为 100-130 株，龄组为近熟林、成熟林，枯死木、濒死木每亩约为 9-15 株，每亩活立木蓄积为 5.8-7.8 立方米。依据现地情况，每亩株数较大，林木生长参差不齐，采伐强度约为 30%，经计算采伐活立木蓄积为 1527 立方米，每立方米栎类重量为 700 千克，合计采伐活立木蓄重量为 1068.9 吨。按照 1 平方米投入 5 千克鲜栎类木段等原料计算，接合山地坡地，每亩消耗 1.24 吨鲜栎类木段，采伐树木能够满足菌材的需要。 </w:t>
      </w:r>
    </w:p>
    <w:p w14:paraId="4A7AAA58">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4.5.1.4 其他辅助设施 </w:t>
      </w:r>
    </w:p>
    <w:p w14:paraId="026957DA">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A.生产工器具 </w:t>
      </w:r>
    </w:p>
    <w:p w14:paraId="2DD7AE08">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a.采伐设计生产工器具：包括手动锯、汽油锯、油锯链条扳手、斧头及防护用具。防护用具含安全帽、护目镜、耳塞、防护手套、防护鞋等，保护采伐人员的安全，防止在作业过程中受到伤害。购置采伐设计生产工器具 10 套。 </w:t>
      </w:r>
    </w:p>
    <w:p w14:paraId="66B0BD9C">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b.林下种植生产工器具：包括铁锨、镐头、镊子、手动割草剪、高枝剪、剪刀、卷尺和标杆等工具。购置林下种植生产工器具 10 套。 </w:t>
      </w:r>
    </w:p>
    <w:p w14:paraId="0250DB3B">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B.机械围栏</w:t>
      </w:r>
    </w:p>
    <w:p w14:paraId="3419F4EF">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在野猪较为频繁的地方，设置水泥桩围栏，围栏高度 90cm 以上，铁丝带刺，每隔 3 米埋设 12×12 厘米预制水泥桩一根，为加大警示宣传效果，将水泥桩用红黄两色油漆相间涂抹，同色间距 30cm。在虎狼沟作业区 4 号、5 号、12 号小班设计机械围栏约 1000 米。 </w:t>
      </w:r>
    </w:p>
    <w:p w14:paraId="338DBB01">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C.新建生产道路 </w:t>
      </w:r>
    </w:p>
    <w:p w14:paraId="43626DB8">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在虎狼沟作业区 2 号、3 号、4 号、8 号、11 号小班新建生产道路，长度合计 1000 米，宽度为 3 米的砂石道路，以满足当地生产活动的运输需求，提高生产效率，改善区域交通状况。新建生产道路沿山体林间空地进行修建，不占乔木林地面积。 </w:t>
      </w:r>
    </w:p>
    <w:p w14:paraId="72344FC3">
      <w:pPr>
        <w:keepNext w:val="0"/>
        <w:keepLines w:val="0"/>
        <w:pageBreakBefore w:val="0"/>
        <w:widowControl/>
        <w:suppressLineNumbers w:val="0"/>
        <w:kinsoku/>
        <w:wordWrap/>
        <w:overflowPunct/>
        <w:topLinePunct w:val="0"/>
        <w:autoSpaceDE/>
        <w:autoSpaceDN/>
        <w:bidi w:val="0"/>
        <w:adjustRightInd/>
        <w:snapToGrid/>
        <w:spacing w:line="360" w:lineRule="auto"/>
        <w:ind w:firstLine="562" w:firstLineChars="200"/>
        <w:jc w:val="left"/>
        <w:textAlignment w:val="auto"/>
        <w:rPr>
          <w:rFonts w:hint="eastAsia" w:ascii="仿宋" w:hAnsi="仿宋" w:eastAsia="仿宋" w:cs="仿宋"/>
          <w:sz w:val="28"/>
          <w:szCs w:val="28"/>
        </w:rPr>
      </w:pPr>
      <w:r>
        <w:rPr>
          <w:rFonts w:hint="eastAsia" w:ascii="仿宋" w:hAnsi="仿宋" w:eastAsia="仿宋" w:cs="仿宋"/>
          <w:b/>
          <w:bCs/>
          <w:color w:val="000000"/>
          <w:kern w:val="0"/>
          <w:sz w:val="28"/>
          <w:szCs w:val="28"/>
          <w:lang w:val="en-US" w:eastAsia="zh-CN" w:bidi="ar"/>
        </w:rPr>
        <w:t xml:space="preserve">4.5.2 林下魔芋种植基地 </w:t>
      </w:r>
    </w:p>
    <w:p w14:paraId="59CA97CE">
      <w:pPr>
        <w:keepNext w:val="0"/>
        <w:keepLines w:val="0"/>
        <w:pageBreakBefore w:val="0"/>
        <w:widowControl/>
        <w:suppressLineNumbers w:val="0"/>
        <w:kinsoku/>
        <w:wordWrap/>
        <w:overflowPunct/>
        <w:topLinePunct w:val="0"/>
        <w:autoSpaceDE/>
        <w:autoSpaceDN/>
        <w:bidi w:val="0"/>
        <w:adjustRightInd/>
        <w:snapToGrid/>
        <w:spacing w:line="360" w:lineRule="auto"/>
        <w:ind w:firstLine="562" w:firstLineChars="200"/>
        <w:jc w:val="left"/>
        <w:textAlignment w:val="auto"/>
        <w:rPr>
          <w:rFonts w:hint="eastAsia" w:ascii="仿宋" w:hAnsi="仿宋" w:eastAsia="仿宋" w:cs="仿宋"/>
          <w:sz w:val="28"/>
          <w:szCs w:val="28"/>
        </w:rPr>
      </w:pPr>
      <w:r>
        <w:rPr>
          <w:rFonts w:hint="eastAsia" w:ascii="仿宋" w:hAnsi="仿宋" w:eastAsia="仿宋" w:cs="仿宋"/>
          <w:b/>
          <w:bCs/>
          <w:color w:val="000000"/>
          <w:kern w:val="0"/>
          <w:sz w:val="28"/>
          <w:szCs w:val="28"/>
          <w:lang w:val="en-US" w:eastAsia="zh-CN" w:bidi="ar"/>
        </w:rPr>
        <w:t xml:space="preserve">4.5.2.1 魔芋基本情况介绍 </w:t>
      </w:r>
    </w:p>
    <w:p w14:paraId="71716915">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魔芋（学名：Amorphophallus konjac）天南星科魔芋属多年生草本植物的统称。魔芋属植物为多年生草本。芽萌发后，首先出少数鳞叶，然后幼株出单叶，老株则抽出三裂叶，叶枯后，翌年再出鳞叶和花序。成年植物块茎常扁球形，稀萝卜状或长圆柱形，顶部中央下凹，叶 1；叶柄光滑或粗糙具疣，粗壮，具各样斑块；叶片通常 3 全裂，裂片羽状分裂或二次羽状分裂，或二歧分裂后再羽状分裂，最后小裂片多少长圆形，锐尖。魔芋喜欢温暖湿润，干燥的气候环境对魔芋生长不利，所以魔芋种植地块选择有阳光散射的阔叶、落叶林地，树林的林间荫蔽度在 60%左右，要求排水、阴凉、透气性好、土质疏松、土层深厚、肥沃、有机质含量高的地块。将魔芋种植在林下,对魔芋的生长极为有利,可以有效确保林地生产效益解决魔芋和粮食争地的矛盾,推动了魔芋产业良好发展。</w:t>
      </w:r>
    </w:p>
    <w:p w14:paraId="3D35202F">
      <w:pPr>
        <w:keepNext w:val="0"/>
        <w:keepLines w:val="0"/>
        <w:pageBreakBefore w:val="0"/>
        <w:widowControl/>
        <w:suppressLineNumbers w:val="0"/>
        <w:kinsoku/>
        <w:wordWrap/>
        <w:overflowPunct/>
        <w:topLinePunct w:val="0"/>
        <w:autoSpaceDE/>
        <w:autoSpaceDN/>
        <w:bidi w:val="0"/>
        <w:adjustRightInd/>
        <w:snapToGrid/>
        <w:spacing w:line="360" w:lineRule="auto"/>
        <w:ind w:firstLine="562" w:firstLineChars="200"/>
        <w:jc w:val="left"/>
        <w:textAlignment w:val="auto"/>
        <w:rPr>
          <w:rFonts w:hint="eastAsia" w:ascii="仿宋" w:hAnsi="仿宋" w:eastAsia="仿宋" w:cs="仿宋"/>
          <w:sz w:val="28"/>
          <w:szCs w:val="28"/>
        </w:rPr>
      </w:pPr>
      <w:r>
        <w:rPr>
          <w:rFonts w:hint="eastAsia" w:ascii="仿宋" w:hAnsi="仿宋" w:eastAsia="仿宋" w:cs="仿宋"/>
          <w:b/>
          <w:bCs/>
          <w:color w:val="000000"/>
          <w:kern w:val="0"/>
          <w:sz w:val="28"/>
          <w:szCs w:val="28"/>
          <w:lang w:val="en-US" w:eastAsia="zh-CN" w:bidi="ar"/>
        </w:rPr>
        <w:t xml:space="preserve">4.5.2.2 林下魔芋种植技术要点 </w:t>
      </w:r>
    </w:p>
    <w:p w14:paraId="7494E051">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1.选地和整地 </w:t>
      </w:r>
    </w:p>
    <w:p w14:paraId="2EC1D31C">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（1）选地 </w:t>
      </w:r>
    </w:p>
    <w:p w14:paraId="547D1729">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魔芋种植地宜选择海拔 800m～2500m，郁闭度低于 0.5 的针叶林、阔叶林或针阔混交林下的疏林地。气温高、阳光直射强烈的地方，郁闭度不超过 0.6。选择半阴半阳的缓坡（坡度小于 25°），易排水，气候温暖的疏林地为宜。土壤要求土层深厚，疏松肥沃，富含有机质和腐殖质多的中性偏酸的沙壤土或壤土。</w:t>
      </w:r>
    </w:p>
    <w:p w14:paraId="23526985">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魔芋忌连作，一茬种植 2～3 年后要求与除茄科作物以外的豆科、禾本科等作物轮作 2 年。 </w:t>
      </w:r>
    </w:p>
    <w:p w14:paraId="03F7D5BF">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（2）土壤消毒</w:t>
      </w:r>
    </w:p>
    <w:p w14:paraId="77BB1176">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每亩加入 25～35 kg 生石灰进行土壤消毒。时间一般选择在 2 月下旬～3 月上旬。 </w:t>
      </w:r>
    </w:p>
    <w:p w14:paraId="7C947AE2">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（3）整地 </w:t>
      </w:r>
    </w:p>
    <w:p w14:paraId="04F3F246">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整地时间选择在 3 月中下旬。整地前每亩布撒辛硫磷 1～2 kg，随整地深翻入地下杀灭地下害虫，避免与碱性农药混用。可选用的消毒药剂及方法有：用 50%多菌灵可湿性粉剂 500 - 800 倍液，或 70%甲基托布津可湿性粉剂 800 - 1000 倍液，或敌克松 500 - 800 倍液等进行喷雾消毒，每亩用药液量为 50 - 100 千克；也可用生石灰进行土壤消毒，每亩施用量为 50 - 100 千克，将生石灰均匀撒在地表，然后翻耕入土，可调节土壤酸碱度，同时起到杀菌消毒的作用。用旋耕机翻耕，翻耕深度 30cm，随后开厢起垄，垄高 25cm 以上，厢宽 70cm 以上，沟宽 25cm 以上。种植地坡度过大，不适宜开厢起垄时，可以采用点状挖坑种植。坡地或台地种植厢与坡向或山势保持一致。 </w:t>
      </w:r>
    </w:p>
    <w:p w14:paraId="4BBF7A5B">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2.魔芋种处理 </w:t>
      </w:r>
    </w:p>
    <w:p w14:paraId="4AECC31C">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1）选种：在未发生过根腐病、软腐病等病害的区域选择芋种；选择适应性强、抗病力强的种源，视检种皮无损伤、无病害、无腐烂的魔芋芋种，种球茎上端端口平，芽窝小、芋头形色正常，形体饱满、顶芽呈锥形。 </w:t>
      </w:r>
    </w:p>
    <w:p w14:paraId="6A57D974">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（2）消毒：采用浸种的方法消毒，将芋种浸泡于浸种液中 30 分钟后捞出，在通风处晾干。浸种液使用春雷·中生菌素 500 倍液；或春雷·王铜 500 倍液；或噻森铜 500 倍液；或氯溴异氰尿酸 500 倍液。药剂的使用应符合 GB/T 8321.9 的规定。</w:t>
      </w:r>
    </w:p>
    <w:p w14:paraId="23DFA31D">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（3）芋种储藏：消毒晾干后的种芋在阴凉处平摊存放，切忌成堆、成包、成框存放。 </w:t>
      </w:r>
    </w:p>
    <w:p w14:paraId="746B0E2E">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3.种植 </w:t>
      </w:r>
    </w:p>
    <w:p w14:paraId="6907136D">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（1）种植时间：魔芋下种时间一般在 2 月下旬～3 月中下旬。 </w:t>
      </w:r>
    </w:p>
    <w:p w14:paraId="40ADF387">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（2）种植密度：一代种株行距控制在 40×40cm，二代种株行距控制在 </w:t>
      </w:r>
    </w:p>
    <w:p w14:paraId="347DB41E">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50×50cm；芋种宜尽量挑选大小相近、重量相当的芋种尽量种植在一个区域，便于后期管理和采挖。 </w:t>
      </w:r>
    </w:p>
    <w:p w14:paraId="19B21007">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（3）下种及施基肥 </w:t>
      </w:r>
    </w:p>
    <w:p w14:paraId="44D15DDB">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A 魔芋种植采用厢面挖种植坑，坑深大于 15cm，芋种芋窝与水平平面倾斜 45°，朝上放置。盖土以刚好完全覆盖芋种为宜，然后在魔芋芋种靠近顶部且不直接触芋种的定植坑内环状施基肥，最后再盖土，垒不小于 10cm 的土包。 </w:t>
      </w:r>
    </w:p>
    <w:p w14:paraId="6BA430EF">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B 每亩施用硫基高钾型复合肥 10～15kg、钙镁磷肥 15～20kg、有机肥 100～300kg 作为基肥，忌用含氯的肥料。肥料的使用应符合 NY/T 496、 NY/T 1868 的规定。 </w:t>
      </w:r>
    </w:p>
    <w:p w14:paraId="5FDD1AF7">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4.田间管理 </w:t>
      </w:r>
    </w:p>
    <w:p w14:paraId="713D058B">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（1）萌芽期管理:出现伏旱时，可适当浇水，促进魔芋生长。 </w:t>
      </w:r>
    </w:p>
    <w:p w14:paraId="17F5386E">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（2）苗期除草：种植地早期杂草生长旺盛，人工除草 2～3 次。魔芋未出土时，使用工具铲除；魔芋出土后，人工拔除，尽量避免伤及魔芋植株。清除的杂草需搬移出魔芋种植地。 </w:t>
      </w:r>
    </w:p>
    <w:p w14:paraId="7E03DD93">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（3）展叶期管理：当魔芋叶片生长直立呈“酒杯”形状时，用 0.2% 磷酸二氢钾溶液，进行叶面、叶背喷施追肥 2～3 次；用阿维菌素 500～500 倍液或苏云金杆菌 2000 倍液与春雷·王铜 500 倍液 1∶1 的混合液喷施，预防食叶害虫啃食魔芋叶片和根腐病；林下种植时，其它落叶树种的落叶，及时清理，不能在魔芋叶面堆积至腐烂。 </w:t>
      </w:r>
    </w:p>
    <w:p w14:paraId="31D021D5">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（4）生长期追肥 </w:t>
      </w:r>
    </w:p>
    <w:p w14:paraId="2D459DEB">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A 追肥工作选择在晴朗天气进行。采用磷肥+钾肥混合追肥的方式追肥。使用过磷酸钙或钙镁磷肥+硫酸钾，追肥量按磷肥 40kg/亩，钾肥 40kg/ 亩。 </w:t>
      </w:r>
    </w:p>
    <w:p w14:paraId="42E214B7">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B 将肥料混合后，倒入种植厢之间的种植沟中，与沟中土壤按照 1∶2的比例充分混合后，再将混合肥料的土壤全部培土至厢面。 </w:t>
      </w:r>
    </w:p>
    <w:p w14:paraId="660EABD8">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C 追肥一年进行 1～2 次。 </w:t>
      </w:r>
    </w:p>
    <w:p w14:paraId="5333989F">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（5）雨季管护:6～9 月高温高湿，极易引发魔芋根腐病、软腐病等病害，及时排水。7 月～8 月中旬，在魔芋叶面、叶背、叶柄和种植厢面、地面喷施杀菌剂 1 次。施药时间选择在晴朗天气的早晨或傍晚，避开高温时段施药。 </w:t>
      </w:r>
    </w:p>
    <w:p w14:paraId="5D495519">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（6）病株移除:从魔芋展叶期开始，对魔芋地进行巡视，发现烂叶、烂杆、烂根的魔芋植株，及时随同魔芋根茎周边土壤一同挖除。挖除部分与生石灰或草木灰 1∶1 混合后，移除到非魔芋种植地深埋。挖除坑用生石灰或草木灰布撒，坑不回填。 </w:t>
      </w:r>
    </w:p>
    <w:p w14:paraId="50AB831C">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(7)培土、填窝:结合除草，将不畅的垄沟整理通畅，将浅沟挖深，将翻出的土壤覆于垄面;多年种植的魔芋自然倒苗后，垄面上形成孔洞，通过培土填补孔洞，以便魔芋安全越冬。</w:t>
      </w:r>
    </w:p>
    <w:p w14:paraId="49AC3DF0">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（8）</w:t>
      </w:r>
      <w:r>
        <w:rPr>
          <w:rFonts w:hint="eastAsia" w:ascii="仿宋" w:hAnsi="仿宋" w:eastAsia="仿宋" w:cs="仿宋"/>
          <w:b/>
          <w:bCs/>
          <w:color w:val="000000"/>
          <w:kern w:val="0"/>
          <w:sz w:val="28"/>
          <w:szCs w:val="28"/>
          <w:lang w:val="en-US" w:eastAsia="zh-CN" w:bidi="ar"/>
        </w:rPr>
        <w:t>防冻害：</w:t>
      </w:r>
      <w:r>
        <w:rPr>
          <w:rFonts w:hint="eastAsia" w:ascii="仿宋" w:hAnsi="仿宋" w:eastAsia="仿宋" w:cs="仿宋"/>
          <w:color w:val="000000"/>
          <w:kern w:val="0"/>
          <w:sz w:val="28"/>
          <w:szCs w:val="28"/>
          <w:lang w:val="en-US" w:eastAsia="zh-CN" w:bidi="ar"/>
        </w:rPr>
        <w:t xml:space="preserve">一般魔芋在越冬期间在土壤中可以忍耐-3℃的低温，但不能低于-5℃，因此在冬季应加强对栽培坑的防冻处理，可以采用覆盖地膜等措施保温。地膜具有提高地温作用，在早春或寒冷季节，地膜能使地温提高 2-4℃，为作物种子发芽和幼苗生长提供适宜的温度环境，促进作物早出苗、出齐苗，提高出苗率。地膜也具有减少热量散失、增强太阳辐射吸收、抑制水分蒸发的功能。合理使用地膜，推广可降解地膜等环保型产品，减少对环境的破坏。 </w:t>
      </w:r>
    </w:p>
    <w:p w14:paraId="77E0F88D">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（9）病虫害防治 </w:t>
      </w:r>
    </w:p>
    <w:p w14:paraId="04F07308">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A 物理防治:安装杀虫灯或粘虫板，利用趋光性诱捕器诱杀。 </w:t>
      </w:r>
    </w:p>
    <w:p w14:paraId="1BC09C7D">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B 生物防治:利用引诱剂诱杀或干扰害虫交配，减少虫源。 </w:t>
      </w:r>
    </w:p>
    <w:p w14:paraId="3BC22378">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C 化学防治:选用高效、低毒、低残留的化学农药，不同类型的农药交替使用，农药的使用应符合 GB/T 8321.9 和 GB/T 8321.10 的规定。</w:t>
      </w:r>
    </w:p>
    <w:p w14:paraId="76BDDA8E">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827395" cy="3776980"/>
            <wp:effectExtent l="0" t="0" r="1905" b="139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5827395" cy="3776980"/>
                    </a:xfrm>
                    <a:prstGeom prst="rect">
                      <a:avLst/>
                    </a:prstGeom>
                    <a:noFill/>
                    <a:ln>
                      <a:noFill/>
                    </a:ln>
                  </pic:spPr>
                </pic:pic>
              </a:graphicData>
            </a:graphic>
          </wp:inline>
        </w:drawing>
      </w:r>
      <w:r>
        <w:rPr>
          <w:rFonts w:hint="eastAsia" w:ascii="仿宋" w:hAnsi="仿宋" w:eastAsia="仿宋" w:cs="仿宋"/>
          <w:sz w:val="28"/>
          <w:szCs w:val="28"/>
        </w:rPr>
        <w:drawing>
          <wp:inline distT="0" distB="0" distL="114300" distR="114300">
            <wp:extent cx="5828030" cy="3757295"/>
            <wp:effectExtent l="0" t="0" r="1270" b="146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5828030" cy="3757295"/>
                    </a:xfrm>
                    <a:prstGeom prst="rect">
                      <a:avLst/>
                    </a:prstGeom>
                    <a:noFill/>
                    <a:ln>
                      <a:noFill/>
                    </a:ln>
                  </pic:spPr>
                </pic:pic>
              </a:graphicData>
            </a:graphic>
          </wp:inline>
        </w:drawing>
      </w:r>
      <w:r>
        <w:rPr>
          <w:rFonts w:hint="eastAsia" w:ascii="仿宋" w:hAnsi="仿宋" w:eastAsia="仿宋" w:cs="仿宋"/>
          <w:sz w:val="28"/>
          <w:szCs w:val="28"/>
        </w:rPr>
        <w:drawing>
          <wp:inline distT="0" distB="0" distL="114300" distR="114300">
            <wp:extent cx="5831205" cy="4400550"/>
            <wp:effectExtent l="0" t="0" r="1714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5831205" cy="4400550"/>
                    </a:xfrm>
                    <a:prstGeom prst="rect">
                      <a:avLst/>
                    </a:prstGeom>
                    <a:noFill/>
                    <a:ln>
                      <a:noFill/>
                    </a:ln>
                  </pic:spPr>
                </pic:pic>
              </a:graphicData>
            </a:graphic>
          </wp:inline>
        </w:drawing>
      </w:r>
      <w:r>
        <w:rPr>
          <w:rFonts w:hint="eastAsia" w:ascii="仿宋" w:hAnsi="仿宋" w:eastAsia="仿宋" w:cs="仿宋"/>
          <w:sz w:val="28"/>
          <w:szCs w:val="28"/>
        </w:rPr>
        <w:drawing>
          <wp:inline distT="0" distB="0" distL="114300" distR="114300">
            <wp:extent cx="5830570" cy="2107565"/>
            <wp:effectExtent l="0" t="0" r="1778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a:off x="0" y="0"/>
                      <a:ext cx="5830570" cy="2107565"/>
                    </a:xfrm>
                    <a:prstGeom prst="rect">
                      <a:avLst/>
                    </a:prstGeom>
                    <a:noFill/>
                    <a:ln>
                      <a:noFill/>
                    </a:ln>
                  </pic:spPr>
                </pic:pic>
              </a:graphicData>
            </a:graphic>
          </wp:inline>
        </w:drawing>
      </w:r>
      <w:r>
        <w:rPr>
          <w:rFonts w:hint="eastAsia" w:ascii="仿宋" w:hAnsi="仿宋" w:eastAsia="仿宋" w:cs="仿宋"/>
          <w:color w:val="000000"/>
          <w:kern w:val="0"/>
          <w:sz w:val="28"/>
          <w:szCs w:val="28"/>
          <w:lang w:val="en-US" w:eastAsia="zh-CN" w:bidi="ar"/>
        </w:rPr>
        <w:t xml:space="preserve">9.采收 </w:t>
      </w:r>
    </w:p>
    <w:p w14:paraId="104B44FC">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霜降后，80%的植株自然倒伏后 10 天，选晴天采收。采收后，将魔芋进行分级，300g 以上的作为商品及时销售。300g 以下的作为种芋，晾晒失水 1/5 后进行消毒储藏。 </w:t>
      </w:r>
    </w:p>
    <w:p w14:paraId="04D7C845">
      <w:pPr>
        <w:keepNext w:val="0"/>
        <w:keepLines w:val="0"/>
        <w:pageBreakBefore w:val="0"/>
        <w:widowControl/>
        <w:suppressLineNumbers w:val="0"/>
        <w:kinsoku/>
        <w:wordWrap/>
        <w:overflowPunct/>
        <w:topLinePunct w:val="0"/>
        <w:autoSpaceDE/>
        <w:autoSpaceDN/>
        <w:bidi w:val="0"/>
        <w:adjustRightInd/>
        <w:snapToGrid/>
        <w:spacing w:line="360" w:lineRule="auto"/>
        <w:ind w:firstLine="562" w:firstLineChars="200"/>
        <w:jc w:val="left"/>
        <w:textAlignment w:val="auto"/>
        <w:rPr>
          <w:rFonts w:hint="eastAsia" w:ascii="仿宋" w:hAnsi="仿宋" w:eastAsia="仿宋" w:cs="仿宋"/>
          <w:sz w:val="28"/>
          <w:szCs w:val="28"/>
        </w:rPr>
      </w:pPr>
      <w:r>
        <w:rPr>
          <w:rFonts w:hint="eastAsia" w:ascii="仿宋" w:hAnsi="仿宋" w:eastAsia="仿宋" w:cs="仿宋"/>
          <w:b/>
          <w:bCs/>
          <w:color w:val="000000"/>
          <w:kern w:val="0"/>
          <w:sz w:val="28"/>
          <w:szCs w:val="28"/>
          <w:lang w:val="en-US" w:eastAsia="zh-CN" w:bidi="ar"/>
        </w:rPr>
        <w:t xml:space="preserve">4.5.2.3 其他辅助设施 </w:t>
      </w:r>
    </w:p>
    <w:p w14:paraId="1AE1ABE0">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A 拓宽生产便道 </w:t>
      </w:r>
    </w:p>
    <w:p w14:paraId="2A24D9F3">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据现地勘察云盖寺镇黑窑沟村项目区内生产便道宽度为 1.5 米左右，路基为泥土与砂石混合物，路面坑洼大小不一，每逢遇到雨雪天气，道路泥泞不堪。为了方便作业生产，在原有基础上拓宽至 3 米，路面铺上碎石，使路基稳固，方便作业。在云盖寺镇黑窑沟村项目区 1 号改建生产道路 1030 米。本次生产便道拓宽不占周边的林地与耕地。 </w:t>
      </w:r>
    </w:p>
    <w:p w14:paraId="64B5648D">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B.铁丝围栏 </w:t>
      </w:r>
    </w:p>
    <w:p w14:paraId="460AB6F8">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在镇安县云盖寺镇黑窑沟村项目区 3 号小班野猪活动频繁的区域设置铁丝围栏，四周布置防护围栏，围栏高为 1.5m，基础布置间距不大于3m，围栏采用包塑围网型式，包塑围网与扁铁和立柱通过螺丝压紧固定，立柱基础型式采用普通膨胀螺栓固定垫板的形式施工。铁丝围栏长度 1000 米。 </w:t>
      </w:r>
    </w:p>
    <w:p w14:paraId="7117544C">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C.水泥便桥</w:t>
      </w:r>
    </w:p>
    <w:p w14:paraId="7A9EA69E">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为方便交通的正常运行、交通安全和施工安全，保证工程进度和施工质量。在云盖寺镇黑窑沟村周沟通村道路修建路面平行的水泥桥一座。便桥长度约 7 米，宽度 4 米。具体坐标 X108.9917,Y33.5487。水泥便桥需要满足 2 辆农用三轮车同时施工，桥负荷重量 10 吨。水泥便桥由钢筋工程、混凝土工程、土方工程组成。 </w:t>
      </w:r>
    </w:p>
    <w:p w14:paraId="6B0AE9DB">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a钢筋工程（桥面钢筋900kg、桥墩和桥台钢筋1.804t）；</w:t>
      </w:r>
    </w:p>
    <w:p w14:paraId="3A1AD76D">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b混凝土工程（桥面混凝土10.5立方米、桥墩混凝土5.8立方米、桥台混凝土12.5立方米）;</w:t>
      </w:r>
    </w:p>
    <w:p w14:paraId="2B632121">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c土方工程（基础开挖及施工导流的土方100.5立方米、回填土25.8立方米）；</w:t>
      </w:r>
    </w:p>
    <w:p w14:paraId="7AA21AA5">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d八字口挡墙厚度30cm内，采用干砌石砌筑23.5m³。</w:t>
      </w:r>
    </w:p>
    <w:p w14:paraId="6CDAC32B">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基础施工：首先进行场地清理，清除施工范围内的杂草、树木、杂物等。根据设计要求进行基础开挖，开挖深度和宽度要符合设计标准，确保基础的稳定性。对于土质较好的情况，可采用扩大基础；基础开挖完成后，要对基底进行夯实或碾压，使其达到设计的承载力要求。然后浇筑混凝土基础，按照设计的混凝土强度等级和配合比进行搅拌和浇筑，确保基础的尺寸和标高符合要求。 </w:t>
      </w:r>
    </w:p>
    <w:p w14:paraId="7B995F98">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桥墩与桥台施工：基础混凝土达到一定强度后，进行桥墩和桥台的施工。如果是小型便桥，可采用砖砌或石砌桥墩、桥台，砌筑时要保证灰缝饱满、砌体平整。也可采用混凝土浇筑桥墩、桥台，先支设模板，然后绑扎钢筋，最后浇筑混凝土，注意混凝土的振捣密实，防止出现蜂窝麻面等质量问题。 </w:t>
      </w:r>
    </w:p>
    <w:p w14:paraId="5D16D7D8">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梁体施工：梁体可采用预制梁。预制梁可在预制场提前制作，然后运输到现场进行安装，安装时要保证梁体的位置准确、连接牢固。</w:t>
      </w:r>
    </w:p>
    <w:p w14:paraId="32D2EE69">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桥面施工：梁体施工完成后，进行桥面施工。先在梁体上铺设钢筋网，然后浇筑桥面混凝土，混凝土的厚度和强度要符合设计要求。桥面要进行收光处理，使其表面平整、光滑，防止积水。最后根据需要，在桥面上设置栏杆、扶手等安全设施，栏杆的高度和间距要符合安全标准。</w:t>
      </w:r>
    </w:p>
    <w:p w14:paraId="5F3D100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829935" cy="2475865"/>
            <wp:effectExtent l="0" t="0" r="18415"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5829935" cy="2475865"/>
                    </a:xfrm>
                    <a:prstGeom prst="rect">
                      <a:avLst/>
                    </a:prstGeom>
                    <a:noFill/>
                    <a:ln>
                      <a:noFill/>
                    </a:ln>
                  </pic:spPr>
                </pic:pic>
              </a:graphicData>
            </a:graphic>
          </wp:inline>
        </w:drawing>
      </w:r>
      <w:r>
        <w:rPr>
          <w:rFonts w:hint="eastAsia" w:ascii="仿宋" w:hAnsi="仿宋" w:eastAsia="仿宋" w:cs="仿宋"/>
          <w:color w:val="000000"/>
          <w:kern w:val="0"/>
          <w:sz w:val="28"/>
          <w:szCs w:val="28"/>
          <w:lang w:val="en-US" w:eastAsia="zh-CN" w:bidi="ar"/>
        </w:rPr>
        <w:t xml:space="preserve">D 蓄水池 </w:t>
      </w:r>
    </w:p>
    <w:p w14:paraId="1A6C96F0">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在云盖寺镇黑窑沟村项目区 1 号修建 2 座蓄水池，蓄水池长 3 米*宽2 米*高 1.5 米，容水量 9 立方米。施工前挖掘与回填，然后混凝土浇筑，在挖掘好的基础上浇筑混凝土，确保基础结构的稳固，混凝土标号不低于C15，厚度不小于 10cm，并要及时收面，表面要求密实、平整、光滑。池墙砌筑应按图纸设计要求放线，严格掌握垂直度、坡度和高程。蓄水池墙体采村C25砼，墙体厚度0.3m,蓄水池盖板采用C25砼，盖板厚度120mm,两座蓄水池墙体及盖板的钢筋用圆钢Φ10以内,共0.56t,室外安装UPVC110管道400m,连接蓄水池。池墙内壁用 M10 号水泥砂浆抹面 3cm 厚，砂浆中加入防渗剂，其用量为水泥用量的 3%~5%。</w:t>
      </w:r>
    </w:p>
    <w:p w14:paraId="6BC6E19F">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outlineLvl w:val="1"/>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五、消防、安全、卫生、节水措施</w:t>
      </w:r>
    </w:p>
    <w:p w14:paraId="3701BB90">
      <w:pPr>
        <w:keepNext w:val="0"/>
        <w:keepLines w:val="0"/>
        <w:pageBreakBefore w:val="0"/>
        <w:widowControl/>
        <w:suppressLineNumbers w:val="0"/>
        <w:kinsoku/>
        <w:wordWrap/>
        <w:overflowPunct/>
        <w:topLinePunct w:val="0"/>
        <w:autoSpaceDE/>
        <w:autoSpaceDN/>
        <w:bidi w:val="0"/>
        <w:adjustRightInd/>
        <w:snapToGrid/>
        <w:spacing w:line="360" w:lineRule="auto"/>
        <w:ind w:firstLine="562" w:firstLineChars="200"/>
        <w:jc w:val="left"/>
        <w:textAlignment w:val="auto"/>
        <w:rPr>
          <w:rFonts w:hint="eastAsia" w:ascii="仿宋" w:hAnsi="仿宋" w:eastAsia="仿宋" w:cs="仿宋"/>
          <w:sz w:val="28"/>
          <w:szCs w:val="28"/>
        </w:rPr>
      </w:pPr>
      <w:r>
        <w:rPr>
          <w:rFonts w:hint="eastAsia" w:ascii="仿宋" w:hAnsi="仿宋" w:eastAsia="仿宋" w:cs="仿宋"/>
          <w:b/>
          <w:bCs/>
          <w:color w:val="000000"/>
          <w:kern w:val="0"/>
          <w:sz w:val="28"/>
          <w:szCs w:val="28"/>
          <w:lang w:val="en-US" w:eastAsia="zh-CN" w:bidi="ar"/>
        </w:rPr>
        <w:t xml:space="preserve">5.1 消防 </w:t>
      </w:r>
    </w:p>
    <w:p w14:paraId="2B3C93D0">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项目建设及运行过程中供电，仍须从以下几方面做好消防安全工作： </w:t>
      </w:r>
    </w:p>
    <w:p w14:paraId="1B9B9DFE">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1、设立消防安全宣传牌，增强全员的消防安全意识，提高全员消防安全素质，把加强消防安全教育培训活动作为一项日常工作。 </w:t>
      </w:r>
    </w:p>
    <w:p w14:paraId="2C571438">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2、强化用电等安全制度，加强对易燃易爆试剂的管理，在公共场所设置灭火机等必备的消防设备，做到防患于未然。 </w:t>
      </w:r>
    </w:p>
    <w:p w14:paraId="7F11BF53">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3、主要建筑物耐火等级按二级设计。 </w:t>
      </w:r>
    </w:p>
    <w:p w14:paraId="7CE0F029">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4、各建筑物布置要充分考虑消防通道的要求，配备消防设施。 </w:t>
      </w:r>
    </w:p>
    <w:p w14:paraId="493BED8C">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5、在易发生火灾的重点部位，设立防火警示标志，配备消防设施。 </w:t>
      </w:r>
    </w:p>
    <w:p w14:paraId="73034C4D">
      <w:pPr>
        <w:keepNext w:val="0"/>
        <w:keepLines w:val="0"/>
        <w:pageBreakBefore w:val="0"/>
        <w:widowControl/>
        <w:suppressLineNumbers w:val="0"/>
        <w:kinsoku/>
        <w:wordWrap/>
        <w:overflowPunct/>
        <w:topLinePunct w:val="0"/>
        <w:autoSpaceDE/>
        <w:autoSpaceDN/>
        <w:bidi w:val="0"/>
        <w:adjustRightInd/>
        <w:snapToGrid/>
        <w:spacing w:line="360" w:lineRule="auto"/>
        <w:ind w:firstLine="562" w:firstLineChars="200"/>
        <w:jc w:val="left"/>
        <w:textAlignment w:val="auto"/>
        <w:rPr>
          <w:rFonts w:hint="eastAsia" w:ascii="仿宋" w:hAnsi="仿宋" w:eastAsia="仿宋" w:cs="仿宋"/>
          <w:sz w:val="28"/>
          <w:szCs w:val="28"/>
        </w:rPr>
      </w:pPr>
      <w:r>
        <w:rPr>
          <w:rFonts w:hint="eastAsia" w:ascii="仿宋" w:hAnsi="仿宋" w:eastAsia="仿宋" w:cs="仿宋"/>
          <w:b/>
          <w:bCs/>
          <w:color w:val="000000"/>
          <w:kern w:val="0"/>
          <w:sz w:val="28"/>
          <w:szCs w:val="28"/>
          <w:lang w:val="en-US" w:eastAsia="zh-CN" w:bidi="ar"/>
        </w:rPr>
        <w:t xml:space="preserve">5.2 劳动安全与职业卫生 </w:t>
      </w:r>
    </w:p>
    <w:p w14:paraId="5AA9A554">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项目建设建筑安装项目数量少，劳动安全隐患较少。坚持“安全第一、预防为主”的方针，当生产与安全发生矛盾时，要把安全放在第一位；依靠技术进步和科学管理，运用事故预测、分析、安全评价等科学管理方法，采取有效的技术措施和组织措施，预防和消除危及人身安全、健康的一切不良条件和行为。 </w:t>
      </w:r>
    </w:p>
    <w:p w14:paraId="30175EF8">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1、在修建蓄水池、采伐林木来源工期建设过程中，建立健全各项操作规章制度，设专（兼）职安全生产人员，定期进行安全教育和安全检查。各项施工前应加强安全教育和相应的技术培训。 </w:t>
      </w:r>
    </w:p>
    <w:p w14:paraId="387F8B20">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2、以电为动力的设备，应由经过培训的专业人员操作。 </w:t>
      </w:r>
    </w:p>
    <w:p w14:paraId="04D68765">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3、加强防火工具、防火设备使用与管理，操作人员就严格按照操作规程作业。 </w:t>
      </w:r>
    </w:p>
    <w:p w14:paraId="5C17D2F6">
      <w:pPr>
        <w:keepNext w:val="0"/>
        <w:keepLines w:val="0"/>
        <w:pageBreakBefore w:val="0"/>
        <w:widowControl/>
        <w:suppressLineNumbers w:val="0"/>
        <w:kinsoku/>
        <w:wordWrap/>
        <w:overflowPunct/>
        <w:topLinePunct w:val="0"/>
        <w:autoSpaceDE/>
        <w:autoSpaceDN/>
        <w:bidi w:val="0"/>
        <w:adjustRightInd/>
        <w:snapToGrid/>
        <w:spacing w:line="360" w:lineRule="auto"/>
        <w:ind w:firstLine="562" w:firstLineChars="200"/>
        <w:jc w:val="left"/>
        <w:textAlignment w:val="auto"/>
        <w:rPr>
          <w:rFonts w:hint="eastAsia" w:ascii="仿宋" w:hAnsi="仿宋" w:eastAsia="仿宋" w:cs="仿宋"/>
          <w:sz w:val="28"/>
          <w:szCs w:val="28"/>
        </w:rPr>
      </w:pPr>
      <w:r>
        <w:rPr>
          <w:rFonts w:hint="eastAsia" w:ascii="仿宋" w:hAnsi="仿宋" w:eastAsia="仿宋" w:cs="仿宋"/>
          <w:b/>
          <w:bCs/>
          <w:color w:val="000000"/>
          <w:kern w:val="0"/>
          <w:sz w:val="28"/>
          <w:szCs w:val="28"/>
          <w:lang w:val="en-US" w:eastAsia="zh-CN" w:bidi="ar"/>
        </w:rPr>
        <w:t xml:space="preserve">5.3 节水 </w:t>
      </w:r>
    </w:p>
    <w:p w14:paraId="3667091F">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项目用水主要包括生产用水、生活用水和消防用水。节水措施主要有： </w:t>
      </w:r>
    </w:p>
    <w:p w14:paraId="7C354F7E">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1、输水管道参数选择与加压设备相适应，避免压力过大造成水的渗漏。 </w:t>
      </w:r>
    </w:p>
    <w:p w14:paraId="37495388">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2、提高生活用水的重复利用率。</w:t>
      </w:r>
    </w:p>
    <w:p w14:paraId="18570596">
      <w:pPr>
        <w:pStyle w:val="11"/>
        <w:rPr>
          <w:rFonts w:hint="eastAsia"/>
          <w:lang w:val="en-US" w:eastAsia="zh-CN"/>
        </w:rPr>
      </w:pPr>
    </w:p>
    <w:p w14:paraId="0B779CE4">
      <w:pPr>
        <w:spacing w:before="292" w:line="407" w:lineRule="auto"/>
        <w:ind w:left="21" w:firstLine="561"/>
        <w:jc w:val="both"/>
        <w:rPr>
          <w:rFonts w:hint="eastAsia" w:ascii="宋体" w:hAnsi="宋体" w:eastAsia="宋体" w:cs="宋体"/>
          <w:spacing w:val="-2"/>
          <w:sz w:val="24"/>
          <w:szCs w:val="24"/>
          <w:highlight w:val="none"/>
        </w:rPr>
        <w:sectPr>
          <w:footerReference r:id="rId10" w:type="default"/>
          <w:pgSz w:w="11906" w:h="16838"/>
          <w:pgMar w:top="1304" w:right="1361" w:bottom="1304" w:left="1361" w:header="851" w:footer="992" w:gutter="0"/>
          <w:pgNumType w:fmt="decimal"/>
          <w:cols w:space="425" w:num="1"/>
          <w:docGrid w:type="lines" w:linePitch="312" w:charSpace="0"/>
        </w:sectPr>
      </w:pPr>
    </w:p>
    <w:p w14:paraId="5402E5D1">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outlineLvl w:val="1"/>
        <w:rPr>
          <w:rFonts w:hint="default" w:ascii="仿宋" w:hAnsi="仿宋" w:eastAsia="仿宋" w:cs="仿宋"/>
          <w:b/>
          <w:bCs/>
          <w:color w:val="000000"/>
          <w:kern w:val="0"/>
          <w:sz w:val="28"/>
          <w:szCs w:val="28"/>
          <w:lang w:val="en-US" w:eastAsia="zh-CN" w:bidi="ar"/>
        </w:rPr>
      </w:pPr>
      <w:bookmarkStart w:id="107" w:name="_Toc24769"/>
      <w:r>
        <w:rPr>
          <w:rFonts w:hint="eastAsia" w:ascii="仿宋" w:hAnsi="仿宋" w:eastAsia="仿宋" w:cs="仿宋"/>
          <w:b/>
          <w:bCs/>
          <w:color w:val="000000"/>
          <w:kern w:val="0"/>
          <w:sz w:val="28"/>
          <w:szCs w:val="28"/>
          <w:lang w:val="en-US" w:eastAsia="zh-CN" w:bidi="ar"/>
        </w:rPr>
        <w:t>六、工程量清单</w:t>
      </w:r>
    </w:p>
    <w:p w14:paraId="25F7B1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1标段-云盖寺镇黑窑沟村作业区，面积120亩（魔芋种植1、2、3小班）</w:t>
      </w:r>
    </w:p>
    <w:tbl>
      <w:tblPr>
        <w:tblStyle w:val="2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39"/>
        <w:gridCol w:w="1063"/>
        <w:gridCol w:w="5566"/>
        <w:gridCol w:w="640"/>
        <w:gridCol w:w="852"/>
        <w:gridCol w:w="640"/>
      </w:tblGrid>
      <w:tr w14:paraId="0CE2A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00"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BDA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E43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项目名称</w:t>
            </w:r>
          </w:p>
        </w:tc>
        <w:tc>
          <w:tcPr>
            <w:tcW w:w="29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1DB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C33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DEC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工程量</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64D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14:paraId="44FB0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F45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C4E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整地</w:t>
            </w:r>
          </w:p>
        </w:tc>
        <w:tc>
          <w:tcPr>
            <w:tcW w:w="29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764C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1.整地 1 个工日/亩；</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2.整地时间选择在 3 月中下旬。整地前每亩布撒辛硫磷 1～2 kg，随整地深翻入地下杀灭地下害虫，避免与碱性农药混用。具体详见实施方案。</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0CD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亩</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A94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C6014">
            <w:pPr>
              <w:jc w:val="center"/>
              <w:rPr>
                <w:rFonts w:hint="eastAsia" w:ascii="宋体" w:hAnsi="宋体" w:eastAsia="宋体" w:cs="宋体"/>
                <w:i w:val="0"/>
                <w:iCs w:val="0"/>
                <w:color w:val="000000"/>
                <w:sz w:val="24"/>
                <w:szCs w:val="24"/>
                <w:u w:val="none"/>
              </w:rPr>
            </w:pPr>
          </w:p>
        </w:tc>
      </w:tr>
      <w:tr w14:paraId="64195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EFB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D67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播种</w:t>
            </w:r>
          </w:p>
        </w:tc>
        <w:tc>
          <w:tcPr>
            <w:tcW w:w="29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F1F2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1.播种 1 个工日/亩；</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2.种植密度：一代种株行距控制在 40×40cm，二代种株行距控制在50×50cm；芋种宜尽量挑选大小相近、重量相当的芋种尽量种植在一个区域，便于后期管理和采挖。具体详见实施方案。</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879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亩</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2B2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7D0A2">
            <w:pPr>
              <w:jc w:val="center"/>
              <w:rPr>
                <w:rFonts w:hint="eastAsia" w:ascii="宋体" w:hAnsi="宋体" w:eastAsia="宋体" w:cs="宋体"/>
                <w:i w:val="0"/>
                <w:iCs w:val="0"/>
                <w:color w:val="000000"/>
                <w:sz w:val="24"/>
                <w:szCs w:val="24"/>
                <w:u w:val="none"/>
              </w:rPr>
            </w:pPr>
          </w:p>
        </w:tc>
      </w:tr>
      <w:tr w14:paraId="4A4D8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33F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AEF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抚育管理</w:t>
            </w:r>
          </w:p>
        </w:tc>
        <w:tc>
          <w:tcPr>
            <w:tcW w:w="29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817A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抚育管理 1 个工日/亩，具体详见实施方案。</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72B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亩</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0A7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C7B63">
            <w:pPr>
              <w:jc w:val="center"/>
              <w:rPr>
                <w:rFonts w:hint="eastAsia" w:ascii="宋体" w:hAnsi="宋体" w:eastAsia="宋体" w:cs="宋体"/>
                <w:i w:val="0"/>
                <w:iCs w:val="0"/>
                <w:color w:val="000000"/>
                <w:sz w:val="24"/>
                <w:szCs w:val="24"/>
                <w:u w:val="none"/>
              </w:rPr>
            </w:pPr>
          </w:p>
        </w:tc>
      </w:tr>
      <w:tr w14:paraId="25FFE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9D3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70A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采挖</w:t>
            </w:r>
          </w:p>
        </w:tc>
        <w:tc>
          <w:tcPr>
            <w:tcW w:w="29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4A41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1.采挖 1 个工日/亩；</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2.霜降后，80%的植株自然倒伏后 10 天，选晴天采收。采收后，将魔芋进行分级，300g 以上的作为商品及时销售。300g 以下的作为种芋，晾晒失水 1/5 后进行消毒储藏。具体详见实施方案。</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4BA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亩</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71B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2B539">
            <w:pPr>
              <w:jc w:val="center"/>
              <w:rPr>
                <w:rFonts w:hint="eastAsia" w:ascii="宋体" w:hAnsi="宋体" w:eastAsia="宋体" w:cs="宋体"/>
                <w:i w:val="0"/>
                <w:iCs w:val="0"/>
                <w:color w:val="000000"/>
                <w:sz w:val="24"/>
                <w:szCs w:val="24"/>
                <w:u w:val="none"/>
              </w:rPr>
            </w:pPr>
          </w:p>
        </w:tc>
      </w:tr>
      <w:tr w14:paraId="74122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6F3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0AC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魔芋种</w:t>
            </w:r>
          </w:p>
        </w:tc>
        <w:tc>
          <w:tcPr>
            <w:tcW w:w="29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FFC4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1.魔芋种每亩用量 200kg，魔芋种直径2~3cm，核桃大小；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2.在未发生过根腐病、软腐病等病害的区域选择芋种；选择适应性强、抗病力强的种源，视检种皮无损伤、无病害、无腐烂的魔芋芋种，种球茎上端端口平，芽窝小、芋头形色正常，形体饱满、顶芽呈锥形。</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EA9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kg</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6C5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21600</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78E4F">
            <w:pPr>
              <w:jc w:val="center"/>
              <w:rPr>
                <w:rFonts w:hint="eastAsia" w:ascii="宋体" w:hAnsi="宋体" w:eastAsia="宋体" w:cs="宋体"/>
                <w:i w:val="0"/>
                <w:iCs w:val="0"/>
                <w:color w:val="000000"/>
                <w:sz w:val="24"/>
                <w:szCs w:val="24"/>
                <w:u w:val="none"/>
              </w:rPr>
            </w:pPr>
          </w:p>
        </w:tc>
      </w:tr>
      <w:tr w14:paraId="11E12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C87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499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复合肥</w:t>
            </w:r>
          </w:p>
        </w:tc>
        <w:tc>
          <w:tcPr>
            <w:tcW w:w="29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76F2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1.每亩用量 1 袋，每袋 50kg；</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2.每亩施用氮、磷、钾比例为 1:1:1 或 2:1:2 的复合肥，具体详见实施方案。</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ECC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kg</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A30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6000</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37207">
            <w:pPr>
              <w:jc w:val="center"/>
              <w:rPr>
                <w:rFonts w:hint="eastAsia" w:ascii="宋体" w:hAnsi="宋体" w:eastAsia="宋体" w:cs="宋体"/>
                <w:i w:val="0"/>
                <w:iCs w:val="0"/>
                <w:color w:val="000000"/>
                <w:sz w:val="24"/>
                <w:szCs w:val="24"/>
                <w:u w:val="none"/>
              </w:rPr>
            </w:pPr>
          </w:p>
        </w:tc>
      </w:tr>
      <w:tr w14:paraId="13C7A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765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2C1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有机肥</w:t>
            </w:r>
          </w:p>
        </w:tc>
        <w:tc>
          <w:tcPr>
            <w:tcW w:w="29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8014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每亩用量 2 袋，每袋 50kg，具体详见实施方案。</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EF1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kg</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A63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8400</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3243F">
            <w:pPr>
              <w:jc w:val="center"/>
              <w:rPr>
                <w:rFonts w:hint="eastAsia" w:ascii="宋体" w:hAnsi="宋体" w:eastAsia="宋体" w:cs="宋体"/>
                <w:i w:val="0"/>
                <w:iCs w:val="0"/>
                <w:color w:val="000000"/>
                <w:sz w:val="24"/>
                <w:szCs w:val="24"/>
                <w:u w:val="none"/>
              </w:rPr>
            </w:pPr>
          </w:p>
        </w:tc>
      </w:tr>
      <w:tr w14:paraId="24B93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FB1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BD5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种子消毒</w:t>
            </w:r>
          </w:p>
        </w:tc>
        <w:tc>
          <w:tcPr>
            <w:tcW w:w="29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1A12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每亩用量 1g，用浸种的方法消毒，将芋种浸泡于浸种液中 30 分钟后捞出，在通风处晾干。浸种液使用春雷·中生菌素 500 倍液；或春雷·王铜500 倍液；或噻森铜 500 倍液；或氯溴异氰尿酸 500 倍液。药剂的使用应符合 GB/T 8321.9 的规定。具体详见实施方案。</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F8F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g</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FDE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3DF3E">
            <w:pPr>
              <w:jc w:val="center"/>
              <w:rPr>
                <w:rFonts w:hint="eastAsia" w:ascii="宋体" w:hAnsi="宋体" w:eastAsia="宋体" w:cs="宋体"/>
                <w:i w:val="0"/>
                <w:iCs w:val="0"/>
                <w:color w:val="000000"/>
                <w:sz w:val="24"/>
                <w:szCs w:val="24"/>
                <w:u w:val="none"/>
              </w:rPr>
            </w:pPr>
          </w:p>
        </w:tc>
      </w:tr>
      <w:tr w14:paraId="78FE2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F9D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A20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病虫害防治</w:t>
            </w:r>
          </w:p>
        </w:tc>
        <w:tc>
          <w:tcPr>
            <w:tcW w:w="29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3574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1.物理防治:安装杀虫灯或粘虫板，利用趋光性诱捕器诱杀；</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 生物防治:利用引诱剂诱杀或干扰害虫交配，减少虫源；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 化学防治:选用高效、低毒、低残留的化学农药，不同类型的农药交替使用。具体详见实施方案。</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222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亩</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FBD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11BFF">
            <w:pPr>
              <w:jc w:val="center"/>
              <w:rPr>
                <w:rFonts w:hint="eastAsia" w:ascii="宋体" w:hAnsi="宋体" w:eastAsia="宋体" w:cs="宋体"/>
                <w:i w:val="0"/>
                <w:iCs w:val="0"/>
                <w:color w:val="000000"/>
                <w:sz w:val="24"/>
                <w:szCs w:val="24"/>
                <w:u w:val="none"/>
              </w:rPr>
            </w:pPr>
          </w:p>
        </w:tc>
      </w:tr>
      <w:tr w14:paraId="10855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9AA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BF3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遮荫网</w:t>
            </w:r>
          </w:p>
        </w:tc>
        <w:tc>
          <w:tcPr>
            <w:tcW w:w="29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53D7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黑色加密加厚抗老化夏季遮光防晒网户外菜地遮阴农用大棚网，4针加密加厚，具体详见实施方案。</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229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m2</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357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24000</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B88E3">
            <w:pPr>
              <w:jc w:val="center"/>
              <w:rPr>
                <w:rFonts w:hint="eastAsia" w:ascii="宋体" w:hAnsi="宋体" w:eastAsia="宋体" w:cs="宋体"/>
                <w:i w:val="0"/>
                <w:iCs w:val="0"/>
                <w:color w:val="000000"/>
                <w:sz w:val="24"/>
                <w:szCs w:val="24"/>
                <w:u w:val="none"/>
              </w:rPr>
            </w:pPr>
          </w:p>
        </w:tc>
      </w:tr>
      <w:tr w14:paraId="7407B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EFB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DF6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地膜</w:t>
            </w:r>
          </w:p>
        </w:tc>
        <w:tc>
          <w:tcPr>
            <w:tcW w:w="29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2B19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塑料地膜，宽度0.8-1m，保温隔热，具体详见实施方案。</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966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kg</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240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600</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CA4FD">
            <w:pPr>
              <w:jc w:val="center"/>
              <w:rPr>
                <w:rFonts w:hint="eastAsia" w:ascii="宋体" w:hAnsi="宋体" w:eastAsia="宋体" w:cs="宋体"/>
                <w:i w:val="0"/>
                <w:iCs w:val="0"/>
                <w:color w:val="000000"/>
                <w:sz w:val="24"/>
                <w:szCs w:val="24"/>
                <w:u w:val="none"/>
              </w:rPr>
            </w:pPr>
          </w:p>
        </w:tc>
      </w:tr>
      <w:tr w14:paraId="737F3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0"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4E5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760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便桥</w:t>
            </w:r>
          </w:p>
        </w:tc>
        <w:tc>
          <w:tcPr>
            <w:tcW w:w="29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CDF2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长7米，宽4米，混凝土桥，桥负荷重量 10 吨，钢筋工程（桥面钢筋900kg、桥墩和桥台钢筋1.804t）；混凝土工程（桥面混凝土10.5立方米、桥墩混凝土5.8立方米、桥台混凝土12.5立方米）</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土方工程（基础开挖及施工导流的土方100.5立方米、回填土25.8立方米）；八字口挡墙厚度30cm内，采用干砌石砌筑23.5m³。（</w:t>
            </w:r>
            <w:r>
              <w:rPr>
                <w:rFonts w:hint="eastAsia" w:ascii="宋体" w:hAnsi="宋体" w:cs="宋体"/>
                <w:i w:val="0"/>
                <w:iCs w:val="0"/>
                <w:color w:val="000000"/>
                <w:kern w:val="0"/>
                <w:sz w:val="24"/>
                <w:szCs w:val="24"/>
                <w:u w:val="none"/>
                <w:lang w:val="en-US" w:eastAsia="zh-CN" w:bidi="ar"/>
              </w:rPr>
              <w:t>详见实施方案</w:t>
            </w:r>
            <w:r>
              <w:rPr>
                <w:rFonts w:hint="eastAsia" w:ascii="宋体" w:hAnsi="宋体" w:eastAsia="宋体" w:cs="宋体"/>
                <w:i w:val="0"/>
                <w:iCs w:val="0"/>
                <w:color w:val="000000"/>
                <w:kern w:val="0"/>
                <w:sz w:val="24"/>
                <w:szCs w:val="24"/>
                <w:u w:val="none"/>
                <w:lang w:val="en-US" w:eastAsia="zh-CN" w:bidi="ar"/>
              </w:rPr>
              <w:t>）</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B8B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座</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DD3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D16C5">
            <w:pPr>
              <w:jc w:val="center"/>
              <w:rPr>
                <w:rFonts w:hint="eastAsia" w:ascii="宋体" w:hAnsi="宋体" w:eastAsia="宋体" w:cs="宋体"/>
                <w:i w:val="0"/>
                <w:iCs w:val="0"/>
                <w:color w:val="000000"/>
                <w:sz w:val="24"/>
                <w:szCs w:val="24"/>
                <w:u w:val="none"/>
              </w:rPr>
            </w:pPr>
          </w:p>
        </w:tc>
      </w:tr>
      <w:tr w14:paraId="155F1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264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962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铁丝围栏</w:t>
            </w:r>
          </w:p>
        </w:tc>
        <w:tc>
          <w:tcPr>
            <w:tcW w:w="29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DEB6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围栏高为 1.5m，基础布置间距不大于3m，围栏采用包塑围网型式，包塑围网与扁铁和立柱通过螺丝压紧固定，立柱基础型式采用普通膨胀螺栓固定垫板的形式施工。具体详见实施方案。（单价包含安装和后期维护等其他费用）</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7FC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920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F2816">
            <w:pPr>
              <w:jc w:val="center"/>
              <w:rPr>
                <w:rFonts w:hint="eastAsia" w:ascii="宋体" w:hAnsi="宋体" w:eastAsia="宋体" w:cs="宋体"/>
                <w:i w:val="0"/>
                <w:iCs w:val="0"/>
                <w:color w:val="000000"/>
                <w:sz w:val="24"/>
                <w:szCs w:val="24"/>
                <w:u w:val="none"/>
              </w:rPr>
            </w:pPr>
          </w:p>
        </w:tc>
      </w:tr>
      <w:tr w14:paraId="0E72C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0"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0CA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5D9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改建便道</w:t>
            </w:r>
          </w:p>
        </w:tc>
        <w:tc>
          <w:tcPr>
            <w:tcW w:w="29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556C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据现地勘察云盖寺镇黑窑沟村项目区内生产便道宽度为 1.5 米左右，路基为泥土与砂石混合物，路面坑洼大小不一，每逢遇到雨雪天气，道路泥泞不堪。为了方便作业生产，在原有基础上拓宽至 3 米，路面铺上5cm厚碎石，使路基稳固，方便作业。在云盖寺镇黑窑沟村项目区 1 号改建生产道路1030米。本次生产便道拓宽不占周边的林地与耕地。</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1BD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km</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A70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1.03</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8AD70">
            <w:pPr>
              <w:jc w:val="center"/>
              <w:rPr>
                <w:rFonts w:hint="eastAsia" w:ascii="宋体" w:hAnsi="宋体" w:eastAsia="宋体" w:cs="宋体"/>
                <w:i w:val="0"/>
                <w:iCs w:val="0"/>
                <w:color w:val="000000"/>
                <w:sz w:val="24"/>
                <w:szCs w:val="24"/>
                <w:u w:val="none"/>
              </w:rPr>
            </w:pPr>
          </w:p>
        </w:tc>
      </w:tr>
      <w:tr w14:paraId="0C62C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0"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22A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FC0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蓄水池</w:t>
            </w:r>
          </w:p>
        </w:tc>
        <w:tc>
          <w:tcPr>
            <w:tcW w:w="29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AC11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 3 米*宽 2 米*高 1.5 米，容水量 9 立方米，内壁采用防水砂浆抹面处理。蓄水池墙体采村C25砼，墙体厚度0.3m,蓄水池盖板采用C25砼，盖板厚度120mm,两座蓄水池墙体及盖板的钢筋用圆钢Φ10以内,共0.56t,室外安装UPVC110管道400m,连接蓄水池。池墙内壁用 M10 号水泥砂浆抹面 3cm 厚，砂浆中加入防渗剂，其用量为水泥用量的 3%~5%。</w:t>
            </w:r>
            <w:r>
              <w:rPr>
                <w:rFonts w:hint="eastAsia" w:ascii="宋体" w:hAnsi="宋体" w:cs="宋体"/>
                <w:i w:val="0"/>
                <w:iCs w:val="0"/>
                <w:color w:val="000000"/>
                <w:kern w:val="0"/>
                <w:sz w:val="24"/>
                <w:szCs w:val="24"/>
                <w:u w:val="none"/>
                <w:lang w:val="en-US" w:eastAsia="zh-CN" w:bidi="ar"/>
              </w:rPr>
              <w:t>（详见实施方案）</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447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座</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4D7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1B8BA">
            <w:pPr>
              <w:jc w:val="center"/>
              <w:rPr>
                <w:rFonts w:hint="eastAsia" w:ascii="宋体" w:hAnsi="宋体" w:eastAsia="宋体" w:cs="宋体"/>
                <w:i w:val="0"/>
                <w:iCs w:val="0"/>
                <w:color w:val="000000"/>
                <w:sz w:val="24"/>
                <w:szCs w:val="24"/>
                <w:u w:val="none"/>
              </w:rPr>
            </w:pPr>
          </w:p>
        </w:tc>
      </w:tr>
    </w:tbl>
    <w:p w14:paraId="064F4C2B">
      <w:pPr>
        <w:rPr>
          <w:rFonts w:hint="eastAsia" w:asciiTheme="minorEastAsia" w:hAnsiTheme="minorEastAsia" w:eastAsiaTheme="minorEastAsia" w:cstheme="minorEastAsia"/>
          <w:bCs/>
          <w:sz w:val="36"/>
          <w:szCs w:val="36"/>
          <w:highlight w:val="none"/>
        </w:rPr>
      </w:pPr>
      <w:r>
        <w:rPr>
          <w:rFonts w:hint="eastAsia" w:asciiTheme="minorEastAsia" w:hAnsiTheme="minorEastAsia" w:eastAsiaTheme="minorEastAsia" w:cstheme="minorEastAsia"/>
          <w:bCs/>
          <w:sz w:val="36"/>
          <w:szCs w:val="36"/>
          <w:highlight w:val="none"/>
        </w:rPr>
        <w:br w:type="page"/>
      </w:r>
    </w:p>
    <w:p w14:paraId="584A19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2标段-月河镇黄土岭作业区，面积402亩（天麻种植1、3、4、5、10、11、12、13小班）</w:t>
      </w:r>
    </w:p>
    <w:tbl>
      <w:tblPr>
        <w:tblStyle w:val="2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92"/>
        <w:gridCol w:w="1116"/>
        <w:gridCol w:w="5725"/>
        <w:gridCol w:w="593"/>
        <w:gridCol w:w="781"/>
        <w:gridCol w:w="593"/>
      </w:tblGrid>
      <w:tr w14:paraId="42751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636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684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项目名称</w:t>
            </w:r>
          </w:p>
        </w:tc>
        <w:tc>
          <w:tcPr>
            <w:tcW w:w="30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33A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B2C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DF7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工程量</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2A6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14:paraId="61270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BE6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682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采伐用工量</w:t>
            </w:r>
          </w:p>
        </w:tc>
        <w:tc>
          <w:tcPr>
            <w:tcW w:w="30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B478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在镇安县月河镇黄土岭村虎狼沟组选取 750 亩进行采伐，采伐优势树种为栎类，郁闭度 0.6-0.8，平均树高 7-10 米，坡度为 10-20，林木起源为天然，每亩株数为 100-130 株，龄组为近熟林、成熟林，枯死木、濒死木每亩约为 9-15 株，每亩活立木蓄积为 5.8-7.8 立方米。</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E35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工日</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9FF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402</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428C1">
            <w:pPr>
              <w:jc w:val="center"/>
              <w:rPr>
                <w:rFonts w:hint="eastAsia" w:ascii="宋体" w:hAnsi="宋体" w:eastAsia="宋体" w:cs="宋体"/>
                <w:i w:val="0"/>
                <w:iCs w:val="0"/>
                <w:color w:val="000000"/>
                <w:sz w:val="24"/>
                <w:szCs w:val="24"/>
                <w:u w:val="none"/>
              </w:rPr>
            </w:pPr>
          </w:p>
        </w:tc>
      </w:tr>
      <w:tr w14:paraId="1CD9E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C47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DC2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菌棒整理用工量</w:t>
            </w:r>
          </w:p>
        </w:tc>
        <w:tc>
          <w:tcPr>
            <w:tcW w:w="30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93F5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具体详见实施方案。</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D60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工日</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0A3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202</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D1247">
            <w:pPr>
              <w:jc w:val="center"/>
              <w:rPr>
                <w:rFonts w:hint="eastAsia" w:ascii="宋体" w:hAnsi="宋体" w:eastAsia="宋体" w:cs="宋体"/>
                <w:i w:val="0"/>
                <w:iCs w:val="0"/>
                <w:color w:val="000000"/>
                <w:sz w:val="24"/>
                <w:szCs w:val="24"/>
                <w:u w:val="none"/>
              </w:rPr>
            </w:pPr>
          </w:p>
        </w:tc>
      </w:tr>
      <w:tr w14:paraId="6D30D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C7F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157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整地</w:t>
            </w:r>
          </w:p>
        </w:tc>
        <w:tc>
          <w:tcPr>
            <w:tcW w:w="30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4C96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1.整地 1 个工日/亩；</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2.在林下缓坡地，基于可放稳菌包为标准，环形开挖 50 厘米以上宽度的条带。开挖好的条带上撒含量 3%辛硫磷（每 100 窝撒 1 公斤左右，分别在挖好的条带底部和栽培覆土之后两次）除虫。具体详见实施方案。</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90A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亩</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059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402</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E6829">
            <w:pPr>
              <w:jc w:val="center"/>
              <w:rPr>
                <w:rFonts w:hint="eastAsia" w:ascii="宋体" w:hAnsi="宋体" w:eastAsia="宋体" w:cs="宋体"/>
                <w:i w:val="0"/>
                <w:iCs w:val="0"/>
                <w:color w:val="000000"/>
                <w:sz w:val="24"/>
                <w:szCs w:val="24"/>
                <w:u w:val="none"/>
              </w:rPr>
            </w:pPr>
          </w:p>
        </w:tc>
      </w:tr>
      <w:tr w14:paraId="7AB35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01F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787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栽植</w:t>
            </w:r>
          </w:p>
        </w:tc>
        <w:tc>
          <w:tcPr>
            <w:tcW w:w="30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CA7E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1.栽植1 个工日/亩；</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2.选择乌江杂交品种，具体详见实施方案。</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5F6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亩</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A54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402</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3C418">
            <w:pPr>
              <w:jc w:val="center"/>
              <w:rPr>
                <w:rFonts w:hint="eastAsia" w:ascii="宋体" w:hAnsi="宋体" w:eastAsia="宋体" w:cs="宋体"/>
                <w:i w:val="0"/>
                <w:iCs w:val="0"/>
                <w:color w:val="000000"/>
                <w:sz w:val="24"/>
                <w:szCs w:val="24"/>
                <w:u w:val="none"/>
              </w:rPr>
            </w:pPr>
          </w:p>
        </w:tc>
      </w:tr>
      <w:tr w14:paraId="78A88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154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467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抚育管理</w:t>
            </w:r>
          </w:p>
        </w:tc>
        <w:tc>
          <w:tcPr>
            <w:tcW w:w="30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16EF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1.抚育管理 1 个工日/亩；</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2.温度、湿度、光照、施肥以及防冻害管理，具体详见实施方案。</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F8A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亩</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A73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402</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F44F6">
            <w:pPr>
              <w:jc w:val="center"/>
              <w:rPr>
                <w:rFonts w:hint="eastAsia" w:ascii="宋体" w:hAnsi="宋体" w:eastAsia="宋体" w:cs="宋体"/>
                <w:i w:val="0"/>
                <w:iCs w:val="0"/>
                <w:color w:val="000000"/>
                <w:sz w:val="24"/>
                <w:szCs w:val="24"/>
                <w:u w:val="none"/>
              </w:rPr>
            </w:pPr>
          </w:p>
        </w:tc>
      </w:tr>
      <w:tr w14:paraId="5135B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48B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7C1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采挖</w:t>
            </w:r>
          </w:p>
        </w:tc>
        <w:tc>
          <w:tcPr>
            <w:tcW w:w="30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CB47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采挖 1 个工日/亩，具体详见实施方案。</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E36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亩</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321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402</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65820">
            <w:pPr>
              <w:jc w:val="center"/>
              <w:rPr>
                <w:rFonts w:hint="eastAsia" w:ascii="宋体" w:hAnsi="宋体" w:eastAsia="宋体" w:cs="宋体"/>
                <w:i w:val="0"/>
                <w:iCs w:val="0"/>
                <w:color w:val="000000"/>
                <w:sz w:val="24"/>
                <w:szCs w:val="24"/>
                <w:u w:val="none"/>
              </w:rPr>
            </w:pPr>
          </w:p>
        </w:tc>
      </w:tr>
      <w:tr w14:paraId="5BDC4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A04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989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天麻种</w:t>
            </w:r>
          </w:p>
        </w:tc>
        <w:tc>
          <w:tcPr>
            <w:tcW w:w="30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59A9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每亩用量 200 窝，每窝0.5kg，允许稍有空心但无碎块，色泽较一级稍暗，仍保持半透明质地。</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4E0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窝</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460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80400</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237BB">
            <w:pPr>
              <w:jc w:val="center"/>
              <w:rPr>
                <w:rFonts w:hint="eastAsia" w:ascii="宋体" w:hAnsi="宋体" w:eastAsia="宋体" w:cs="宋体"/>
                <w:i w:val="0"/>
                <w:iCs w:val="0"/>
                <w:color w:val="000000"/>
                <w:sz w:val="24"/>
                <w:szCs w:val="24"/>
                <w:u w:val="none"/>
              </w:rPr>
            </w:pPr>
          </w:p>
        </w:tc>
      </w:tr>
      <w:tr w14:paraId="729CD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B37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56F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有机肥(每亩用量 2 袋，每袋 50kg)</w:t>
            </w:r>
          </w:p>
        </w:tc>
        <w:tc>
          <w:tcPr>
            <w:tcW w:w="30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5E2F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整地深耕时要用有机复合肥。养分比例：天麻生长需要多种养分，不同生长阶段对养分的需求有所差异。一般来说，前期以氮肥为主，促进茎叶生长；中后期以磷、钾为主，有利于块茎膨大。因此，可选择氮、磷、钾比例为 1:1:1 或 2:1:2 的复合肥，如 15 - 15 - 15、18 - 9 - 18 等配方的复合肥。具体详见实施方案。</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000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kg</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F2E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28140</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4848A">
            <w:pPr>
              <w:jc w:val="center"/>
              <w:rPr>
                <w:rFonts w:hint="eastAsia" w:ascii="宋体" w:hAnsi="宋体" w:eastAsia="宋体" w:cs="宋体"/>
                <w:i w:val="0"/>
                <w:iCs w:val="0"/>
                <w:color w:val="000000"/>
                <w:sz w:val="24"/>
                <w:szCs w:val="24"/>
                <w:u w:val="none"/>
              </w:rPr>
            </w:pPr>
          </w:p>
        </w:tc>
      </w:tr>
      <w:tr w14:paraId="23ABB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0" w:hRule="atLeast"/>
        </w:trPr>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3F5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B63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蜜环菌</w:t>
            </w:r>
          </w:p>
        </w:tc>
        <w:tc>
          <w:tcPr>
            <w:tcW w:w="30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D296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每亩用量 200 窝，每窝1-2斤，菌盖直径‌：蜜环菌的菌盖直径一般在4-14厘米之间，幼时为淡土黄色、蜂蜜色至浅黄褐色，老后变为棕褐色‌；菌褶颜色‌：菌褶颜色从白色逐渐变为肉粉色，最终可能呈现暗褐色斑点‌；菌柄长度‌：菌柄细长，圆柱形，长度在5-13厘米之间，直径为0.5-1.5厘米‌；菌环位置‌：菌环通常位于菌柄的上部，幼时常呈双层，后期带奶油色‌。每窝半瓶左右，具体根据实际调整。</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C4F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窝</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2BA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80400</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7C2B8">
            <w:pPr>
              <w:jc w:val="center"/>
              <w:rPr>
                <w:rFonts w:hint="eastAsia" w:ascii="宋体" w:hAnsi="宋体" w:eastAsia="宋体" w:cs="宋体"/>
                <w:i w:val="0"/>
                <w:iCs w:val="0"/>
                <w:color w:val="000000"/>
                <w:sz w:val="24"/>
                <w:szCs w:val="24"/>
                <w:u w:val="none"/>
              </w:rPr>
            </w:pPr>
          </w:p>
        </w:tc>
      </w:tr>
      <w:tr w14:paraId="24EB1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atLeast"/>
        </w:trPr>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0EF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E14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病虫害防治</w:t>
            </w:r>
          </w:p>
        </w:tc>
        <w:tc>
          <w:tcPr>
            <w:tcW w:w="30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CD05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1.物理防治:安装杀虫灯或粘虫板，利用趋光性诱捕器诱杀；</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2.生物防治:利用引诱剂诱杀或干扰害虫交配，减少虫源；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3.化学防治:选用高效、低毒、低残留的化学农药，不同类型的农药交替使用，农药的使用应符合 GB/T 8321.9 和 GB/T 8321.10 的规定。具体详见实施方案。</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D50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亩</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46A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402</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BD226">
            <w:pPr>
              <w:jc w:val="center"/>
              <w:rPr>
                <w:rFonts w:hint="eastAsia" w:ascii="宋体" w:hAnsi="宋体" w:eastAsia="宋体" w:cs="宋体"/>
                <w:i w:val="0"/>
                <w:iCs w:val="0"/>
                <w:color w:val="000000"/>
                <w:sz w:val="24"/>
                <w:szCs w:val="24"/>
                <w:u w:val="none"/>
              </w:rPr>
            </w:pPr>
          </w:p>
        </w:tc>
      </w:tr>
      <w:tr w14:paraId="6E827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8F2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53A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新建道路</w:t>
            </w:r>
          </w:p>
        </w:tc>
        <w:tc>
          <w:tcPr>
            <w:tcW w:w="30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6C6F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在虎狼沟作业区 2 号、3 号、4 号、8 号、11 号小班新建生产道路，长度合计 1000 米，宽度为 3 米，厚度20cm的砂石道路，以满足当地生产活动的运输需求，提高生产效率，改善区域交通状况。新建生产道路沿山体林间空地进行修建，不占乔木林地面积。</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392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km</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87E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0.5</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EF7C2">
            <w:pPr>
              <w:jc w:val="center"/>
              <w:rPr>
                <w:rFonts w:hint="eastAsia" w:ascii="宋体" w:hAnsi="宋体" w:eastAsia="宋体" w:cs="宋体"/>
                <w:i w:val="0"/>
                <w:iCs w:val="0"/>
                <w:color w:val="000000"/>
                <w:sz w:val="24"/>
                <w:szCs w:val="24"/>
                <w:u w:val="none"/>
              </w:rPr>
            </w:pPr>
          </w:p>
        </w:tc>
      </w:tr>
      <w:tr w14:paraId="0EFA6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627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E33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机械围栏</w:t>
            </w:r>
          </w:p>
        </w:tc>
        <w:tc>
          <w:tcPr>
            <w:tcW w:w="30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5FB9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在野猪较为频繁的地方，设置水泥桩围栏，围栏高度 90cm 以上，铁丝带刺，每隔 3 米埋设 12×12 厘米预制水泥桩一根，为加大警示宣传效果，将水泥桩用红黄两色油漆相间涂抹，同色间距 30cm。</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2C6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6B7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C9050">
            <w:pPr>
              <w:jc w:val="center"/>
              <w:rPr>
                <w:rFonts w:hint="eastAsia" w:ascii="宋体" w:hAnsi="宋体" w:eastAsia="宋体" w:cs="宋体"/>
                <w:i w:val="0"/>
                <w:iCs w:val="0"/>
                <w:color w:val="000000"/>
                <w:sz w:val="24"/>
                <w:szCs w:val="24"/>
                <w:u w:val="none"/>
              </w:rPr>
            </w:pPr>
          </w:p>
        </w:tc>
      </w:tr>
      <w:tr w14:paraId="6C8DE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trPr>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D0B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C4C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生产工器具</w:t>
            </w:r>
          </w:p>
        </w:tc>
        <w:tc>
          <w:tcPr>
            <w:tcW w:w="30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224F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采伐设计生产工器具：包括手动锯、汽油锯、油锯链条扳手、斧头及防护用具。防护用具含安全帽、护目镜、耳塞、防护手套、防护鞋等，保护采伐人员的安全，防止在作业过程中受到伤害。购置采伐设计生产工器具 10 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2.林下种植生产工器具：包括铁锨、镐头、镊子、手动割草剪、高枝剪、剪刀、卷尺和标杆等工具。购置林下种植生产工器具 10 套。</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081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7DE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D2605">
            <w:pPr>
              <w:jc w:val="center"/>
              <w:rPr>
                <w:rFonts w:hint="eastAsia" w:ascii="宋体" w:hAnsi="宋体" w:eastAsia="宋体" w:cs="宋体"/>
                <w:i w:val="0"/>
                <w:iCs w:val="0"/>
                <w:color w:val="000000"/>
                <w:sz w:val="24"/>
                <w:szCs w:val="24"/>
                <w:u w:val="none"/>
              </w:rPr>
            </w:pPr>
          </w:p>
        </w:tc>
      </w:tr>
    </w:tbl>
    <w:p w14:paraId="4BD3B4BA">
      <w:pPr>
        <w:rPr>
          <w:rFonts w:hint="eastAsia" w:asciiTheme="minorEastAsia" w:hAnsiTheme="minorEastAsia" w:eastAsiaTheme="minorEastAsia" w:cstheme="minorEastAsia"/>
          <w:bCs/>
          <w:sz w:val="36"/>
          <w:szCs w:val="36"/>
          <w:highlight w:val="none"/>
        </w:rPr>
      </w:pPr>
    </w:p>
    <w:p w14:paraId="6815C4F3">
      <w:pPr>
        <w:rPr>
          <w:rFonts w:hint="eastAsia" w:asciiTheme="minorEastAsia" w:hAnsiTheme="minorEastAsia" w:eastAsiaTheme="minorEastAsia" w:cstheme="minorEastAsia"/>
          <w:bCs/>
          <w:sz w:val="36"/>
          <w:szCs w:val="36"/>
          <w:highlight w:val="none"/>
        </w:rPr>
      </w:pPr>
      <w:r>
        <w:rPr>
          <w:rFonts w:hint="eastAsia" w:asciiTheme="minorEastAsia" w:hAnsiTheme="minorEastAsia" w:eastAsiaTheme="minorEastAsia" w:cstheme="minorEastAsia"/>
          <w:bCs/>
          <w:sz w:val="36"/>
          <w:szCs w:val="36"/>
          <w:highlight w:val="none"/>
        </w:rPr>
        <w:br w:type="page"/>
      </w:r>
    </w:p>
    <w:p w14:paraId="4D8B46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3标段-月河镇黄土岭作业区，面积348亩（天麻种植2、6、7、8、9小班）</w:t>
      </w:r>
    </w:p>
    <w:tbl>
      <w:tblPr>
        <w:tblStyle w:val="2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92"/>
        <w:gridCol w:w="1115"/>
        <w:gridCol w:w="5726"/>
        <w:gridCol w:w="593"/>
        <w:gridCol w:w="781"/>
        <w:gridCol w:w="593"/>
      </w:tblGrid>
      <w:tr w14:paraId="6EB83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04F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104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项目名称</w:t>
            </w:r>
          </w:p>
        </w:tc>
        <w:tc>
          <w:tcPr>
            <w:tcW w:w="30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E87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811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C9C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工程量</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F55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14:paraId="53FD8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0FD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1C8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采伐用工量</w:t>
            </w:r>
          </w:p>
        </w:tc>
        <w:tc>
          <w:tcPr>
            <w:tcW w:w="30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789D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在镇安县月河镇黄土岭村虎狼沟组选取 750 亩进行采伐，采伐优势树种为栎类，郁闭度 0.6-0.8，平均树高 7-10 米，坡度为 10-20，林木起源为天然，每亩株数为 100-130 株，龄组为近熟林、成熟林，枯死木、濒死木每亩约为 9-15 株，每亩活立木蓄积为 5.8-7.8 立方米。</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DDA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工日</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FB3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348</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22FFC">
            <w:pPr>
              <w:jc w:val="center"/>
              <w:rPr>
                <w:rFonts w:hint="eastAsia" w:ascii="宋体" w:hAnsi="宋体" w:eastAsia="宋体" w:cs="宋体"/>
                <w:i w:val="0"/>
                <w:iCs w:val="0"/>
                <w:color w:val="000000"/>
                <w:sz w:val="24"/>
                <w:szCs w:val="24"/>
                <w:u w:val="none"/>
              </w:rPr>
            </w:pPr>
          </w:p>
        </w:tc>
      </w:tr>
      <w:tr w14:paraId="526C0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475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D0B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菌棒整理用工量</w:t>
            </w:r>
          </w:p>
        </w:tc>
        <w:tc>
          <w:tcPr>
            <w:tcW w:w="30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097A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具体详见实施方案。</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753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工日</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C42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173</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D4697">
            <w:pPr>
              <w:jc w:val="center"/>
              <w:rPr>
                <w:rFonts w:hint="eastAsia" w:ascii="宋体" w:hAnsi="宋体" w:eastAsia="宋体" w:cs="宋体"/>
                <w:i w:val="0"/>
                <w:iCs w:val="0"/>
                <w:color w:val="000000"/>
                <w:sz w:val="24"/>
                <w:szCs w:val="24"/>
                <w:u w:val="none"/>
              </w:rPr>
            </w:pPr>
          </w:p>
        </w:tc>
      </w:tr>
      <w:tr w14:paraId="6CC08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7EB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BE2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整地</w:t>
            </w:r>
          </w:p>
        </w:tc>
        <w:tc>
          <w:tcPr>
            <w:tcW w:w="30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64CF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1.整地 1 个工日/亩；</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2.在林下缓坡地，基于可放稳菌包为标准，环形开挖 50 厘米以上宽度的条带。开挖好的条带上撒含量 3%辛硫磷（每 100 窝撒 1 公斤左右，分别在挖好的条带底部和栽培覆土之后两次）除虫。具体详见实施方案。</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9E6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亩</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D2D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348</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9933E">
            <w:pPr>
              <w:jc w:val="center"/>
              <w:rPr>
                <w:rFonts w:hint="eastAsia" w:ascii="宋体" w:hAnsi="宋体" w:eastAsia="宋体" w:cs="宋体"/>
                <w:i w:val="0"/>
                <w:iCs w:val="0"/>
                <w:color w:val="000000"/>
                <w:sz w:val="24"/>
                <w:szCs w:val="24"/>
                <w:u w:val="none"/>
              </w:rPr>
            </w:pPr>
          </w:p>
        </w:tc>
      </w:tr>
      <w:tr w14:paraId="1A614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DC6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81D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栽植</w:t>
            </w:r>
          </w:p>
        </w:tc>
        <w:tc>
          <w:tcPr>
            <w:tcW w:w="30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98E3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1.栽植1 个工日/亩；</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2.选择乌江杂交品种，具体详见实施方案。</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17D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亩</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07C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348</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0A490">
            <w:pPr>
              <w:jc w:val="center"/>
              <w:rPr>
                <w:rFonts w:hint="eastAsia" w:ascii="宋体" w:hAnsi="宋体" w:eastAsia="宋体" w:cs="宋体"/>
                <w:i w:val="0"/>
                <w:iCs w:val="0"/>
                <w:color w:val="000000"/>
                <w:sz w:val="24"/>
                <w:szCs w:val="24"/>
                <w:u w:val="none"/>
              </w:rPr>
            </w:pPr>
          </w:p>
        </w:tc>
      </w:tr>
      <w:tr w14:paraId="02227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828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AE9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抚育管理</w:t>
            </w:r>
          </w:p>
        </w:tc>
        <w:tc>
          <w:tcPr>
            <w:tcW w:w="30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D040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1.抚育管理 1 个工日/亩；</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2.温度、湿度、光照、施肥以及防冻害管理，具体详见实施方案。</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1BE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亩</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F3C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348</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96E16">
            <w:pPr>
              <w:jc w:val="center"/>
              <w:rPr>
                <w:rFonts w:hint="eastAsia" w:ascii="宋体" w:hAnsi="宋体" w:eastAsia="宋体" w:cs="宋体"/>
                <w:i w:val="0"/>
                <w:iCs w:val="0"/>
                <w:color w:val="000000"/>
                <w:sz w:val="24"/>
                <w:szCs w:val="24"/>
                <w:u w:val="none"/>
              </w:rPr>
            </w:pPr>
          </w:p>
        </w:tc>
      </w:tr>
      <w:tr w14:paraId="68904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FB9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67A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采挖</w:t>
            </w:r>
          </w:p>
        </w:tc>
        <w:tc>
          <w:tcPr>
            <w:tcW w:w="30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76E9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采挖 1 个工日/亩，具体详见实施方案。</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689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亩</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7BD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348</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53FBF">
            <w:pPr>
              <w:jc w:val="center"/>
              <w:rPr>
                <w:rFonts w:hint="eastAsia" w:ascii="宋体" w:hAnsi="宋体" w:eastAsia="宋体" w:cs="宋体"/>
                <w:i w:val="0"/>
                <w:iCs w:val="0"/>
                <w:color w:val="000000"/>
                <w:sz w:val="24"/>
                <w:szCs w:val="24"/>
                <w:u w:val="none"/>
              </w:rPr>
            </w:pPr>
          </w:p>
        </w:tc>
      </w:tr>
      <w:tr w14:paraId="54BC08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AA3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667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天麻种</w:t>
            </w:r>
          </w:p>
        </w:tc>
        <w:tc>
          <w:tcPr>
            <w:tcW w:w="30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B325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每亩用量 200 窝，每窝0.5kg，允许稍有空心但无碎块，色泽较一级稍暗，仍保持半透明质地。</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4CC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窝</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5F0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69600</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C8089">
            <w:pPr>
              <w:jc w:val="center"/>
              <w:rPr>
                <w:rFonts w:hint="eastAsia" w:ascii="宋体" w:hAnsi="宋体" w:eastAsia="宋体" w:cs="宋体"/>
                <w:i w:val="0"/>
                <w:iCs w:val="0"/>
                <w:color w:val="000000"/>
                <w:sz w:val="24"/>
                <w:szCs w:val="24"/>
                <w:u w:val="none"/>
              </w:rPr>
            </w:pPr>
          </w:p>
        </w:tc>
      </w:tr>
      <w:tr w14:paraId="0DB747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B1E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2C2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有机肥(每亩用量 2 袋，每袋 50kg)</w:t>
            </w:r>
          </w:p>
        </w:tc>
        <w:tc>
          <w:tcPr>
            <w:tcW w:w="30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67E7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整地深耕时要用有机复合肥。养分比例：天麻生长需要多种养分，不同生长阶段对养分的需求有所差异。一般来说，前期以氮肥为主，促进茎叶生长；中后期以磷、钾为主，有利于块茎膨大。因此，可选择氮、磷、钾比例为 1:1:1 或 2:1:2 的复合肥，如 15 - 15 - 15、18 - 9 - 18 等配方的复合肥。具体详见实施方案。</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2B1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kg</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E9C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24360</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1C42D">
            <w:pPr>
              <w:jc w:val="center"/>
              <w:rPr>
                <w:rFonts w:hint="eastAsia" w:ascii="宋体" w:hAnsi="宋体" w:eastAsia="宋体" w:cs="宋体"/>
                <w:i w:val="0"/>
                <w:iCs w:val="0"/>
                <w:color w:val="000000"/>
                <w:sz w:val="24"/>
                <w:szCs w:val="24"/>
                <w:u w:val="none"/>
              </w:rPr>
            </w:pPr>
          </w:p>
        </w:tc>
      </w:tr>
      <w:tr w14:paraId="25B9D1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BDD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654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蜜环菌</w:t>
            </w:r>
          </w:p>
        </w:tc>
        <w:tc>
          <w:tcPr>
            <w:tcW w:w="30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8B39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每亩用量 200 窝，每窝1-2斤，菌盖直径‌：蜜环菌的菌盖直径一般在4-14厘米之间，幼时为淡土黄色、蜂蜜色至浅黄褐色，老后变为棕褐色‌；菌褶颜色‌：菌褶颜色从白色逐渐变为肉粉色，最终可能呈现暗褐色斑点‌；菌柄长度‌：菌柄细长，圆柱形，长度在5-13厘米之间，直径为0.5-1.5厘米‌；菌环位置‌：菌环通常位于菌柄的上部，幼时常呈双层，后期带奶油色‌。每窝半瓶左右，具体根据实际调整。</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F1E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窝</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809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69600</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ABE3F">
            <w:pPr>
              <w:jc w:val="center"/>
              <w:rPr>
                <w:rFonts w:hint="eastAsia" w:ascii="宋体" w:hAnsi="宋体" w:eastAsia="宋体" w:cs="宋体"/>
                <w:i w:val="0"/>
                <w:iCs w:val="0"/>
                <w:color w:val="000000"/>
                <w:sz w:val="24"/>
                <w:szCs w:val="24"/>
                <w:u w:val="none"/>
              </w:rPr>
            </w:pPr>
          </w:p>
        </w:tc>
      </w:tr>
      <w:tr w14:paraId="25970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177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E8B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病虫害防治</w:t>
            </w:r>
          </w:p>
        </w:tc>
        <w:tc>
          <w:tcPr>
            <w:tcW w:w="30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7A6A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1.物理防治:安装杀虫灯或粘虫板，利用趋光性诱捕器诱杀；</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2.生物防治:利用引诱剂诱杀或干扰害虫交配，减少虫源；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3.化学防治:选用高效、低毒、低残留的化学农药，不同类型的农药交替使用，农药的使用应符合 GB/T 8321.9 和 GB/T 8321.10 的规定。具体详见实施方案。</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D73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亩</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1BF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348</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0B958">
            <w:pPr>
              <w:jc w:val="center"/>
              <w:rPr>
                <w:rFonts w:hint="eastAsia" w:ascii="宋体" w:hAnsi="宋体" w:eastAsia="宋体" w:cs="宋体"/>
                <w:i w:val="0"/>
                <w:iCs w:val="0"/>
                <w:color w:val="000000"/>
                <w:sz w:val="24"/>
                <w:szCs w:val="24"/>
                <w:u w:val="none"/>
              </w:rPr>
            </w:pPr>
          </w:p>
        </w:tc>
      </w:tr>
      <w:tr w14:paraId="4C5AC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69A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21E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新建道路</w:t>
            </w:r>
          </w:p>
        </w:tc>
        <w:tc>
          <w:tcPr>
            <w:tcW w:w="30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626A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在虎狼沟作业区 2 号、3 号、4 号、8 号、11 号小班新建生产道路，长度合计 1000 米，宽度为 3 米，厚度20cm的砂石道路，以满足当地生产活动的运输需求，提高生产效率，改善区域交通状况。新建生产道路沿山体林间空地进行修建，不占乔木林地面积。</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AE2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km</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FA7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0.5</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C56E7">
            <w:pPr>
              <w:jc w:val="center"/>
              <w:rPr>
                <w:rFonts w:hint="eastAsia" w:ascii="宋体" w:hAnsi="宋体" w:eastAsia="宋体" w:cs="宋体"/>
                <w:i w:val="0"/>
                <w:iCs w:val="0"/>
                <w:color w:val="000000"/>
                <w:sz w:val="24"/>
                <w:szCs w:val="24"/>
                <w:u w:val="none"/>
              </w:rPr>
            </w:pPr>
          </w:p>
        </w:tc>
      </w:tr>
    </w:tbl>
    <w:p w14:paraId="4B3D2FB8">
      <w:pPr>
        <w:rPr>
          <w:rFonts w:hint="eastAsia" w:asciiTheme="minorEastAsia" w:hAnsiTheme="minorEastAsia" w:eastAsiaTheme="minorEastAsia" w:cstheme="minorEastAsia"/>
          <w:bCs/>
          <w:sz w:val="36"/>
          <w:szCs w:val="36"/>
          <w:highlight w:val="none"/>
        </w:rPr>
      </w:pPr>
    </w:p>
    <w:p w14:paraId="489DDFCB">
      <w:pPr>
        <w:rPr>
          <w:rFonts w:hint="eastAsia" w:asciiTheme="minorEastAsia" w:hAnsiTheme="minorEastAsia" w:eastAsiaTheme="minorEastAsia" w:cstheme="minorEastAsia"/>
          <w:bCs/>
          <w:sz w:val="36"/>
          <w:szCs w:val="36"/>
          <w:highlight w:val="none"/>
        </w:rPr>
      </w:pPr>
      <w:r>
        <w:rPr>
          <w:rFonts w:hint="eastAsia" w:asciiTheme="minorEastAsia" w:hAnsiTheme="minorEastAsia" w:eastAsiaTheme="minorEastAsia" w:cstheme="minorEastAsia"/>
          <w:bCs/>
          <w:sz w:val="36"/>
          <w:szCs w:val="36"/>
          <w:highlight w:val="none"/>
        </w:rPr>
        <w:br w:type="page"/>
      </w:r>
    </w:p>
    <w:p w14:paraId="7F335ED8">
      <w:pPr>
        <w:pStyle w:val="3"/>
        <w:spacing w:line="360" w:lineRule="auto"/>
        <w:jc w:val="center"/>
        <w:rPr>
          <w:rFonts w:asciiTheme="minorEastAsia" w:hAnsiTheme="minorEastAsia" w:eastAsiaTheme="minorEastAsia" w:cstheme="minorEastAsia"/>
          <w:bCs/>
          <w:sz w:val="36"/>
          <w:szCs w:val="36"/>
          <w:highlight w:val="none"/>
        </w:rPr>
      </w:pPr>
      <w:r>
        <w:rPr>
          <w:rFonts w:hint="eastAsia" w:asciiTheme="minorEastAsia" w:hAnsiTheme="minorEastAsia" w:eastAsiaTheme="minorEastAsia" w:cstheme="minorEastAsia"/>
          <w:bCs/>
          <w:sz w:val="36"/>
          <w:szCs w:val="36"/>
          <w:highlight w:val="none"/>
        </w:rPr>
        <w:t>第六章  投标文件构成及格式</w:t>
      </w:r>
      <w:bookmarkEnd w:id="99"/>
      <w:bookmarkEnd w:id="107"/>
    </w:p>
    <w:p w14:paraId="7445FF89">
      <w:pPr>
        <w:rPr>
          <w:rFonts w:asciiTheme="minorEastAsia" w:hAnsiTheme="minorEastAsia" w:eastAsiaTheme="minorEastAsia" w:cstheme="minorEastAsia"/>
          <w:highlight w:val="none"/>
        </w:rPr>
      </w:pPr>
    </w:p>
    <w:p w14:paraId="6C21A659">
      <w:pPr>
        <w:rPr>
          <w:rFonts w:hint="eastAsia" w:asciiTheme="minorEastAsia" w:hAnsiTheme="minorEastAsia" w:eastAsiaTheme="minorEastAsia" w:cstheme="minorEastAsia"/>
          <w:b/>
          <w:sz w:val="32"/>
          <w:szCs w:val="32"/>
          <w:highlight w:val="none"/>
          <w:lang w:eastAsia="zh-CN"/>
        </w:rPr>
      </w:pPr>
      <w:r>
        <w:rPr>
          <w:rFonts w:hint="eastAsia" w:asciiTheme="minorEastAsia" w:hAnsiTheme="minorEastAsia" w:eastAsiaTheme="minorEastAsia" w:cstheme="minorEastAsia"/>
          <w:b/>
          <w:sz w:val="32"/>
          <w:szCs w:val="32"/>
          <w:highlight w:val="none"/>
        </w:rPr>
        <w:t>项目编号：</w:t>
      </w:r>
      <w:r>
        <w:rPr>
          <w:rFonts w:hint="eastAsia" w:asciiTheme="minorEastAsia" w:hAnsiTheme="minorEastAsia" w:eastAsiaTheme="minorEastAsia" w:cstheme="minorEastAsia"/>
          <w:b/>
          <w:sz w:val="32"/>
          <w:szCs w:val="32"/>
          <w:highlight w:val="none"/>
          <w:lang w:eastAsia="zh-CN"/>
        </w:rPr>
        <w:t>SXZCZB2025-ZCGK--0525</w:t>
      </w:r>
    </w:p>
    <w:p w14:paraId="0D29E724">
      <w:pPr>
        <w:jc w:val="right"/>
        <w:rPr>
          <w:rFonts w:asciiTheme="minorEastAsia" w:hAnsiTheme="minorEastAsia" w:eastAsiaTheme="minorEastAsia" w:cstheme="minorEastAsia"/>
          <w:b/>
          <w:sz w:val="32"/>
          <w:szCs w:val="32"/>
          <w:highlight w:val="none"/>
        </w:rPr>
      </w:pPr>
      <w:r>
        <w:rPr>
          <w:rFonts w:hint="eastAsia" w:asciiTheme="minorEastAsia" w:hAnsiTheme="minorEastAsia" w:eastAsiaTheme="minorEastAsia" w:cstheme="minorEastAsia"/>
          <w:b/>
          <w:sz w:val="32"/>
          <w:szCs w:val="32"/>
          <w:highlight w:val="none"/>
        </w:rPr>
        <w:t>（正本或副本）</w:t>
      </w:r>
    </w:p>
    <w:p w14:paraId="7B28B8F1">
      <w:pPr>
        <w:jc w:val="center"/>
        <w:rPr>
          <w:rFonts w:asciiTheme="minorEastAsia" w:hAnsiTheme="minorEastAsia" w:eastAsiaTheme="minorEastAsia" w:cstheme="minorEastAsia"/>
          <w:b/>
          <w:sz w:val="36"/>
          <w:szCs w:val="36"/>
          <w:highlight w:val="none"/>
        </w:rPr>
      </w:pPr>
    </w:p>
    <w:p w14:paraId="0213693A">
      <w:pPr>
        <w:rPr>
          <w:rFonts w:asciiTheme="minorEastAsia" w:hAnsiTheme="minorEastAsia" w:eastAsiaTheme="minorEastAsia" w:cstheme="minorEastAsia"/>
          <w:b/>
          <w:sz w:val="52"/>
          <w:szCs w:val="52"/>
          <w:highlight w:val="none"/>
        </w:rPr>
      </w:pPr>
    </w:p>
    <w:p w14:paraId="5CE1865E">
      <w:pPr>
        <w:jc w:val="center"/>
        <w:rPr>
          <w:rFonts w:hint="eastAsia" w:asciiTheme="minorEastAsia" w:hAnsiTheme="minorEastAsia" w:eastAsiaTheme="minorEastAsia" w:cstheme="minorEastAsia"/>
          <w:b/>
          <w:sz w:val="36"/>
          <w:szCs w:val="36"/>
          <w:highlight w:val="none"/>
          <w:lang w:eastAsia="zh-CN"/>
        </w:rPr>
      </w:pPr>
      <w:r>
        <w:rPr>
          <w:rFonts w:hint="eastAsia" w:asciiTheme="minorEastAsia" w:hAnsiTheme="minorEastAsia" w:eastAsiaTheme="minorEastAsia" w:cstheme="minorEastAsia"/>
          <w:b/>
          <w:sz w:val="44"/>
          <w:szCs w:val="44"/>
          <w:highlight w:val="none"/>
          <w:lang w:eastAsia="zh-CN"/>
        </w:rPr>
        <w:t>中央财政衔接推进乡村振兴补助资金（欠发达国有林场巩固提升任务）2025年林下种植（魔芋、天麻）建设项目</w:t>
      </w:r>
    </w:p>
    <w:p w14:paraId="06736E7B">
      <w:pPr>
        <w:pStyle w:val="11"/>
        <w:rPr>
          <w:highlight w:val="none"/>
        </w:rPr>
      </w:pPr>
    </w:p>
    <w:p w14:paraId="5DD06657">
      <w:pPr>
        <w:jc w:val="center"/>
        <w:rPr>
          <w:rFonts w:asciiTheme="minorEastAsia" w:hAnsiTheme="minorEastAsia" w:eastAsiaTheme="minorEastAsia" w:cstheme="minorEastAsia"/>
          <w:b/>
          <w:sz w:val="48"/>
          <w:szCs w:val="48"/>
          <w:highlight w:val="none"/>
        </w:rPr>
      </w:pPr>
      <w:r>
        <w:rPr>
          <w:rFonts w:hint="eastAsia" w:asciiTheme="minorEastAsia" w:hAnsiTheme="minorEastAsia" w:eastAsiaTheme="minorEastAsia" w:cstheme="minorEastAsia"/>
          <w:b/>
          <w:sz w:val="48"/>
          <w:szCs w:val="48"/>
          <w:highlight w:val="none"/>
        </w:rPr>
        <w:t>（第  包）</w:t>
      </w:r>
    </w:p>
    <w:p w14:paraId="28269D88">
      <w:pPr>
        <w:rPr>
          <w:rFonts w:asciiTheme="minorEastAsia" w:hAnsiTheme="minorEastAsia" w:eastAsiaTheme="minorEastAsia" w:cstheme="minorEastAsia"/>
          <w:highlight w:val="none"/>
        </w:rPr>
      </w:pPr>
    </w:p>
    <w:p w14:paraId="2B44A58A">
      <w:pPr>
        <w:jc w:val="center"/>
        <w:rPr>
          <w:rFonts w:asciiTheme="minorEastAsia" w:hAnsiTheme="minorEastAsia" w:eastAsiaTheme="minorEastAsia" w:cstheme="minorEastAsia"/>
          <w:b/>
          <w:sz w:val="72"/>
          <w:szCs w:val="72"/>
          <w:highlight w:val="none"/>
        </w:rPr>
      </w:pPr>
      <w:r>
        <w:rPr>
          <w:rFonts w:hint="eastAsia" w:asciiTheme="minorEastAsia" w:hAnsiTheme="minorEastAsia" w:eastAsiaTheme="minorEastAsia" w:cstheme="minorEastAsia"/>
          <w:b/>
          <w:sz w:val="72"/>
          <w:szCs w:val="72"/>
          <w:highlight w:val="none"/>
        </w:rPr>
        <w:t>投 标 文 件</w:t>
      </w:r>
    </w:p>
    <w:p w14:paraId="7F801EE3">
      <w:pPr>
        <w:jc w:val="center"/>
        <w:rPr>
          <w:rFonts w:asciiTheme="minorEastAsia" w:hAnsiTheme="minorEastAsia" w:eastAsiaTheme="minorEastAsia" w:cstheme="minorEastAsia"/>
          <w:b/>
          <w:sz w:val="72"/>
          <w:szCs w:val="72"/>
          <w:highlight w:val="none"/>
        </w:rPr>
      </w:pPr>
    </w:p>
    <w:p w14:paraId="52863992">
      <w:pPr>
        <w:rPr>
          <w:rFonts w:asciiTheme="minorEastAsia" w:hAnsiTheme="minorEastAsia" w:eastAsiaTheme="minorEastAsia" w:cstheme="minorEastAsia"/>
          <w:b/>
          <w:sz w:val="36"/>
          <w:szCs w:val="36"/>
          <w:highlight w:val="none"/>
        </w:rPr>
      </w:pPr>
    </w:p>
    <w:p w14:paraId="5D4A6CC6">
      <w:pPr>
        <w:spacing w:line="360" w:lineRule="auto"/>
        <w:rPr>
          <w:rFonts w:asciiTheme="minorEastAsia" w:hAnsiTheme="minorEastAsia" w:eastAsiaTheme="minorEastAsia" w:cstheme="minorEastAsia"/>
          <w:b/>
          <w:bCs/>
          <w:sz w:val="28"/>
          <w:szCs w:val="28"/>
          <w:highlight w:val="none"/>
        </w:rPr>
      </w:pPr>
    </w:p>
    <w:p w14:paraId="37E85B0B">
      <w:pPr>
        <w:spacing w:line="360" w:lineRule="auto"/>
        <w:rPr>
          <w:rFonts w:asciiTheme="minorEastAsia" w:hAnsiTheme="minorEastAsia" w:eastAsiaTheme="minorEastAsia" w:cstheme="minorEastAsia"/>
          <w:b/>
          <w:bCs/>
          <w:sz w:val="28"/>
          <w:szCs w:val="28"/>
          <w:highlight w:val="none"/>
        </w:rPr>
      </w:pPr>
    </w:p>
    <w:p w14:paraId="4BC7E4AF">
      <w:pPr>
        <w:spacing w:line="360" w:lineRule="auto"/>
        <w:rPr>
          <w:rFonts w:asciiTheme="minorEastAsia" w:hAnsiTheme="minorEastAsia" w:eastAsiaTheme="minorEastAsia" w:cstheme="minorEastAsia"/>
          <w:b/>
          <w:bCs/>
          <w:sz w:val="28"/>
          <w:szCs w:val="28"/>
          <w:highlight w:val="none"/>
        </w:rPr>
      </w:pPr>
    </w:p>
    <w:p w14:paraId="4E398752">
      <w:pPr>
        <w:spacing w:line="360" w:lineRule="auto"/>
        <w:rPr>
          <w:rFonts w:asciiTheme="minorEastAsia" w:hAnsiTheme="minorEastAsia" w:eastAsiaTheme="minorEastAsia" w:cstheme="minorEastAsia"/>
          <w:b/>
          <w:bCs/>
          <w:sz w:val="28"/>
          <w:szCs w:val="28"/>
          <w:highlight w:val="none"/>
          <w:u w:val="single"/>
        </w:rPr>
      </w:pPr>
      <w:r>
        <w:rPr>
          <w:rFonts w:hint="eastAsia" w:asciiTheme="minorEastAsia" w:hAnsiTheme="minorEastAsia" w:eastAsiaTheme="minorEastAsia" w:cstheme="minorEastAsia"/>
          <w:b/>
          <w:bCs/>
          <w:sz w:val="28"/>
          <w:szCs w:val="28"/>
          <w:highlight w:val="none"/>
        </w:rPr>
        <w:t>投标人名称：（盖章）</w:t>
      </w:r>
      <w:r>
        <w:rPr>
          <w:rFonts w:hint="eastAsia" w:asciiTheme="minorEastAsia" w:hAnsiTheme="minorEastAsia" w:eastAsiaTheme="minorEastAsia" w:cstheme="minorEastAsia"/>
          <w:b/>
          <w:bCs/>
          <w:sz w:val="28"/>
          <w:szCs w:val="28"/>
          <w:highlight w:val="none"/>
          <w:u w:val="single"/>
        </w:rPr>
        <w:t xml:space="preserve">                     </w:t>
      </w:r>
    </w:p>
    <w:p w14:paraId="0B5314F5">
      <w:pPr>
        <w:spacing w:line="360" w:lineRule="auto"/>
        <w:rPr>
          <w:rFonts w:asciiTheme="minorEastAsia" w:hAnsiTheme="minorEastAsia" w:eastAsiaTheme="minorEastAsia" w:cstheme="minorEastAsia"/>
          <w:b/>
          <w:bCs/>
          <w:sz w:val="28"/>
          <w:szCs w:val="28"/>
          <w:highlight w:val="none"/>
        </w:rPr>
      </w:pPr>
      <w:r>
        <w:rPr>
          <w:rFonts w:hint="eastAsia" w:asciiTheme="minorEastAsia" w:hAnsiTheme="minorEastAsia" w:eastAsiaTheme="minorEastAsia" w:cstheme="minorEastAsia"/>
          <w:b/>
          <w:bCs/>
          <w:sz w:val="28"/>
          <w:szCs w:val="28"/>
          <w:highlight w:val="none"/>
        </w:rPr>
        <w:t>法定代表人或其委托代理人：（签字或盖章）</w:t>
      </w:r>
    </w:p>
    <w:p w14:paraId="3A9B29B6">
      <w:pPr>
        <w:spacing w:line="360" w:lineRule="auto"/>
        <w:rPr>
          <w:rFonts w:asciiTheme="minorEastAsia" w:hAnsiTheme="minorEastAsia" w:eastAsiaTheme="minorEastAsia" w:cstheme="minorEastAsia"/>
          <w:b/>
          <w:bCs/>
          <w:sz w:val="28"/>
          <w:szCs w:val="28"/>
          <w:highlight w:val="none"/>
        </w:rPr>
      </w:pPr>
      <w:r>
        <w:rPr>
          <w:rFonts w:hint="eastAsia" w:asciiTheme="minorEastAsia" w:hAnsiTheme="minorEastAsia" w:eastAsiaTheme="minorEastAsia" w:cstheme="minorEastAsia"/>
          <w:b/>
          <w:bCs/>
          <w:sz w:val="28"/>
          <w:szCs w:val="28"/>
          <w:highlight w:val="none"/>
        </w:rPr>
        <w:t xml:space="preserve">                      年      月       日</w:t>
      </w:r>
    </w:p>
    <w:p w14:paraId="09C230FF">
      <w:pPr>
        <w:spacing w:line="360" w:lineRule="auto"/>
        <w:rPr>
          <w:rFonts w:asciiTheme="minorEastAsia" w:hAnsiTheme="minorEastAsia" w:eastAsiaTheme="minorEastAsia" w:cstheme="minorEastAsia"/>
          <w:highlight w:val="none"/>
        </w:rPr>
        <w:sectPr>
          <w:footerReference r:id="rId11" w:type="default"/>
          <w:pgSz w:w="11906" w:h="16838"/>
          <w:pgMar w:top="1304" w:right="1361" w:bottom="1304" w:left="1361" w:header="851" w:footer="992" w:gutter="0"/>
          <w:cols w:space="0" w:num="1"/>
          <w:docGrid w:type="lines" w:linePitch="312" w:charSpace="0"/>
        </w:sectPr>
      </w:pPr>
    </w:p>
    <w:p w14:paraId="202A010E">
      <w:pPr>
        <w:spacing w:beforeLines="50" w:afterLines="50" w:line="360" w:lineRule="auto"/>
        <w:jc w:val="center"/>
        <w:rPr>
          <w:rFonts w:asciiTheme="minorEastAsia" w:hAnsiTheme="minorEastAsia" w:eastAsiaTheme="minorEastAsia" w:cstheme="minorEastAsia"/>
          <w:b/>
          <w:bCs/>
          <w:spacing w:val="4"/>
          <w:sz w:val="36"/>
          <w:szCs w:val="36"/>
          <w:highlight w:val="none"/>
        </w:rPr>
      </w:pPr>
      <w:r>
        <w:rPr>
          <w:rFonts w:hint="eastAsia" w:asciiTheme="minorEastAsia" w:hAnsiTheme="minorEastAsia" w:eastAsiaTheme="minorEastAsia" w:cstheme="minorEastAsia"/>
          <w:b/>
          <w:bCs/>
          <w:spacing w:val="4"/>
          <w:sz w:val="36"/>
          <w:szCs w:val="36"/>
          <w:highlight w:val="none"/>
        </w:rPr>
        <w:t>目 录</w:t>
      </w:r>
    </w:p>
    <w:p w14:paraId="45801741">
      <w:pPr>
        <w:tabs>
          <w:tab w:val="left" w:pos="7656"/>
        </w:tabs>
        <w:spacing w:line="480" w:lineRule="auto"/>
        <w:rPr>
          <w:rFonts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t>（一）投标函</w:t>
      </w:r>
    </w:p>
    <w:p w14:paraId="57B6742F">
      <w:pPr>
        <w:spacing w:line="480" w:lineRule="auto"/>
        <w:rPr>
          <w:rFonts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t>（二）开标一览表</w:t>
      </w:r>
    </w:p>
    <w:p w14:paraId="335424BB">
      <w:pPr>
        <w:spacing w:line="480" w:lineRule="auto"/>
        <w:rPr>
          <w:rFonts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t>（三）商务响应偏离表</w:t>
      </w:r>
    </w:p>
    <w:p w14:paraId="7BC1CFB5">
      <w:pPr>
        <w:spacing w:line="480" w:lineRule="auto"/>
        <w:rPr>
          <w:rFonts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t>（四）投标方案说明书</w:t>
      </w:r>
    </w:p>
    <w:p w14:paraId="1B4A39AC">
      <w:pPr>
        <w:spacing w:line="480" w:lineRule="auto"/>
        <w:rPr>
          <w:rFonts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t>（五）企业类似业绩</w:t>
      </w:r>
    </w:p>
    <w:p w14:paraId="40A7E053">
      <w:pPr>
        <w:spacing w:line="480" w:lineRule="auto"/>
        <w:rPr>
          <w:rFonts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t>（六）陕西省政府采购投标人拒绝政府采购领域商业贿赂承诺书</w:t>
      </w:r>
    </w:p>
    <w:p w14:paraId="0B6401B6">
      <w:pPr>
        <w:spacing w:line="480" w:lineRule="auto"/>
        <w:rPr>
          <w:rFonts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t>（七）资格证明文件</w:t>
      </w:r>
    </w:p>
    <w:p w14:paraId="101C72DC">
      <w:pPr>
        <w:rPr>
          <w:rFonts w:asciiTheme="minorEastAsia" w:hAnsiTheme="minorEastAsia" w:eastAsiaTheme="minorEastAsia" w:cstheme="minorEastAsia"/>
          <w:sz w:val="28"/>
          <w:highlight w:val="none"/>
        </w:rPr>
      </w:pPr>
      <w:bookmarkStart w:id="108" w:name="_Toc22992"/>
      <w:r>
        <w:rPr>
          <w:rFonts w:hint="eastAsia" w:asciiTheme="minorEastAsia" w:hAnsiTheme="minorEastAsia" w:eastAsiaTheme="minorEastAsia" w:cstheme="minorEastAsia"/>
          <w:sz w:val="28"/>
          <w:highlight w:val="none"/>
        </w:rPr>
        <w:br w:type="page"/>
      </w:r>
    </w:p>
    <w:bookmarkEnd w:id="108"/>
    <w:p w14:paraId="294935E2">
      <w:pPr>
        <w:pStyle w:val="5"/>
        <w:spacing w:beforeLines="100" w:line="360" w:lineRule="auto"/>
        <w:rPr>
          <w:rFonts w:asciiTheme="minorEastAsia" w:hAnsiTheme="minorEastAsia" w:eastAsiaTheme="minorEastAsia" w:cstheme="minorEastAsia"/>
          <w:sz w:val="32"/>
          <w:szCs w:val="32"/>
          <w:highlight w:val="none"/>
        </w:rPr>
      </w:pPr>
      <w:bookmarkStart w:id="109" w:name="_Toc29539"/>
      <w:bookmarkStart w:id="110" w:name="_Toc6822"/>
      <w:bookmarkStart w:id="111" w:name="_Toc4974"/>
      <w:bookmarkStart w:id="112" w:name="_Toc30488"/>
      <w:bookmarkStart w:id="113" w:name="_Toc11460"/>
      <w:r>
        <w:rPr>
          <w:rFonts w:hint="eastAsia" w:asciiTheme="minorEastAsia" w:hAnsiTheme="minorEastAsia" w:eastAsiaTheme="minorEastAsia" w:cstheme="minorEastAsia"/>
          <w:sz w:val="32"/>
          <w:szCs w:val="32"/>
          <w:highlight w:val="none"/>
        </w:rPr>
        <w:t>一、投标函</w:t>
      </w:r>
      <w:bookmarkEnd w:id="109"/>
      <w:bookmarkEnd w:id="110"/>
      <w:bookmarkEnd w:id="111"/>
      <w:bookmarkEnd w:id="112"/>
      <w:bookmarkEnd w:id="113"/>
    </w:p>
    <w:p w14:paraId="7A15CAE7">
      <w:pPr>
        <w:spacing w:line="360" w:lineRule="auto"/>
        <w:jc w:val="left"/>
        <w:rPr>
          <w:rFonts w:asciiTheme="minorEastAsia" w:hAnsiTheme="minorEastAsia" w:eastAsiaTheme="minorEastAsia" w:cstheme="minorEastAsia"/>
          <w:spacing w:val="4"/>
          <w:sz w:val="24"/>
          <w:szCs w:val="24"/>
          <w:highlight w:val="none"/>
          <w:u w:val="single"/>
        </w:rPr>
      </w:pPr>
      <w:r>
        <w:rPr>
          <w:rFonts w:hint="eastAsia" w:asciiTheme="minorEastAsia" w:hAnsiTheme="minorEastAsia" w:eastAsiaTheme="minorEastAsia" w:cstheme="minorEastAsia"/>
          <w:spacing w:val="4"/>
          <w:sz w:val="24"/>
          <w:szCs w:val="24"/>
          <w:highlight w:val="none"/>
        </w:rPr>
        <w:t xml:space="preserve">致：陕西至诚项目管理集团有限公司 </w:t>
      </w:r>
    </w:p>
    <w:p w14:paraId="7075E433">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asciiTheme="minorEastAsia" w:hAnsiTheme="minorEastAsia" w:eastAsiaTheme="minorEastAsia" w:cstheme="minorEastAsia"/>
          <w:spacing w:val="4"/>
          <w:sz w:val="24"/>
          <w:szCs w:val="24"/>
          <w:highlight w:val="none"/>
          <w:u w:val="single"/>
        </w:rPr>
      </w:pPr>
      <w:r>
        <w:rPr>
          <w:rFonts w:hint="eastAsia" w:asciiTheme="minorEastAsia" w:hAnsiTheme="minorEastAsia" w:eastAsiaTheme="minorEastAsia" w:cstheme="minorEastAsia"/>
          <w:spacing w:val="4"/>
          <w:sz w:val="24"/>
          <w:szCs w:val="24"/>
          <w:highlight w:val="none"/>
        </w:rPr>
        <w:t>根据贵方“</w:t>
      </w:r>
      <w:r>
        <w:rPr>
          <w:rFonts w:hint="eastAsia" w:asciiTheme="minorEastAsia" w:hAnsiTheme="minorEastAsia" w:eastAsiaTheme="minorEastAsia" w:cstheme="minorEastAsia"/>
          <w:spacing w:val="4"/>
          <w:sz w:val="24"/>
          <w:szCs w:val="24"/>
          <w:highlight w:val="none"/>
          <w:u w:val="single"/>
        </w:rPr>
        <w:t xml:space="preserve">                      </w:t>
      </w:r>
      <w:r>
        <w:rPr>
          <w:rFonts w:hint="eastAsia" w:asciiTheme="minorEastAsia" w:hAnsiTheme="minorEastAsia" w:eastAsiaTheme="minorEastAsia" w:cstheme="minorEastAsia"/>
          <w:spacing w:val="4"/>
          <w:sz w:val="24"/>
          <w:szCs w:val="24"/>
          <w:highlight w:val="none"/>
        </w:rPr>
        <w:t>”项目的投标邀请</w:t>
      </w:r>
      <w:r>
        <w:rPr>
          <w:rFonts w:hint="eastAsia" w:asciiTheme="minorEastAsia" w:hAnsiTheme="minorEastAsia" w:eastAsiaTheme="minorEastAsia" w:cstheme="minorEastAsia"/>
          <w:spacing w:val="4"/>
          <w:sz w:val="24"/>
          <w:szCs w:val="24"/>
          <w:highlight w:val="none"/>
          <w:u w:val="single"/>
        </w:rPr>
        <w:t>(编号：     包号：</w:t>
      </w:r>
    </w:p>
    <w:p w14:paraId="0946DB7D">
      <w:pPr>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u w:val="single"/>
        </w:rPr>
        <w:t xml:space="preserve"> 第 包   )</w:t>
      </w:r>
      <w:r>
        <w:rPr>
          <w:rFonts w:hint="eastAsia" w:asciiTheme="minorEastAsia" w:hAnsiTheme="minorEastAsia" w:eastAsiaTheme="minorEastAsia" w:cstheme="minorEastAsia"/>
          <w:spacing w:val="4"/>
          <w:sz w:val="24"/>
          <w:szCs w:val="24"/>
          <w:highlight w:val="none"/>
        </w:rPr>
        <w:t>，签字代表</w:t>
      </w:r>
      <w:r>
        <w:rPr>
          <w:rFonts w:hint="eastAsia" w:asciiTheme="minorEastAsia" w:hAnsiTheme="minorEastAsia" w:eastAsiaTheme="minorEastAsia" w:cstheme="minorEastAsia"/>
          <w:spacing w:val="4"/>
          <w:sz w:val="24"/>
          <w:szCs w:val="24"/>
          <w:highlight w:val="none"/>
          <w:u w:val="single"/>
        </w:rPr>
        <w:t>（全名、职务）</w:t>
      </w:r>
      <w:r>
        <w:rPr>
          <w:rFonts w:hint="eastAsia" w:asciiTheme="minorEastAsia" w:hAnsiTheme="minorEastAsia" w:eastAsiaTheme="minorEastAsia" w:cstheme="minorEastAsia"/>
          <w:spacing w:val="4"/>
          <w:sz w:val="24"/>
          <w:szCs w:val="24"/>
          <w:highlight w:val="none"/>
        </w:rPr>
        <w:t>经正式授权并代表投标人</w:t>
      </w:r>
      <w:r>
        <w:rPr>
          <w:rFonts w:hint="eastAsia" w:asciiTheme="minorEastAsia" w:hAnsiTheme="minorEastAsia" w:eastAsiaTheme="minorEastAsia" w:cstheme="minorEastAsia"/>
          <w:spacing w:val="4"/>
          <w:sz w:val="24"/>
          <w:szCs w:val="24"/>
          <w:highlight w:val="none"/>
          <w:u w:val="single"/>
        </w:rPr>
        <w:t>(投标人名称、地址)</w:t>
      </w:r>
      <w:r>
        <w:rPr>
          <w:rFonts w:hint="eastAsia" w:asciiTheme="minorEastAsia" w:hAnsiTheme="minorEastAsia" w:eastAsiaTheme="minorEastAsia" w:cstheme="minorEastAsia"/>
          <w:spacing w:val="4"/>
          <w:sz w:val="24"/>
          <w:szCs w:val="24"/>
          <w:highlight w:val="none"/>
        </w:rPr>
        <w:t xml:space="preserve"> 提交投标文件正本壹份、副本一式</w:t>
      </w:r>
      <w:r>
        <w:rPr>
          <w:rFonts w:hint="eastAsia" w:asciiTheme="minorEastAsia" w:hAnsiTheme="minorEastAsia" w:eastAsiaTheme="minorEastAsia" w:cstheme="minorEastAsia"/>
          <w:spacing w:val="4"/>
          <w:sz w:val="24"/>
          <w:szCs w:val="24"/>
          <w:highlight w:val="none"/>
          <w:u w:val="single"/>
        </w:rPr>
        <w:t xml:space="preserve">  </w:t>
      </w:r>
      <w:r>
        <w:rPr>
          <w:rFonts w:hint="eastAsia" w:asciiTheme="minorEastAsia" w:hAnsiTheme="minorEastAsia" w:eastAsiaTheme="minorEastAsia" w:cstheme="minorEastAsia"/>
          <w:spacing w:val="4"/>
          <w:sz w:val="24"/>
          <w:szCs w:val="24"/>
          <w:highlight w:val="none"/>
        </w:rPr>
        <w:t>份,电子版</w:t>
      </w:r>
      <w:r>
        <w:rPr>
          <w:rFonts w:hint="eastAsia" w:asciiTheme="minorEastAsia" w:hAnsiTheme="minorEastAsia" w:eastAsiaTheme="minorEastAsia" w:cstheme="minorEastAsia"/>
          <w:spacing w:val="4"/>
          <w:sz w:val="24"/>
          <w:szCs w:val="24"/>
          <w:highlight w:val="none"/>
          <w:u w:val="single"/>
        </w:rPr>
        <w:t xml:space="preserve">    </w:t>
      </w:r>
      <w:r>
        <w:rPr>
          <w:rFonts w:hint="eastAsia" w:asciiTheme="minorEastAsia" w:hAnsiTheme="minorEastAsia" w:eastAsiaTheme="minorEastAsia" w:cstheme="minorEastAsia"/>
          <w:spacing w:val="4"/>
          <w:sz w:val="24"/>
          <w:szCs w:val="24"/>
          <w:highlight w:val="none"/>
        </w:rPr>
        <w:t>份。</w:t>
      </w:r>
    </w:p>
    <w:p w14:paraId="4B0288BC">
      <w:pPr>
        <w:keepNext w:val="0"/>
        <w:keepLines w:val="0"/>
        <w:pageBreakBefore w:val="0"/>
        <w:widowControl w:val="0"/>
        <w:kinsoku/>
        <w:wordWrap/>
        <w:overflowPunct/>
        <w:topLinePunct w:val="0"/>
        <w:autoSpaceDE/>
        <w:autoSpaceDN/>
        <w:bidi w:val="0"/>
        <w:adjustRightInd/>
        <w:snapToGrid/>
        <w:spacing w:line="360" w:lineRule="auto"/>
        <w:ind w:left="549" w:leftChars="251" w:hanging="22" w:hangingChars="9"/>
        <w:jc w:val="left"/>
        <w:textAlignment w:val="auto"/>
        <w:rPr>
          <w:rFonts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t>我方承诺如下：</w:t>
      </w:r>
    </w:p>
    <w:p w14:paraId="44C71761">
      <w:pPr>
        <w:keepNext w:val="0"/>
        <w:keepLines w:val="0"/>
        <w:pageBreakBefore w:val="0"/>
        <w:widowControl w:val="0"/>
        <w:tabs>
          <w:tab w:val="left" w:pos="2160"/>
        </w:tabs>
        <w:kinsoku/>
        <w:wordWrap/>
        <w:overflowPunct/>
        <w:topLinePunct w:val="0"/>
        <w:autoSpaceDE/>
        <w:autoSpaceDN/>
        <w:bidi w:val="0"/>
        <w:adjustRightInd/>
        <w:snapToGrid/>
        <w:spacing w:line="360" w:lineRule="auto"/>
        <w:ind w:firstLine="496" w:firstLineChars="200"/>
        <w:jc w:val="left"/>
        <w:textAlignment w:val="auto"/>
        <w:rPr>
          <w:rFonts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t>1）投标总价为</w:t>
      </w:r>
      <w:r>
        <w:rPr>
          <w:rFonts w:hint="eastAsia" w:asciiTheme="minorEastAsia" w:hAnsiTheme="minorEastAsia" w:eastAsiaTheme="minorEastAsia" w:cstheme="minorEastAsia"/>
          <w:spacing w:val="4"/>
          <w:sz w:val="24"/>
          <w:szCs w:val="24"/>
          <w:highlight w:val="none"/>
          <w:u w:val="single"/>
        </w:rPr>
        <w:t xml:space="preserve">         </w:t>
      </w:r>
      <w:r>
        <w:rPr>
          <w:rFonts w:hint="eastAsia" w:asciiTheme="minorEastAsia" w:hAnsiTheme="minorEastAsia" w:eastAsiaTheme="minorEastAsia" w:cstheme="minorEastAsia"/>
          <w:spacing w:val="4"/>
          <w:sz w:val="24"/>
          <w:szCs w:val="24"/>
          <w:highlight w:val="none"/>
        </w:rPr>
        <w:t>（人民币）（用文字和数字表示的投标总价）。</w:t>
      </w:r>
    </w:p>
    <w:p w14:paraId="463B3C8A">
      <w:pPr>
        <w:keepNext w:val="0"/>
        <w:keepLines w:val="0"/>
        <w:pageBreakBefore w:val="0"/>
        <w:widowControl w:val="0"/>
        <w:tabs>
          <w:tab w:val="left" w:pos="2160"/>
        </w:tabs>
        <w:kinsoku/>
        <w:wordWrap/>
        <w:overflowPunct/>
        <w:topLinePunct w:val="0"/>
        <w:autoSpaceDE/>
        <w:autoSpaceDN/>
        <w:bidi w:val="0"/>
        <w:adjustRightInd/>
        <w:snapToGrid/>
        <w:spacing w:line="360" w:lineRule="auto"/>
        <w:ind w:firstLine="496" w:firstLineChars="200"/>
        <w:jc w:val="left"/>
        <w:textAlignment w:val="auto"/>
        <w:rPr>
          <w:rFonts w:hint="eastAsia"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t>2）如果成交，我们根据公开招标文件的规定，履行合同的责任和义务。</w:t>
      </w:r>
    </w:p>
    <w:p w14:paraId="2518D5FB">
      <w:pPr>
        <w:pStyle w:val="11"/>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default" w:eastAsiaTheme="minorEastAsia"/>
          <w:highlight w:val="none"/>
          <w:lang w:val="en-US" w:eastAsia="zh-CN"/>
        </w:rPr>
      </w:pPr>
      <w:r>
        <w:rPr>
          <w:rFonts w:hint="eastAsia" w:asciiTheme="minorEastAsia" w:hAnsiTheme="minorEastAsia" w:eastAsiaTheme="minorEastAsia" w:cstheme="minorEastAsia"/>
          <w:spacing w:val="4"/>
          <w:sz w:val="24"/>
          <w:szCs w:val="24"/>
          <w:highlight w:val="none"/>
          <w:lang w:val="en-US" w:eastAsia="zh-CN"/>
        </w:rPr>
        <w:t>3）我公司拟派项目经理姓名：</w:t>
      </w:r>
      <w:r>
        <w:rPr>
          <w:rFonts w:hint="eastAsia" w:asciiTheme="minorEastAsia" w:hAnsiTheme="minorEastAsia" w:eastAsiaTheme="minorEastAsia" w:cstheme="minorEastAsia"/>
          <w:spacing w:val="4"/>
          <w:sz w:val="24"/>
          <w:szCs w:val="24"/>
          <w:highlight w:val="none"/>
          <w:u w:val="single"/>
          <w:lang w:val="en-US" w:eastAsia="zh-CN"/>
        </w:rPr>
        <w:t xml:space="preserve">          </w:t>
      </w:r>
      <w:r>
        <w:rPr>
          <w:rFonts w:hint="eastAsia" w:asciiTheme="minorEastAsia" w:hAnsiTheme="minorEastAsia" w:eastAsiaTheme="minorEastAsia" w:cstheme="minorEastAsia"/>
          <w:spacing w:val="4"/>
          <w:sz w:val="24"/>
          <w:szCs w:val="24"/>
          <w:highlight w:val="none"/>
          <w:u w:val="none"/>
          <w:lang w:val="en-US" w:eastAsia="zh-CN"/>
        </w:rPr>
        <w:t>；执业证书名称：</w:t>
      </w:r>
      <w:r>
        <w:rPr>
          <w:rFonts w:hint="eastAsia" w:asciiTheme="minorEastAsia" w:hAnsiTheme="minorEastAsia" w:eastAsiaTheme="minorEastAsia" w:cstheme="minorEastAsia"/>
          <w:spacing w:val="4"/>
          <w:sz w:val="24"/>
          <w:szCs w:val="24"/>
          <w:highlight w:val="none"/>
          <w:u w:val="single"/>
          <w:lang w:val="en-US" w:eastAsia="zh-CN"/>
        </w:rPr>
        <w:t xml:space="preserve">          </w:t>
      </w:r>
      <w:r>
        <w:rPr>
          <w:rFonts w:hint="eastAsia" w:asciiTheme="minorEastAsia" w:hAnsiTheme="minorEastAsia" w:eastAsiaTheme="minorEastAsia" w:cstheme="minorEastAsia"/>
          <w:spacing w:val="4"/>
          <w:sz w:val="24"/>
          <w:szCs w:val="24"/>
          <w:highlight w:val="none"/>
          <w:u w:val="none"/>
          <w:lang w:val="en-US" w:eastAsia="zh-CN"/>
        </w:rPr>
        <w:t>；执业证书信息（证书编号）：</w:t>
      </w:r>
      <w:r>
        <w:rPr>
          <w:rFonts w:hint="eastAsia" w:asciiTheme="minorEastAsia" w:hAnsiTheme="minorEastAsia" w:eastAsiaTheme="minorEastAsia" w:cstheme="minorEastAsia"/>
          <w:spacing w:val="4"/>
          <w:sz w:val="24"/>
          <w:szCs w:val="24"/>
          <w:highlight w:val="none"/>
          <w:u w:val="single"/>
          <w:lang w:val="en-US" w:eastAsia="zh-CN"/>
        </w:rPr>
        <w:t xml:space="preserve">           </w:t>
      </w:r>
      <w:r>
        <w:rPr>
          <w:rFonts w:hint="eastAsia" w:asciiTheme="minorEastAsia" w:hAnsiTheme="minorEastAsia" w:eastAsiaTheme="minorEastAsia" w:cstheme="minorEastAsia"/>
          <w:spacing w:val="4"/>
          <w:sz w:val="24"/>
          <w:szCs w:val="24"/>
          <w:highlight w:val="none"/>
          <w:u w:val="none"/>
          <w:lang w:val="en-US" w:eastAsia="zh-CN"/>
        </w:rPr>
        <w:t>。</w:t>
      </w:r>
    </w:p>
    <w:p w14:paraId="1B162F0D">
      <w:pPr>
        <w:keepNext w:val="0"/>
        <w:keepLines w:val="0"/>
        <w:pageBreakBefore w:val="0"/>
        <w:widowControl w:val="0"/>
        <w:tabs>
          <w:tab w:val="left" w:pos="2160"/>
        </w:tabs>
        <w:kinsoku/>
        <w:wordWrap/>
        <w:overflowPunct/>
        <w:topLinePunct w:val="0"/>
        <w:autoSpaceDE/>
        <w:autoSpaceDN/>
        <w:bidi w:val="0"/>
        <w:adjustRightInd/>
        <w:snapToGrid/>
        <w:spacing w:line="360" w:lineRule="auto"/>
        <w:ind w:firstLine="496" w:firstLineChars="200"/>
        <w:jc w:val="left"/>
        <w:textAlignment w:val="auto"/>
        <w:rPr>
          <w:rFonts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lang w:val="en-US" w:eastAsia="zh-CN"/>
        </w:rPr>
        <w:t>4</w:t>
      </w:r>
      <w:r>
        <w:rPr>
          <w:rFonts w:hint="eastAsia" w:asciiTheme="minorEastAsia" w:hAnsiTheme="minorEastAsia" w:eastAsiaTheme="minorEastAsia" w:cstheme="minorEastAsia"/>
          <w:spacing w:val="4"/>
          <w:sz w:val="24"/>
          <w:szCs w:val="24"/>
          <w:highlight w:val="none"/>
        </w:rPr>
        <w:t>）我们已详细阅读和审核全部公开招标文件（含修改部分，如有的话），及有关附件，我们知道必须放弃提出含糊不清或误解的问题的权利。</w:t>
      </w:r>
    </w:p>
    <w:p w14:paraId="4D0944FD">
      <w:pPr>
        <w:keepNext w:val="0"/>
        <w:keepLines w:val="0"/>
        <w:pageBreakBefore w:val="0"/>
        <w:widowControl w:val="0"/>
        <w:tabs>
          <w:tab w:val="left" w:pos="2160"/>
        </w:tabs>
        <w:kinsoku/>
        <w:wordWrap/>
        <w:overflowPunct/>
        <w:topLinePunct w:val="0"/>
        <w:autoSpaceDE/>
        <w:autoSpaceDN/>
        <w:bidi w:val="0"/>
        <w:adjustRightInd/>
        <w:snapToGrid/>
        <w:spacing w:line="360" w:lineRule="auto"/>
        <w:ind w:firstLine="496" w:firstLineChars="200"/>
        <w:jc w:val="left"/>
        <w:textAlignment w:val="auto"/>
        <w:rPr>
          <w:rFonts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lang w:val="en-US" w:eastAsia="zh-CN"/>
        </w:rPr>
        <w:t>5</w:t>
      </w:r>
      <w:r>
        <w:rPr>
          <w:rFonts w:hint="eastAsia" w:asciiTheme="minorEastAsia" w:hAnsiTheme="minorEastAsia" w:eastAsiaTheme="minorEastAsia" w:cstheme="minorEastAsia"/>
          <w:spacing w:val="4"/>
          <w:sz w:val="24"/>
          <w:szCs w:val="24"/>
          <w:highlight w:val="none"/>
        </w:rPr>
        <w:t>）我们同意在投标有效期内（</w:t>
      </w:r>
      <w:r>
        <w:rPr>
          <w:rFonts w:hint="eastAsia" w:asciiTheme="minorEastAsia" w:hAnsiTheme="minorEastAsia" w:eastAsiaTheme="minorEastAsia" w:cstheme="minorEastAsia"/>
          <w:spacing w:val="4"/>
          <w:sz w:val="24"/>
          <w:szCs w:val="24"/>
          <w:highlight w:val="none"/>
          <w:u w:val="single"/>
        </w:rPr>
        <w:t>自投标之日起  天内</w:t>
      </w:r>
      <w:r>
        <w:rPr>
          <w:rFonts w:hint="eastAsia" w:asciiTheme="minorEastAsia" w:hAnsiTheme="minorEastAsia" w:eastAsiaTheme="minorEastAsia" w:cstheme="minorEastAsia"/>
          <w:spacing w:val="4"/>
          <w:sz w:val="24"/>
          <w:szCs w:val="24"/>
          <w:highlight w:val="none"/>
        </w:rPr>
        <w:t>），本投标函对我方具有约束力。</w:t>
      </w:r>
    </w:p>
    <w:p w14:paraId="61EB3757">
      <w:pPr>
        <w:keepNext w:val="0"/>
        <w:keepLines w:val="0"/>
        <w:pageBreakBefore w:val="0"/>
        <w:widowControl w:val="0"/>
        <w:tabs>
          <w:tab w:val="left" w:pos="2160"/>
        </w:tabs>
        <w:kinsoku/>
        <w:wordWrap/>
        <w:overflowPunct/>
        <w:topLinePunct w:val="0"/>
        <w:autoSpaceDE/>
        <w:autoSpaceDN/>
        <w:bidi w:val="0"/>
        <w:adjustRightInd/>
        <w:snapToGrid/>
        <w:spacing w:line="360" w:lineRule="auto"/>
        <w:ind w:firstLine="496" w:firstLineChars="200"/>
        <w:jc w:val="left"/>
        <w:textAlignment w:val="auto"/>
        <w:rPr>
          <w:rFonts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lang w:val="en-US" w:eastAsia="zh-CN"/>
        </w:rPr>
        <w:t>6</w:t>
      </w:r>
      <w:r>
        <w:rPr>
          <w:rFonts w:hint="eastAsia" w:asciiTheme="minorEastAsia" w:hAnsiTheme="minorEastAsia" w:eastAsiaTheme="minorEastAsia" w:cstheme="minorEastAsia"/>
          <w:spacing w:val="4"/>
          <w:sz w:val="24"/>
          <w:szCs w:val="24"/>
          <w:highlight w:val="none"/>
        </w:rPr>
        <w:t xml:space="preserve">）同意提供贵方可能另外要求的与本投标有关的任何证据和资料。 </w:t>
      </w:r>
    </w:p>
    <w:p w14:paraId="7ECD5FEB">
      <w:pPr>
        <w:keepNext w:val="0"/>
        <w:keepLines w:val="0"/>
        <w:pageBreakBefore w:val="0"/>
        <w:widowControl w:val="0"/>
        <w:tabs>
          <w:tab w:val="left" w:pos="2160"/>
        </w:tabs>
        <w:kinsoku/>
        <w:wordWrap/>
        <w:overflowPunct/>
        <w:topLinePunct w:val="0"/>
        <w:autoSpaceDE/>
        <w:autoSpaceDN/>
        <w:bidi w:val="0"/>
        <w:adjustRightInd/>
        <w:snapToGrid/>
        <w:spacing w:line="360" w:lineRule="auto"/>
        <w:ind w:firstLine="496" w:firstLineChars="200"/>
        <w:jc w:val="left"/>
        <w:textAlignment w:val="auto"/>
        <w:rPr>
          <w:rFonts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lang w:val="en-US" w:eastAsia="zh-CN"/>
        </w:rPr>
        <w:t>7</w:t>
      </w:r>
      <w:r>
        <w:rPr>
          <w:rFonts w:hint="eastAsia" w:asciiTheme="minorEastAsia" w:hAnsiTheme="minorEastAsia" w:eastAsiaTheme="minorEastAsia" w:cstheme="minorEastAsia"/>
          <w:spacing w:val="4"/>
          <w:sz w:val="24"/>
          <w:szCs w:val="24"/>
          <w:highlight w:val="none"/>
        </w:rPr>
        <w:t>）我们同意，如果成交，向陕西至诚项目管理集团有限公司交纳招标代理服务费。</w:t>
      </w:r>
    </w:p>
    <w:p w14:paraId="197AFECB">
      <w:pPr>
        <w:keepNext w:val="0"/>
        <w:keepLines w:val="0"/>
        <w:pageBreakBefore w:val="0"/>
        <w:widowControl w:val="0"/>
        <w:tabs>
          <w:tab w:val="left" w:pos="2160"/>
        </w:tabs>
        <w:kinsoku/>
        <w:wordWrap/>
        <w:overflowPunct/>
        <w:topLinePunct w:val="0"/>
        <w:autoSpaceDE/>
        <w:autoSpaceDN/>
        <w:bidi w:val="0"/>
        <w:adjustRightInd/>
        <w:snapToGrid/>
        <w:spacing w:line="360" w:lineRule="auto"/>
        <w:ind w:firstLine="496" w:firstLineChars="200"/>
        <w:jc w:val="left"/>
        <w:textAlignment w:val="auto"/>
        <w:rPr>
          <w:rFonts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lang w:val="en-US" w:eastAsia="zh-CN"/>
        </w:rPr>
        <w:t>8</w:t>
      </w:r>
      <w:r>
        <w:rPr>
          <w:rFonts w:hint="eastAsia" w:asciiTheme="minorEastAsia" w:hAnsiTheme="minorEastAsia" w:eastAsiaTheme="minorEastAsia" w:cstheme="minorEastAsia"/>
          <w:spacing w:val="4"/>
          <w:sz w:val="24"/>
          <w:szCs w:val="24"/>
          <w:highlight w:val="none"/>
        </w:rPr>
        <w:t>）与本投标有关的一切正式往来通讯为：</w:t>
      </w:r>
    </w:p>
    <w:p w14:paraId="71C49E05">
      <w:pPr>
        <w:spacing w:line="360" w:lineRule="auto"/>
        <w:ind w:firstLine="1240" w:firstLineChars="500"/>
        <w:jc w:val="left"/>
        <w:rPr>
          <w:rFonts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t>联系地址：</w:t>
      </w:r>
    </w:p>
    <w:p w14:paraId="7F118EC3">
      <w:pPr>
        <w:spacing w:line="360" w:lineRule="auto"/>
        <w:ind w:firstLine="1240" w:firstLineChars="500"/>
        <w:jc w:val="left"/>
        <w:rPr>
          <w:rFonts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t>邮政编码：</w:t>
      </w:r>
    </w:p>
    <w:p w14:paraId="1615B1C7">
      <w:pPr>
        <w:spacing w:line="360" w:lineRule="auto"/>
        <w:ind w:firstLine="1240" w:firstLineChars="500"/>
        <w:jc w:val="left"/>
        <w:rPr>
          <w:rFonts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t>电    话：</w:t>
      </w:r>
    </w:p>
    <w:p w14:paraId="4808AAF1">
      <w:pPr>
        <w:spacing w:line="360" w:lineRule="auto"/>
        <w:ind w:firstLine="1240" w:firstLineChars="500"/>
        <w:jc w:val="left"/>
        <w:rPr>
          <w:rFonts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t>传    真：</w:t>
      </w:r>
    </w:p>
    <w:p w14:paraId="7A66FF9E">
      <w:pPr>
        <w:spacing w:line="360" w:lineRule="auto"/>
        <w:ind w:firstLine="1240" w:firstLineChars="500"/>
        <w:jc w:val="left"/>
        <w:rPr>
          <w:rFonts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t>投标人名称（盖章）：</w:t>
      </w:r>
    </w:p>
    <w:p w14:paraId="746EB3A8">
      <w:pPr>
        <w:spacing w:line="360" w:lineRule="auto"/>
        <w:ind w:firstLine="1240" w:firstLineChars="500"/>
        <w:jc w:val="left"/>
        <w:rPr>
          <w:rFonts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t>投标人法定代表人签字或盖章：</w:t>
      </w:r>
    </w:p>
    <w:p w14:paraId="6285649A">
      <w:pPr>
        <w:spacing w:line="360" w:lineRule="auto"/>
        <w:ind w:firstLine="1240" w:firstLineChars="500"/>
        <w:jc w:val="left"/>
        <w:rPr>
          <w:rFonts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t>日    期：</w:t>
      </w:r>
    </w:p>
    <w:p w14:paraId="66573800">
      <w:pPr>
        <w:pStyle w:val="5"/>
        <w:spacing w:beforeLines="100"/>
        <w:rPr>
          <w:rFonts w:asciiTheme="minorEastAsia" w:hAnsiTheme="minorEastAsia" w:eastAsiaTheme="minorEastAsia" w:cstheme="minorEastAsia"/>
          <w:sz w:val="32"/>
          <w:szCs w:val="32"/>
          <w:highlight w:val="none"/>
        </w:rPr>
      </w:pPr>
      <w:r>
        <w:rPr>
          <w:rFonts w:hint="eastAsia" w:asciiTheme="minorEastAsia" w:hAnsiTheme="minorEastAsia" w:eastAsiaTheme="minorEastAsia" w:cstheme="minorEastAsia"/>
          <w:highlight w:val="none"/>
        </w:rPr>
        <w:br w:type="page"/>
      </w:r>
      <w:bookmarkStart w:id="114" w:name="_Toc4562"/>
      <w:bookmarkStart w:id="115" w:name="_Toc31119"/>
      <w:bookmarkStart w:id="116" w:name="_Toc3285"/>
      <w:bookmarkStart w:id="117" w:name="_Toc13504"/>
      <w:bookmarkStart w:id="118" w:name="_Toc14574"/>
      <w:r>
        <w:rPr>
          <w:rFonts w:hint="eastAsia" w:asciiTheme="minorEastAsia" w:hAnsiTheme="minorEastAsia" w:eastAsiaTheme="minorEastAsia" w:cstheme="minorEastAsia"/>
          <w:sz w:val="32"/>
          <w:szCs w:val="32"/>
          <w:highlight w:val="none"/>
        </w:rPr>
        <w:t>二、开标一览表</w:t>
      </w:r>
      <w:bookmarkEnd w:id="114"/>
      <w:bookmarkEnd w:id="115"/>
      <w:bookmarkEnd w:id="116"/>
      <w:bookmarkEnd w:id="117"/>
      <w:bookmarkEnd w:id="118"/>
    </w:p>
    <w:p w14:paraId="7A7AC619">
      <w:pPr>
        <w:jc w:val="center"/>
        <w:rPr>
          <w:rFonts w:asciiTheme="minorEastAsia" w:hAnsiTheme="minorEastAsia" w:eastAsiaTheme="minorEastAsia" w:cstheme="minorEastAsia"/>
          <w:b/>
          <w:sz w:val="30"/>
          <w:szCs w:val="30"/>
          <w:highlight w:val="none"/>
        </w:rPr>
      </w:pPr>
      <w:r>
        <w:rPr>
          <w:rFonts w:hint="eastAsia" w:asciiTheme="minorEastAsia" w:hAnsiTheme="minorEastAsia" w:eastAsiaTheme="minorEastAsia" w:cstheme="minorEastAsia"/>
          <w:b/>
          <w:sz w:val="30"/>
          <w:szCs w:val="30"/>
          <w:highlight w:val="none"/>
        </w:rPr>
        <w:t>2.1报价一览表</w:t>
      </w:r>
    </w:p>
    <w:p w14:paraId="32712AD4">
      <w:pPr>
        <w:tabs>
          <w:tab w:val="left" w:pos="7080"/>
          <w:tab w:val="left" w:pos="8504"/>
        </w:tabs>
        <w:spacing w:line="360" w:lineRule="auto"/>
        <w:ind w:right="-1"/>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项目名称：</w:t>
      </w:r>
    </w:p>
    <w:p w14:paraId="61BEB304">
      <w:pPr>
        <w:tabs>
          <w:tab w:val="left" w:pos="7080"/>
          <w:tab w:val="left" w:pos="8504"/>
        </w:tabs>
        <w:spacing w:line="360" w:lineRule="auto"/>
        <w:ind w:right="-1"/>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项目编号、包号（第  包）：</w:t>
      </w:r>
    </w:p>
    <w:tbl>
      <w:tblPr>
        <w:tblStyle w:val="28"/>
        <w:tblW w:w="8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7"/>
        <w:gridCol w:w="6593"/>
      </w:tblGrid>
      <w:tr w14:paraId="40B1C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2047" w:type="dxa"/>
            <w:vMerge w:val="restart"/>
            <w:vAlign w:val="center"/>
          </w:tcPr>
          <w:p w14:paraId="27F526E1">
            <w:pPr>
              <w:jc w:val="center"/>
              <w:rPr>
                <w:rFonts w:ascii="宋体"/>
                <w:sz w:val="24"/>
                <w:szCs w:val="24"/>
                <w:highlight w:val="none"/>
              </w:rPr>
            </w:pPr>
            <w:r>
              <w:rPr>
                <w:rFonts w:hint="eastAsia" w:ascii="宋体" w:hAnsi="宋体" w:cs="宋体"/>
                <w:sz w:val="24"/>
                <w:szCs w:val="24"/>
                <w:highlight w:val="none"/>
              </w:rPr>
              <w:t>投标总报价（元）</w:t>
            </w:r>
          </w:p>
        </w:tc>
        <w:tc>
          <w:tcPr>
            <w:tcW w:w="6593" w:type="dxa"/>
            <w:vAlign w:val="center"/>
          </w:tcPr>
          <w:p w14:paraId="18878E30">
            <w:pPr>
              <w:rPr>
                <w:rFonts w:ascii="宋体"/>
                <w:sz w:val="24"/>
                <w:szCs w:val="24"/>
                <w:highlight w:val="none"/>
              </w:rPr>
            </w:pPr>
            <w:r>
              <w:rPr>
                <w:rFonts w:hint="eastAsia" w:ascii="宋体" w:hAnsi="宋体" w:cs="宋体"/>
                <w:sz w:val="24"/>
                <w:szCs w:val="24"/>
                <w:highlight w:val="none"/>
              </w:rPr>
              <w:t>小写：</w:t>
            </w:r>
          </w:p>
        </w:tc>
      </w:tr>
      <w:tr w14:paraId="091F8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2047" w:type="dxa"/>
            <w:vMerge w:val="continue"/>
            <w:vAlign w:val="center"/>
          </w:tcPr>
          <w:p w14:paraId="3869AC6A">
            <w:pPr>
              <w:rPr>
                <w:highlight w:val="none"/>
              </w:rPr>
            </w:pPr>
          </w:p>
        </w:tc>
        <w:tc>
          <w:tcPr>
            <w:tcW w:w="6593" w:type="dxa"/>
            <w:vAlign w:val="center"/>
          </w:tcPr>
          <w:p w14:paraId="2D87EC8E">
            <w:pPr>
              <w:rPr>
                <w:rFonts w:ascii="宋体"/>
                <w:sz w:val="24"/>
                <w:szCs w:val="24"/>
                <w:highlight w:val="none"/>
              </w:rPr>
            </w:pPr>
            <w:r>
              <w:rPr>
                <w:rFonts w:hint="eastAsia" w:ascii="宋体" w:hAnsi="宋体" w:cs="宋体"/>
                <w:sz w:val="24"/>
                <w:szCs w:val="24"/>
                <w:highlight w:val="none"/>
              </w:rPr>
              <w:t>大写：</w:t>
            </w:r>
          </w:p>
        </w:tc>
      </w:tr>
      <w:tr w14:paraId="79E97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2047" w:type="dxa"/>
            <w:vAlign w:val="center"/>
          </w:tcPr>
          <w:p w14:paraId="2DCEEAFF">
            <w:pPr>
              <w:jc w:val="center"/>
              <w:rPr>
                <w:rFonts w:ascii="宋体" w:hAnsi="宋体" w:cs="宋体"/>
                <w:sz w:val="24"/>
                <w:szCs w:val="24"/>
                <w:highlight w:val="none"/>
              </w:rPr>
            </w:pPr>
            <w:r>
              <w:rPr>
                <w:rFonts w:hint="eastAsia" w:ascii="宋体" w:hAnsi="宋体" w:cs="宋体"/>
                <w:sz w:val="24"/>
                <w:szCs w:val="24"/>
                <w:highlight w:val="none"/>
              </w:rPr>
              <w:t>工期</w:t>
            </w:r>
          </w:p>
        </w:tc>
        <w:tc>
          <w:tcPr>
            <w:tcW w:w="6593" w:type="dxa"/>
            <w:vAlign w:val="center"/>
          </w:tcPr>
          <w:p w14:paraId="35F92C78">
            <w:pPr>
              <w:rPr>
                <w:rFonts w:ascii="宋体"/>
                <w:sz w:val="24"/>
                <w:szCs w:val="24"/>
                <w:highlight w:val="none"/>
              </w:rPr>
            </w:pPr>
          </w:p>
        </w:tc>
      </w:tr>
      <w:tr w14:paraId="03D84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2047" w:type="dxa"/>
            <w:vAlign w:val="center"/>
          </w:tcPr>
          <w:p w14:paraId="5F157131">
            <w:pPr>
              <w:jc w:val="center"/>
              <w:rPr>
                <w:rFonts w:ascii="宋体"/>
                <w:sz w:val="24"/>
                <w:szCs w:val="24"/>
                <w:highlight w:val="none"/>
              </w:rPr>
            </w:pPr>
            <w:r>
              <w:rPr>
                <w:rFonts w:hint="eastAsia" w:ascii="宋体" w:hAnsi="宋体" w:cs="宋体"/>
                <w:sz w:val="24"/>
                <w:szCs w:val="24"/>
                <w:highlight w:val="none"/>
              </w:rPr>
              <w:t>质量标准</w:t>
            </w:r>
          </w:p>
        </w:tc>
        <w:tc>
          <w:tcPr>
            <w:tcW w:w="6593" w:type="dxa"/>
            <w:vAlign w:val="center"/>
          </w:tcPr>
          <w:p w14:paraId="16126AFE">
            <w:pPr>
              <w:rPr>
                <w:rFonts w:ascii="宋体"/>
                <w:sz w:val="24"/>
                <w:szCs w:val="24"/>
                <w:highlight w:val="none"/>
              </w:rPr>
            </w:pPr>
          </w:p>
        </w:tc>
      </w:tr>
      <w:tr w14:paraId="1E68F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2047" w:type="dxa"/>
            <w:vAlign w:val="center"/>
          </w:tcPr>
          <w:p w14:paraId="515EA6AC">
            <w:pPr>
              <w:jc w:val="center"/>
              <w:rPr>
                <w:rFonts w:ascii="宋体"/>
                <w:sz w:val="24"/>
                <w:szCs w:val="24"/>
                <w:highlight w:val="none"/>
              </w:rPr>
            </w:pPr>
            <w:r>
              <w:rPr>
                <w:rFonts w:hint="eastAsia" w:ascii="宋体" w:hAnsi="宋体" w:cs="宋体"/>
                <w:sz w:val="24"/>
                <w:szCs w:val="24"/>
                <w:highlight w:val="none"/>
              </w:rPr>
              <w:t>备注</w:t>
            </w:r>
          </w:p>
        </w:tc>
        <w:tc>
          <w:tcPr>
            <w:tcW w:w="6593" w:type="dxa"/>
            <w:vAlign w:val="center"/>
          </w:tcPr>
          <w:p w14:paraId="10E8B591">
            <w:pPr>
              <w:rPr>
                <w:rFonts w:ascii="宋体"/>
                <w:sz w:val="24"/>
                <w:szCs w:val="24"/>
                <w:highlight w:val="none"/>
              </w:rPr>
            </w:pPr>
          </w:p>
        </w:tc>
      </w:tr>
    </w:tbl>
    <w:p w14:paraId="5476FA9B">
      <w:pPr>
        <w:spacing w:line="120" w:lineRule="exact"/>
        <w:rPr>
          <w:rFonts w:asciiTheme="minorEastAsia" w:hAnsiTheme="minorEastAsia" w:eastAsiaTheme="minorEastAsia" w:cstheme="minorEastAsia"/>
          <w:sz w:val="24"/>
          <w:szCs w:val="24"/>
          <w:highlight w:val="none"/>
        </w:rPr>
      </w:pPr>
    </w:p>
    <w:p w14:paraId="2FD32F8C">
      <w:pPr>
        <w:spacing w:line="360" w:lineRule="auto"/>
        <w:rPr>
          <w:rFonts w:asciiTheme="minorEastAsia" w:hAnsiTheme="minorEastAsia" w:eastAsiaTheme="minorEastAsia" w:cstheme="minorEastAsia"/>
          <w:sz w:val="24"/>
          <w:szCs w:val="24"/>
          <w:highlight w:val="none"/>
        </w:rPr>
      </w:pPr>
    </w:p>
    <w:p w14:paraId="17E1BB52">
      <w:pPr>
        <w:spacing w:line="480" w:lineRule="auto"/>
        <w:ind w:right="540" w:rightChars="257"/>
        <w:jc w:val="left"/>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投标人名称：</w:t>
      </w:r>
      <w:r>
        <w:rPr>
          <w:rFonts w:hint="eastAsia" w:asciiTheme="minorEastAsia" w:hAnsiTheme="minorEastAsia" w:eastAsiaTheme="minorEastAsia" w:cstheme="minorEastAsia"/>
          <w:sz w:val="24"/>
          <w:szCs w:val="24"/>
          <w:highlight w:val="none"/>
          <w:u w:val="single"/>
        </w:rPr>
        <w:t xml:space="preserve">      （加盖投标人公章）      </w:t>
      </w:r>
    </w:p>
    <w:p w14:paraId="5A5B2494">
      <w:pPr>
        <w:spacing w:line="480" w:lineRule="auto"/>
        <w:ind w:right="540" w:rightChars="257"/>
        <w:jc w:val="left"/>
        <w:rPr>
          <w:rFonts w:asciiTheme="minorEastAsia" w:hAnsiTheme="minorEastAsia" w:eastAsiaTheme="minorEastAsia" w:cstheme="minorEastAsia"/>
          <w:sz w:val="24"/>
          <w:szCs w:val="24"/>
          <w:highlight w:val="none"/>
        </w:rPr>
      </w:pPr>
    </w:p>
    <w:p w14:paraId="3F0AB549">
      <w:pPr>
        <w:spacing w:line="480" w:lineRule="auto"/>
        <w:ind w:right="540" w:rightChars="257"/>
        <w:jc w:val="left"/>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法定代表人/或被授权人签字或盖章：</w:t>
      </w:r>
    </w:p>
    <w:p w14:paraId="771FF6C0">
      <w:pPr>
        <w:spacing w:line="480" w:lineRule="auto"/>
        <w:ind w:right="540" w:rightChars="257"/>
        <w:jc w:val="left"/>
        <w:rPr>
          <w:rFonts w:asciiTheme="minorEastAsia" w:hAnsiTheme="minorEastAsia" w:eastAsiaTheme="minorEastAsia" w:cstheme="minorEastAsia"/>
          <w:sz w:val="24"/>
          <w:szCs w:val="24"/>
          <w:highlight w:val="none"/>
        </w:rPr>
      </w:pPr>
    </w:p>
    <w:p w14:paraId="13A8560E">
      <w:pPr>
        <w:spacing w:line="480" w:lineRule="auto"/>
        <w:ind w:right="540" w:rightChars="257"/>
        <w:rPr>
          <w:rFonts w:hint="eastAsia" w:asciiTheme="minorEastAsia" w:hAnsiTheme="minorEastAsia" w:eastAsiaTheme="minorEastAsia" w:cstheme="minorEastAsia"/>
          <w:sz w:val="24"/>
          <w:szCs w:val="24"/>
          <w:highlight w:val="none"/>
        </w:rPr>
        <w:sectPr>
          <w:pgSz w:w="11906" w:h="16838"/>
          <w:pgMar w:top="1304" w:right="1361" w:bottom="1304" w:left="1361" w:header="851" w:footer="992" w:gutter="0"/>
          <w:cols w:space="720" w:num="1"/>
          <w:docGrid w:type="lines" w:linePitch="312" w:charSpace="0"/>
        </w:sectPr>
      </w:pPr>
      <w:r>
        <w:rPr>
          <w:rFonts w:hint="eastAsia" w:asciiTheme="minorEastAsia" w:hAnsiTheme="minorEastAsia" w:eastAsiaTheme="minorEastAsia" w:cstheme="minorEastAsia"/>
          <w:sz w:val="24"/>
          <w:szCs w:val="24"/>
          <w:highlight w:val="none"/>
        </w:rPr>
        <w:t>日    期：</w:t>
      </w:r>
    </w:p>
    <w:p w14:paraId="67DF3724">
      <w:pPr>
        <w:rPr>
          <w:rFonts w:hint="eastAsia" w:asciiTheme="minorEastAsia" w:hAnsiTheme="minorEastAsia" w:eastAsiaTheme="minorEastAsia" w:cstheme="minorEastAsia"/>
          <w:b/>
          <w:sz w:val="30"/>
          <w:szCs w:val="30"/>
          <w:highlight w:val="red"/>
          <w:lang w:val="en-US" w:eastAsia="zh-CN"/>
        </w:rPr>
      </w:pPr>
      <w:r>
        <w:rPr>
          <w:rFonts w:hint="eastAsia" w:asciiTheme="minorEastAsia" w:hAnsiTheme="minorEastAsia" w:eastAsiaTheme="minorEastAsia" w:cstheme="minorEastAsia"/>
          <w:b/>
          <w:sz w:val="30"/>
          <w:szCs w:val="30"/>
          <w:highlight w:val="red"/>
          <w:lang w:val="en-US" w:eastAsia="zh-CN"/>
        </w:rPr>
        <w:br w:type="page"/>
      </w:r>
    </w:p>
    <w:p w14:paraId="64098909">
      <w:pPr>
        <w:jc w:val="center"/>
        <w:rPr>
          <w:rFonts w:hint="eastAsia" w:asciiTheme="minorEastAsia" w:hAnsiTheme="minorEastAsia" w:eastAsiaTheme="minorEastAsia" w:cstheme="minorEastAsia"/>
          <w:b/>
          <w:sz w:val="30"/>
          <w:szCs w:val="30"/>
          <w:highlight w:val="none"/>
          <w:lang w:val="en-US" w:eastAsia="zh-CN"/>
        </w:rPr>
      </w:pPr>
      <w:r>
        <w:rPr>
          <w:rFonts w:hint="eastAsia" w:asciiTheme="minorEastAsia" w:hAnsiTheme="minorEastAsia" w:eastAsiaTheme="minorEastAsia" w:cstheme="minorEastAsia"/>
          <w:b/>
          <w:sz w:val="30"/>
          <w:szCs w:val="30"/>
          <w:highlight w:val="none"/>
          <w:lang w:val="en-US" w:eastAsia="zh-CN"/>
        </w:rPr>
        <w:t>2.2分项报价表</w:t>
      </w:r>
    </w:p>
    <w:p w14:paraId="25C2FD15">
      <w:pPr>
        <w:jc w:val="center"/>
        <w:rPr>
          <w:rFonts w:hint="default" w:eastAsia="宋体"/>
          <w:b/>
          <w:bCs/>
          <w:sz w:val="28"/>
          <w:szCs w:val="32"/>
          <w:highlight w:val="none"/>
          <w:lang w:val="en-US" w:eastAsia="zh-CN"/>
        </w:rPr>
      </w:pPr>
      <w:r>
        <w:rPr>
          <w:rFonts w:hint="eastAsia"/>
          <w:b/>
          <w:bCs/>
          <w:sz w:val="28"/>
          <w:szCs w:val="32"/>
          <w:highlight w:val="none"/>
          <w:lang w:val="en-US" w:eastAsia="zh-CN"/>
        </w:rPr>
        <w:t>报价格式详见附件</w:t>
      </w:r>
    </w:p>
    <w:p w14:paraId="26AA2390">
      <w:pPr>
        <w:spacing w:line="312" w:lineRule="auto"/>
        <w:ind w:right="540" w:rightChars="257"/>
        <w:jc w:val="left"/>
        <w:rPr>
          <w:rFonts w:hint="eastAsia" w:asciiTheme="minorEastAsia" w:hAnsiTheme="minorEastAsia" w:eastAsiaTheme="minorEastAsia" w:cstheme="minorEastAsia"/>
          <w:sz w:val="24"/>
          <w:highlight w:val="none"/>
        </w:rPr>
      </w:pPr>
    </w:p>
    <w:p w14:paraId="2710A828">
      <w:pPr>
        <w:spacing w:line="312" w:lineRule="auto"/>
        <w:ind w:right="540" w:rightChars="257"/>
        <w:jc w:val="left"/>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投标人名称：</w:t>
      </w:r>
      <w:r>
        <w:rPr>
          <w:rFonts w:hint="eastAsia" w:asciiTheme="minorEastAsia" w:hAnsiTheme="minorEastAsia" w:eastAsiaTheme="minorEastAsia" w:cstheme="minorEastAsia"/>
          <w:sz w:val="24"/>
          <w:highlight w:val="none"/>
          <w:u w:val="single"/>
        </w:rPr>
        <w:t xml:space="preserve">      （加盖投标人公章）      </w:t>
      </w:r>
    </w:p>
    <w:p w14:paraId="732D3F05">
      <w:pPr>
        <w:spacing w:line="312" w:lineRule="auto"/>
        <w:ind w:right="540" w:rightChars="257"/>
        <w:jc w:val="left"/>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日    期：</w:t>
      </w:r>
    </w:p>
    <w:p w14:paraId="11F93AA5">
      <w:pPr>
        <w:pStyle w:val="5"/>
        <w:tabs>
          <w:tab w:val="left" w:pos="4860"/>
        </w:tabs>
        <w:spacing w:beforeLines="0" w:afterLines="50"/>
        <w:rPr>
          <w:rFonts w:asciiTheme="minorEastAsia" w:hAnsiTheme="minorEastAsia" w:eastAsiaTheme="minorEastAsia" w:cstheme="minorEastAsia"/>
          <w:sz w:val="32"/>
          <w:szCs w:val="32"/>
          <w:highlight w:val="none"/>
        </w:rPr>
      </w:pPr>
      <w:r>
        <w:rPr>
          <w:rFonts w:hint="eastAsia"/>
          <w:highlight w:val="none"/>
          <w:lang w:val="en-US" w:eastAsia="zh-CN"/>
        </w:rPr>
        <w:br w:type="page"/>
      </w:r>
      <w:bookmarkStart w:id="119" w:name="_Toc31089"/>
      <w:bookmarkStart w:id="120" w:name="_Toc2477"/>
      <w:bookmarkStart w:id="121" w:name="_Toc10537"/>
      <w:bookmarkStart w:id="122" w:name="_Toc6360"/>
      <w:bookmarkStart w:id="123" w:name="_Toc344572163"/>
      <w:r>
        <w:rPr>
          <w:rFonts w:hint="eastAsia" w:asciiTheme="minorEastAsia" w:hAnsiTheme="minorEastAsia" w:eastAsiaTheme="minorEastAsia" w:cstheme="minorEastAsia"/>
          <w:sz w:val="30"/>
          <w:szCs w:val="30"/>
          <w:highlight w:val="none"/>
        </w:rPr>
        <w:t>三、</w:t>
      </w:r>
      <w:r>
        <w:rPr>
          <w:rFonts w:hint="eastAsia" w:asciiTheme="minorEastAsia" w:hAnsiTheme="minorEastAsia" w:eastAsiaTheme="minorEastAsia" w:cstheme="minorEastAsia"/>
          <w:sz w:val="32"/>
          <w:szCs w:val="32"/>
          <w:highlight w:val="none"/>
        </w:rPr>
        <w:t>商务响应偏离表</w:t>
      </w:r>
      <w:bookmarkEnd w:id="119"/>
      <w:bookmarkEnd w:id="120"/>
      <w:bookmarkEnd w:id="121"/>
      <w:bookmarkEnd w:id="122"/>
    </w:p>
    <w:p w14:paraId="6E88DD95">
      <w:pPr>
        <w:spacing w:after="120" w:line="276" w:lineRule="auto"/>
        <w:rPr>
          <w:rFonts w:hint="eastAsia" w:asciiTheme="minorEastAsia" w:hAnsiTheme="minorEastAsia" w:eastAsiaTheme="minorEastAsia" w:cstheme="minorEastAsia"/>
          <w:sz w:val="24"/>
          <w:szCs w:val="32"/>
          <w:highlight w:val="none"/>
          <w:lang w:eastAsia="zh-CN"/>
        </w:rPr>
      </w:pPr>
      <w:r>
        <w:rPr>
          <w:rFonts w:hint="eastAsia" w:asciiTheme="minorEastAsia" w:hAnsiTheme="minorEastAsia" w:eastAsiaTheme="minorEastAsia" w:cstheme="minorEastAsia"/>
          <w:sz w:val="24"/>
          <w:szCs w:val="32"/>
          <w:highlight w:val="none"/>
        </w:rPr>
        <w:t>项目名称</w:t>
      </w:r>
      <w:r>
        <w:rPr>
          <w:rFonts w:hint="eastAsia" w:asciiTheme="minorEastAsia" w:hAnsiTheme="minorEastAsia" w:eastAsiaTheme="minorEastAsia" w:cstheme="minorEastAsia"/>
          <w:sz w:val="24"/>
          <w:szCs w:val="32"/>
          <w:highlight w:val="none"/>
          <w:lang w:eastAsia="zh-CN"/>
        </w:rPr>
        <w:t>：</w:t>
      </w:r>
    </w:p>
    <w:p w14:paraId="7D0DFBF2">
      <w:pPr>
        <w:spacing w:after="120" w:line="276" w:lineRule="auto"/>
        <w:rPr>
          <w:rFonts w:asciiTheme="minorEastAsia" w:hAnsiTheme="minorEastAsia" w:eastAsiaTheme="minorEastAsia" w:cstheme="minorEastAsia"/>
          <w:sz w:val="24"/>
          <w:szCs w:val="32"/>
          <w:highlight w:val="none"/>
        </w:rPr>
      </w:pPr>
      <w:r>
        <w:rPr>
          <w:rFonts w:hint="eastAsia" w:asciiTheme="minorEastAsia" w:hAnsiTheme="minorEastAsia" w:eastAsiaTheme="minorEastAsia" w:cstheme="minorEastAsia"/>
          <w:sz w:val="24"/>
          <w:szCs w:val="32"/>
          <w:highlight w:val="none"/>
        </w:rPr>
        <w:t>项目编号、包号（第  包）：</w:t>
      </w:r>
    </w:p>
    <w:tbl>
      <w:tblPr>
        <w:tblStyle w:val="28"/>
        <w:tblW w:w="879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1890"/>
        <w:gridCol w:w="1995"/>
        <w:gridCol w:w="2688"/>
        <w:gridCol w:w="1212"/>
        <w:gridCol w:w="1007"/>
      </w:tblGrid>
      <w:tr w14:paraId="4CD60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1890" w:type="dxa"/>
            <w:vAlign w:val="center"/>
          </w:tcPr>
          <w:p w14:paraId="2E3C642C">
            <w:pPr>
              <w:spacing w:line="360" w:lineRule="auto"/>
              <w:jc w:val="center"/>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名称</w:t>
            </w:r>
          </w:p>
        </w:tc>
        <w:tc>
          <w:tcPr>
            <w:tcW w:w="1995" w:type="dxa"/>
            <w:vAlign w:val="center"/>
          </w:tcPr>
          <w:p w14:paraId="28BB0EF3">
            <w:pPr>
              <w:spacing w:line="360" w:lineRule="auto"/>
              <w:jc w:val="center"/>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招标文件商务要求</w:t>
            </w:r>
          </w:p>
        </w:tc>
        <w:tc>
          <w:tcPr>
            <w:tcW w:w="2688" w:type="dxa"/>
            <w:vAlign w:val="center"/>
          </w:tcPr>
          <w:p w14:paraId="0CF7263E">
            <w:pPr>
              <w:spacing w:line="360" w:lineRule="auto"/>
              <w:jc w:val="center"/>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投标文件商务响应</w:t>
            </w:r>
          </w:p>
        </w:tc>
        <w:tc>
          <w:tcPr>
            <w:tcW w:w="1212" w:type="dxa"/>
            <w:vAlign w:val="center"/>
          </w:tcPr>
          <w:p w14:paraId="6DB9DA80">
            <w:pPr>
              <w:spacing w:line="360" w:lineRule="auto"/>
              <w:jc w:val="center"/>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偏离</w:t>
            </w:r>
          </w:p>
        </w:tc>
        <w:tc>
          <w:tcPr>
            <w:tcW w:w="1007" w:type="dxa"/>
            <w:vAlign w:val="center"/>
          </w:tcPr>
          <w:p w14:paraId="4F30A377">
            <w:pPr>
              <w:spacing w:line="360" w:lineRule="auto"/>
              <w:jc w:val="center"/>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说明</w:t>
            </w:r>
          </w:p>
        </w:tc>
      </w:tr>
      <w:tr w14:paraId="1D4C8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890" w:type="dxa"/>
          </w:tcPr>
          <w:p w14:paraId="4523CFDC">
            <w:pPr>
              <w:spacing w:line="360" w:lineRule="auto"/>
              <w:jc w:val="center"/>
              <w:rPr>
                <w:rFonts w:asciiTheme="minorEastAsia" w:hAnsiTheme="minorEastAsia" w:eastAsiaTheme="minorEastAsia" w:cstheme="minorEastAsia"/>
                <w:sz w:val="24"/>
                <w:szCs w:val="24"/>
                <w:highlight w:val="none"/>
              </w:rPr>
            </w:pPr>
          </w:p>
        </w:tc>
        <w:tc>
          <w:tcPr>
            <w:tcW w:w="1995" w:type="dxa"/>
          </w:tcPr>
          <w:p w14:paraId="4318391D">
            <w:pPr>
              <w:spacing w:line="360" w:lineRule="auto"/>
              <w:jc w:val="center"/>
              <w:rPr>
                <w:rFonts w:asciiTheme="minorEastAsia" w:hAnsiTheme="minorEastAsia" w:eastAsiaTheme="minorEastAsia" w:cstheme="minorEastAsia"/>
                <w:sz w:val="24"/>
                <w:szCs w:val="24"/>
                <w:highlight w:val="none"/>
              </w:rPr>
            </w:pPr>
          </w:p>
        </w:tc>
        <w:tc>
          <w:tcPr>
            <w:tcW w:w="2688" w:type="dxa"/>
          </w:tcPr>
          <w:p w14:paraId="3EFFF2C7">
            <w:pPr>
              <w:spacing w:line="360" w:lineRule="auto"/>
              <w:jc w:val="center"/>
              <w:rPr>
                <w:rFonts w:asciiTheme="minorEastAsia" w:hAnsiTheme="minorEastAsia" w:eastAsiaTheme="minorEastAsia" w:cstheme="minorEastAsia"/>
                <w:sz w:val="24"/>
                <w:szCs w:val="24"/>
                <w:highlight w:val="none"/>
              </w:rPr>
            </w:pPr>
          </w:p>
        </w:tc>
        <w:tc>
          <w:tcPr>
            <w:tcW w:w="1212" w:type="dxa"/>
          </w:tcPr>
          <w:p w14:paraId="1C2A86C3">
            <w:pPr>
              <w:spacing w:line="360" w:lineRule="auto"/>
              <w:jc w:val="center"/>
              <w:rPr>
                <w:rFonts w:asciiTheme="minorEastAsia" w:hAnsiTheme="minorEastAsia" w:eastAsiaTheme="minorEastAsia" w:cstheme="minorEastAsia"/>
                <w:sz w:val="24"/>
                <w:szCs w:val="24"/>
                <w:highlight w:val="none"/>
              </w:rPr>
            </w:pPr>
          </w:p>
        </w:tc>
        <w:tc>
          <w:tcPr>
            <w:tcW w:w="1007" w:type="dxa"/>
          </w:tcPr>
          <w:p w14:paraId="1A4A7648">
            <w:pPr>
              <w:spacing w:line="360" w:lineRule="auto"/>
              <w:jc w:val="center"/>
              <w:rPr>
                <w:rFonts w:asciiTheme="minorEastAsia" w:hAnsiTheme="minorEastAsia" w:eastAsiaTheme="minorEastAsia" w:cstheme="minorEastAsia"/>
                <w:sz w:val="24"/>
                <w:szCs w:val="24"/>
                <w:highlight w:val="none"/>
              </w:rPr>
            </w:pPr>
          </w:p>
        </w:tc>
      </w:tr>
      <w:tr w14:paraId="524AC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890" w:type="dxa"/>
          </w:tcPr>
          <w:p w14:paraId="1D1B6B07">
            <w:pPr>
              <w:spacing w:line="360" w:lineRule="auto"/>
              <w:jc w:val="center"/>
              <w:rPr>
                <w:rFonts w:asciiTheme="minorEastAsia" w:hAnsiTheme="minorEastAsia" w:eastAsiaTheme="minorEastAsia" w:cstheme="minorEastAsia"/>
                <w:sz w:val="24"/>
                <w:szCs w:val="24"/>
                <w:highlight w:val="none"/>
              </w:rPr>
            </w:pPr>
          </w:p>
        </w:tc>
        <w:tc>
          <w:tcPr>
            <w:tcW w:w="1995" w:type="dxa"/>
          </w:tcPr>
          <w:p w14:paraId="3C39C386">
            <w:pPr>
              <w:spacing w:line="360" w:lineRule="auto"/>
              <w:jc w:val="center"/>
              <w:rPr>
                <w:rFonts w:asciiTheme="minorEastAsia" w:hAnsiTheme="minorEastAsia" w:eastAsiaTheme="minorEastAsia" w:cstheme="minorEastAsia"/>
                <w:sz w:val="24"/>
                <w:szCs w:val="24"/>
                <w:highlight w:val="none"/>
              </w:rPr>
            </w:pPr>
          </w:p>
        </w:tc>
        <w:tc>
          <w:tcPr>
            <w:tcW w:w="2688" w:type="dxa"/>
          </w:tcPr>
          <w:p w14:paraId="6F0E9E91">
            <w:pPr>
              <w:spacing w:line="360" w:lineRule="auto"/>
              <w:jc w:val="center"/>
              <w:rPr>
                <w:rFonts w:asciiTheme="minorEastAsia" w:hAnsiTheme="minorEastAsia" w:eastAsiaTheme="minorEastAsia" w:cstheme="minorEastAsia"/>
                <w:sz w:val="24"/>
                <w:szCs w:val="24"/>
                <w:highlight w:val="none"/>
              </w:rPr>
            </w:pPr>
          </w:p>
        </w:tc>
        <w:tc>
          <w:tcPr>
            <w:tcW w:w="1212" w:type="dxa"/>
          </w:tcPr>
          <w:p w14:paraId="3643E325">
            <w:pPr>
              <w:spacing w:line="360" w:lineRule="auto"/>
              <w:jc w:val="center"/>
              <w:rPr>
                <w:rFonts w:asciiTheme="minorEastAsia" w:hAnsiTheme="minorEastAsia" w:eastAsiaTheme="minorEastAsia" w:cstheme="minorEastAsia"/>
                <w:sz w:val="24"/>
                <w:szCs w:val="24"/>
                <w:highlight w:val="none"/>
              </w:rPr>
            </w:pPr>
          </w:p>
        </w:tc>
        <w:tc>
          <w:tcPr>
            <w:tcW w:w="1007" w:type="dxa"/>
          </w:tcPr>
          <w:p w14:paraId="0594691A">
            <w:pPr>
              <w:spacing w:line="360" w:lineRule="auto"/>
              <w:jc w:val="center"/>
              <w:rPr>
                <w:rFonts w:asciiTheme="minorEastAsia" w:hAnsiTheme="minorEastAsia" w:eastAsiaTheme="minorEastAsia" w:cstheme="minorEastAsia"/>
                <w:sz w:val="24"/>
                <w:szCs w:val="24"/>
                <w:highlight w:val="none"/>
              </w:rPr>
            </w:pPr>
          </w:p>
        </w:tc>
      </w:tr>
      <w:tr w14:paraId="3BEAFE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890" w:type="dxa"/>
          </w:tcPr>
          <w:p w14:paraId="2A7D87E7">
            <w:pPr>
              <w:spacing w:line="360" w:lineRule="auto"/>
              <w:jc w:val="center"/>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w:t>
            </w:r>
          </w:p>
        </w:tc>
        <w:tc>
          <w:tcPr>
            <w:tcW w:w="1995" w:type="dxa"/>
          </w:tcPr>
          <w:p w14:paraId="546D2889">
            <w:pPr>
              <w:spacing w:line="360" w:lineRule="auto"/>
              <w:jc w:val="center"/>
              <w:rPr>
                <w:rFonts w:asciiTheme="minorEastAsia" w:hAnsiTheme="minorEastAsia" w:eastAsiaTheme="minorEastAsia" w:cstheme="minorEastAsia"/>
                <w:sz w:val="24"/>
                <w:szCs w:val="24"/>
                <w:highlight w:val="none"/>
              </w:rPr>
            </w:pPr>
          </w:p>
        </w:tc>
        <w:tc>
          <w:tcPr>
            <w:tcW w:w="2688" w:type="dxa"/>
          </w:tcPr>
          <w:p w14:paraId="365632CD">
            <w:pPr>
              <w:spacing w:line="360" w:lineRule="auto"/>
              <w:jc w:val="center"/>
              <w:rPr>
                <w:rFonts w:asciiTheme="minorEastAsia" w:hAnsiTheme="minorEastAsia" w:eastAsiaTheme="minorEastAsia" w:cstheme="minorEastAsia"/>
                <w:sz w:val="24"/>
                <w:szCs w:val="24"/>
                <w:highlight w:val="none"/>
              </w:rPr>
            </w:pPr>
          </w:p>
        </w:tc>
        <w:tc>
          <w:tcPr>
            <w:tcW w:w="1212" w:type="dxa"/>
          </w:tcPr>
          <w:p w14:paraId="6AF75D37">
            <w:pPr>
              <w:spacing w:line="360" w:lineRule="auto"/>
              <w:jc w:val="center"/>
              <w:rPr>
                <w:rFonts w:asciiTheme="minorEastAsia" w:hAnsiTheme="minorEastAsia" w:eastAsiaTheme="minorEastAsia" w:cstheme="minorEastAsia"/>
                <w:sz w:val="24"/>
                <w:szCs w:val="24"/>
                <w:highlight w:val="none"/>
              </w:rPr>
            </w:pPr>
          </w:p>
        </w:tc>
        <w:tc>
          <w:tcPr>
            <w:tcW w:w="1007" w:type="dxa"/>
          </w:tcPr>
          <w:p w14:paraId="1364DC7F">
            <w:pPr>
              <w:spacing w:line="360" w:lineRule="auto"/>
              <w:jc w:val="center"/>
              <w:rPr>
                <w:rFonts w:asciiTheme="minorEastAsia" w:hAnsiTheme="minorEastAsia" w:eastAsiaTheme="minorEastAsia" w:cstheme="minorEastAsia"/>
                <w:sz w:val="24"/>
                <w:szCs w:val="24"/>
                <w:highlight w:val="none"/>
              </w:rPr>
            </w:pPr>
          </w:p>
        </w:tc>
      </w:tr>
      <w:tr w14:paraId="3DB2D2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890" w:type="dxa"/>
          </w:tcPr>
          <w:p w14:paraId="5A40A98A">
            <w:pPr>
              <w:spacing w:line="360" w:lineRule="auto"/>
              <w:jc w:val="center"/>
              <w:rPr>
                <w:rFonts w:asciiTheme="minorEastAsia" w:hAnsiTheme="minorEastAsia" w:eastAsiaTheme="minorEastAsia" w:cstheme="minorEastAsia"/>
                <w:sz w:val="24"/>
                <w:szCs w:val="24"/>
                <w:highlight w:val="none"/>
              </w:rPr>
            </w:pPr>
          </w:p>
        </w:tc>
        <w:tc>
          <w:tcPr>
            <w:tcW w:w="1995" w:type="dxa"/>
          </w:tcPr>
          <w:p w14:paraId="4FFA24DB">
            <w:pPr>
              <w:spacing w:line="360" w:lineRule="auto"/>
              <w:jc w:val="center"/>
              <w:rPr>
                <w:rFonts w:asciiTheme="minorEastAsia" w:hAnsiTheme="minorEastAsia" w:eastAsiaTheme="minorEastAsia" w:cstheme="minorEastAsia"/>
                <w:sz w:val="24"/>
                <w:szCs w:val="24"/>
                <w:highlight w:val="none"/>
              </w:rPr>
            </w:pPr>
          </w:p>
        </w:tc>
        <w:tc>
          <w:tcPr>
            <w:tcW w:w="2688" w:type="dxa"/>
          </w:tcPr>
          <w:p w14:paraId="226C1B78">
            <w:pPr>
              <w:spacing w:line="360" w:lineRule="auto"/>
              <w:jc w:val="center"/>
              <w:rPr>
                <w:rFonts w:asciiTheme="minorEastAsia" w:hAnsiTheme="minorEastAsia" w:eastAsiaTheme="minorEastAsia" w:cstheme="minorEastAsia"/>
                <w:sz w:val="24"/>
                <w:szCs w:val="24"/>
                <w:highlight w:val="none"/>
              </w:rPr>
            </w:pPr>
          </w:p>
        </w:tc>
        <w:tc>
          <w:tcPr>
            <w:tcW w:w="1212" w:type="dxa"/>
          </w:tcPr>
          <w:p w14:paraId="0F0B0983">
            <w:pPr>
              <w:spacing w:line="360" w:lineRule="auto"/>
              <w:jc w:val="center"/>
              <w:rPr>
                <w:rFonts w:asciiTheme="minorEastAsia" w:hAnsiTheme="minorEastAsia" w:eastAsiaTheme="minorEastAsia" w:cstheme="minorEastAsia"/>
                <w:sz w:val="24"/>
                <w:szCs w:val="24"/>
                <w:highlight w:val="none"/>
              </w:rPr>
            </w:pPr>
          </w:p>
        </w:tc>
        <w:tc>
          <w:tcPr>
            <w:tcW w:w="1007" w:type="dxa"/>
          </w:tcPr>
          <w:p w14:paraId="41F9A70A">
            <w:pPr>
              <w:spacing w:line="360" w:lineRule="auto"/>
              <w:jc w:val="center"/>
              <w:rPr>
                <w:rFonts w:asciiTheme="minorEastAsia" w:hAnsiTheme="minorEastAsia" w:eastAsiaTheme="minorEastAsia" w:cstheme="minorEastAsia"/>
                <w:sz w:val="24"/>
                <w:szCs w:val="24"/>
                <w:highlight w:val="none"/>
              </w:rPr>
            </w:pPr>
          </w:p>
        </w:tc>
      </w:tr>
      <w:tr w14:paraId="2F2B9E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890" w:type="dxa"/>
          </w:tcPr>
          <w:p w14:paraId="11049AF3">
            <w:pPr>
              <w:spacing w:line="360" w:lineRule="auto"/>
              <w:jc w:val="center"/>
              <w:rPr>
                <w:rFonts w:asciiTheme="minorEastAsia" w:hAnsiTheme="minorEastAsia" w:eastAsiaTheme="minorEastAsia" w:cstheme="minorEastAsia"/>
                <w:sz w:val="24"/>
                <w:szCs w:val="24"/>
                <w:highlight w:val="none"/>
              </w:rPr>
            </w:pPr>
          </w:p>
        </w:tc>
        <w:tc>
          <w:tcPr>
            <w:tcW w:w="1995" w:type="dxa"/>
          </w:tcPr>
          <w:p w14:paraId="1766A5A3">
            <w:pPr>
              <w:spacing w:line="360" w:lineRule="auto"/>
              <w:jc w:val="center"/>
              <w:rPr>
                <w:rFonts w:asciiTheme="minorEastAsia" w:hAnsiTheme="minorEastAsia" w:eastAsiaTheme="minorEastAsia" w:cstheme="minorEastAsia"/>
                <w:sz w:val="24"/>
                <w:szCs w:val="24"/>
                <w:highlight w:val="none"/>
              </w:rPr>
            </w:pPr>
          </w:p>
        </w:tc>
        <w:tc>
          <w:tcPr>
            <w:tcW w:w="2688" w:type="dxa"/>
          </w:tcPr>
          <w:p w14:paraId="3A462474">
            <w:pPr>
              <w:spacing w:line="360" w:lineRule="auto"/>
              <w:jc w:val="center"/>
              <w:rPr>
                <w:rFonts w:asciiTheme="minorEastAsia" w:hAnsiTheme="minorEastAsia" w:eastAsiaTheme="minorEastAsia" w:cstheme="minorEastAsia"/>
                <w:sz w:val="24"/>
                <w:szCs w:val="24"/>
                <w:highlight w:val="none"/>
              </w:rPr>
            </w:pPr>
          </w:p>
        </w:tc>
        <w:tc>
          <w:tcPr>
            <w:tcW w:w="1212" w:type="dxa"/>
          </w:tcPr>
          <w:p w14:paraId="48CD91F4">
            <w:pPr>
              <w:spacing w:line="360" w:lineRule="auto"/>
              <w:jc w:val="center"/>
              <w:rPr>
                <w:rFonts w:asciiTheme="minorEastAsia" w:hAnsiTheme="minorEastAsia" w:eastAsiaTheme="minorEastAsia" w:cstheme="minorEastAsia"/>
                <w:sz w:val="24"/>
                <w:szCs w:val="24"/>
                <w:highlight w:val="none"/>
              </w:rPr>
            </w:pPr>
          </w:p>
        </w:tc>
        <w:tc>
          <w:tcPr>
            <w:tcW w:w="1007" w:type="dxa"/>
          </w:tcPr>
          <w:p w14:paraId="28D3619F">
            <w:pPr>
              <w:spacing w:line="360" w:lineRule="auto"/>
              <w:jc w:val="center"/>
              <w:rPr>
                <w:rFonts w:asciiTheme="minorEastAsia" w:hAnsiTheme="minorEastAsia" w:eastAsiaTheme="minorEastAsia" w:cstheme="minorEastAsia"/>
                <w:sz w:val="24"/>
                <w:szCs w:val="24"/>
                <w:highlight w:val="none"/>
              </w:rPr>
            </w:pPr>
          </w:p>
        </w:tc>
      </w:tr>
    </w:tbl>
    <w:p w14:paraId="5D00CFF9">
      <w:pPr>
        <w:spacing w:line="360" w:lineRule="auto"/>
        <w:ind w:firstLine="48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声明：除本商务偏离表中所列的偏离项目外，其它所有商务均完全响应“招标文件”中的要求。</w:t>
      </w:r>
    </w:p>
    <w:bookmarkEnd w:id="123"/>
    <w:p w14:paraId="24E7B749">
      <w:pPr>
        <w:spacing w:line="312" w:lineRule="auto"/>
        <w:ind w:right="540" w:rightChars="257"/>
        <w:jc w:val="left"/>
        <w:rPr>
          <w:rFonts w:asciiTheme="minorEastAsia" w:hAnsiTheme="minorEastAsia" w:eastAsiaTheme="minorEastAsia" w:cstheme="minorEastAsia"/>
          <w:sz w:val="24"/>
          <w:highlight w:val="none"/>
        </w:rPr>
      </w:pPr>
    </w:p>
    <w:p w14:paraId="38FC534D">
      <w:pPr>
        <w:spacing w:line="312" w:lineRule="auto"/>
        <w:ind w:right="540" w:rightChars="257"/>
        <w:jc w:val="left"/>
        <w:rPr>
          <w:rFonts w:asciiTheme="minorEastAsia" w:hAnsiTheme="minorEastAsia" w:eastAsiaTheme="minorEastAsia" w:cstheme="minorEastAsia"/>
          <w:sz w:val="24"/>
          <w:highlight w:val="none"/>
          <w:u w:val="single"/>
        </w:rPr>
      </w:pPr>
      <w:r>
        <w:rPr>
          <w:rFonts w:hint="eastAsia" w:asciiTheme="minorEastAsia" w:hAnsiTheme="minorEastAsia" w:eastAsiaTheme="minorEastAsia" w:cstheme="minorEastAsia"/>
          <w:sz w:val="24"/>
          <w:highlight w:val="none"/>
        </w:rPr>
        <w:t>投标人名称：</w:t>
      </w:r>
      <w:r>
        <w:rPr>
          <w:rFonts w:hint="eastAsia" w:asciiTheme="minorEastAsia" w:hAnsiTheme="minorEastAsia" w:eastAsiaTheme="minorEastAsia" w:cstheme="minorEastAsia"/>
          <w:sz w:val="24"/>
          <w:highlight w:val="none"/>
          <w:u w:val="single"/>
        </w:rPr>
        <w:t xml:space="preserve">      （加盖投标人公章）      </w:t>
      </w:r>
    </w:p>
    <w:p w14:paraId="770A7C0C">
      <w:pPr>
        <w:spacing w:line="312" w:lineRule="auto"/>
        <w:ind w:right="540" w:rightChars="257"/>
        <w:jc w:val="left"/>
        <w:rPr>
          <w:rFonts w:asciiTheme="minorEastAsia" w:hAnsiTheme="minorEastAsia" w:eastAsiaTheme="minorEastAsia" w:cstheme="minorEastAsia"/>
          <w:sz w:val="24"/>
          <w:highlight w:val="none"/>
          <w:u w:val="single"/>
        </w:rPr>
      </w:pPr>
    </w:p>
    <w:p w14:paraId="3DD4415E">
      <w:pPr>
        <w:spacing w:line="312" w:lineRule="auto"/>
        <w:ind w:right="540" w:rightChars="257"/>
        <w:jc w:val="left"/>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法定代表人或被授权人签字或盖章：</w:t>
      </w:r>
    </w:p>
    <w:p w14:paraId="3AF47065">
      <w:pPr>
        <w:spacing w:line="312" w:lineRule="auto"/>
        <w:ind w:right="540" w:rightChars="257"/>
        <w:jc w:val="left"/>
        <w:rPr>
          <w:rFonts w:asciiTheme="minorEastAsia" w:hAnsiTheme="minorEastAsia" w:eastAsiaTheme="minorEastAsia" w:cstheme="minorEastAsia"/>
          <w:sz w:val="24"/>
          <w:highlight w:val="none"/>
        </w:rPr>
      </w:pPr>
    </w:p>
    <w:p w14:paraId="33C3E93B">
      <w:pPr>
        <w:spacing w:line="312" w:lineRule="auto"/>
        <w:ind w:right="540" w:rightChars="257"/>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日    期：</w:t>
      </w:r>
    </w:p>
    <w:p w14:paraId="0FC44FE9">
      <w:pPr>
        <w:pStyle w:val="25"/>
        <w:rPr>
          <w:rFonts w:asciiTheme="minorEastAsia" w:hAnsiTheme="minorEastAsia" w:eastAsiaTheme="minorEastAsia" w:cstheme="minorEastAsia"/>
          <w:color w:val="auto"/>
          <w:highlight w:val="none"/>
        </w:rPr>
      </w:pPr>
    </w:p>
    <w:p w14:paraId="6CB23B86">
      <w:pPr>
        <w:pStyle w:val="25"/>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说明：</w:t>
      </w:r>
    </w:p>
    <w:p w14:paraId="54E0B24D">
      <w:pPr>
        <w:pStyle w:val="25"/>
        <w:ind w:firstLine="480" w:firstLineChars="200"/>
        <w:jc w:val="both"/>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1.本表只填写投标文件中与招标文件有偏离（包括正偏离和负偏离）的内容，投标文件中商务响应与招标文件要求完全一致的，不用在此表中列出，但必须提交空白表。</w:t>
      </w:r>
    </w:p>
    <w:p w14:paraId="389A4B97">
      <w:pPr>
        <w:pStyle w:val="25"/>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2.投标人必须据实填写，不得虚假响应，否则将取消其投标或中标资格，并按有关规定进处罚。</w:t>
      </w:r>
    </w:p>
    <w:p w14:paraId="39B2D5D0">
      <w:pPr>
        <w:pStyle w:val="25"/>
        <w:rPr>
          <w:rFonts w:asciiTheme="minorEastAsia" w:hAnsiTheme="minorEastAsia" w:eastAsiaTheme="minorEastAsia" w:cstheme="minorEastAsia"/>
          <w:color w:val="auto"/>
          <w:highlight w:val="none"/>
        </w:rPr>
      </w:pPr>
    </w:p>
    <w:p w14:paraId="51EB1476">
      <w:pPr>
        <w:rPr>
          <w:rFonts w:asciiTheme="minorEastAsia" w:hAnsiTheme="minorEastAsia" w:eastAsiaTheme="minorEastAsia" w:cstheme="minorEastAsia"/>
          <w:sz w:val="24"/>
          <w:highlight w:val="none"/>
        </w:rPr>
      </w:pPr>
    </w:p>
    <w:p w14:paraId="6FD57E9D">
      <w:pPr>
        <w:pStyle w:val="5"/>
        <w:spacing w:beforeLines="100"/>
        <w:rPr>
          <w:rFonts w:asciiTheme="minorEastAsia" w:hAnsiTheme="minorEastAsia" w:eastAsiaTheme="minorEastAsia" w:cstheme="minorEastAsia"/>
          <w:b w:val="0"/>
          <w:highlight w:val="none"/>
        </w:rPr>
      </w:pPr>
      <w:r>
        <w:rPr>
          <w:rFonts w:hint="eastAsia" w:asciiTheme="minorEastAsia" w:hAnsiTheme="minorEastAsia" w:eastAsiaTheme="minorEastAsia" w:cstheme="minorEastAsia"/>
          <w:sz w:val="32"/>
          <w:szCs w:val="32"/>
          <w:highlight w:val="none"/>
        </w:rPr>
        <w:br w:type="page"/>
      </w:r>
      <w:bookmarkStart w:id="124" w:name="_Toc11699"/>
      <w:bookmarkStart w:id="125" w:name="_Toc9782"/>
      <w:bookmarkStart w:id="126" w:name="_Toc28513"/>
      <w:bookmarkStart w:id="127" w:name="_Toc400"/>
      <w:bookmarkStart w:id="128" w:name="_Toc27879"/>
      <w:r>
        <w:rPr>
          <w:rFonts w:hint="eastAsia" w:asciiTheme="minorEastAsia" w:hAnsiTheme="minorEastAsia" w:eastAsiaTheme="minorEastAsia" w:cstheme="minorEastAsia"/>
          <w:sz w:val="32"/>
          <w:szCs w:val="32"/>
          <w:highlight w:val="none"/>
        </w:rPr>
        <w:t>四、投标方案说明书</w:t>
      </w:r>
      <w:bookmarkEnd w:id="124"/>
      <w:bookmarkEnd w:id="125"/>
      <w:bookmarkEnd w:id="126"/>
      <w:bookmarkEnd w:id="127"/>
      <w:bookmarkEnd w:id="128"/>
    </w:p>
    <w:p w14:paraId="3E7C6982">
      <w:pPr>
        <w:rPr>
          <w:rFonts w:asciiTheme="minorEastAsia" w:hAnsiTheme="minorEastAsia" w:eastAsiaTheme="minorEastAsia" w:cstheme="minorEastAsia"/>
          <w:highlight w:val="none"/>
        </w:rPr>
      </w:pPr>
    </w:p>
    <w:p w14:paraId="7D079A1C">
      <w:pPr>
        <w:adjustRightInd w:val="0"/>
        <w:spacing w:after="120" w:line="440" w:lineRule="exact"/>
        <w:ind w:firstLine="480" w:firstLineChars="20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按照招标文件的要求编制，根据评审办法进行编制，主要内容包含但不限于以下内容：</w:t>
      </w:r>
    </w:p>
    <w:p w14:paraId="3442F830">
      <w:pPr>
        <w:spacing w:line="480" w:lineRule="auto"/>
        <w:ind w:firstLine="480" w:firstLineChars="200"/>
        <w:rPr>
          <w:rFonts w:hint="default" w:ascii="宋体" w:hAnsi="宋体" w:eastAsia="宋体" w:cs="宋体"/>
          <w:sz w:val="24"/>
          <w:szCs w:val="24"/>
          <w:highlight w:val="none"/>
          <w:lang w:val="en-US" w:eastAsia="zh-CN"/>
        </w:rPr>
      </w:pPr>
      <w:r>
        <w:rPr>
          <w:rFonts w:hint="eastAsia" w:ascii="宋体" w:hAnsi="宋体" w:cs="宋体"/>
          <w:sz w:val="24"/>
          <w:szCs w:val="24"/>
          <w:highlight w:val="none"/>
        </w:rPr>
        <w:t>①项目管理部门及人员配备</w:t>
      </w:r>
    </w:p>
    <w:p w14:paraId="6CCBF670">
      <w:pPr>
        <w:spacing w:line="480" w:lineRule="auto"/>
        <w:ind w:firstLine="480" w:firstLineChars="200"/>
        <w:rPr>
          <w:rFonts w:ascii="宋体" w:hAnsi="宋体" w:cs="宋体"/>
          <w:sz w:val="24"/>
          <w:szCs w:val="24"/>
          <w:highlight w:val="none"/>
        </w:rPr>
      </w:pPr>
      <w:r>
        <w:rPr>
          <w:rFonts w:hint="eastAsia" w:ascii="宋体" w:hAnsi="宋体" w:cs="宋体"/>
          <w:sz w:val="24"/>
          <w:szCs w:val="24"/>
          <w:highlight w:val="none"/>
        </w:rPr>
        <w:t>②项目实施方案</w:t>
      </w:r>
    </w:p>
    <w:p w14:paraId="484414FF">
      <w:pPr>
        <w:spacing w:line="480" w:lineRule="auto"/>
        <w:ind w:firstLine="480" w:firstLineChars="200"/>
        <w:rPr>
          <w:rFonts w:ascii="宋体" w:hAnsi="宋体" w:cs="宋体"/>
          <w:sz w:val="24"/>
          <w:szCs w:val="24"/>
          <w:highlight w:val="none"/>
        </w:rPr>
      </w:pPr>
      <w:r>
        <w:rPr>
          <w:rFonts w:hint="eastAsia" w:ascii="宋体" w:hAnsi="宋体" w:cs="宋体"/>
          <w:sz w:val="24"/>
          <w:szCs w:val="24"/>
          <w:highlight w:val="none"/>
        </w:rPr>
        <w:t>③工程进度计划与保障措施</w:t>
      </w:r>
    </w:p>
    <w:p w14:paraId="55C1A436">
      <w:pPr>
        <w:pStyle w:val="27"/>
        <w:spacing w:line="480" w:lineRule="auto"/>
        <w:ind w:firstLine="480" w:firstLineChars="200"/>
        <w:rPr>
          <w:rFonts w:ascii="宋体" w:hAnsi="宋体" w:cs="宋体"/>
          <w:sz w:val="24"/>
          <w:szCs w:val="24"/>
          <w:highlight w:val="none"/>
        </w:rPr>
      </w:pPr>
      <w:r>
        <w:rPr>
          <w:rFonts w:hint="eastAsia" w:ascii="宋体" w:hAnsi="宋体" w:cs="宋体"/>
          <w:sz w:val="24"/>
          <w:szCs w:val="24"/>
          <w:highlight w:val="none"/>
        </w:rPr>
        <w:t>④确保工程质量</w:t>
      </w:r>
      <w:r>
        <w:rPr>
          <w:rFonts w:hint="eastAsia" w:hAnsi="宋体" w:cs="宋体"/>
          <w:sz w:val="24"/>
          <w:szCs w:val="24"/>
          <w:highlight w:val="none"/>
        </w:rPr>
        <w:t>的</w:t>
      </w:r>
      <w:r>
        <w:rPr>
          <w:rFonts w:hint="eastAsia" w:ascii="宋体" w:hAnsi="宋体" w:cs="宋体"/>
          <w:sz w:val="24"/>
          <w:szCs w:val="24"/>
          <w:highlight w:val="none"/>
        </w:rPr>
        <w:t>组织措施</w:t>
      </w:r>
    </w:p>
    <w:p w14:paraId="1560AA69">
      <w:pPr>
        <w:pStyle w:val="27"/>
        <w:spacing w:line="480" w:lineRule="auto"/>
        <w:ind w:firstLine="480" w:firstLineChars="200"/>
        <w:rPr>
          <w:rFonts w:ascii="宋体" w:hAnsi="宋体" w:cs="宋体"/>
          <w:sz w:val="24"/>
          <w:szCs w:val="24"/>
          <w:highlight w:val="none"/>
        </w:rPr>
      </w:pPr>
      <w:r>
        <w:rPr>
          <w:rFonts w:hint="eastAsia" w:ascii="宋体" w:hAnsi="宋体" w:cs="宋体"/>
          <w:sz w:val="24"/>
          <w:szCs w:val="24"/>
          <w:highlight w:val="none"/>
        </w:rPr>
        <w:t>⑤文明施工、环境保护管理体系与措施</w:t>
      </w:r>
    </w:p>
    <w:p w14:paraId="45B8D937">
      <w:pPr>
        <w:pStyle w:val="27"/>
        <w:spacing w:line="480" w:lineRule="auto"/>
        <w:ind w:firstLine="480" w:firstLineChars="200"/>
        <w:rPr>
          <w:rFonts w:ascii="宋体" w:hAnsi="宋体" w:cs="宋体"/>
          <w:sz w:val="24"/>
          <w:szCs w:val="24"/>
          <w:highlight w:val="none"/>
        </w:rPr>
      </w:pPr>
      <w:r>
        <w:rPr>
          <w:rFonts w:hint="eastAsia" w:ascii="宋体" w:hAnsi="宋体" w:cs="宋体"/>
          <w:sz w:val="24"/>
          <w:szCs w:val="24"/>
          <w:highlight w:val="none"/>
        </w:rPr>
        <w:t>⑥主要机具、设备和劳动力配备情况</w:t>
      </w:r>
    </w:p>
    <w:p w14:paraId="63870CF6">
      <w:pPr>
        <w:spacing w:line="480" w:lineRule="auto"/>
        <w:ind w:firstLine="480" w:firstLineChars="200"/>
        <w:rPr>
          <w:rFonts w:ascii="宋体" w:hAnsi="宋体" w:cs="宋体"/>
          <w:sz w:val="24"/>
          <w:szCs w:val="24"/>
          <w:highlight w:val="none"/>
        </w:rPr>
      </w:pPr>
      <w:r>
        <w:rPr>
          <w:rFonts w:hint="eastAsia" w:ascii="宋体" w:hAnsi="宋体" w:cs="宋体"/>
          <w:sz w:val="24"/>
          <w:szCs w:val="24"/>
          <w:highlight w:val="none"/>
        </w:rPr>
        <w:t>⑦安全保障方案及应急措施</w:t>
      </w:r>
    </w:p>
    <w:p w14:paraId="1A78F479">
      <w:pPr>
        <w:spacing w:line="480" w:lineRule="auto"/>
        <w:ind w:firstLine="480" w:firstLineChars="200"/>
        <w:rPr>
          <w:rFonts w:ascii="宋体" w:hAnsi="宋体" w:cs="宋体"/>
          <w:sz w:val="24"/>
          <w:szCs w:val="24"/>
          <w:highlight w:val="none"/>
        </w:rPr>
      </w:pPr>
      <w:r>
        <w:rPr>
          <w:rFonts w:hint="eastAsia" w:ascii="宋体" w:hAnsi="宋体" w:cs="宋体"/>
          <w:sz w:val="24"/>
          <w:szCs w:val="24"/>
          <w:highlight w:val="none"/>
        </w:rPr>
        <w:t>⑧质量承诺</w:t>
      </w:r>
    </w:p>
    <w:p w14:paraId="3B2410E8">
      <w:pPr>
        <w:spacing w:line="580" w:lineRule="exact"/>
        <w:ind w:firstLine="480" w:firstLineChars="200"/>
        <w:rPr>
          <w:rFonts w:asciiTheme="minorEastAsia" w:hAnsiTheme="minorEastAsia" w:eastAsiaTheme="minorEastAsia" w:cstheme="minorEastAsia"/>
          <w:sz w:val="24"/>
          <w:szCs w:val="24"/>
          <w:highlight w:val="none"/>
        </w:rPr>
      </w:pPr>
    </w:p>
    <w:p w14:paraId="373FDA0F">
      <w:pPr>
        <w:spacing w:line="580" w:lineRule="exact"/>
        <w:ind w:firstLine="480" w:firstLineChars="200"/>
        <w:rPr>
          <w:rFonts w:hint="default" w:asciiTheme="minorEastAsia" w:hAnsiTheme="minorEastAsia" w:eastAsiaTheme="minorEastAsia" w:cstheme="minorEastAsia"/>
          <w:sz w:val="24"/>
          <w:szCs w:val="24"/>
          <w:highlight w:val="none"/>
          <w:lang w:val="en-US" w:eastAsia="zh-CN"/>
        </w:rPr>
      </w:pPr>
    </w:p>
    <w:p w14:paraId="5CCCA2A2">
      <w:pPr>
        <w:kinsoku w:val="0"/>
        <w:spacing w:line="580" w:lineRule="exact"/>
        <w:rPr>
          <w:rFonts w:asciiTheme="minorEastAsia" w:hAnsiTheme="minorEastAsia" w:eastAsiaTheme="minorEastAsia" w:cstheme="minorEastAsia"/>
          <w:sz w:val="24"/>
          <w:szCs w:val="24"/>
          <w:highlight w:val="none"/>
        </w:rPr>
      </w:pPr>
    </w:p>
    <w:p w14:paraId="29221AA0">
      <w:pPr>
        <w:spacing w:line="440" w:lineRule="exact"/>
        <w:ind w:left="3259" w:leftChars="1552"/>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法定代表人/或被授权人签字或盖章：</w:t>
      </w:r>
    </w:p>
    <w:p w14:paraId="26A0110F">
      <w:pPr>
        <w:spacing w:line="440" w:lineRule="exact"/>
        <w:ind w:left="3259" w:leftChars="1552"/>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公      章：</w:t>
      </w:r>
    </w:p>
    <w:p w14:paraId="4A04CD02">
      <w:pPr>
        <w:spacing w:line="440" w:lineRule="exact"/>
        <w:ind w:firstLine="3259" w:firstLineChars="1358"/>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日      期：</w:t>
      </w:r>
    </w:p>
    <w:p w14:paraId="6FCA0547">
      <w:pPr>
        <w:spacing w:line="440" w:lineRule="exact"/>
        <w:rPr>
          <w:rFonts w:asciiTheme="minorEastAsia" w:hAnsiTheme="minorEastAsia" w:eastAsiaTheme="minorEastAsia" w:cstheme="minorEastAsia"/>
          <w:sz w:val="24"/>
          <w:szCs w:val="24"/>
          <w:highlight w:val="none"/>
        </w:rPr>
      </w:pPr>
    </w:p>
    <w:p w14:paraId="5B44C358">
      <w:pPr>
        <w:rPr>
          <w:rFonts w:asciiTheme="minorEastAsia" w:hAnsiTheme="minorEastAsia" w:eastAsiaTheme="minorEastAsia" w:cstheme="minorEastAsia"/>
          <w:highlight w:val="none"/>
        </w:rPr>
      </w:pPr>
    </w:p>
    <w:p w14:paraId="32B2FC81">
      <w:pPr>
        <w:spacing w:line="580" w:lineRule="exact"/>
        <w:rPr>
          <w:rFonts w:asciiTheme="minorEastAsia" w:hAnsiTheme="minorEastAsia" w:eastAsiaTheme="minorEastAsia" w:cstheme="minorEastAsia"/>
          <w:sz w:val="24"/>
          <w:szCs w:val="24"/>
          <w:highlight w:val="none"/>
        </w:rPr>
      </w:pPr>
    </w:p>
    <w:p w14:paraId="6A94C2E7">
      <w:pPr>
        <w:rPr>
          <w:rFonts w:asciiTheme="minorEastAsia" w:hAnsiTheme="minorEastAsia" w:eastAsiaTheme="minorEastAsia" w:cstheme="minorEastAsia"/>
          <w:highlight w:val="none"/>
        </w:rPr>
      </w:pPr>
    </w:p>
    <w:p w14:paraId="31B5B7B6">
      <w:pPr>
        <w:rPr>
          <w:rFonts w:asciiTheme="minorEastAsia" w:hAnsiTheme="minorEastAsia" w:eastAsiaTheme="minorEastAsia" w:cstheme="minorEastAsia"/>
          <w:highlight w:val="none"/>
        </w:rPr>
      </w:pPr>
      <w:r>
        <w:rPr>
          <w:rFonts w:hint="eastAsia" w:asciiTheme="minorEastAsia" w:hAnsiTheme="minorEastAsia" w:eastAsiaTheme="minorEastAsia" w:cstheme="minorEastAsia"/>
          <w:b/>
          <w:sz w:val="36"/>
          <w:highlight w:val="none"/>
        </w:rPr>
        <w:br w:type="page"/>
      </w:r>
    </w:p>
    <w:p w14:paraId="520AB718">
      <w:pPr>
        <w:pStyle w:val="5"/>
        <w:spacing w:beforeLines="100"/>
        <w:rPr>
          <w:rFonts w:asciiTheme="minorEastAsia" w:hAnsiTheme="minorEastAsia" w:eastAsiaTheme="minorEastAsia" w:cstheme="minorEastAsia"/>
          <w:spacing w:val="4"/>
          <w:sz w:val="28"/>
          <w:szCs w:val="28"/>
          <w:highlight w:val="none"/>
        </w:rPr>
      </w:pPr>
      <w:bookmarkStart w:id="129" w:name="_Toc14604"/>
      <w:bookmarkStart w:id="130" w:name="_Toc29611"/>
      <w:bookmarkStart w:id="131" w:name="_Toc21059"/>
      <w:bookmarkStart w:id="132" w:name="_Toc13827"/>
      <w:r>
        <w:rPr>
          <w:rFonts w:hint="eastAsia" w:asciiTheme="minorEastAsia" w:hAnsiTheme="minorEastAsia" w:eastAsiaTheme="minorEastAsia" w:cstheme="minorEastAsia"/>
          <w:spacing w:val="4"/>
          <w:sz w:val="28"/>
          <w:szCs w:val="28"/>
          <w:highlight w:val="none"/>
        </w:rPr>
        <w:t>五、企业类似业绩</w:t>
      </w:r>
      <w:bookmarkEnd w:id="129"/>
      <w:bookmarkEnd w:id="130"/>
      <w:bookmarkEnd w:id="131"/>
      <w:bookmarkEnd w:id="132"/>
    </w:p>
    <w:p w14:paraId="2A3988B2">
      <w:pPr>
        <w:rPr>
          <w:rFonts w:asciiTheme="minorEastAsia" w:hAnsiTheme="minorEastAsia" w:eastAsiaTheme="minorEastAsia" w:cstheme="minorEastAsia"/>
          <w:b/>
          <w:sz w:val="28"/>
          <w:highlight w:val="none"/>
        </w:rPr>
      </w:pPr>
      <w:bookmarkStart w:id="133" w:name="_Toc15893"/>
      <w:bookmarkStart w:id="134" w:name="_Toc27577"/>
      <w:bookmarkStart w:id="135" w:name="_Toc24879"/>
      <w:bookmarkStart w:id="136" w:name="_Toc26309"/>
      <w:r>
        <w:rPr>
          <w:rFonts w:hint="eastAsia" w:asciiTheme="minorEastAsia" w:hAnsiTheme="minorEastAsia" w:eastAsiaTheme="minorEastAsia" w:cstheme="minorEastAsia"/>
          <w:b/>
          <w:sz w:val="28"/>
          <w:highlight w:val="none"/>
        </w:rPr>
        <w:br w:type="page"/>
      </w:r>
    </w:p>
    <w:p w14:paraId="09441FB9">
      <w:pPr>
        <w:pStyle w:val="5"/>
        <w:spacing w:beforeLines="100"/>
        <w:rPr>
          <w:rFonts w:asciiTheme="minorEastAsia" w:hAnsiTheme="minorEastAsia" w:eastAsiaTheme="minorEastAsia" w:cstheme="minorEastAsia"/>
          <w:sz w:val="28"/>
          <w:highlight w:val="none"/>
        </w:rPr>
      </w:pPr>
      <w:r>
        <w:rPr>
          <w:rFonts w:hint="eastAsia" w:asciiTheme="minorEastAsia" w:hAnsiTheme="minorEastAsia" w:eastAsiaTheme="minorEastAsia" w:cstheme="minorEastAsia"/>
          <w:sz w:val="28"/>
          <w:highlight w:val="none"/>
        </w:rPr>
        <w:t>六、陕西省政府采购投标人</w:t>
      </w:r>
      <w:r>
        <w:rPr>
          <w:rFonts w:hint="eastAsia" w:asciiTheme="minorEastAsia" w:hAnsiTheme="minorEastAsia" w:eastAsiaTheme="minorEastAsia" w:cstheme="minorEastAsia"/>
          <w:spacing w:val="4"/>
          <w:sz w:val="28"/>
          <w:szCs w:val="28"/>
          <w:highlight w:val="none"/>
        </w:rPr>
        <w:t>拒绝政府采购领域商业贿赂承诺书</w:t>
      </w:r>
      <w:bookmarkEnd w:id="133"/>
      <w:bookmarkEnd w:id="134"/>
      <w:bookmarkEnd w:id="135"/>
      <w:bookmarkEnd w:id="136"/>
    </w:p>
    <w:p w14:paraId="486C3899">
      <w:pPr>
        <w:spacing w:line="600" w:lineRule="exact"/>
        <w:ind w:firstLine="480" w:firstLineChars="200"/>
        <w:jc w:val="left"/>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为响应党中央、国务院关于治理政府采购领域商业贿赂行为的号召，我公司在此庄严承诺：</w:t>
      </w:r>
    </w:p>
    <w:p w14:paraId="50124EE1">
      <w:pPr>
        <w:spacing w:line="600" w:lineRule="exact"/>
        <w:ind w:firstLine="480" w:firstLineChars="200"/>
        <w:jc w:val="left"/>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1、在参与政府采购活动中遵纪守法、诚信经营、公平竞标。</w:t>
      </w:r>
    </w:p>
    <w:p w14:paraId="56F767E1">
      <w:pPr>
        <w:spacing w:line="600" w:lineRule="exact"/>
        <w:ind w:firstLine="480" w:firstLineChars="200"/>
        <w:jc w:val="left"/>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2、不向政府采购人、采购代理机构和政府采购评审专家进行任何形式的商业贿赂以谋取交易机会。</w:t>
      </w:r>
    </w:p>
    <w:p w14:paraId="77D18CC5">
      <w:pPr>
        <w:spacing w:line="600" w:lineRule="exact"/>
        <w:ind w:firstLine="480" w:firstLineChars="200"/>
        <w:jc w:val="left"/>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3、不向政府采购代理机构和采购人提供虚假资质文件或采用虚假应标方式参与政府采购市场竞争并谋取成交、成交。</w:t>
      </w:r>
    </w:p>
    <w:p w14:paraId="7E8D0C7B">
      <w:pPr>
        <w:spacing w:line="600" w:lineRule="exact"/>
        <w:ind w:firstLine="480" w:firstLineChars="200"/>
        <w:jc w:val="left"/>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4、不采取“围标、陪标”等商业欺诈手段获得政府采购定单。</w:t>
      </w:r>
    </w:p>
    <w:p w14:paraId="0956A629">
      <w:pPr>
        <w:spacing w:line="600" w:lineRule="exact"/>
        <w:ind w:firstLine="480" w:firstLineChars="200"/>
        <w:jc w:val="left"/>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5、不采取不正当手段诋毁、排挤其他投标人。</w:t>
      </w:r>
    </w:p>
    <w:p w14:paraId="786D7D59">
      <w:pPr>
        <w:spacing w:line="600" w:lineRule="exact"/>
        <w:ind w:firstLine="480" w:firstLineChars="200"/>
        <w:jc w:val="left"/>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6、不在提供商品和服务时“偷梁换柱、以次充好”损害采购人的合法权益。</w:t>
      </w:r>
    </w:p>
    <w:p w14:paraId="7120671D">
      <w:pPr>
        <w:spacing w:line="600" w:lineRule="exact"/>
        <w:ind w:firstLine="480" w:firstLineChars="200"/>
        <w:jc w:val="left"/>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7、不与采购人、采购代理机构政府采购评审专家或其它投标人恶意串通，进行质疑和投诉，维护政府采购市场秩序。</w:t>
      </w:r>
    </w:p>
    <w:p w14:paraId="42FD97F5">
      <w:pPr>
        <w:spacing w:line="600" w:lineRule="exact"/>
        <w:ind w:firstLine="480" w:firstLineChars="200"/>
        <w:jc w:val="left"/>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8、尊重和接受政府采购监督管理部门的监督和政府采购代理机构招标采购要求，承担因违约行为给采购人造成的损失。</w:t>
      </w:r>
    </w:p>
    <w:p w14:paraId="35BFB52A">
      <w:pPr>
        <w:spacing w:line="600" w:lineRule="exact"/>
        <w:ind w:left="681" w:leftChars="267" w:hanging="120" w:hangingChars="50"/>
        <w:jc w:val="left"/>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9、不发生其他有悖于政府采购公开、公平、公正和诚信原则的行为。</w:t>
      </w:r>
      <w:r>
        <w:rPr>
          <w:rFonts w:hint="eastAsia" w:asciiTheme="minorEastAsia" w:hAnsiTheme="minorEastAsia" w:eastAsiaTheme="minorEastAsia" w:cstheme="minorEastAsia"/>
          <w:kern w:val="0"/>
          <w:sz w:val="24"/>
          <w:szCs w:val="24"/>
          <w:highlight w:val="none"/>
        </w:rPr>
        <w:br w:type="textWrapping"/>
      </w:r>
      <w:r>
        <w:rPr>
          <w:rFonts w:hint="eastAsia" w:asciiTheme="minorEastAsia" w:hAnsiTheme="minorEastAsia" w:eastAsiaTheme="minorEastAsia" w:cstheme="minorEastAsia"/>
          <w:kern w:val="0"/>
          <w:sz w:val="24"/>
          <w:szCs w:val="24"/>
          <w:highlight w:val="none"/>
        </w:rPr>
        <w:t>承诺单位（盖章）：</w:t>
      </w:r>
    </w:p>
    <w:p w14:paraId="695AC0FD">
      <w:pPr>
        <w:spacing w:line="600" w:lineRule="exact"/>
        <w:ind w:left="701" w:leftChars="334"/>
        <w:jc w:val="left"/>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被授权代表（签字或盖章）：</w:t>
      </w:r>
    </w:p>
    <w:p w14:paraId="72BD486B">
      <w:pPr>
        <w:spacing w:line="600" w:lineRule="exact"/>
        <w:ind w:left="701" w:leftChars="334"/>
        <w:jc w:val="left"/>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地    址：</w:t>
      </w:r>
    </w:p>
    <w:p w14:paraId="442CE1A4">
      <w:pPr>
        <w:spacing w:line="600" w:lineRule="exact"/>
        <w:ind w:left="659" w:leftChars="314"/>
        <w:jc w:val="left"/>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邮    编：</w:t>
      </w:r>
    </w:p>
    <w:p w14:paraId="5FF8E4B4">
      <w:pPr>
        <w:spacing w:line="600" w:lineRule="exact"/>
        <w:ind w:left="659" w:leftChars="314"/>
        <w:jc w:val="left"/>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电    话：</w:t>
      </w:r>
    </w:p>
    <w:p w14:paraId="5E704128">
      <w:pPr>
        <w:spacing w:line="600" w:lineRule="exact"/>
        <w:ind w:left="659" w:leftChars="314"/>
        <w:jc w:val="right"/>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年     月     日</w:t>
      </w:r>
    </w:p>
    <w:p w14:paraId="752DC5F2">
      <w:pPr>
        <w:spacing w:line="360" w:lineRule="auto"/>
        <w:rPr>
          <w:rFonts w:asciiTheme="minorEastAsia" w:hAnsiTheme="minorEastAsia" w:eastAsiaTheme="minorEastAsia" w:cstheme="minorEastAsia"/>
          <w:b/>
          <w:kern w:val="0"/>
          <w:sz w:val="24"/>
          <w:szCs w:val="24"/>
          <w:highlight w:val="none"/>
        </w:rPr>
      </w:pPr>
    </w:p>
    <w:p w14:paraId="51E4392D">
      <w:pPr>
        <w:rPr>
          <w:rFonts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br w:type="page"/>
      </w:r>
    </w:p>
    <w:p w14:paraId="321AEF58">
      <w:pPr>
        <w:pStyle w:val="5"/>
        <w:spacing w:beforeLines="100" w:afterLines="100"/>
        <w:rPr>
          <w:rFonts w:asciiTheme="minorEastAsia" w:hAnsiTheme="minorEastAsia" w:eastAsiaTheme="minorEastAsia" w:cstheme="minorEastAsia"/>
          <w:sz w:val="32"/>
          <w:szCs w:val="32"/>
          <w:highlight w:val="none"/>
        </w:rPr>
      </w:pPr>
      <w:bookmarkStart w:id="137" w:name="_Toc12945"/>
      <w:bookmarkStart w:id="138" w:name="_Toc11841"/>
      <w:bookmarkStart w:id="139" w:name="_Toc24556"/>
      <w:bookmarkStart w:id="140" w:name="_Toc16808"/>
      <w:r>
        <w:rPr>
          <w:rFonts w:hint="eastAsia" w:asciiTheme="minorEastAsia" w:hAnsiTheme="minorEastAsia" w:eastAsiaTheme="minorEastAsia" w:cstheme="minorEastAsia"/>
          <w:sz w:val="32"/>
          <w:szCs w:val="32"/>
          <w:highlight w:val="none"/>
        </w:rPr>
        <w:t>七、资格证明文件</w:t>
      </w:r>
      <w:bookmarkEnd w:id="137"/>
      <w:bookmarkEnd w:id="138"/>
      <w:bookmarkEnd w:id="139"/>
      <w:bookmarkEnd w:id="140"/>
    </w:p>
    <w:p w14:paraId="0F271D6B">
      <w:pPr>
        <w:pStyle w:val="2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Cs w:val="24"/>
          <w:highlight w:val="none"/>
          <w:shd w:val="clear" w:color="auto" w:fill="FFFFFF"/>
        </w:rPr>
      </w:pPr>
      <w:r>
        <w:rPr>
          <w:rFonts w:hint="eastAsia" w:ascii="宋体" w:hAnsi="宋体" w:cs="宋体"/>
          <w:color w:val="auto"/>
          <w:szCs w:val="24"/>
          <w:highlight w:val="none"/>
          <w:shd w:val="clear" w:color="auto" w:fill="FFFFFF"/>
        </w:rPr>
        <w:t>（1）提供合格有效的法人或者其他组织的营业执照等证明文件，自然人的身份证明；</w:t>
      </w:r>
    </w:p>
    <w:p w14:paraId="274AE1E0">
      <w:pPr>
        <w:pStyle w:val="2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Cs w:val="24"/>
          <w:highlight w:val="none"/>
          <w:shd w:val="clear" w:color="auto" w:fill="FFFFFF"/>
        </w:rPr>
      </w:pPr>
      <w:r>
        <w:rPr>
          <w:rFonts w:hint="eastAsia" w:ascii="宋体" w:hAnsi="宋体" w:cs="宋体"/>
          <w:color w:val="auto"/>
          <w:szCs w:val="24"/>
          <w:highlight w:val="none"/>
          <w:shd w:val="clear" w:color="auto" w:fill="FFFFFF"/>
        </w:rPr>
        <w:t>（2）提供法定代表人授权书（附法定代表人、被授权人身份证复印件，法定代表人直接参加投标，须提供法定代表人身份证明及身份证复印件）；</w:t>
      </w:r>
    </w:p>
    <w:p w14:paraId="5D5C1B87">
      <w:pPr>
        <w:pStyle w:val="2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Cs w:val="24"/>
          <w:highlight w:val="none"/>
          <w:shd w:val="clear" w:color="auto" w:fill="FFFFFF"/>
        </w:rPr>
      </w:pPr>
      <w:r>
        <w:rPr>
          <w:rFonts w:hint="eastAsia" w:ascii="宋体" w:hAnsi="宋体" w:cs="宋体"/>
          <w:color w:val="auto"/>
          <w:szCs w:val="24"/>
          <w:highlight w:val="none"/>
          <w:shd w:val="clear" w:color="auto" w:fill="FFFFFF"/>
        </w:rPr>
        <w:t>（3）提供2023或2024年度或的财务审计报告（成立时间至提交投标文件截止时间不足一年的可提供成立后任意时段的资产负债表）或开标时间前六个月内银行出具的资信证明；</w:t>
      </w:r>
    </w:p>
    <w:p w14:paraId="1A7BB49C">
      <w:pPr>
        <w:pStyle w:val="2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Cs w:val="24"/>
          <w:highlight w:val="none"/>
          <w:shd w:val="clear" w:color="auto" w:fill="FFFFFF"/>
        </w:rPr>
      </w:pPr>
      <w:r>
        <w:rPr>
          <w:rFonts w:hint="eastAsia" w:ascii="宋体" w:hAnsi="宋体" w:cs="宋体"/>
          <w:color w:val="auto"/>
          <w:szCs w:val="24"/>
          <w:highlight w:val="none"/>
          <w:shd w:val="clear" w:color="auto" w:fill="FFFFFF"/>
        </w:rPr>
        <w:t>（4）税收缴纳证明：提供投标截止日前近一年内任意一个月的纳税证明或完税证明（任意税种），依法免税的单位应提供相关证明材料；</w:t>
      </w:r>
    </w:p>
    <w:p w14:paraId="35A968D1">
      <w:pPr>
        <w:pStyle w:val="2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Cs w:val="24"/>
          <w:highlight w:val="none"/>
          <w:shd w:val="clear" w:color="auto" w:fill="FFFFFF"/>
        </w:rPr>
      </w:pPr>
      <w:r>
        <w:rPr>
          <w:rFonts w:hint="eastAsia" w:ascii="宋体" w:hAnsi="宋体" w:cs="宋体"/>
          <w:color w:val="auto"/>
          <w:szCs w:val="24"/>
          <w:highlight w:val="none"/>
          <w:shd w:val="clear" w:color="auto" w:fill="FFFFFF"/>
        </w:rPr>
        <w:t>（5）社会保障资金缴纳证明：提供投标截止日前近一年内任意一个月的社会保障资金缴存单据或社保机构开具的社会保险参保缴费情况证明，依法不需要缴纳社会保障资金的单位应提供相关证明材料；</w:t>
      </w:r>
    </w:p>
    <w:p w14:paraId="0298DFC6">
      <w:pPr>
        <w:pStyle w:val="2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Cs w:val="24"/>
          <w:highlight w:val="none"/>
          <w:shd w:val="clear" w:color="auto" w:fill="FFFFFF"/>
        </w:rPr>
      </w:pPr>
      <w:r>
        <w:rPr>
          <w:rFonts w:hint="eastAsia" w:ascii="宋体" w:hAnsi="宋体" w:cs="宋体"/>
          <w:color w:val="auto"/>
          <w:szCs w:val="24"/>
          <w:highlight w:val="none"/>
          <w:shd w:val="clear" w:color="auto" w:fill="FFFFFF"/>
        </w:rPr>
        <w:t>（6）提供具有履行本合同所必需的设备和专业技术能力的说明及承诺书；</w:t>
      </w:r>
    </w:p>
    <w:p w14:paraId="08065FFB">
      <w:pPr>
        <w:pStyle w:val="2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Cs w:val="24"/>
          <w:highlight w:val="none"/>
          <w:shd w:val="clear" w:color="auto" w:fill="FFFFFF"/>
        </w:rPr>
      </w:pPr>
      <w:r>
        <w:rPr>
          <w:rFonts w:hint="eastAsia" w:ascii="宋体" w:hAnsi="宋体" w:cs="宋体"/>
          <w:color w:val="auto"/>
          <w:szCs w:val="24"/>
          <w:highlight w:val="none"/>
          <w:shd w:val="clear" w:color="auto" w:fill="FFFFFF"/>
        </w:rPr>
        <w:t>（7）供应商通过“信用中国”网站(www.creditchina.gov.cn)、中国政府采购网(www.ccgp.gov.cn)等查询相关主体信用记录；</w:t>
      </w:r>
    </w:p>
    <w:p w14:paraId="3C02FCBF">
      <w:pPr>
        <w:pStyle w:val="2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Cs w:val="24"/>
          <w:highlight w:val="none"/>
          <w:shd w:val="clear" w:color="auto" w:fill="FFFFFF"/>
        </w:rPr>
      </w:pPr>
      <w:r>
        <w:rPr>
          <w:rFonts w:hint="eastAsia" w:ascii="宋体" w:hAnsi="宋体" w:cs="宋体"/>
          <w:color w:val="auto"/>
          <w:szCs w:val="24"/>
          <w:highlight w:val="none"/>
          <w:shd w:val="clear" w:color="auto" w:fill="FFFFFF"/>
        </w:rPr>
        <w:t>（8）参加政府采购活动前3年内，在经营活动中没有重大违法记录的书面声明；</w:t>
      </w:r>
    </w:p>
    <w:p w14:paraId="0F5E0BF5">
      <w:pPr>
        <w:pStyle w:val="2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Cs w:val="24"/>
          <w:highlight w:val="none"/>
          <w:shd w:val="clear" w:color="auto" w:fill="FFFFFF"/>
        </w:rPr>
      </w:pPr>
      <w:r>
        <w:rPr>
          <w:rFonts w:hint="eastAsia" w:ascii="宋体" w:hAnsi="宋体" w:cs="宋体"/>
          <w:color w:val="auto"/>
          <w:szCs w:val="24"/>
          <w:highlight w:val="none"/>
          <w:shd w:val="clear" w:color="auto" w:fill="FFFFFF"/>
        </w:rPr>
        <w:t>（9）供应商须提供中小企业声明函；</w:t>
      </w:r>
    </w:p>
    <w:p w14:paraId="4BE366BB">
      <w:pPr>
        <w:pStyle w:val="2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宋体" w:hAnsi="宋体" w:cs="宋体"/>
          <w:color w:val="auto"/>
          <w:szCs w:val="24"/>
          <w:highlight w:val="none"/>
          <w:shd w:val="clear" w:color="auto" w:fill="FFFFFF"/>
        </w:rPr>
      </w:pPr>
      <w:r>
        <w:rPr>
          <w:rFonts w:hint="eastAsia" w:ascii="宋体" w:hAnsi="宋体" w:cs="宋体"/>
          <w:color w:val="auto"/>
          <w:szCs w:val="24"/>
          <w:highlight w:val="none"/>
          <w:shd w:val="clear" w:color="auto" w:fill="FFFFFF"/>
        </w:rPr>
        <w:t>（10）本项目不接受联合体投标（提供承诺书）。</w:t>
      </w:r>
    </w:p>
    <w:p w14:paraId="7D99334C">
      <w:pPr>
        <w:spacing w:line="560" w:lineRule="exact"/>
        <w:rPr>
          <w:rFonts w:asciiTheme="minorEastAsia" w:hAnsiTheme="minorEastAsia" w:eastAsiaTheme="minorEastAsia" w:cstheme="minorEastAsia"/>
          <w:b/>
          <w:bCs/>
          <w:sz w:val="28"/>
          <w:szCs w:val="28"/>
          <w:highlight w:val="none"/>
        </w:rPr>
      </w:pPr>
      <w:r>
        <w:rPr>
          <w:rFonts w:hint="eastAsia" w:asciiTheme="minorEastAsia" w:hAnsiTheme="minorEastAsia" w:eastAsiaTheme="minorEastAsia" w:cstheme="minorEastAsia"/>
          <w:b/>
          <w:bCs/>
          <w:sz w:val="28"/>
          <w:szCs w:val="28"/>
          <w:highlight w:val="none"/>
        </w:rPr>
        <w:t>后附相关格式：</w:t>
      </w:r>
    </w:p>
    <w:p w14:paraId="5BEF34D4">
      <w:pPr>
        <w:rPr>
          <w:rFonts w:asciiTheme="minorEastAsia" w:hAnsiTheme="minorEastAsia" w:eastAsiaTheme="minorEastAsia" w:cstheme="minorEastAsia"/>
          <w:b/>
          <w:bCs/>
          <w:sz w:val="30"/>
          <w:szCs w:val="30"/>
          <w:highlight w:val="none"/>
        </w:rPr>
      </w:pPr>
      <w:bookmarkStart w:id="141" w:name="_Toc363474028"/>
      <w:bookmarkStart w:id="142" w:name="_Toc403077649"/>
      <w:bookmarkStart w:id="143" w:name="_Toc426457701"/>
      <w:bookmarkStart w:id="144" w:name="_Toc19075"/>
      <w:bookmarkStart w:id="145" w:name="_Toc16097"/>
      <w:bookmarkStart w:id="146" w:name="_Toc4867"/>
      <w:bookmarkStart w:id="147" w:name="_Toc30210"/>
      <w:bookmarkStart w:id="148" w:name="_Toc25348"/>
      <w:r>
        <w:rPr>
          <w:rFonts w:hint="eastAsia" w:asciiTheme="minorEastAsia" w:hAnsiTheme="minorEastAsia" w:eastAsiaTheme="minorEastAsia" w:cstheme="minorEastAsia"/>
          <w:b/>
          <w:bCs/>
          <w:sz w:val="30"/>
          <w:szCs w:val="30"/>
          <w:highlight w:val="none"/>
        </w:rPr>
        <w:br w:type="page"/>
      </w:r>
    </w:p>
    <w:p w14:paraId="07EBFFFC">
      <w:pPr>
        <w:pStyle w:val="11"/>
        <w:rPr>
          <w:rFonts w:asciiTheme="minorEastAsia" w:hAnsiTheme="minorEastAsia" w:eastAsiaTheme="minorEastAsia" w:cstheme="minorEastAsia"/>
          <w:b/>
          <w:bCs/>
          <w:szCs w:val="28"/>
          <w:highlight w:val="none"/>
        </w:rPr>
      </w:pPr>
      <w:r>
        <w:rPr>
          <w:rFonts w:hint="eastAsia" w:asciiTheme="minorEastAsia" w:hAnsiTheme="minorEastAsia" w:eastAsiaTheme="minorEastAsia" w:cstheme="minorEastAsia"/>
          <w:b/>
          <w:bCs/>
          <w:szCs w:val="28"/>
          <w:highlight w:val="none"/>
        </w:rPr>
        <w:t>附件1：</w:t>
      </w:r>
    </w:p>
    <w:p w14:paraId="742ABB61">
      <w:pPr>
        <w:spacing w:beforeLines="100"/>
        <w:jc w:val="center"/>
        <w:rPr>
          <w:rFonts w:asciiTheme="minorEastAsia" w:hAnsiTheme="minorEastAsia" w:eastAsiaTheme="minorEastAsia" w:cstheme="minorEastAsia"/>
          <w:sz w:val="30"/>
          <w:szCs w:val="30"/>
          <w:highlight w:val="none"/>
        </w:rPr>
      </w:pPr>
      <w:r>
        <w:rPr>
          <w:rFonts w:hint="eastAsia" w:asciiTheme="minorEastAsia" w:hAnsiTheme="minorEastAsia" w:eastAsiaTheme="minorEastAsia" w:cstheme="minorEastAsia"/>
          <w:sz w:val="30"/>
          <w:szCs w:val="30"/>
          <w:highlight w:val="none"/>
        </w:rPr>
        <w:t>法定代表人身份证明/法定代表人授权书</w:t>
      </w:r>
    </w:p>
    <w:p w14:paraId="59227AD3">
      <w:pPr>
        <w:pStyle w:val="11"/>
        <w:spacing w:beforeLines="50"/>
        <w:jc w:val="center"/>
        <w:rPr>
          <w:rFonts w:asciiTheme="minorEastAsia" w:hAnsiTheme="minorEastAsia" w:eastAsiaTheme="minorEastAsia" w:cstheme="minorEastAsia"/>
          <w:b/>
          <w:bCs/>
          <w:sz w:val="30"/>
          <w:szCs w:val="30"/>
          <w:highlight w:val="none"/>
        </w:rPr>
      </w:pPr>
      <w:r>
        <w:rPr>
          <w:rFonts w:hint="eastAsia" w:asciiTheme="minorEastAsia" w:hAnsiTheme="minorEastAsia" w:eastAsiaTheme="minorEastAsia" w:cstheme="minorEastAsia"/>
          <w:b/>
          <w:bCs/>
          <w:sz w:val="30"/>
          <w:szCs w:val="30"/>
          <w:highlight w:val="none"/>
        </w:rPr>
        <w:t>法定代表人身份证明</w:t>
      </w:r>
    </w:p>
    <w:p w14:paraId="640B0A6F">
      <w:pPr>
        <w:autoSpaceDE w:val="0"/>
        <w:autoSpaceDN w:val="0"/>
        <w:adjustRightInd w:val="0"/>
        <w:snapToGrid w:val="0"/>
        <w:spacing w:beforeLines="50" w:line="360" w:lineRule="auto"/>
        <w:jc w:val="left"/>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投标人名称：</w:t>
      </w:r>
      <w:r>
        <w:rPr>
          <w:rFonts w:hint="eastAsia" w:asciiTheme="minorEastAsia" w:hAnsiTheme="minorEastAsia" w:eastAsiaTheme="minorEastAsia" w:cstheme="minorEastAsia"/>
          <w:highlight w:val="none"/>
          <w:u w:val="single"/>
        </w:rPr>
        <w:t xml:space="preserve">                  </w:t>
      </w:r>
      <w:r>
        <w:rPr>
          <w:rFonts w:hint="eastAsia" w:asciiTheme="minorEastAsia" w:hAnsiTheme="minorEastAsia" w:eastAsiaTheme="minorEastAsia" w:cstheme="minorEastAsia"/>
          <w:highlight w:val="none"/>
        </w:rPr>
        <w:t xml:space="preserve"> </w:t>
      </w:r>
    </w:p>
    <w:p w14:paraId="7818A712">
      <w:pPr>
        <w:autoSpaceDE w:val="0"/>
        <w:autoSpaceDN w:val="0"/>
        <w:adjustRightInd w:val="0"/>
        <w:snapToGrid w:val="0"/>
        <w:spacing w:beforeLines="50" w:line="360" w:lineRule="auto"/>
        <w:jc w:val="left"/>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统一社会信用代码：</w:t>
      </w:r>
      <w:r>
        <w:rPr>
          <w:rFonts w:hint="eastAsia" w:asciiTheme="minorEastAsia" w:hAnsiTheme="minorEastAsia" w:eastAsiaTheme="minorEastAsia" w:cstheme="minorEastAsia"/>
          <w:highlight w:val="none"/>
          <w:u w:val="single"/>
        </w:rPr>
        <w:t xml:space="preserve">                </w:t>
      </w:r>
    </w:p>
    <w:p w14:paraId="79ADB9F8">
      <w:pPr>
        <w:autoSpaceDE w:val="0"/>
        <w:autoSpaceDN w:val="0"/>
        <w:adjustRightInd w:val="0"/>
        <w:snapToGrid w:val="0"/>
        <w:spacing w:beforeLines="50" w:line="360" w:lineRule="auto"/>
        <w:jc w:val="left"/>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注册地址：</w:t>
      </w:r>
      <w:r>
        <w:rPr>
          <w:rFonts w:hint="eastAsia" w:asciiTheme="minorEastAsia" w:hAnsiTheme="minorEastAsia" w:eastAsiaTheme="minorEastAsia" w:cstheme="minorEastAsia"/>
          <w:highlight w:val="none"/>
          <w:u w:val="single"/>
        </w:rPr>
        <w:t xml:space="preserve">                        </w:t>
      </w:r>
    </w:p>
    <w:p w14:paraId="5C8F07E9">
      <w:pPr>
        <w:autoSpaceDE w:val="0"/>
        <w:autoSpaceDN w:val="0"/>
        <w:adjustRightInd w:val="0"/>
        <w:snapToGrid w:val="0"/>
        <w:spacing w:beforeLines="50" w:line="360" w:lineRule="auto"/>
        <w:jc w:val="left"/>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成立时间：</w:t>
      </w:r>
      <w:r>
        <w:rPr>
          <w:rFonts w:hint="eastAsia" w:asciiTheme="minorEastAsia" w:hAnsiTheme="minorEastAsia" w:eastAsiaTheme="minorEastAsia" w:cstheme="minorEastAsia"/>
          <w:highlight w:val="none"/>
          <w:u w:val="single"/>
        </w:rPr>
        <w:t xml:space="preserve">    </w:t>
      </w:r>
      <w:r>
        <w:rPr>
          <w:rFonts w:hint="eastAsia" w:asciiTheme="minorEastAsia" w:hAnsiTheme="minorEastAsia" w:eastAsiaTheme="minorEastAsia" w:cstheme="minorEastAsia"/>
          <w:highlight w:val="none"/>
        </w:rPr>
        <w:t>年</w:t>
      </w:r>
      <w:r>
        <w:rPr>
          <w:rFonts w:hint="eastAsia" w:asciiTheme="minorEastAsia" w:hAnsiTheme="minorEastAsia" w:eastAsiaTheme="minorEastAsia" w:cstheme="minorEastAsia"/>
          <w:highlight w:val="none"/>
          <w:u w:val="single"/>
        </w:rPr>
        <w:t xml:space="preserve">   </w:t>
      </w:r>
      <w:r>
        <w:rPr>
          <w:rFonts w:hint="eastAsia" w:asciiTheme="minorEastAsia" w:hAnsiTheme="minorEastAsia" w:eastAsiaTheme="minorEastAsia" w:cstheme="minorEastAsia"/>
          <w:highlight w:val="none"/>
        </w:rPr>
        <w:t>月</w:t>
      </w:r>
      <w:r>
        <w:rPr>
          <w:rFonts w:hint="eastAsia" w:asciiTheme="minorEastAsia" w:hAnsiTheme="minorEastAsia" w:eastAsiaTheme="minorEastAsia" w:cstheme="minorEastAsia"/>
          <w:highlight w:val="none"/>
          <w:u w:val="single"/>
        </w:rPr>
        <w:t xml:space="preserve">  </w:t>
      </w:r>
      <w:r>
        <w:rPr>
          <w:rFonts w:hint="eastAsia" w:asciiTheme="minorEastAsia" w:hAnsiTheme="minorEastAsia" w:eastAsiaTheme="minorEastAsia" w:cstheme="minorEastAsia"/>
          <w:highlight w:val="none"/>
        </w:rPr>
        <w:t>日</w:t>
      </w:r>
    </w:p>
    <w:p w14:paraId="25C51178">
      <w:pPr>
        <w:autoSpaceDE w:val="0"/>
        <w:autoSpaceDN w:val="0"/>
        <w:adjustRightInd w:val="0"/>
        <w:snapToGrid w:val="0"/>
        <w:spacing w:beforeLines="50" w:line="360" w:lineRule="auto"/>
        <w:jc w:val="left"/>
        <w:rPr>
          <w:rFonts w:asciiTheme="minorEastAsia" w:hAnsiTheme="minorEastAsia" w:eastAsiaTheme="minorEastAsia" w:cstheme="minorEastAsia"/>
          <w:highlight w:val="none"/>
          <w:u w:val="single"/>
        </w:rPr>
      </w:pPr>
      <w:r>
        <w:rPr>
          <w:rFonts w:hint="eastAsia" w:asciiTheme="minorEastAsia" w:hAnsiTheme="minorEastAsia" w:eastAsiaTheme="minorEastAsia" w:cstheme="minorEastAsia"/>
          <w:highlight w:val="none"/>
        </w:rPr>
        <w:t>经营期限：</w:t>
      </w:r>
      <w:r>
        <w:rPr>
          <w:rFonts w:hint="eastAsia" w:asciiTheme="minorEastAsia" w:hAnsiTheme="minorEastAsia" w:eastAsiaTheme="minorEastAsia" w:cstheme="minorEastAsia"/>
          <w:highlight w:val="none"/>
          <w:u w:val="single"/>
        </w:rPr>
        <w:t xml:space="preserve">                  </w:t>
      </w:r>
    </w:p>
    <w:p w14:paraId="68E45357">
      <w:pPr>
        <w:autoSpaceDE w:val="0"/>
        <w:autoSpaceDN w:val="0"/>
        <w:adjustRightInd w:val="0"/>
        <w:snapToGrid w:val="0"/>
        <w:spacing w:beforeLines="50" w:line="360" w:lineRule="auto"/>
        <w:jc w:val="left"/>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姓名：</w:t>
      </w:r>
      <w:r>
        <w:rPr>
          <w:rFonts w:hint="eastAsia" w:asciiTheme="minorEastAsia" w:hAnsiTheme="minorEastAsia" w:eastAsiaTheme="minorEastAsia" w:cstheme="minorEastAsia"/>
          <w:highlight w:val="none"/>
          <w:u w:val="single"/>
        </w:rPr>
        <w:t xml:space="preserve">       </w:t>
      </w:r>
      <w:r>
        <w:rPr>
          <w:rFonts w:hint="eastAsia" w:asciiTheme="minorEastAsia" w:hAnsiTheme="minorEastAsia" w:eastAsiaTheme="minorEastAsia" w:cstheme="minorEastAsia"/>
          <w:highlight w:val="none"/>
        </w:rPr>
        <w:t>性别：</w:t>
      </w:r>
      <w:r>
        <w:rPr>
          <w:rFonts w:hint="eastAsia" w:asciiTheme="minorEastAsia" w:hAnsiTheme="minorEastAsia" w:eastAsiaTheme="minorEastAsia" w:cstheme="minorEastAsia"/>
          <w:highlight w:val="none"/>
          <w:u w:val="single"/>
        </w:rPr>
        <w:t xml:space="preserve">    </w:t>
      </w:r>
      <w:r>
        <w:rPr>
          <w:rFonts w:hint="eastAsia" w:asciiTheme="minorEastAsia" w:hAnsiTheme="minorEastAsia" w:eastAsiaTheme="minorEastAsia" w:cstheme="minorEastAsia"/>
          <w:highlight w:val="none"/>
        </w:rPr>
        <w:t>年龄：</w:t>
      </w:r>
      <w:r>
        <w:rPr>
          <w:rFonts w:hint="eastAsia" w:asciiTheme="minorEastAsia" w:hAnsiTheme="minorEastAsia" w:eastAsiaTheme="minorEastAsia" w:cstheme="minorEastAsia"/>
          <w:highlight w:val="none"/>
          <w:u w:val="single"/>
        </w:rPr>
        <w:t xml:space="preserve">    </w:t>
      </w:r>
      <w:r>
        <w:rPr>
          <w:rFonts w:hint="eastAsia" w:asciiTheme="minorEastAsia" w:hAnsiTheme="minorEastAsia" w:eastAsiaTheme="minorEastAsia" w:cstheme="minorEastAsia"/>
          <w:highlight w:val="none"/>
        </w:rPr>
        <w:t>系</w:t>
      </w:r>
      <w:r>
        <w:rPr>
          <w:rFonts w:hint="eastAsia" w:asciiTheme="minorEastAsia" w:hAnsiTheme="minorEastAsia" w:eastAsiaTheme="minorEastAsia" w:cstheme="minorEastAsia"/>
          <w:highlight w:val="none"/>
          <w:u w:val="single"/>
        </w:rPr>
        <w:t xml:space="preserve">            </w:t>
      </w:r>
      <w:r>
        <w:rPr>
          <w:rFonts w:hint="eastAsia" w:asciiTheme="minorEastAsia" w:hAnsiTheme="minorEastAsia" w:eastAsiaTheme="minorEastAsia" w:cstheme="minorEastAsia"/>
          <w:highlight w:val="none"/>
        </w:rPr>
        <w:t>（投标人名称）的法定代表人。</w:t>
      </w:r>
    </w:p>
    <w:p w14:paraId="71169D01">
      <w:pPr>
        <w:autoSpaceDE w:val="0"/>
        <w:autoSpaceDN w:val="0"/>
        <w:adjustRightInd w:val="0"/>
        <w:snapToGrid w:val="0"/>
        <w:spacing w:beforeLines="50" w:line="360" w:lineRule="auto"/>
        <w:jc w:val="left"/>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特此证明。</w:t>
      </w:r>
    </w:p>
    <w:p w14:paraId="19E4BC76">
      <w:pPr>
        <w:autoSpaceDE w:val="0"/>
        <w:autoSpaceDN w:val="0"/>
        <w:adjustRightInd w:val="0"/>
        <w:snapToGrid w:val="0"/>
        <w:spacing w:beforeLines="50" w:line="360" w:lineRule="auto"/>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附：法定代表人身份证复印件</w:t>
      </w:r>
    </w:p>
    <w:tbl>
      <w:tblPr>
        <w:tblStyle w:val="29"/>
        <w:tblpPr w:leftFromText="180" w:rightFromText="180" w:vertAnchor="text" w:horzAnchor="margin" w:tblpXSpec="center" w:tblpY="104"/>
        <w:tblW w:w="5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8"/>
      </w:tblGrid>
      <w:tr w14:paraId="010E4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5" w:hRule="atLeast"/>
        </w:trPr>
        <w:tc>
          <w:tcPr>
            <w:tcW w:w="5868" w:type="dxa"/>
            <w:vAlign w:val="center"/>
          </w:tcPr>
          <w:p w14:paraId="697F00E3">
            <w:pPr>
              <w:snapToGrid w:val="0"/>
              <w:spacing w:line="480" w:lineRule="auto"/>
              <w:jc w:val="center"/>
              <w:rPr>
                <w:rFonts w:asciiTheme="minorEastAsia" w:hAnsiTheme="minorEastAsia" w:eastAsiaTheme="minorEastAsia" w:cstheme="minorEastAsia"/>
                <w:szCs w:val="21"/>
                <w:highlight w:val="none"/>
              </w:rPr>
            </w:pPr>
          </w:p>
          <w:p w14:paraId="55A63F4E">
            <w:pPr>
              <w:snapToGrid w:val="0"/>
              <w:spacing w:line="480" w:lineRule="auto"/>
              <w:jc w:val="center"/>
              <w:rPr>
                <w:rFonts w:asciiTheme="minorEastAsia" w:hAnsiTheme="minorEastAsia" w:eastAsiaTheme="minorEastAsia" w:cstheme="minorEastAsia"/>
                <w:szCs w:val="21"/>
                <w:highlight w:val="none"/>
              </w:rPr>
            </w:pPr>
          </w:p>
          <w:p w14:paraId="2E31C46B">
            <w:pPr>
              <w:autoSpaceDE w:val="0"/>
              <w:autoSpaceDN w:val="0"/>
              <w:adjustRightInd w:val="0"/>
              <w:snapToGrid w:val="0"/>
              <w:spacing w:beforeLines="50" w:line="360" w:lineRule="auto"/>
              <w:jc w:val="center"/>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法定代表人身份证复印件粘贴处</w:t>
            </w:r>
          </w:p>
          <w:p w14:paraId="25D1BAC9">
            <w:pPr>
              <w:pStyle w:val="11"/>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szCs w:val="21"/>
                <w:highlight w:val="none"/>
              </w:rPr>
              <w:t>（正反面）</w:t>
            </w:r>
          </w:p>
          <w:p w14:paraId="7145FEEA">
            <w:pPr>
              <w:snapToGrid w:val="0"/>
              <w:spacing w:line="480" w:lineRule="auto"/>
              <w:jc w:val="center"/>
              <w:rPr>
                <w:rFonts w:asciiTheme="minorEastAsia" w:hAnsiTheme="minorEastAsia" w:eastAsiaTheme="minorEastAsia" w:cstheme="minorEastAsia"/>
                <w:szCs w:val="21"/>
                <w:highlight w:val="none"/>
              </w:rPr>
            </w:pPr>
          </w:p>
          <w:p w14:paraId="6E519B9B">
            <w:pPr>
              <w:snapToGrid w:val="0"/>
              <w:spacing w:line="480" w:lineRule="auto"/>
              <w:jc w:val="center"/>
              <w:rPr>
                <w:rFonts w:asciiTheme="minorEastAsia" w:hAnsiTheme="minorEastAsia" w:eastAsiaTheme="minorEastAsia" w:cstheme="minorEastAsia"/>
                <w:szCs w:val="21"/>
                <w:highlight w:val="none"/>
              </w:rPr>
            </w:pPr>
          </w:p>
        </w:tc>
      </w:tr>
    </w:tbl>
    <w:p w14:paraId="0F63A757">
      <w:pPr>
        <w:snapToGrid w:val="0"/>
        <w:spacing w:line="480" w:lineRule="auto"/>
        <w:rPr>
          <w:rFonts w:asciiTheme="minorEastAsia" w:hAnsiTheme="minorEastAsia" w:eastAsiaTheme="minorEastAsia" w:cstheme="minorEastAsia"/>
          <w:szCs w:val="21"/>
          <w:highlight w:val="none"/>
        </w:rPr>
      </w:pPr>
    </w:p>
    <w:p w14:paraId="778D06A1">
      <w:pPr>
        <w:snapToGrid w:val="0"/>
        <w:rPr>
          <w:rFonts w:asciiTheme="minorEastAsia" w:hAnsiTheme="minorEastAsia" w:eastAsiaTheme="minorEastAsia" w:cstheme="minorEastAsia"/>
          <w:szCs w:val="21"/>
          <w:highlight w:val="none"/>
        </w:rPr>
      </w:pPr>
    </w:p>
    <w:p w14:paraId="17358EFC">
      <w:pPr>
        <w:snapToGrid w:val="0"/>
        <w:rPr>
          <w:rFonts w:asciiTheme="minorEastAsia" w:hAnsiTheme="minorEastAsia" w:eastAsiaTheme="minorEastAsia" w:cstheme="minorEastAsia"/>
          <w:szCs w:val="21"/>
          <w:highlight w:val="none"/>
        </w:rPr>
      </w:pPr>
    </w:p>
    <w:p w14:paraId="7B295BB9">
      <w:pPr>
        <w:snapToGrid w:val="0"/>
        <w:rPr>
          <w:rFonts w:asciiTheme="minorEastAsia" w:hAnsiTheme="minorEastAsia" w:eastAsiaTheme="minorEastAsia" w:cstheme="minorEastAsia"/>
          <w:szCs w:val="21"/>
          <w:highlight w:val="none"/>
        </w:rPr>
      </w:pPr>
    </w:p>
    <w:p w14:paraId="77215DC2">
      <w:pPr>
        <w:snapToGrid w:val="0"/>
        <w:rPr>
          <w:rFonts w:asciiTheme="minorEastAsia" w:hAnsiTheme="minorEastAsia" w:eastAsiaTheme="minorEastAsia" w:cstheme="minorEastAsia"/>
          <w:szCs w:val="21"/>
          <w:highlight w:val="none"/>
        </w:rPr>
      </w:pPr>
    </w:p>
    <w:p w14:paraId="59A8B06E">
      <w:pPr>
        <w:adjustRightInd w:val="0"/>
        <w:snapToGrid w:val="0"/>
        <w:spacing w:line="360" w:lineRule="auto"/>
        <w:rPr>
          <w:rFonts w:asciiTheme="minorEastAsia" w:hAnsiTheme="minorEastAsia" w:eastAsiaTheme="minorEastAsia" w:cstheme="minorEastAsia"/>
          <w:highlight w:val="none"/>
        </w:rPr>
      </w:pPr>
    </w:p>
    <w:p w14:paraId="7C1F8F09">
      <w:pPr>
        <w:adjustRightInd w:val="0"/>
        <w:snapToGrid w:val="0"/>
        <w:spacing w:line="360" w:lineRule="auto"/>
        <w:ind w:right="420"/>
        <w:rPr>
          <w:rFonts w:asciiTheme="minorEastAsia" w:hAnsiTheme="minorEastAsia" w:eastAsiaTheme="minorEastAsia" w:cstheme="minorEastAsia"/>
          <w:highlight w:val="none"/>
        </w:rPr>
      </w:pPr>
    </w:p>
    <w:p w14:paraId="41683DB7">
      <w:pPr>
        <w:adjustRightInd w:val="0"/>
        <w:snapToGrid w:val="0"/>
        <w:spacing w:line="360" w:lineRule="auto"/>
        <w:ind w:right="420"/>
        <w:rPr>
          <w:rFonts w:asciiTheme="minorEastAsia" w:hAnsiTheme="minorEastAsia" w:eastAsiaTheme="minorEastAsia" w:cstheme="minorEastAsia"/>
          <w:highlight w:val="none"/>
        </w:rPr>
      </w:pPr>
    </w:p>
    <w:p w14:paraId="59C5295E">
      <w:pPr>
        <w:adjustRightInd w:val="0"/>
        <w:snapToGrid w:val="0"/>
        <w:spacing w:line="360" w:lineRule="auto"/>
        <w:ind w:right="420"/>
        <w:rPr>
          <w:rFonts w:asciiTheme="minorEastAsia" w:hAnsiTheme="minorEastAsia" w:eastAsiaTheme="minorEastAsia" w:cstheme="minorEastAsia"/>
          <w:highlight w:val="none"/>
        </w:rPr>
      </w:pPr>
    </w:p>
    <w:p w14:paraId="24BF3910">
      <w:pPr>
        <w:adjustRightInd w:val="0"/>
        <w:snapToGrid w:val="0"/>
        <w:spacing w:line="360" w:lineRule="auto"/>
        <w:ind w:right="420"/>
        <w:rPr>
          <w:rFonts w:asciiTheme="minorEastAsia" w:hAnsiTheme="minorEastAsia" w:eastAsiaTheme="minorEastAsia" w:cstheme="minorEastAsia"/>
          <w:highlight w:val="none"/>
        </w:rPr>
      </w:pPr>
    </w:p>
    <w:p w14:paraId="7FB80D8A">
      <w:pPr>
        <w:adjustRightInd w:val="0"/>
        <w:snapToGrid w:val="0"/>
        <w:spacing w:line="360" w:lineRule="auto"/>
        <w:ind w:right="42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投标人名称（公章）：</w:t>
      </w:r>
    </w:p>
    <w:p w14:paraId="760B67BE">
      <w:pPr>
        <w:adjustRightInd w:val="0"/>
        <w:snapToGrid w:val="0"/>
        <w:spacing w:line="360" w:lineRule="auto"/>
        <w:ind w:right="42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日期：    年  月  日</w:t>
      </w:r>
    </w:p>
    <w:p w14:paraId="44701B2B">
      <w:pPr>
        <w:adjustRightInd w:val="0"/>
        <w:snapToGrid w:val="0"/>
        <w:spacing w:line="360" w:lineRule="auto"/>
        <w:ind w:right="420"/>
        <w:rPr>
          <w:rFonts w:asciiTheme="minorEastAsia" w:hAnsiTheme="minorEastAsia" w:eastAsiaTheme="minorEastAsia" w:cstheme="minorEastAsia"/>
          <w:highlight w:val="none"/>
        </w:rPr>
      </w:pPr>
    </w:p>
    <w:p w14:paraId="02697175">
      <w:pPr>
        <w:rPr>
          <w:rFonts w:asciiTheme="minorEastAsia" w:hAnsiTheme="minorEastAsia" w:eastAsiaTheme="minorEastAsia" w:cstheme="minorEastAsia"/>
          <w:sz w:val="32"/>
          <w:szCs w:val="32"/>
          <w:highlight w:val="none"/>
        </w:rPr>
      </w:pPr>
      <w:r>
        <w:rPr>
          <w:rFonts w:hint="eastAsia" w:asciiTheme="minorEastAsia" w:hAnsiTheme="minorEastAsia" w:eastAsiaTheme="minorEastAsia" w:cstheme="minorEastAsia"/>
          <w:sz w:val="32"/>
          <w:szCs w:val="32"/>
          <w:highlight w:val="none"/>
        </w:rPr>
        <w:br w:type="page"/>
      </w:r>
    </w:p>
    <w:p w14:paraId="2A941643">
      <w:pPr>
        <w:keepNext/>
        <w:spacing w:beforeLines="100"/>
        <w:jc w:val="center"/>
        <w:rPr>
          <w:rFonts w:asciiTheme="minorEastAsia" w:hAnsiTheme="minorEastAsia" w:eastAsiaTheme="minorEastAsia" w:cstheme="minorEastAsia"/>
          <w:sz w:val="32"/>
          <w:szCs w:val="32"/>
          <w:highlight w:val="none"/>
        </w:rPr>
      </w:pPr>
      <w:r>
        <w:rPr>
          <w:rFonts w:hint="eastAsia" w:asciiTheme="minorEastAsia" w:hAnsiTheme="minorEastAsia" w:eastAsiaTheme="minorEastAsia" w:cstheme="minorEastAsia"/>
          <w:sz w:val="32"/>
          <w:szCs w:val="32"/>
          <w:highlight w:val="none"/>
        </w:rPr>
        <w:t>法定代表人授权书</w:t>
      </w:r>
      <w:bookmarkEnd w:id="141"/>
      <w:bookmarkEnd w:id="142"/>
      <w:bookmarkEnd w:id="143"/>
      <w:bookmarkEnd w:id="144"/>
      <w:bookmarkEnd w:id="145"/>
      <w:bookmarkEnd w:id="146"/>
      <w:bookmarkEnd w:id="147"/>
      <w:bookmarkEnd w:id="148"/>
    </w:p>
    <w:p w14:paraId="1EF6777D">
      <w:pPr>
        <w:rPr>
          <w:rFonts w:asciiTheme="minorEastAsia" w:hAnsiTheme="minorEastAsia" w:eastAsiaTheme="minorEastAsia" w:cstheme="minorEastAsia"/>
          <w:b/>
          <w:bCs/>
          <w:szCs w:val="32"/>
          <w:highlight w:val="none"/>
        </w:rPr>
      </w:pPr>
      <w:r>
        <w:rPr>
          <w:rFonts w:hint="eastAsia" w:asciiTheme="minorEastAsia" w:hAnsiTheme="minorEastAsia" w:eastAsiaTheme="minorEastAsia" w:cstheme="minorEastAsia"/>
          <w:highlight w:val="none"/>
        </w:rPr>
        <w:t xml:space="preserve">      </w:t>
      </w:r>
      <w:r>
        <w:rPr>
          <w:rFonts w:hint="eastAsia" w:asciiTheme="minorEastAsia" w:hAnsiTheme="minorEastAsia" w:eastAsiaTheme="minorEastAsia" w:cstheme="minorEastAsia"/>
          <w:szCs w:val="32"/>
          <w:highlight w:val="none"/>
        </w:rPr>
        <w:t xml:space="preserve"> </w:t>
      </w:r>
    </w:p>
    <w:p w14:paraId="49DACE69">
      <w:pPr>
        <w:spacing w:line="560" w:lineRule="exact"/>
        <w:jc w:val="left"/>
        <w:rPr>
          <w:rFonts w:asciiTheme="minorEastAsia" w:hAnsiTheme="minorEastAsia" w:eastAsiaTheme="minorEastAsia" w:cstheme="minorEastAsia"/>
          <w:spacing w:val="4"/>
          <w:szCs w:val="24"/>
          <w:highlight w:val="none"/>
        </w:rPr>
      </w:pPr>
      <w:r>
        <w:rPr>
          <w:rFonts w:hint="eastAsia" w:asciiTheme="minorEastAsia" w:hAnsiTheme="minorEastAsia" w:eastAsiaTheme="minorEastAsia" w:cstheme="minorEastAsia"/>
          <w:b/>
          <w:spacing w:val="4"/>
          <w:szCs w:val="24"/>
          <w:highlight w:val="none"/>
        </w:rPr>
        <w:t>致：</w:t>
      </w:r>
      <w:r>
        <w:rPr>
          <w:rFonts w:hint="eastAsia" w:asciiTheme="minorEastAsia" w:hAnsiTheme="minorEastAsia" w:eastAsiaTheme="minorEastAsia" w:cstheme="minorEastAsia"/>
          <w:b/>
          <w:spacing w:val="4"/>
          <w:szCs w:val="24"/>
          <w:highlight w:val="none"/>
          <w:u w:val="single"/>
        </w:rPr>
        <w:t>陕西至诚项目管理集团有限公司</w:t>
      </w:r>
    </w:p>
    <w:p w14:paraId="72675B42">
      <w:pPr>
        <w:spacing w:line="560" w:lineRule="exact"/>
        <w:ind w:firstLine="436" w:firstLineChars="200"/>
        <w:jc w:val="left"/>
        <w:rPr>
          <w:rFonts w:asciiTheme="minorEastAsia" w:hAnsiTheme="minorEastAsia" w:eastAsiaTheme="minorEastAsia" w:cstheme="minorEastAsia"/>
          <w:spacing w:val="4"/>
          <w:szCs w:val="24"/>
          <w:highlight w:val="none"/>
        </w:rPr>
      </w:pPr>
      <w:r>
        <w:rPr>
          <w:rFonts w:hint="eastAsia" w:asciiTheme="minorEastAsia" w:hAnsiTheme="minorEastAsia" w:eastAsiaTheme="minorEastAsia" w:cstheme="minorEastAsia"/>
          <w:spacing w:val="4"/>
          <w:szCs w:val="24"/>
          <w:highlight w:val="none"/>
          <w:u w:val="single"/>
        </w:rPr>
        <w:t xml:space="preserve">(投标人名称)   </w:t>
      </w:r>
      <w:r>
        <w:rPr>
          <w:rFonts w:hint="eastAsia" w:asciiTheme="minorEastAsia" w:hAnsiTheme="minorEastAsia" w:eastAsiaTheme="minorEastAsia" w:cstheme="minorEastAsia"/>
          <w:spacing w:val="4"/>
          <w:szCs w:val="24"/>
          <w:highlight w:val="none"/>
        </w:rPr>
        <w:t>按中华人民共和国法律于</w:t>
      </w:r>
      <w:r>
        <w:rPr>
          <w:rFonts w:hint="eastAsia" w:asciiTheme="minorEastAsia" w:hAnsiTheme="minorEastAsia" w:eastAsiaTheme="minorEastAsia" w:cstheme="minorEastAsia"/>
          <w:spacing w:val="4"/>
          <w:szCs w:val="24"/>
          <w:highlight w:val="none"/>
          <w:u w:val="single"/>
        </w:rPr>
        <w:t xml:space="preserve">（  年  月  日 ）  </w:t>
      </w:r>
      <w:r>
        <w:rPr>
          <w:rFonts w:hint="eastAsia" w:asciiTheme="minorEastAsia" w:hAnsiTheme="minorEastAsia" w:eastAsiaTheme="minorEastAsia" w:cstheme="minorEastAsia"/>
          <w:spacing w:val="4"/>
          <w:szCs w:val="24"/>
          <w:highlight w:val="none"/>
        </w:rPr>
        <w:t>成立。</w:t>
      </w:r>
      <w:r>
        <w:rPr>
          <w:rFonts w:hint="eastAsia" w:asciiTheme="minorEastAsia" w:hAnsiTheme="minorEastAsia" w:eastAsiaTheme="minorEastAsia" w:cstheme="minorEastAsia"/>
          <w:spacing w:val="4"/>
          <w:szCs w:val="24"/>
          <w:highlight w:val="none"/>
          <w:u w:val="single"/>
        </w:rPr>
        <w:t>(</w:t>
      </w:r>
      <w:r>
        <w:rPr>
          <w:rFonts w:hint="eastAsia" w:asciiTheme="minorEastAsia" w:hAnsiTheme="minorEastAsia" w:eastAsiaTheme="minorEastAsia" w:cstheme="minorEastAsia"/>
          <w:szCs w:val="24"/>
          <w:highlight w:val="none"/>
          <w:u w:val="single"/>
        </w:rPr>
        <w:t>法定代表人</w:t>
      </w:r>
      <w:r>
        <w:rPr>
          <w:rFonts w:hint="eastAsia" w:asciiTheme="minorEastAsia" w:hAnsiTheme="minorEastAsia" w:eastAsiaTheme="minorEastAsia" w:cstheme="minorEastAsia"/>
          <w:spacing w:val="4"/>
          <w:szCs w:val="24"/>
          <w:highlight w:val="none"/>
          <w:u w:val="single"/>
        </w:rPr>
        <w:t>姓名)</w:t>
      </w:r>
      <w:r>
        <w:rPr>
          <w:rFonts w:hint="eastAsia" w:asciiTheme="minorEastAsia" w:hAnsiTheme="minorEastAsia" w:eastAsiaTheme="minorEastAsia" w:cstheme="minorEastAsia"/>
          <w:spacing w:val="4"/>
          <w:szCs w:val="24"/>
          <w:highlight w:val="none"/>
        </w:rPr>
        <w:t>特授权</w:t>
      </w:r>
      <w:r>
        <w:rPr>
          <w:rFonts w:hint="eastAsia" w:asciiTheme="minorEastAsia" w:hAnsiTheme="minorEastAsia" w:eastAsiaTheme="minorEastAsia" w:cstheme="minorEastAsia"/>
          <w:spacing w:val="4"/>
          <w:szCs w:val="24"/>
          <w:highlight w:val="none"/>
          <w:u w:val="single"/>
        </w:rPr>
        <w:t xml:space="preserve">（ </w:t>
      </w:r>
      <w:r>
        <w:rPr>
          <w:rFonts w:hint="eastAsia" w:asciiTheme="minorEastAsia" w:hAnsiTheme="minorEastAsia" w:eastAsiaTheme="minorEastAsia" w:cstheme="minorEastAsia"/>
          <w:szCs w:val="24"/>
          <w:highlight w:val="none"/>
          <w:u w:val="single"/>
        </w:rPr>
        <w:t>授权代表</w:t>
      </w:r>
      <w:r>
        <w:rPr>
          <w:rFonts w:hint="eastAsia" w:asciiTheme="minorEastAsia" w:hAnsiTheme="minorEastAsia" w:eastAsiaTheme="minorEastAsia" w:cstheme="minorEastAsia"/>
          <w:spacing w:val="4"/>
          <w:szCs w:val="24"/>
          <w:highlight w:val="none"/>
          <w:u w:val="single"/>
        </w:rPr>
        <w:t>姓名 ）</w:t>
      </w:r>
      <w:r>
        <w:rPr>
          <w:rFonts w:hint="eastAsia" w:asciiTheme="minorEastAsia" w:hAnsiTheme="minorEastAsia" w:eastAsiaTheme="minorEastAsia" w:cstheme="minorEastAsia"/>
          <w:spacing w:val="4"/>
          <w:szCs w:val="24"/>
          <w:highlight w:val="none"/>
        </w:rPr>
        <w:t xml:space="preserve">代表我公司全权办理针对本次 </w:t>
      </w:r>
      <w:r>
        <w:rPr>
          <w:rFonts w:hint="eastAsia" w:asciiTheme="minorEastAsia" w:hAnsiTheme="minorEastAsia" w:eastAsiaTheme="minorEastAsia" w:cstheme="minorEastAsia"/>
          <w:spacing w:val="4"/>
          <w:szCs w:val="24"/>
          <w:highlight w:val="none"/>
          <w:u w:val="single"/>
        </w:rPr>
        <w:t xml:space="preserve">（项目名称、项目编号、包号：第  包）    </w:t>
      </w:r>
      <w:r>
        <w:rPr>
          <w:rFonts w:hint="eastAsia" w:asciiTheme="minorEastAsia" w:hAnsiTheme="minorEastAsia" w:eastAsiaTheme="minorEastAsia" w:cstheme="minorEastAsia"/>
          <w:spacing w:val="4"/>
          <w:szCs w:val="24"/>
          <w:highlight w:val="none"/>
        </w:rPr>
        <w:t>投标、谈判、签约等具体工作，并签署全部有关的文件、协议及合同。</w:t>
      </w:r>
    </w:p>
    <w:p w14:paraId="7A98B6A0">
      <w:pPr>
        <w:spacing w:line="560" w:lineRule="exact"/>
        <w:ind w:firstLine="436" w:firstLineChars="200"/>
        <w:jc w:val="left"/>
        <w:rPr>
          <w:rFonts w:asciiTheme="minorEastAsia" w:hAnsiTheme="minorEastAsia" w:eastAsiaTheme="minorEastAsia" w:cstheme="minorEastAsia"/>
          <w:spacing w:val="4"/>
          <w:szCs w:val="24"/>
          <w:highlight w:val="none"/>
        </w:rPr>
      </w:pPr>
      <w:r>
        <w:rPr>
          <w:rFonts w:hint="eastAsia" w:asciiTheme="minorEastAsia" w:hAnsiTheme="minorEastAsia" w:eastAsiaTheme="minorEastAsia" w:cstheme="minorEastAsia"/>
          <w:spacing w:val="4"/>
          <w:szCs w:val="24"/>
          <w:highlight w:val="none"/>
        </w:rPr>
        <w:t>我公司对</w:t>
      </w:r>
      <w:r>
        <w:rPr>
          <w:rFonts w:hint="eastAsia" w:asciiTheme="minorEastAsia" w:hAnsiTheme="minorEastAsia" w:eastAsiaTheme="minorEastAsia" w:cstheme="minorEastAsia"/>
          <w:szCs w:val="24"/>
          <w:highlight w:val="none"/>
        </w:rPr>
        <w:t>授权代表</w:t>
      </w:r>
      <w:r>
        <w:rPr>
          <w:rFonts w:hint="eastAsia" w:asciiTheme="minorEastAsia" w:hAnsiTheme="minorEastAsia" w:eastAsiaTheme="minorEastAsia" w:cstheme="minorEastAsia"/>
          <w:spacing w:val="4"/>
          <w:szCs w:val="24"/>
          <w:highlight w:val="none"/>
        </w:rPr>
        <w:t>的签名负全部责任。</w:t>
      </w:r>
    </w:p>
    <w:p w14:paraId="5B4DF62C">
      <w:pPr>
        <w:spacing w:line="560" w:lineRule="exact"/>
        <w:ind w:right="540" w:rightChars="257" w:firstLine="420" w:firstLineChars="200"/>
        <w:jc w:val="left"/>
        <w:rPr>
          <w:rFonts w:asciiTheme="minorEastAsia" w:hAnsiTheme="minorEastAsia" w:eastAsiaTheme="minorEastAsia" w:cstheme="minorEastAsia"/>
          <w:szCs w:val="24"/>
          <w:highlight w:val="none"/>
        </w:rPr>
      </w:pPr>
      <w:r>
        <w:rPr>
          <w:rFonts w:hint="eastAsia" w:asciiTheme="minorEastAsia" w:hAnsiTheme="minorEastAsia" w:eastAsiaTheme="minorEastAsia" w:cstheme="minorEastAsia"/>
          <w:szCs w:val="24"/>
          <w:highlight w:val="none"/>
        </w:rPr>
        <w:t>委托期限：</w:t>
      </w:r>
      <w:r>
        <w:rPr>
          <w:rFonts w:hint="eastAsia" w:asciiTheme="minorEastAsia" w:hAnsiTheme="minorEastAsia" w:eastAsiaTheme="minorEastAsia" w:cstheme="minorEastAsia"/>
          <w:highlight w:val="none"/>
          <w:lang w:val="zh-CN"/>
        </w:rPr>
        <w:t>自开标之日起</w:t>
      </w:r>
      <w:r>
        <w:rPr>
          <w:rFonts w:hint="eastAsia" w:asciiTheme="minorEastAsia" w:hAnsiTheme="minorEastAsia" w:eastAsiaTheme="minorEastAsia" w:cstheme="minorEastAsia"/>
          <w:highlight w:val="none"/>
        </w:rPr>
        <w:t>90</w:t>
      </w:r>
      <w:r>
        <w:rPr>
          <w:rFonts w:hint="eastAsia" w:asciiTheme="minorEastAsia" w:hAnsiTheme="minorEastAsia" w:eastAsiaTheme="minorEastAsia" w:cstheme="minorEastAsia"/>
          <w:highlight w:val="none"/>
          <w:lang w:val="zh-CN"/>
        </w:rPr>
        <w:t>天。</w:t>
      </w:r>
    </w:p>
    <w:p w14:paraId="06CE8534">
      <w:pPr>
        <w:spacing w:line="560" w:lineRule="exact"/>
        <w:ind w:firstLine="436" w:firstLineChars="200"/>
        <w:jc w:val="left"/>
        <w:rPr>
          <w:rFonts w:asciiTheme="minorEastAsia" w:hAnsiTheme="minorEastAsia" w:eastAsiaTheme="minorEastAsia" w:cstheme="minorEastAsia"/>
          <w:spacing w:val="4"/>
          <w:szCs w:val="24"/>
          <w:highlight w:val="none"/>
        </w:rPr>
      </w:pPr>
      <w:r>
        <w:rPr>
          <w:rFonts w:hint="eastAsia" w:asciiTheme="minorEastAsia" w:hAnsiTheme="minorEastAsia" w:eastAsiaTheme="minorEastAsia" w:cstheme="minorEastAsia"/>
          <w:spacing w:val="4"/>
          <w:szCs w:val="24"/>
          <w:highlight w:val="none"/>
        </w:rPr>
        <w:t>本授权书于</w:t>
      </w:r>
      <w:r>
        <w:rPr>
          <w:rFonts w:hint="eastAsia" w:asciiTheme="minorEastAsia" w:hAnsiTheme="minorEastAsia" w:eastAsiaTheme="minorEastAsia" w:cstheme="minorEastAsia"/>
          <w:spacing w:val="4"/>
          <w:szCs w:val="24"/>
          <w:highlight w:val="none"/>
          <w:u w:val="single"/>
        </w:rPr>
        <w:t xml:space="preserve">      年   月   日</w:t>
      </w:r>
      <w:r>
        <w:rPr>
          <w:rFonts w:hint="eastAsia" w:asciiTheme="minorEastAsia" w:hAnsiTheme="minorEastAsia" w:eastAsiaTheme="minorEastAsia" w:cstheme="minorEastAsia"/>
          <w:spacing w:val="4"/>
          <w:szCs w:val="24"/>
          <w:highlight w:val="none"/>
        </w:rPr>
        <w:t>签章生效，特此证明。</w:t>
      </w:r>
    </w:p>
    <w:tbl>
      <w:tblPr>
        <w:tblStyle w:val="28"/>
        <w:tblW w:w="8190" w:type="dxa"/>
        <w:tblInd w:w="633" w:type="dxa"/>
        <w:tblLayout w:type="fixed"/>
        <w:tblCellMar>
          <w:top w:w="0" w:type="dxa"/>
          <w:left w:w="108" w:type="dxa"/>
          <w:bottom w:w="0" w:type="dxa"/>
          <w:right w:w="108" w:type="dxa"/>
        </w:tblCellMar>
      </w:tblPr>
      <w:tblGrid>
        <w:gridCol w:w="4200"/>
        <w:gridCol w:w="3990"/>
      </w:tblGrid>
      <w:tr w14:paraId="15B5A367">
        <w:tblPrEx>
          <w:tblCellMar>
            <w:top w:w="0" w:type="dxa"/>
            <w:left w:w="108" w:type="dxa"/>
            <w:bottom w:w="0" w:type="dxa"/>
            <w:right w:w="108" w:type="dxa"/>
          </w:tblCellMar>
        </w:tblPrEx>
        <w:trPr>
          <w:trHeight w:val="600" w:hRule="atLeast"/>
        </w:trPr>
        <w:tc>
          <w:tcPr>
            <w:tcW w:w="4200" w:type="dxa"/>
          </w:tcPr>
          <w:p w14:paraId="353BC833">
            <w:pPr>
              <w:spacing w:line="520" w:lineRule="exact"/>
              <w:jc w:val="left"/>
              <w:rPr>
                <w:rFonts w:asciiTheme="minorEastAsia" w:hAnsiTheme="minorEastAsia" w:eastAsiaTheme="minorEastAsia" w:cstheme="minorEastAsia"/>
                <w:spacing w:val="4"/>
                <w:szCs w:val="24"/>
                <w:highlight w:val="none"/>
              </w:rPr>
            </w:pPr>
            <w:r>
              <w:rPr>
                <w:rFonts w:hint="eastAsia" w:asciiTheme="minorEastAsia" w:hAnsiTheme="minorEastAsia" w:eastAsiaTheme="minorEastAsia" w:cstheme="minorEastAsia"/>
                <w:spacing w:val="4"/>
                <w:szCs w:val="24"/>
                <w:highlight w:val="none"/>
              </w:rPr>
              <w:t>被授权人签字或盖章：</w:t>
            </w:r>
          </w:p>
        </w:tc>
        <w:tc>
          <w:tcPr>
            <w:tcW w:w="3990" w:type="dxa"/>
          </w:tcPr>
          <w:p w14:paraId="50AB6273">
            <w:pPr>
              <w:spacing w:line="520" w:lineRule="exact"/>
              <w:jc w:val="left"/>
              <w:rPr>
                <w:rFonts w:asciiTheme="minorEastAsia" w:hAnsiTheme="minorEastAsia" w:eastAsiaTheme="minorEastAsia" w:cstheme="minorEastAsia"/>
                <w:spacing w:val="4"/>
                <w:szCs w:val="24"/>
                <w:highlight w:val="none"/>
              </w:rPr>
            </w:pPr>
            <w:r>
              <w:rPr>
                <w:rFonts w:hint="eastAsia" w:asciiTheme="minorEastAsia" w:hAnsiTheme="minorEastAsia" w:eastAsiaTheme="minorEastAsia" w:cstheme="minorEastAsia"/>
                <w:szCs w:val="24"/>
                <w:highlight w:val="none"/>
              </w:rPr>
              <w:t>法定代表人</w:t>
            </w:r>
            <w:r>
              <w:rPr>
                <w:rFonts w:hint="eastAsia" w:asciiTheme="minorEastAsia" w:hAnsiTheme="minorEastAsia" w:eastAsiaTheme="minorEastAsia" w:cstheme="minorEastAsia"/>
                <w:spacing w:val="4"/>
                <w:szCs w:val="24"/>
                <w:highlight w:val="none"/>
              </w:rPr>
              <w:t>签字或盖章：</w:t>
            </w:r>
          </w:p>
        </w:tc>
      </w:tr>
      <w:tr w14:paraId="7D0A770C">
        <w:tblPrEx>
          <w:tblCellMar>
            <w:top w:w="0" w:type="dxa"/>
            <w:left w:w="108" w:type="dxa"/>
            <w:bottom w:w="0" w:type="dxa"/>
            <w:right w:w="108" w:type="dxa"/>
          </w:tblCellMar>
        </w:tblPrEx>
        <w:trPr>
          <w:trHeight w:val="600" w:hRule="atLeast"/>
        </w:trPr>
        <w:tc>
          <w:tcPr>
            <w:tcW w:w="4200" w:type="dxa"/>
          </w:tcPr>
          <w:p w14:paraId="678B2F39">
            <w:pPr>
              <w:spacing w:line="520" w:lineRule="exact"/>
              <w:jc w:val="left"/>
              <w:rPr>
                <w:rFonts w:asciiTheme="minorEastAsia" w:hAnsiTheme="minorEastAsia" w:eastAsiaTheme="minorEastAsia" w:cstheme="minorEastAsia"/>
                <w:spacing w:val="4"/>
                <w:szCs w:val="24"/>
                <w:highlight w:val="none"/>
              </w:rPr>
            </w:pPr>
            <w:r>
              <w:rPr>
                <w:rFonts w:hint="eastAsia" w:asciiTheme="minorEastAsia" w:hAnsiTheme="minorEastAsia" w:eastAsiaTheme="minorEastAsia" w:cstheme="minorEastAsia"/>
                <w:spacing w:val="4"/>
                <w:szCs w:val="24"/>
                <w:highlight w:val="none"/>
              </w:rPr>
              <w:t>职务：</w:t>
            </w:r>
          </w:p>
        </w:tc>
        <w:tc>
          <w:tcPr>
            <w:tcW w:w="3990" w:type="dxa"/>
          </w:tcPr>
          <w:p w14:paraId="5CC8B1A4">
            <w:pPr>
              <w:spacing w:line="520" w:lineRule="exact"/>
              <w:jc w:val="left"/>
              <w:rPr>
                <w:rFonts w:asciiTheme="minorEastAsia" w:hAnsiTheme="minorEastAsia" w:eastAsiaTheme="minorEastAsia" w:cstheme="minorEastAsia"/>
                <w:spacing w:val="4"/>
                <w:szCs w:val="24"/>
                <w:highlight w:val="none"/>
              </w:rPr>
            </w:pPr>
            <w:r>
              <w:rPr>
                <w:rFonts w:hint="eastAsia" w:asciiTheme="minorEastAsia" w:hAnsiTheme="minorEastAsia" w:eastAsiaTheme="minorEastAsia" w:cstheme="minorEastAsia"/>
                <w:spacing w:val="4"/>
                <w:szCs w:val="24"/>
                <w:highlight w:val="none"/>
              </w:rPr>
              <w:t>职务：</w:t>
            </w:r>
          </w:p>
        </w:tc>
      </w:tr>
      <w:tr w14:paraId="1DC9364D">
        <w:tblPrEx>
          <w:tblCellMar>
            <w:top w:w="0" w:type="dxa"/>
            <w:left w:w="108" w:type="dxa"/>
            <w:bottom w:w="0" w:type="dxa"/>
            <w:right w:w="108" w:type="dxa"/>
          </w:tblCellMar>
        </w:tblPrEx>
        <w:trPr>
          <w:trHeight w:val="600" w:hRule="atLeast"/>
        </w:trPr>
        <w:tc>
          <w:tcPr>
            <w:tcW w:w="4200" w:type="dxa"/>
          </w:tcPr>
          <w:p w14:paraId="4AD619FF">
            <w:pPr>
              <w:spacing w:line="520" w:lineRule="exact"/>
              <w:jc w:val="left"/>
              <w:rPr>
                <w:rFonts w:asciiTheme="minorEastAsia" w:hAnsiTheme="minorEastAsia" w:eastAsiaTheme="minorEastAsia" w:cstheme="minorEastAsia"/>
                <w:spacing w:val="4"/>
                <w:szCs w:val="24"/>
                <w:highlight w:val="none"/>
              </w:rPr>
            </w:pPr>
            <w:r>
              <w:rPr>
                <w:rFonts w:hint="eastAsia" w:asciiTheme="minorEastAsia" w:hAnsiTheme="minorEastAsia" w:eastAsiaTheme="minorEastAsia" w:cstheme="minorEastAsia"/>
                <w:spacing w:val="4"/>
                <w:szCs w:val="24"/>
                <w:highlight w:val="none"/>
              </w:rPr>
              <w:t>所在部门：</w:t>
            </w:r>
          </w:p>
        </w:tc>
        <w:tc>
          <w:tcPr>
            <w:tcW w:w="3990" w:type="dxa"/>
          </w:tcPr>
          <w:p w14:paraId="45D83950">
            <w:pPr>
              <w:spacing w:line="520" w:lineRule="exact"/>
              <w:jc w:val="left"/>
              <w:rPr>
                <w:rFonts w:asciiTheme="minorEastAsia" w:hAnsiTheme="minorEastAsia" w:eastAsiaTheme="minorEastAsia" w:cstheme="minorEastAsia"/>
                <w:spacing w:val="4"/>
                <w:szCs w:val="24"/>
                <w:highlight w:val="none"/>
              </w:rPr>
            </w:pPr>
          </w:p>
        </w:tc>
      </w:tr>
    </w:tbl>
    <w:p w14:paraId="3233F6C2">
      <w:pPr>
        <w:spacing w:line="520" w:lineRule="exact"/>
        <w:ind w:firstLine="436" w:firstLineChars="200"/>
        <w:jc w:val="left"/>
        <w:rPr>
          <w:rFonts w:asciiTheme="minorEastAsia" w:hAnsiTheme="minorEastAsia" w:eastAsiaTheme="minorEastAsia" w:cstheme="minorEastAsia"/>
          <w:spacing w:val="4"/>
          <w:szCs w:val="24"/>
          <w:highlight w:val="none"/>
        </w:rPr>
      </w:pPr>
    </w:p>
    <w:p w14:paraId="22B1EC1D">
      <w:pPr>
        <w:spacing w:before="240" w:line="360" w:lineRule="auto"/>
        <w:ind w:firstLine="840" w:firstLineChars="400"/>
        <w:rPr>
          <w:rFonts w:asciiTheme="minorEastAsia" w:hAnsiTheme="minorEastAsia" w:eastAsiaTheme="minorEastAsia" w:cstheme="minorEastAsia"/>
          <w:highlight w:val="none"/>
          <w:u w:val="single"/>
        </w:rPr>
      </w:pPr>
      <w:r>
        <w:rPr>
          <w:rFonts w:hint="eastAsia" w:asciiTheme="minorEastAsia" w:hAnsiTheme="minorEastAsia" w:eastAsiaTheme="minorEastAsia" w:cstheme="minorEastAsia"/>
          <w:highlight w:val="none"/>
          <w:lang w:val="zh-CN"/>
        </w:rPr>
        <w:t>附法定代表人</w:t>
      </w:r>
      <w:r>
        <w:rPr>
          <w:rFonts w:hint="eastAsia" w:asciiTheme="minorEastAsia" w:hAnsiTheme="minorEastAsia" w:eastAsiaTheme="minorEastAsia" w:cstheme="minorEastAsia"/>
          <w:highlight w:val="none"/>
        </w:rPr>
        <w:t>、</w:t>
      </w:r>
      <w:r>
        <w:rPr>
          <w:rFonts w:hint="eastAsia" w:asciiTheme="minorEastAsia" w:hAnsiTheme="minorEastAsia" w:eastAsiaTheme="minorEastAsia" w:cstheme="minorEastAsia"/>
          <w:highlight w:val="none"/>
          <w:lang w:val="zh-CN"/>
        </w:rPr>
        <w:t>授权代表身份证复印件</w:t>
      </w:r>
    </w:p>
    <w:tbl>
      <w:tblPr>
        <w:tblStyle w:val="28"/>
        <w:tblW w:w="8357" w:type="dxa"/>
        <w:tblInd w:w="540" w:type="dxa"/>
        <w:tblLayout w:type="fixed"/>
        <w:tblCellMar>
          <w:top w:w="0" w:type="dxa"/>
          <w:left w:w="108" w:type="dxa"/>
          <w:bottom w:w="0" w:type="dxa"/>
          <w:right w:w="108" w:type="dxa"/>
        </w:tblCellMar>
      </w:tblPr>
      <w:tblGrid>
        <w:gridCol w:w="4246"/>
        <w:gridCol w:w="4111"/>
      </w:tblGrid>
      <w:tr w14:paraId="1BC7DD45">
        <w:tblPrEx>
          <w:tblCellMar>
            <w:top w:w="0" w:type="dxa"/>
            <w:left w:w="108" w:type="dxa"/>
            <w:bottom w:w="0" w:type="dxa"/>
            <w:right w:w="108" w:type="dxa"/>
          </w:tblCellMar>
        </w:tblPrEx>
        <w:trPr>
          <w:trHeight w:val="2818" w:hRule="atLeast"/>
        </w:trPr>
        <w:tc>
          <w:tcPr>
            <w:tcW w:w="4246" w:type="dxa"/>
            <w:tcBorders>
              <w:top w:val="single" w:color="auto" w:sz="6" w:space="0"/>
              <w:left w:val="single" w:color="auto" w:sz="6" w:space="0"/>
              <w:bottom w:val="single" w:color="auto" w:sz="6" w:space="0"/>
              <w:right w:val="single" w:color="auto" w:sz="6" w:space="0"/>
            </w:tcBorders>
            <w:vAlign w:val="center"/>
          </w:tcPr>
          <w:p w14:paraId="43AD3325">
            <w:pPr>
              <w:spacing w:line="360" w:lineRule="auto"/>
              <w:jc w:val="center"/>
              <w:rPr>
                <w:rFonts w:asciiTheme="minorEastAsia" w:hAnsiTheme="minorEastAsia" w:eastAsiaTheme="minorEastAsia" w:cstheme="minorEastAsia"/>
                <w:szCs w:val="21"/>
                <w:highlight w:val="none"/>
                <w:lang w:val="zh-CN"/>
              </w:rPr>
            </w:pPr>
            <w:r>
              <w:rPr>
                <w:rFonts w:hint="eastAsia" w:asciiTheme="minorEastAsia" w:hAnsiTheme="minorEastAsia" w:eastAsiaTheme="minorEastAsia" w:cstheme="minorEastAsia"/>
                <w:szCs w:val="21"/>
                <w:highlight w:val="none"/>
                <w:lang w:val="zh-CN"/>
              </w:rPr>
              <w:t>法定代表人身份证复印件粘贴处</w:t>
            </w:r>
          </w:p>
          <w:p w14:paraId="63EAAB22">
            <w:pPr>
              <w:spacing w:line="360" w:lineRule="auto"/>
              <w:jc w:val="center"/>
              <w:rPr>
                <w:rFonts w:asciiTheme="minorEastAsia" w:hAnsiTheme="minorEastAsia" w:eastAsiaTheme="minorEastAsia" w:cstheme="minorEastAsia"/>
                <w:szCs w:val="21"/>
                <w:highlight w:val="none"/>
                <w:u w:val="single"/>
              </w:rPr>
            </w:pPr>
            <w:r>
              <w:rPr>
                <w:rFonts w:hint="eastAsia" w:asciiTheme="minorEastAsia" w:hAnsiTheme="minorEastAsia" w:eastAsiaTheme="minorEastAsia" w:cstheme="minorEastAsia"/>
                <w:szCs w:val="21"/>
                <w:highlight w:val="none"/>
                <w:lang w:val="zh-CN"/>
              </w:rPr>
              <w:t>（正反面）</w:t>
            </w:r>
          </w:p>
        </w:tc>
        <w:tc>
          <w:tcPr>
            <w:tcW w:w="4111" w:type="dxa"/>
            <w:tcBorders>
              <w:top w:val="single" w:color="auto" w:sz="6" w:space="0"/>
              <w:left w:val="single" w:color="auto" w:sz="6" w:space="0"/>
              <w:bottom w:val="single" w:color="auto" w:sz="6" w:space="0"/>
              <w:right w:val="single" w:color="auto" w:sz="6" w:space="0"/>
            </w:tcBorders>
            <w:vAlign w:val="center"/>
          </w:tcPr>
          <w:p w14:paraId="5760FC9A">
            <w:pPr>
              <w:autoSpaceDE w:val="0"/>
              <w:autoSpaceDN w:val="0"/>
              <w:adjustRightInd w:val="0"/>
              <w:snapToGrid w:val="0"/>
              <w:spacing w:beforeLines="50" w:line="360" w:lineRule="auto"/>
              <w:jc w:val="center"/>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4"/>
                <w:highlight w:val="none"/>
              </w:rPr>
              <w:t>授权代表</w:t>
            </w:r>
            <w:r>
              <w:rPr>
                <w:rFonts w:hint="eastAsia" w:asciiTheme="minorEastAsia" w:hAnsiTheme="minorEastAsia" w:eastAsiaTheme="minorEastAsia" w:cstheme="minorEastAsia"/>
                <w:szCs w:val="21"/>
                <w:highlight w:val="none"/>
              </w:rPr>
              <w:t>身份证复印件粘贴处</w:t>
            </w:r>
          </w:p>
          <w:p w14:paraId="661B3604">
            <w:pPr>
              <w:autoSpaceDE w:val="0"/>
              <w:autoSpaceDN w:val="0"/>
              <w:adjustRightInd w:val="0"/>
              <w:snapToGrid w:val="0"/>
              <w:spacing w:beforeLines="50" w:line="360" w:lineRule="auto"/>
              <w:jc w:val="center"/>
              <w:rPr>
                <w:rFonts w:asciiTheme="minorEastAsia" w:hAnsiTheme="minorEastAsia" w:eastAsiaTheme="minorEastAsia" w:cstheme="minorEastAsia"/>
                <w:highlight w:val="none"/>
                <w:u w:val="single"/>
              </w:rPr>
            </w:pPr>
            <w:r>
              <w:rPr>
                <w:rFonts w:hint="eastAsia" w:asciiTheme="minorEastAsia" w:hAnsiTheme="minorEastAsia" w:eastAsiaTheme="minorEastAsia" w:cstheme="minorEastAsia"/>
                <w:szCs w:val="21"/>
                <w:highlight w:val="none"/>
              </w:rPr>
              <w:t>（正反面）</w:t>
            </w:r>
          </w:p>
        </w:tc>
      </w:tr>
    </w:tbl>
    <w:p w14:paraId="0F28EB90">
      <w:pPr>
        <w:spacing w:line="480" w:lineRule="auto"/>
        <w:ind w:left="424" w:leftChars="202" w:right="540" w:rightChars="257"/>
        <w:jc w:val="left"/>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投标人名称：</w:t>
      </w:r>
      <w:r>
        <w:rPr>
          <w:rFonts w:hint="eastAsia" w:asciiTheme="minorEastAsia" w:hAnsiTheme="minorEastAsia" w:eastAsiaTheme="minorEastAsia" w:cstheme="minorEastAsia"/>
          <w:highlight w:val="none"/>
          <w:u w:val="single"/>
        </w:rPr>
        <w:t xml:space="preserve">      （加盖单位公章）      </w:t>
      </w:r>
    </w:p>
    <w:p w14:paraId="6BB82F4B">
      <w:pPr>
        <w:spacing w:line="440" w:lineRule="exact"/>
        <w:ind w:left="424" w:leftChars="202"/>
        <w:rPr>
          <w:rFonts w:asciiTheme="minorEastAsia" w:hAnsiTheme="minorEastAsia" w:eastAsiaTheme="minorEastAsia" w:cstheme="minorEastAsia"/>
          <w:spacing w:val="4"/>
          <w:szCs w:val="30"/>
          <w:highlight w:val="none"/>
        </w:rPr>
      </w:pPr>
      <w:r>
        <w:rPr>
          <w:rFonts w:hint="eastAsia" w:asciiTheme="minorEastAsia" w:hAnsiTheme="minorEastAsia" w:eastAsiaTheme="minorEastAsia" w:cstheme="minorEastAsia"/>
          <w:spacing w:val="4"/>
          <w:szCs w:val="30"/>
          <w:highlight w:val="none"/>
        </w:rPr>
        <w:t>日   期：</w:t>
      </w:r>
    </w:p>
    <w:p w14:paraId="09DD028A">
      <w:pPr>
        <w:ind w:firstLine="422" w:firstLineChars="200"/>
        <w:rPr>
          <w:rFonts w:asciiTheme="minorEastAsia" w:hAnsiTheme="minorEastAsia" w:eastAsiaTheme="minorEastAsia" w:cstheme="minorEastAsia"/>
          <w:b/>
          <w:bCs/>
          <w:highlight w:val="none"/>
          <w:lang w:val="zh-CN"/>
        </w:rPr>
      </w:pPr>
    </w:p>
    <w:p w14:paraId="45FE99AE">
      <w:pPr>
        <w:ind w:firstLine="436" w:firstLineChars="200"/>
        <w:rPr>
          <w:rFonts w:asciiTheme="minorEastAsia" w:hAnsiTheme="minorEastAsia" w:eastAsiaTheme="minorEastAsia" w:cstheme="minorEastAsia"/>
          <w:highlight w:val="none"/>
        </w:rPr>
      </w:pPr>
      <w:bookmarkStart w:id="149" w:name="_Toc25905"/>
      <w:r>
        <w:rPr>
          <w:rFonts w:hint="eastAsia" w:asciiTheme="minorEastAsia" w:hAnsiTheme="minorEastAsia" w:eastAsiaTheme="minorEastAsia" w:cstheme="minorEastAsia"/>
          <w:spacing w:val="4"/>
          <w:szCs w:val="30"/>
          <w:highlight w:val="none"/>
        </w:rPr>
        <w:br w:type="page"/>
      </w:r>
      <w:bookmarkEnd w:id="149"/>
    </w:p>
    <w:p w14:paraId="0B595444">
      <w:pPr>
        <w:widowControl/>
        <w:spacing w:line="360" w:lineRule="auto"/>
        <w:ind w:left="1" w:firstLine="281" w:firstLineChars="100"/>
        <w:rPr>
          <w:rFonts w:ascii="宋体" w:hAnsi="宋体" w:cs="宋体"/>
          <w:b/>
          <w:kern w:val="0"/>
          <w:sz w:val="28"/>
          <w:szCs w:val="28"/>
          <w:highlight w:val="none"/>
        </w:rPr>
      </w:pPr>
    </w:p>
    <w:p w14:paraId="5EA473B6">
      <w:pPr>
        <w:widowControl/>
        <w:spacing w:line="360" w:lineRule="auto"/>
        <w:ind w:left="1" w:firstLine="241" w:firstLineChars="100"/>
        <w:jc w:val="center"/>
        <w:rPr>
          <w:rFonts w:hint="eastAsia" w:ascii="宋体" w:hAnsi="宋体" w:cs="宋体"/>
          <w:b/>
          <w:kern w:val="0"/>
          <w:sz w:val="24"/>
          <w:szCs w:val="24"/>
          <w:highlight w:val="none"/>
        </w:rPr>
      </w:pPr>
    </w:p>
    <w:p w14:paraId="3E7A5A64">
      <w:pPr>
        <w:widowControl/>
        <w:spacing w:line="360" w:lineRule="auto"/>
        <w:ind w:left="1" w:firstLine="241" w:firstLineChars="100"/>
        <w:jc w:val="center"/>
        <w:rPr>
          <w:rFonts w:ascii="宋体" w:hAnsi="宋体" w:cs="宋体"/>
          <w:b/>
          <w:kern w:val="0"/>
          <w:sz w:val="24"/>
          <w:szCs w:val="24"/>
          <w:highlight w:val="none"/>
        </w:rPr>
      </w:pPr>
      <w:r>
        <w:rPr>
          <w:rFonts w:hint="eastAsia" w:ascii="宋体" w:hAnsi="宋体" w:cs="宋体"/>
          <w:b/>
          <w:kern w:val="0"/>
          <w:sz w:val="24"/>
          <w:szCs w:val="24"/>
          <w:highlight w:val="none"/>
        </w:rPr>
        <w:t>参加政府采购活动前3年内在经营活动中没有重大违法纪录的书面声明</w:t>
      </w:r>
    </w:p>
    <w:p w14:paraId="61603FC9">
      <w:pPr>
        <w:widowControl/>
        <w:spacing w:line="360" w:lineRule="auto"/>
        <w:ind w:left="1"/>
        <w:jc w:val="center"/>
        <w:rPr>
          <w:rFonts w:ascii="宋体" w:hAnsi="宋体" w:cs="宋体"/>
          <w:b/>
          <w:kern w:val="0"/>
          <w:sz w:val="28"/>
          <w:szCs w:val="28"/>
          <w:highlight w:val="none"/>
        </w:rPr>
      </w:pPr>
      <w:r>
        <w:rPr>
          <w:rFonts w:hint="eastAsia" w:ascii="宋体" w:hAnsi="宋体" w:cs="宋体"/>
          <w:b/>
          <w:kern w:val="0"/>
          <w:sz w:val="28"/>
          <w:szCs w:val="28"/>
          <w:highlight w:val="none"/>
        </w:rPr>
        <w:t>（格式）</w:t>
      </w:r>
    </w:p>
    <w:p w14:paraId="314FDC2E">
      <w:pPr>
        <w:pStyle w:val="25"/>
        <w:wordWrap w:val="0"/>
        <w:spacing w:line="560" w:lineRule="exact"/>
        <w:rPr>
          <w:rFonts w:hint="eastAsia" w:ascii="宋体" w:hAnsi="宋体" w:cs="宋体"/>
          <w:color w:val="auto"/>
          <w:highlight w:val="none"/>
          <w:u w:val="single"/>
          <w:shd w:val="clear" w:color="auto" w:fill="FFFFFF"/>
        </w:rPr>
      </w:pPr>
    </w:p>
    <w:p w14:paraId="672B229C">
      <w:pPr>
        <w:pStyle w:val="25"/>
        <w:wordWrap w:val="0"/>
        <w:spacing w:line="560" w:lineRule="exact"/>
        <w:rPr>
          <w:rFonts w:ascii="宋体" w:hAnsi="宋体" w:cs="宋体"/>
          <w:color w:val="auto"/>
          <w:highlight w:val="none"/>
          <w:u w:val="single"/>
          <w:shd w:val="clear" w:color="auto" w:fill="FFFFFF"/>
        </w:rPr>
      </w:pPr>
      <w:r>
        <w:rPr>
          <w:rFonts w:hint="eastAsia" w:ascii="宋体" w:hAnsi="宋体" w:cs="宋体"/>
          <w:color w:val="auto"/>
          <w:highlight w:val="none"/>
          <w:u w:val="single"/>
          <w:shd w:val="clear" w:color="auto" w:fill="FFFFFF"/>
        </w:rPr>
        <w:t xml:space="preserve">      （采购人）           ：</w:t>
      </w:r>
    </w:p>
    <w:p w14:paraId="0867A1B5">
      <w:pPr>
        <w:pStyle w:val="25"/>
        <w:wordWrap w:val="0"/>
        <w:spacing w:line="560" w:lineRule="exact"/>
        <w:ind w:firstLine="640"/>
        <w:rPr>
          <w:rFonts w:ascii="宋体" w:hAnsi="宋体" w:cs="宋体"/>
          <w:color w:val="auto"/>
          <w:highlight w:val="none"/>
        </w:rPr>
      </w:pPr>
      <w:r>
        <w:rPr>
          <w:rFonts w:hint="eastAsia" w:ascii="宋体" w:hAnsi="宋体" w:cs="宋体"/>
          <w:color w:val="auto"/>
          <w:highlight w:val="none"/>
          <w:shd w:val="clear" w:color="auto" w:fill="FFFFFF"/>
        </w:rPr>
        <w:t>我方作为项目名称</w:t>
      </w:r>
      <w:r>
        <w:rPr>
          <w:rFonts w:hint="eastAsia" w:ascii="宋体" w:hAnsi="宋体" w:cs="宋体"/>
          <w:color w:val="auto"/>
          <w:highlight w:val="none"/>
          <w:u w:val="single"/>
          <w:shd w:val="clear" w:color="auto" w:fill="FFFFFF"/>
        </w:rPr>
        <w:t xml:space="preserve">             </w:t>
      </w:r>
      <w:r>
        <w:rPr>
          <w:rFonts w:hint="eastAsia" w:ascii="宋体" w:hAnsi="宋体" w:cs="宋体"/>
          <w:color w:val="auto"/>
          <w:highlight w:val="none"/>
          <w:shd w:val="clear" w:color="auto" w:fill="FFFFFF"/>
        </w:rPr>
        <w:t>（项目编号</w:t>
      </w:r>
      <w:r>
        <w:rPr>
          <w:rFonts w:hint="eastAsia" w:cs="宋体"/>
          <w:color w:val="auto"/>
          <w:highlight w:val="none"/>
          <w:shd w:val="clear" w:color="auto" w:fill="FFFFFF"/>
        </w:rPr>
        <w:t>、包号</w:t>
      </w:r>
      <w:r>
        <w:rPr>
          <w:rFonts w:hint="eastAsia" w:ascii="宋体" w:hAnsi="宋体" w:cs="宋体"/>
          <w:color w:val="auto"/>
          <w:highlight w:val="none"/>
          <w:shd w:val="clear" w:color="auto" w:fill="FFFFFF"/>
        </w:rPr>
        <w:t>：</w:t>
      </w:r>
      <w:r>
        <w:rPr>
          <w:rFonts w:hint="eastAsia" w:ascii="宋体" w:hAnsi="宋体" w:cs="宋体"/>
          <w:i/>
          <w:iCs/>
          <w:color w:val="auto"/>
          <w:highlight w:val="none"/>
          <w:u w:val="single"/>
          <w:shd w:val="clear" w:color="auto" w:fill="FFFFFF"/>
        </w:rPr>
        <w:t xml:space="preserve">          </w:t>
      </w:r>
      <w:r>
        <w:rPr>
          <w:rFonts w:hint="eastAsia" w:ascii="宋体" w:hAnsi="宋体" w:cs="宋体"/>
          <w:color w:val="auto"/>
          <w:highlight w:val="none"/>
          <w:shd w:val="clear" w:color="auto" w:fill="FFFFFF"/>
        </w:rPr>
        <w:t xml:space="preserve">）的供应商，在此郑重声明： </w:t>
      </w:r>
    </w:p>
    <w:p w14:paraId="6C5E45FE">
      <w:pPr>
        <w:pStyle w:val="25"/>
        <w:wordWrap w:val="0"/>
        <w:spacing w:line="560" w:lineRule="exact"/>
        <w:ind w:firstLine="420"/>
        <w:rPr>
          <w:rFonts w:ascii="宋体" w:hAnsi="宋体" w:cs="宋体"/>
          <w:color w:val="auto"/>
          <w:highlight w:val="none"/>
        </w:rPr>
      </w:pPr>
      <w:r>
        <w:rPr>
          <w:rFonts w:hint="eastAsia" w:ascii="宋体" w:hAnsi="宋体" w:cs="宋体"/>
          <w:color w:val="auto"/>
          <w:highlight w:val="none"/>
          <w:shd w:val="clear" w:color="auto" w:fill="FFFFFF"/>
        </w:rPr>
        <w:t>在参加本次政府采购活动前3年内的经营活动中</w:t>
      </w:r>
      <w:r>
        <w:rPr>
          <w:rFonts w:hint="eastAsia" w:ascii="宋体" w:hAnsi="宋体" w:cs="宋体"/>
          <w:color w:val="auto"/>
          <w:highlight w:val="none"/>
          <w:u w:val="single"/>
          <w:shd w:val="clear" w:color="auto" w:fill="FFFFFF"/>
        </w:rPr>
        <w:t xml:space="preserve">          </w:t>
      </w:r>
      <w:r>
        <w:rPr>
          <w:rFonts w:hint="eastAsia" w:ascii="宋体" w:hAnsi="宋体" w:cs="宋体"/>
          <w:color w:val="auto"/>
          <w:highlight w:val="none"/>
          <w:shd w:val="clear" w:color="auto" w:fill="FFFFFF"/>
        </w:rPr>
        <w:t xml:space="preserve">（填“没有”或“有”）重大违法记录。供应商在参加政府采购活动前3年内因违法经营被禁止在一定期限内参加政府采购活动，期限届满的，可以参加政府采购活动，但应提供期限届满的证明材料。 </w:t>
      </w:r>
    </w:p>
    <w:p w14:paraId="17B3EDD6">
      <w:pPr>
        <w:pStyle w:val="25"/>
        <w:wordWrap w:val="0"/>
        <w:spacing w:line="560" w:lineRule="exact"/>
        <w:ind w:firstLine="420"/>
        <w:rPr>
          <w:rFonts w:ascii="宋体" w:hAnsi="宋体" w:cs="宋体"/>
          <w:color w:val="auto"/>
          <w:highlight w:val="none"/>
        </w:rPr>
      </w:pPr>
      <w:r>
        <w:rPr>
          <w:rFonts w:hint="eastAsia" w:ascii="宋体" w:hAnsi="宋体" w:cs="宋体"/>
          <w:color w:val="auto"/>
          <w:highlight w:val="none"/>
          <w:shd w:val="clear" w:color="auto" w:fill="FFFFFF"/>
        </w:rPr>
        <w:t xml:space="preserve">如有不实，我方将无条件地退出本项目的采购活动，并遵照《政府采购法》有关“提供虚假材料的规定”接受处罚。 </w:t>
      </w:r>
    </w:p>
    <w:p w14:paraId="686B6596">
      <w:pPr>
        <w:pStyle w:val="25"/>
        <w:wordWrap w:val="0"/>
        <w:spacing w:line="560" w:lineRule="exact"/>
        <w:ind w:firstLine="420"/>
        <w:rPr>
          <w:rFonts w:ascii="宋体" w:hAnsi="宋体" w:cs="宋体"/>
          <w:color w:val="auto"/>
          <w:highlight w:val="none"/>
          <w:shd w:val="clear" w:color="auto" w:fill="FFFFFF"/>
        </w:rPr>
      </w:pPr>
      <w:r>
        <w:rPr>
          <w:rFonts w:hint="eastAsia" w:ascii="宋体" w:hAnsi="宋体" w:cs="宋体"/>
          <w:color w:val="auto"/>
          <w:highlight w:val="none"/>
          <w:shd w:val="clear" w:color="auto" w:fill="FFFFFF"/>
        </w:rPr>
        <w:t>特此声明！</w:t>
      </w:r>
    </w:p>
    <w:p w14:paraId="6A4203FA">
      <w:pPr>
        <w:pStyle w:val="25"/>
        <w:wordWrap w:val="0"/>
        <w:spacing w:line="560" w:lineRule="exact"/>
        <w:ind w:firstLine="420"/>
        <w:rPr>
          <w:rFonts w:ascii="宋体" w:hAnsi="宋体" w:cs="宋体"/>
          <w:color w:val="auto"/>
          <w:highlight w:val="none"/>
          <w:shd w:val="clear" w:color="auto" w:fill="FFFFFF"/>
        </w:rPr>
      </w:pPr>
    </w:p>
    <w:p w14:paraId="11894A78">
      <w:pPr>
        <w:spacing w:line="480" w:lineRule="auto"/>
        <w:ind w:firstLine="3360" w:firstLineChars="1400"/>
        <w:rPr>
          <w:rFonts w:ascii="宋体" w:hAnsi="宋体" w:cs="宋体"/>
          <w:sz w:val="24"/>
          <w:highlight w:val="none"/>
        </w:rPr>
      </w:pPr>
      <w:r>
        <w:rPr>
          <w:rFonts w:hint="eastAsia" w:ascii="宋体" w:hAnsi="宋体" w:cs="宋体"/>
          <w:sz w:val="24"/>
          <w:highlight w:val="none"/>
        </w:rPr>
        <w:t>投标人名称：</w:t>
      </w:r>
      <w:r>
        <w:rPr>
          <w:rFonts w:hint="eastAsia" w:ascii="宋体" w:hAnsi="宋体" w:cs="宋体"/>
          <w:sz w:val="24"/>
          <w:highlight w:val="none"/>
          <w:u w:val="single"/>
        </w:rPr>
        <w:t xml:space="preserve">               </w:t>
      </w:r>
      <w:r>
        <w:rPr>
          <w:rFonts w:hint="eastAsia" w:ascii="宋体" w:hAnsi="宋体" w:cs="宋体"/>
          <w:sz w:val="24"/>
          <w:highlight w:val="none"/>
        </w:rPr>
        <w:t>（盖章）</w:t>
      </w:r>
    </w:p>
    <w:p w14:paraId="793D77D9">
      <w:pPr>
        <w:pStyle w:val="52"/>
        <w:spacing w:beforeLines="50"/>
        <w:ind w:firstLine="3360" w:firstLineChars="1400"/>
        <w:rPr>
          <w:rFonts w:ascii="宋体" w:hAnsi="宋体" w:cs="宋体"/>
          <w:sz w:val="24"/>
          <w:szCs w:val="24"/>
          <w:highlight w:val="none"/>
        </w:rPr>
      </w:pPr>
      <w:r>
        <w:rPr>
          <w:rFonts w:hint="eastAsia" w:ascii="宋体" w:hAnsi="宋体" w:cs="宋体"/>
          <w:sz w:val="24"/>
          <w:szCs w:val="24"/>
          <w:highlight w:val="none"/>
        </w:rPr>
        <w:t>日        期：</w:t>
      </w:r>
      <w:r>
        <w:rPr>
          <w:rFonts w:hint="eastAsia" w:ascii="宋体" w:hAnsi="宋体" w:cs="宋体"/>
          <w:sz w:val="24"/>
          <w:szCs w:val="24"/>
          <w:highlight w:val="none"/>
          <w:u w:val="single"/>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rPr>
        <w:t>日</w:t>
      </w:r>
    </w:p>
    <w:p w14:paraId="3284D777">
      <w:pPr>
        <w:adjustRightInd w:val="0"/>
        <w:snapToGrid w:val="0"/>
        <w:spacing w:line="360" w:lineRule="auto"/>
        <w:jc w:val="center"/>
        <w:rPr>
          <w:rFonts w:asciiTheme="minorEastAsia" w:hAnsiTheme="minorEastAsia" w:eastAsiaTheme="minorEastAsia" w:cstheme="minorEastAsia"/>
          <w:b/>
          <w:sz w:val="28"/>
          <w:szCs w:val="28"/>
          <w:highlight w:val="none"/>
        </w:rPr>
      </w:pPr>
      <w:r>
        <w:rPr>
          <w:rFonts w:hint="eastAsia" w:asciiTheme="minorEastAsia" w:hAnsiTheme="minorEastAsia" w:eastAsiaTheme="minorEastAsia" w:cstheme="minorEastAsia"/>
          <w:b/>
          <w:sz w:val="28"/>
          <w:szCs w:val="28"/>
          <w:highlight w:val="none"/>
        </w:rPr>
        <w:br w:type="page"/>
      </w:r>
    </w:p>
    <w:p w14:paraId="75B1A8C2">
      <w:pPr>
        <w:adjustRightInd w:val="0"/>
        <w:snapToGrid w:val="0"/>
        <w:spacing w:line="360" w:lineRule="auto"/>
        <w:jc w:val="center"/>
        <w:rPr>
          <w:rFonts w:asciiTheme="minorEastAsia" w:hAnsiTheme="minorEastAsia" w:eastAsiaTheme="minorEastAsia" w:cstheme="minorEastAsia"/>
          <w:b/>
          <w:sz w:val="28"/>
          <w:szCs w:val="28"/>
          <w:highlight w:val="none"/>
        </w:rPr>
      </w:pPr>
    </w:p>
    <w:p w14:paraId="04B63481">
      <w:pPr>
        <w:adjustRightInd w:val="0"/>
        <w:snapToGrid w:val="0"/>
        <w:spacing w:line="360" w:lineRule="auto"/>
        <w:jc w:val="center"/>
        <w:rPr>
          <w:rFonts w:ascii="宋体" w:hAnsi="宋体" w:cs="宋体"/>
          <w:b/>
          <w:sz w:val="28"/>
          <w:szCs w:val="28"/>
          <w:highlight w:val="none"/>
        </w:rPr>
      </w:pPr>
      <w:r>
        <w:rPr>
          <w:rFonts w:hint="eastAsia" w:ascii="宋体" w:hAnsi="宋体" w:cs="宋体"/>
          <w:b/>
          <w:sz w:val="28"/>
          <w:szCs w:val="28"/>
          <w:highlight w:val="none"/>
        </w:rPr>
        <w:t>具有履行本合同所必需的设备和专业技术能力的书面声明</w:t>
      </w:r>
    </w:p>
    <w:p w14:paraId="661FB0D3">
      <w:pPr>
        <w:widowControl/>
        <w:spacing w:line="360" w:lineRule="auto"/>
        <w:ind w:left="1"/>
        <w:jc w:val="center"/>
        <w:rPr>
          <w:rFonts w:ascii="宋体" w:hAnsi="宋体" w:cs="宋体"/>
          <w:b/>
          <w:kern w:val="0"/>
          <w:sz w:val="28"/>
          <w:szCs w:val="28"/>
          <w:highlight w:val="none"/>
        </w:rPr>
      </w:pPr>
      <w:r>
        <w:rPr>
          <w:rFonts w:hint="eastAsia" w:ascii="宋体" w:hAnsi="宋体" w:cs="宋体"/>
          <w:b/>
          <w:kern w:val="0"/>
          <w:sz w:val="28"/>
          <w:szCs w:val="28"/>
          <w:highlight w:val="none"/>
        </w:rPr>
        <w:t>（格式）</w:t>
      </w:r>
    </w:p>
    <w:p w14:paraId="1C1587AB">
      <w:pPr>
        <w:rPr>
          <w:highlight w:val="none"/>
        </w:rPr>
      </w:pPr>
    </w:p>
    <w:p w14:paraId="7D8C93C2">
      <w:pPr>
        <w:pStyle w:val="15"/>
        <w:adjustRightInd w:val="0"/>
        <w:snapToGrid w:val="0"/>
        <w:spacing w:line="720" w:lineRule="exact"/>
        <w:jc w:val="center"/>
        <w:rPr>
          <w:rFonts w:hAnsi="宋体"/>
          <w:b/>
          <w:sz w:val="28"/>
          <w:szCs w:val="28"/>
          <w:highlight w:val="none"/>
        </w:rPr>
      </w:pPr>
    </w:p>
    <w:p w14:paraId="6964F429">
      <w:pPr>
        <w:spacing w:line="720" w:lineRule="exact"/>
        <w:rPr>
          <w:rFonts w:ascii="宋体" w:hAnsi="宋体" w:cs="宋体"/>
          <w:spacing w:val="4"/>
          <w:sz w:val="24"/>
          <w:highlight w:val="none"/>
          <w:u w:val="single"/>
        </w:rPr>
      </w:pPr>
      <w:r>
        <w:rPr>
          <w:rFonts w:hint="eastAsia" w:ascii="宋体" w:hAnsi="宋体" w:cs="宋体"/>
          <w:spacing w:val="4"/>
          <w:sz w:val="24"/>
          <w:highlight w:val="none"/>
          <w:u w:val="single"/>
        </w:rPr>
        <w:t xml:space="preserve">     （采购人名称）    ：</w:t>
      </w:r>
    </w:p>
    <w:p w14:paraId="1E2237C6">
      <w:pPr>
        <w:pStyle w:val="15"/>
        <w:adjustRightInd w:val="0"/>
        <w:snapToGrid w:val="0"/>
        <w:spacing w:line="720" w:lineRule="exact"/>
        <w:rPr>
          <w:rFonts w:hAnsi="宋体"/>
          <w:spacing w:val="4"/>
          <w:sz w:val="24"/>
          <w:szCs w:val="24"/>
          <w:highlight w:val="none"/>
        </w:rPr>
      </w:pPr>
      <w:r>
        <w:rPr>
          <w:rFonts w:hint="eastAsia" w:hAnsi="宋体"/>
          <w:spacing w:val="4"/>
          <w:sz w:val="24"/>
          <w:szCs w:val="24"/>
          <w:highlight w:val="none"/>
        </w:rPr>
        <w:t xml:space="preserve">   </w:t>
      </w:r>
      <w:r>
        <w:rPr>
          <w:rFonts w:hint="eastAsia" w:hAnsi="宋体"/>
          <w:spacing w:val="4"/>
          <w:sz w:val="24"/>
          <w:szCs w:val="24"/>
          <w:highlight w:val="none"/>
          <w:u w:val="single"/>
        </w:rPr>
        <w:t xml:space="preserve">      （供应商名称）    </w:t>
      </w:r>
      <w:r>
        <w:rPr>
          <w:rFonts w:hint="eastAsia" w:hAnsi="宋体"/>
          <w:spacing w:val="4"/>
          <w:sz w:val="24"/>
          <w:szCs w:val="24"/>
          <w:highlight w:val="none"/>
        </w:rPr>
        <w:t xml:space="preserve"> 于</w:t>
      </w:r>
      <w:r>
        <w:rPr>
          <w:rFonts w:hint="eastAsia" w:hAnsi="宋体"/>
          <w:spacing w:val="4"/>
          <w:sz w:val="24"/>
          <w:szCs w:val="24"/>
          <w:highlight w:val="none"/>
          <w:u w:val="single"/>
        </w:rPr>
        <w:t xml:space="preserve">     </w:t>
      </w:r>
      <w:r>
        <w:rPr>
          <w:rFonts w:hint="eastAsia" w:hAnsi="宋体"/>
          <w:spacing w:val="4"/>
          <w:sz w:val="24"/>
          <w:szCs w:val="24"/>
          <w:highlight w:val="none"/>
        </w:rPr>
        <w:t>年</w:t>
      </w:r>
      <w:r>
        <w:rPr>
          <w:rFonts w:hint="eastAsia" w:hAnsi="宋体"/>
          <w:spacing w:val="4"/>
          <w:sz w:val="24"/>
          <w:szCs w:val="24"/>
          <w:highlight w:val="none"/>
          <w:u w:val="single"/>
        </w:rPr>
        <w:t xml:space="preserve">    </w:t>
      </w:r>
      <w:r>
        <w:rPr>
          <w:rFonts w:hint="eastAsia" w:hAnsi="宋体"/>
          <w:spacing w:val="4"/>
          <w:sz w:val="24"/>
          <w:szCs w:val="24"/>
          <w:highlight w:val="none"/>
        </w:rPr>
        <w:t>月</w:t>
      </w:r>
      <w:r>
        <w:rPr>
          <w:rFonts w:hint="eastAsia" w:hAnsi="宋体"/>
          <w:spacing w:val="4"/>
          <w:sz w:val="24"/>
          <w:szCs w:val="24"/>
          <w:highlight w:val="none"/>
          <w:u w:val="single"/>
        </w:rPr>
        <w:t xml:space="preserve">   </w:t>
      </w:r>
      <w:r>
        <w:rPr>
          <w:rFonts w:hint="eastAsia" w:hAnsi="宋体"/>
          <w:spacing w:val="4"/>
          <w:sz w:val="24"/>
          <w:szCs w:val="24"/>
          <w:highlight w:val="none"/>
        </w:rPr>
        <w:t>日在中华人民共和国境内</w:t>
      </w:r>
      <w:r>
        <w:rPr>
          <w:rFonts w:hint="eastAsia" w:hAnsi="宋体"/>
          <w:spacing w:val="4"/>
          <w:sz w:val="24"/>
          <w:szCs w:val="24"/>
          <w:highlight w:val="none"/>
          <w:u w:val="single"/>
        </w:rPr>
        <w:t xml:space="preserve">               （详细注册地址）     </w:t>
      </w:r>
      <w:r>
        <w:rPr>
          <w:rFonts w:hint="eastAsia" w:hAnsi="宋体"/>
          <w:spacing w:val="4"/>
          <w:sz w:val="24"/>
          <w:szCs w:val="24"/>
          <w:highlight w:val="none"/>
        </w:rPr>
        <w:t>合法注册并经营，公司主营业务为</w:t>
      </w:r>
      <w:r>
        <w:rPr>
          <w:rFonts w:hint="eastAsia" w:hAnsi="宋体"/>
          <w:spacing w:val="4"/>
          <w:sz w:val="24"/>
          <w:szCs w:val="24"/>
          <w:highlight w:val="none"/>
          <w:u w:val="single"/>
        </w:rPr>
        <w:t xml:space="preserve">                        </w:t>
      </w:r>
      <w:r>
        <w:rPr>
          <w:rFonts w:hint="eastAsia" w:hAnsi="宋体"/>
          <w:spacing w:val="4"/>
          <w:sz w:val="24"/>
          <w:szCs w:val="24"/>
          <w:highlight w:val="none"/>
        </w:rPr>
        <w:t>。</w:t>
      </w:r>
    </w:p>
    <w:p w14:paraId="14A16649">
      <w:pPr>
        <w:pStyle w:val="15"/>
        <w:adjustRightInd w:val="0"/>
        <w:snapToGrid w:val="0"/>
        <w:spacing w:line="720" w:lineRule="exact"/>
        <w:ind w:firstLine="550" w:firstLineChars="222"/>
        <w:rPr>
          <w:rFonts w:hAnsi="宋体"/>
          <w:spacing w:val="4"/>
          <w:sz w:val="24"/>
          <w:szCs w:val="24"/>
          <w:highlight w:val="none"/>
        </w:rPr>
      </w:pPr>
      <w:r>
        <w:rPr>
          <w:rFonts w:hint="eastAsia" w:hAnsi="宋体"/>
          <w:spacing w:val="4"/>
          <w:sz w:val="24"/>
          <w:szCs w:val="24"/>
          <w:highlight w:val="none"/>
        </w:rPr>
        <w:t>我公司郑重承诺，我公司具有履行本合同所必需的设备和专业技术能力，合同履约中将无条件增加相关设备、人员，直至满足项目需求。</w:t>
      </w:r>
    </w:p>
    <w:p w14:paraId="4F90ADBC">
      <w:pPr>
        <w:pStyle w:val="15"/>
        <w:adjustRightInd w:val="0"/>
        <w:snapToGrid w:val="0"/>
        <w:spacing w:line="720" w:lineRule="exact"/>
        <w:rPr>
          <w:rFonts w:hAnsi="宋体"/>
          <w:spacing w:val="4"/>
          <w:sz w:val="24"/>
          <w:szCs w:val="24"/>
          <w:highlight w:val="none"/>
        </w:rPr>
      </w:pPr>
    </w:p>
    <w:p w14:paraId="05DA5705">
      <w:pPr>
        <w:pStyle w:val="15"/>
        <w:adjustRightInd w:val="0"/>
        <w:snapToGrid w:val="0"/>
        <w:spacing w:line="720" w:lineRule="exact"/>
        <w:rPr>
          <w:rFonts w:hAnsi="宋体"/>
          <w:spacing w:val="4"/>
          <w:sz w:val="24"/>
          <w:szCs w:val="24"/>
          <w:highlight w:val="none"/>
        </w:rPr>
      </w:pPr>
    </w:p>
    <w:p w14:paraId="6A4BCE50">
      <w:pPr>
        <w:pStyle w:val="15"/>
        <w:adjustRightInd w:val="0"/>
        <w:snapToGrid w:val="0"/>
        <w:spacing w:line="720" w:lineRule="exact"/>
        <w:rPr>
          <w:rFonts w:hAnsi="宋体"/>
          <w:spacing w:val="4"/>
          <w:sz w:val="24"/>
          <w:szCs w:val="24"/>
          <w:highlight w:val="none"/>
        </w:rPr>
      </w:pPr>
    </w:p>
    <w:p w14:paraId="1675D45C">
      <w:pPr>
        <w:spacing w:line="480" w:lineRule="auto"/>
        <w:ind w:firstLine="3360" w:firstLineChars="1400"/>
        <w:rPr>
          <w:rFonts w:ascii="宋体" w:hAnsi="宋体" w:cs="宋体"/>
          <w:sz w:val="24"/>
          <w:highlight w:val="none"/>
        </w:rPr>
      </w:pPr>
      <w:r>
        <w:rPr>
          <w:rFonts w:hint="eastAsia" w:ascii="宋体" w:hAnsi="宋体" w:cs="宋体"/>
          <w:sz w:val="24"/>
          <w:highlight w:val="none"/>
        </w:rPr>
        <w:t>供应商名称：</w:t>
      </w:r>
      <w:r>
        <w:rPr>
          <w:rFonts w:hint="eastAsia" w:ascii="宋体" w:hAnsi="宋体" w:cs="宋体"/>
          <w:sz w:val="24"/>
          <w:highlight w:val="none"/>
          <w:u w:val="single"/>
        </w:rPr>
        <w:t xml:space="preserve">               </w:t>
      </w:r>
      <w:r>
        <w:rPr>
          <w:rFonts w:hint="eastAsia" w:ascii="宋体" w:hAnsi="宋体" w:cs="宋体"/>
          <w:sz w:val="24"/>
          <w:highlight w:val="none"/>
        </w:rPr>
        <w:t>（盖章）</w:t>
      </w:r>
    </w:p>
    <w:p w14:paraId="1D7511FA">
      <w:pPr>
        <w:pStyle w:val="52"/>
        <w:spacing w:beforeLines="50"/>
        <w:ind w:firstLine="3360" w:firstLineChars="1400"/>
        <w:rPr>
          <w:rFonts w:ascii="宋体" w:hAnsi="宋体" w:cs="宋体"/>
          <w:sz w:val="24"/>
          <w:szCs w:val="24"/>
          <w:highlight w:val="none"/>
        </w:rPr>
      </w:pPr>
      <w:r>
        <w:rPr>
          <w:rFonts w:hint="eastAsia" w:ascii="宋体" w:hAnsi="宋体" w:cs="宋体"/>
          <w:sz w:val="24"/>
          <w:szCs w:val="24"/>
          <w:highlight w:val="none"/>
        </w:rPr>
        <w:t>日        期：</w:t>
      </w:r>
      <w:r>
        <w:rPr>
          <w:rFonts w:hint="eastAsia" w:ascii="宋体" w:hAnsi="宋体" w:cs="宋体"/>
          <w:sz w:val="24"/>
          <w:szCs w:val="24"/>
          <w:highlight w:val="none"/>
          <w:u w:val="single"/>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rPr>
        <w:t>日</w:t>
      </w:r>
    </w:p>
    <w:p w14:paraId="56DF11D0">
      <w:pPr>
        <w:rPr>
          <w:rFonts w:asciiTheme="minorEastAsia" w:hAnsiTheme="minorEastAsia" w:eastAsiaTheme="minorEastAsia" w:cstheme="minorEastAsia"/>
          <w:b/>
          <w:sz w:val="28"/>
          <w:szCs w:val="28"/>
          <w:highlight w:val="none"/>
        </w:rPr>
      </w:pPr>
    </w:p>
    <w:p w14:paraId="1A8EBE8E">
      <w:pPr>
        <w:rPr>
          <w:rFonts w:asciiTheme="minorEastAsia" w:hAnsiTheme="minorEastAsia" w:eastAsiaTheme="minorEastAsia" w:cstheme="minorEastAsia"/>
          <w:b/>
          <w:sz w:val="28"/>
          <w:szCs w:val="28"/>
          <w:highlight w:val="none"/>
        </w:rPr>
      </w:pPr>
      <w:r>
        <w:rPr>
          <w:rFonts w:hint="eastAsia" w:asciiTheme="minorEastAsia" w:hAnsiTheme="minorEastAsia" w:eastAsiaTheme="minorEastAsia" w:cstheme="minorEastAsia"/>
          <w:b/>
          <w:sz w:val="28"/>
          <w:szCs w:val="28"/>
          <w:highlight w:val="none"/>
        </w:rPr>
        <w:br w:type="page"/>
      </w:r>
    </w:p>
    <w:p w14:paraId="652BECFE">
      <w:pPr>
        <w:rPr>
          <w:highlight w:val="none"/>
        </w:rPr>
      </w:pPr>
    </w:p>
    <w:p w14:paraId="2BE4367A">
      <w:pPr>
        <w:rPr>
          <w:rFonts w:asciiTheme="minorEastAsia" w:hAnsiTheme="minorEastAsia" w:eastAsiaTheme="minorEastAsia" w:cstheme="minorEastAsia"/>
          <w:b/>
          <w:sz w:val="28"/>
          <w:szCs w:val="28"/>
          <w:highlight w:val="none"/>
        </w:rPr>
      </w:pPr>
      <w:r>
        <w:rPr>
          <w:rFonts w:hint="eastAsia" w:asciiTheme="minorEastAsia" w:hAnsiTheme="minorEastAsia" w:eastAsiaTheme="minorEastAsia" w:cstheme="minorEastAsia"/>
          <w:b/>
          <w:sz w:val="28"/>
          <w:szCs w:val="28"/>
          <w:highlight w:val="none"/>
        </w:rPr>
        <w:t>附件2：</w:t>
      </w:r>
    </w:p>
    <w:p w14:paraId="0EE8415B">
      <w:pPr>
        <w:spacing w:beforeLines="50" w:afterLines="50" w:line="360" w:lineRule="auto"/>
        <w:jc w:val="center"/>
        <w:rPr>
          <w:rFonts w:hAnsi="宋体" w:cs="宋体"/>
          <w:szCs w:val="24"/>
          <w:highlight w:val="none"/>
        </w:rPr>
      </w:pPr>
      <w:r>
        <w:rPr>
          <w:rFonts w:hint="eastAsia" w:hAnsi="宋体" w:cs="宋体"/>
          <w:b/>
          <w:sz w:val="28"/>
          <w:szCs w:val="28"/>
          <w:highlight w:val="none"/>
        </w:rPr>
        <w:t>中小企业声明函</w:t>
      </w:r>
    </w:p>
    <w:p w14:paraId="495EDCEC">
      <w:pPr>
        <w:tabs>
          <w:tab w:val="left" w:pos="1620"/>
          <w:tab w:val="left" w:pos="1800"/>
        </w:tabs>
        <w:spacing w:line="500" w:lineRule="exact"/>
        <w:ind w:firstLine="480" w:firstLineChars="200"/>
        <w:rPr>
          <w:rFonts w:ascii="宋体" w:hAnsi="宋体" w:cs="宋体"/>
          <w:sz w:val="24"/>
          <w:szCs w:val="24"/>
          <w:highlight w:val="none"/>
        </w:rPr>
      </w:pPr>
      <w:r>
        <w:rPr>
          <w:rFonts w:hint="eastAsia" w:ascii="宋体" w:hAnsi="宋体" w:cs="宋体"/>
          <w:sz w:val="24"/>
          <w:szCs w:val="24"/>
          <w:highlight w:val="none"/>
        </w:rPr>
        <w:t>本公司郑重声明，根据《政府采购促进中小企业发展管理办法》（财库﹝2020﹞46 号）的规定，本公司参加</w:t>
      </w:r>
      <w:r>
        <w:rPr>
          <w:rFonts w:hint="eastAsia" w:ascii="宋体" w:hAnsi="宋体" w:cs="宋体"/>
          <w:sz w:val="24"/>
          <w:szCs w:val="24"/>
          <w:highlight w:val="none"/>
          <w:u w:val="single"/>
        </w:rPr>
        <w:t>（）</w:t>
      </w:r>
      <w:r>
        <w:rPr>
          <w:rFonts w:hint="eastAsia" w:ascii="宋体" w:hAnsi="宋体" w:cs="宋体"/>
          <w:sz w:val="24"/>
          <w:szCs w:val="24"/>
          <w:highlight w:val="none"/>
        </w:rPr>
        <w:t>的</w:t>
      </w:r>
      <w:r>
        <w:rPr>
          <w:rFonts w:hint="eastAsia" w:ascii="宋体" w:hAnsi="宋体" w:cs="宋体"/>
          <w:sz w:val="24"/>
          <w:szCs w:val="24"/>
          <w:highlight w:val="none"/>
          <w:u w:val="single"/>
        </w:rPr>
        <w:t>（项目名称）</w:t>
      </w:r>
      <w:r>
        <w:rPr>
          <w:rFonts w:hint="eastAsia" w:ascii="宋体" w:hAnsi="宋体" w:cs="宋体"/>
          <w:sz w:val="24"/>
          <w:szCs w:val="24"/>
          <w:highlight w:val="none"/>
        </w:rPr>
        <w:t>采购活动，工程的施工单位全部为符合政策要求的中小企业（或者：服务全部由符合政策要求的中小企业承接）。相关企业的具体情况如下：</w:t>
      </w:r>
    </w:p>
    <w:p w14:paraId="33D7FAC8">
      <w:pPr>
        <w:tabs>
          <w:tab w:val="left" w:pos="1620"/>
          <w:tab w:val="left" w:pos="1800"/>
        </w:tabs>
        <w:spacing w:line="500" w:lineRule="exact"/>
        <w:ind w:firstLine="480" w:firstLineChars="200"/>
        <w:rPr>
          <w:rFonts w:ascii="宋体" w:hAnsi="宋体" w:cs="宋体"/>
          <w:sz w:val="24"/>
          <w:szCs w:val="24"/>
          <w:highlight w:val="none"/>
        </w:rPr>
      </w:pPr>
      <w:r>
        <w:rPr>
          <w:rFonts w:hint="eastAsia" w:ascii="宋体" w:hAnsi="宋体" w:cs="宋体"/>
          <w:sz w:val="24"/>
          <w:szCs w:val="24"/>
          <w:highlight w:val="none"/>
        </w:rPr>
        <w:t>1.</w:t>
      </w:r>
      <w:r>
        <w:rPr>
          <w:rFonts w:hint="eastAsia" w:ascii="宋体" w:hAnsi="宋体" w:cs="宋体"/>
          <w:sz w:val="24"/>
          <w:szCs w:val="24"/>
          <w:highlight w:val="none"/>
          <w:u w:val="single"/>
        </w:rPr>
        <w:t>（标的名称）</w:t>
      </w:r>
      <w:r>
        <w:rPr>
          <w:rFonts w:hint="eastAsia" w:ascii="宋体" w:hAnsi="宋体" w:cs="宋体"/>
          <w:sz w:val="24"/>
          <w:szCs w:val="24"/>
          <w:highlight w:val="none"/>
        </w:rPr>
        <w:t>，属于</w:t>
      </w:r>
      <w:r>
        <w:rPr>
          <w:rFonts w:hint="eastAsia" w:ascii="宋体" w:hAnsi="宋体" w:cs="宋体"/>
          <w:sz w:val="24"/>
          <w:szCs w:val="24"/>
          <w:highlight w:val="none"/>
          <w:u w:val="single"/>
        </w:rPr>
        <w:t>（采购文件中明确的所属行业）</w:t>
      </w:r>
      <w:r>
        <w:rPr>
          <w:rFonts w:hint="eastAsia" w:ascii="宋体" w:hAnsi="宋体" w:cs="宋体"/>
          <w:sz w:val="24"/>
          <w:szCs w:val="24"/>
          <w:highlight w:val="none"/>
        </w:rPr>
        <w:t>；承建（承接）企业为</w:t>
      </w:r>
      <w:r>
        <w:rPr>
          <w:rFonts w:hint="eastAsia" w:ascii="宋体" w:hAnsi="宋体" w:cs="宋体"/>
          <w:sz w:val="24"/>
          <w:szCs w:val="24"/>
          <w:highlight w:val="none"/>
          <w:u w:val="single"/>
        </w:rPr>
        <w:t>（企业名称）</w:t>
      </w:r>
      <w:r>
        <w:rPr>
          <w:rFonts w:hint="eastAsia" w:ascii="宋体" w:hAnsi="宋体" w:cs="宋体"/>
          <w:sz w:val="24"/>
          <w:szCs w:val="24"/>
          <w:highlight w:val="none"/>
        </w:rPr>
        <w:t>，从业人员</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rPr>
        <w:tab/>
      </w:r>
      <w:r>
        <w:rPr>
          <w:rFonts w:hint="eastAsia" w:ascii="宋体" w:hAnsi="宋体" w:cs="宋体"/>
          <w:sz w:val="24"/>
          <w:szCs w:val="24"/>
          <w:highlight w:val="none"/>
        </w:rPr>
        <w:t>人，营业收入</w:t>
      </w:r>
      <w:r>
        <w:rPr>
          <w:rFonts w:hint="eastAsia" w:ascii="宋体" w:hAnsi="宋体" w:cs="宋体"/>
          <w:sz w:val="24"/>
          <w:szCs w:val="24"/>
          <w:highlight w:val="none"/>
          <w:u w:val="single"/>
        </w:rPr>
        <w:t xml:space="preserve">为 </w:t>
      </w:r>
      <w:r>
        <w:rPr>
          <w:rFonts w:hint="eastAsia" w:ascii="宋体" w:hAnsi="宋体" w:cs="宋体"/>
          <w:sz w:val="24"/>
          <w:szCs w:val="24"/>
          <w:highlight w:val="none"/>
          <w:u w:val="single"/>
        </w:rPr>
        <w:tab/>
      </w:r>
      <w:r>
        <w:rPr>
          <w:rFonts w:hint="eastAsia" w:ascii="宋体" w:hAnsi="宋体" w:cs="宋体"/>
          <w:sz w:val="24"/>
          <w:szCs w:val="24"/>
          <w:highlight w:val="none"/>
        </w:rPr>
        <w:t>万元，资产总额为</w:t>
      </w:r>
      <w:r>
        <w:rPr>
          <w:rFonts w:hint="eastAsia" w:ascii="宋体" w:hAnsi="宋体" w:cs="宋体"/>
          <w:sz w:val="24"/>
          <w:szCs w:val="24"/>
          <w:highlight w:val="none"/>
          <w:u w:val="single"/>
        </w:rPr>
        <w:t xml:space="preserve">      </w:t>
      </w:r>
      <w:r>
        <w:rPr>
          <w:rFonts w:hint="eastAsia" w:ascii="宋体" w:hAnsi="宋体" w:cs="宋体"/>
          <w:sz w:val="24"/>
          <w:szCs w:val="24"/>
          <w:highlight w:val="none"/>
        </w:rPr>
        <w:t>万元，属于</w:t>
      </w:r>
      <w:r>
        <w:rPr>
          <w:rFonts w:hint="eastAsia" w:ascii="宋体" w:hAnsi="宋体" w:cs="宋体"/>
          <w:sz w:val="24"/>
          <w:szCs w:val="24"/>
          <w:highlight w:val="none"/>
          <w:u w:val="single"/>
        </w:rPr>
        <w:t>（中型企业、小型企业、微型企业）</w:t>
      </w:r>
      <w:r>
        <w:rPr>
          <w:rFonts w:hint="eastAsia" w:ascii="宋体" w:hAnsi="宋体" w:cs="宋体"/>
          <w:sz w:val="24"/>
          <w:szCs w:val="24"/>
          <w:highlight w:val="none"/>
        </w:rPr>
        <w:t>；</w:t>
      </w:r>
    </w:p>
    <w:p w14:paraId="3C1C0B7E">
      <w:pPr>
        <w:tabs>
          <w:tab w:val="left" w:pos="1620"/>
          <w:tab w:val="left" w:pos="1800"/>
        </w:tabs>
        <w:spacing w:line="500" w:lineRule="exact"/>
        <w:ind w:firstLine="480" w:firstLineChars="200"/>
        <w:rPr>
          <w:rFonts w:ascii="宋体" w:hAnsi="宋体" w:cs="宋体"/>
          <w:sz w:val="24"/>
          <w:szCs w:val="24"/>
          <w:highlight w:val="none"/>
        </w:rPr>
      </w:pPr>
      <w:r>
        <w:rPr>
          <w:rFonts w:hint="eastAsia" w:ascii="宋体" w:hAnsi="宋体" w:cs="宋体"/>
          <w:sz w:val="24"/>
          <w:szCs w:val="24"/>
          <w:highlight w:val="none"/>
        </w:rPr>
        <w:t>2.</w:t>
      </w:r>
      <w:r>
        <w:rPr>
          <w:rFonts w:hint="eastAsia" w:ascii="宋体" w:hAnsi="宋体" w:cs="宋体"/>
          <w:sz w:val="24"/>
          <w:szCs w:val="24"/>
          <w:highlight w:val="none"/>
          <w:u w:val="single"/>
        </w:rPr>
        <w:t>（标的名称）</w:t>
      </w:r>
      <w:r>
        <w:rPr>
          <w:rFonts w:hint="eastAsia" w:ascii="宋体" w:hAnsi="宋体" w:cs="宋体"/>
          <w:sz w:val="24"/>
          <w:szCs w:val="24"/>
          <w:highlight w:val="none"/>
        </w:rPr>
        <w:t>，属于</w:t>
      </w:r>
      <w:r>
        <w:rPr>
          <w:rFonts w:hint="eastAsia" w:ascii="宋体" w:hAnsi="宋体" w:cs="宋体"/>
          <w:sz w:val="24"/>
          <w:szCs w:val="24"/>
          <w:highlight w:val="none"/>
          <w:u w:val="single"/>
        </w:rPr>
        <w:t>（采购文件中明确的所属行业</w:t>
      </w:r>
      <w:r>
        <w:rPr>
          <w:rFonts w:hint="eastAsia" w:ascii="宋体" w:hAnsi="宋体" w:cs="宋体"/>
          <w:sz w:val="24"/>
          <w:szCs w:val="24"/>
          <w:highlight w:val="none"/>
        </w:rPr>
        <w:t>）；承建（承接）企业为</w:t>
      </w:r>
      <w:r>
        <w:rPr>
          <w:rFonts w:hint="eastAsia" w:ascii="宋体" w:hAnsi="宋体" w:cs="宋体"/>
          <w:sz w:val="24"/>
          <w:szCs w:val="24"/>
          <w:highlight w:val="none"/>
          <w:u w:val="single"/>
        </w:rPr>
        <w:t>（企业名称）</w:t>
      </w:r>
      <w:r>
        <w:rPr>
          <w:rFonts w:hint="eastAsia" w:ascii="宋体" w:hAnsi="宋体" w:cs="宋体"/>
          <w:sz w:val="24"/>
          <w:szCs w:val="24"/>
          <w:highlight w:val="none"/>
        </w:rPr>
        <w:t>，从业人员</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rPr>
        <w:tab/>
      </w:r>
      <w:r>
        <w:rPr>
          <w:rFonts w:hint="eastAsia" w:ascii="宋体" w:hAnsi="宋体" w:cs="宋体"/>
          <w:sz w:val="24"/>
          <w:szCs w:val="24"/>
          <w:highlight w:val="none"/>
        </w:rPr>
        <w:t>人，营业收入为</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rPr>
        <w:tab/>
      </w:r>
      <w:r>
        <w:rPr>
          <w:rFonts w:hint="eastAsia" w:ascii="宋体" w:hAnsi="宋体" w:cs="宋体"/>
          <w:sz w:val="24"/>
          <w:szCs w:val="24"/>
          <w:highlight w:val="none"/>
        </w:rPr>
        <w:t>万元，资产总额为</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rPr>
        <w:tab/>
      </w:r>
      <w:r>
        <w:rPr>
          <w:rFonts w:hint="eastAsia" w:ascii="宋体" w:hAnsi="宋体" w:cs="宋体"/>
          <w:sz w:val="24"/>
          <w:szCs w:val="24"/>
          <w:highlight w:val="none"/>
          <w:u w:val="single"/>
        </w:rPr>
        <w:t xml:space="preserve">   </w:t>
      </w:r>
      <w:r>
        <w:rPr>
          <w:rFonts w:hint="eastAsia" w:ascii="宋体" w:hAnsi="宋体" w:cs="宋体"/>
          <w:sz w:val="24"/>
          <w:szCs w:val="24"/>
          <w:highlight w:val="none"/>
        </w:rPr>
        <w:t>万元，属于</w:t>
      </w:r>
      <w:r>
        <w:rPr>
          <w:rFonts w:hint="eastAsia" w:ascii="宋体" w:hAnsi="宋体" w:cs="宋体"/>
          <w:sz w:val="24"/>
          <w:szCs w:val="24"/>
          <w:highlight w:val="none"/>
          <w:u w:val="single"/>
        </w:rPr>
        <w:t>（中型企业、小型企业、微型企业）</w:t>
      </w:r>
      <w:r>
        <w:rPr>
          <w:rFonts w:hint="eastAsia" w:ascii="宋体" w:hAnsi="宋体" w:cs="宋体"/>
          <w:sz w:val="24"/>
          <w:szCs w:val="24"/>
          <w:highlight w:val="none"/>
        </w:rPr>
        <w:t>；</w:t>
      </w:r>
    </w:p>
    <w:p w14:paraId="431EC09F">
      <w:pPr>
        <w:tabs>
          <w:tab w:val="left" w:pos="1620"/>
          <w:tab w:val="left" w:pos="1800"/>
        </w:tabs>
        <w:spacing w:line="500" w:lineRule="exact"/>
        <w:rPr>
          <w:rFonts w:ascii="宋体" w:hAnsi="宋体" w:cs="宋体"/>
          <w:sz w:val="24"/>
          <w:szCs w:val="24"/>
          <w:highlight w:val="none"/>
        </w:rPr>
      </w:pPr>
      <w:r>
        <w:rPr>
          <w:rFonts w:hint="eastAsia" w:ascii="宋体" w:hAnsi="宋体" w:cs="宋体"/>
          <w:sz w:val="24"/>
          <w:szCs w:val="24"/>
          <w:highlight w:val="none"/>
        </w:rPr>
        <w:t>……</w:t>
      </w:r>
    </w:p>
    <w:p w14:paraId="4441E791">
      <w:pPr>
        <w:tabs>
          <w:tab w:val="left" w:pos="1620"/>
          <w:tab w:val="left" w:pos="1800"/>
        </w:tabs>
        <w:spacing w:line="500" w:lineRule="exact"/>
        <w:ind w:firstLine="480" w:firstLineChars="200"/>
        <w:rPr>
          <w:rFonts w:ascii="宋体" w:hAnsi="宋体" w:cs="宋体"/>
          <w:sz w:val="24"/>
          <w:szCs w:val="24"/>
          <w:highlight w:val="none"/>
        </w:rPr>
      </w:pPr>
      <w:r>
        <w:rPr>
          <w:rFonts w:hint="eastAsia" w:ascii="宋体" w:hAnsi="宋体" w:cs="宋体"/>
          <w:sz w:val="24"/>
          <w:szCs w:val="24"/>
          <w:highlight w:val="none"/>
        </w:rPr>
        <w:t>以上企业，不属于大企业的分支机构，不存在控股股东为大企业的情形，也不存在与大企业的负责人为同一人的情形。</w:t>
      </w:r>
    </w:p>
    <w:p w14:paraId="57343BF2">
      <w:pPr>
        <w:tabs>
          <w:tab w:val="left" w:pos="1620"/>
          <w:tab w:val="left" w:pos="1800"/>
        </w:tabs>
        <w:spacing w:line="500" w:lineRule="exact"/>
        <w:ind w:firstLine="480" w:firstLineChars="200"/>
        <w:rPr>
          <w:rFonts w:ascii="宋体" w:hAnsi="宋体" w:cs="宋体"/>
          <w:sz w:val="24"/>
          <w:szCs w:val="24"/>
          <w:highlight w:val="none"/>
        </w:rPr>
      </w:pPr>
      <w:r>
        <w:rPr>
          <w:rFonts w:hint="eastAsia" w:ascii="宋体" w:hAnsi="宋体" w:cs="宋体"/>
          <w:sz w:val="24"/>
          <w:szCs w:val="24"/>
          <w:highlight w:val="none"/>
        </w:rPr>
        <w:t>本企业对上述声明内容的真实性负责。如有虚假，将依法承担相应责任。</w:t>
      </w:r>
    </w:p>
    <w:p w14:paraId="1A22B2BB">
      <w:pPr>
        <w:tabs>
          <w:tab w:val="left" w:pos="1620"/>
          <w:tab w:val="left" w:pos="1800"/>
        </w:tabs>
        <w:spacing w:line="500" w:lineRule="exact"/>
        <w:rPr>
          <w:rFonts w:ascii="宋体" w:hAnsi="宋体" w:cs="宋体"/>
          <w:sz w:val="24"/>
          <w:szCs w:val="24"/>
          <w:highlight w:val="none"/>
        </w:rPr>
      </w:pPr>
    </w:p>
    <w:p w14:paraId="204F3D16">
      <w:pPr>
        <w:tabs>
          <w:tab w:val="left" w:pos="1620"/>
          <w:tab w:val="left" w:pos="1800"/>
        </w:tabs>
        <w:spacing w:line="500" w:lineRule="exact"/>
        <w:rPr>
          <w:rFonts w:ascii="宋体" w:hAnsi="宋体" w:cs="宋体"/>
          <w:sz w:val="24"/>
          <w:szCs w:val="24"/>
          <w:highlight w:val="none"/>
        </w:rPr>
      </w:pPr>
    </w:p>
    <w:p w14:paraId="2F1DE82B">
      <w:pPr>
        <w:tabs>
          <w:tab w:val="left" w:pos="1620"/>
          <w:tab w:val="left" w:pos="1800"/>
        </w:tabs>
        <w:spacing w:line="500" w:lineRule="exact"/>
        <w:ind w:firstLine="4800" w:firstLineChars="2000"/>
        <w:rPr>
          <w:rFonts w:ascii="宋体" w:hAnsi="宋体" w:cs="宋体"/>
          <w:sz w:val="24"/>
          <w:szCs w:val="24"/>
          <w:highlight w:val="none"/>
        </w:rPr>
      </w:pPr>
      <w:r>
        <w:rPr>
          <w:rFonts w:hint="eastAsia" w:ascii="宋体" w:hAnsi="宋体" w:cs="宋体"/>
          <w:sz w:val="24"/>
          <w:szCs w:val="24"/>
          <w:highlight w:val="none"/>
        </w:rPr>
        <w:t>企业名称（盖章）：</w:t>
      </w:r>
    </w:p>
    <w:p w14:paraId="08F99B10">
      <w:pPr>
        <w:tabs>
          <w:tab w:val="left" w:pos="1620"/>
          <w:tab w:val="left" w:pos="1800"/>
        </w:tabs>
        <w:spacing w:line="500" w:lineRule="exact"/>
        <w:ind w:firstLine="4800" w:firstLineChars="2000"/>
        <w:rPr>
          <w:rFonts w:ascii="宋体" w:hAnsi="宋体" w:cs="宋体"/>
          <w:sz w:val="24"/>
          <w:szCs w:val="24"/>
          <w:highlight w:val="none"/>
        </w:rPr>
      </w:pPr>
      <w:r>
        <w:rPr>
          <w:rFonts w:hint="eastAsia" w:ascii="宋体" w:hAnsi="宋体" w:cs="宋体"/>
          <w:sz w:val="24"/>
          <w:szCs w:val="24"/>
          <w:highlight w:val="none"/>
        </w:rPr>
        <w:t>日期：</w:t>
      </w:r>
    </w:p>
    <w:p w14:paraId="6963AB31">
      <w:pPr>
        <w:rPr>
          <w:rFonts w:asciiTheme="minorEastAsia" w:hAnsiTheme="minorEastAsia" w:eastAsiaTheme="minorEastAsia" w:cstheme="minorEastAsia"/>
          <w:highlight w:val="none"/>
        </w:rPr>
      </w:pPr>
      <w:r>
        <w:rPr>
          <w:rFonts w:hint="eastAsia" w:asciiTheme="minorEastAsia" w:hAnsiTheme="minorEastAsia" w:eastAsiaTheme="minorEastAsia" w:cstheme="minorEastAsia"/>
          <w:b/>
          <w:sz w:val="28"/>
          <w:szCs w:val="28"/>
          <w:highlight w:val="none"/>
        </w:rPr>
        <w:br w:type="page"/>
      </w:r>
    </w:p>
    <w:bookmarkEnd w:id="98"/>
    <w:p w14:paraId="5FBE9E49">
      <w:pPr>
        <w:spacing w:line="360" w:lineRule="auto"/>
        <w:rPr>
          <w:rFonts w:hAnsi="宋体" w:cs="宋体"/>
          <w:b/>
          <w:sz w:val="28"/>
          <w:szCs w:val="28"/>
          <w:highlight w:val="none"/>
        </w:rPr>
      </w:pPr>
      <w:r>
        <w:rPr>
          <w:rFonts w:hint="eastAsia" w:hAnsi="宋体" w:cs="宋体"/>
          <w:b/>
          <w:sz w:val="28"/>
          <w:szCs w:val="28"/>
          <w:highlight w:val="none"/>
        </w:rPr>
        <w:t>附件3：</w:t>
      </w:r>
    </w:p>
    <w:p w14:paraId="107967D8">
      <w:pPr>
        <w:jc w:val="center"/>
        <w:rPr>
          <w:rFonts w:hAnsi="宋体" w:cs="宋体"/>
          <w:b/>
          <w:bCs/>
          <w:sz w:val="44"/>
          <w:szCs w:val="44"/>
          <w:highlight w:val="none"/>
        </w:rPr>
      </w:pPr>
      <w:r>
        <w:rPr>
          <w:rFonts w:hint="eastAsia" w:hAnsi="宋体" w:cs="宋体"/>
          <w:b/>
          <w:bCs/>
          <w:sz w:val="44"/>
          <w:szCs w:val="44"/>
          <w:highlight w:val="none"/>
        </w:rPr>
        <w:t>质疑函范本</w:t>
      </w:r>
    </w:p>
    <w:p w14:paraId="6353B8F3">
      <w:pPr>
        <w:adjustRightInd w:val="0"/>
        <w:snapToGrid w:val="0"/>
        <w:spacing w:beforeLines="100" w:line="360" w:lineRule="auto"/>
        <w:rPr>
          <w:rFonts w:hAnsi="宋体" w:cs="宋体"/>
          <w:bCs/>
          <w:szCs w:val="24"/>
          <w:highlight w:val="none"/>
        </w:rPr>
      </w:pPr>
      <w:r>
        <w:rPr>
          <w:rFonts w:hint="eastAsia" w:hAnsi="宋体" w:cs="宋体"/>
          <w:bCs/>
          <w:szCs w:val="24"/>
          <w:highlight w:val="none"/>
        </w:rPr>
        <w:t>一、质疑供应商基本信息</w:t>
      </w:r>
    </w:p>
    <w:p w14:paraId="35A77808">
      <w:pPr>
        <w:adjustRightInd w:val="0"/>
        <w:snapToGrid w:val="0"/>
        <w:spacing w:line="360" w:lineRule="auto"/>
        <w:rPr>
          <w:rFonts w:hAnsi="宋体" w:cs="宋体"/>
          <w:szCs w:val="24"/>
          <w:highlight w:val="none"/>
          <w:u w:val="dotted"/>
        </w:rPr>
      </w:pPr>
      <w:r>
        <w:rPr>
          <w:rFonts w:hint="eastAsia" w:hAnsi="宋体" w:cs="宋体"/>
          <w:szCs w:val="24"/>
          <w:highlight w:val="none"/>
        </w:rPr>
        <w:t>质疑供应商：</w:t>
      </w:r>
      <w:r>
        <w:rPr>
          <w:rFonts w:hint="eastAsia" w:hAnsi="宋体" w:cs="宋体"/>
          <w:szCs w:val="24"/>
          <w:highlight w:val="none"/>
          <w:u w:val="dotted"/>
        </w:rPr>
        <w:t xml:space="preserve">                                        </w:t>
      </w:r>
    </w:p>
    <w:p w14:paraId="6BC8EB73">
      <w:pPr>
        <w:adjustRightInd w:val="0"/>
        <w:snapToGrid w:val="0"/>
        <w:spacing w:line="360" w:lineRule="auto"/>
        <w:rPr>
          <w:rFonts w:hAnsi="宋体" w:cs="宋体"/>
          <w:szCs w:val="24"/>
          <w:highlight w:val="none"/>
        </w:rPr>
      </w:pPr>
      <w:r>
        <w:rPr>
          <w:rFonts w:hint="eastAsia" w:hAnsi="宋体" w:cs="宋体"/>
          <w:szCs w:val="24"/>
          <w:highlight w:val="none"/>
        </w:rPr>
        <w:t>地址：</w:t>
      </w:r>
      <w:r>
        <w:rPr>
          <w:rFonts w:hint="eastAsia" w:hAnsi="宋体" w:cs="宋体"/>
          <w:szCs w:val="24"/>
          <w:highlight w:val="none"/>
          <w:u w:val="dotted"/>
        </w:rPr>
        <w:t xml:space="preserve">                          </w:t>
      </w:r>
      <w:r>
        <w:rPr>
          <w:rFonts w:hint="eastAsia" w:hAnsi="宋体" w:cs="宋体"/>
          <w:szCs w:val="24"/>
          <w:highlight w:val="none"/>
        </w:rPr>
        <w:t>邮编：</w:t>
      </w:r>
      <w:r>
        <w:rPr>
          <w:rFonts w:hint="eastAsia" w:hAnsi="宋体" w:cs="宋体"/>
          <w:szCs w:val="24"/>
          <w:highlight w:val="none"/>
          <w:u w:val="dotted"/>
        </w:rPr>
        <w:t xml:space="preserve">                                                   </w:t>
      </w:r>
    </w:p>
    <w:p w14:paraId="532D1B63">
      <w:pPr>
        <w:adjustRightInd w:val="0"/>
        <w:snapToGrid w:val="0"/>
        <w:spacing w:line="360" w:lineRule="auto"/>
        <w:rPr>
          <w:rFonts w:hAnsi="宋体" w:cs="宋体"/>
          <w:szCs w:val="24"/>
          <w:highlight w:val="none"/>
        </w:rPr>
      </w:pPr>
      <w:r>
        <w:rPr>
          <w:rFonts w:hint="eastAsia" w:hAnsi="宋体" w:cs="宋体"/>
          <w:szCs w:val="24"/>
          <w:highlight w:val="none"/>
        </w:rPr>
        <w:t>联系人：</w:t>
      </w:r>
      <w:r>
        <w:rPr>
          <w:rFonts w:hint="eastAsia" w:hAnsi="宋体" w:cs="宋体"/>
          <w:szCs w:val="24"/>
          <w:highlight w:val="none"/>
          <w:u w:val="dotted"/>
        </w:rPr>
        <w:t xml:space="preserve">                      </w:t>
      </w:r>
      <w:r>
        <w:rPr>
          <w:rFonts w:hint="eastAsia" w:hAnsi="宋体" w:cs="宋体"/>
          <w:szCs w:val="24"/>
          <w:highlight w:val="none"/>
        </w:rPr>
        <w:t>联系电话：</w:t>
      </w:r>
      <w:r>
        <w:rPr>
          <w:rFonts w:hint="eastAsia" w:hAnsi="宋体" w:cs="宋体"/>
          <w:szCs w:val="24"/>
          <w:highlight w:val="none"/>
          <w:u w:val="dotted"/>
        </w:rPr>
        <w:t xml:space="preserve">                              </w:t>
      </w:r>
    </w:p>
    <w:p w14:paraId="514884CA">
      <w:pPr>
        <w:adjustRightInd w:val="0"/>
        <w:snapToGrid w:val="0"/>
        <w:spacing w:line="360" w:lineRule="auto"/>
        <w:rPr>
          <w:rFonts w:hAnsi="宋体" w:cs="宋体"/>
          <w:szCs w:val="24"/>
          <w:highlight w:val="none"/>
          <w:u w:val="dotted"/>
        </w:rPr>
      </w:pPr>
      <w:r>
        <w:rPr>
          <w:rFonts w:hint="eastAsia" w:hAnsi="宋体" w:cs="宋体"/>
          <w:szCs w:val="24"/>
          <w:highlight w:val="none"/>
        </w:rPr>
        <w:t>授权代表：</w:t>
      </w:r>
      <w:r>
        <w:rPr>
          <w:rFonts w:hint="eastAsia" w:hAnsi="宋体" w:cs="宋体"/>
          <w:szCs w:val="24"/>
          <w:highlight w:val="none"/>
          <w:u w:val="dotted"/>
        </w:rPr>
        <w:t xml:space="preserve">                                          </w:t>
      </w:r>
    </w:p>
    <w:p w14:paraId="51831E4D">
      <w:pPr>
        <w:adjustRightInd w:val="0"/>
        <w:snapToGrid w:val="0"/>
        <w:spacing w:line="360" w:lineRule="auto"/>
        <w:rPr>
          <w:rFonts w:hAnsi="宋体" w:cs="宋体"/>
          <w:szCs w:val="24"/>
          <w:highlight w:val="none"/>
        </w:rPr>
      </w:pPr>
      <w:r>
        <w:rPr>
          <w:rFonts w:hint="eastAsia" w:hAnsi="宋体" w:cs="宋体"/>
          <w:szCs w:val="24"/>
          <w:highlight w:val="none"/>
        </w:rPr>
        <w:t>联系电话：</w:t>
      </w:r>
      <w:r>
        <w:rPr>
          <w:rFonts w:hint="eastAsia" w:hAnsi="宋体" w:cs="宋体"/>
          <w:szCs w:val="24"/>
          <w:highlight w:val="none"/>
          <w:u w:val="dotted"/>
        </w:rPr>
        <w:t xml:space="preserve">                                           </w:t>
      </w:r>
      <w:r>
        <w:rPr>
          <w:rFonts w:hint="eastAsia" w:hAnsi="宋体" w:cs="宋体"/>
          <w:szCs w:val="24"/>
          <w:highlight w:val="none"/>
        </w:rPr>
        <w:t xml:space="preserve"> </w:t>
      </w:r>
    </w:p>
    <w:p w14:paraId="3AB90A05">
      <w:pPr>
        <w:adjustRightInd w:val="0"/>
        <w:snapToGrid w:val="0"/>
        <w:spacing w:line="360" w:lineRule="auto"/>
        <w:rPr>
          <w:rFonts w:hAnsi="宋体" w:cs="宋体"/>
          <w:szCs w:val="24"/>
          <w:highlight w:val="none"/>
        </w:rPr>
      </w:pPr>
      <w:r>
        <w:rPr>
          <w:rFonts w:hint="eastAsia" w:hAnsi="宋体" w:cs="宋体"/>
          <w:szCs w:val="24"/>
          <w:highlight w:val="none"/>
        </w:rPr>
        <w:t xml:space="preserve">地址： </w:t>
      </w:r>
      <w:r>
        <w:rPr>
          <w:rFonts w:hint="eastAsia" w:hAnsi="宋体" w:cs="宋体"/>
          <w:szCs w:val="24"/>
          <w:highlight w:val="none"/>
          <w:u w:val="dotted"/>
        </w:rPr>
        <w:t xml:space="preserve">                        </w:t>
      </w:r>
      <w:r>
        <w:rPr>
          <w:rFonts w:hint="eastAsia" w:hAnsi="宋体" w:cs="宋体"/>
          <w:szCs w:val="24"/>
          <w:highlight w:val="none"/>
        </w:rPr>
        <w:t>邮编：</w:t>
      </w:r>
      <w:r>
        <w:rPr>
          <w:rFonts w:hint="eastAsia" w:hAnsi="宋体" w:cs="宋体"/>
          <w:szCs w:val="24"/>
          <w:highlight w:val="none"/>
          <w:u w:val="dotted"/>
        </w:rPr>
        <w:t xml:space="preserve">                                                </w:t>
      </w:r>
    </w:p>
    <w:p w14:paraId="5FB57127">
      <w:pPr>
        <w:adjustRightInd w:val="0"/>
        <w:snapToGrid w:val="0"/>
        <w:spacing w:line="360" w:lineRule="auto"/>
        <w:rPr>
          <w:rFonts w:hAnsi="宋体" w:cs="宋体"/>
          <w:bCs/>
          <w:szCs w:val="24"/>
          <w:highlight w:val="none"/>
        </w:rPr>
      </w:pPr>
      <w:r>
        <w:rPr>
          <w:rFonts w:hint="eastAsia" w:hAnsi="宋体" w:cs="宋体"/>
          <w:bCs/>
          <w:szCs w:val="24"/>
          <w:highlight w:val="none"/>
        </w:rPr>
        <w:t>二、质疑项目基本情况</w:t>
      </w:r>
    </w:p>
    <w:p w14:paraId="771BA7C9">
      <w:pPr>
        <w:adjustRightInd w:val="0"/>
        <w:snapToGrid w:val="0"/>
        <w:spacing w:line="360" w:lineRule="auto"/>
        <w:rPr>
          <w:rFonts w:hAnsi="宋体" w:cs="宋体"/>
          <w:szCs w:val="24"/>
          <w:highlight w:val="none"/>
        </w:rPr>
      </w:pPr>
      <w:r>
        <w:rPr>
          <w:rFonts w:hint="eastAsia" w:hAnsi="宋体" w:cs="宋体"/>
          <w:szCs w:val="24"/>
          <w:highlight w:val="none"/>
        </w:rPr>
        <w:t>质疑项目的名称：</w:t>
      </w:r>
      <w:r>
        <w:rPr>
          <w:rFonts w:hint="eastAsia" w:hAnsi="宋体" w:cs="宋体"/>
          <w:szCs w:val="24"/>
          <w:highlight w:val="none"/>
          <w:u w:val="dotted"/>
        </w:rPr>
        <w:t xml:space="preserve">                                      </w:t>
      </w:r>
    </w:p>
    <w:p w14:paraId="7531CC4B">
      <w:pPr>
        <w:adjustRightInd w:val="0"/>
        <w:snapToGrid w:val="0"/>
        <w:spacing w:line="360" w:lineRule="auto"/>
        <w:rPr>
          <w:rFonts w:hAnsi="宋体" w:cs="宋体"/>
          <w:szCs w:val="24"/>
          <w:highlight w:val="none"/>
        </w:rPr>
      </w:pPr>
      <w:r>
        <w:rPr>
          <w:rFonts w:hint="eastAsia" w:hAnsi="宋体" w:cs="宋体"/>
          <w:szCs w:val="24"/>
          <w:highlight w:val="none"/>
        </w:rPr>
        <w:t>质疑项目的编号：</w:t>
      </w:r>
      <w:r>
        <w:rPr>
          <w:rFonts w:hint="eastAsia" w:hAnsi="宋体" w:cs="宋体"/>
          <w:szCs w:val="24"/>
          <w:highlight w:val="none"/>
          <w:u w:val="dotted"/>
        </w:rPr>
        <w:t xml:space="preserve">               </w:t>
      </w:r>
      <w:r>
        <w:rPr>
          <w:rFonts w:hint="eastAsia" w:hAnsi="宋体" w:cs="宋体"/>
          <w:szCs w:val="24"/>
          <w:highlight w:val="none"/>
        </w:rPr>
        <w:t>包号：</w:t>
      </w:r>
      <w:r>
        <w:rPr>
          <w:rFonts w:hint="eastAsia" w:hAnsi="宋体" w:cs="宋体"/>
          <w:szCs w:val="24"/>
          <w:highlight w:val="none"/>
          <w:u w:val="dotted"/>
        </w:rPr>
        <w:t xml:space="preserve">                 </w:t>
      </w:r>
    </w:p>
    <w:p w14:paraId="7B9D5585">
      <w:pPr>
        <w:adjustRightInd w:val="0"/>
        <w:snapToGrid w:val="0"/>
        <w:spacing w:line="360" w:lineRule="auto"/>
        <w:rPr>
          <w:rFonts w:hAnsi="宋体" w:cs="宋体"/>
          <w:szCs w:val="24"/>
          <w:highlight w:val="none"/>
          <w:u w:val="dotted"/>
        </w:rPr>
      </w:pPr>
      <w:r>
        <w:rPr>
          <w:rFonts w:hint="eastAsia" w:hAnsi="宋体" w:cs="宋体"/>
          <w:szCs w:val="24"/>
          <w:highlight w:val="none"/>
        </w:rPr>
        <w:t>采购人名称：</w:t>
      </w:r>
      <w:r>
        <w:rPr>
          <w:rFonts w:hint="eastAsia" w:hAnsi="宋体" w:cs="宋体"/>
          <w:szCs w:val="24"/>
          <w:highlight w:val="none"/>
          <w:u w:val="dotted"/>
        </w:rPr>
        <w:t xml:space="preserve">                                         </w:t>
      </w:r>
    </w:p>
    <w:p w14:paraId="3C2FE8EA">
      <w:pPr>
        <w:adjustRightInd w:val="0"/>
        <w:snapToGrid w:val="0"/>
        <w:spacing w:line="360" w:lineRule="auto"/>
        <w:rPr>
          <w:rFonts w:hAnsi="宋体" w:cs="宋体"/>
          <w:szCs w:val="24"/>
          <w:highlight w:val="none"/>
        </w:rPr>
      </w:pPr>
      <w:r>
        <w:rPr>
          <w:rFonts w:hint="eastAsia" w:hAnsi="宋体" w:cs="宋体"/>
          <w:szCs w:val="24"/>
          <w:highlight w:val="none"/>
        </w:rPr>
        <w:t>采购文件获取日期：</w:t>
      </w:r>
      <w:r>
        <w:rPr>
          <w:rFonts w:hint="eastAsia" w:hAnsi="宋体" w:cs="宋体"/>
          <w:szCs w:val="24"/>
          <w:highlight w:val="none"/>
          <w:u w:val="dotted"/>
        </w:rPr>
        <w:t xml:space="preserve">                                           </w:t>
      </w:r>
    </w:p>
    <w:p w14:paraId="586B27EF">
      <w:pPr>
        <w:adjustRightInd w:val="0"/>
        <w:snapToGrid w:val="0"/>
        <w:spacing w:line="360" w:lineRule="auto"/>
        <w:rPr>
          <w:rFonts w:hAnsi="宋体" w:cs="宋体"/>
          <w:bCs/>
          <w:szCs w:val="24"/>
          <w:highlight w:val="none"/>
        </w:rPr>
      </w:pPr>
      <w:r>
        <w:rPr>
          <w:rFonts w:hint="eastAsia" w:hAnsi="宋体" w:cs="宋体"/>
          <w:bCs/>
          <w:szCs w:val="24"/>
          <w:highlight w:val="none"/>
        </w:rPr>
        <w:t>三、质疑事项具体内容</w:t>
      </w:r>
    </w:p>
    <w:p w14:paraId="0F09C006">
      <w:pPr>
        <w:adjustRightInd w:val="0"/>
        <w:snapToGrid w:val="0"/>
        <w:spacing w:line="360" w:lineRule="auto"/>
        <w:rPr>
          <w:rFonts w:hAnsi="宋体" w:cs="宋体"/>
          <w:szCs w:val="24"/>
          <w:highlight w:val="none"/>
          <w:u w:val="dotted"/>
        </w:rPr>
      </w:pPr>
      <w:r>
        <w:rPr>
          <w:rFonts w:hint="eastAsia" w:hAnsi="宋体" w:cs="宋体"/>
          <w:szCs w:val="24"/>
          <w:highlight w:val="none"/>
        </w:rPr>
        <w:t>质疑事项1：</w:t>
      </w:r>
      <w:r>
        <w:rPr>
          <w:rFonts w:hint="eastAsia" w:hAnsi="宋体" w:cs="宋体"/>
          <w:szCs w:val="24"/>
          <w:highlight w:val="none"/>
          <w:u w:val="dotted"/>
        </w:rPr>
        <w:t xml:space="preserve">                                         </w:t>
      </w:r>
    </w:p>
    <w:p w14:paraId="645647CA">
      <w:pPr>
        <w:adjustRightInd w:val="0"/>
        <w:snapToGrid w:val="0"/>
        <w:spacing w:line="360" w:lineRule="auto"/>
        <w:rPr>
          <w:rFonts w:hAnsi="宋体" w:cs="宋体"/>
          <w:szCs w:val="24"/>
          <w:highlight w:val="none"/>
          <w:u w:val="dotted"/>
        </w:rPr>
      </w:pPr>
      <w:r>
        <w:rPr>
          <w:rFonts w:hint="eastAsia" w:hAnsi="宋体" w:cs="宋体"/>
          <w:szCs w:val="24"/>
          <w:highlight w:val="none"/>
        </w:rPr>
        <w:t>事实依据：</w:t>
      </w:r>
      <w:r>
        <w:rPr>
          <w:rFonts w:hint="eastAsia" w:hAnsi="宋体" w:cs="宋体"/>
          <w:szCs w:val="24"/>
          <w:highlight w:val="none"/>
          <w:u w:val="dotted"/>
        </w:rPr>
        <w:t xml:space="preserve">                                          </w:t>
      </w:r>
    </w:p>
    <w:p w14:paraId="77BD7E3D">
      <w:pPr>
        <w:adjustRightInd w:val="0"/>
        <w:snapToGrid w:val="0"/>
        <w:spacing w:line="360" w:lineRule="auto"/>
        <w:rPr>
          <w:rFonts w:hAnsi="宋体" w:cs="宋体"/>
          <w:szCs w:val="24"/>
          <w:highlight w:val="none"/>
        </w:rPr>
      </w:pPr>
      <w:r>
        <w:rPr>
          <w:rFonts w:hint="eastAsia" w:hAnsi="宋体" w:cs="宋体"/>
          <w:szCs w:val="24"/>
          <w:highlight w:val="none"/>
          <w:u w:val="dotted"/>
        </w:rPr>
        <w:t xml:space="preserve">                                                       </w:t>
      </w:r>
    </w:p>
    <w:p w14:paraId="6BE4839E">
      <w:pPr>
        <w:adjustRightInd w:val="0"/>
        <w:snapToGrid w:val="0"/>
        <w:spacing w:line="360" w:lineRule="auto"/>
        <w:rPr>
          <w:rFonts w:hAnsi="宋体" w:cs="宋体"/>
          <w:szCs w:val="24"/>
          <w:highlight w:val="none"/>
          <w:u w:val="dotted"/>
        </w:rPr>
      </w:pPr>
      <w:r>
        <w:rPr>
          <w:rFonts w:hint="eastAsia" w:hAnsi="宋体" w:cs="宋体"/>
          <w:szCs w:val="24"/>
          <w:highlight w:val="none"/>
        </w:rPr>
        <w:t>法律依据：</w:t>
      </w:r>
      <w:r>
        <w:rPr>
          <w:rFonts w:hint="eastAsia" w:hAnsi="宋体" w:cs="宋体"/>
          <w:szCs w:val="24"/>
          <w:highlight w:val="none"/>
          <w:u w:val="dotted"/>
        </w:rPr>
        <w:t xml:space="preserve">                                          </w:t>
      </w:r>
    </w:p>
    <w:p w14:paraId="6C0A3F28">
      <w:pPr>
        <w:adjustRightInd w:val="0"/>
        <w:snapToGrid w:val="0"/>
        <w:spacing w:line="360" w:lineRule="auto"/>
        <w:rPr>
          <w:rFonts w:hAnsi="宋体" w:cs="宋体"/>
          <w:szCs w:val="24"/>
          <w:highlight w:val="none"/>
          <w:u w:val="dotted"/>
        </w:rPr>
      </w:pPr>
      <w:r>
        <w:rPr>
          <w:rFonts w:hint="eastAsia" w:hAnsi="宋体" w:cs="宋体"/>
          <w:szCs w:val="24"/>
          <w:highlight w:val="none"/>
          <w:u w:val="dotted"/>
        </w:rPr>
        <w:t xml:space="preserve">                                                     </w:t>
      </w:r>
    </w:p>
    <w:p w14:paraId="18744840">
      <w:pPr>
        <w:adjustRightInd w:val="0"/>
        <w:snapToGrid w:val="0"/>
        <w:spacing w:line="360" w:lineRule="auto"/>
        <w:rPr>
          <w:rFonts w:hAnsi="宋体" w:cs="宋体"/>
          <w:szCs w:val="24"/>
          <w:highlight w:val="none"/>
          <w:u w:val="dotted"/>
        </w:rPr>
      </w:pPr>
      <w:r>
        <w:rPr>
          <w:rFonts w:hint="eastAsia" w:hAnsi="宋体" w:cs="宋体"/>
          <w:szCs w:val="24"/>
          <w:highlight w:val="none"/>
        </w:rPr>
        <w:t>质疑事项2</w:t>
      </w:r>
    </w:p>
    <w:p w14:paraId="18B36B4A">
      <w:pPr>
        <w:adjustRightInd w:val="0"/>
        <w:snapToGrid w:val="0"/>
        <w:spacing w:line="360" w:lineRule="auto"/>
        <w:rPr>
          <w:rFonts w:hAnsi="宋体" w:cs="宋体"/>
          <w:szCs w:val="24"/>
          <w:highlight w:val="none"/>
        </w:rPr>
      </w:pPr>
      <w:r>
        <w:rPr>
          <w:rFonts w:hint="eastAsia" w:hAnsi="宋体" w:cs="宋体"/>
          <w:szCs w:val="24"/>
          <w:highlight w:val="none"/>
        </w:rPr>
        <w:t>……</w:t>
      </w:r>
    </w:p>
    <w:p w14:paraId="1682827B">
      <w:pPr>
        <w:adjustRightInd w:val="0"/>
        <w:snapToGrid w:val="0"/>
        <w:spacing w:line="360" w:lineRule="auto"/>
        <w:rPr>
          <w:rFonts w:hAnsi="宋体" w:cs="宋体"/>
          <w:bCs/>
          <w:szCs w:val="24"/>
          <w:highlight w:val="none"/>
        </w:rPr>
      </w:pPr>
      <w:r>
        <w:rPr>
          <w:rFonts w:hint="eastAsia" w:hAnsi="宋体" w:cs="宋体"/>
          <w:bCs/>
          <w:szCs w:val="24"/>
          <w:highlight w:val="none"/>
        </w:rPr>
        <w:t>四、与质疑事项相关的质疑请求</w:t>
      </w:r>
    </w:p>
    <w:p w14:paraId="127333BA">
      <w:pPr>
        <w:adjustRightInd w:val="0"/>
        <w:snapToGrid w:val="0"/>
        <w:spacing w:line="360" w:lineRule="auto"/>
        <w:rPr>
          <w:rFonts w:hAnsi="宋体" w:cs="宋体"/>
          <w:szCs w:val="24"/>
          <w:highlight w:val="none"/>
          <w:u w:val="dotted"/>
        </w:rPr>
      </w:pPr>
      <w:r>
        <w:rPr>
          <w:rFonts w:hint="eastAsia" w:hAnsi="宋体" w:cs="宋体"/>
          <w:szCs w:val="24"/>
          <w:highlight w:val="none"/>
        </w:rPr>
        <w:t>请求：</w:t>
      </w:r>
      <w:r>
        <w:rPr>
          <w:rFonts w:hint="eastAsia" w:hAnsi="宋体" w:cs="宋体"/>
          <w:szCs w:val="24"/>
          <w:highlight w:val="none"/>
          <w:u w:val="dotted"/>
        </w:rPr>
        <w:t xml:space="preserve">                                               </w:t>
      </w:r>
    </w:p>
    <w:p w14:paraId="046409A1">
      <w:pPr>
        <w:rPr>
          <w:rFonts w:hAnsi="宋体" w:cs="宋体"/>
          <w:szCs w:val="24"/>
          <w:highlight w:val="none"/>
        </w:rPr>
      </w:pPr>
      <w:r>
        <w:rPr>
          <w:rFonts w:hint="eastAsia" w:hAnsi="宋体" w:cs="宋体"/>
          <w:szCs w:val="24"/>
          <w:highlight w:val="none"/>
        </w:rPr>
        <w:t xml:space="preserve">签字(签章)：                   公章：                      </w:t>
      </w:r>
    </w:p>
    <w:p w14:paraId="312428CC">
      <w:pPr>
        <w:rPr>
          <w:rFonts w:hAnsi="宋体" w:cs="宋体"/>
          <w:szCs w:val="24"/>
          <w:highlight w:val="none"/>
        </w:rPr>
      </w:pPr>
      <w:r>
        <w:rPr>
          <w:rFonts w:hint="eastAsia" w:hAnsi="宋体" w:cs="宋体"/>
          <w:szCs w:val="24"/>
          <w:highlight w:val="none"/>
        </w:rPr>
        <w:t xml:space="preserve">日期：    </w:t>
      </w:r>
    </w:p>
    <w:p w14:paraId="00B71893">
      <w:pPr>
        <w:jc w:val="center"/>
        <w:rPr>
          <w:rFonts w:hAnsi="宋体" w:cs="宋体"/>
          <w:b/>
          <w:sz w:val="44"/>
          <w:szCs w:val="44"/>
          <w:highlight w:val="none"/>
        </w:rPr>
      </w:pPr>
    </w:p>
    <w:p w14:paraId="632F2936">
      <w:pPr>
        <w:rPr>
          <w:rFonts w:hAnsi="宋体" w:cs="宋体"/>
          <w:b/>
          <w:sz w:val="44"/>
          <w:szCs w:val="44"/>
          <w:highlight w:val="none"/>
        </w:rPr>
      </w:pPr>
      <w:r>
        <w:rPr>
          <w:rFonts w:hAnsi="宋体" w:cs="宋体"/>
          <w:b/>
          <w:sz w:val="44"/>
          <w:szCs w:val="44"/>
          <w:highlight w:val="none"/>
        </w:rPr>
        <w:br w:type="page"/>
      </w:r>
    </w:p>
    <w:p w14:paraId="64ECF063">
      <w:pPr>
        <w:jc w:val="center"/>
        <w:rPr>
          <w:rFonts w:hAnsi="宋体" w:cs="宋体"/>
          <w:b/>
          <w:sz w:val="44"/>
          <w:szCs w:val="44"/>
          <w:highlight w:val="none"/>
        </w:rPr>
      </w:pPr>
      <w:r>
        <w:rPr>
          <w:rFonts w:hint="eastAsia" w:hAnsi="宋体" w:cs="宋体"/>
          <w:b/>
          <w:sz w:val="44"/>
          <w:szCs w:val="44"/>
          <w:highlight w:val="none"/>
        </w:rPr>
        <w:t>投诉书范本</w:t>
      </w:r>
    </w:p>
    <w:p w14:paraId="0FCDDF9E">
      <w:pPr>
        <w:rPr>
          <w:rFonts w:hAnsi="宋体" w:cs="宋体"/>
          <w:szCs w:val="24"/>
          <w:highlight w:val="none"/>
        </w:rPr>
      </w:pPr>
      <w:r>
        <w:rPr>
          <w:rFonts w:hint="eastAsia" w:hAnsi="宋体" w:cs="宋体"/>
          <w:szCs w:val="24"/>
          <w:highlight w:val="none"/>
        </w:rPr>
        <w:t>一、投诉相关主体基本情况</w:t>
      </w:r>
    </w:p>
    <w:p w14:paraId="447C885D">
      <w:pPr>
        <w:rPr>
          <w:rFonts w:hAnsi="宋体" w:cs="宋体"/>
          <w:szCs w:val="24"/>
          <w:highlight w:val="none"/>
          <w:u w:val="dotted"/>
        </w:rPr>
      </w:pPr>
      <w:r>
        <w:rPr>
          <w:rFonts w:hint="eastAsia" w:hAnsi="宋体" w:cs="宋体"/>
          <w:szCs w:val="24"/>
          <w:highlight w:val="none"/>
        </w:rPr>
        <w:t>投诉人：</w:t>
      </w:r>
      <w:r>
        <w:rPr>
          <w:rFonts w:hint="eastAsia" w:hAnsi="宋体" w:cs="宋体"/>
          <w:szCs w:val="24"/>
          <w:highlight w:val="none"/>
          <w:u w:val="dotted"/>
        </w:rPr>
        <w:t xml:space="preserve">                                               </w:t>
      </w:r>
    </w:p>
    <w:p w14:paraId="4A799F22">
      <w:pPr>
        <w:rPr>
          <w:rFonts w:hAnsi="宋体" w:cs="宋体"/>
          <w:szCs w:val="24"/>
          <w:highlight w:val="none"/>
          <w:u w:val="single"/>
        </w:rPr>
      </w:pPr>
      <w:r>
        <w:rPr>
          <w:rFonts w:hint="eastAsia" w:hAnsi="宋体" w:cs="宋体"/>
          <w:szCs w:val="24"/>
          <w:highlight w:val="none"/>
        </w:rPr>
        <w:t>地     址：</w:t>
      </w:r>
      <w:r>
        <w:rPr>
          <w:rFonts w:hint="eastAsia" w:hAnsi="宋体" w:cs="宋体"/>
          <w:szCs w:val="24"/>
          <w:highlight w:val="none"/>
          <w:u w:val="dotted"/>
        </w:rPr>
        <w:t xml:space="preserve">                             </w:t>
      </w:r>
      <w:r>
        <w:rPr>
          <w:rFonts w:hint="eastAsia" w:hAnsi="宋体" w:cs="宋体"/>
          <w:szCs w:val="24"/>
          <w:highlight w:val="none"/>
        </w:rPr>
        <w:t>邮编：</w:t>
      </w:r>
      <w:r>
        <w:rPr>
          <w:rFonts w:hint="eastAsia" w:hAnsi="宋体" w:cs="宋体"/>
          <w:szCs w:val="24"/>
          <w:highlight w:val="none"/>
          <w:u w:val="dotted"/>
        </w:rPr>
        <w:t xml:space="preserve">         </w:t>
      </w:r>
      <w:r>
        <w:rPr>
          <w:rFonts w:hint="eastAsia" w:hAnsi="宋体" w:cs="宋体"/>
          <w:szCs w:val="24"/>
          <w:highlight w:val="none"/>
          <w:u w:val="single"/>
        </w:rPr>
        <w:t xml:space="preserve">   </w:t>
      </w:r>
    </w:p>
    <w:p w14:paraId="08A84BD6">
      <w:pPr>
        <w:tabs>
          <w:tab w:val="left" w:pos="6510"/>
        </w:tabs>
        <w:jc w:val="left"/>
        <w:rPr>
          <w:rFonts w:hAnsi="宋体" w:cs="宋体"/>
          <w:szCs w:val="24"/>
          <w:highlight w:val="none"/>
        </w:rPr>
      </w:pPr>
      <w:r>
        <w:rPr>
          <w:rFonts w:hint="eastAsia" w:hAnsi="宋体" w:cs="宋体"/>
          <w:szCs w:val="24"/>
          <w:highlight w:val="none"/>
        </w:rPr>
        <w:t>法定代表人/主要负责人：</w:t>
      </w:r>
      <w:r>
        <w:rPr>
          <w:rFonts w:hint="eastAsia" w:hAnsi="宋体" w:cs="宋体"/>
          <w:szCs w:val="24"/>
          <w:highlight w:val="none"/>
          <w:u w:val="dotted"/>
        </w:rPr>
        <w:t xml:space="preserve">                                   </w:t>
      </w:r>
      <w:r>
        <w:rPr>
          <w:rFonts w:hint="eastAsia" w:hAnsi="宋体" w:cs="宋体"/>
          <w:szCs w:val="24"/>
          <w:highlight w:val="none"/>
        </w:rPr>
        <w:t xml:space="preserve">  </w:t>
      </w:r>
    </w:p>
    <w:p w14:paraId="706AD17E">
      <w:pPr>
        <w:tabs>
          <w:tab w:val="left" w:pos="6510"/>
        </w:tabs>
        <w:rPr>
          <w:rFonts w:hAnsi="宋体" w:cs="宋体"/>
          <w:szCs w:val="24"/>
          <w:highlight w:val="none"/>
          <w:u w:val="dotted"/>
        </w:rPr>
      </w:pPr>
      <w:r>
        <w:rPr>
          <w:rFonts w:hint="eastAsia" w:hAnsi="宋体" w:cs="宋体"/>
          <w:szCs w:val="24"/>
          <w:highlight w:val="none"/>
        </w:rPr>
        <w:t>联系电话：</w:t>
      </w:r>
      <w:r>
        <w:rPr>
          <w:rFonts w:hint="eastAsia" w:hAnsi="宋体" w:cs="宋体"/>
          <w:szCs w:val="24"/>
          <w:highlight w:val="none"/>
          <w:u w:val="dotted"/>
        </w:rPr>
        <w:t xml:space="preserve">                                             </w:t>
      </w:r>
    </w:p>
    <w:p w14:paraId="2D7A4252">
      <w:pPr>
        <w:rPr>
          <w:rFonts w:hAnsi="宋体" w:cs="宋体"/>
          <w:szCs w:val="24"/>
          <w:highlight w:val="none"/>
          <w:u w:val="dotted"/>
        </w:rPr>
      </w:pPr>
      <w:r>
        <w:rPr>
          <w:rFonts w:hint="eastAsia" w:hAnsi="宋体" w:cs="宋体"/>
          <w:szCs w:val="24"/>
          <w:highlight w:val="none"/>
        </w:rPr>
        <w:t>授权代表：</w:t>
      </w:r>
      <w:r>
        <w:rPr>
          <w:rFonts w:hint="eastAsia" w:hAnsi="宋体" w:cs="宋体"/>
          <w:szCs w:val="24"/>
          <w:highlight w:val="none"/>
          <w:u w:val="dotted"/>
        </w:rPr>
        <w:t xml:space="preserve">             </w:t>
      </w:r>
      <w:r>
        <w:rPr>
          <w:rFonts w:hint="eastAsia" w:hAnsi="宋体" w:cs="宋体"/>
          <w:szCs w:val="24"/>
          <w:highlight w:val="none"/>
        </w:rPr>
        <w:t>联系电话</w:t>
      </w:r>
      <w:r>
        <w:rPr>
          <w:rFonts w:hint="eastAsia" w:hAnsi="宋体" w:cs="宋体"/>
          <w:szCs w:val="24"/>
          <w:highlight w:val="none"/>
          <w:u w:val="dotted"/>
        </w:rPr>
        <w:t xml:space="preserve">：                  </w:t>
      </w:r>
    </w:p>
    <w:p w14:paraId="41154E15">
      <w:pPr>
        <w:rPr>
          <w:rFonts w:hAnsi="宋体" w:cs="宋体"/>
          <w:szCs w:val="24"/>
          <w:highlight w:val="none"/>
          <w:u w:val="dotted"/>
        </w:rPr>
      </w:pPr>
      <w:r>
        <w:rPr>
          <w:rFonts w:hint="eastAsia" w:hAnsi="宋体" w:cs="宋体"/>
          <w:szCs w:val="24"/>
          <w:highlight w:val="none"/>
        </w:rPr>
        <w:t>地     址：</w:t>
      </w:r>
      <w:r>
        <w:rPr>
          <w:rFonts w:hint="eastAsia" w:hAnsi="宋体" w:cs="宋体"/>
          <w:szCs w:val="24"/>
          <w:highlight w:val="none"/>
          <w:u w:val="dotted"/>
        </w:rPr>
        <w:t xml:space="preserve">                             </w:t>
      </w:r>
      <w:r>
        <w:rPr>
          <w:rFonts w:hint="eastAsia" w:hAnsi="宋体" w:cs="宋体"/>
          <w:szCs w:val="24"/>
          <w:highlight w:val="none"/>
        </w:rPr>
        <w:t>邮编：</w:t>
      </w:r>
      <w:r>
        <w:rPr>
          <w:rFonts w:hint="eastAsia" w:hAnsi="宋体" w:cs="宋体"/>
          <w:szCs w:val="24"/>
          <w:highlight w:val="none"/>
          <w:u w:val="dotted"/>
        </w:rPr>
        <w:t xml:space="preserve">         </w:t>
      </w:r>
      <w:r>
        <w:rPr>
          <w:rFonts w:hint="eastAsia" w:hAnsi="宋体" w:cs="宋体"/>
          <w:szCs w:val="24"/>
          <w:highlight w:val="none"/>
          <w:u w:val="single"/>
        </w:rPr>
        <w:t xml:space="preserve"> </w:t>
      </w:r>
      <w:r>
        <w:rPr>
          <w:rFonts w:hint="eastAsia" w:hAnsi="宋体" w:cs="宋体"/>
          <w:szCs w:val="24"/>
          <w:highlight w:val="none"/>
          <w:u w:val="dotted"/>
        </w:rPr>
        <w:t xml:space="preserve">                   </w:t>
      </w:r>
    </w:p>
    <w:p w14:paraId="4F718CC3">
      <w:pPr>
        <w:rPr>
          <w:rFonts w:hAnsi="宋体" w:cs="宋体"/>
          <w:szCs w:val="24"/>
          <w:highlight w:val="none"/>
          <w:u w:val="single"/>
        </w:rPr>
      </w:pPr>
      <w:r>
        <w:rPr>
          <w:rFonts w:hint="eastAsia" w:hAnsi="宋体" w:cs="宋体"/>
          <w:szCs w:val="24"/>
          <w:highlight w:val="none"/>
        </w:rPr>
        <w:t>被投诉人1：</w:t>
      </w:r>
      <w:r>
        <w:rPr>
          <w:rFonts w:hint="eastAsia" w:hAnsi="宋体" w:cs="宋体"/>
          <w:szCs w:val="24"/>
          <w:highlight w:val="none"/>
          <w:u w:val="dotted"/>
        </w:rPr>
        <w:t xml:space="preserve">                                           </w:t>
      </w:r>
      <w:r>
        <w:rPr>
          <w:rFonts w:hint="eastAsia" w:hAnsi="宋体" w:cs="宋体"/>
          <w:szCs w:val="24"/>
          <w:highlight w:val="none"/>
          <w:u w:val="single"/>
        </w:rPr>
        <w:t xml:space="preserve">  </w:t>
      </w:r>
    </w:p>
    <w:p w14:paraId="0CA83457">
      <w:pPr>
        <w:rPr>
          <w:rFonts w:hAnsi="宋体" w:cs="宋体"/>
          <w:szCs w:val="24"/>
          <w:highlight w:val="none"/>
          <w:u w:val="single"/>
        </w:rPr>
      </w:pPr>
      <w:r>
        <w:rPr>
          <w:rFonts w:hint="eastAsia" w:hAnsi="宋体" w:cs="宋体"/>
          <w:szCs w:val="24"/>
          <w:highlight w:val="none"/>
        </w:rPr>
        <w:t>地     址：</w:t>
      </w:r>
      <w:r>
        <w:rPr>
          <w:rFonts w:hint="eastAsia" w:hAnsi="宋体" w:cs="宋体"/>
          <w:szCs w:val="24"/>
          <w:highlight w:val="none"/>
          <w:u w:val="dotted"/>
        </w:rPr>
        <w:t xml:space="preserve">                             </w:t>
      </w:r>
      <w:r>
        <w:rPr>
          <w:rFonts w:hint="eastAsia" w:hAnsi="宋体" w:cs="宋体"/>
          <w:szCs w:val="24"/>
          <w:highlight w:val="none"/>
        </w:rPr>
        <w:t>邮编：</w:t>
      </w:r>
      <w:r>
        <w:rPr>
          <w:rFonts w:hint="eastAsia" w:hAnsi="宋体" w:cs="宋体"/>
          <w:szCs w:val="24"/>
          <w:highlight w:val="none"/>
          <w:u w:val="dotted"/>
        </w:rPr>
        <w:t xml:space="preserve">          </w:t>
      </w:r>
      <w:r>
        <w:rPr>
          <w:rFonts w:hint="eastAsia" w:hAnsi="宋体" w:cs="宋体"/>
          <w:szCs w:val="24"/>
          <w:highlight w:val="none"/>
          <w:u w:val="single"/>
        </w:rPr>
        <w:t xml:space="preserve"> </w:t>
      </w:r>
    </w:p>
    <w:p w14:paraId="4820EDBF">
      <w:pPr>
        <w:rPr>
          <w:rFonts w:hAnsi="宋体" w:cs="宋体"/>
          <w:szCs w:val="24"/>
          <w:highlight w:val="none"/>
          <w:u w:val="single"/>
        </w:rPr>
      </w:pPr>
      <w:r>
        <w:rPr>
          <w:rFonts w:hint="eastAsia" w:hAnsi="宋体" w:cs="宋体"/>
          <w:szCs w:val="24"/>
          <w:highlight w:val="none"/>
        </w:rPr>
        <w:t>联系人：</w:t>
      </w:r>
      <w:r>
        <w:rPr>
          <w:rFonts w:hint="eastAsia" w:hAnsi="宋体" w:cs="宋体"/>
          <w:szCs w:val="24"/>
          <w:highlight w:val="none"/>
          <w:u w:val="dotted"/>
        </w:rPr>
        <w:t xml:space="preserve">               </w:t>
      </w:r>
      <w:r>
        <w:rPr>
          <w:rFonts w:hint="eastAsia" w:hAnsi="宋体" w:cs="宋体"/>
          <w:szCs w:val="24"/>
          <w:highlight w:val="none"/>
        </w:rPr>
        <w:t>联系电话：</w:t>
      </w:r>
      <w:r>
        <w:rPr>
          <w:rFonts w:hint="eastAsia" w:hAnsi="宋体" w:cs="宋体"/>
          <w:szCs w:val="24"/>
          <w:highlight w:val="none"/>
          <w:u w:val="dotted"/>
        </w:rPr>
        <w:t xml:space="preserve">                      </w:t>
      </w:r>
      <w:r>
        <w:rPr>
          <w:rFonts w:hint="eastAsia" w:hAnsi="宋体" w:cs="宋体"/>
          <w:szCs w:val="24"/>
          <w:highlight w:val="none"/>
          <w:u w:val="single"/>
        </w:rPr>
        <w:t xml:space="preserve"> </w:t>
      </w:r>
    </w:p>
    <w:p w14:paraId="0A241F0C">
      <w:pPr>
        <w:rPr>
          <w:rFonts w:hAnsi="宋体" w:cs="宋体"/>
          <w:szCs w:val="24"/>
          <w:highlight w:val="none"/>
        </w:rPr>
      </w:pPr>
      <w:r>
        <w:rPr>
          <w:rFonts w:hint="eastAsia" w:hAnsi="宋体" w:cs="宋体"/>
          <w:szCs w:val="24"/>
          <w:highlight w:val="none"/>
        </w:rPr>
        <w:t>被投诉人2</w:t>
      </w:r>
    </w:p>
    <w:p w14:paraId="31E05E82">
      <w:pPr>
        <w:rPr>
          <w:rFonts w:hAnsi="宋体" w:cs="宋体"/>
          <w:szCs w:val="24"/>
          <w:highlight w:val="none"/>
          <w:u w:val="dotted"/>
        </w:rPr>
      </w:pPr>
      <w:r>
        <w:rPr>
          <w:rFonts w:hint="eastAsia" w:hAnsi="宋体" w:cs="宋体"/>
          <w:szCs w:val="24"/>
          <w:highlight w:val="none"/>
        </w:rPr>
        <w:t>……</w:t>
      </w:r>
    </w:p>
    <w:p w14:paraId="09410796">
      <w:pPr>
        <w:rPr>
          <w:rFonts w:hAnsi="宋体" w:cs="宋体"/>
          <w:szCs w:val="24"/>
          <w:highlight w:val="none"/>
          <w:u w:val="single"/>
        </w:rPr>
      </w:pPr>
      <w:r>
        <w:rPr>
          <w:rFonts w:hint="eastAsia" w:hAnsi="宋体" w:cs="宋体"/>
          <w:szCs w:val="24"/>
          <w:highlight w:val="none"/>
        </w:rPr>
        <w:t>相关供应商：</w:t>
      </w:r>
      <w:r>
        <w:rPr>
          <w:rFonts w:hint="eastAsia" w:hAnsi="宋体" w:cs="宋体"/>
          <w:szCs w:val="24"/>
          <w:highlight w:val="none"/>
          <w:u w:val="dotted"/>
        </w:rPr>
        <w:t xml:space="preserve">                                           </w:t>
      </w:r>
      <w:r>
        <w:rPr>
          <w:rFonts w:hint="eastAsia" w:hAnsi="宋体" w:cs="宋体"/>
          <w:szCs w:val="24"/>
          <w:highlight w:val="none"/>
          <w:u w:val="single"/>
        </w:rPr>
        <w:t xml:space="preserve">    </w:t>
      </w:r>
    </w:p>
    <w:p w14:paraId="1C4EDC17">
      <w:pPr>
        <w:rPr>
          <w:rFonts w:hAnsi="宋体" w:cs="宋体"/>
          <w:szCs w:val="24"/>
          <w:highlight w:val="none"/>
          <w:u w:val="single"/>
        </w:rPr>
      </w:pPr>
      <w:r>
        <w:rPr>
          <w:rFonts w:hint="eastAsia" w:hAnsi="宋体" w:cs="宋体"/>
          <w:szCs w:val="24"/>
          <w:highlight w:val="none"/>
        </w:rPr>
        <w:t>地     址：</w:t>
      </w:r>
      <w:r>
        <w:rPr>
          <w:rFonts w:hint="eastAsia" w:hAnsi="宋体" w:cs="宋体"/>
          <w:szCs w:val="24"/>
          <w:highlight w:val="none"/>
          <w:u w:val="dotted"/>
        </w:rPr>
        <w:t xml:space="preserve">                             </w:t>
      </w:r>
      <w:r>
        <w:rPr>
          <w:rFonts w:hint="eastAsia" w:hAnsi="宋体" w:cs="宋体"/>
          <w:szCs w:val="24"/>
          <w:highlight w:val="none"/>
        </w:rPr>
        <w:t>邮编：</w:t>
      </w:r>
      <w:r>
        <w:rPr>
          <w:rFonts w:hint="eastAsia" w:hAnsi="宋体" w:cs="宋体"/>
          <w:szCs w:val="24"/>
          <w:highlight w:val="none"/>
          <w:u w:val="dotted"/>
        </w:rPr>
        <w:t xml:space="preserve">          </w:t>
      </w:r>
      <w:r>
        <w:rPr>
          <w:rFonts w:hint="eastAsia" w:hAnsi="宋体" w:cs="宋体"/>
          <w:szCs w:val="24"/>
          <w:highlight w:val="none"/>
          <w:u w:val="single"/>
        </w:rPr>
        <w:t xml:space="preserve"> </w:t>
      </w:r>
    </w:p>
    <w:p w14:paraId="0A7515DE">
      <w:pPr>
        <w:rPr>
          <w:rFonts w:hAnsi="宋体" w:cs="宋体"/>
          <w:szCs w:val="24"/>
          <w:highlight w:val="none"/>
          <w:u w:val="single"/>
        </w:rPr>
      </w:pPr>
      <w:r>
        <w:rPr>
          <w:rFonts w:hint="eastAsia" w:hAnsi="宋体" w:cs="宋体"/>
          <w:szCs w:val="24"/>
          <w:highlight w:val="none"/>
        </w:rPr>
        <w:t>联系人：</w:t>
      </w:r>
      <w:r>
        <w:rPr>
          <w:rFonts w:hint="eastAsia" w:hAnsi="宋体" w:cs="宋体"/>
          <w:szCs w:val="24"/>
          <w:highlight w:val="none"/>
          <w:u w:val="dotted"/>
        </w:rPr>
        <w:t xml:space="preserve">               </w:t>
      </w:r>
      <w:r>
        <w:rPr>
          <w:rFonts w:hint="eastAsia" w:hAnsi="宋体" w:cs="宋体"/>
          <w:szCs w:val="24"/>
          <w:highlight w:val="none"/>
        </w:rPr>
        <w:t>联系电话：</w:t>
      </w:r>
      <w:r>
        <w:rPr>
          <w:rFonts w:hint="eastAsia" w:hAnsi="宋体" w:cs="宋体"/>
          <w:szCs w:val="24"/>
          <w:highlight w:val="none"/>
          <w:u w:val="dotted"/>
        </w:rPr>
        <w:t xml:space="preserve">                      </w:t>
      </w:r>
      <w:r>
        <w:rPr>
          <w:rFonts w:hint="eastAsia" w:hAnsi="宋体" w:cs="宋体"/>
          <w:szCs w:val="24"/>
          <w:highlight w:val="none"/>
          <w:u w:val="single"/>
        </w:rPr>
        <w:t xml:space="preserve">      </w:t>
      </w:r>
    </w:p>
    <w:p w14:paraId="160C2C2D">
      <w:pPr>
        <w:rPr>
          <w:rFonts w:hAnsi="宋体" w:cs="宋体"/>
          <w:szCs w:val="24"/>
          <w:highlight w:val="none"/>
        </w:rPr>
      </w:pPr>
      <w:r>
        <w:rPr>
          <w:rFonts w:hint="eastAsia" w:hAnsi="宋体" w:cs="宋体"/>
          <w:szCs w:val="24"/>
          <w:highlight w:val="none"/>
        </w:rPr>
        <w:t>二、投诉项目基本情况</w:t>
      </w:r>
    </w:p>
    <w:p w14:paraId="191E9681">
      <w:pPr>
        <w:rPr>
          <w:rFonts w:hAnsi="宋体" w:cs="宋体"/>
          <w:szCs w:val="24"/>
          <w:highlight w:val="none"/>
          <w:u w:val="dotted"/>
        </w:rPr>
      </w:pPr>
      <w:r>
        <w:rPr>
          <w:rFonts w:hint="eastAsia" w:hAnsi="宋体" w:cs="宋体"/>
          <w:szCs w:val="24"/>
          <w:highlight w:val="none"/>
        </w:rPr>
        <w:t>采购项目名称：</w:t>
      </w:r>
      <w:r>
        <w:rPr>
          <w:rFonts w:hint="eastAsia" w:hAnsi="宋体" w:cs="宋体"/>
          <w:szCs w:val="24"/>
          <w:highlight w:val="none"/>
          <w:u w:val="dotted"/>
        </w:rPr>
        <w:t xml:space="preserve">                                        </w:t>
      </w:r>
    </w:p>
    <w:p w14:paraId="43B2EBC6">
      <w:pPr>
        <w:rPr>
          <w:rFonts w:hAnsi="宋体" w:cs="宋体"/>
          <w:szCs w:val="24"/>
          <w:highlight w:val="none"/>
          <w:u w:val="single"/>
        </w:rPr>
      </w:pPr>
      <w:r>
        <w:rPr>
          <w:rFonts w:hint="eastAsia" w:hAnsi="宋体" w:cs="宋体"/>
          <w:szCs w:val="24"/>
          <w:highlight w:val="none"/>
        </w:rPr>
        <w:t>采购项目编号：</w:t>
      </w:r>
      <w:r>
        <w:rPr>
          <w:rFonts w:hint="eastAsia" w:hAnsi="宋体" w:cs="宋体"/>
          <w:szCs w:val="24"/>
          <w:highlight w:val="none"/>
          <w:u w:val="dotted"/>
        </w:rPr>
        <w:t xml:space="preserve">                 </w:t>
      </w:r>
      <w:r>
        <w:rPr>
          <w:rFonts w:hint="eastAsia" w:hAnsi="宋体" w:cs="宋体"/>
          <w:szCs w:val="24"/>
          <w:highlight w:val="none"/>
        </w:rPr>
        <w:t>包号：</w:t>
      </w:r>
      <w:r>
        <w:rPr>
          <w:rFonts w:hint="eastAsia" w:hAnsi="宋体" w:cs="宋体"/>
          <w:szCs w:val="24"/>
          <w:highlight w:val="none"/>
          <w:u w:val="dotted"/>
        </w:rPr>
        <w:t xml:space="preserve">              </w:t>
      </w:r>
    </w:p>
    <w:p w14:paraId="233994E7">
      <w:pPr>
        <w:rPr>
          <w:rFonts w:hAnsi="宋体" w:cs="宋体"/>
          <w:szCs w:val="24"/>
          <w:highlight w:val="none"/>
        </w:rPr>
      </w:pPr>
      <w:r>
        <w:rPr>
          <w:rFonts w:hint="eastAsia" w:hAnsi="宋体" w:cs="宋体"/>
          <w:szCs w:val="24"/>
          <w:highlight w:val="none"/>
        </w:rPr>
        <w:t>采购人名称：</w:t>
      </w:r>
      <w:r>
        <w:rPr>
          <w:rFonts w:hint="eastAsia" w:hAnsi="宋体" w:cs="宋体"/>
          <w:szCs w:val="24"/>
          <w:highlight w:val="none"/>
          <w:u w:val="dotted"/>
        </w:rPr>
        <w:t xml:space="preserve">                                           </w:t>
      </w:r>
      <w:r>
        <w:rPr>
          <w:rFonts w:hint="eastAsia" w:hAnsi="宋体" w:cs="宋体"/>
          <w:szCs w:val="24"/>
          <w:highlight w:val="none"/>
          <w:u w:val="single"/>
        </w:rPr>
        <w:t xml:space="preserve">  </w:t>
      </w:r>
    </w:p>
    <w:p w14:paraId="4DC70EEE">
      <w:pPr>
        <w:rPr>
          <w:rFonts w:hAnsi="宋体" w:cs="宋体"/>
          <w:szCs w:val="24"/>
          <w:highlight w:val="none"/>
          <w:u w:val="single"/>
        </w:rPr>
      </w:pPr>
      <w:r>
        <w:rPr>
          <w:rFonts w:hint="eastAsia" w:hAnsi="宋体" w:cs="宋体"/>
          <w:szCs w:val="24"/>
          <w:highlight w:val="none"/>
        </w:rPr>
        <w:t>代理机构名称：</w:t>
      </w:r>
      <w:r>
        <w:rPr>
          <w:rFonts w:hint="eastAsia" w:hAnsi="宋体" w:cs="宋体"/>
          <w:szCs w:val="24"/>
          <w:highlight w:val="none"/>
          <w:u w:val="dotted"/>
        </w:rPr>
        <w:t xml:space="preserve">                                         </w:t>
      </w:r>
    </w:p>
    <w:p w14:paraId="1581072D">
      <w:pPr>
        <w:rPr>
          <w:rFonts w:hAnsi="宋体" w:cs="宋体"/>
          <w:szCs w:val="24"/>
          <w:highlight w:val="none"/>
          <w:u w:val="dotted"/>
        </w:rPr>
      </w:pPr>
      <w:r>
        <w:rPr>
          <w:rFonts w:hint="eastAsia" w:hAnsi="宋体" w:cs="宋体"/>
          <w:szCs w:val="24"/>
          <w:highlight w:val="none"/>
        </w:rPr>
        <w:t>采购文件公告:</w:t>
      </w:r>
      <w:r>
        <w:rPr>
          <w:rFonts w:hint="eastAsia" w:hAnsi="宋体" w:cs="宋体"/>
          <w:szCs w:val="24"/>
          <w:highlight w:val="none"/>
          <w:u w:val="dotted"/>
        </w:rPr>
        <w:t xml:space="preserve">是/否 </w:t>
      </w:r>
      <w:r>
        <w:rPr>
          <w:rFonts w:hint="eastAsia" w:hAnsi="宋体" w:cs="宋体"/>
          <w:szCs w:val="24"/>
          <w:highlight w:val="none"/>
        </w:rPr>
        <w:t>公告期限：</w:t>
      </w:r>
      <w:r>
        <w:rPr>
          <w:rFonts w:hint="eastAsia" w:hAnsi="宋体" w:cs="宋体"/>
          <w:szCs w:val="24"/>
          <w:highlight w:val="none"/>
          <w:u w:val="dotted"/>
        </w:rPr>
        <w:t xml:space="preserve">                                 </w:t>
      </w:r>
    </w:p>
    <w:p w14:paraId="30D97BE7">
      <w:pPr>
        <w:rPr>
          <w:rFonts w:hAnsi="宋体" w:cs="宋体"/>
          <w:szCs w:val="24"/>
          <w:highlight w:val="none"/>
          <w:u w:val="single"/>
        </w:rPr>
      </w:pPr>
      <w:r>
        <w:rPr>
          <w:rFonts w:hint="eastAsia" w:hAnsi="宋体" w:cs="宋体"/>
          <w:szCs w:val="24"/>
          <w:highlight w:val="none"/>
        </w:rPr>
        <w:t>采购结果公告:</w:t>
      </w:r>
      <w:r>
        <w:rPr>
          <w:rFonts w:hint="eastAsia" w:hAnsi="宋体" w:cs="宋体"/>
          <w:szCs w:val="24"/>
          <w:highlight w:val="none"/>
          <w:u w:val="dotted"/>
        </w:rPr>
        <w:t xml:space="preserve">是/否 </w:t>
      </w:r>
      <w:r>
        <w:rPr>
          <w:rFonts w:hint="eastAsia" w:hAnsi="宋体" w:cs="宋体"/>
          <w:szCs w:val="24"/>
          <w:highlight w:val="none"/>
        </w:rPr>
        <w:t>公告期限：</w:t>
      </w:r>
      <w:r>
        <w:rPr>
          <w:rFonts w:hint="eastAsia" w:hAnsi="宋体" w:cs="宋体"/>
          <w:szCs w:val="24"/>
          <w:highlight w:val="none"/>
          <w:u w:val="dotted"/>
        </w:rPr>
        <w:t xml:space="preserve">                        </w:t>
      </w:r>
    </w:p>
    <w:p w14:paraId="32CB34AF">
      <w:pPr>
        <w:rPr>
          <w:rFonts w:hAnsi="宋体" w:cs="宋体"/>
          <w:szCs w:val="24"/>
          <w:highlight w:val="none"/>
        </w:rPr>
      </w:pPr>
      <w:r>
        <w:rPr>
          <w:rFonts w:hint="eastAsia" w:hAnsi="宋体" w:cs="宋体"/>
          <w:szCs w:val="24"/>
          <w:highlight w:val="none"/>
        </w:rPr>
        <w:t>三、质疑基本情况</w:t>
      </w:r>
    </w:p>
    <w:p w14:paraId="1725AEC3">
      <w:pPr>
        <w:ind w:firstLine="420" w:firstLineChars="200"/>
        <w:rPr>
          <w:rFonts w:hAnsi="宋体" w:cs="宋体"/>
          <w:szCs w:val="24"/>
          <w:highlight w:val="none"/>
          <w:u w:val="dotted"/>
        </w:rPr>
      </w:pPr>
      <w:r>
        <w:rPr>
          <w:rFonts w:hint="eastAsia" w:hAnsi="宋体" w:cs="宋体"/>
          <w:szCs w:val="24"/>
          <w:highlight w:val="none"/>
        </w:rPr>
        <w:t>投诉人于</w:t>
      </w:r>
      <w:r>
        <w:rPr>
          <w:rFonts w:hint="eastAsia" w:hAnsi="宋体" w:cs="宋体"/>
          <w:szCs w:val="24"/>
          <w:highlight w:val="none"/>
          <w:u w:val="dotted"/>
        </w:rPr>
        <w:t xml:space="preserve">   </w:t>
      </w:r>
      <w:r>
        <w:rPr>
          <w:rFonts w:hint="eastAsia" w:hAnsi="宋体" w:cs="宋体"/>
          <w:szCs w:val="24"/>
          <w:highlight w:val="none"/>
        </w:rPr>
        <w:t>年</w:t>
      </w:r>
      <w:r>
        <w:rPr>
          <w:rFonts w:hint="eastAsia" w:hAnsi="宋体" w:cs="宋体"/>
          <w:szCs w:val="24"/>
          <w:highlight w:val="none"/>
          <w:u w:val="dotted"/>
        </w:rPr>
        <w:t xml:space="preserve">   </w:t>
      </w:r>
      <w:r>
        <w:rPr>
          <w:rFonts w:hint="eastAsia" w:hAnsi="宋体" w:cs="宋体"/>
          <w:szCs w:val="24"/>
          <w:highlight w:val="none"/>
        </w:rPr>
        <w:t>月</w:t>
      </w:r>
      <w:r>
        <w:rPr>
          <w:rFonts w:hint="eastAsia" w:hAnsi="宋体" w:cs="宋体"/>
          <w:szCs w:val="24"/>
          <w:highlight w:val="none"/>
          <w:u w:val="dotted"/>
        </w:rPr>
        <w:t xml:space="preserve">  </w:t>
      </w:r>
      <w:r>
        <w:rPr>
          <w:rFonts w:hint="eastAsia" w:hAnsi="宋体" w:cs="宋体"/>
          <w:szCs w:val="24"/>
          <w:highlight w:val="none"/>
        </w:rPr>
        <w:t>日,向</w:t>
      </w:r>
      <w:r>
        <w:rPr>
          <w:rFonts w:hint="eastAsia" w:hAnsi="宋体" w:cs="宋体"/>
          <w:szCs w:val="24"/>
          <w:highlight w:val="none"/>
          <w:u w:val="dotted"/>
        </w:rPr>
        <w:t xml:space="preserve">                   </w:t>
      </w:r>
      <w:r>
        <w:rPr>
          <w:rFonts w:hint="eastAsia" w:hAnsi="宋体" w:cs="宋体"/>
          <w:szCs w:val="24"/>
          <w:highlight w:val="none"/>
        </w:rPr>
        <w:t>提出质疑，质疑事项为：</w:t>
      </w:r>
      <w:r>
        <w:rPr>
          <w:rFonts w:hint="eastAsia" w:hAnsi="宋体" w:cs="宋体"/>
          <w:szCs w:val="24"/>
          <w:highlight w:val="none"/>
          <w:u w:val="dotted"/>
        </w:rPr>
        <w:t xml:space="preserve">                                </w:t>
      </w:r>
    </w:p>
    <w:p w14:paraId="04BA0A7A">
      <w:pPr>
        <w:rPr>
          <w:rFonts w:hAnsi="宋体" w:cs="宋体"/>
          <w:szCs w:val="24"/>
          <w:highlight w:val="none"/>
          <w:u w:val="dotted"/>
        </w:rPr>
      </w:pPr>
      <w:r>
        <w:rPr>
          <w:rFonts w:hint="eastAsia" w:hAnsi="宋体" w:cs="宋体"/>
          <w:szCs w:val="24"/>
          <w:highlight w:val="none"/>
          <w:u w:val="dotted"/>
        </w:rPr>
        <w:t xml:space="preserve">                                                     </w:t>
      </w:r>
      <w:r>
        <w:rPr>
          <w:rFonts w:hint="eastAsia" w:hAnsi="宋体" w:cs="宋体"/>
          <w:szCs w:val="24"/>
          <w:highlight w:val="none"/>
        </w:rPr>
        <w:t xml:space="preserve">  </w:t>
      </w:r>
    </w:p>
    <w:p w14:paraId="57E7C2BD">
      <w:pPr>
        <w:ind w:firstLine="315" w:firstLineChars="150"/>
        <w:rPr>
          <w:rFonts w:hAnsi="宋体" w:cs="宋体"/>
          <w:szCs w:val="24"/>
          <w:highlight w:val="none"/>
        </w:rPr>
      </w:pPr>
      <w:r>
        <w:rPr>
          <w:rFonts w:hint="eastAsia" w:hAnsi="宋体" w:cs="宋体"/>
          <w:szCs w:val="24"/>
          <w:highlight w:val="none"/>
          <w:u w:val="dotted"/>
        </w:rPr>
        <w:t>采购人/代理机构</w:t>
      </w:r>
      <w:r>
        <w:rPr>
          <w:rFonts w:hint="eastAsia" w:hAnsi="宋体" w:cs="宋体"/>
          <w:szCs w:val="24"/>
          <w:highlight w:val="none"/>
        </w:rPr>
        <w:t>于</w:t>
      </w:r>
      <w:r>
        <w:rPr>
          <w:rFonts w:hint="eastAsia" w:hAnsi="宋体" w:cs="宋体"/>
          <w:szCs w:val="24"/>
          <w:highlight w:val="none"/>
          <w:u w:val="dotted"/>
        </w:rPr>
        <w:t xml:space="preserve">   </w:t>
      </w:r>
      <w:r>
        <w:rPr>
          <w:rFonts w:hint="eastAsia" w:hAnsi="宋体" w:cs="宋体"/>
          <w:szCs w:val="24"/>
          <w:highlight w:val="none"/>
        </w:rPr>
        <w:t>年</w:t>
      </w:r>
      <w:r>
        <w:rPr>
          <w:rFonts w:hint="eastAsia" w:hAnsi="宋体" w:cs="宋体"/>
          <w:szCs w:val="24"/>
          <w:highlight w:val="none"/>
          <w:u w:val="dotted"/>
        </w:rPr>
        <w:t xml:space="preserve">   </w:t>
      </w:r>
      <w:r>
        <w:rPr>
          <w:rFonts w:hint="eastAsia" w:hAnsi="宋体" w:cs="宋体"/>
          <w:szCs w:val="24"/>
          <w:highlight w:val="none"/>
        </w:rPr>
        <w:t>月</w:t>
      </w:r>
      <w:r>
        <w:rPr>
          <w:rFonts w:hint="eastAsia" w:hAnsi="宋体" w:cs="宋体"/>
          <w:szCs w:val="24"/>
          <w:highlight w:val="none"/>
          <w:u w:val="dotted"/>
        </w:rPr>
        <w:t xml:space="preserve">   </w:t>
      </w:r>
      <w:r>
        <w:rPr>
          <w:rFonts w:hint="eastAsia" w:hAnsi="宋体" w:cs="宋体"/>
          <w:szCs w:val="24"/>
          <w:highlight w:val="none"/>
        </w:rPr>
        <w:t>日,就质疑事项作出了答复/没有在法定期限内作出答复。</w:t>
      </w:r>
    </w:p>
    <w:p w14:paraId="63241B3E">
      <w:pPr>
        <w:rPr>
          <w:rFonts w:hAnsi="宋体" w:cs="宋体"/>
          <w:szCs w:val="24"/>
          <w:highlight w:val="none"/>
        </w:rPr>
      </w:pPr>
      <w:r>
        <w:rPr>
          <w:rFonts w:hint="eastAsia" w:hAnsi="宋体" w:cs="宋体"/>
          <w:szCs w:val="24"/>
          <w:highlight w:val="none"/>
        </w:rPr>
        <w:t>四、投诉事项具体内容</w:t>
      </w:r>
    </w:p>
    <w:p w14:paraId="2D802ED0">
      <w:pPr>
        <w:rPr>
          <w:rFonts w:hAnsi="宋体" w:cs="宋体"/>
          <w:szCs w:val="24"/>
          <w:highlight w:val="none"/>
          <w:u w:val="single"/>
        </w:rPr>
      </w:pPr>
      <w:r>
        <w:rPr>
          <w:rFonts w:hint="eastAsia" w:hAnsi="宋体" w:cs="宋体"/>
          <w:szCs w:val="24"/>
          <w:highlight w:val="none"/>
        </w:rPr>
        <w:t>投诉事项 1：</w:t>
      </w:r>
      <w:r>
        <w:rPr>
          <w:rFonts w:hint="eastAsia" w:hAnsi="宋体" w:cs="宋体"/>
          <w:szCs w:val="24"/>
          <w:highlight w:val="none"/>
          <w:u w:val="dotted"/>
        </w:rPr>
        <w:t xml:space="preserve">                                       </w:t>
      </w:r>
    </w:p>
    <w:p w14:paraId="49E6897C">
      <w:pPr>
        <w:rPr>
          <w:rFonts w:hAnsi="宋体" w:cs="宋体"/>
          <w:szCs w:val="24"/>
          <w:highlight w:val="none"/>
        </w:rPr>
      </w:pPr>
      <w:r>
        <w:rPr>
          <w:rFonts w:hint="eastAsia" w:hAnsi="宋体" w:cs="宋体"/>
          <w:szCs w:val="24"/>
          <w:highlight w:val="none"/>
        </w:rPr>
        <w:t>事实依据：</w:t>
      </w:r>
      <w:r>
        <w:rPr>
          <w:rFonts w:hint="eastAsia" w:hAnsi="宋体" w:cs="宋体"/>
          <w:szCs w:val="24"/>
          <w:highlight w:val="none"/>
          <w:u w:val="dotted"/>
        </w:rPr>
        <w:t xml:space="preserve">                                         </w:t>
      </w:r>
    </w:p>
    <w:p w14:paraId="5C3571E1">
      <w:pPr>
        <w:rPr>
          <w:rFonts w:hAnsi="宋体" w:cs="宋体"/>
          <w:szCs w:val="24"/>
          <w:highlight w:val="none"/>
          <w:u w:val="dotted"/>
        </w:rPr>
      </w:pPr>
      <w:r>
        <w:rPr>
          <w:rFonts w:hint="eastAsia" w:hAnsi="宋体" w:cs="宋体"/>
          <w:szCs w:val="24"/>
          <w:highlight w:val="none"/>
          <w:u w:val="dotted"/>
        </w:rPr>
        <w:t xml:space="preserve">                                                      </w:t>
      </w:r>
    </w:p>
    <w:p w14:paraId="1B62B94D">
      <w:pPr>
        <w:rPr>
          <w:rFonts w:hAnsi="宋体" w:cs="宋体"/>
          <w:szCs w:val="24"/>
          <w:highlight w:val="none"/>
          <w:u w:val="single"/>
        </w:rPr>
      </w:pPr>
      <w:r>
        <w:rPr>
          <w:rFonts w:hint="eastAsia" w:hAnsi="宋体" w:cs="宋体"/>
          <w:szCs w:val="24"/>
          <w:highlight w:val="none"/>
        </w:rPr>
        <w:t>法律依据：</w:t>
      </w:r>
      <w:r>
        <w:rPr>
          <w:rFonts w:hint="eastAsia" w:hAnsi="宋体" w:cs="宋体"/>
          <w:szCs w:val="24"/>
          <w:highlight w:val="none"/>
          <w:u w:val="dotted"/>
        </w:rPr>
        <w:t xml:space="preserve">                                          </w:t>
      </w:r>
    </w:p>
    <w:p w14:paraId="7DFF5EAE">
      <w:pPr>
        <w:rPr>
          <w:rFonts w:hAnsi="宋体" w:cs="宋体"/>
          <w:szCs w:val="24"/>
          <w:highlight w:val="none"/>
          <w:u w:val="dotted"/>
        </w:rPr>
      </w:pPr>
      <w:r>
        <w:rPr>
          <w:rFonts w:hint="eastAsia" w:hAnsi="宋体" w:cs="宋体"/>
          <w:szCs w:val="24"/>
          <w:highlight w:val="none"/>
          <w:u w:val="dotted"/>
        </w:rPr>
        <w:t xml:space="preserve">                                                      </w:t>
      </w:r>
    </w:p>
    <w:p w14:paraId="7FA605E8">
      <w:pPr>
        <w:rPr>
          <w:rFonts w:hAnsi="宋体" w:cs="宋体"/>
          <w:szCs w:val="24"/>
          <w:highlight w:val="none"/>
        </w:rPr>
      </w:pPr>
      <w:r>
        <w:rPr>
          <w:rFonts w:hint="eastAsia" w:hAnsi="宋体" w:cs="宋体"/>
          <w:szCs w:val="24"/>
          <w:highlight w:val="none"/>
        </w:rPr>
        <w:t>投诉事项2</w:t>
      </w:r>
    </w:p>
    <w:p w14:paraId="3DFC8C4B">
      <w:pPr>
        <w:rPr>
          <w:rFonts w:hAnsi="宋体" w:cs="宋体"/>
          <w:szCs w:val="24"/>
          <w:highlight w:val="none"/>
          <w:u w:val="dotted"/>
        </w:rPr>
      </w:pPr>
      <w:r>
        <w:rPr>
          <w:rFonts w:hint="eastAsia" w:hAnsi="宋体" w:cs="宋体"/>
          <w:szCs w:val="24"/>
          <w:highlight w:val="none"/>
        </w:rPr>
        <w:t>……</w:t>
      </w:r>
    </w:p>
    <w:p w14:paraId="1E07C345">
      <w:pPr>
        <w:rPr>
          <w:rFonts w:hAnsi="宋体" w:cs="宋体"/>
          <w:szCs w:val="24"/>
          <w:highlight w:val="none"/>
        </w:rPr>
      </w:pPr>
      <w:r>
        <w:rPr>
          <w:rFonts w:hint="eastAsia" w:hAnsi="宋体" w:cs="宋体"/>
          <w:szCs w:val="24"/>
          <w:highlight w:val="none"/>
        </w:rPr>
        <w:t>五、与投诉事项相关的投诉请求</w:t>
      </w:r>
    </w:p>
    <w:p w14:paraId="5B1C01AB">
      <w:pPr>
        <w:rPr>
          <w:rFonts w:hAnsi="宋体" w:cs="宋体"/>
          <w:szCs w:val="24"/>
          <w:highlight w:val="none"/>
        </w:rPr>
      </w:pPr>
      <w:r>
        <w:rPr>
          <w:rFonts w:hint="eastAsia" w:hAnsi="宋体" w:cs="宋体"/>
          <w:szCs w:val="24"/>
          <w:highlight w:val="none"/>
        </w:rPr>
        <w:t>请求：</w:t>
      </w:r>
      <w:r>
        <w:rPr>
          <w:rFonts w:hint="eastAsia" w:hAnsi="宋体" w:cs="宋体"/>
          <w:szCs w:val="24"/>
          <w:highlight w:val="none"/>
          <w:u w:val="dotted"/>
        </w:rPr>
        <w:t xml:space="preserve">                                              </w:t>
      </w:r>
      <w:r>
        <w:rPr>
          <w:rFonts w:hint="eastAsia" w:hAnsi="宋体" w:cs="宋体"/>
          <w:szCs w:val="24"/>
          <w:highlight w:val="none"/>
        </w:rPr>
        <w:t xml:space="preserve"> </w:t>
      </w:r>
    </w:p>
    <w:p w14:paraId="7D5FD6FF">
      <w:pPr>
        <w:rPr>
          <w:rFonts w:hAnsi="宋体" w:cs="宋体"/>
          <w:szCs w:val="24"/>
          <w:highlight w:val="none"/>
          <w:u w:val="single"/>
        </w:rPr>
      </w:pPr>
      <w:r>
        <w:rPr>
          <w:rFonts w:hint="eastAsia" w:hAnsi="宋体" w:cs="宋体"/>
          <w:szCs w:val="24"/>
          <w:highlight w:val="none"/>
        </w:rPr>
        <w:t xml:space="preserve">                                                                                                    </w:t>
      </w:r>
    </w:p>
    <w:p w14:paraId="614642CE">
      <w:pPr>
        <w:rPr>
          <w:rFonts w:hAnsi="宋体" w:cs="宋体"/>
          <w:szCs w:val="24"/>
          <w:highlight w:val="none"/>
        </w:rPr>
      </w:pPr>
      <w:r>
        <w:rPr>
          <w:rFonts w:hint="eastAsia" w:hAnsi="宋体" w:cs="宋体"/>
          <w:szCs w:val="24"/>
          <w:highlight w:val="none"/>
        </w:rPr>
        <w:t xml:space="preserve">签字(签章)：                   公章：                      </w:t>
      </w:r>
    </w:p>
    <w:p w14:paraId="5D3AB07C">
      <w:pPr>
        <w:rPr>
          <w:rFonts w:hAnsi="宋体" w:cs="宋体"/>
          <w:szCs w:val="24"/>
          <w:highlight w:val="none"/>
        </w:rPr>
      </w:pPr>
      <w:r>
        <w:rPr>
          <w:rFonts w:hint="eastAsia" w:hAnsi="宋体" w:cs="宋体"/>
          <w:szCs w:val="24"/>
          <w:highlight w:val="none"/>
        </w:rPr>
        <w:t xml:space="preserve">日期：                      </w:t>
      </w:r>
    </w:p>
    <w:p w14:paraId="4ED6B02C">
      <w:pPr>
        <w:rPr>
          <w:rFonts w:asciiTheme="minorEastAsia" w:hAnsiTheme="minorEastAsia" w:eastAsiaTheme="minorEastAsia" w:cstheme="minorEastAsia"/>
          <w:sz w:val="32"/>
          <w:szCs w:val="32"/>
          <w:highlight w:val="none"/>
        </w:rPr>
      </w:pPr>
    </w:p>
    <w:sectPr>
      <w:type w:val="continuous"/>
      <w:pgSz w:w="11906" w:h="16838"/>
      <w:pgMar w:top="1304" w:right="1361" w:bottom="1304" w:left="136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76E0A">
    <w:pPr>
      <w:pStyle w:val="18"/>
      <w:jc w:val="both"/>
    </w:pPr>
    <w:r>
      <w:rPr>
        <w:rFonts w:hint="eastAsia"/>
      </w:rPr>
      <w:t xml:space="preserve">陕西至诚项目管理集团有限公司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60BAC">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39531">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D115031">
                          <w:pPr>
                            <w:pStyle w:val="18"/>
                          </w:pPr>
                          <w:r>
                            <w:fldChar w:fldCharType="begin"/>
                          </w:r>
                          <w:r>
                            <w:instrText xml:space="preserve"> PAGE  \* MERGEFORMAT </w:instrText>
                          </w:r>
                          <w:r>
                            <w:fldChar w:fldCharType="separate"/>
                          </w:r>
                          <w:r>
                            <w:t>35</w:t>
                          </w:r>
                          <w:r>
                            <w:fldChar w:fldCharType="end"/>
                          </w:r>
                        </w:p>
                      </w:txbxContent>
                    </wps:txbx>
                    <wps:bodyPr wrap="none" lIns="0" tIns="0" rIns="0" bIns="0" upright="0">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LGI8mXRAQAAqwMAAA4AAAAAAAAAAQAgAAAAHgEAAGRy&#10;cy9lMm9Eb2MueG1sUEsFBgAAAAAGAAYAWQEAAGEFAAAAAA==&#10;">
              <v:fill on="f" focussize="0,0"/>
              <v:stroke on="f"/>
              <v:imagedata o:title=""/>
              <o:lock v:ext="edit" aspectratio="f"/>
              <v:textbox inset="0mm,0mm,0mm,0mm" style="mso-fit-shape-to-text:t;">
                <w:txbxContent>
                  <w:p w14:paraId="5D115031">
                    <w:pPr>
                      <w:pStyle w:val="18"/>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2405C">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6D81872">
                          <w:pPr>
                            <w:pStyle w:val="18"/>
                          </w:pPr>
                          <w:r>
                            <w:fldChar w:fldCharType="begin"/>
                          </w:r>
                          <w:r>
                            <w:instrText xml:space="preserve"> PAGE  \* MERGEFORMAT </w:instrText>
                          </w:r>
                          <w:r>
                            <w:fldChar w:fldCharType="separate"/>
                          </w:r>
                          <w:r>
                            <w:t>50</w:t>
                          </w:r>
                          <w:r>
                            <w:fldChar w:fldCharType="end"/>
                          </w:r>
                        </w:p>
                      </w:txbxContent>
                    </wps:txbx>
                    <wps:bodyPr wrap="none" lIns="0" tIns="0" rIns="0" bIns="0" upright="0">
                      <a:spAutoFit/>
                    </wps:bodyPr>
                  </wps:wsp>
                </a:graphicData>
              </a:graphic>
            </wp:anchor>
          </w:drawing>
        </mc:Choice>
        <mc:Fallback>
          <w:pict>
            <v:shape id="文本框 102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lbhQmNABAACrAwAADgAAAAAAAAABACAAAAAeAQAAZHJz&#10;L2Uyb0RvYy54bWxQSwUGAAAAAAYABgBZAQAAYAUAAAAA&#10;">
              <v:fill on="f" focussize="0,0"/>
              <v:stroke on="f"/>
              <v:imagedata o:title=""/>
              <o:lock v:ext="edit" aspectratio="f"/>
              <v:textbox inset="0mm,0mm,0mm,0mm" style="mso-fit-shape-to-text:t;">
                <w:txbxContent>
                  <w:p w14:paraId="36D81872">
                    <w:pPr>
                      <w:pStyle w:val="18"/>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A43F78">
    <w:pPr>
      <w:pStyle w:val="18"/>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65E2EE8">
                          <w:pPr>
                            <w:pStyle w:val="18"/>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20TZo6AgAAcQQAAA4AAABkcnMvZTJvRG9jLnhtbK1UzY7TMBC+I/EO&#10;lu80adEu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ANtE2aOgIAAHEEAAAOAAAAAAAAAAEAIAAAAB8BAABkcnMvZTJvRG9j&#10;LnhtbFBLBQYAAAAABgAGAFkBAADLBQAAAAA=&#10;">
              <v:fill on="f" focussize="0,0"/>
              <v:stroke on="f" weight="0.5pt"/>
              <v:imagedata o:title=""/>
              <o:lock v:ext="edit" aspectratio="f"/>
              <v:textbox inset="0mm,0mm,0mm,0mm" style="mso-fit-shape-to-text:t;">
                <w:txbxContent>
                  <w:p w14:paraId="265E2EE8">
                    <w:pPr>
                      <w:pStyle w:val="18"/>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5F1D3">
    <w:pPr>
      <w:pStyle w:val="18"/>
      <w:jc w:val="both"/>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10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A40DC33">
                          <w:pPr>
                            <w:pStyle w:val="18"/>
                          </w:pPr>
                          <w:r>
                            <w:fldChar w:fldCharType="begin"/>
                          </w:r>
                          <w:r>
                            <w:instrText xml:space="preserve"> PAGE  \* MERGEFORMAT </w:instrText>
                          </w:r>
                          <w:r>
                            <w:fldChar w:fldCharType="separate"/>
                          </w:r>
                          <w:r>
                            <w:t>81</w:t>
                          </w:r>
                          <w:r>
                            <w:fldChar w:fldCharType="end"/>
                          </w:r>
                        </w:p>
                      </w:txbxContent>
                    </wps:txbx>
                    <wps:bodyPr wrap="none" lIns="0" tIns="0" rIns="0" bIns="0" upright="0">
                      <a:spAutoFit/>
                    </wps:bodyPr>
                  </wps:wsp>
                </a:graphicData>
              </a:graphic>
            </wp:anchor>
          </w:drawing>
        </mc:Choice>
        <mc:Fallback>
          <w:pict>
            <v:shape id="文本框 1030"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FF2/V9ABAACrAwAADgAAAAAAAAABACAAAAAeAQAAZHJz&#10;L2Uyb0RvYy54bWxQSwUGAAAAAAYABgBZAQAAYAUAAAAA&#10;">
              <v:fill on="f" focussize="0,0"/>
              <v:stroke on="f"/>
              <v:imagedata o:title=""/>
              <o:lock v:ext="edit" aspectratio="f"/>
              <v:textbox inset="0mm,0mm,0mm,0mm" style="mso-fit-shape-to-text:t;">
                <w:txbxContent>
                  <w:p w14:paraId="6A40DC33">
                    <w:pPr>
                      <w:pStyle w:val="18"/>
                    </w:pPr>
                    <w:r>
                      <w:fldChar w:fldCharType="begin"/>
                    </w:r>
                    <w:r>
                      <w:instrText xml:space="preserve"> PAGE  \* MERGEFORMAT </w:instrText>
                    </w:r>
                    <w:r>
                      <w:fldChar w:fldCharType="separate"/>
                    </w:r>
                    <w:r>
                      <w:t>81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D215D">
    <w:pPr>
      <w:pStyle w:val="19"/>
      <w:jc w:val="both"/>
      <w:rPr>
        <w:rFonts w:ascii="宋体" w:hAnsi="宋体"/>
        <w:szCs w:val="20"/>
      </w:rPr>
    </w:pPr>
    <w:bookmarkStart w:id="150" w:name="OLE_LINK16"/>
  </w:p>
  <w:bookmarkEnd w:id="150"/>
  <w:p w14:paraId="7D1CDB29">
    <w:pPr>
      <w:pStyle w:val="19"/>
      <w:ind w:left="7040" w:hanging="6600" w:hangingChars="4400"/>
      <w:jc w:val="both"/>
      <w:rPr>
        <w:rFonts w:ascii="宋体" w:hAnsi="宋体"/>
        <w:sz w:val="16"/>
        <w:szCs w:val="18"/>
      </w:rPr>
    </w:pPr>
    <w:r>
      <w:rPr>
        <w:rFonts w:hint="eastAsia" w:ascii="宋体" w:hAnsi="宋体"/>
        <w:sz w:val="15"/>
        <w:szCs w:val="16"/>
        <w:lang w:eastAsia="zh-CN"/>
      </w:rPr>
      <w:t>中央财政衔接推进乡村振兴补助资金（欠发达国有林场巩固提升任务）2025年林下种植（魔芋、天麻）建设项目</w:t>
    </w:r>
    <w:r>
      <w:rPr>
        <w:rFonts w:hint="eastAsia" w:ascii="宋体" w:hAnsi="宋体"/>
        <w:sz w:val="15"/>
        <w:szCs w:val="16"/>
      </w:rPr>
      <w:t xml:space="preserve">       </w:t>
    </w:r>
    <w:r>
      <w:rPr>
        <w:rFonts w:hint="eastAsia" w:ascii="宋体" w:hAnsi="宋体"/>
        <w:sz w:val="16"/>
        <w:szCs w:val="18"/>
      </w:rPr>
      <w:t xml:space="preserve">         </w:t>
    </w:r>
    <w:r>
      <w:rPr>
        <w:rFonts w:hint="eastAsia" w:ascii="宋体" w:hAnsi="宋体"/>
        <w:sz w:val="15"/>
        <w:szCs w:val="16"/>
      </w:rPr>
      <w:t>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81CCC">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701CA">
    <w:pPr>
      <w:pStyle w:val="1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FEDF9E"/>
    <w:multiLevelType w:val="singleLevel"/>
    <w:tmpl w:val="BBFEDF9E"/>
    <w:lvl w:ilvl="0" w:tentative="0">
      <w:start w:val="1"/>
      <w:numFmt w:val="decimal"/>
      <w:suff w:val="nothing"/>
      <w:lvlText w:val="%1、"/>
      <w:lvlJc w:val="left"/>
    </w:lvl>
  </w:abstractNum>
  <w:abstractNum w:abstractNumId="1">
    <w:nsid w:val="00000001"/>
    <w:multiLevelType w:val="multilevel"/>
    <w:tmpl w:val="00000001"/>
    <w:lvl w:ilvl="0" w:tentative="0">
      <w:start w:val="1"/>
      <w:numFmt w:val="lowerLetter"/>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E5MDExZDdkMjM5Y2Y0Mzg4ODYzNWFiMTM4NzI2ZDYifQ=="/>
  </w:docVars>
  <w:rsids>
    <w:rsidRoot w:val="00172A27"/>
    <w:rsid w:val="00067DD7"/>
    <w:rsid w:val="00075362"/>
    <w:rsid w:val="00092A0E"/>
    <w:rsid w:val="000E02AD"/>
    <w:rsid w:val="00127453"/>
    <w:rsid w:val="00143875"/>
    <w:rsid w:val="00156141"/>
    <w:rsid w:val="00164F97"/>
    <w:rsid w:val="00172A27"/>
    <w:rsid w:val="0019127F"/>
    <w:rsid w:val="001D165F"/>
    <w:rsid w:val="001E2A55"/>
    <w:rsid w:val="0024067A"/>
    <w:rsid w:val="00243199"/>
    <w:rsid w:val="00295E6A"/>
    <w:rsid w:val="002F588F"/>
    <w:rsid w:val="002F78A0"/>
    <w:rsid w:val="00373AA4"/>
    <w:rsid w:val="003C1454"/>
    <w:rsid w:val="00413044"/>
    <w:rsid w:val="00455193"/>
    <w:rsid w:val="00473028"/>
    <w:rsid w:val="00490FFC"/>
    <w:rsid w:val="004D7F07"/>
    <w:rsid w:val="005010CF"/>
    <w:rsid w:val="00540F52"/>
    <w:rsid w:val="0054336A"/>
    <w:rsid w:val="005869CD"/>
    <w:rsid w:val="00605D5C"/>
    <w:rsid w:val="006109C6"/>
    <w:rsid w:val="0062509C"/>
    <w:rsid w:val="00632D09"/>
    <w:rsid w:val="00634DB8"/>
    <w:rsid w:val="00637068"/>
    <w:rsid w:val="00665BD9"/>
    <w:rsid w:val="00681549"/>
    <w:rsid w:val="006D4D82"/>
    <w:rsid w:val="006F10CE"/>
    <w:rsid w:val="00747E33"/>
    <w:rsid w:val="007517B5"/>
    <w:rsid w:val="007A5351"/>
    <w:rsid w:val="007B0A1F"/>
    <w:rsid w:val="00806027"/>
    <w:rsid w:val="0081730D"/>
    <w:rsid w:val="00821E5A"/>
    <w:rsid w:val="00824545"/>
    <w:rsid w:val="00827E45"/>
    <w:rsid w:val="00834FBA"/>
    <w:rsid w:val="008A653E"/>
    <w:rsid w:val="008B71B0"/>
    <w:rsid w:val="00901771"/>
    <w:rsid w:val="00936646"/>
    <w:rsid w:val="009946C8"/>
    <w:rsid w:val="009D62FB"/>
    <w:rsid w:val="00A13DE2"/>
    <w:rsid w:val="00A15FAA"/>
    <w:rsid w:val="00A539B1"/>
    <w:rsid w:val="00A603A5"/>
    <w:rsid w:val="00A91C13"/>
    <w:rsid w:val="00A96DA3"/>
    <w:rsid w:val="00AF3108"/>
    <w:rsid w:val="00B02C39"/>
    <w:rsid w:val="00B37D6B"/>
    <w:rsid w:val="00B5776E"/>
    <w:rsid w:val="00B96CCE"/>
    <w:rsid w:val="00BC05F2"/>
    <w:rsid w:val="00BF4B25"/>
    <w:rsid w:val="00C1512E"/>
    <w:rsid w:val="00C26C9B"/>
    <w:rsid w:val="00C36AB8"/>
    <w:rsid w:val="00C61893"/>
    <w:rsid w:val="00CB0C3B"/>
    <w:rsid w:val="00CB767A"/>
    <w:rsid w:val="00CC5894"/>
    <w:rsid w:val="00D10014"/>
    <w:rsid w:val="00D642EA"/>
    <w:rsid w:val="00D704DD"/>
    <w:rsid w:val="00D8028D"/>
    <w:rsid w:val="00DB1A1E"/>
    <w:rsid w:val="00DC7CC3"/>
    <w:rsid w:val="00DE5928"/>
    <w:rsid w:val="00E30694"/>
    <w:rsid w:val="00E72F85"/>
    <w:rsid w:val="00EB4B2A"/>
    <w:rsid w:val="01891B53"/>
    <w:rsid w:val="01BC6535"/>
    <w:rsid w:val="02050FB8"/>
    <w:rsid w:val="020E00B4"/>
    <w:rsid w:val="021F1A11"/>
    <w:rsid w:val="0236335D"/>
    <w:rsid w:val="02613983"/>
    <w:rsid w:val="02B773A4"/>
    <w:rsid w:val="02D97BAA"/>
    <w:rsid w:val="044E2916"/>
    <w:rsid w:val="04E23328"/>
    <w:rsid w:val="04E2543C"/>
    <w:rsid w:val="04E958D9"/>
    <w:rsid w:val="04F306CA"/>
    <w:rsid w:val="05BE1FE7"/>
    <w:rsid w:val="060A6FDB"/>
    <w:rsid w:val="061571D6"/>
    <w:rsid w:val="06466524"/>
    <w:rsid w:val="067D52DB"/>
    <w:rsid w:val="068A7924"/>
    <w:rsid w:val="06EA5F41"/>
    <w:rsid w:val="0744651C"/>
    <w:rsid w:val="078D4DA5"/>
    <w:rsid w:val="07964574"/>
    <w:rsid w:val="07DF7F74"/>
    <w:rsid w:val="085462B9"/>
    <w:rsid w:val="08561B2D"/>
    <w:rsid w:val="093733E1"/>
    <w:rsid w:val="098B0B6C"/>
    <w:rsid w:val="09D37127"/>
    <w:rsid w:val="0A715AED"/>
    <w:rsid w:val="0A9477F6"/>
    <w:rsid w:val="0AA63A70"/>
    <w:rsid w:val="0AEF3BF8"/>
    <w:rsid w:val="0AF96D8D"/>
    <w:rsid w:val="0B1B1342"/>
    <w:rsid w:val="0B6E13BF"/>
    <w:rsid w:val="0BE7390B"/>
    <w:rsid w:val="0BE77AE1"/>
    <w:rsid w:val="0C025E77"/>
    <w:rsid w:val="0C750A2F"/>
    <w:rsid w:val="0C932991"/>
    <w:rsid w:val="0CC52FAD"/>
    <w:rsid w:val="0CC770D4"/>
    <w:rsid w:val="0D841421"/>
    <w:rsid w:val="0D8C5C5C"/>
    <w:rsid w:val="0DD762A4"/>
    <w:rsid w:val="0DEC2BF3"/>
    <w:rsid w:val="0E2274C2"/>
    <w:rsid w:val="0E25606B"/>
    <w:rsid w:val="0E547045"/>
    <w:rsid w:val="0E5A6BAA"/>
    <w:rsid w:val="0E7610EC"/>
    <w:rsid w:val="0E8C5D73"/>
    <w:rsid w:val="0EBB3568"/>
    <w:rsid w:val="0EBB7BFD"/>
    <w:rsid w:val="0F58722E"/>
    <w:rsid w:val="107B6893"/>
    <w:rsid w:val="10B97633"/>
    <w:rsid w:val="10D20E9D"/>
    <w:rsid w:val="11253867"/>
    <w:rsid w:val="1147751F"/>
    <w:rsid w:val="11DE3370"/>
    <w:rsid w:val="11DE3DA6"/>
    <w:rsid w:val="121C6938"/>
    <w:rsid w:val="1242041E"/>
    <w:rsid w:val="12B55AA0"/>
    <w:rsid w:val="12C15F07"/>
    <w:rsid w:val="13102E15"/>
    <w:rsid w:val="131B0F17"/>
    <w:rsid w:val="133F6E84"/>
    <w:rsid w:val="1343740D"/>
    <w:rsid w:val="137529DA"/>
    <w:rsid w:val="13900552"/>
    <w:rsid w:val="13AA0B25"/>
    <w:rsid w:val="14051D6D"/>
    <w:rsid w:val="140D6614"/>
    <w:rsid w:val="14161181"/>
    <w:rsid w:val="145C535D"/>
    <w:rsid w:val="148B7473"/>
    <w:rsid w:val="151450A9"/>
    <w:rsid w:val="151B2394"/>
    <w:rsid w:val="15752BB9"/>
    <w:rsid w:val="15817CF1"/>
    <w:rsid w:val="15A308B2"/>
    <w:rsid w:val="16BB1A79"/>
    <w:rsid w:val="17004346"/>
    <w:rsid w:val="17473BF1"/>
    <w:rsid w:val="17676853"/>
    <w:rsid w:val="17B2155B"/>
    <w:rsid w:val="18096E98"/>
    <w:rsid w:val="18355116"/>
    <w:rsid w:val="184925AF"/>
    <w:rsid w:val="18954A05"/>
    <w:rsid w:val="18DD474A"/>
    <w:rsid w:val="18FE652B"/>
    <w:rsid w:val="191424EE"/>
    <w:rsid w:val="19720386"/>
    <w:rsid w:val="19DB7B23"/>
    <w:rsid w:val="1A491727"/>
    <w:rsid w:val="1A5E600C"/>
    <w:rsid w:val="1A7D057D"/>
    <w:rsid w:val="1AC2559A"/>
    <w:rsid w:val="1ACA778D"/>
    <w:rsid w:val="1AD877F4"/>
    <w:rsid w:val="1AED14DC"/>
    <w:rsid w:val="1B38680B"/>
    <w:rsid w:val="1B447BB6"/>
    <w:rsid w:val="1B514392"/>
    <w:rsid w:val="1B75684C"/>
    <w:rsid w:val="1C602EC4"/>
    <w:rsid w:val="1C93305A"/>
    <w:rsid w:val="1CFE47D4"/>
    <w:rsid w:val="1D520676"/>
    <w:rsid w:val="1DDE2DFC"/>
    <w:rsid w:val="1E302B54"/>
    <w:rsid w:val="1E6E3BEA"/>
    <w:rsid w:val="1E7F7CE4"/>
    <w:rsid w:val="1EBE7F7F"/>
    <w:rsid w:val="1EC3782A"/>
    <w:rsid w:val="1EDE38A6"/>
    <w:rsid w:val="1F0E5D1E"/>
    <w:rsid w:val="1F1A7531"/>
    <w:rsid w:val="1F3A20FF"/>
    <w:rsid w:val="1F6126BC"/>
    <w:rsid w:val="1F903BF6"/>
    <w:rsid w:val="202D6F14"/>
    <w:rsid w:val="202E7C7A"/>
    <w:rsid w:val="205B7610"/>
    <w:rsid w:val="205E01F7"/>
    <w:rsid w:val="207615D5"/>
    <w:rsid w:val="207B7CB2"/>
    <w:rsid w:val="20922C90"/>
    <w:rsid w:val="20AD2256"/>
    <w:rsid w:val="20FD6FC3"/>
    <w:rsid w:val="21004DD9"/>
    <w:rsid w:val="21B5378E"/>
    <w:rsid w:val="21EC41F6"/>
    <w:rsid w:val="21EF67C9"/>
    <w:rsid w:val="22196A1F"/>
    <w:rsid w:val="2221450D"/>
    <w:rsid w:val="224909C3"/>
    <w:rsid w:val="233B1878"/>
    <w:rsid w:val="2346744C"/>
    <w:rsid w:val="23624540"/>
    <w:rsid w:val="23686ACB"/>
    <w:rsid w:val="23E84E31"/>
    <w:rsid w:val="24042151"/>
    <w:rsid w:val="24294678"/>
    <w:rsid w:val="24303C58"/>
    <w:rsid w:val="24CB595D"/>
    <w:rsid w:val="25A1715D"/>
    <w:rsid w:val="25D268A7"/>
    <w:rsid w:val="26047265"/>
    <w:rsid w:val="261A0E1D"/>
    <w:rsid w:val="265C0A8A"/>
    <w:rsid w:val="2673111B"/>
    <w:rsid w:val="26E9382C"/>
    <w:rsid w:val="274664DC"/>
    <w:rsid w:val="274A6BAA"/>
    <w:rsid w:val="274C0949"/>
    <w:rsid w:val="27C070A1"/>
    <w:rsid w:val="2837470D"/>
    <w:rsid w:val="285E1D92"/>
    <w:rsid w:val="28885E11"/>
    <w:rsid w:val="28A42EBB"/>
    <w:rsid w:val="29296871"/>
    <w:rsid w:val="29326CF6"/>
    <w:rsid w:val="29566CD7"/>
    <w:rsid w:val="29A26CD6"/>
    <w:rsid w:val="29B91BA6"/>
    <w:rsid w:val="29D5599D"/>
    <w:rsid w:val="2AAD745B"/>
    <w:rsid w:val="2ADB5882"/>
    <w:rsid w:val="2AE2077F"/>
    <w:rsid w:val="2AE83537"/>
    <w:rsid w:val="2BAD70FD"/>
    <w:rsid w:val="2BB94533"/>
    <w:rsid w:val="2BEE61D7"/>
    <w:rsid w:val="2C4715CE"/>
    <w:rsid w:val="2C506768"/>
    <w:rsid w:val="2D1A7C83"/>
    <w:rsid w:val="2D2D2C04"/>
    <w:rsid w:val="2DD91AAB"/>
    <w:rsid w:val="2DEA6FFB"/>
    <w:rsid w:val="2E1D04B8"/>
    <w:rsid w:val="2E453B2A"/>
    <w:rsid w:val="2F4875FA"/>
    <w:rsid w:val="2F984B4F"/>
    <w:rsid w:val="306D7693"/>
    <w:rsid w:val="30EE7385"/>
    <w:rsid w:val="31017A4B"/>
    <w:rsid w:val="318614E1"/>
    <w:rsid w:val="32434D44"/>
    <w:rsid w:val="326714C1"/>
    <w:rsid w:val="32D560F7"/>
    <w:rsid w:val="336D6E92"/>
    <w:rsid w:val="338A49CA"/>
    <w:rsid w:val="33B82D95"/>
    <w:rsid w:val="3408225D"/>
    <w:rsid w:val="34364998"/>
    <w:rsid w:val="34365D32"/>
    <w:rsid w:val="348F397D"/>
    <w:rsid w:val="34CB7A86"/>
    <w:rsid w:val="355C7E64"/>
    <w:rsid w:val="35710369"/>
    <w:rsid w:val="36212568"/>
    <w:rsid w:val="36652F3F"/>
    <w:rsid w:val="369633E0"/>
    <w:rsid w:val="371E406C"/>
    <w:rsid w:val="37727C90"/>
    <w:rsid w:val="37BB447E"/>
    <w:rsid w:val="37C52E2A"/>
    <w:rsid w:val="37D30AEB"/>
    <w:rsid w:val="38583268"/>
    <w:rsid w:val="387C6615"/>
    <w:rsid w:val="39027DE5"/>
    <w:rsid w:val="39187C1C"/>
    <w:rsid w:val="398C3550"/>
    <w:rsid w:val="39EA027C"/>
    <w:rsid w:val="3ABA4320"/>
    <w:rsid w:val="3B822415"/>
    <w:rsid w:val="3B9D543B"/>
    <w:rsid w:val="3BBC17D1"/>
    <w:rsid w:val="3BCB5591"/>
    <w:rsid w:val="3C330DEA"/>
    <w:rsid w:val="3C470E64"/>
    <w:rsid w:val="3CA96812"/>
    <w:rsid w:val="3CD734DF"/>
    <w:rsid w:val="3D2F28A7"/>
    <w:rsid w:val="3DCE0312"/>
    <w:rsid w:val="3E832EAB"/>
    <w:rsid w:val="3EDD3ACE"/>
    <w:rsid w:val="3F461B07"/>
    <w:rsid w:val="3F4866A7"/>
    <w:rsid w:val="3F594E23"/>
    <w:rsid w:val="3F7C478F"/>
    <w:rsid w:val="3FF26BC0"/>
    <w:rsid w:val="401C5365"/>
    <w:rsid w:val="405C4B2A"/>
    <w:rsid w:val="40F128AC"/>
    <w:rsid w:val="410138D0"/>
    <w:rsid w:val="41365A22"/>
    <w:rsid w:val="41AD4734"/>
    <w:rsid w:val="435117C9"/>
    <w:rsid w:val="43831A2F"/>
    <w:rsid w:val="43953D6A"/>
    <w:rsid w:val="43CF4837"/>
    <w:rsid w:val="43E876F6"/>
    <w:rsid w:val="43FF5F3D"/>
    <w:rsid w:val="44366C11"/>
    <w:rsid w:val="44526E5A"/>
    <w:rsid w:val="44857F97"/>
    <w:rsid w:val="448C236A"/>
    <w:rsid w:val="44AB08E1"/>
    <w:rsid w:val="44D957F5"/>
    <w:rsid w:val="44EA4663"/>
    <w:rsid w:val="45675258"/>
    <w:rsid w:val="458034AA"/>
    <w:rsid w:val="45BE4637"/>
    <w:rsid w:val="460803A8"/>
    <w:rsid w:val="461810FC"/>
    <w:rsid w:val="461B60BF"/>
    <w:rsid w:val="46665B57"/>
    <w:rsid w:val="46680A55"/>
    <w:rsid w:val="466B3B11"/>
    <w:rsid w:val="4695686C"/>
    <w:rsid w:val="469D0831"/>
    <w:rsid w:val="471E63F5"/>
    <w:rsid w:val="47353BED"/>
    <w:rsid w:val="473571BC"/>
    <w:rsid w:val="48F2082A"/>
    <w:rsid w:val="48FC34FC"/>
    <w:rsid w:val="4911473F"/>
    <w:rsid w:val="491D3A13"/>
    <w:rsid w:val="49282FCC"/>
    <w:rsid w:val="4937360E"/>
    <w:rsid w:val="494E57BD"/>
    <w:rsid w:val="495A5060"/>
    <w:rsid w:val="49AA6EE4"/>
    <w:rsid w:val="49B00420"/>
    <w:rsid w:val="49E135D9"/>
    <w:rsid w:val="4A9768D8"/>
    <w:rsid w:val="4AEB7055"/>
    <w:rsid w:val="4B0F34BE"/>
    <w:rsid w:val="4B274486"/>
    <w:rsid w:val="4B405527"/>
    <w:rsid w:val="4B4F7A37"/>
    <w:rsid w:val="4BA479F4"/>
    <w:rsid w:val="4C286194"/>
    <w:rsid w:val="4C5379A4"/>
    <w:rsid w:val="4CA50292"/>
    <w:rsid w:val="4CE74F4D"/>
    <w:rsid w:val="4D3320F2"/>
    <w:rsid w:val="4D9E0950"/>
    <w:rsid w:val="4DD13DB7"/>
    <w:rsid w:val="4E3E294A"/>
    <w:rsid w:val="4E541B72"/>
    <w:rsid w:val="4EA6517F"/>
    <w:rsid w:val="4EC445FF"/>
    <w:rsid w:val="4FDC34DE"/>
    <w:rsid w:val="5122082A"/>
    <w:rsid w:val="5132266D"/>
    <w:rsid w:val="518237D8"/>
    <w:rsid w:val="51AB50F9"/>
    <w:rsid w:val="52105F6D"/>
    <w:rsid w:val="529201E3"/>
    <w:rsid w:val="53603363"/>
    <w:rsid w:val="536B7208"/>
    <w:rsid w:val="53B61356"/>
    <w:rsid w:val="53BE2640"/>
    <w:rsid w:val="54167AFF"/>
    <w:rsid w:val="54383293"/>
    <w:rsid w:val="544955B5"/>
    <w:rsid w:val="546654FD"/>
    <w:rsid w:val="54932A0B"/>
    <w:rsid w:val="54B77366"/>
    <w:rsid w:val="54FD2C72"/>
    <w:rsid w:val="55C76018"/>
    <w:rsid w:val="55C847A2"/>
    <w:rsid w:val="562C5F96"/>
    <w:rsid w:val="562F377B"/>
    <w:rsid w:val="56B57E6A"/>
    <w:rsid w:val="57443C4F"/>
    <w:rsid w:val="57B50DB0"/>
    <w:rsid w:val="57D85BBE"/>
    <w:rsid w:val="57DB71F6"/>
    <w:rsid w:val="58FD4D1C"/>
    <w:rsid w:val="59097FF9"/>
    <w:rsid w:val="599747E8"/>
    <w:rsid w:val="5A03237D"/>
    <w:rsid w:val="5A062A70"/>
    <w:rsid w:val="5B070568"/>
    <w:rsid w:val="5B553294"/>
    <w:rsid w:val="5BBC56DC"/>
    <w:rsid w:val="5BF979BC"/>
    <w:rsid w:val="5C076030"/>
    <w:rsid w:val="5C39779C"/>
    <w:rsid w:val="5C7913C1"/>
    <w:rsid w:val="5CA359AC"/>
    <w:rsid w:val="5D086F45"/>
    <w:rsid w:val="5D302F64"/>
    <w:rsid w:val="5D603594"/>
    <w:rsid w:val="5DFF721C"/>
    <w:rsid w:val="5E080023"/>
    <w:rsid w:val="5EB66EE4"/>
    <w:rsid w:val="5EB83AD6"/>
    <w:rsid w:val="5ED76084"/>
    <w:rsid w:val="5F117C07"/>
    <w:rsid w:val="5F790AC3"/>
    <w:rsid w:val="5F9D525C"/>
    <w:rsid w:val="5FCE2CE8"/>
    <w:rsid w:val="5FEA1C45"/>
    <w:rsid w:val="60091E9A"/>
    <w:rsid w:val="60160FF8"/>
    <w:rsid w:val="60400EFA"/>
    <w:rsid w:val="60937D28"/>
    <w:rsid w:val="60967A11"/>
    <w:rsid w:val="60C92B1C"/>
    <w:rsid w:val="61531164"/>
    <w:rsid w:val="61886EF5"/>
    <w:rsid w:val="61907D1A"/>
    <w:rsid w:val="61CD4A79"/>
    <w:rsid w:val="6223294C"/>
    <w:rsid w:val="62303C57"/>
    <w:rsid w:val="62BB48C4"/>
    <w:rsid w:val="633A3BD0"/>
    <w:rsid w:val="63476EDC"/>
    <w:rsid w:val="636B6B6E"/>
    <w:rsid w:val="63747632"/>
    <w:rsid w:val="63861052"/>
    <w:rsid w:val="63943A5A"/>
    <w:rsid w:val="63E63E74"/>
    <w:rsid w:val="6427480A"/>
    <w:rsid w:val="64475E7D"/>
    <w:rsid w:val="648B546D"/>
    <w:rsid w:val="649F2933"/>
    <w:rsid w:val="64CE16D2"/>
    <w:rsid w:val="64F1663F"/>
    <w:rsid w:val="64F73135"/>
    <w:rsid w:val="654900FB"/>
    <w:rsid w:val="655565F0"/>
    <w:rsid w:val="657C2DD4"/>
    <w:rsid w:val="65A64376"/>
    <w:rsid w:val="65C47053"/>
    <w:rsid w:val="666B5E35"/>
    <w:rsid w:val="68325815"/>
    <w:rsid w:val="68876088"/>
    <w:rsid w:val="68A5137B"/>
    <w:rsid w:val="691D5F89"/>
    <w:rsid w:val="694126E9"/>
    <w:rsid w:val="696739C1"/>
    <w:rsid w:val="6A5A4B58"/>
    <w:rsid w:val="6A8037E4"/>
    <w:rsid w:val="6A8D7A7E"/>
    <w:rsid w:val="6AE83140"/>
    <w:rsid w:val="6AEF4F2E"/>
    <w:rsid w:val="6AFE5050"/>
    <w:rsid w:val="6B0A38F5"/>
    <w:rsid w:val="6B1A56DA"/>
    <w:rsid w:val="6C387076"/>
    <w:rsid w:val="6C387C5C"/>
    <w:rsid w:val="6C432E6D"/>
    <w:rsid w:val="6C4E6153"/>
    <w:rsid w:val="6C65594D"/>
    <w:rsid w:val="6CA1310D"/>
    <w:rsid w:val="6CA44400"/>
    <w:rsid w:val="6CA65F4E"/>
    <w:rsid w:val="6CE5519E"/>
    <w:rsid w:val="6CEC29E0"/>
    <w:rsid w:val="6CEE47AC"/>
    <w:rsid w:val="6D2C731E"/>
    <w:rsid w:val="6D365028"/>
    <w:rsid w:val="6D715243"/>
    <w:rsid w:val="6D8039C3"/>
    <w:rsid w:val="6D9B2D1F"/>
    <w:rsid w:val="6DC70686"/>
    <w:rsid w:val="6DDD1A9E"/>
    <w:rsid w:val="6E1903DA"/>
    <w:rsid w:val="6E661BB9"/>
    <w:rsid w:val="6E665F1E"/>
    <w:rsid w:val="6E7E746F"/>
    <w:rsid w:val="6F0B7E5B"/>
    <w:rsid w:val="6F5412F4"/>
    <w:rsid w:val="6FBB0530"/>
    <w:rsid w:val="6FC0544C"/>
    <w:rsid w:val="6FDE756B"/>
    <w:rsid w:val="700D7E81"/>
    <w:rsid w:val="70573900"/>
    <w:rsid w:val="70930445"/>
    <w:rsid w:val="709A42CE"/>
    <w:rsid w:val="70D42421"/>
    <w:rsid w:val="70F822E3"/>
    <w:rsid w:val="713E3AFB"/>
    <w:rsid w:val="71675C25"/>
    <w:rsid w:val="717F3F2C"/>
    <w:rsid w:val="726036A6"/>
    <w:rsid w:val="73437A25"/>
    <w:rsid w:val="734952E7"/>
    <w:rsid w:val="73B9644B"/>
    <w:rsid w:val="73E14111"/>
    <w:rsid w:val="73F5728B"/>
    <w:rsid w:val="7415067E"/>
    <w:rsid w:val="74460DDF"/>
    <w:rsid w:val="74B17A6A"/>
    <w:rsid w:val="74C52498"/>
    <w:rsid w:val="74C74C01"/>
    <w:rsid w:val="75147188"/>
    <w:rsid w:val="754E350B"/>
    <w:rsid w:val="75B17B55"/>
    <w:rsid w:val="75D80178"/>
    <w:rsid w:val="76024771"/>
    <w:rsid w:val="76290C74"/>
    <w:rsid w:val="76335D64"/>
    <w:rsid w:val="764030D7"/>
    <w:rsid w:val="76607512"/>
    <w:rsid w:val="76B0418D"/>
    <w:rsid w:val="77742A87"/>
    <w:rsid w:val="778D031B"/>
    <w:rsid w:val="778E7BEF"/>
    <w:rsid w:val="77CF26E1"/>
    <w:rsid w:val="77E23352"/>
    <w:rsid w:val="782E42F7"/>
    <w:rsid w:val="78482187"/>
    <w:rsid w:val="784C4775"/>
    <w:rsid w:val="7852762D"/>
    <w:rsid w:val="7858377C"/>
    <w:rsid w:val="78EE4629"/>
    <w:rsid w:val="79694470"/>
    <w:rsid w:val="79821002"/>
    <w:rsid w:val="79960744"/>
    <w:rsid w:val="7A1E1F2C"/>
    <w:rsid w:val="7A250C81"/>
    <w:rsid w:val="7AEE2E6C"/>
    <w:rsid w:val="7C24670B"/>
    <w:rsid w:val="7C5840AD"/>
    <w:rsid w:val="7C96585A"/>
    <w:rsid w:val="7CFA0562"/>
    <w:rsid w:val="7D0629E6"/>
    <w:rsid w:val="7D14649C"/>
    <w:rsid w:val="7D1E661D"/>
    <w:rsid w:val="7D4755BE"/>
    <w:rsid w:val="7D4E1F2C"/>
    <w:rsid w:val="7D4F1987"/>
    <w:rsid w:val="7D764FDD"/>
    <w:rsid w:val="7E015E6B"/>
    <w:rsid w:val="7E0643FD"/>
    <w:rsid w:val="7EB553C3"/>
    <w:rsid w:val="7ED25666"/>
    <w:rsid w:val="7F014E71"/>
    <w:rsid w:val="7F1E36D7"/>
    <w:rsid w:val="7F5020C4"/>
    <w:rsid w:val="7F9046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nhideWhenUsed="0" w:uiPriority="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qFormat="1" w:unhideWhenUsed="0" w:uiPriority="99"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qFormat/>
    <w:uiPriority w:val="0"/>
    <w:pPr>
      <w:keepNext/>
      <w:keepLines/>
      <w:spacing w:line="576" w:lineRule="auto"/>
      <w:outlineLvl w:val="0"/>
    </w:pPr>
    <w:rPr>
      <w:b/>
      <w:kern w:val="44"/>
      <w:sz w:val="44"/>
    </w:rPr>
  </w:style>
  <w:style w:type="paragraph" w:styleId="4">
    <w:name w:val="heading 2"/>
    <w:basedOn w:val="1"/>
    <w:next w:val="1"/>
    <w:qFormat/>
    <w:uiPriority w:val="99"/>
    <w:pPr>
      <w:keepNext/>
      <w:keepLines/>
      <w:spacing w:before="260" w:after="260" w:line="416" w:lineRule="auto"/>
      <w:jc w:val="left"/>
      <w:outlineLvl w:val="1"/>
    </w:pPr>
    <w:rPr>
      <w:rFonts w:ascii="Cambria" w:hAnsi="Cambria" w:cs="Cambria"/>
      <w:b/>
      <w:bCs/>
      <w:sz w:val="32"/>
      <w:szCs w:val="32"/>
    </w:rPr>
  </w:style>
  <w:style w:type="paragraph" w:styleId="5">
    <w:name w:val="heading 3"/>
    <w:basedOn w:val="1"/>
    <w:next w:val="1"/>
    <w:qFormat/>
    <w:uiPriority w:val="0"/>
    <w:pPr>
      <w:keepNext/>
      <w:spacing w:beforeLines="200" w:line="400" w:lineRule="exact"/>
      <w:jc w:val="center"/>
      <w:outlineLvl w:val="2"/>
    </w:pPr>
    <w:rPr>
      <w:b/>
      <w:bCs/>
      <w:sz w:val="24"/>
      <w:szCs w:val="24"/>
    </w:rPr>
  </w:style>
  <w:style w:type="paragraph" w:styleId="6">
    <w:name w:val="heading 4"/>
    <w:basedOn w:val="1"/>
    <w:next w:val="1"/>
    <w:qFormat/>
    <w:uiPriority w:val="0"/>
    <w:pPr>
      <w:keepNext/>
      <w:keepLines/>
      <w:widowControl/>
      <w:spacing w:before="280" w:after="290" w:line="376" w:lineRule="auto"/>
      <w:jc w:val="left"/>
      <w:outlineLvl w:val="3"/>
    </w:pPr>
    <w:rPr>
      <w:rFonts w:ascii="Arial" w:hAnsi="Arial" w:eastAsia="黑体"/>
      <w:b/>
      <w:bCs/>
      <w:kern w:val="0"/>
      <w:sz w:val="28"/>
      <w:szCs w:val="28"/>
    </w:rPr>
  </w:style>
  <w:style w:type="paragraph" w:styleId="7">
    <w:name w:val="heading 6"/>
    <w:basedOn w:val="1"/>
    <w:next w:val="1"/>
    <w:qFormat/>
    <w:uiPriority w:val="0"/>
    <w:pPr>
      <w:spacing w:beforeAutospacing="1" w:afterAutospacing="1"/>
      <w:jc w:val="left"/>
      <w:outlineLvl w:val="5"/>
    </w:pPr>
    <w:rPr>
      <w:rFonts w:hint="eastAsia" w:ascii="宋体" w:hAnsi="宋体"/>
      <w:b/>
      <w:bCs/>
      <w:kern w:val="0"/>
      <w:sz w:val="15"/>
      <w:szCs w:val="15"/>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2">
    <w:name w:val="macro"/>
    <w:semiHidden/>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8">
    <w:name w:val="Normal Indent"/>
    <w:basedOn w:val="1"/>
    <w:qFormat/>
    <w:uiPriority w:val="0"/>
    <w:pPr>
      <w:spacing w:line="300" w:lineRule="auto"/>
      <w:ind w:firstLine="420" w:firstLineChars="200"/>
    </w:pPr>
    <w:rPr>
      <w:szCs w:val="24"/>
    </w:rPr>
  </w:style>
  <w:style w:type="paragraph" w:styleId="9">
    <w:name w:val="annotation text"/>
    <w:basedOn w:val="1"/>
    <w:qFormat/>
    <w:uiPriority w:val="0"/>
    <w:pPr>
      <w:jc w:val="left"/>
    </w:pPr>
  </w:style>
  <w:style w:type="paragraph" w:styleId="10">
    <w:name w:val="Body Text 3"/>
    <w:basedOn w:val="1"/>
    <w:qFormat/>
    <w:uiPriority w:val="0"/>
    <w:pPr>
      <w:spacing w:after="120"/>
    </w:pPr>
    <w:rPr>
      <w:sz w:val="16"/>
      <w:szCs w:val="16"/>
    </w:rPr>
  </w:style>
  <w:style w:type="paragraph" w:styleId="11">
    <w:name w:val="Body Text"/>
    <w:basedOn w:val="1"/>
    <w:qFormat/>
    <w:uiPriority w:val="0"/>
    <w:rPr>
      <w:rFonts w:ascii="仿宋_GB2312" w:eastAsia="仿宋_GB2312"/>
      <w:spacing w:val="-20"/>
      <w:sz w:val="28"/>
      <w:szCs w:val="20"/>
    </w:rPr>
  </w:style>
  <w:style w:type="paragraph" w:styleId="12">
    <w:name w:val="Body Text Indent"/>
    <w:basedOn w:val="1"/>
    <w:next w:val="13"/>
    <w:qFormat/>
    <w:uiPriority w:val="0"/>
    <w:pPr>
      <w:widowControl/>
      <w:ind w:firstLine="652" w:firstLineChars="233"/>
    </w:pPr>
    <w:rPr>
      <w:kern w:val="0"/>
      <w:sz w:val="28"/>
    </w:rPr>
  </w:style>
  <w:style w:type="paragraph" w:customStyle="1" w:styleId="13">
    <w:name w:val="font5"/>
    <w:basedOn w:val="1"/>
    <w:qFormat/>
    <w:uiPriority w:val="0"/>
    <w:pPr>
      <w:widowControl/>
      <w:spacing w:before="100" w:beforeLines="0" w:beforeAutospacing="1" w:after="100" w:afterLines="0" w:afterAutospacing="1"/>
      <w:jc w:val="left"/>
    </w:pPr>
    <w:rPr>
      <w:rFonts w:hint="eastAsia" w:ascii="宋体" w:hAnsi="宋体"/>
      <w:kern w:val="0"/>
      <w:sz w:val="24"/>
    </w:rPr>
  </w:style>
  <w:style w:type="paragraph" w:styleId="14">
    <w:name w:val="toc 3"/>
    <w:basedOn w:val="1"/>
    <w:next w:val="1"/>
    <w:qFormat/>
    <w:uiPriority w:val="0"/>
    <w:pPr>
      <w:ind w:left="840" w:leftChars="400"/>
    </w:pPr>
  </w:style>
  <w:style w:type="paragraph" w:styleId="15">
    <w:name w:val="Plain Text"/>
    <w:basedOn w:val="1"/>
    <w:qFormat/>
    <w:uiPriority w:val="99"/>
    <w:rPr>
      <w:rFonts w:ascii="宋体" w:hAnsi="Courier New" w:cs="宋体"/>
    </w:rPr>
  </w:style>
  <w:style w:type="paragraph" w:styleId="16">
    <w:name w:val="Date"/>
    <w:basedOn w:val="1"/>
    <w:next w:val="1"/>
    <w:qFormat/>
    <w:uiPriority w:val="0"/>
    <w:rPr>
      <w:sz w:val="28"/>
    </w:rPr>
  </w:style>
  <w:style w:type="paragraph" w:styleId="17">
    <w:name w:val="Balloon Text"/>
    <w:basedOn w:val="1"/>
    <w:link w:val="55"/>
    <w:qFormat/>
    <w:uiPriority w:val="0"/>
    <w:rPr>
      <w:sz w:val="18"/>
      <w:szCs w:val="18"/>
    </w:rPr>
  </w:style>
  <w:style w:type="paragraph" w:styleId="18">
    <w:name w:val="footer"/>
    <w:basedOn w:val="1"/>
    <w:qFormat/>
    <w:uiPriority w:val="99"/>
    <w:pPr>
      <w:tabs>
        <w:tab w:val="center" w:pos="4153"/>
        <w:tab w:val="right" w:pos="8306"/>
      </w:tabs>
      <w:snapToGrid w:val="0"/>
      <w:jc w:val="left"/>
    </w:pPr>
    <w:rPr>
      <w:sz w:val="18"/>
      <w:szCs w:val="18"/>
    </w:rPr>
  </w:style>
  <w:style w:type="paragraph" w:styleId="19">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style>
  <w:style w:type="paragraph" w:styleId="21">
    <w:name w:val="toc 4"/>
    <w:basedOn w:val="1"/>
    <w:next w:val="1"/>
    <w:qFormat/>
    <w:uiPriority w:val="0"/>
    <w:pPr>
      <w:ind w:left="1260" w:leftChars="600"/>
    </w:pPr>
  </w:style>
  <w:style w:type="paragraph" w:styleId="22">
    <w:name w:val="Body Text Indent 3"/>
    <w:basedOn w:val="1"/>
    <w:qFormat/>
    <w:uiPriority w:val="99"/>
    <w:pPr>
      <w:spacing w:line="360" w:lineRule="auto"/>
      <w:ind w:left="420" w:firstLine="480"/>
    </w:pPr>
    <w:rPr>
      <w:rFonts w:ascii="宋体" w:hAnsi="宋体" w:cs="宋体"/>
      <w:sz w:val="24"/>
      <w:szCs w:val="24"/>
    </w:rPr>
  </w:style>
  <w:style w:type="paragraph" w:styleId="23">
    <w:name w:val="toc 2"/>
    <w:basedOn w:val="1"/>
    <w:next w:val="1"/>
    <w:unhideWhenUsed/>
    <w:qFormat/>
    <w:uiPriority w:val="39"/>
    <w:pPr>
      <w:ind w:left="420" w:leftChars="200"/>
    </w:pPr>
  </w:style>
  <w:style w:type="paragraph" w:styleId="24">
    <w:name w:val="Body Text 2"/>
    <w:basedOn w:val="1"/>
    <w:qFormat/>
    <w:uiPriority w:val="0"/>
    <w:pPr>
      <w:adjustRightInd w:val="0"/>
      <w:snapToGrid w:val="0"/>
      <w:spacing w:line="480" w:lineRule="atLeast"/>
    </w:pPr>
    <w:rPr>
      <w:rFonts w:ascii="宋体" w:hAnsi="宋体"/>
      <w:sz w:val="28"/>
    </w:rPr>
  </w:style>
  <w:style w:type="paragraph" w:styleId="25">
    <w:name w:val="Normal (Web)"/>
    <w:basedOn w:val="1"/>
    <w:qFormat/>
    <w:uiPriority w:val="0"/>
    <w:pPr>
      <w:jc w:val="left"/>
    </w:pPr>
    <w:rPr>
      <w:color w:val="3D3D3D"/>
      <w:kern w:val="0"/>
      <w:sz w:val="24"/>
    </w:rPr>
  </w:style>
  <w:style w:type="paragraph" w:styleId="26">
    <w:name w:val="Body Text First Indent"/>
    <w:basedOn w:val="1"/>
    <w:next w:val="1"/>
    <w:qFormat/>
    <w:uiPriority w:val="0"/>
    <w:pPr>
      <w:ind w:firstLine="420" w:firstLineChars="100"/>
    </w:pPr>
    <w:rPr>
      <w:rFonts w:ascii="Times New Roman" w:eastAsia="宋体"/>
    </w:rPr>
  </w:style>
  <w:style w:type="paragraph" w:styleId="27">
    <w:name w:val="Body Text First Indent 2"/>
    <w:basedOn w:val="12"/>
    <w:next w:val="26"/>
    <w:qFormat/>
    <w:uiPriority w:val="99"/>
  </w:style>
  <w:style w:type="table" w:styleId="29">
    <w:name w:val="Table Grid"/>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Strong"/>
    <w:basedOn w:val="30"/>
    <w:qFormat/>
    <w:uiPriority w:val="0"/>
    <w:rPr>
      <w:bCs/>
    </w:rPr>
  </w:style>
  <w:style w:type="character" w:styleId="32">
    <w:name w:val="FollowedHyperlink"/>
    <w:basedOn w:val="30"/>
    <w:qFormat/>
    <w:uiPriority w:val="0"/>
    <w:rPr>
      <w:color w:val="800080"/>
      <w:u w:val="none"/>
    </w:rPr>
  </w:style>
  <w:style w:type="character" w:styleId="33">
    <w:name w:val="Emphasis"/>
    <w:basedOn w:val="30"/>
    <w:qFormat/>
    <w:uiPriority w:val="0"/>
  </w:style>
  <w:style w:type="character" w:styleId="34">
    <w:name w:val="Hyperlink"/>
    <w:basedOn w:val="30"/>
    <w:qFormat/>
    <w:uiPriority w:val="0"/>
    <w:rPr>
      <w:color w:val="0000FF"/>
      <w:u w:val="none"/>
    </w:rPr>
  </w:style>
  <w:style w:type="paragraph" w:customStyle="1" w:styleId="35">
    <w:name w:val="正文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6">
    <w:name w:val="列出段落1"/>
    <w:basedOn w:val="1"/>
    <w:qFormat/>
    <w:uiPriority w:val="34"/>
    <w:pPr>
      <w:ind w:firstLine="420" w:firstLineChars="200"/>
    </w:pPr>
  </w:style>
  <w:style w:type="paragraph" w:customStyle="1" w:styleId="37">
    <w:name w:val="List Paragraph1"/>
    <w:qFormat/>
    <w:uiPriority w:val="0"/>
    <w:pPr>
      <w:ind w:firstLine="420" w:firstLineChars="200"/>
    </w:pPr>
    <w:rPr>
      <w:rFonts w:ascii="Calibri" w:hAnsi="Calibri" w:eastAsia="宋体" w:cs="Times New Roman"/>
      <w:sz w:val="21"/>
      <w:szCs w:val="22"/>
      <w:lang w:val="en-US" w:eastAsia="zh-CN" w:bidi="ar-SA"/>
    </w:rPr>
  </w:style>
  <w:style w:type="paragraph" w:customStyle="1" w:styleId="38">
    <w:name w:val="样式 标题 2 Char + (西文) 黑体 段前: 6 磅 段后: 0.5 行 行距: 1.5 倍行距"/>
    <w:basedOn w:val="4"/>
    <w:qFormat/>
    <w:uiPriority w:val="0"/>
    <w:pPr>
      <w:spacing w:before="120" w:line="360" w:lineRule="auto"/>
    </w:pPr>
    <w:rPr>
      <w:rFonts w:ascii="黑体" w:hAnsi="黑体" w:cs="宋体"/>
      <w:sz w:val="28"/>
      <w:szCs w:val="20"/>
    </w:rPr>
  </w:style>
  <w:style w:type="paragraph" w:customStyle="1" w:styleId="39">
    <w:name w:val="样式1"/>
    <w:next w:val="2"/>
    <w:qFormat/>
    <w:uiPriority w:val="0"/>
    <w:pPr>
      <w:widowControl w:val="0"/>
      <w:ind w:firstLine="200" w:firstLineChars="200"/>
      <w:jc w:val="both"/>
    </w:pPr>
    <w:rPr>
      <w:rFonts w:ascii="仿宋_GB2312" w:hAnsi="Times New Roman" w:eastAsia="仿宋_GB2312" w:cs="Times New Roman"/>
      <w:kern w:val="2"/>
      <w:sz w:val="28"/>
      <w:szCs w:val="28"/>
      <w:lang w:val="en-US" w:eastAsia="zh-CN" w:bidi="ar-SA"/>
    </w:rPr>
  </w:style>
  <w:style w:type="paragraph" w:customStyle="1" w:styleId="40">
    <w:name w:val="p0"/>
    <w:basedOn w:val="1"/>
    <w:qFormat/>
    <w:uiPriority w:val="0"/>
    <w:pPr>
      <w:widowControl/>
    </w:pPr>
    <w:rPr>
      <w:kern w:val="0"/>
      <w:sz w:val="32"/>
      <w:szCs w:val="21"/>
    </w:rPr>
  </w:style>
  <w:style w:type="paragraph" w:customStyle="1" w:styleId="41">
    <w:name w:val="List Paragraph_2b5ace25-7929-4310-8a1a-2bf2c1be16a7"/>
    <w:basedOn w:val="1"/>
    <w:qFormat/>
    <w:uiPriority w:val="34"/>
    <w:pPr>
      <w:ind w:firstLine="420" w:firstLineChars="200"/>
    </w:pPr>
  </w:style>
  <w:style w:type="paragraph" w:customStyle="1" w:styleId="42">
    <w:name w:val="Char1"/>
    <w:basedOn w:val="1"/>
    <w:qFormat/>
    <w:uiPriority w:val="0"/>
    <w:pPr>
      <w:tabs>
        <w:tab w:val="left" w:pos="360"/>
      </w:tabs>
      <w:ind w:left="360" w:hanging="360" w:hangingChars="200"/>
    </w:pPr>
    <w:rPr>
      <w:szCs w:val="24"/>
    </w:rPr>
  </w:style>
  <w:style w:type="character" w:customStyle="1" w:styleId="43">
    <w:name w:val="font01"/>
    <w:basedOn w:val="30"/>
    <w:qFormat/>
    <w:uiPriority w:val="0"/>
    <w:rPr>
      <w:rFonts w:hint="eastAsia" w:ascii="宋体" w:hAnsi="宋体" w:eastAsia="宋体" w:cs="宋体"/>
      <w:color w:val="000000"/>
      <w:sz w:val="20"/>
      <w:szCs w:val="20"/>
      <w:u w:val="none"/>
    </w:rPr>
  </w:style>
  <w:style w:type="character" w:customStyle="1" w:styleId="44">
    <w:name w:val="proollist"/>
    <w:basedOn w:val="30"/>
    <w:qFormat/>
    <w:uiPriority w:val="0"/>
  </w:style>
  <w:style w:type="character" w:customStyle="1" w:styleId="45">
    <w:name w:val="beforeinfotext"/>
    <w:basedOn w:val="30"/>
    <w:qFormat/>
    <w:uiPriority w:val="0"/>
    <w:rPr>
      <w:color w:val="666666"/>
    </w:rPr>
  </w:style>
  <w:style w:type="character" w:customStyle="1" w:styleId="46">
    <w:name w:val="phone"/>
    <w:basedOn w:val="30"/>
    <w:qFormat/>
    <w:uiPriority w:val="0"/>
    <w:rPr>
      <w:color w:val="FF8833"/>
      <w:sz w:val="18"/>
      <w:szCs w:val="18"/>
    </w:rPr>
  </w:style>
  <w:style w:type="character" w:customStyle="1" w:styleId="47">
    <w:name w:val="number"/>
    <w:basedOn w:val="30"/>
    <w:qFormat/>
    <w:uiPriority w:val="0"/>
    <w:rPr>
      <w:color w:val="FF8833"/>
      <w:sz w:val="18"/>
      <w:szCs w:val="18"/>
    </w:rPr>
  </w:style>
  <w:style w:type="paragraph" w:customStyle="1" w:styleId="48">
    <w:name w:val="title11"/>
    <w:basedOn w:val="1"/>
    <w:qFormat/>
    <w:uiPriority w:val="0"/>
    <w:pPr>
      <w:spacing w:before="150"/>
      <w:jc w:val="left"/>
    </w:pPr>
    <w:rPr>
      <w:b/>
      <w:kern w:val="0"/>
      <w:sz w:val="22"/>
    </w:rPr>
  </w:style>
  <w:style w:type="paragraph" w:customStyle="1" w:styleId="49">
    <w:name w:val="title13"/>
    <w:basedOn w:val="1"/>
    <w:qFormat/>
    <w:uiPriority w:val="0"/>
    <w:pPr>
      <w:spacing w:before="150"/>
      <w:jc w:val="left"/>
    </w:pPr>
    <w:rPr>
      <w:b/>
      <w:kern w:val="0"/>
      <w:sz w:val="22"/>
    </w:rPr>
  </w:style>
  <w:style w:type="character" w:customStyle="1" w:styleId="50">
    <w:name w:val="stclosebtn"/>
    <w:basedOn w:val="30"/>
    <w:qFormat/>
    <w:uiPriority w:val="0"/>
  </w:style>
  <w:style w:type="paragraph" w:customStyle="1" w:styleId="51">
    <w:name w:val="样式 样式 样式 (中文) 仿宋_GB2312 四号 黑色 行距: 固定值 28.5 磅 首行缩进:  1.92 字符 + 首行..."/>
    <w:basedOn w:val="1"/>
    <w:qFormat/>
    <w:uiPriority w:val="0"/>
    <w:pPr>
      <w:widowControl/>
      <w:ind w:firstLine="200" w:firstLineChars="200"/>
      <w:jc w:val="left"/>
    </w:pPr>
    <w:rPr>
      <w:rFonts w:eastAsia="仿宋_GB2312" w:cs="宋体"/>
      <w:color w:val="000000"/>
      <w:kern w:val="0"/>
      <w:sz w:val="28"/>
      <w:szCs w:val="20"/>
    </w:rPr>
  </w:style>
  <w:style w:type="paragraph" w:customStyle="1" w:styleId="52">
    <w:name w:val="列出段落11"/>
    <w:basedOn w:val="1"/>
    <w:qFormat/>
    <w:uiPriority w:val="34"/>
    <w:pPr>
      <w:ind w:firstLine="420" w:firstLineChars="200"/>
    </w:pPr>
    <w:rPr>
      <w:rFonts w:ascii="Calibri" w:hAnsi="Calibri"/>
    </w:rPr>
  </w:style>
  <w:style w:type="paragraph" w:customStyle="1" w:styleId="53">
    <w:name w:val="Body text|1"/>
    <w:basedOn w:val="1"/>
    <w:qFormat/>
    <w:uiPriority w:val="0"/>
    <w:pPr>
      <w:spacing w:line="454" w:lineRule="auto"/>
      <w:ind w:firstLine="400"/>
    </w:pPr>
    <w:rPr>
      <w:rFonts w:ascii="宋体" w:hAnsi="宋体" w:cs="宋体"/>
      <w:sz w:val="26"/>
      <w:szCs w:val="26"/>
      <w:lang w:val="zh-TW" w:eastAsia="zh-TW" w:bidi="zh-TW"/>
    </w:rPr>
  </w:style>
  <w:style w:type="paragraph" w:customStyle="1" w:styleId="54">
    <w:name w:val="标题 21"/>
    <w:basedOn w:val="35"/>
    <w:next w:val="35"/>
    <w:qFormat/>
    <w:uiPriority w:val="0"/>
    <w:pPr>
      <w:ind w:left="270" w:hanging="270"/>
      <w:jc w:val="left"/>
      <w:outlineLvl w:val="1"/>
    </w:pPr>
    <w:rPr>
      <w:rFonts w:ascii="Arial" w:hAnsi="Arial" w:cs="宋体"/>
      <w:kern w:val="0"/>
      <w:sz w:val="32"/>
      <w:szCs w:val="32"/>
      <w:lang w:val="zh-CN"/>
    </w:rPr>
  </w:style>
  <w:style w:type="character" w:customStyle="1" w:styleId="55">
    <w:name w:val="批注框文本 Char"/>
    <w:basedOn w:val="30"/>
    <w:link w:val="17"/>
    <w:qFormat/>
    <w:uiPriority w:val="0"/>
    <w:rPr>
      <w:kern w:val="2"/>
      <w:sz w:val="18"/>
      <w:szCs w:val="18"/>
    </w:rPr>
  </w:style>
  <w:style w:type="paragraph" w:customStyle="1" w:styleId="56">
    <w:name w:val="Table Text"/>
    <w:basedOn w:val="1"/>
    <w:semiHidden/>
    <w:qFormat/>
    <w:uiPriority w:val="0"/>
    <w:rPr>
      <w:rFonts w:ascii="仿宋" w:hAnsi="仿宋" w:eastAsia="仿宋" w:cs="仿宋"/>
      <w:sz w:val="24"/>
      <w:szCs w:val="24"/>
      <w:lang w:val="en-US" w:eastAsia="en-US" w:bidi="ar-SA"/>
    </w:rPr>
  </w:style>
  <w:style w:type="table" w:customStyle="1" w:styleId="57">
    <w:name w:val="Table Normal"/>
    <w:semiHidden/>
    <w:unhideWhenUsed/>
    <w:qFormat/>
    <w:uiPriority w:val="0"/>
    <w:tblPr>
      <w:tblCellMar>
        <w:top w:w="0" w:type="dxa"/>
        <w:left w:w="0" w:type="dxa"/>
        <w:bottom w:w="0" w:type="dxa"/>
        <w:right w:w="0" w:type="dxa"/>
      </w:tblCellMar>
    </w:tblPr>
  </w:style>
  <w:style w:type="character" w:customStyle="1" w:styleId="58">
    <w:name w:val="font11"/>
    <w:basedOn w:val="30"/>
    <w:qFormat/>
    <w:uiPriority w:val="0"/>
    <w:rPr>
      <w:rFonts w:ascii="宋体" w:hAnsi="宋体" w:eastAsia="宋体" w:cs="宋体"/>
      <w:b/>
      <w:bCs/>
      <w:color w:val="000000"/>
      <w:sz w:val="24"/>
      <w:szCs w:val="24"/>
      <w:u w:val="none"/>
    </w:rPr>
  </w:style>
  <w:style w:type="character" w:customStyle="1" w:styleId="59">
    <w:name w:val="font81"/>
    <w:basedOn w:val="30"/>
    <w:qFormat/>
    <w:uiPriority w:val="0"/>
    <w:rPr>
      <w:rFonts w:ascii="宋体" w:hAnsi="宋体" w:eastAsia="宋体" w:cs="宋体"/>
      <w:b/>
      <w:bCs/>
      <w:color w:val="000000"/>
      <w:sz w:val="24"/>
      <w:szCs w:val="24"/>
      <w:u w:val="single"/>
    </w:rPr>
  </w:style>
  <w:style w:type="character" w:customStyle="1" w:styleId="60">
    <w:name w:val="font31"/>
    <w:basedOn w:val="30"/>
    <w:qFormat/>
    <w:uiPriority w:val="0"/>
    <w:rPr>
      <w:rFonts w:ascii="宋体" w:hAnsi="宋体" w:eastAsia="宋体" w:cs="宋体"/>
      <w:color w:val="000000"/>
      <w:sz w:val="16"/>
      <w:szCs w:val="16"/>
      <w:u w:val="none"/>
    </w:rPr>
  </w:style>
  <w:style w:type="character" w:customStyle="1" w:styleId="61">
    <w:name w:val="font41"/>
    <w:basedOn w:val="30"/>
    <w:qFormat/>
    <w:uiPriority w:val="0"/>
    <w:rPr>
      <w:rFonts w:hint="eastAsia" w:ascii="宋体" w:hAnsi="宋体" w:eastAsia="宋体" w:cs="宋体"/>
      <w:color w:val="000000"/>
      <w:sz w:val="22"/>
      <w:szCs w:val="22"/>
      <w:u w:val="none"/>
    </w:rPr>
  </w:style>
  <w:style w:type="character" w:customStyle="1" w:styleId="62">
    <w:name w:val="font91"/>
    <w:basedOn w:val="30"/>
    <w:qFormat/>
    <w:uiPriority w:val="0"/>
    <w:rPr>
      <w:rFonts w:hint="default" w:ascii="Arial" w:hAnsi="Arial" w:cs="Arial"/>
      <w:color w:val="000000"/>
      <w:sz w:val="22"/>
      <w:szCs w:val="22"/>
      <w:u w:val="singl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96</Pages>
  <Words>29014</Words>
  <Characters>31968</Characters>
  <Lines>411</Lines>
  <Paragraphs>115</Paragraphs>
  <TotalTime>43</TotalTime>
  <ScaleCrop>false</ScaleCrop>
  <LinksUpToDate>false</LinksUpToDate>
  <CharactersWithSpaces>33642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2023-11-13T06:24:00Z</dcterms:created>
  <dc:creator>天海1415003450</dc:creator>
  <cp:lastModifiedBy>救赎</cp:lastModifiedBy>
  <cp:lastPrinted>2018-10-16T02:20:00Z</cp:lastPrinted>
  <dcterms:modified xsi:type="dcterms:W3CDTF">2025-05-22T08:15:56Z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BD7D9203CCB04DD486909D7D7E93F110_13</vt:lpwstr>
  </property>
  <property fmtid="{D5CDD505-2E9C-101B-9397-08002B2CF9AE}" pid="4" name="KSOTemplateDocerSaveRecord">
    <vt:lpwstr>eyJoZGlkIjoiOTMxMjYxMTc2YmNmM2ZiYzM3MzRiYzBiMTAxOWMxMDciLCJ1c2VySWQiOiIxNTU5MDg0MTUyIn0=</vt:lpwstr>
  </property>
</Properties>
</file>